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D9F4C" w14:textId="3790A520" w:rsidR="00C877F6" w:rsidRPr="000E5111" w:rsidRDefault="00F36565">
      <w:pPr>
        <w:spacing w:line="360" w:lineRule="auto"/>
        <w:ind w:right="49" w:hanging="22"/>
        <w:jc w:val="both"/>
        <w:rPr>
          <w:rFonts w:ascii="Palatino Linotype" w:eastAsia="Palatino Linotype" w:hAnsi="Palatino Linotype" w:cs="Palatino Linotype"/>
          <w:sz w:val="22"/>
          <w:szCs w:val="22"/>
        </w:rPr>
      </w:pPr>
      <w:bookmarkStart w:id="0" w:name="_GoBack"/>
      <w:bookmarkEnd w:id="0"/>
      <w:r w:rsidRPr="000E5111">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w:t>
      </w:r>
      <w:r w:rsidR="00403AAA" w:rsidRPr="000E5111">
        <w:rPr>
          <w:rFonts w:ascii="Palatino Linotype" w:eastAsia="Palatino Linotype" w:hAnsi="Palatino Linotype" w:cs="Palatino Linotype"/>
          <w:b/>
          <w:sz w:val="22"/>
          <w:szCs w:val="22"/>
        </w:rPr>
        <w:t>cinco</w:t>
      </w:r>
      <w:r w:rsidR="00D52078" w:rsidRPr="000E5111">
        <w:rPr>
          <w:rFonts w:ascii="Palatino Linotype" w:eastAsia="Palatino Linotype" w:hAnsi="Palatino Linotype" w:cs="Palatino Linotype"/>
          <w:b/>
          <w:sz w:val="22"/>
          <w:szCs w:val="22"/>
        </w:rPr>
        <w:t xml:space="preserve"> de </w:t>
      </w:r>
      <w:r w:rsidR="00403AAA" w:rsidRPr="000E5111">
        <w:rPr>
          <w:rFonts w:ascii="Palatino Linotype" w:eastAsia="Palatino Linotype" w:hAnsi="Palatino Linotype" w:cs="Palatino Linotype"/>
          <w:b/>
          <w:sz w:val="22"/>
          <w:szCs w:val="22"/>
        </w:rPr>
        <w:t>marzo</w:t>
      </w:r>
      <w:r w:rsidRPr="000E5111">
        <w:rPr>
          <w:rFonts w:ascii="Palatino Linotype" w:eastAsia="Palatino Linotype" w:hAnsi="Palatino Linotype" w:cs="Palatino Linotype"/>
          <w:sz w:val="22"/>
          <w:szCs w:val="22"/>
        </w:rPr>
        <w:t xml:space="preserve"> </w:t>
      </w:r>
      <w:r w:rsidR="000C6DFE" w:rsidRPr="000E5111">
        <w:rPr>
          <w:rFonts w:ascii="Palatino Linotype" w:eastAsia="Palatino Linotype" w:hAnsi="Palatino Linotype" w:cs="Palatino Linotype"/>
          <w:b/>
          <w:sz w:val="22"/>
          <w:szCs w:val="22"/>
        </w:rPr>
        <w:t>de dos mil veintiséis.</w:t>
      </w:r>
    </w:p>
    <w:p w14:paraId="7F051BA5" w14:textId="77777777" w:rsidR="00C877F6" w:rsidRPr="000E5111" w:rsidRDefault="00C877F6">
      <w:pPr>
        <w:spacing w:line="360" w:lineRule="auto"/>
        <w:ind w:right="49"/>
        <w:jc w:val="both"/>
        <w:rPr>
          <w:rFonts w:ascii="Palatino Linotype" w:eastAsia="Palatino Linotype" w:hAnsi="Palatino Linotype" w:cs="Palatino Linotype"/>
          <w:sz w:val="22"/>
          <w:szCs w:val="22"/>
        </w:rPr>
      </w:pPr>
    </w:p>
    <w:p w14:paraId="02027E82" w14:textId="40F49FB7" w:rsidR="00C877F6" w:rsidRPr="000E5111" w:rsidRDefault="00F36565">
      <w:pPr>
        <w:spacing w:line="360" w:lineRule="auto"/>
        <w:ind w:right="49"/>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 xml:space="preserve">VISTO </w:t>
      </w:r>
      <w:r w:rsidRPr="000E5111">
        <w:rPr>
          <w:rFonts w:ascii="Palatino Linotype" w:eastAsia="Palatino Linotype" w:hAnsi="Palatino Linotype" w:cs="Palatino Linotype"/>
          <w:sz w:val="22"/>
          <w:szCs w:val="22"/>
        </w:rPr>
        <w:t xml:space="preserve">el expediente relativo al recurso de revisión </w:t>
      </w:r>
      <w:r w:rsidR="00E67408" w:rsidRPr="000E5111">
        <w:rPr>
          <w:rFonts w:ascii="Palatino Linotype" w:eastAsia="Palatino Linotype" w:hAnsi="Palatino Linotype" w:cs="Palatino Linotype"/>
          <w:b/>
          <w:sz w:val="22"/>
          <w:szCs w:val="22"/>
        </w:rPr>
        <w:t>09119/INFOEM/IP/RR/2025</w:t>
      </w:r>
      <w:r w:rsidRPr="000E5111">
        <w:rPr>
          <w:rFonts w:ascii="Palatino Linotype" w:eastAsia="Palatino Linotype" w:hAnsi="Palatino Linotype" w:cs="Palatino Linotype"/>
          <w:b/>
          <w:sz w:val="22"/>
          <w:szCs w:val="22"/>
        </w:rPr>
        <w:t xml:space="preserve">, </w:t>
      </w:r>
      <w:r w:rsidRPr="000E5111">
        <w:rPr>
          <w:rFonts w:ascii="Palatino Linotype" w:eastAsia="Palatino Linotype" w:hAnsi="Palatino Linotype" w:cs="Palatino Linotype"/>
          <w:sz w:val="22"/>
          <w:szCs w:val="22"/>
        </w:rPr>
        <w:t>interpuesto por</w:t>
      </w:r>
      <w:r w:rsidR="00737A90" w:rsidRPr="000E5111">
        <w:rPr>
          <w:rFonts w:ascii="Palatino Linotype" w:eastAsia="Palatino Linotype" w:hAnsi="Palatino Linotype" w:cs="Palatino Linotype"/>
          <w:sz w:val="22"/>
          <w:szCs w:val="22"/>
        </w:rPr>
        <w:t xml:space="preserve"> un </w:t>
      </w:r>
      <w:r w:rsidR="00737A90" w:rsidRPr="000E5111">
        <w:rPr>
          <w:rFonts w:ascii="Palatino Linotype" w:eastAsia="Palatino Linotype" w:hAnsi="Palatino Linotype" w:cs="Palatino Linotype"/>
          <w:b/>
          <w:sz w:val="22"/>
          <w:szCs w:val="22"/>
        </w:rPr>
        <w:t>Usuario que no proporcionó su nombre</w:t>
      </w:r>
      <w:r w:rsidR="00737A90" w:rsidRPr="000E5111">
        <w:rPr>
          <w:rFonts w:ascii="Palatino Linotype" w:eastAsia="Palatino Linotype" w:hAnsi="Palatino Linotype" w:cs="Palatino Linotype"/>
          <w:sz w:val="22"/>
          <w:szCs w:val="22"/>
        </w:rPr>
        <w:t xml:space="preserve">, </w:t>
      </w:r>
      <w:r w:rsidRPr="000E5111">
        <w:rPr>
          <w:rFonts w:ascii="Palatino Linotype" w:eastAsia="Palatino Linotype" w:hAnsi="Palatino Linotype" w:cs="Palatino Linotype"/>
          <w:sz w:val="22"/>
          <w:szCs w:val="22"/>
        </w:rPr>
        <w:t xml:space="preserve">en lo sucesivo la parte </w:t>
      </w:r>
      <w:r w:rsidRPr="000E5111">
        <w:rPr>
          <w:rFonts w:ascii="Palatino Linotype" w:eastAsia="Palatino Linotype" w:hAnsi="Palatino Linotype" w:cs="Palatino Linotype"/>
          <w:b/>
          <w:sz w:val="22"/>
          <w:szCs w:val="22"/>
        </w:rPr>
        <w:t>Recurrente</w:t>
      </w:r>
      <w:r w:rsidRPr="000E5111">
        <w:rPr>
          <w:rFonts w:ascii="Palatino Linotype" w:eastAsia="Palatino Linotype" w:hAnsi="Palatino Linotype" w:cs="Palatino Linotype"/>
          <w:sz w:val="22"/>
          <w:szCs w:val="22"/>
        </w:rPr>
        <w:t xml:space="preserve">, en contra de la respuesta a la solicitud de información por parte del </w:t>
      </w:r>
      <w:r w:rsidR="000C6DFE" w:rsidRPr="000E5111">
        <w:rPr>
          <w:rFonts w:ascii="Palatino Linotype" w:eastAsia="Palatino Linotype" w:hAnsi="Palatino Linotype" w:cs="Palatino Linotype"/>
          <w:b/>
          <w:sz w:val="22"/>
          <w:szCs w:val="22"/>
        </w:rPr>
        <w:t>Ayuntamiento de Toluca</w:t>
      </w:r>
      <w:r w:rsidRPr="000E5111">
        <w:rPr>
          <w:rFonts w:ascii="Palatino Linotype" w:eastAsia="Palatino Linotype" w:hAnsi="Palatino Linotype" w:cs="Palatino Linotype"/>
          <w:sz w:val="22"/>
          <w:szCs w:val="22"/>
        </w:rPr>
        <w:t xml:space="preserve">, en lo sucesivo el </w:t>
      </w:r>
      <w:r w:rsidRPr="000E5111">
        <w:rPr>
          <w:rFonts w:ascii="Palatino Linotype" w:eastAsia="Palatino Linotype" w:hAnsi="Palatino Linotype" w:cs="Palatino Linotype"/>
          <w:b/>
          <w:sz w:val="22"/>
          <w:szCs w:val="22"/>
        </w:rPr>
        <w:t xml:space="preserve">Sujeto Obligado; </w:t>
      </w:r>
      <w:r w:rsidRPr="000E5111">
        <w:rPr>
          <w:rFonts w:ascii="Palatino Linotype" w:eastAsia="Palatino Linotype" w:hAnsi="Palatino Linotype" w:cs="Palatino Linotype"/>
          <w:sz w:val="22"/>
          <w:szCs w:val="22"/>
        </w:rPr>
        <w:t>se procede a dictar la presente resolución, con base en lo siguiente.</w:t>
      </w:r>
      <w:r w:rsidR="005C2ED1" w:rsidRPr="000E5111">
        <w:rPr>
          <w:rFonts w:ascii="Palatino Linotype" w:eastAsia="Palatino Linotype" w:hAnsi="Palatino Linotype" w:cs="Palatino Linotype"/>
          <w:sz w:val="22"/>
          <w:szCs w:val="22"/>
        </w:rPr>
        <w:t xml:space="preserve"> </w:t>
      </w:r>
    </w:p>
    <w:p w14:paraId="29A1AF53" w14:textId="5EB2DA70" w:rsidR="00C877F6" w:rsidRPr="000E5111" w:rsidRDefault="00F36565">
      <w:pPr>
        <w:spacing w:line="360" w:lineRule="auto"/>
        <w:ind w:right="49"/>
        <w:jc w:val="center"/>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I.</w:t>
      </w:r>
      <w:r w:rsidRPr="000E5111">
        <w:rPr>
          <w:rFonts w:ascii="Palatino Linotype" w:eastAsia="Palatino Linotype" w:hAnsi="Palatino Linotype" w:cs="Palatino Linotype"/>
          <w:b/>
          <w:sz w:val="22"/>
          <w:szCs w:val="22"/>
        </w:rPr>
        <w:tab/>
        <w:t>A N T E C E D E N T E S</w:t>
      </w:r>
      <w:r w:rsidR="005C74CB" w:rsidRPr="000E5111">
        <w:rPr>
          <w:rFonts w:ascii="Palatino Linotype" w:eastAsia="Palatino Linotype" w:hAnsi="Palatino Linotype" w:cs="Palatino Linotype"/>
          <w:b/>
          <w:sz w:val="22"/>
          <w:szCs w:val="22"/>
        </w:rPr>
        <w:t xml:space="preserve"> </w:t>
      </w:r>
    </w:p>
    <w:p w14:paraId="3ACFD56D" w14:textId="77777777" w:rsidR="00C877F6" w:rsidRPr="000E5111" w:rsidRDefault="00C877F6">
      <w:pPr>
        <w:spacing w:line="360" w:lineRule="auto"/>
        <w:ind w:right="49"/>
        <w:jc w:val="both"/>
        <w:rPr>
          <w:rFonts w:ascii="Palatino Linotype" w:eastAsia="Palatino Linotype" w:hAnsi="Palatino Linotype" w:cs="Palatino Linotype"/>
          <w:sz w:val="22"/>
          <w:szCs w:val="22"/>
        </w:rPr>
      </w:pPr>
    </w:p>
    <w:p w14:paraId="523B7B02" w14:textId="6B8C23C7" w:rsidR="00C877F6" w:rsidRPr="000E5111" w:rsidRDefault="00F36565">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1.</w:t>
      </w:r>
      <w:r w:rsidRPr="000E5111">
        <w:rPr>
          <w:rFonts w:ascii="Palatino Linotype" w:eastAsia="Palatino Linotype" w:hAnsi="Palatino Linotype" w:cs="Palatino Linotype"/>
          <w:sz w:val="22"/>
          <w:szCs w:val="22"/>
        </w:rPr>
        <w:t xml:space="preserve"> </w:t>
      </w:r>
      <w:r w:rsidRPr="000E5111">
        <w:rPr>
          <w:rFonts w:ascii="Palatino Linotype" w:eastAsia="Palatino Linotype" w:hAnsi="Palatino Linotype" w:cs="Palatino Linotype"/>
          <w:b/>
          <w:sz w:val="22"/>
          <w:szCs w:val="22"/>
        </w:rPr>
        <w:t xml:space="preserve">Solicitud </w:t>
      </w:r>
      <w:r w:rsidR="00D3382D" w:rsidRPr="000E5111">
        <w:rPr>
          <w:rFonts w:ascii="Palatino Linotype" w:eastAsia="Palatino Linotype" w:hAnsi="Palatino Linotype" w:cs="Palatino Linotype"/>
          <w:b/>
          <w:sz w:val="22"/>
          <w:szCs w:val="22"/>
        </w:rPr>
        <w:t xml:space="preserve">de </w:t>
      </w:r>
      <w:r w:rsidR="009456FA" w:rsidRPr="000E5111">
        <w:rPr>
          <w:rFonts w:ascii="Palatino Linotype" w:eastAsia="Palatino Linotype" w:hAnsi="Palatino Linotype" w:cs="Palatino Linotype"/>
          <w:b/>
          <w:sz w:val="22"/>
          <w:szCs w:val="22"/>
        </w:rPr>
        <w:t xml:space="preserve">Acceso a la Información. El </w:t>
      </w:r>
      <w:r w:rsidR="00403AAA" w:rsidRPr="000E5111">
        <w:rPr>
          <w:rFonts w:ascii="Palatino Linotype" w:eastAsia="Palatino Linotype" w:hAnsi="Palatino Linotype" w:cs="Palatino Linotype"/>
          <w:b/>
          <w:sz w:val="22"/>
          <w:szCs w:val="22"/>
        </w:rPr>
        <w:t>diez</w:t>
      </w:r>
      <w:r w:rsidR="00287278" w:rsidRPr="000E5111">
        <w:rPr>
          <w:rFonts w:ascii="Palatino Linotype" w:eastAsia="Palatino Linotype" w:hAnsi="Palatino Linotype" w:cs="Palatino Linotype"/>
          <w:b/>
          <w:sz w:val="22"/>
          <w:szCs w:val="22"/>
        </w:rPr>
        <w:t xml:space="preserve"> </w:t>
      </w:r>
      <w:r w:rsidR="00D3382D" w:rsidRPr="000E5111">
        <w:rPr>
          <w:rFonts w:ascii="Palatino Linotype" w:eastAsia="Palatino Linotype" w:hAnsi="Palatino Linotype" w:cs="Palatino Linotype"/>
          <w:b/>
          <w:sz w:val="22"/>
          <w:szCs w:val="22"/>
        </w:rPr>
        <w:t xml:space="preserve">de </w:t>
      </w:r>
      <w:r w:rsidR="00403AAA" w:rsidRPr="000E5111">
        <w:rPr>
          <w:rFonts w:ascii="Palatino Linotype" w:eastAsia="Palatino Linotype" w:hAnsi="Palatino Linotype" w:cs="Palatino Linotype"/>
          <w:b/>
          <w:sz w:val="22"/>
          <w:szCs w:val="22"/>
        </w:rPr>
        <w:t>junio</w:t>
      </w:r>
      <w:r w:rsidRPr="000E5111">
        <w:rPr>
          <w:rFonts w:ascii="Palatino Linotype" w:eastAsia="Palatino Linotype" w:hAnsi="Palatino Linotype" w:cs="Palatino Linotype"/>
          <w:b/>
          <w:sz w:val="22"/>
          <w:szCs w:val="22"/>
        </w:rPr>
        <w:t xml:space="preserve"> de dos mil veinticinco</w:t>
      </w:r>
      <w:r w:rsidRPr="000E5111">
        <w:rPr>
          <w:rFonts w:ascii="Palatino Linotype" w:eastAsia="Palatino Linotype" w:hAnsi="Palatino Linotype" w:cs="Palatino Linotype"/>
          <w:sz w:val="22"/>
          <w:szCs w:val="22"/>
        </w:rPr>
        <w:t xml:space="preserve">, </w:t>
      </w:r>
      <w:r w:rsidRPr="000E5111">
        <w:rPr>
          <w:rFonts w:ascii="Palatino Linotype" w:eastAsia="Palatino Linotype" w:hAnsi="Palatino Linotype" w:cs="Palatino Linotype"/>
          <w:b/>
          <w:sz w:val="22"/>
          <w:szCs w:val="22"/>
        </w:rPr>
        <w:t>LA PARTE</w:t>
      </w:r>
      <w:r w:rsidRPr="000E5111">
        <w:rPr>
          <w:rFonts w:ascii="Palatino Linotype" w:eastAsia="Palatino Linotype" w:hAnsi="Palatino Linotype" w:cs="Palatino Linotype"/>
          <w:sz w:val="22"/>
          <w:szCs w:val="22"/>
        </w:rPr>
        <w:t xml:space="preserve"> </w:t>
      </w:r>
      <w:r w:rsidRPr="000E5111">
        <w:rPr>
          <w:rFonts w:ascii="Palatino Linotype" w:eastAsia="Palatino Linotype" w:hAnsi="Palatino Linotype" w:cs="Palatino Linotype"/>
          <w:b/>
          <w:sz w:val="22"/>
          <w:szCs w:val="22"/>
        </w:rPr>
        <w:t>RECURRENTE</w:t>
      </w:r>
      <w:r w:rsidRPr="000E5111">
        <w:rPr>
          <w:rFonts w:ascii="Palatino Linotype" w:eastAsia="Palatino Linotype" w:hAnsi="Palatino Linotype" w:cs="Palatino Linotype"/>
          <w:sz w:val="22"/>
          <w:szCs w:val="22"/>
        </w:rPr>
        <w:t xml:space="preserve"> formuló solicitud de acceso a información pública a través del </w:t>
      </w:r>
      <w:r w:rsidRPr="000E5111">
        <w:rPr>
          <w:rFonts w:ascii="Palatino Linotype" w:eastAsia="Palatino Linotype" w:hAnsi="Palatino Linotype" w:cs="Palatino Linotype"/>
          <w:b/>
          <w:sz w:val="22"/>
          <w:szCs w:val="22"/>
        </w:rPr>
        <w:t>SAIMEX</w:t>
      </w:r>
      <w:r w:rsidRPr="000E5111">
        <w:rPr>
          <w:rFonts w:ascii="Palatino Linotype" w:eastAsia="Palatino Linotype" w:hAnsi="Palatino Linotype" w:cs="Palatino Linotype"/>
          <w:sz w:val="22"/>
          <w:szCs w:val="22"/>
        </w:rPr>
        <w:t xml:space="preserve">, en la que requirió lo siguiente: </w:t>
      </w:r>
    </w:p>
    <w:p w14:paraId="4EEACF59" w14:textId="77777777" w:rsidR="00C877F6" w:rsidRPr="000E5111" w:rsidRDefault="00C877F6">
      <w:pPr>
        <w:spacing w:line="360" w:lineRule="auto"/>
        <w:jc w:val="both"/>
        <w:rPr>
          <w:rFonts w:ascii="Palatino Linotype" w:eastAsia="Palatino Linotype" w:hAnsi="Palatino Linotype" w:cs="Palatino Linotype"/>
          <w:sz w:val="22"/>
          <w:szCs w:val="22"/>
        </w:rPr>
      </w:pPr>
    </w:p>
    <w:p w14:paraId="21215815" w14:textId="4FCC0200" w:rsidR="00C877F6" w:rsidRPr="000E5111" w:rsidRDefault="00F36565" w:rsidP="001244B6">
      <w:pPr>
        <w:numPr>
          <w:ilvl w:val="0"/>
          <w:numId w:val="2"/>
        </w:numPr>
        <w:pBdr>
          <w:top w:val="nil"/>
          <w:left w:val="nil"/>
          <w:bottom w:val="nil"/>
          <w:right w:val="nil"/>
          <w:between w:val="nil"/>
        </w:pBdr>
        <w:spacing w:line="360" w:lineRule="auto"/>
        <w:ind w:left="567" w:right="49"/>
        <w:jc w:val="both"/>
        <w:rPr>
          <w:rFonts w:ascii="Palatino Linotype" w:eastAsia="Palatino Linotype" w:hAnsi="Palatino Linotype" w:cs="Palatino Linotype"/>
          <w:b/>
          <w:sz w:val="22"/>
          <w:szCs w:val="22"/>
        </w:rPr>
      </w:pPr>
      <w:bookmarkStart w:id="1" w:name="_heading=h.3znysh7" w:colFirst="0" w:colLast="0"/>
      <w:bookmarkEnd w:id="1"/>
      <w:r w:rsidRPr="000E5111">
        <w:rPr>
          <w:rFonts w:ascii="Palatino Linotype" w:eastAsia="Palatino Linotype" w:hAnsi="Palatino Linotype" w:cs="Palatino Linotype"/>
          <w:b/>
          <w:sz w:val="22"/>
          <w:szCs w:val="22"/>
        </w:rPr>
        <w:t>0</w:t>
      </w:r>
      <w:r w:rsidR="00403AAA" w:rsidRPr="000E5111">
        <w:rPr>
          <w:rFonts w:ascii="Palatino Linotype" w:eastAsia="Palatino Linotype" w:hAnsi="Palatino Linotype" w:cs="Palatino Linotype"/>
          <w:b/>
          <w:sz w:val="22"/>
          <w:szCs w:val="22"/>
        </w:rPr>
        <w:t>3335</w:t>
      </w:r>
      <w:r w:rsidRPr="000E5111">
        <w:rPr>
          <w:rFonts w:ascii="Palatino Linotype" w:eastAsia="Palatino Linotype" w:hAnsi="Palatino Linotype" w:cs="Palatino Linotype"/>
          <w:b/>
          <w:sz w:val="22"/>
          <w:szCs w:val="22"/>
        </w:rPr>
        <w:t>/</w:t>
      </w:r>
      <w:r w:rsidR="000C6DFE" w:rsidRPr="000E5111">
        <w:rPr>
          <w:rFonts w:ascii="Palatino Linotype" w:eastAsia="Palatino Linotype" w:hAnsi="Palatino Linotype" w:cs="Palatino Linotype"/>
          <w:b/>
          <w:sz w:val="22"/>
          <w:szCs w:val="22"/>
        </w:rPr>
        <w:t>TOLUCA</w:t>
      </w:r>
      <w:r w:rsidRPr="000E5111">
        <w:rPr>
          <w:rFonts w:ascii="Palatino Linotype" w:eastAsia="Palatino Linotype" w:hAnsi="Palatino Linotype" w:cs="Palatino Linotype"/>
          <w:b/>
          <w:sz w:val="22"/>
          <w:szCs w:val="22"/>
        </w:rPr>
        <w:t>/IP/2025</w:t>
      </w:r>
    </w:p>
    <w:p w14:paraId="173CF3CD" w14:textId="13471D1D" w:rsidR="00C877F6" w:rsidRPr="000E5111" w:rsidRDefault="00F36565">
      <w:pPr>
        <w:spacing w:line="276" w:lineRule="auto"/>
        <w:ind w:left="567" w:right="843"/>
        <w:jc w:val="both"/>
        <w:rPr>
          <w:rFonts w:ascii="Palatino Linotype" w:eastAsia="Palatino Linotype" w:hAnsi="Palatino Linotype" w:cs="Palatino Linotype"/>
          <w:b/>
          <w:i/>
          <w:sz w:val="22"/>
          <w:szCs w:val="22"/>
        </w:rPr>
      </w:pPr>
      <w:r w:rsidRPr="000E5111">
        <w:rPr>
          <w:rFonts w:ascii="Palatino Linotype" w:eastAsia="Palatino Linotype" w:hAnsi="Palatino Linotype" w:cs="Palatino Linotype"/>
          <w:i/>
          <w:sz w:val="22"/>
          <w:szCs w:val="22"/>
        </w:rPr>
        <w:t>"</w:t>
      </w:r>
      <w:r w:rsidR="00403AAA" w:rsidRPr="000E5111">
        <w:rPr>
          <w:rFonts w:ascii="Palatino Linotype" w:eastAsia="Palatino Linotype" w:hAnsi="Palatino Linotype" w:cs="Palatino Linotype"/>
          <w:i/>
          <w:sz w:val="22"/>
          <w:szCs w:val="22"/>
        </w:rPr>
        <w:t>Se solicita el informe detallado del pago de finiquitos y laudos que informo el presidente municipal en cabildo con los documentos de los laudos, los convenios todo con expresión documental qué demuestre el pago de los finiquitos de laudos y de que años son</w:t>
      </w:r>
      <w:r w:rsidRPr="000E5111">
        <w:rPr>
          <w:rFonts w:ascii="Palatino Linotype" w:eastAsia="Palatino Linotype" w:hAnsi="Palatino Linotype" w:cs="Palatino Linotype"/>
          <w:b/>
          <w:i/>
          <w:sz w:val="22"/>
          <w:szCs w:val="22"/>
        </w:rPr>
        <w:t>” (Sic.)</w:t>
      </w:r>
    </w:p>
    <w:p w14:paraId="1861AE9B" w14:textId="77777777" w:rsidR="00C877F6" w:rsidRPr="000E5111" w:rsidRDefault="00C877F6">
      <w:pPr>
        <w:spacing w:line="360" w:lineRule="auto"/>
        <w:ind w:left="567" w:right="843"/>
        <w:jc w:val="both"/>
        <w:rPr>
          <w:rFonts w:ascii="Palatino Linotype" w:eastAsia="Palatino Linotype" w:hAnsi="Palatino Linotype" w:cs="Palatino Linotype"/>
          <w:i/>
          <w:sz w:val="22"/>
          <w:szCs w:val="22"/>
        </w:rPr>
      </w:pPr>
    </w:p>
    <w:p w14:paraId="76742D72" w14:textId="77777777" w:rsidR="00C877F6" w:rsidRPr="000E5111" w:rsidRDefault="00F36565">
      <w:pPr>
        <w:spacing w:line="360" w:lineRule="auto"/>
        <w:ind w:right="49"/>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Modalidad elegida para la entrega de la información:</w:t>
      </w:r>
      <w:r w:rsidRPr="000E5111">
        <w:rPr>
          <w:rFonts w:ascii="Palatino Linotype" w:eastAsia="Palatino Linotype" w:hAnsi="Palatino Linotype" w:cs="Palatino Linotype"/>
          <w:sz w:val="22"/>
          <w:szCs w:val="22"/>
        </w:rPr>
        <w:t xml:space="preserve"> a través del Sistema de Acceso a la Información Mexiquense (SAIMEX).</w:t>
      </w:r>
    </w:p>
    <w:p w14:paraId="62007702" w14:textId="77777777" w:rsidR="00C877F6" w:rsidRPr="000E5111" w:rsidRDefault="00C877F6">
      <w:pPr>
        <w:widowControl w:val="0"/>
        <w:spacing w:line="360" w:lineRule="auto"/>
        <w:jc w:val="both"/>
        <w:rPr>
          <w:rFonts w:ascii="Palatino Linotype" w:eastAsia="Palatino Linotype" w:hAnsi="Palatino Linotype" w:cs="Palatino Linotype"/>
          <w:b/>
          <w:sz w:val="22"/>
          <w:szCs w:val="22"/>
        </w:rPr>
      </w:pPr>
    </w:p>
    <w:p w14:paraId="79899601" w14:textId="568C5274" w:rsidR="00403AAA" w:rsidRPr="000E5111" w:rsidRDefault="00F36565">
      <w:pPr>
        <w:widowControl w:val="0"/>
        <w:spacing w:line="360" w:lineRule="auto"/>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 xml:space="preserve">2. </w:t>
      </w:r>
      <w:r w:rsidR="00403AAA" w:rsidRPr="000E5111">
        <w:rPr>
          <w:rFonts w:ascii="Palatino Linotype" w:eastAsia="Palatino Linotype" w:hAnsi="Palatino Linotype" w:cs="Palatino Linotype"/>
          <w:b/>
          <w:sz w:val="22"/>
          <w:szCs w:val="22"/>
        </w:rPr>
        <w:t>Prórroga. El dos de julio de dos mil veinticinco el Sujeto Obligado solicitó una prórroga para dar respuesta a la solicitud en los siguientes términos:</w:t>
      </w:r>
    </w:p>
    <w:p w14:paraId="60441078" w14:textId="77777777" w:rsidR="00403AAA" w:rsidRPr="000E5111" w:rsidRDefault="00403AAA">
      <w:pPr>
        <w:widowControl w:val="0"/>
        <w:spacing w:line="360" w:lineRule="auto"/>
        <w:jc w:val="both"/>
        <w:rPr>
          <w:rFonts w:ascii="Palatino Linotype" w:eastAsia="Palatino Linotype" w:hAnsi="Palatino Linotype" w:cs="Palatino Linotype"/>
          <w:b/>
          <w:sz w:val="22"/>
          <w:szCs w:val="22"/>
        </w:rPr>
      </w:pPr>
    </w:p>
    <w:p w14:paraId="215E4BFE" w14:textId="77777777" w:rsidR="00403AAA" w:rsidRPr="000E5111" w:rsidRDefault="00403AAA" w:rsidP="00403AAA">
      <w:pPr>
        <w:widowControl w:val="0"/>
        <w:spacing w:line="360" w:lineRule="auto"/>
        <w:ind w:left="567" w:right="843"/>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399621B2" w14:textId="77777777" w:rsidR="00403AAA" w:rsidRPr="000E5111" w:rsidRDefault="00403AAA" w:rsidP="00403AAA">
      <w:pPr>
        <w:widowControl w:val="0"/>
        <w:spacing w:line="360" w:lineRule="auto"/>
        <w:ind w:left="567" w:right="843"/>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03334/TOLUCA/IP/2025, recibida a través del Sistema de Acceso a la Información Mexiquense (SAIMEX), misma que fue procedente, quedando bajo el acuerdo CT/SE/802 /2025., en la Octingentésima Segunda Sesión Extraordinaria 2025 del Comité de Transparencia del Municipio de Toluca, Administración 2025- 2027, de fecha 30/06/2025,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14:paraId="4F977C02" w14:textId="77777777" w:rsidR="00403AAA" w:rsidRPr="000E5111" w:rsidRDefault="00403AAA" w:rsidP="00403AAA">
      <w:pPr>
        <w:widowControl w:val="0"/>
        <w:spacing w:line="360" w:lineRule="auto"/>
        <w:ind w:left="567" w:right="843"/>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Dr. Nahum Miguel Mendoza Morales</w:t>
      </w:r>
    </w:p>
    <w:p w14:paraId="2E38ADC0" w14:textId="017D4A79" w:rsidR="00403AAA" w:rsidRPr="000E5111" w:rsidRDefault="00403AAA" w:rsidP="00403AAA">
      <w:pPr>
        <w:widowControl w:val="0"/>
        <w:spacing w:line="360" w:lineRule="auto"/>
        <w:ind w:left="567" w:right="843"/>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Responsable de la Unidad de Transparencia</w:t>
      </w:r>
    </w:p>
    <w:p w14:paraId="686340D8" w14:textId="77777777" w:rsidR="00403AAA" w:rsidRPr="000E5111" w:rsidRDefault="00403AAA" w:rsidP="00403AAA">
      <w:pPr>
        <w:widowControl w:val="0"/>
        <w:spacing w:line="360" w:lineRule="auto"/>
        <w:jc w:val="both"/>
        <w:rPr>
          <w:rFonts w:ascii="Palatino Linotype" w:eastAsia="Palatino Linotype" w:hAnsi="Palatino Linotype" w:cs="Palatino Linotype"/>
          <w:b/>
          <w:sz w:val="22"/>
          <w:szCs w:val="22"/>
        </w:rPr>
      </w:pPr>
    </w:p>
    <w:p w14:paraId="46E266A9" w14:textId="4518D75B" w:rsidR="00C877F6" w:rsidRPr="000E5111" w:rsidRDefault="00403AAA">
      <w:pPr>
        <w:widowControl w:val="0"/>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 xml:space="preserve">3. </w:t>
      </w:r>
      <w:r w:rsidR="00F36565" w:rsidRPr="000E5111">
        <w:rPr>
          <w:rFonts w:ascii="Palatino Linotype" w:eastAsia="Palatino Linotype" w:hAnsi="Palatino Linotype" w:cs="Palatino Linotype"/>
          <w:b/>
          <w:sz w:val="22"/>
          <w:szCs w:val="22"/>
        </w:rPr>
        <w:t>Respuesta.</w:t>
      </w:r>
      <w:r w:rsidR="00F36565" w:rsidRPr="000E5111">
        <w:rPr>
          <w:rFonts w:ascii="Palatino Linotype" w:eastAsia="Palatino Linotype" w:hAnsi="Palatino Linotype" w:cs="Palatino Linotype"/>
          <w:sz w:val="22"/>
          <w:szCs w:val="22"/>
        </w:rPr>
        <w:t xml:space="preserve"> El </w:t>
      </w:r>
      <w:r w:rsidR="00783979" w:rsidRPr="000E5111">
        <w:rPr>
          <w:rFonts w:ascii="Palatino Linotype" w:eastAsia="Palatino Linotype" w:hAnsi="Palatino Linotype" w:cs="Palatino Linotype"/>
          <w:b/>
          <w:sz w:val="22"/>
          <w:szCs w:val="22"/>
        </w:rPr>
        <w:t>die</w:t>
      </w:r>
      <w:r w:rsidRPr="000E5111">
        <w:rPr>
          <w:rFonts w:ascii="Palatino Linotype" w:eastAsia="Palatino Linotype" w:hAnsi="Palatino Linotype" w:cs="Palatino Linotype"/>
          <w:b/>
          <w:sz w:val="22"/>
          <w:szCs w:val="22"/>
        </w:rPr>
        <w:t>z</w:t>
      </w:r>
      <w:r w:rsidR="00F36565" w:rsidRPr="000E5111">
        <w:rPr>
          <w:rFonts w:ascii="Palatino Linotype" w:eastAsia="Palatino Linotype" w:hAnsi="Palatino Linotype" w:cs="Palatino Linotype"/>
          <w:sz w:val="22"/>
          <w:szCs w:val="22"/>
        </w:rPr>
        <w:t xml:space="preserve"> </w:t>
      </w:r>
      <w:r w:rsidR="00F36565" w:rsidRPr="000E5111">
        <w:rPr>
          <w:rFonts w:ascii="Palatino Linotype" w:eastAsia="Palatino Linotype" w:hAnsi="Palatino Linotype" w:cs="Palatino Linotype"/>
          <w:b/>
          <w:sz w:val="22"/>
          <w:szCs w:val="22"/>
        </w:rPr>
        <w:t xml:space="preserve">de </w:t>
      </w:r>
      <w:r w:rsidRPr="000E5111">
        <w:rPr>
          <w:rFonts w:ascii="Palatino Linotype" w:eastAsia="Palatino Linotype" w:hAnsi="Palatino Linotype" w:cs="Palatino Linotype"/>
          <w:b/>
          <w:sz w:val="22"/>
          <w:szCs w:val="22"/>
        </w:rPr>
        <w:t>julio</w:t>
      </w:r>
      <w:r w:rsidR="009456FA" w:rsidRPr="000E5111">
        <w:rPr>
          <w:rFonts w:ascii="Palatino Linotype" w:eastAsia="Palatino Linotype" w:hAnsi="Palatino Linotype" w:cs="Palatino Linotype"/>
          <w:b/>
          <w:sz w:val="22"/>
          <w:szCs w:val="22"/>
        </w:rPr>
        <w:t xml:space="preserve"> </w:t>
      </w:r>
      <w:r w:rsidR="00F36565" w:rsidRPr="000E5111">
        <w:rPr>
          <w:rFonts w:ascii="Palatino Linotype" w:eastAsia="Palatino Linotype" w:hAnsi="Palatino Linotype" w:cs="Palatino Linotype"/>
          <w:b/>
          <w:sz w:val="22"/>
          <w:szCs w:val="22"/>
        </w:rPr>
        <w:t>de dos mil veinticinco</w:t>
      </w:r>
      <w:r w:rsidR="00F36565" w:rsidRPr="000E5111">
        <w:rPr>
          <w:rFonts w:ascii="Palatino Linotype" w:eastAsia="Palatino Linotype" w:hAnsi="Palatino Linotype" w:cs="Palatino Linotype"/>
          <w:sz w:val="22"/>
          <w:szCs w:val="22"/>
        </w:rPr>
        <w:t>, el Sujeto Obligado dio respuesta a la solicitud en los siguientes términos:</w:t>
      </w:r>
    </w:p>
    <w:p w14:paraId="7689408D" w14:textId="77777777" w:rsidR="00C877F6" w:rsidRPr="000E5111" w:rsidRDefault="00C877F6">
      <w:pPr>
        <w:widowControl w:val="0"/>
        <w:spacing w:line="360" w:lineRule="auto"/>
        <w:jc w:val="both"/>
        <w:rPr>
          <w:rFonts w:ascii="Palatino Linotype" w:eastAsia="Palatino Linotype" w:hAnsi="Palatino Linotype" w:cs="Palatino Linotype"/>
          <w:sz w:val="22"/>
          <w:szCs w:val="22"/>
        </w:rPr>
      </w:pPr>
    </w:p>
    <w:p w14:paraId="63A58BB3" w14:textId="77777777" w:rsidR="00403AAA" w:rsidRPr="000E5111" w:rsidRDefault="00F36565" w:rsidP="00403AAA">
      <w:pPr>
        <w:widowControl w:val="0"/>
        <w:spacing w:line="360" w:lineRule="auto"/>
        <w:ind w:left="567" w:right="843"/>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r w:rsidR="00403AAA" w:rsidRPr="000E5111">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0ED3229" w14:textId="77777777" w:rsidR="00403AAA" w:rsidRPr="000E5111" w:rsidRDefault="00403AAA" w:rsidP="00403AAA">
      <w:pPr>
        <w:widowControl w:val="0"/>
        <w:spacing w:line="360" w:lineRule="auto"/>
        <w:ind w:left="567" w:right="843"/>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lastRenderedPageBreak/>
        <w:t>En atención a la solicitud con folio 03335/TOLUCA/IP/2025, me permito adjuntar al presente la respuesta correspondiente, Sin más por el momento, reciba un saludo.</w:t>
      </w:r>
    </w:p>
    <w:p w14:paraId="06AA2A76" w14:textId="77777777" w:rsidR="00403AAA" w:rsidRPr="000E5111" w:rsidRDefault="00403AAA" w:rsidP="00403AAA">
      <w:pPr>
        <w:widowControl w:val="0"/>
        <w:spacing w:line="360" w:lineRule="auto"/>
        <w:ind w:left="567" w:right="843"/>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ATENTAMENTE</w:t>
      </w:r>
    </w:p>
    <w:p w14:paraId="7858BA1C" w14:textId="492BA2FE" w:rsidR="00C877F6" w:rsidRPr="000E5111" w:rsidRDefault="00403AAA" w:rsidP="00403AAA">
      <w:pPr>
        <w:widowControl w:val="0"/>
        <w:spacing w:line="360" w:lineRule="auto"/>
        <w:ind w:left="567" w:right="843"/>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Dr. Nahum Miguel Mendoza Morales</w:t>
      </w:r>
      <w:r w:rsidR="00287278" w:rsidRPr="000E5111">
        <w:rPr>
          <w:rFonts w:ascii="Palatino Linotype" w:eastAsia="Palatino Linotype" w:hAnsi="Palatino Linotype" w:cs="Palatino Linotype"/>
          <w:i/>
          <w:sz w:val="22"/>
          <w:szCs w:val="22"/>
        </w:rPr>
        <w:t>”</w:t>
      </w:r>
    </w:p>
    <w:p w14:paraId="7C751FDF" w14:textId="77777777" w:rsidR="009456FA" w:rsidRPr="000E5111" w:rsidRDefault="009456FA" w:rsidP="009456FA">
      <w:pPr>
        <w:widowControl w:val="0"/>
        <w:spacing w:line="360" w:lineRule="auto"/>
        <w:ind w:left="567" w:right="843"/>
        <w:jc w:val="both"/>
        <w:rPr>
          <w:rFonts w:ascii="Palatino Linotype" w:eastAsia="Palatino Linotype" w:hAnsi="Palatino Linotype" w:cs="Palatino Linotype"/>
          <w:i/>
          <w:sz w:val="22"/>
          <w:szCs w:val="22"/>
        </w:rPr>
      </w:pPr>
    </w:p>
    <w:p w14:paraId="369D8218" w14:textId="77777777" w:rsidR="00D42C47" w:rsidRPr="000E5111" w:rsidRDefault="00F36565">
      <w:pPr>
        <w:widowControl w:val="0"/>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El Sujeto Obligado adjunt</w:t>
      </w:r>
      <w:r w:rsidR="000D6BF4" w:rsidRPr="000E5111">
        <w:rPr>
          <w:rFonts w:ascii="Palatino Linotype" w:eastAsia="Palatino Linotype" w:hAnsi="Palatino Linotype" w:cs="Palatino Linotype"/>
          <w:sz w:val="22"/>
          <w:szCs w:val="22"/>
        </w:rPr>
        <w:t xml:space="preserve">ó </w:t>
      </w:r>
      <w:r w:rsidR="00D42C47" w:rsidRPr="000E5111">
        <w:rPr>
          <w:rFonts w:ascii="Palatino Linotype" w:eastAsia="Palatino Linotype" w:hAnsi="Palatino Linotype" w:cs="Palatino Linotype"/>
          <w:sz w:val="22"/>
          <w:szCs w:val="22"/>
        </w:rPr>
        <w:t>los documentos electrónicos siguientes:</w:t>
      </w:r>
    </w:p>
    <w:p w14:paraId="05AA89CB" w14:textId="77777777" w:rsidR="00D42C47" w:rsidRPr="000E5111" w:rsidRDefault="00D42C47">
      <w:pPr>
        <w:widowControl w:val="0"/>
        <w:spacing w:line="360" w:lineRule="auto"/>
        <w:jc w:val="both"/>
        <w:rPr>
          <w:rFonts w:ascii="Palatino Linotype" w:eastAsia="Palatino Linotype" w:hAnsi="Palatino Linotype" w:cs="Palatino Linotype"/>
          <w:sz w:val="22"/>
          <w:szCs w:val="22"/>
        </w:rPr>
      </w:pPr>
    </w:p>
    <w:p w14:paraId="75315468" w14:textId="66D04B45" w:rsidR="00403AAA" w:rsidRPr="000E5111" w:rsidRDefault="00403AAA" w:rsidP="00403AAA">
      <w:pPr>
        <w:pStyle w:val="Prrafodelista"/>
        <w:widowControl w:val="0"/>
        <w:numPr>
          <w:ilvl w:val="0"/>
          <w:numId w:val="26"/>
        </w:numPr>
        <w:spacing w:line="360" w:lineRule="auto"/>
        <w:ind w:left="709"/>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 xml:space="preserve">ESTADO-ANALITICO-DEL-EJERC.-DE-PRES-DE-EGRESOS-CLAS-POR-OBJ-DEL-GAS-ENERO-A-MARZO-2025 (4).pdf: </w:t>
      </w:r>
      <w:r w:rsidRPr="000E5111">
        <w:rPr>
          <w:rFonts w:ascii="Palatino Linotype" w:eastAsia="Palatino Linotype" w:hAnsi="Palatino Linotype" w:cs="Palatino Linotype"/>
          <w:sz w:val="22"/>
          <w:szCs w:val="22"/>
        </w:rPr>
        <w:t>Documento que contiene el Estado Analítico del Ejercicio del Presupuesto de Egresos Calificación por Objeto del Gasto del uno de enero al treinta y uno de marzo de dos mil veinticinco.</w:t>
      </w:r>
    </w:p>
    <w:p w14:paraId="00800190" w14:textId="47359D36" w:rsidR="00403AAA" w:rsidRPr="000E5111" w:rsidRDefault="00403AAA" w:rsidP="00403AAA">
      <w:pPr>
        <w:pStyle w:val="Prrafodelista"/>
        <w:widowControl w:val="0"/>
        <w:numPr>
          <w:ilvl w:val="0"/>
          <w:numId w:val="26"/>
        </w:numPr>
        <w:spacing w:line="360" w:lineRule="auto"/>
        <w:ind w:left="709"/>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 xml:space="preserve">3335.pdf: </w:t>
      </w:r>
      <w:r w:rsidRPr="000E5111">
        <w:rPr>
          <w:rFonts w:ascii="Palatino Linotype" w:eastAsia="Palatino Linotype" w:hAnsi="Palatino Linotype" w:cs="Palatino Linotype"/>
          <w:sz w:val="22"/>
          <w:szCs w:val="22"/>
        </w:rPr>
        <w:t>Oficio suscrito por la Tesorería Municipal</w:t>
      </w:r>
      <w:r w:rsidRPr="000E5111">
        <w:rPr>
          <w:rFonts w:ascii="Palatino Linotype" w:eastAsia="Palatino Linotype" w:hAnsi="Palatino Linotype" w:cs="Palatino Linotype"/>
          <w:b/>
          <w:sz w:val="22"/>
          <w:szCs w:val="22"/>
        </w:rPr>
        <w:t xml:space="preserve"> </w:t>
      </w:r>
      <w:r w:rsidRPr="000E5111">
        <w:rPr>
          <w:rFonts w:ascii="Palatino Linotype" w:eastAsia="Palatino Linotype" w:hAnsi="Palatino Linotype" w:cs="Palatino Linotype"/>
          <w:sz w:val="22"/>
          <w:szCs w:val="22"/>
        </w:rPr>
        <w:t>mediante el cual refiere que una vez realizada la búsqueda exhaustiva y razonable de la información</w:t>
      </w:r>
      <w:r w:rsidRPr="000E5111">
        <w:rPr>
          <w:rFonts w:ascii="Palatino Linotype" w:eastAsia="Palatino Linotype" w:hAnsi="Palatino Linotype" w:cs="Palatino Linotype"/>
          <w:b/>
          <w:sz w:val="22"/>
          <w:szCs w:val="22"/>
        </w:rPr>
        <w:t xml:space="preserve"> </w:t>
      </w:r>
      <w:r w:rsidR="00FF1AD9" w:rsidRPr="000E5111">
        <w:rPr>
          <w:rFonts w:ascii="Palatino Linotype" w:eastAsia="Palatino Linotype" w:hAnsi="Palatino Linotype" w:cs="Palatino Linotype"/>
          <w:b/>
          <w:sz w:val="22"/>
          <w:szCs w:val="22"/>
        </w:rPr>
        <w:t xml:space="preserve">no se encontró registro financiero, documental, contable o presupuestal que ampare la información solicitada. Asimismo, entregó dos direcciones electrónicas donde se localiza el </w:t>
      </w:r>
      <w:r w:rsidR="00FF1AD9" w:rsidRPr="000E5111">
        <w:rPr>
          <w:rFonts w:ascii="Palatino Linotype" w:eastAsia="Palatino Linotype" w:hAnsi="Palatino Linotype" w:cs="Palatino Linotype"/>
          <w:sz w:val="22"/>
          <w:szCs w:val="22"/>
        </w:rPr>
        <w:t>Estado Analítico del Ejercicio del Presupuesto de Egresos y la dirección electrónica del Órgano Superior de Fiscalización del Estado de México.</w:t>
      </w:r>
    </w:p>
    <w:p w14:paraId="49C89474" w14:textId="6A69681E" w:rsidR="00403AAA" w:rsidRPr="000E5111" w:rsidRDefault="00403AAA" w:rsidP="00403AAA">
      <w:pPr>
        <w:pStyle w:val="Prrafodelista"/>
        <w:widowControl w:val="0"/>
        <w:numPr>
          <w:ilvl w:val="0"/>
          <w:numId w:val="26"/>
        </w:numPr>
        <w:spacing w:line="360" w:lineRule="auto"/>
        <w:ind w:left="709"/>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NOTIF. CIUDADANo S. 3335.pdf</w:t>
      </w:r>
      <w:r w:rsidR="002B423B" w:rsidRPr="000E5111">
        <w:rPr>
          <w:rFonts w:ascii="Palatino Linotype" w:eastAsia="Palatino Linotype" w:hAnsi="Palatino Linotype" w:cs="Palatino Linotype"/>
          <w:b/>
          <w:sz w:val="22"/>
          <w:szCs w:val="22"/>
        </w:rPr>
        <w:t xml:space="preserve">: </w:t>
      </w:r>
      <w:r w:rsidR="002B423B" w:rsidRPr="000E5111">
        <w:rPr>
          <w:rFonts w:ascii="Palatino Linotype" w:eastAsia="Palatino Linotype" w:hAnsi="Palatino Linotype" w:cs="Palatino Linotype"/>
          <w:sz w:val="22"/>
          <w:szCs w:val="22"/>
        </w:rPr>
        <w:t>Oficios de la Dirección General de Administración y la Dirección de Recursos Humanos mediante el cual refiere que la información no se encuentra dentro de sus funciones.</w:t>
      </w:r>
      <w:r w:rsidR="002B423B" w:rsidRPr="000E5111">
        <w:rPr>
          <w:rFonts w:ascii="Palatino Linotype" w:eastAsia="Palatino Linotype" w:hAnsi="Palatino Linotype" w:cs="Palatino Linotype"/>
          <w:b/>
          <w:sz w:val="22"/>
          <w:szCs w:val="22"/>
        </w:rPr>
        <w:t xml:space="preserve"> </w:t>
      </w:r>
    </w:p>
    <w:p w14:paraId="2EF40740" w14:textId="75DA9732" w:rsidR="00403AAA" w:rsidRPr="000E5111" w:rsidRDefault="00403AAA" w:rsidP="00403AAA">
      <w:pPr>
        <w:pStyle w:val="Prrafodelista"/>
        <w:widowControl w:val="0"/>
        <w:numPr>
          <w:ilvl w:val="0"/>
          <w:numId w:val="26"/>
        </w:numPr>
        <w:spacing w:line="360" w:lineRule="auto"/>
        <w:ind w:left="709"/>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SA anexo SAIMEX 3335.pdf</w:t>
      </w:r>
      <w:r w:rsidR="002B423B" w:rsidRPr="000E5111">
        <w:rPr>
          <w:rFonts w:ascii="Palatino Linotype" w:eastAsia="Palatino Linotype" w:hAnsi="Palatino Linotype" w:cs="Palatino Linotype"/>
          <w:b/>
          <w:sz w:val="22"/>
          <w:szCs w:val="22"/>
        </w:rPr>
        <w:t>: Documento sin número de oficio ni membrete mediante el cual se proporciona la siguiente información:</w:t>
      </w:r>
    </w:p>
    <w:p w14:paraId="5DE7462F" w14:textId="77777777" w:rsidR="002B423B" w:rsidRPr="000E5111" w:rsidRDefault="002B423B" w:rsidP="002B423B">
      <w:pPr>
        <w:pStyle w:val="Prrafodelista"/>
        <w:widowControl w:val="0"/>
        <w:spacing w:line="360" w:lineRule="auto"/>
        <w:ind w:left="709"/>
        <w:jc w:val="both"/>
        <w:rPr>
          <w:rFonts w:ascii="Palatino Linotype" w:eastAsia="Palatino Linotype" w:hAnsi="Palatino Linotype" w:cs="Palatino Linotype"/>
          <w:b/>
          <w:sz w:val="22"/>
          <w:szCs w:val="22"/>
        </w:rPr>
      </w:pPr>
    </w:p>
    <w:p w14:paraId="0C7C5E02" w14:textId="5ED1EDC2" w:rsidR="002B423B" w:rsidRPr="000E5111" w:rsidRDefault="002B423B" w:rsidP="002B423B">
      <w:pPr>
        <w:pStyle w:val="Prrafodelista"/>
        <w:widowControl w:val="0"/>
        <w:spacing w:line="360" w:lineRule="auto"/>
        <w:ind w:left="709"/>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noProof/>
          <w:sz w:val="22"/>
          <w:szCs w:val="22"/>
        </w:rPr>
        <w:drawing>
          <wp:inline distT="0" distB="0" distL="0" distR="0" wp14:anchorId="369B1EDE" wp14:editId="77FC07A2">
            <wp:extent cx="5753903" cy="554432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3903" cy="5544324"/>
                    </a:xfrm>
                    <a:prstGeom prst="rect">
                      <a:avLst/>
                    </a:prstGeom>
                  </pic:spPr>
                </pic:pic>
              </a:graphicData>
            </a:graphic>
          </wp:inline>
        </w:drawing>
      </w:r>
    </w:p>
    <w:p w14:paraId="62C6F0C6" w14:textId="767772FB" w:rsidR="00403AAA" w:rsidRPr="000E5111" w:rsidRDefault="00403AAA" w:rsidP="00403AAA">
      <w:pPr>
        <w:pStyle w:val="Prrafodelista"/>
        <w:widowControl w:val="0"/>
        <w:numPr>
          <w:ilvl w:val="0"/>
          <w:numId w:val="26"/>
        </w:numPr>
        <w:spacing w:line="360" w:lineRule="auto"/>
        <w:ind w:left="709"/>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Sol-3337.pdf</w:t>
      </w:r>
      <w:r w:rsidR="002B423B" w:rsidRPr="000E5111">
        <w:rPr>
          <w:rFonts w:ascii="Palatino Linotype" w:eastAsia="Palatino Linotype" w:hAnsi="Palatino Linotype" w:cs="Palatino Linotype"/>
          <w:b/>
          <w:sz w:val="22"/>
          <w:szCs w:val="22"/>
        </w:rPr>
        <w:t xml:space="preserve">: </w:t>
      </w:r>
      <w:r w:rsidR="002B423B" w:rsidRPr="000E5111">
        <w:rPr>
          <w:rFonts w:ascii="Palatino Linotype" w:eastAsia="Palatino Linotype" w:hAnsi="Palatino Linotype" w:cs="Palatino Linotype"/>
          <w:sz w:val="22"/>
          <w:szCs w:val="22"/>
        </w:rPr>
        <w:t>Oficio suscrito por la Coordinadora Jurídica</w:t>
      </w:r>
      <w:r w:rsidR="002B423B" w:rsidRPr="000E5111">
        <w:rPr>
          <w:rFonts w:ascii="Palatino Linotype" w:eastAsia="Palatino Linotype" w:hAnsi="Palatino Linotype" w:cs="Palatino Linotype"/>
          <w:b/>
          <w:sz w:val="22"/>
          <w:szCs w:val="22"/>
        </w:rPr>
        <w:t xml:space="preserve"> </w:t>
      </w:r>
      <w:r w:rsidR="002B423B" w:rsidRPr="000E5111">
        <w:rPr>
          <w:rFonts w:ascii="Palatino Linotype" w:eastAsia="Palatino Linotype" w:hAnsi="Palatino Linotype" w:cs="Palatino Linotype"/>
          <w:sz w:val="22"/>
          <w:szCs w:val="22"/>
        </w:rPr>
        <w:t xml:space="preserve">mediante el cual refiere que anexa la información requerida. </w:t>
      </w:r>
    </w:p>
    <w:p w14:paraId="050FC38F" w14:textId="50EDB4B1" w:rsidR="00403AAA" w:rsidRPr="000E5111" w:rsidRDefault="00403AAA" w:rsidP="00403AAA">
      <w:pPr>
        <w:pStyle w:val="Prrafodelista"/>
        <w:widowControl w:val="0"/>
        <w:numPr>
          <w:ilvl w:val="0"/>
          <w:numId w:val="26"/>
        </w:numPr>
        <w:spacing w:line="360" w:lineRule="auto"/>
        <w:ind w:left="709"/>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sol-3335.pdf</w:t>
      </w:r>
      <w:r w:rsidR="002B423B" w:rsidRPr="000E5111">
        <w:rPr>
          <w:rFonts w:ascii="Palatino Linotype" w:eastAsia="Palatino Linotype" w:hAnsi="Palatino Linotype" w:cs="Palatino Linotype"/>
          <w:b/>
          <w:sz w:val="22"/>
          <w:szCs w:val="22"/>
        </w:rPr>
        <w:t xml:space="preserve">: </w:t>
      </w:r>
      <w:r w:rsidR="002B423B" w:rsidRPr="000E5111">
        <w:rPr>
          <w:rFonts w:ascii="Palatino Linotype" w:eastAsia="Palatino Linotype" w:hAnsi="Palatino Linotype" w:cs="Palatino Linotype"/>
          <w:sz w:val="22"/>
          <w:szCs w:val="22"/>
        </w:rPr>
        <w:t>Oficio suscrito por el Servidor Público Habilitado de la Consejería Jurídica</w:t>
      </w:r>
      <w:r w:rsidR="002B423B" w:rsidRPr="000E5111">
        <w:rPr>
          <w:rFonts w:ascii="Palatino Linotype" w:eastAsia="Palatino Linotype" w:hAnsi="Palatino Linotype" w:cs="Palatino Linotype"/>
          <w:b/>
          <w:sz w:val="22"/>
          <w:szCs w:val="22"/>
        </w:rPr>
        <w:t xml:space="preserve"> </w:t>
      </w:r>
      <w:r w:rsidR="00A06A0C" w:rsidRPr="000E5111">
        <w:rPr>
          <w:rFonts w:ascii="Palatino Linotype" w:eastAsia="Palatino Linotype" w:hAnsi="Palatino Linotype" w:cs="Palatino Linotype"/>
          <w:b/>
          <w:sz w:val="22"/>
          <w:szCs w:val="22"/>
        </w:rPr>
        <w:t>mediante el cual refiere que los pagos de laudos, finiquitos o convenios ya que son atribuciones de la Tesorería Municipal.</w:t>
      </w:r>
    </w:p>
    <w:p w14:paraId="20E01210" w14:textId="7D84C9C1" w:rsidR="00403AAA" w:rsidRPr="000E5111" w:rsidRDefault="00403AAA" w:rsidP="00403AAA">
      <w:pPr>
        <w:pStyle w:val="Prrafodelista"/>
        <w:widowControl w:val="0"/>
        <w:numPr>
          <w:ilvl w:val="0"/>
          <w:numId w:val="26"/>
        </w:numPr>
        <w:spacing w:line="360" w:lineRule="auto"/>
        <w:ind w:left="709"/>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R.03335.2025.pdf</w:t>
      </w:r>
      <w:r w:rsidR="00A06A0C" w:rsidRPr="000E5111">
        <w:rPr>
          <w:rFonts w:ascii="Palatino Linotype" w:eastAsia="Palatino Linotype" w:hAnsi="Palatino Linotype" w:cs="Palatino Linotype"/>
          <w:b/>
          <w:sz w:val="22"/>
          <w:szCs w:val="22"/>
        </w:rPr>
        <w:t xml:space="preserve">: </w:t>
      </w:r>
      <w:r w:rsidR="00A06A0C" w:rsidRPr="000E5111">
        <w:rPr>
          <w:rFonts w:ascii="Palatino Linotype" w:eastAsia="Palatino Linotype" w:hAnsi="Palatino Linotype" w:cs="Palatino Linotype"/>
          <w:sz w:val="22"/>
          <w:szCs w:val="22"/>
        </w:rPr>
        <w:t>Oficio signado por el Titular de la Unida de Transparencia mediante el cual refiere que proporciona la respuesta de las unidades administrativas.</w:t>
      </w:r>
    </w:p>
    <w:p w14:paraId="73557A01" w14:textId="77777777" w:rsidR="00D42C47" w:rsidRPr="000E5111" w:rsidRDefault="00D42C47">
      <w:pPr>
        <w:widowControl w:val="0"/>
        <w:spacing w:line="360" w:lineRule="auto"/>
        <w:jc w:val="both"/>
        <w:rPr>
          <w:rFonts w:ascii="Palatino Linotype" w:eastAsia="Palatino Linotype" w:hAnsi="Palatino Linotype" w:cs="Palatino Linotype"/>
          <w:sz w:val="22"/>
          <w:szCs w:val="22"/>
        </w:rPr>
      </w:pPr>
    </w:p>
    <w:p w14:paraId="4DA0D391" w14:textId="1E68CC36" w:rsidR="00C877F6" w:rsidRPr="000E5111" w:rsidRDefault="00D75F7C">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4</w:t>
      </w:r>
      <w:r w:rsidR="00F36565" w:rsidRPr="000E5111">
        <w:rPr>
          <w:rFonts w:ascii="Palatino Linotype" w:eastAsia="Palatino Linotype" w:hAnsi="Palatino Linotype" w:cs="Palatino Linotype"/>
          <w:b/>
          <w:sz w:val="22"/>
          <w:szCs w:val="22"/>
        </w:rPr>
        <w:t xml:space="preserve">. Del Recurso de Revisión. </w:t>
      </w:r>
      <w:r w:rsidR="00F36565" w:rsidRPr="000E5111">
        <w:rPr>
          <w:rFonts w:ascii="Palatino Linotype" w:eastAsia="Palatino Linotype" w:hAnsi="Palatino Linotype" w:cs="Palatino Linotype"/>
          <w:sz w:val="22"/>
          <w:szCs w:val="22"/>
        </w:rPr>
        <w:t>Inconforme con la respuesta del</w:t>
      </w:r>
      <w:r w:rsidR="00F36565" w:rsidRPr="000E5111">
        <w:rPr>
          <w:rFonts w:ascii="Palatino Linotype" w:eastAsia="Palatino Linotype" w:hAnsi="Palatino Linotype" w:cs="Palatino Linotype"/>
          <w:b/>
          <w:sz w:val="22"/>
          <w:szCs w:val="22"/>
        </w:rPr>
        <w:t xml:space="preserve"> SUJETO OBLIGADO, </w:t>
      </w:r>
      <w:r w:rsidR="00F36565" w:rsidRPr="000E5111">
        <w:rPr>
          <w:rFonts w:ascii="Palatino Linotype" w:eastAsia="Palatino Linotype" w:hAnsi="Palatino Linotype" w:cs="Palatino Linotype"/>
          <w:sz w:val="22"/>
          <w:szCs w:val="22"/>
        </w:rPr>
        <w:t xml:space="preserve">el </w:t>
      </w:r>
      <w:r w:rsidR="00A06A0C" w:rsidRPr="000E5111">
        <w:rPr>
          <w:rFonts w:ascii="Palatino Linotype" w:eastAsia="Palatino Linotype" w:hAnsi="Palatino Linotype" w:cs="Palatino Linotype"/>
          <w:b/>
          <w:sz w:val="22"/>
          <w:szCs w:val="22"/>
        </w:rPr>
        <w:t>uno</w:t>
      </w:r>
      <w:r w:rsidR="005B4F46" w:rsidRPr="000E5111">
        <w:rPr>
          <w:rFonts w:ascii="Palatino Linotype" w:eastAsia="Palatino Linotype" w:hAnsi="Palatino Linotype" w:cs="Palatino Linotype"/>
          <w:b/>
          <w:sz w:val="22"/>
          <w:szCs w:val="22"/>
        </w:rPr>
        <w:t xml:space="preserve"> </w:t>
      </w:r>
      <w:r w:rsidR="00F36565" w:rsidRPr="000E5111">
        <w:rPr>
          <w:rFonts w:ascii="Palatino Linotype" w:eastAsia="Palatino Linotype" w:hAnsi="Palatino Linotype" w:cs="Palatino Linotype"/>
          <w:sz w:val="22"/>
          <w:szCs w:val="22"/>
        </w:rPr>
        <w:t>d</w:t>
      </w:r>
      <w:r w:rsidR="00F36565" w:rsidRPr="000E5111">
        <w:rPr>
          <w:rFonts w:ascii="Palatino Linotype" w:eastAsia="Palatino Linotype" w:hAnsi="Palatino Linotype" w:cs="Palatino Linotype"/>
          <w:b/>
          <w:sz w:val="22"/>
          <w:szCs w:val="22"/>
        </w:rPr>
        <w:t xml:space="preserve">e </w:t>
      </w:r>
      <w:r w:rsidR="00A06A0C" w:rsidRPr="000E5111">
        <w:rPr>
          <w:rFonts w:ascii="Palatino Linotype" w:eastAsia="Palatino Linotype" w:hAnsi="Palatino Linotype" w:cs="Palatino Linotype"/>
          <w:b/>
          <w:sz w:val="22"/>
          <w:szCs w:val="22"/>
        </w:rPr>
        <w:t>agosto</w:t>
      </w:r>
      <w:r w:rsidR="00F36565" w:rsidRPr="000E5111">
        <w:rPr>
          <w:rFonts w:ascii="Palatino Linotype" w:eastAsia="Palatino Linotype" w:hAnsi="Palatino Linotype" w:cs="Palatino Linotype"/>
          <w:b/>
          <w:sz w:val="22"/>
          <w:szCs w:val="22"/>
        </w:rPr>
        <w:t xml:space="preserve"> de dos mil veinticinco, LA PARTE RECURRENTE </w:t>
      </w:r>
      <w:r w:rsidR="00F36565" w:rsidRPr="000E5111">
        <w:rPr>
          <w:rFonts w:ascii="Palatino Linotype" w:eastAsia="Palatino Linotype" w:hAnsi="Palatino Linotype" w:cs="Palatino Linotype"/>
          <w:sz w:val="22"/>
          <w:szCs w:val="22"/>
        </w:rPr>
        <w:t>interpuso el recurso de revisión</w:t>
      </w:r>
      <w:r w:rsidR="00A06A0C" w:rsidRPr="000E5111">
        <w:rPr>
          <w:rFonts w:ascii="Palatino Linotype" w:eastAsia="Palatino Linotype" w:hAnsi="Palatino Linotype" w:cs="Palatino Linotype"/>
          <w:sz w:val="22"/>
          <w:szCs w:val="22"/>
        </w:rPr>
        <w:t xml:space="preserve">; sin embargo, al ser día inhábil, se tuvo por presentado el cuatro de agosto de dos mil veinticinco, </w:t>
      </w:r>
      <w:r w:rsidR="00F36565" w:rsidRPr="000E5111">
        <w:rPr>
          <w:rFonts w:ascii="Palatino Linotype" w:eastAsia="Palatino Linotype" w:hAnsi="Palatino Linotype" w:cs="Palatino Linotype"/>
          <w:sz w:val="22"/>
          <w:szCs w:val="22"/>
        </w:rPr>
        <w:t xml:space="preserve">mediante el cual y manifestó lo siguiente: </w:t>
      </w:r>
    </w:p>
    <w:p w14:paraId="36671519" w14:textId="34B3B821" w:rsidR="00C877F6" w:rsidRPr="000E5111" w:rsidRDefault="00F36565" w:rsidP="00A06A0C">
      <w:pPr>
        <w:pStyle w:val="Listaconvietas3"/>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Acto Impugnado:</w:t>
      </w:r>
      <w:r w:rsidRPr="000E5111">
        <w:rPr>
          <w:rFonts w:ascii="Palatino Linotype" w:eastAsia="Palatino Linotype" w:hAnsi="Palatino Linotype" w:cs="Palatino Linotype"/>
          <w:i/>
          <w:sz w:val="22"/>
          <w:szCs w:val="22"/>
        </w:rPr>
        <w:t xml:space="preserve"> “</w:t>
      </w:r>
      <w:r w:rsidR="00A06A0C" w:rsidRPr="000E5111">
        <w:rPr>
          <w:rFonts w:ascii="Palatino Linotype" w:eastAsia="Palatino Linotype" w:hAnsi="Palatino Linotype" w:cs="Palatino Linotype"/>
          <w:i/>
          <w:sz w:val="22"/>
          <w:szCs w:val="22"/>
        </w:rPr>
        <w:t>LA INFORMACIÓN NO ES LA SOLICITADA EL PRESIDENTE AUNCIO ESTO EN MEDIOS DE COMUNICACIÓN Y LO NIEGA EL SUJETO OBLIGADO TENEMOS DERECHO A SABER COMO Y A QUEIN SE LE PAGO O SU DESPACHO CORRUPTO DE ALMA MERINO LES DIJO COMO SIEMPRE NO LO ENTREGUEN NO PASA NADA Y ESE ESTADO ANALITICO NO ES DE PAGO DE LAUDOS</w:t>
      </w:r>
      <w:r w:rsidRPr="000E5111">
        <w:rPr>
          <w:rFonts w:ascii="Palatino Linotype" w:eastAsia="Palatino Linotype" w:hAnsi="Palatino Linotype" w:cs="Palatino Linotype"/>
          <w:i/>
          <w:sz w:val="22"/>
          <w:szCs w:val="22"/>
        </w:rPr>
        <w:t>” (Sic.)</w:t>
      </w:r>
    </w:p>
    <w:p w14:paraId="2BA13102" w14:textId="77777777" w:rsidR="00C877F6" w:rsidRPr="000E5111" w:rsidRDefault="00C877F6" w:rsidP="00A06A0C">
      <w:pPr>
        <w:pBdr>
          <w:top w:val="nil"/>
          <w:left w:val="nil"/>
          <w:bottom w:val="nil"/>
          <w:right w:val="nil"/>
          <w:between w:val="nil"/>
        </w:pBdr>
        <w:spacing w:line="276" w:lineRule="auto"/>
        <w:ind w:left="720" w:right="560"/>
        <w:jc w:val="both"/>
        <w:rPr>
          <w:rFonts w:ascii="Palatino Linotype" w:eastAsia="Palatino Linotype" w:hAnsi="Palatino Linotype" w:cs="Palatino Linotype"/>
          <w:i/>
          <w:sz w:val="22"/>
          <w:szCs w:val="22"/>
        </w:rPr>
      </w:pPr>
    </w:p>
    <w:p w14:paraId="61E1D3CB" w14:textId="110EB577" w:rsidR="00C877F6" w:rsidRPr="000E5111" w:rsidRDefault="00F36565" w:rsidP="00A06A0C">
      <w:pPr>
        <w:pStyle w:val="Listaconvietas3"/>
        <w:jc w:val="both"/>
        <w:rPr>
          <w:rFonts w:eastAsia="Palatino Linotype"/>
        </w:rPr>
      </w:pPr>
      <w:r w:rsidRPr="000E5111">
        <w:rPr>
          <w:rFonts w:eastAsia="Palatino Linotype"/>
          <w:b/>
        </w:rPr>
        <w:t>Motivo de inconformidad:</w:t>
      </w:r>
      <w:r w:rsidRPr="000E5111">
        <w:rPr>
          <w:rFonts w:eastAsia="Palatino Linotype"/>
        </w:rPr>
        <w:t xml:space="preserve"> “</w:t>
      </w:r>
      <w:r w:rsidR="00A06A0C" w:rsidRPr="000E5111">
        <w:rPr>
          <w:rFonts w:ascii="Palatino Linotype" w:eastAsia="Palatino Linotype" w:hAnsi="Palatino Linotype" w:cs="Palatino Linotype"/>
          <w:i/>
          <w:sz w:val="22"/>
          <w:szCs w:val="22"/>
        </w:rPr>
        <w:t>O ENTREGARON LA INFORMACION SOLCIITA Y CLARA A LA CUAL TENEMOS DERECO DE COOCER Y QUE SU PRESIDENTE LA ANUNCIO</w:t>
      </w:r>
      <w:r w:rsidRPr="000E5111">
        <w:rPr>
          <w:rFonts w:eastAsia="Palatino Linotype"/>
        </w:rPr>
        <w:t>” (Sic.)</w:t>
      </w:r>
    </w:p>
    <w:p w14:paraId="5FFC28A4" w14:textId="77777777" w:rsidR="00422637" w:rsidRPr="000E5111" w:rsidRDefault="00422637" w:rsidP="00422637">
      <w:pPr>
        <w:pStyle w:val="Prrafodelista"/>
        <w:rPr>
          <w:rFonts w:ascii="Palatino Linotype" w:eastAsia="Palatino Linotype" w:hAnsi="Palatino Linotype" w:cs="Palatino Linotype"/>
          <w:i/>
          <w:sz w:val="22"/>
          <w:szCs w:val="22"/>
        </w:rPr>
      </w:pPr>
    </w:p>
    <w:p w14:paraId="2F870A2F" w14:textId="77777777" w:rsidR="00C877F6" w:rsidRPr="000E5111" w:rsidRDefault="00C877F6" w:rsidP="00422637">
      <w:pPr>
        <w:pBdr>
          <w:top w:val="nil"/>
          <w:left w:val="nil"/>
          <w:bottom w:val="nil"/>
          <w:right w:val="nil"/>
          <w:between w:val="nil"/>
        </w:pBdr>
        <w:ind w:left="720"/>
        <w:rPr>
          <w:rFonts w:ascii="Palatino Linotype" w:eastAsia="Palatino Linotype" w:hAnsi="Palatino Linotype" w:cs="Palatino Linotype"/>
          <w:i/>
          <w:sz w:val="22"/>
          <w:szCs w:val="22"/>
        </w:rPr>
      </w:pPr>
    </w:p>
    <w:p w14:paraId="6A9E7514" w14:textId="7C480281" w:rsidR="00C877F6" w:rsidRPr="000E5111" w:rsidRDefault="00D75F7C">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5</w:t>
      </w:r>
      <w:r w:rsidR="00F36565" w:rsidRPr="000E5111">
        <w:rPr>
          <w:rFonts w:ascii="Palatino Linotype" w:eastAsia="Palatino Linotype" w:hAnsi="Palatino Linotype" w:cs="Palatino Linotype"/>
          <w:b/>
          <w:sz w:val="22"/>
          <w:szCs w:val="22"/>
        </w:rPr>
        <w:t xml:space="preserve">. Turno. </w:t>
      </w:r>
      <w:r w:rsidR="00F36565" w:rsidRPr="000E5111">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00E67408" w:rsidRPr="000E5111">
        <w:rPr>
          <w:rFonts w:ascii="Palatino Linotype" w:eastAsia="Palatino Linotype" w:hAnsi="Palatino Linotype" w:cs="Palatino Linotype"/>
          <w:b/>
          <w:sz w:val="22"/>
          <w:szCs w:val="22"/>
        </w:rPr>
        <w:t>09119/INFOEM/IP/RR/2025</w:t>
      </w:r>
      <w:r w:rsidR="00F36565" w:rsidRPr="000E5111">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Comisionada </w:t>
      </w:r>
      <w:r w:rsidR="00F36565" w:rsidRPr="000E5111">
        <w:rPr>
          <w:rFonts w:ascii="Palatino Linotype" w:eastAsia="Palatino Linotype" w:hAnsi="Palatino Linotype" w:cs="Palatino Linotype"/>
          <w:b/>
          <w:sz w:val="22"/>
          <w:szCs w:val="22"/>
        </w:rPr>
        <w:t>Guadalupe Ramírez Peña</w:t>
      </w:r>
      <w:r w:rsidR="00F36565" w:rsidRPr="000E5111">
        <w:rPr>
          <w:rFonts w:ascii="Palatino Linotype" w:eastAsia="Palatino Linotype" w:hAnsi="Palatino Linotype" w:cs="Palatino Linotype"/>
          <w:sz w:val="22"/>
          <w:szCs w:val="22"/>
        </w:rPr>
        <w:t>, para su análisis, estudio, elaboración del proyecto y presentación ante el Pleno de este Instituto.</w:t>
      </w:r>
    </w:p>
    <w:p w14:paraId="5BFE6F75" w14:textId="77777777" w:rsidR="00C877F6" w:rsidRPr="000E5111" w:rsidRDefault="00C877F6">
      <w:pPr>
        <w:spacing w:line="360" w:lineRule="auto"/>
        <w:jc w:val="both"/>
        <w:rPr>
          <w:rFonts w:ascii="Palatino Linotype" w:eastAsia="Palatino Linotype" w:hAnsi="Palatino Linotype" w:cs="Palatino Linotype"/>
          <w:sz w:val="22"/>
          <w:szCs w:val="22"/>
        </w:rPr>
      </w:pPr>
    </w:p>
    <w:p w14:paraId="4B06CA9F" w14:textId="00303CC0" w:rsidR="00C877F6" w:rsidRPr="000E5111" w:rsidRDefault="00D75F7C">
      <w:pPr>
        <w:spacing w:line="360" w:lineRule="auto"/>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6</w:t>
      </w:r>
      <w:r w:rsidR="00F36565" w:rsidRPr="000E5111">
        <w:rPr>
          <w:rFonts w:ascii="Palatino Linotype" w:eastAsia="Palatino Linotype" w:hAnsi="Palatino Linotype" w:cs="Palatino Linotype"/>
          <w:b/>
          <w:sz w:val="22"/>
          <w:szCs w:val="22"/>
        </w:rPr>
        <w:t xml:space="preserve">. Admisión. </w:t>
      </w:r>
      <w:r w:rsidR="00F36565" w:rsidRPr="000E5111">
        <w:rPr>
          <w:rFonts w:ascii="Palatino Linotype" w:eastAsia="Palatino Linotype" w:hAnsi="Palatino Linotype" w:cs="Palatino Linotype"/>
          <w:sz w:val="22"/>
          <w:szCs w:val="22"/>
        </w:rPr>
        <w:t xml:space="preserve">El </w:t>
      </w:r>
      <w:r w:rsidR="00A06A0C" w:rsidRPr="000E5111">
        <w:rPr>
          <w:rFonts w:ascii="Palatino Linotype" w:eastAsia="Palatino Linotype" w:hAnsi="Palatino Linotype" w:cs="Palatino Linotype"/>
          <w:b/>
          <w:sz w:val="22"/>
          <w:szCs w:val="22"/>
        </w:rPr>
        <w:t>ocho</w:t>
      </w:r>
      <w:r w:rsidR="005A4875" w:rsidRPr="000E5111">
        <w:rPr>
          <w:rFonts w:ascii="Palatino Linotype" w:eastAsia="Palatino Linotype" w:hAnsi="Palatino Linotype" w:cs="Palatino Linotype"/>
          <w:b/>
          <w:sz w:val="22"/>
          <w:szCs w:val="22"/>
        </w:rPr>
        <w:t xml:space="preserve"> de </w:t>
      </w:r>
      <w:r w:rsidR="00A06A0C" w:rsidRPr="000E5111">
        <w:rPr>
          <w:rFonts w:ascii="Palatino Linotype" w:eastAsia="Palatino Linotype" w:hAnsi="Palatino Linotype" w:cs="Palatino Linotype"/>
          <w:b/>
          <w:sz w:val="22"/>
          <w:szCs w:val="22"/>
        </w:rPr>
        <w:t>agosto</w:t>
      </w:r>
      <w:r w:rsidR="00F36565" w:rsidRPr="000E5111">
        <w:rPr>
          <w:rFonts w:ascii="Palatino Linotype" w:eastAsia="Palatino Linotype" w:hAnsi="Palatino Linotype" w:cs="Palatino Linotype"/>
          <w:b/>
          <w:sz w:val="22"/>
          <w:szCs w:val="22"/>
        </w:rPr>
        <w:t xml:space="preserve"> de dos mil veinticinco</w:t>
      </w:r>
      <w:r w:rsidR="00F36565" w:rsidRPr="000E5111">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w:t>
      </w:r>
      <w:r w:rsidR="00F36565" w:rsidRPr="000E5111">
        <w:rPr>
          <w:rFonts w:ascii="Palatino Linotype" w:eastAsia="Palatino Linotype" w:hAnsi="Palatino Linotype" w:cs="Palatino Linotype"/>
          <w:b/>
          <w:sz w:val="22"/>
          <w:szCs w:val="22"/>
        </w:rPr>
        <w:t>.</w:t>
      </w:r>
      <w:r w:rsidR="005A668A" w:rsidRPr="000E5111">
        <w:rPr>
          <w:rFonts w:ascii="Palatino Linotype" w:eastAsia="Palatino Linotype" w:hAnsi="Palatino Linotype" w:cs="Palatino Linotype"/>
          <w:b/>
          <w:sz w:val="22"/>
          <w:szCs w:val="22"/>
        </w:rPr>
        <w:t xml:space="preserve"> </w:t>
      </w:r>
    </w:p>
    <w:p w14:paraId="5E981DE9" w14:textId="77777777" w:rsidR="00C877F6" w:rsidRPr="000E5111" w:rsidRDefault="00C877F6">
      <w:pPr>
        <w:spacing w:line="360" w:lineRule="auto"/>
        <w:jc w:val="both"/>
        <w:rPr>
          <w:rFonts w:ascii="Palatino Linotype" w:eastAsia="Palatino Linotype" w:hAnsi="Palatino Linotype" w:cs="Palatino Linotype"/>
          <w:b/>
          <w:sz w:val="22"/>
          <w:szCs w:val="22"/>
        </w:rPr>
      </w:pPr>
    </w:p>
    <w:p w14:paraId="58BDC998" w14:textId="1B037E4A" w:rsidR="007861D5" w:rsidRPr="000E5111" w:rsidRDefault="00D75F7C">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7</w:t>
      </w:r>
      <w:r w:rsidR="00F36565" w:rsidRPr="000E5111">
        <w:rPr>
          <w:rFonts w:ascii="Palatino Linotype" w:eastAsia="Palatino Linotype" w:hAnsi="Palatino Linotype" w:cs="Palatino Linotype"/>
          <w:b/>
          <w:sz w:val="22"/>
          <w:szCs w:val="22"/>
        </w:rPr>
        <w:t>. Manifestaciones.</w:t>
      </w:r>
      <w:r w:rsidR="00F36565" w:rsidRPr="000E5111">
        <w:rPr>
          <w:rFonts w:ascii="Palatino Linotype" w:eastAsia="Palatino Linotype" w:hAnsi="Palatino Linotype" w:cs="Palatino Linotype"/>
          <w:sz w:val="22"/>
          <w:szCs w:val="22"/>
        </w:rPr>
        <w:t xml:space="preserve"> De las constancias que obran en el expediente electrónico del SAIMEX, se advierte que el Sujeto Obligado rindió su informe justificado, el </w:t>
      </w:r>
      <w:r w:rsidR="00631C21" w:rsidRPr="000E5111">
        <w:rPr>
          <w:rFonts w:ascii="Palatino Linotype" w:eastAsia="Palatino Linotype" w:hAnsi="Palatino Linotype" w:cs="Palatino Linotype"/>
          <w:b/>
          <w:sz w:val="22"/>
          <w:szCs w:val="22"/>
        </w:rPr>
        <w:t>diecinueve y veintiuno</w:t>
      </w:r>
      <w:r w:rsidR="00631C21" w:rsidRPr="000E5111">
        <w:rPr>
          <w:rFonts w:ascii="Palatino Linotype" w:eastAsia="Palatino Linotype" w:hAnsi="Palatino Linotype" w:cs="Palatino Linotype"/>
          <w:sz w:val="22"/>
          <w:szCs w:val="22"/>
        </w:rPr>
        <w:t xml:space="preserve"> </w:t>
      </w:r>
      <w:r w:rsidR="00F94226" w:rsidRPr="000E5111">
        <w:rPr>
          <w:rFonts w:ascii="Palatino Linotype" w:eastAsia="Palatino Linotype" w:hAnsi="Palatino Linotype" w:cs="Palatino Linotype"/>
          <w:b/>
          <w:sz w:val="22"/>
          <w:szCs w:val="22"/>
        </w:rPr>
        <w:t xml:space="preserve">de </w:t>
      </w:r>
      <w:r w:rsidR="00631C21" w:rsidRPr="000E5111">
        <w:rPr>
          <w:rFonts w:ascii="Palatino Linotype" w:eastAsia="Palatino Linotype" w:hAnsi="Palatino Linotype" w:cs="Palatino Linotype"/>
          <w:b/>
          <w:sz w:val="22"/>
          <w:szCs w:val="22"/>
        </w:rPr>
        <w:t>agosto</w:t>
      </w:r>
      <w:r w:rsidR="007861D5" w:rsidRPr="000E5111">
        <w:rPr>
          <w:rFonts w:ascii="Palatino Linotype" w:eastAsia="Palatino Linotype" w:hAnsi="Palatino Linotype" w:cs="Palatino Linotype"/>
          <w:sz w:val="22"/>
          <w:szCs w:val="22"/>
        </w:rPr>
        <w:t xml:space="preserve"> </w:t>
      </w:r>
      <w:r w:rsidR="00E111DF" w:rsidRPr="000E5111">
        <w:rPr>
          <w:rFonts w:ascii="Palatino Linotype" w:eastAsia="Palatino Linotype" w:hAnsi="Palatino Linotype" w:cs="Palatino Linotype"/>
          <w:b/>
          <w:sz w:val="22"/>
          <w:szCs w:val="22"/>
        </w:rPr>
        <w:t>de</w:t>
      </w:r>
      <w:r w:rsidR="00F36565" w:rsidRPr="000E5111">
        <w:rPr>
          <w:rFonts w:ascii="Palatino Linotype" w:eastAsia="Palatino Linotype" w:hAnsi="Palatino Linotype" w:cs="Palatino Linotype"/>
          <w:b/>
          <w:sz w:val="22"/>
          <w:szCs w:val="22"/>
        </w:rPr>
        <w:t xml:space="preserve"> dos mil veinticinco,</w:t>
      </w:r>
      <w:r w:rsidR="00F36565" w:rsidRPr="000E5111">
        <w:rPr>
          <w:rFonts w:ascii="Palatino Linotype" w:eastAsia="Palatino Linotype" w:hAnsi="Palatino Linotype" w:cs="Palatino Linotype"/>
          <w:sz w:val="22"/>
          <w:szCs w:val="22"/>
        </w:rPr>
        <w:t xml:space="preserve"> a través de</w:t>
      </w:r>
      <w:r w:rsidR="00631C21" w:rsidRPr="000E5111">
        <w:rPr>
          <w:rFonts w:ascii="Palatino Linotype" w:eastAsia="Palatino Linotype" w:hAnsi="Palatino Linotype" w:cs="Palatino Linotype"/>
          <w:sz w:val="22"/>
          <w:szCs w:val="22"/>
        </w:rPr>
        <w:t xml:space="preserve"> </w:t>
      </w:r>
      <w:r w:rsidR="00F36565" w:rsidRPr="000E5111">
        <w:rPr>
          <w:rFonts w:ascii="Palatino Linotype" w:eastAsia="Palatino Linotype" w:hAnsi="Palatino Linotype" w:cs="Palatino Linotype"/>
          <w:sz w:val="22"/>
          <w:szCs w:val="22"/>
        </w:rPr>
        <w:t>l</w:t>
      </w:r>
      <w:r w:rsidR="00631C21" w:rsidRPr="000E5111">
        <w:rPr>
          <w:rFonts w:ascii="Palatino Linotype" w:eastAsia="Palatino Linotype" w:hAnsi="Palatino Linotype" w:cs="Palatino Linotype"/>
          <w:sz w:val="22"/>
          <w:szCs w:val="22"/>
        </w:rPr>
        <w:t>os</w:t>
      </w:r>
      <w:r w:rsidR="00F36565" w:rsidRPr="000E5111">
        <w:rPr>
          <w:rFonts w:ascii="Palatino Linotype" w:eastAsia="Palatino Linotype" w:hAnsi="Palatino Linotype" w:cs="Palatino Linotype"/>
          <w:sz w:val="22"/>
          <w:szCs w:val="22"/>
        </w:rPr>
        <w:t xml:space="preserve"> documento</w:t>
      </w:r>
      <w:r w:rsidR="00631C21" w:rsidRPr="000E5111">
        <w:rPr>
          <w:rFonts w:ascii="Palatino Linotype" w:eastAsia="Palatino Linotype" w:hAnsi="Palatino Linotype" w:cs="Palatino Linotype"/>
          <w:sz w:val="22"/>
          <w:szCs w:val="22"/>
        </w:rPr>
        <w:t>s</w:t>
      </w:r>
      <w:r w:rsidR="00F36565" w:rsidRPr="000E5111">
        <w:rPr>
          <w:rFonts w:ascii="Palatino Linotype" w:eastAsia="Palatino Linotype" w:hAnsi="Palatino Linotype" w:cs="Palatino Linotype"/>
          <w:sz w:val="22"/>
          <w:szCs w:val="22"/>
        </w:rPr>
        <w:t xml:space="preserve"> electrónico</w:t>
      </w:r>
      <w:r w:rsidR="00631C21" w:rsidRPr="000E5111">
        <w:rPr>
          <w:rFonts w:ascii="Palatino Linotype" w:eastAsia="Palatino Linotype" w:hAnsi="Palatino Linotype" w:cs="Palatino Linotype"/>
          <w:sz w:val="22"/>
          <w:szCs w:val="22"/>
        </w:rPr>
        <w:t>s</w:t>
      </w:r>
      <w:r w:rsidR="00F36565" w:rsidRPr="000E5111">
        <w:rPr>
          <w:rFonts w:ascii="Palatino Linotype" w:eastAsia="Palatino Linotype" w:hAnsi="Palatino Linotype" w:cs="Palatino Linotype"/>
          <w:sz w:val="22"/>
          <w:szCs w:val="22"/>
        </w:rPr>
        <w:t xml:space="preserve"> denominado</w:t>
      </w:r>
      <w:r w:rsidR="00631C21" w:rsidRPr="000E5111">
        <w:rPr>
          <w:rFonts w:ascii="Palatino Linotype" w:eastAsia="Palatino Linotype" w:hAnsi="Palatino Linotype" w:cs="Palatino Linotype"/>
          <w:sz w:val="22"/>
          <w:szCs w:val="22"/>
        </w:rPr>
        <w:t>s</w:t>
      </w:r>
      <w:r w:rsidR="007861D5" w:rsidRPr="000E5111">
        <w:rPr>
          <w:rFonts w:ascii="Palatino Linotype" w:eastAsia="Palatino Linotype" w:hAnsi="Palatino Linotype" w:cs="Palatino Linotype"/>
          <w:sz w:val="22"/>
          <w:szCs w:val="22"/>
        </w:rPr>
        <w:t xml:space="preserve"> </w:t>
      </w:r>
      <w:r w:rsidR="00631C21" w:rsidRPr="000E5111">
        <w:rPr>
          <w:rFonts w:ascii="Palatino Linotype" w:eastAsia="Palatino Linotype" w:hAnsi="Palatino Linotype" w:cs="Palatino Linotype"/>
          <w:b/>
          <w:sz w:val="22"/>
          <w:szCs w:val="22"/>
        </w:rPr>
        <w:t xml:space="preserve">Ratificacion 9119 2025.pdf; ANEXOS 9119-2025.pdf; y, ANEXOS 09119-2025_1.pdf, </w:t>
      </w:r>
      <w:r w:rsidR="007861D5" w:rsidRPr="000E5111">
        <w:rPr>
          <w:rFonts w:ascii="Palatino Linotype" w:eastAsia="Palatino Linotype" w:hAnsi="Palatino Linotype" w:cs="Palatino Linotype"/>
          <w:sz w:val="22"/>
          <w:szCs w:val="22"/>
        </w:rPr>
        <w:t>mediante el cual ratifica la respuesta inicial. E</w:t>
      </w:r>
      <w:r w:rsidR="00631C21" w:rsidRPr="000E5111">
        <w:rPr>
          <w:rFonts w:ascii="Palatino Linotype" w:eastAsia="Palatino Linotype" w:hAnsi="Palatino Linotype" w:cs="Palatino Linotype"/>
          <w:sz w:val="22"/>
          <w:szCs w:val="22"/>
        </w:rPr>
        <w:t>l</w:t>
      </w:r>
      <w:r w:rsidR="007861D5" w:rsidRPr="000E5111">
        <w:rPr>
          <w:rFonts w:ascii="Palatino Linotype" w:eastAsia="Palatino Linotype" w:hAnsi="Palatino Linotype" w:cs="Palatino Linotype"/>
          <w:sz w:val="22"/>
          <w:szCs w:val="22"/>
        </w:rPr>
        <w:t xml:space="preserve"> informe justificado se puso a</w:t>
      </w:r>
      <w:r w:rsidR="000F3A18" w:rsidRPr="000E5111">
        <w:rPr>
          <w:rFonts w:ascii="Palatino Linotype" w:eastAsia="Palatino Linotype" w:hAnsi="Palatino Linotype" w:cs="Palatino Linotype"/>
          <w:sz w:val="22"/>
          <w:szCs w:val="22"/>
        </w:rPr>
        <w:t xml:space="preserve"> disposición del Recurrente el </w:t>
      </w:r>
      <w:r w:rsidR="00631C21" w:rsidRPr="000E5111">
        <w:rPr>
          <w:rFonts w:ascii="Palatino Linotype" w:eastAsia="Palatino Linotype" w:hAnsi="Palatino Linotype" w:cs="Palatino Linotype"/>
          <w:b/>
          <w:sz w:val="22"/>
          <w:szCs w:val="22"/>
        </w:rPr>
        <w:t>veintic</w:t>
      </w:r>
      <w:r w:rsidRPr="000E5111">
        <w:rPr>
          <w:rFonts w:ascii="Palatino Linotype" w:eastAsia="Palatino Linotype" w:hAnsi="Palatino Linotype" w:cs="Palatino Linotype"/>
          <w:b/>
          <w:sz w:val="22"/>
          <w:szCs w:val="22"/>
        </w:rPr>
        <w:t>inco</w:t>
      </w:r>
      <w:r w:rsidR="007861D5" w:rsidRPr="000E5111">
        <w:rPr>
          <w:rFonts w:ascii="Palatino Linotype" w:eastAsia="Palatino Linotype" w:hAnsi="Palatino Linotype" w:cs="Palatino Linotype"/>
          <w:b/>
          <w:sz w:val="22"/>
          <w:szCs w:val="22"/>
        </w:rPr>
        <w:t xml:space="preserve"> de </w:t>
      </w:r>
      <w:r w:rsidR="00CA0CC9" w:rsidRPr="000E5111">
        <w:rPr>
          <w:rFonts w:ascii="Palatino Linotype" w:eastAsia="Palatino Linotype" w:hAnsi="Palatino Linotype" w:cs="Palatino Linotype"/>
          <w:b/>
          <w:sz w:val="22"/>
          <w:szCs w:val="22"/>
        </w:rPr>
        <w:t>febrero</w:t>
      </w:r>
      <w:r w:rsidR="007861D5" w:rsidRPr="000E5111">
        <w:rPr>
          <w:rFonts w:ascii="Palatino Linotype" w:eastAsia="Palatino Linotype" w:hAnsi="Palatino Linotype" w:cs="Palatino Linotype"/>
          <w:b/>
          <w:sz w:val="22"/>
          <w:szCs w:val="22"/>
        </w:rPr>
        <w:t xml:space="preserve"> de dos mil veintiséis.</w:t>
      </w:r>
      <w:r w:rsidR="007861D5" w:rsidRPr="000E5111">
        <w:rPr>
          <w:rFonts w:ascii="Palatino Linotype" w:eastAsia="Palatino Linotype" w:hAnsi="Palatino Linotype" w:cs="Palatino Linotype"/>
          <w:sz w:val="22"/>
          <w:szCs w:val="22"/>
        </w:rPr>
        <w:t xml:space="preserve"> </w:t>
      </w:r>
    </w:p>
    <w:p w14:paraId="2048994A" w14:textId="77777777" w:rsidR="008360A2" w:rsidRPr="000E5111" w:rsidRDefault="008360A2">
      <w:pPr>
        <w:spacing w:line="360" w:lineRule="auto"/>
        <w:jc w:val="both"/>
        <w:rPr>
          <w:rFonts w:ascii="Palatino Linotype" w:eastAsia="Palatino Linotype" w:hAnsi="Palatino Linotype" w:cs="Palatino Linotype"/>
          <w:sz w:val="22"/>
          <w:szCs w:val="22"/>
        </w:rPr>
      </w:pPr>
    </w:p>
    <w:p w14:paraId="16288D25" w14:textId="0FBEF544" w:rsidR="008360A2" w:rsidRPr="000E5111" w:rsidRDefault="00D75F7C" w:rsidP="008360A2">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8</w:t>
      </w:r>
      <w:r w:rsidR="008360A2" w:rsidRPr="000E5111">
        <w:rPr>
          <w:rFonts w:ascii="Palatino Linotype" w:eastAsia="Palatino Linotype" w:hAnsi="Palatino Linotype" w:cs="Palatino Linotype"/>
          <w:b/>
          <w:sz w:val="22"/>
          <w:szCs w:val="22"/>
        </w:rPr>
        <w:t xml:space="preserve">. Ampliación de plazo. El </w:t>
      </w:r>
      <w:r w:rsidR="009B4F38" w:rsidRPr="000E5111">
        <w:rPr>
          <w:rFonts w:ascii="Palatino Linotype" w:eastAsia="Palatino Linotype" w:hAnsi="Palatino Linotype" w:cs="Palatino Linotype"/>
          <w:b/>
          <w:sz w:val="22"/>
          <w:szCs w:val="22"/>
        </w:rPr>
        <w:t>veinticinco</w:t>
      </w:r>
      <w:r w:rsidR="008360A2" w:rsidRPr="000E5111">
        <w:rPr>
          <w:rFonts w:ascii="Palatino Linotype" w:eastAsia="Palatino Linotype" w:hAnsi="Palatino Linotype" w:cs="Palatino Linotype"/>
          <w:b/>
          <w:sz w:val="22"/>
          <w:szCs w:val="22"/>
        </w:rPr>
        <w:t xml:space="preserve"> de febrero de dos mil veintiséis</w:t>
      </w:r>
      <w:r w:rsidR="008360A2" w:rsidRPr="000E5111">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2CBB9434" w14:textId="77777777" w:rsidR="008360A2" w:rsidRPr="000E5111" w:rsidRDefault="008360A2" w:rsidP="008360A2">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33316339" w14:textId="77777777" w:rsidR="008360A2" w:rsidRPr="000E5111" w:rsidRDefault="008360A2" w:rsidP="008360A2">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08B8591D" w14:textId="77777777" w:rsidR="008360A2" w:rsidRPr="000E5111" w:rsidRDefault="008360A2" w:rsidP="008360A2">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233F6FBD" w14:textId="77777777" w:rsidR="008360A2" w:rsidRPr="000E5111" w:rsidRDefault="008360A2" w:rsidP="008360A2">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3AE5859" w14:textId="77777777" w:rsidR="008360A2" w:rsidRPr="000E5111" w:rsidRDefault="008360A2" w:rsidP="008360A2">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628036BE" w14:textId="77777777" w:rsidR="008360A2" w:rsidRPr="000E5111"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Complejidad del Asunto:</w:t>
      </w:r>
      <w:r w:rsidRPr="000E5111">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6BC10876" w14:textId="77777777" w:rsidR="008360A2" w:rsidRPr="000E5111"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Actividad Procesal del interesado</w:t>
      </w:r>
      <w:r w:rsidRPr="000E5111">
        <w:rPr>
          <w:rFonts w:ascii="Palatino Linotype" w:eastAsia="Palatino Linotype" w:hAnsi="Palatino Linotype" w:cs="Palatino Linotype"/>
          <w:sz w:val="22"/>
          <w:szCs w:val="22"/>
        </w:rPr>
        <w:t>. Acciones u omisiones del interesado.</w:t>
      </w:r>
    </w:p>
    <w:p w14:paraId="676E9738" w14:textId="77777777" w:rsidR="008360A2" w:rsidRPr="000E5111"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Conducta de la Autoridad:</w:t>
      </w:r>
      <w:r w:rsidRPr="000E5111">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18AC1F08" w14:textId="77777777" w:rsidR="008360A2" w:rsidRPr="000E5111"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La afectación generada en la situación jurídica de la persona involucrada en el proceso:</w:t>
      </w:r>
      <w:r w:rsidRPr="000E5111">
        <w:rPr>
          <w:rFonts w:ascii="Palatino Linotype" w:eastAsia="Palatino Linotype" w:hAnsi="Palatino Linotype" w:cs="Palatino Linotype"/>
          <w:sz w:val="22"/>
          <w:szCs w:val="22"/>
        </w:rPr>
        <w:t xml:space="preserve"> Violación a sus derechos humanos.</w:t>
      </w:r>
    </w:p>
    <w:p w14:paraId="1E2F27A9" w14:textId="77777777" w:rsidR="008360A2" w:rsidRPr="000E5111" w:rsidRDefault="008360A2" w:rsidP="008360A2">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2114940" w14:textId="77777777" w:rsidR="008360A2" w:rsidRPr="000E5111" w:rsidRDefault="008360A2" w:rsidP="008360A2">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0E5111">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0E5111">
        <w:rPr>
          <w:rFonts w:ascii="Palatino Linotype" w:eastAsia="Palatino Linotype" w:hAnsi="Palatino Linotype" w:cs="Palatino Linotype"/>
          <w:sz w:val="22"/>
          <w:szCs w:val="22"/>
        </w:rPr>
        <w:t>, visible en la Gaceta del Seminario Judicial de la Federación con el registro digital 205635.</w:t>
      </w:r>
    </w:p>
    <w:p w14:paraId="3C33E156" w14:textId="77777777" w:rsidR="008360A2" w:rsidRPr="000E5111" w:rsidRDefault="008360A2" w:rsidP="008360A2">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D5865DA" w14:textId="77777777" w:rsidR="008360A2" w:rsidRPr="000E5111" w:rsidRDefault="008360A2" w:rsidP="008360A2">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33482C38" w14:textId="77777777" w:rsidR="008360A2" w:rsidRPr="000E5111" w:rsidRDefault="008360A2" w:rsidP="008360A2">
      <w:pPr>
        <w:spacing w:before="240" w:after="240" w:line="360" w:lineRule="auto"/>
        <w:ind w:left="851" w:right="900"/>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 </w:t>
      </w:r>
      <w:r w:rsidRPr="000E5111">
        <w:rPr>
          <w:rFonts w:ascii="Palatino Linotype" w:eastAsia="Palatino Linotype" w:hAnsi="Palatino Linotype" w:cs="Palatino Linotype"/>
          <w:b/>
          <w:i/>
          <w:sz w:val="22"/>
          <w:szCs w:val="22"/>
        </w:rPr>
        <w:t>“PLAZO RAZONABLE PARA RESOLVER. DIMENSIÓN Y EFECTOS DE ESTE CONCEPTO CUANDO SE ADUCE EXCESIVA CARGA DE TRABAJO</w:t>
      </w:r>
      <w:r w:rsidRPr="000E5111">
        <w:rPr>
          <w:rFonts w:ascii="Palatino Linotype" w:eastAsia="Palatino Linotype" w:hAnsi="Palatino Linotype" w:cs="Palatino Linotype"/>
          <w:i/>
          <w:sz w:val="22"/>
          <w:szCs w:val="22"/>
        </w:rPr>
        <w:t>.”</w:t>
      </w:r>
      <w:r w:rsidRPr="000E5111">
        <w:rPr>
          <w:rFonts w:ascii="Palatino Linotype" w:eastAsia="Palatino Linotype" w:hAnsi="Palatino Linotype" w:cs="Palatino Linotype"/>
          <w:sz w:val="22"/>
          <w:szCs w:val="22"/>
        </w:rPr>
        <w:t xml:space="preserve"> consultable en el Seminario Judicial de la Federación y su gaceta, con el registro digital 2002351.</w:t>
      </w:r>
    </w:p>
    <w:p w14:paraId="72D539E1" w14:textId="77777777" w:rsidR="008360A2" w:rsidRPr="000E5111" w:rsidRDefault="008360A2" w:rsidP="008360A2">
      <w:pPr>
        <w:spacing w:before="240" w:after="240" w:line="360" w:lineRule="auto"/>
        <w:ind w:left="851" w:right="900"/>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0E5111">
        <w:rPr>
          <w:rFonts w:ascii="Palatino Linotype" w:eastAsia="Palatino Linotype" w:hAnsi="Palatino Linotype" w:cs="Palatino Linotype"/>
          <w:sz w:val="22"/>
          <w:szCs w:val="22"/>
        </w:rPr>
        <w:t>, visible en el Seminario Judicial de la Federación y su gaceta, con el registro digital 2002350.</w:t>
      </w:r>
    </w:p>
    <w:p w14:paraId="791A6F43" w14:textId="77777777" w:rsidR="008360A2" w:rsidRPr="000E5111" w:rsidRDefault="008360A2" w:rsidP="008360A2">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646D2EDF" w14:textId="65ECD8E0" w:rsidR="00C877F6" w:rsidRPr="000E5111" w:rsidRDefault="00D75F7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9</w:t>
      </w:r>
      <w:r w:rsidR="00F36565" w:rsidRPr="000E5111">
        <w:rPr>
          <w:rFonts w:ascii="Palatino Linotype" w:eastAsia="Palatino Linotype" w:hAnsi="Palatino Linotype" w:cs="Palatino Linotype"/>
          <w:b/>
          <w:sz w:val="22"/>
          <w:szCs w:val="22"/>
        </w:rPr>
        <w:t>. Cierre de instrucción</w:t>
      </w:r>
      <w:r w:rsidR="00F36565" w:rsidRPr="000E5111">
        <w:rPr>
          <w:rFonts w:ascii="Palatino Linotype" w:eastAsia="Palatino Linotype" w:hAnsi="Palatino Linotype" w:cs="Palatino Linotype"/>
          <w:sz w:val="22"/>
          <w:szCs w:val="22"/>
        </w:rPr>
        <w:t xml:space="preserve">. En fecha </w:t>
      </w:r>
      <w:r w:rsidR="000E5111" w:rsidRPr="000E5111">
        <w:rPr>
          <w:rFonts w:ascii="Palatino Linotype" w:eastAsia="Palatino Linotype" w:hAnsi="Palatino Linotype" w:cs="Palatino Linotype"/>
          <w:b/>
          <w:sz w:val="22"/>
          <w:szCs w:val="22"/>
        </w:rPr>
        <w:t>cinco</w:t>
      </w:r>
      <w:r w:rsidR="009B4F38" w:rsidRPr="000E5111">
        <w:rPr>
          <w:rFonts w:ascii="Palatino Linotype" w:eastAsia="Palatino Linotype" w:hAnsi="Palatino Linotype" w:cs="Palatino Linotype"/>
          <w:b/>
          <w:sz w:val="22"/>
          <w:szCs w:val="22"/>
        </w:rPr>
        <w:t xml:space="preserve"> de marzo </w:t>
      </w:r>
      <w:r w:rsidR="00F36565" w:rsidRPr="000E5111">
        <w:rPr>
          <w:rFonts w:ascii="Palatino Linotype" w:eastAsia="Palatino Linotype" w:hAnsi="Palatino Linotype" w:cs="Palatino Linotype"/>
          <w:b/>
          <w:sz w:val="22"/>
          <w:szCs w:val="22"/>
        </w:rPr>
        <w:t>de dos mil veinti</w:t>
      </w:r>
      <w:r w:rsidR="00E111DF" w:rsidRPr="000E5111">
        <w:rPr>
          <w:rFonts w:ascii="Palatino Linotype" w:eastAsia="Palatino Linotype" w:hAnsi="Palatino Linotype" w:cs="Palatino Linotype"/>
          <w:b/>
          <w:sz w:val="22"/>
          <w:szCs w:val="22"/>
        </w:rPr>
        <w:t>séis</w:t>
      </w:r>
      <w:r w:rsidR="00F36565" w:rsidRPr="000E5111">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BAC11C7" w14:textId="77777777" w:rsidR="00C877F6" w:rsidRPr="000E5111" w:rsidRDefault="00C877F6">
      <w:pPr>
        <w:spacing w:line="360" w:lineRule="auto"/>
        <w:ind w:right="49"/>
        <w:jc w:val="both"/>
        <w:rPr>
          <w:rFonts w:ascii="Palatino Linotype" w:eastAsia="Palatino Linotype" w:hAnsi="Palatino Linotype" w:cs="Palatino Linotype"/>
          <w:sz w:val="22"/>
          <w:szCs w:val="22"/>
        </w:rPr>
      </w:pPr>
    </w:p>
    <w:p w14:paraId="2332E74C" w14:textId="1BEBEA7B" w:rsidR="00C877F6" w:rsidRPr="000E5111" w:rsidRDefault="00F36565">
      <w:pPr>
        <w:spacing w:line="360" w:lineRule="auto"/>
        <w:ind w:right="49"/>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Debido a que fue</w:t>
      </w:r>
      <w:r w:rsidR="008D5D61" w:rsidRPr="000E5111">
        <w:rPr>
          <w:rFonts w:ascii="Palatino Linotype" w:eastAsia="Palatino Linotype" w:hAnsi="Palatino Linotype" w:cs="Palatino Linotype"/>
          <w:sz w:val="22"/>
          <w:szCs w:val="22"/>
        </w:rPr>
        <w:t xml:space="preserve"> debidamente sustanciado</w:t>
      </w:r>
      <w:r w:rsidRPr="000E5111">
        <w:rPr>
          <w:rFonts w:ascii="Palatino Linotype" w:eastAsia="Palatino Linotype" w:hAnsi="Palatino Linotype" w:cs="Palatino Linotype"/>
          <w:sz w:val="22"/>
          <w:szCs w:val="22"/>
        </w:rPr>
        <w:t xml:space="preserve"> </w:t>
      </w:r>
      <w:r w:rsidR="008D5D61" w:rsidRPr="000E5111">
        <w:rPr>
          <w:rFonts w:ascii="Palatino Linotype" w:eastAsia="Palatino Linotype" w:hAnsi="Palatino Linotype" w:cs="Palatino Linotype"/>
          <w:sz w:val="22"/>
          <w:szCs w:val="22"/>
        </w:rPr>
        <w:tab/>
        <w:t>el</w:t>
      </w:r>
      <w:r w:rsidRPr="000E5111">
        <w:rPr>
          <w:rFonts w:ascii="Palatino Linotype" w:eastAsia="Palatino Linotype" w:hAnsi="Palatino Linotype" w:cs="Palatino Linotype"/>
          <w:sz w:val="22"/>
          <w:szCs w:val="22"/>
        </w:rPr>
        <w:t xml:space="preserve"> expediente electrónico y no existe diligencia pendiente de desahogo, se emite la Resolución que conforme a Derecho proceda, de acuerdo con los siguientes: </w:t>
      </w:r>
    </w:p>
    <w:p w14:paraId="76DFC1EA" w14:textId="77777777" w:rsidR="008360A2" w:rsidRPr="000E5111" w:rsidRDefault="008360A2">
      <w:pPr>
        <w:spacing w:line="360" w:lineRule="auto"/>
        <w:ind w:right="49"/>
        <w:jc w:val="both"/>
        <w:rPr>
          <w:rFonts w:ascii="Palatino Linotype" w:eastAsia="Palatino Linotype" w:hAnsi="Palatino Linotype" w:cs="Palatino Linotype"/>
          <w:sz w:val="22"/>
          <w:szCs w:val="22"/>
        </w:rPr>
      </w:pPr>
    </w:p>
    <w:p w14:paraId="17694FE8" w14:textId="549072A2" w:rsidR="00C877F6" w:rsidRPr="000E5111" w:rsidRDefault="00F36565" w:rsidP="009A113E">
      <w:pPr>
        <w:spacing w:line="360" w:lineRule="auto"/>
        <w:ind w:left="720" w:right="49" w:hanging="720"/>
        <w:jc w:val="center"/>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II.</w:t>
      </w:r>
      <w:r w:rsidRPr="000E5111">
        <w:rPr>
          <w:rFonts w:ascii="Palatino Linotype" w:eastAsia="Palatino Linotype" w:hAnsi="Palatino Linotype" w:cs="Palatino Linotype"/>
          <w:b/>
          <w:sz w:val="22"/>
          <w:szCs w:val="22"/>
        </w:rPr>
        <w:tab/>
        <w:t>C O N S I D E R A N D O:</w:t>
      </w:r>
      <w:r w:rsidR="00351E01" w:rsidRPr="000E5111">
        <w:rPr>
          <w:rFonts w:ascii="Palatino Linotype" w:eastAsia="Palatino Linotype" w:hAnsi="Palatino Linotype" w:cs="Palatino Linotype"/>
          <w:b/>
          <w:sz w:val="22"/>
          <w:szCs w:val="22"/>
        </w:rPr>
        <w:t xml:space="preserve"> </w:t>
      </w:r>
    </w:p>
    <w:p w14:paraId="3E2B3FBD" w14:textId="77777777" w:rsidR="00C877F6" w:rsidRPr="000E5111" w:rsidRDefault="00C877F6">
      <w:pPr>
        <w:spacing w:line="360" w:lineRule="auto"/>
        <w:ind w:right="49"/>
        <w:jc w:val="both"/>
        <w:rPr>
          <w:rFonts w:ascii="Palatino Linotype" w:eastAsia="Palatino Linotype" w:hAnsi="Palatino Linotype" w:cs="Palatino Linotype"/>
          <w:sz w:val="22"/>
          <w:szCs w:val="22"/>
        </w:rPr>
      </w:pPr>
    </w:p>
    <w:p w14:paraId="1C3901F1" w14:textId="77777777" w:rsidR="00C877F6" w:rsidRPr="000E5111" w:rsidRDefault="00F36565">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Primero. Competencia.</w:t>
      </w:r>
      <w:r w:rsidRPr="000E5111">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520C2A94" w14:textId="77777777" w:rsidR="00C877F6" w:rsidRPr="000E5111" w:rsidRDefault="00F36565">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 xml:space="preserve">Segundo. Oportunidad y Procedibilidad del Recurso de Revisión. </w:t>
      </w:r>
      <w:r w:rsidRPr="000E5111">
        <w:rPr>
          <w:rFonts w:ascii="Palatino Linotype" w:eastAsia="Palatino Linotype" w:hAnsi="Palatino Linotype" w:cs="Palatino Linotype"/>
          <w:sz w:val="22"/>
          <w:szCs w:val="22"/>
        </w:rPr>
        <w:t>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37CA5A2A" w14:textId="77777777" w:rsidR="00C877F6" w:rsidRPr="000E5111" w:rsidRDefault="00F36565">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Al respecto la Ley de Transparencia y Acceso a la Información Pública del Estado de México y Municipios, establece lo siguiente:</w:t>
      </w:r>
    </w:p>
    <w:p w14:paraId="68F1D466" w14:textId="77777777" w:rsidR="00C877F6" w:rsidRPr="000E5111" w:rsidRDefault="00F36565">
      <w:pPr>
        <w:spacing w:line="360" w:lineRule="auto"/>
        <w:ind w:left="851" w:right="900"/>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 xml:space="preserve">“Artículo 178. </w:t>
      </w:r>
      <w:r w:rsidRPr="000E5111">
        <w:rPr>
          <w:rFonts w:ascii="Palatino Linotype" w:eastAsia="Palatino Linotype" w:hAnsi="Palatino Linotype" w:cs="Palatino Linotype"/>
          <w:i/>
          <w:sz w:val="22"/>
          <w:szCs w:val="22"/>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206E3069" w14:textId="6D6752FE" w:rsidR="00C877F6" w:rsidRPr="000E5111" w:rsidRDefault="00F36565">
      <w:pPr>
        <w:spacing w:before="240" w:after="240" w:line="360" w:lineRule="auto"/>
        <w:ind w:right="49"/>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Del precepto legal transcrito, se desprende que cuando los solicitantes de información en el ejercicio del derecho de acceso a la información no se encuentren satisfechos con la información entregada por los sujetos obligados, podrán interponer recurso de revisión de manera directa o por medios electrónicos dentro de los quince días hábiles siguientes a la fecha de notificación de la respuesta, y, toda vez que el </w:t>
      </w:r>
      <w:r w:rsidRPr="000E5111">
        <w:rPr>
          <w:rFonts w:ascii="Palatino Linotype" w:eastAsia="Palatino Linotype" w:hAnsi="Palatino Linotype" w:cs="Palatino Linotype"/>
          <w:b/>
          <w:sz w:val="22"/>
          <w:szCs w:val="22"/>
        </w:rPr>
        <w:t>SUJETO OBLIGADO</w:t>
      </w:r>
      <w:r w:rsidRPr="000E5111">
        <w:rPr>
          <w:rFonts w:ascii="Palatino Linotype" w:eastAsia="Palatino Linotype" w:hAnsi="Palatino Linotype" w:cs="Palatino Linotype"/>
          <w:sz w:val="22"/>
          <w:szCs w:val="22"/>
        </w:rPr>
        <w:t xml:space="preserve"> remitió la respuesta a la solicitud de información el día </w:t>
      </w:r>
      <w:r w:rsidR="00631C21" w:rsidRPr="000E5111">
        <w:rPr>
          <w:rFonts w:ascii="Palatino Linotype" w:eastAsia="Palatino Linotype" w:hAnsi="Palatino Linotype" w:cs="Palatino Linotype"/>
          <w:b/>
          <w:sz w:val="22"/>
          <w:szCs w:val="22"/>
        </w:rPr>
        <w:t>diez</w:t>
      </w:r>
      <w:r w:rsidR="00F94226" w:rsidRPr="000E5111">
        <w:rPr>
          <w:rFonts w:ascii="Palatino Linotype" w:eastAsia="Palatino Linotype" w:hAnsi="Palatino Linotype" w:cs="Palatino Linotype"/>
          <w:b/>
          <w:sz w:val="22"/>
          <w:szCs w:val="22"/>
        </w:rPr>
        <w:t xml:space="preserve"> de </w:t>
      </w:r>
      <w:r w:rsidR="00631C21" w:rsidRPr="000E5111">
        <w:rPr>
          <w:rFonts w:ascii="Palatino Linotype" w:eastAsia="Palatino Linotype" w:hAnsi="Palatino Linotype" w:cs="Palatino Linotype"/>
          <w:b/>
          <w:sz w:val="22"/>
          <w:szCs w:val="22"/>
        </w:rPr>
        <w:t>julio</w:t>
      </w:r>
      <w:r w:rsidR="008E4A90" w:rsidRPr="000E5111">
        <w:rPr>
          <w:rFonts w:ascii="Palatino Linotype" w:eastAsia="Palatino Linotype" w:hAnsi="Palatino Linotype" w:cs="Palatino Linotype"/>
          <w:b/>
          <w:sz w:val="22"/>
          <w:szCs w:val="22"/>
        </w:rPr>
        <w:t xml:space="preserve"> </w:t>
      </w:r>
      <w:r w:rsidRPr="000E5111">
        <w:rPr>
          <w:rFonts w:ascii="Palatino Linotype" w:eastAsia="Palatino Linotype" w:hAnsi="Palatino Linotype" w:cs="Palatino Linotype"/>
          <w:b/>
          <w:sz w:val="22"/>
          <w:szCs w:val="22"/>
        </w:rPr>
        <w:t xml:space="preserve">de dos mil veinticinco, </w:t>
      </w:r>
      <w:r w:rsidRPr="000E5111">
        <w:rPr>
          <w:rFonts w:ascii="Palatino Linotype" w:eastAsia="Palatino Linotype" w:hAnsi="Palatino Linotype" w:cs="Palatino Linotype"/>
          <w:sz w:val="22"/>
          <w:szCs w:val="22"/>
        </w:rPr>
        <w:t xml:space="preserve">mientras que el recurso de revisión interpuesto por la parte </w:t>
      </w:r>
      <w:r w:rsidRPr="000E5111">
        <w:rPr>
          <w:rFonts w:ascii="Palatino Linotype" w:eastAsia="Palatino Linotype" w:hAnsi="Palatino Linotype" w:cs="Palatino Linotype"/>
          <w:b/>
          <w:sz w:val="22"/>
          <w:szCs w:val="22"/>
        </w:rPr>
        <w:t>RECURRENTE</w:t>
      </w:r>
      <w:r w:rsidRPr="000E5111">
        <w:rPr>
          <w:rFonts w:ascii="Palatino Linotype" w:eastAsia="Palatino Linotype" w:hAnsi="Palatino Linotype" w:cs="Palatino Linotype"/>
          <w:sz w:val="22"/>
          <w:szCs w:val="22"/>
        </w:rPr>
        <w:t xml:space="preserve">, se tuvo por presentado el </w:t>
      </w:r>
      <w:r w:rsidR="00631C21" w:rsidRPr="000E5111">
        <w:rPr>
          <w:rFonts w:ascii="Palatino Linotype" w:eastAsia="Palatino Linotype" w:hAnsi="Palatino Linotype" w:cs="Palatino Linotype"/>
          <w:b/>
          <w:sz w:val="22"/>
          <w:szCs w:val="22"/>
        </w:rPr>
        <w:t>cuatro</w:t>
      </w:r>
      <w:r w:rsidRPr="000E5111">
        <w:rPr>
          <w:rFonts w:ascii="Palatino Linotype" w:eastAsia="Palatino Linotype" w:hAnsi="Palatino Linotype" w:cs="Palatino Linotype"/>
          <w:b/>
          <w:sz w:val="22"/>
          <w:szCs w:val="22"/>
        </w:rPr>
        <w:t xml:space="preserve"> de </w:t>
      </w:r>
      <w:r w:rsidR="00631C21" w:rsidRPr="000E5111">
        <w:rPr>
          <w:rFonts w:ascii="Palatino Linotype" w:eastAsia="Palatino Linotype" w:hAnsi="Palatino Linotype" w:cs="Palatino Linotype"/>
          <w:b/>
          <w:sz w:val="22"/>
          <w:szCs w:val="22"/>
        </w:rPr>
        <w:t>agosto</w:t>
      </w:r>
      <w:r w:rsidRPr="000E5111">
        <w:rPr>
          <w:rFonts w:ascii="Palatino Linotype" w:eastAsia="Palatino Linotype" w:hAnsi="Palatino Linotype" w:cs="Palatino Linotype"/>
          <w:b/>
          <w:sz w:val="22"/>
          <w:szCs w:val="22"/>
        </w:rPr>
        <w:t xml:space="preserve"> del año dos mil veinticinco</w:t>
      </w:r>
      <w:r w:rsidRPr="000E5111">
        <w:rPr>
          <w:rFonts w:ascii="Palatino Linotype" w:eastAsia="Palatino Linotype" w:hAnsi="Palatino Linotype" w:cs="Palatino Linotype"/>
          <w:sz w:val="22"/>
          <w:szCs w:val="22"/>
        </w:rPr>
        <w:t xml:space="preserve">; esto es, al </w:t>
      </w:r>
      <w:r w:rsidR="00631C21" w:rsidRPr="000E5111">
        <w:rPr>
          <w:rFonts w:ascii="Palatino Linotype" w:eastAsia="Palatino Linotype" w:hAnsi="Palatino Linotype" w:cs="Palatino Linotype"/>
          <w:b/>
          <w:sz w:val="22"/>
          <w:szCs w:val="22"/>
        </w:rPr>
        <w:t>séptimo</w:t>
      </w:r>
      <w:r w:rsidR="009D625A" w:rsidRPr="000E5111">
        <w:rPr>
          <w:rFonts w:ascii="Palatino Linotype" w:eastAsia="Palatino Linotype" w:hAnsi="Palatino Linotype" w:cs="Palatino Linotype"/>
          <w:b/>
          <w:sz w:val="22"/>
          <w:szCs w:val="22"/>
        </w:rPr>
        <w:t xml:space="preserve"> </w:t>
      </w:r>
      <w:r w:rsidRPr="000E5111">
        <w:rPr>
          <w:rFonts w:ascii="Palatino Linotype" w:eastAsia="Palatino Linotype" w:hAnsi="Palatino Linotype" w:cs="Palatino Linotype"/>
          <w:b/>
          <w:sz w:val="22"/>
          <w:szCs w:val="22"/>
        </w:rPr>
        <w:t xml:space="preserve">día hábil </w:t>
      </w:r>
      <w:r w:rsidRPr="000E5111">
        <w:rPr>
          <w:rFonts w:ascii="Palatino Linotype" w:eastAsia="Palatino Linotype" w:hAnsi="Palatino Linotype" w:cs="Palatino Linotype"/>
          <w:sz w:val="22"/>
          <w:szCs w:val="22"/>
        </w:rPr>
        <w:t>siguiente al que se tuvo conocimiento de la respuesta respectivamente.</w:t>
      </w:r>
    </w:p>
    <w:p w14:paraId="5976AB2D" w14:textId="77777777" w:rsidR="002D25A9" w:rsidRPr="000E5111" w:rsidRDefault="002D25A9" w:rsidP="002D25A9">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Por otro lado, es de suma importancia mencionar que, si bien la parte Recurrente no proporcionó nombre,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3891BA1C" w14:textId="77777777" w:rsidR="002D25A9" w:rsidRPr="000E5111" w:rsidRDefault="002D25A9" w:rsidP="002D25A9">
      <w:pPr>
        <w:ind w:left="426" w:right="701"/>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br/>
      </w:r>
      <w:r w:rsidRPr="000E5111">
        <w:rPr>
          <w:rFonts w:ascii="Palatino Linotype" w:eastAsia="Palatino Linotype" w:hAnsi="Palatino Linotype" w:cs="Palatino Linotype"/>
          <w:b/>
          <w:i/>
          <w:sz w:val="22"/>
          <w:szCs w:val="22"/>
        </w:rPr>
        <w:t xml:space="preserve">"Las solicitudes anónimas, </w:t>
      </w:r>
      <w:r w:rsidRPr="000E5111">
        <w:rPr>
          <w:rFonts w:ascii="Palatino Linotype" w:eastAsia="Palatino Linotype" w:hAnsi="Palatino Linotype" w:cs="Palatino Linotype"/>
          <w:i/>
          <w:sz w:val="22"/>
          <w:szCs w:val="22"/>
        </w:rPr>
        <w:t>con nombre incompleto o seudónimo </w:t>
      </w:r>
      <w:r w:rsidRPr="000E5111">
        <w:rPr>
          <w:rFonts w:ascii="Palatino Linotype" w:eastAsia="Palatino Linotype" w:hAnsi="Palatino Linotype" w:cs="Palatino Linotype"/>
          <w:b/>
          <w:i/>
          <w:sz w:val="22"/>
          <w:szCs w:val="22"/>
        </w:rPr>
        <w:t>serán procedentes para su trámite por parte del sujeto obligado ante quien se presente.</w:t>
      </w:r>
      <w:r w:rsidRPr="000E5111">
        <w:rPr>
          <w:rFonts w:ascii="Palatino Linotype" w:eastAsia="Palatino Linotype" w:hAnsi="Palatino Linotype" w:cs="Palatino Linotype"/>
          <w:i/>
          <w:sz w:val="22"/>
          <w:szCs w:val="22"/>
        </w:rPr>
        <w:t xml:space="preserve"> No podrá requerirse información adicional con motivo del nombre proporcionado por el solicitante."</w:t>
      </w:r>
    </w:p>
    <w:p w14:paraId="3E440070" w14:textId="77777777" w:rsidR="00C877F6" w:rsidRPr="000E5111" w:rsidRDefault="00F36565">
      <w:pPr>
        <w:spacing w:before="240" w:after="240" w:line="360" w:lineRule="auto"/>
        <w:ind w:right="49"/>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Así también, por cuanto hace a la procedibilidad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7CD30A84" w14:textId="07ECEDDE" w:rsidR="00C877F6" w:rsidRPr="000E5111" w:rsidRDefault="00F36565">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Asimismo, resulta procedente la interposición del recurso de revisión al rubro anotado, toda vez que se actualiza las hipótesis prevista</w:t>
      </w:r>
      <w:r w:rsidR="00923A7C" w:rsidRPr="000E5111">
        <w:rPr>
          <w:rFonts w:ascii="Palatino Linotype" w:eastAsia="Palatino Linotype" w:hAnsi="Palatino Linotype" w:cs="Palatino Linotype"/>
          <w:sz w:val="22"/>
          <w:szCs w:val="22"/>
        </w:rPr>
        <w:t xml:space="preserve">s en el artículo 179, fracción </w:t>
      </w:r>
      <w:r w:rsidR="00631C21" w:rsidRPr="000E5111">
        <w:rPr>
          <w:rFonts w:ascii="Palatino Linotype" w:eastAsia="Palatino Linotype" w:hAnsi="Palatino Linotype" w:cs="Palatino Linotype"/>
          <w:sz w:val="22"/>
          <w:szCs w:val="22"/>
        </w:rPr>
        <w:t>I</w:t>
      </w:r>
      <w:r w:rsidRPr="000E5111">
        <w:rPr>
          <w:rFonts w:ascii="Palatino Linotype" w:eastAsia="Palatino Linotype" w:hAnsi="Palatino Linotype" w:cs="Palatino Linotype"/>
          <w:sz w:val="22"/>
          <w:szCs w:val="22"/>
        </w:rPr>
        <w:t>de la ley de la materia, que a la letra dice:</w:t>
      </w:r>
    </w:p>
    <w:p w14:paraId="47475447" w14:textId="77777777" w:rsidR="00C877F6" w:rsidRPr="000E5111" w:rsidRDefault="00F36565">
      <w:pPr>
        <w:spacing w:line="360" w:lineRule="auto"/>
        <w:ind w:left="851" w:right="1041"/>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r w:rsidRPr="000E5111">
        <w:rPr>
          <w:rFonts w:ascii="Palatino Linotype" w:eastAsia="Palatino Linotype" w:hAnsi="Palatino Linotype" w:cs="Palatino Linotype"/>
          <w:b/>
          <w:i/>
          <w:sz w:val="22"/>
          <w:szCs w:val="22"/>
        </w:rPr>
        <w:t xml:space="preserve">Artículo 179. </w:t>
      </w:r>
      <w:r w:rsidRPr="000E5111">
        <w:rPr>
          <w:rFonts w:ascii="Palatino Linotype" w:eastAsia="Palatino Linotype" w:hAnsi="Palatino Linotype" w:cs="Palatino Linotype"/>
          <w:i/>
          <w:sz w:val="22"/>
          <w:szCs w:val="22"/>
        </w:rPr>
        <w:t>El recurso de revisión es un medio de protección que la Ley otorga a los particulares, para hacer valer su derecho de acceso a la información pública, y procederá en contra de las siguientes causas:</w:t>
      </w:r>
    </w:p>
    <w:p w14:paraId="3CAC73BD" w14:textId="0E22ABE1" w:rsidR="00631C21" w:rsidRPr="000E5111" w:rsidRDefault="00631C21">
      <w:pPr>
        <w:spacing w:line="360" w:lineRule="auto"/>
        <w:ind w:left="851" w:right="1041"/>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 La negativa a la información solicitada</w:t>
      </w:r>
    </w:p>
    <w:p w14:paraId="1678F80B" w14:textId="3EE0E15E" w:rsidR="00C877F6" w:rsidRPr="000E5111" w:rsidRDefault="00F36565">
      <w:pPr>
        <w:spacing w:line="360" w:lineRule="auto"/>
        <w:ind w:left="851" w:right="1041"/>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1A2EB9D0" w14:textId="77777777" w:rsidR="00C877F6" w:rsidRPr="000E5111" w:rsidRDefault="00F36565">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 xml:space="preserve">Tercero. Materia de la revisión. </w:t>
      </w:r>
      <w:r w:rsidRPr="000E5111">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0E5111">
        <w:rPr>
          <w:rFonts w:ascii="Palatino Linotype" w:eastAsia="Palatino Linotype" w:hAnsi="Palatino Linotype" w:cs="Palatino Linotype"/>
          <w:b/>
          <w:sz w:val="22"/>
          <w:szCs w:val="22"/>
        </w:rPr>
        <w:t xml:space="preserve">verificar si la respuesta otorgada por el Sujeto Obligado es adecuada y suficiente para satisfacer el derecho de acceso a la información pública </w:t>
      </w:r>
      <w:r w:rsidRPr="000E5111">
        <w:rPr>
          <w:rFonts w:ascii="Palatino Linotype" w:eastAsia="Palatino Linotype" w:hAnsi="Palatino Linotype" w:cs="Palatino Linotype"/>
          <w:sz w:val="22"/>
          <w:szCs w:val="22"/>
        </w:rPr>
        <w:t xml:space="preserve">de la parte </w:t>
      </w:r>
      <w:r w:rsidRPr="000E5111">
        <w:rPr>
          <w:rFonts w:ascii="Palatino Linotype" w:eastAsia="Palatino Linotype" w:hAnsi="Palatino Linotype" w:cs="Palatino Linotype"/>
          <w:b/>
          <w:sz w:val="22"/>
          <w:szCs w:val="22"/>
        </w:rPr>
        <w:t>Recurrente</w:t>
      </w:r>
      <w:r w:rsidRPr="000E5111">
        <w:rPr>
          <w:rFonts w:ascii="Palatino Linotype" w:eastAsia="Palatino Linotype" w:hAnsi="Palatino Linotype" w:cs="Palatino Linotype"/>
          <w:sz w:val="22"/>
          <w:szCs w:val="22"/>
        </w:rPr>
        <w:t>, o en su defecto, en caso de ser procedente, ordenar la entrega de información.</w:t>
      </w:r>
    </w:p>
    <w:p w14:paraId="0D9B22BA" w14:textId="77777777" w:rsidR="00C877F6" w:rsidRPr="000E5111" w:rsidRDefault="00F36565">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 xml:space="preserve">Cuarto. Estudio del asunto. </w:t>
      </w:r>
      <w:r w:rsidRPr="000E5111">
        <w:rPr>
          <w:rFonts w:ascii="Palatino Linotype" w:eastAsia="Palatino Linotype" w:hAnsi="Palatino Linotype" w:cs="Palatino Linotype"/>
          <w:sz w:val="22"/>
          <w:szCs w:val="22"/>
        </w:rPr>
        <w:t xml:space="preserve">En principio, es conveniente analizar si la respuesta del </w:t>
      </w:r>
      <w:r w:rsidRPr="000E5111">
        <w:rPr>
          <w:rFonts w:ascii="Palatino Linotype" w:eastAsia="Palatino Linotype" w:hAnsi="Palatino Linotype" w:cs="Palatino Linotype"/>
          <w:b/>
          <w:sz w:val="22"/>
          <w:szCs w:val="22"/>
        </w:rPr>
        <w:t>SUJETO OBLIGADO</w:t>
      </w:r>
      <w:r w:rsidRPr="000E5111">
        <w:rPr>
          <w:rFonts w:ascii="Palatino Linotype" w:eastAsia="Palatino Linotype" w:hAnsi="Palatino Linotype" w:cs="Palatino Linotype"/>
          <w:sz w:val="22"/>
          <w:szCs w:val="22"/>
        </w:rPr>
        <w:t xml:space="preserve"> 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trascribe para un mejor entendimiento:</w:t>
      </w:r>
    </w:p>
    <w:p w14:paraId="138FFBF6" w14:textId="77777777" w:rsidR="00C877F6" w:rsidRPr="000E5111" w:rsidRDefault="00C877F6">
      <w:pPr>
        <w:spacing w:line="360" w:lineRule="auto"/>
        <w:jc w:val="both"/>
        <w:rPr>
          <w:rFonts w:ascii="Palatino Linotype" w:eastAsia="Palatino Linotype" w:hAnsi="Palatino Linotype" w:cs="Palatino Linotype"/>
          <w:sz w:val="22"/>
          <w:szCs w:val="22"/>
        </w:rPr>
      </w:pPr>
    </w:p>
    <w:p w14:paraId="15C1BD4C" w14:textId="77777777" w:rsidR="00C877F6" w:rsidRPr="000E5111" w:rsidRDefault="00F36565">
      <w:pPr>
        <w:spacing w:line="276" w:lineRule="auto"/>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r w:rsidRPr="000E5111">
        <w:rPr>
          <w:rFonts w:ascii="Palatino Linotype" w:eastAsia="Palatino Linotype" w:hAnsi="Palatino Linotype" w:cs="Palatino Linotype"/>
          <w:b/>
          <w:i/>
          <w:sz w:val="22"/>
          <w:szCs w:val="22"/>
        </w:rPr>
        <w:t>Artículo 4</w:t>
      </w:r>
      <w:r w:rsidRPr="000E5111">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4487D78A" w14:textId="77777777" w:rsidR="00C877F6" w:rsidRPr="000E5111" w:rsidRDefault="00F36565">
      <w:pPr>
        <w:spacing w:line="276" w:lineRule="auto"/>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0E5111">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2A649530" w14:textId="77777777" w:rsidR="00C877F6" w:rsidRPr="000E5111" w:rsidRDefault="00F36565">
      <w:pPr>
        <w:spacing w:line="276" w:lineRule="auto"/>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0E5111">
        <w:rPr>
          <w:rFonts w:ascii="Palatino Linotype" w:eastAsia="Palatino Linotype" w:hAnsi="Palatino Linotype" w:cs="Palatino Linotype"/>
          <w:i/>
          <w:sz w:val="22"/>
          <w:szCs w:val="22"/>
        </w:rPr>
        <w:t>.”</w:t>
      </w:r>
    </w:p>
    <w:p w14:paraId="6FBC13EC" w14:textId="77777777" w:rsidR="00C877F6" w:rsidRPr="000E5111" w:rsidRDefault="00C877F6">
      <w:pPr>
        <w:spacing w:line="276" w:lineRule="auto"/>
        <w:jc w:val="both"/>
        <w:rPr>
          <w:rFonts w:ascii="Palatino Linotype" w:eastAsia="Palatino Linotype" w:hAnsi="Palatino Linotype" w:cs="Palatino Linotype"/>
          <w:sz w:val="22"/>
          <w:szCs w:val="22"/>
        </w:rPr>
      </w:pPr>
    </w:p>
    <w:p w14:paraId="1D553B80" w14:textId="77777777" w:rsidR="00C877F6" w:rsidRPr="000E5111" w:rsidRDefault="00F36565">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69D84D3A" w14:textId="77777777" w:rsidR="00C877F6" w:rsidRPr="000E5111" w:rsidRDefault="00C877F6">
      <w:pPr>
        <w:spacing w:line="360" w:lineRule="auto"/>
        <w:jc w:val="both"/>
        <w:rPr>
          <w:rFonts w:ascii="Palatino Linotype" w:eastAsia="Palatino Linotype" w:hAnsi="Palatino Linotype" w:cs="Palatino Linotype"/>
          <w:sz w:val="22"/>
          <w:szCs w:val="22"/>
        </w:rPr>
      </w:pPr>
    </w:p>
    <w:p w14:paraId="2A179EF6" w14:textId="77777777" w:rsidR="00C877F6" w:rsidRPr="000E5111" w:rsidRDefault="00F36565">
      <w:pPr>
        <w:spacing w:line="276" w:lineRule="auto"/>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12.-</w:t>
      </w:r>
      <w:r w:rsidRPr="000E5111">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673A04A1" w14:textId="77777777" w:rsidR="00C877F6" w:rsidRPr="000E5111" w:rsidRDefault="00C877F6">
      <w:pPr>
        <w:spacing w:line="276" w:lineRule="auto"/>
        <w:ind w:left="567" w:right="616"/>
        <w:jc w:val="both"/>
        <w:rPr>
          <w:rFonts w:ascii="Palatino Linotype" w:eastAsia="Palatino Linotype" w:hAnsi="Palatino Linotype" w:cs="Palatino Linotype"/>
          <w:i/>
          <w:sz w:val="22"/>
          <w:szCs w:val="22"/>
        </w:rPr>
      </w:pPr>
    </w:p>
    <w:p w14:paraId="37D07658" w14:textId="77777777" w:rsidR="00C877F6" w:rsidRPr="000E5111" w:rsidRDefault="00F36565">
      <w:pPr>
        <w:spacing w:line="276" w:lineRule="auto"/>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0E5111">
        <w:rPr>
          <w:rFonts w:ascii="Palatino Linotype" w:eastAsia="Palatino Linotype" w:hAnsi="Palatino Linotype" w:cs="Palatino Linotype"/>
          <w:i/>
          <w:sz w:val="22"/>
          <w:szCs w:val="22"/>
        </w:rPr>
        <w:t xml:space="preserve">. </w:t>
      </w:r>
      <w:r w:rsidRPr="000E5111">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5358F059" w14:textId="77777777" w:rsidR="00C877F6" w:rsidRPr="000E5111" w:rsidRDefault="00C877F6">
      <w:pPr>
        <w:spacing w:line="360" w:lineRule="auto"/>
        <w:ind w:right="-93"/>
        <w:jc w:val="both"/>
        <w:rPr>
          <w:rFonts w:ascii="Palatino Linotype" w:eastAsia="Palatino Linotype" w:hAnsi="Palatino Linotype" w:cs="Palatino Linotype"/>
          <w:sz w:val="22"/>
          <w:szCs w:val="22"/>
        </w:rPr>
      </w:pPr>
    </w:p>
    <w:p w14:paraId="16097321" w14:textId="77777777" w:rsidR="00C877F6" w:rsidRPr="000E5111" w:rsidRDefault="00F36565">
      <w:pPr>
        <w:spacing w:line="360" w:lineRule="auto"/>
        <w:ind w:right="-93"/>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039288F1" w14:textId="77777777" w:rsidR="00C877F6" w:rsidRPr="000E5111" w:rsidRDefault="00C877F6">
      <w:pPr>
        <w:spacing w:line="360" w:lineRule="auto"/>
        <w:ind w:right="-93"/>
        <w:jc w:val="both"/>
        <w:rPr>
          <w:rFonts w:ascii="Palatino Linotype" w:eastAsia="Palatino Linotype" w:hAnsi="Palatino Linotype" w:cs="Palatino Linotype"/>
          <w:sz w:val="22"/>
          <w:szCs w:val="22"/>
        </w:rPr>
      </w:pPr>
    </w:p>
    <w:p w14:paraId="279C31C3" w14:textId="77777777" w:rsidR="00C877F6" w:rsidRPr="000E5111" w:rsidRDefault="00F36565">
      <w:pPr>
        <w:spacing w:line="360" w:lineRule="auto"/>
        <w:ind w:right="-93"/>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0E5111">
        <w:rPr>
          <w:rFonts w:ascii="Palatino Linotype" w:eastAsia="Palatino Linotype" w:hAnsi="Palatino Linotype" w:cs="Palatino Linotype"/>
          <w:b/>
          <w:sz w:val="22"/>
          <w:szCs w:val="22"/>
        </w:rPr>
        <w:t xml:space="preserve"> </w:t>
      </w:r>
    </w:p>
    <w:p w14:paraId="2E2DBFC3" w14:textId="77777777" w:rsidR="00C877F6" w:rsidRPr="000E5111" w:rsidRDefault="00C877F6">
      <w:pPr>
        <w:spacing w:line="360" w:lineRule="auto"/>
        <w:jc w:val="both"/>
        <w:rPr>
          <w:rFonts w:ascii="Palatino Linotype" w:eastAsia="Palatino Linotype" w:hAnsi="Palatino Linotype" w:cs="Palatino Linotype"/>
          <w:b/>
          <w:sz w:val="22"/>
          <w:szCs w:val="22"/>
        </w:rPr>
      </w:pPr>
    </w:p>
    <w:p w14:paraId="2C225EFA"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r w:rsidRPr="000E5111">
        <w:rPr>
          <w:rFonts w:ascii="Palatino Linotype" w:eastAsia="Palatino Linotype" w:hAnsi="Palatino Linotype" w:cs="Palatino Linotype"/>
          <w:b/>
          <w:i/>
          <w:sz w:val="22"/>
          <w:szCs w:val="22"/>
        </w:rPr>
        <w:t>No existe obligación de elaborar documentos ad hoc para atender las solicitudes de acceso a la información.</w:t>
      </w:r>
      <w:r w:rsidRPr="000E5111">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DA26D12" w14:textId="77777777" w:rsidR="00C877F6" w:rsidRPr="000E5111" w:rsidRDefault="00C877F6">
      <w:pPr>
        <w:spacing w:line="360" w:lineRule="auto"/>
        <w:ind w:right="-93"/>
        <w:jc w:val="both"/>
        <w:rPr>
          <w:rFonts w:ascii="Palatino Linotype" w:eastAsia="Palatino Linotype" w:hAnsi="Palatino Linotype" w:cs="Palatino Linotype"/>
          <w:sz w:val="22"/>
          <w:szCs w:val="22"/>
        </w:rPr>
      </w:pPr>
    </w:p>
    <w:p w14:paraId="1B3F139F" w14:textId="77777777" w:rsidR="00C877F6" w:rsidRPr="000E5111" w:rsidRDefault="00F36565">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DE08A8F" w14:textId="77777777" w:rsidR="00C877F6" w:rsidRPr="000E5111" w:rsidRDefault="00C877F6">
      <w:pPr>
        <w:spacing w:line="360" w:lineRule="auto"/>
        <w:jc w:val="both"/>
        <w:rPr>
          <w:rFonts w:ascii="Palatino Linotype" w:eastAsia="Palatino Linotype" w:hAnsi="Palatino Linotype" w:cs="Palatino Linotype"/>
          <w:sz w:val="22"/>
          <w:szCs w:val="22"/>
        </w:rPr>
      </w:pPr>
    </w:p>
    <w:p w14:paraId="0A307AF3" w14:textId="77777777" w:rsidR="00C877F6" w:rsidRPr="000E5111" w:rsidRDefault="00F36565">
      <w:pPr>
        <w:spacing w:line="360" w:lineRule="auto"/>
        <w:ind w:right="49"/>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0E97E71" w14:textId="77777777" w:rsidR="00C877F6" w:rsidRPr="000E5111" w:rsidRDefault="00C877F6">
      <w:pPr>
        <w:spacing w:line="360" w:lineRule="auto"/>
        <w:ind w:right="49"/>
        <w:jc w:val="both"/>
        <w:rPr>
          <w:rFonts w:ascii="Palatino Linotype" w:eastAsia="Palatino Linotype" w:hAnsi="Palatino Linotype" w:cs="Palatino Linotype"/>
          <w:sz w:val="22"/>
          <w:szCs w:val="22"/>
        </w:rPr>
      </w:pPr>
    </w:p>
    <w:p w14:paraId="18A47771" w14:textId="77777777" w:rsidR="00C877F6" w:rsidRPr="000E5111" w:rsidRDefault="00F36565">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886DAFA" w14:textId="77777777" w:rsidR="00C877F6" w:rsidRPr="000E5111" w:rsidRDefault="00C877F6">
      <w:pPr>
        <w:spacing w:line="360" w:lineRule="auto"/>
        <w:ind w:left="567" w:right="616"/>
        <w:jc w:val="both"/>
        <w:rPr>
          <w:rFonts w:ascii="Palatino Linotype" w:eastAsia="Palatino Linotype" w:hAnsi="Palatino Linotype" w:cs="Palatino Linotype"/>
          <w:i/>
          <w:sz w:val="22"/>
          <w:szCs w:val="22"/>
        </w:rPr>
      </w:pPr>
    </w:p>
    <w:p w14:paraId="688BA59C"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r w:rsidRPr="000E5111">
        <w:rPr>
          <w:rFonts w:ascii="Palatino Linotype" w:eastAsia="Palatino Linotype" w:hAnsi="Palatino Linotype" w:cs="Palatino Linotype"/>
          <w:b/>
          <w:i/>
          <w:sz w:val="22"/>
          <w:szCs w:val="22"/>
        </w:rPr>
        <w:t xml:space="preserve">Artículo 3. </w:t>
      </w:r>
      <w:r w:rsidRPr="000E5111">
        <w:rPr>
          <w:rFonts w:ascii="Palatino Linotype" w:eastAsia="Palatino Linotype" w:hAnsi="Palatino Linotype" w:cs="Palatino Linotype"/>
          <w:i/>
          <w:sz w:val="22"/>
          <w:szCs w:val="22"/>
        </w:rPr>
        <w:t>Para los efectos de la presente Ley se entenderá por:</w:t>
      </w:r>
    </w:p>
    <w:p w14:paraId="505D52C6"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273D4E7F"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XI. Documento:</w:t>
      </w:r>
      <w:r w:rsidRPr="000E5111">
        <w:rPr>
          <w:rFonts w:ascii="Palatino Linotype" w:eastAsia="Palatino Linotype" w:hAnsi="Palatino Linotype" w:cs="Palatino Linotype"/>
          <w:i/>
          <w:sz w:val="22"/>
          <w:szCs w:val="22"/>
        </w:rPr>
        <w:t xml:space="preserve"> Los expedientes, reportes, estudios, actas</w:t>
      </w:r>
      <w:r w:rsidRPr="000E5111">
        <w:rPr>
          <w:rFonts w:ascii="Palatino Linotype" w:eastAsia="Palatino Linotype" w:hAnsi="Palatino Linotype" w:cs="Palatino Linotype"/>
          <w:b/>
          <w:i/>
          <w:sz w:val="22"/>
          <w:szCs w:val="22"/>
        </w:rPr>
        <w:t>,</w:t>
      </w:r>
      <w:r w:rsidRPr="000E5111">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75F92C6F" w14:textId="77777777" w:rsidR="00C877F6" w:rsidRPr="000E5111" w:rsidRDefault="00C877F6">
      <w:pPr>
        <w:spacing w:line="360" w:lineRule="auto"/>
        <w:ind w:left="851" w:right="899"/>
        <w:jc w:val="both"/>
        <w:rPr>
          <w:rFonts w:ascii="Palatino Linotype" w:eastAsia="Palatino Linotype" w:hAnsi="Palatino Linotype" w:cs="Palatino Linotype"/>
          <w:sz w:val="22"/>
          <w:szCs w:val="22"/>
        </w:rPr>
      </w:pPr>
    </w:p>
    <w:p w14:paraId="732A9768" w14:textId="77777777" w:rsidR="00C877F6" w:rsidRPr="000E5111" w:rsidRDefault="00F36565">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43FF5F00" w14:textId="77777777" w:rsidR="00C877F6" w:rsidRPr="000E5111" w:rsidRDefault="00C877F6">
      <w:pPr>
        <w:spacing w:line="360" w:lineRule="auto"/>
        <w:jc w:val="both"/>
        <w:rPr>
          <w:rFonts w:ascii="Palatino Linotype" w:eastAsia="Palatino Linotype" w:hAnsi="Palatino Linotype" w:cs="Palatino Linotype"/>
          <w:sz w:val="22"/>
          <w:szCs w:val="22"/>
        </w:rPr>
      </w:pPr>
    </w:p>
    <w:p w14:paraId="36EC6455" w14:textId="77777777" w:rsidR="00C877F6" w:rsidRPr="000E5111" w:rsidRDefault="00F36565">
      <w:pPr>
        <w:ind w:left="567" w:right="616"/>
        <w:jc w:val="both"/>
        <w:rPr>
          <w:rFonts w:ascii="Palatino Linotype" w:eastAsia="Palatino Linotype" w:hAnsi="Palatino Linotype" w:cs="Palatino Linotype"/>
          <w:b/>
          <w:i/>
          <w:sz w:val="22"/>
          <w:szCs w:val="22"/>
        </w:rPr>
      </w:pPr>
      <w:r w:rsidRPr="000E5111">
        <w:rPr>
          <w:rFonts w:ascii="Palatino Linotype" w:eastAsia="Palatino Linotype" w:hAnsi="Palatino Linotype" w:cs="Palatino Linotype"/>
          <w:b/>
          <w:sz w:val="22"/>
          <w:szCs w:val="22"/>
        </w:rPr>
        <w:t>“</w:t>
      </w:r>
      <w:r w:rsidRPr="000E5111">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0E5111">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5D1E8D9"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00DE89C1"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4575813" w14:textId="77777777" w:rsidR="00C877F6" w:rsidRPr="000E5111" w:rsidRDefault="00F36565">
      <w:pPr>
        <w:ind w:left="567" w:right="616"/>
        <w:jc w:val="both"/>
        <w:rPr>
          <w:rFonts w:ascii="Palatino Linotype" w:eastAsia="Palatino Linotype" w:hAnsi="Palatino Linotype" w:cs="Palatino Linotype"/>
          <w:b/>
          <w:i/>
          <w:sz w:val="22"/>
          <w:szCs w:val="22"/>
        </w:rPr>
      </w:pPr>
      <w:r w:rsidRPr="000E5111">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55DABC20" w14:textId="77777777" w:rsidR="00C877F6" w:rsidRPr="000E5111" w:rsidRDefault="00F36565">
      <w:pPr>
        <w:ind w:left="567" w:right="616"/>
        <w:jc w:val="both"/>
        <w:rPr>
          <w:rFonts w:ascii="Palatino Linotype" w:eastAsia="Palatino Linotype" w:hAnsi="Palatino Linotype" w:cs="Palatino Linotype"/>
          <w:b/>
          <w:i/>
          <w:sz w:val="22"/>
          <w:szCs w:val="22"/>
        </w:rPr>
      </w:pPr>
      <w:r w:rsidRPr="000E5111">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436FFA4E" w14:textId="77777777" w:rsidR="00C877F6" w:rsidRPr="000E5111" w:rsidRDefault="00C877F6">
      <w:pPr>
        <w:tabs>
          <w:tab w:val="left" w:pos="8647"/>
        </w:tabs>
        <w:spacing w:line="360" w:lineRule="auto"/>
        <w:jc w:val="both"/>
        <w:rPr>
          <w:rFonts w:ascii="Palatino Linotype" w:eastAsia="Palatino Linotype" w:hAnsi="Palatino Linotype" w:cs="Palatino Linotype"/>
          <w:b/>
          <w:sz w:val="22"/>
          <w:szCs w:val="22"/>
        </w:rPr>
      </w:pPr>
    </w:p>
    <w:p w14:paraId="28414BC4" w14:textId="77777777" w:rsidR="00697BED" w:rsidRPr="000E5111" w:rsidRDefault="00F36565">
      <w:pPr>
        <w:spacing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Del análisis de la solicitud de información motivo del recurso de revisión que ahora se resuelve, </w:t>
      </w:r>
      <w:r w:rsidR="008E4A90" w:rsidRPr="000E5111">
        <w:rPr>
          <w:rFonts w:ascii="Palatino Linotype" w:eastAsia="Palatino Linotype" w:hAnsi="Palatino Linotype" w:cs="Palatino Linotype"/>
          <w:sz w:val="22"/>
          <w:szCs w:val="22"/>
        </w:rPr>
        <w:t xml:space="preserve">se tiene que el Recurrente solicitó al </w:t>
      </w:r>
      <w:r w:rsidR="000C6DFE" w:rsidRPr="000E5111">
        <w:rPr>
          <w:rFonts w:ascii="Palatino Linotype" w:eastAsia="Palatino Linotype" w:hAnsi="Palatino Linotype" w:cs="Palatino Linotype"/>
          <w:b/>
          <w:sz w:val="22"/>
          <w:szCs w:val="22"/>
        </w:rPr>
        <w:t>Ayuntamiento de Toluca</w:t>
      </w:r>
      <w:r w:rsidR="00697BED" w:rsidRPr="000E5111">
        <w:rPr>
          <w:rFonts w:ascii="Palatino Linotype" w:eastAsia="Palatino Linotype" w:hAnsi="Palatino Linotype" w:cs="Palatino Linotype"/>
          <w:sz w:val="22"/>
          <w:szCs w:val="22"/>
        </w:rPr>
        <w:t xml:space="preserve"> la siguiente información:</w:t>
      </w:r>
    </w:p>
    <w:p w14:paraId="136463BD" w14:textId="77777777" w:rsidR="00505EBC" w:rsidRPr="000E5111" w:rsidRDefault="00505EBC" w:rsidP="00505EBC">
      <w:pPr>
        <w:pStyle w:val="Prrafodelista"/>
        <w:numPr>
          <w:ilvl w:val="0"/>
          <w:numId w:val="5"/>
        </w:numPr>
        <w:spacing w:after="240" w:line="360" w:lineRule="auto"/>
        <w:ind w:right="843"/>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informe detallado del pago de finiquitos y laudos que informo el presidente municipal en cabildo;</w:t>
      </w:r>
    </w:p>
    <w:p w14:paraId="5418DF99" w14:textId="5FCB46BF" w:rsidR="00505EBC" w:rsidRPr="000E5111" w:rsidRDefault="00505EBC" w:rsidP="00505EBC">
      <w:pPr>
        <w:pStyle w:val="Prrafodelista"/>
        <w:numPr>
          <w:ilvl w:val="0"/>
          <w:numId w:val="5"/>
        </w:numPr>
        <w:spacing w:after="240" w:line="360" w:lineRule="auto"/>
        <w:ind w:right="843"/>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Laudos y convenios; y,</w:t>
      </w:r>
    </w:p>
    <w:p w14:paraId="0409ADB8" w14:textId="6530BD6C" w:rsidR="00505EBC" w:rsidRPr="000E5111" w:rsidRDefault="00505EBC" w:rsidP="00505EBC">
      <w:pPr>
        <w:pStyle w:val="Prrafodelista"/>
        <w:numPr>
          <w:ilvl w:val="0"/>
          <w:numId w:val="5"/>
        </w:numPr>
        <w:spacing w:after="240" w:line="360" w:lineRule="auto"/>
        <w:ind w:right="843"/>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Expresión documental qué demuestre el pago de los finiquitos de laudos y de que años son.</w:t>
      </w:r>
    </w:p>
    <w:p w14:paraId="17EC3A15" w14:textId="77777777" w:rsidR="00402094" w:rsidRPr="000E5111" w:rsidRDefault="00402094" w:rsidP="000D0009">
      <w:pPr>
        <w:pStyle w:val="Prrafodelista"/>
        <w:spacing w:line="360" w:lineRule="auto"/>
        <w:ind w:left="284"/>
        <w:jc w:val="both"/>
        <w:rPr>
          <w:rFonts w:ascii="Palatino Linotype" w:hAnsi="Palatino Linotype"/>
          <w:sz w:val="22"/>
          <w:szCs w:val="22"/>
        </w:rPr>
      </w:pPr>
    </w:p>
    <w:p w14:paraId="6592E323" w14:textId="77777777" w:rsidR="00505EBC" w:rsidRPr="000E5111" w:rsidRDefault="00505EBC" w:rsidP="006E19B5">
      <w:pPr>
        <w:spacing w:line="360" w:lineRule="auto"/>
        <w:jc w:val="both"/>
        <w:rPr>
          <w:rFonts w:ascii="Palatino Linotype" w:hAnsi="Palatino Linotype"/>
          <w:sz w:val="22"/>
          <w:szCs w:val="22"/>
        </w:rPr>
      </w:pPr>
      <w:r w:rsidRPr="000E5111">
        <w:rPr>
          <w:rFonts w:ascii="Palatino Linotype" w:hAnsi="Palatino Linotype"/>
          <w:sz w:val="22"/>
          <w:szCs w:val="22"/>
        </w:rPr>
        <w:t>El Sujeto Obligado en respuesta entregó la siguiente información:</w:t>
      </w:r>
    </w:p>
    <w:p w14:paraId="1866BFC3" w14:textId="4437BD59" w:rsidR="00505EBC" w:rsidRPr="000E5111" w:rsidRDefault="00505EBC" w:rsidP="00505EBC">
      <w:pPr>
        <w:pStyle w:val="Prrafodelista"/>
        <w:numPr>
          <w:ilvl w:val="0"/>
          <w:numId w:val="27"/>
        </w:num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Estado Analítico del Ejercicio del Presupuesto de Egresos Calificación por Objeto del Gasto del uno de enero al treinta y uno de marzo de dos mil veinticinco;</w:t>
      </w:r>
      <w:r w:rsidR="003054D7" w:rsidRPr="000E5111">
        <w:rPr>
          <w:rFonts w:ascii="Palatino Linotype" w:eastAsia="Palatino Linotype" w:hAnsi="Palatino Linotype" w:cs="Palatino Linotype"/>
          <w:sz w:val="22"/>
          <w:szCs w:val="22"/>
        </w:rPr>
        <w:t xml:space="preserve"> </w:t>
      </w:r>
    </w:p>
    <w:p w14:paraId="2967DE7E" w14:textId="4B0577D2" w:rsidR="00934131" w:rsidRPr="000E5111" w:rsidRDefault="00934131" w:rsidP="009B4F38">
      <w:pPr>
        <w:pStyle w:val="Prrafodelista"/>
        <w:spacing w:line="360" w:lineRule="auto"/>
        <w:jc w:val="center"/>
        <w:rPr>
          <w:rFonts w:ascii="Palatino Linotype" w:eastAsia="Palatino Linotype" w:hAnsi="Palatino Linotype" w:cs="Palatino Linotype"/>
          <w:sz w:val="22"/>
          <w:szCs w:val="22"/>
        </w:rPr>
      </w:pPr>
      <w:r w:rsidRPr="000E5111">
        <w:rPr>
          <w:rFonts w:ascii="Palatino Linotype" w:eastAsia="Palatino Linotype" w:hAnsi="Palatino Linotype" w:cs="Palatino Linotype"/>
          <w:noProof/>
          <w:sz w:val="22"/>
          <w:szCs w:val="22"/>
        </w:rPr>
        <w:drawing>
          <wp:inline distT="0" distB="0" distL="0" distR="0" wp14:anchorId="2BD2917A" wp14:editId="6B12990A">
            <wp:extent cx="5756275" cy="16090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1609090"/>
                    </a:xfrm>
                    <a:prstGeom prst="rect">
                      <a:avLst/>
                    </a:prstGeom>
                  </pic:spPr>
                </pic:pic>
              </a:graphicData>
            </a:graphic>
          </wp:inline>
        </w:drawing>
      </w:r>
    </w:p>
    <w:p w14:paraId="732E57ED" w14:textId="26076FFE" w:rsidR="003054D7" w:rsidRPr="000E5111" w:rsidRDefault="003054D7" w:rsidP="003054D7">
      <w:pPr>
        <w:spacing w:line="360" w:lineRule="auto"/>
        <w:jc w:val="both"/>
        <w:rPr>
          <w:rFonts w:ascii="Palatino Linotype" w:eastAsia="Palatino Linotype" w:hAnsi="Palatino Linotype" w:cs="Palatino Linotype"/>
          <w:sz w:val="22"/>
          <w:szCs w:val="22"/>
        </w:rPr>
      </w:pPr>
    </w:p>
    <w:p w14:paraId="0660242A" w14:textId="4F524C20" w:rsidR="003054D7" w:rsidRPr="000E5111" w:rsidRDefault="009B4F38" w:rsidP="003054D7">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Contingente económico de litigios laborales correspondientes al mes de mayo de dos mil veinticinco.</w:t>
      </w:r>
    </w:p>
    <w:p w14:paraId="15BFCC5B" w14:textId="30F8799B" w:rsidR="00505EBC" w:rsidRPr="000E5111" w:rsidRDefault="00505EBC" w:rsidP="0090790A">
      <w:pPr>
        <w:spacing w:line="360" w:lineRule="auto"/>
        <w:jc w:val="center"/>
        <w:rPr>
          <w:rFonts w:ascii="Palatino Linotype" w:eastAsia="Palatino Linotype" w:hAnsi="Palatino Linotype" w:cs="Palatino Linotype"/>
          <w:sz w:val="22"/>
          <w:szCs w:val="22"/>
        </w:rPr>
      </w:pPr>
      <w:r w:rsidRPr="000E5111">
        <w:rPr>
          <w:rFonts w:ascii="Palatino Linotype" w:eastAsia="Palatino Linotype" w:hAnsi="Palatino Linotype" w:cs="Palatino Linotype"/>
          <w:b/>
          <w:noProof/>
          <w:sz w:val="22"/>
          <w:szCs w:val="22"/>
        </w:rPr>
        <w:drawing>
          <wp:inline distT="0" distB="0" distL="0" distR="0" wp14:anchorId="475DF49E" wp14:editId="52DBB5C4">
            <wp:extent cx="3637699" cy="3505200"/>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89678" cy="3555286"/>
                    </a:xfrm>
                    <a:prstGeom prst="rect">
                      <a:avLst/>
                    </a:prstGeom>
                  </pic:spPr>
                </pic:pic>
              </a:graphicData>
            </a:graphic>
          </wp:inline>
        </w:drawing>
      </w:r>
    </w:p>
    <w:p w14:paraId="7A0F7993" w14:textId="18DD68E2" w:rsidR="00505EBC" w:rsidRPr="000E5111" w:rsidRDefault="00600B46" w:rsidP="006E19B5">
      <w:pPr>
        <w:spacing w:line="360" w:lineRule="auto"/>
        <w:jc w:val="both"/>
        <w:rPr>
          <w:rFonts w:ascii="Palatino Linotype" w:hAnsi="Palatino Linotype"/>
          <w:sz w:val="22"/>
          <w:szCs w:val="22"/>
        </w:rPr>
      </w:pPr>
      <w:r w:rsidRPr="000E5111">
        <w:rPr>
          <w:rFonts w:ascii="Palatino Linotype" w:hAnsi="Palatino Linotype"/>
          <w:sz w:val="22"/>
          <w:szCs w:val="22"/>
        </w:rPr>
        <w:t>Asimismo, entregó las siguientes direcciones electrónicas:</w:t>
      </w:r>
    </w:p>
    <w:p w14:paraId="010D7049" w14:textId="502A585E" w:rsidR="00600B46" w:rsidRPr="000E5111" w:rsidRDefault="00600B46" w:rsidP="006E19B5">
      <w:pPr>
        <w:spacing w:line="360" w:lineRule="auto"/>
        <w:jc w:val="both"/>
        <w:rPr>
          <w:rFonts w:ascii="Palatino Linotype" w:hAnsi="Palatino Linotype"/>
          <w:sz w:val="22"/>
          <w:szCs w:val="22"/>
        </w:rPr>
      </w:pPr>
      <w:r w:rsidRPr="000E5111">
        <w:rPr>
          <w:rFonts w:ascii="Palatino Linotype" w:hAnsi="Palatino Linotype"/>
          <w:noProof/>
          <w:sz w:val="22"/>
          <w:szCs w:val="22"/>
        </w:rPr>
        <w:drawing>
          <wp:inline distT="0" distB="0" distL="0" distR="0" wp14:anchorId="038CE778" wp14:editId="3F6E9BAA">
            <wp:extent cx="5756275" cy="1459865"/>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275" cy="1459865"/>
                    </a:xfrm>
                    <a:prstGeom prst="rect">
                      <a:avLst/>
                    </a:prstGeom>
                  </pic:spPr>
                </pic:pic>
              </a:graphicData>
            </a:graphic>
          </wp:inline>
        </w:drawing>
      </w:r>
    </w:p>
    <w:p w14:paraId="1156B1E3" w14:textId="0820627D" w:rsidR="00600B46" w:rsidRPr="000E5111" w:rsidRDefault="00600B46" w:rsidP="006E19B5">
      <w:pPr>
        <w:spacing w:line="360" w:lineRule="auto"/>
        <w:jc w:val="both"/>
        <w:rPr>
          <w:rFonts w:ascii="Palatino Linotype" w:hAnsi="Palatino Linotype"/>
          <w:sz w:val="22"/>
          <w:szCs w:val="22"/>
        </w:rPr>
      </w:pPr>
      <w:r w:rsidRPr="000E5111">
        <w:rPr>
          <w:rFonts w:ascii="Palatino Linotype" w:hAnsi="Palatino Linotype"/>
          <w:noProof/>
          <w:sz w:val="22"/>
          <w:szCs w:val="22"/>
        </w:rPr>
        <w:drawing>
          <wp:inline distT="0" distB="0" distL="0" distR="0" wp14:anchorId="5D6F04EA" wp14:editId="0B214E78">
            <wp:extent cx="5756275" cy="11715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6275" cy="1171575"/>
                    </a:xfrm>
                    <a:prstGeom prst="rect">
                      <a:avLst/>
                    </a:prstGeom>
                  </pic:spPr>
                </pic:pic>
              </a:graphicData>
            </a:graphic>
          </wp:inline>
        </w:drawing>
      </w:r>
    </w:p>
    <w:p w14:paraId="7B9958C0" w14:textId="77777777" w:rsidR="00600B46" w:rsidRPr="000E5111" w:rsidRDefault="00600B46" w:rsidP="006E19B5">
      <w:pPr>
        <w:spacing w:line="360" w:lineRule="auto"/>
        <w:jc w:val="both"/>
        <w:rPr>
          <w:rFonts w:ascii="Palatino Linotype" w:hAnsi="Palatino Linotype"/>
          <w:sz w:val="22"/>
          <w:szCs w:val="22"/>
        </w:rPr>
      </w:pPr>
    </w:p>
    <w:p w14:paraId="053FEF2E" w14:textId="2E0A27D5" w:rsidR="00600B46" w:rsidRPr="000E5111" w:rsidRDefault="00600B46" w:rsidP="00600B4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Al respecto de las direcciones electrónicas, es necesario precisar que la Ley de Transparencia y Acceso a la Información Pública del Estado de México y Municipios establece en su artículo 11 que en </w:t>
      </w:r>
      <w:r w:rsidRPr="000E5111">
        <w:rPr>
          <w:rFonts w:ascii="Palatino Linotype" w:eastAsia="Palatino Linotype" w:hAnsi="Palatino Linotype" w:cs="Palatino Linotype"/>
          <w:i/>
          <w:iCs/>
          <w:sz w:val="22"/>
          <w:szCs w:val="22"/>
        </w:rPr>
        <w:t xml:space="preserve">la entrega de la información se deberá garantizar que ésta sea </w:t>
      </w:r>
      <w:r w:rsidRPr="000E5111">
        <w:rPr>
          <w:rFonts w:ascii="Palatino Linotype" w:eastAsia="Palatino Linotype" w:hAnsi="Palatino Linotype" w:cs="Palatino Linotype"/>
          <w:b/>
          <w:bCs/>
          <w:i/>
          <w:iCs/>
          <w:sz w:val="22"/>
          <w:szCs w:val="22"/>
        </w:rPr>
        <w:t>accesible</w:t>
      </w:r>
      <w:r w:rsidRPr="000E5111">
        <w:rPr>
          <w:rFonts w:ascii="Palatino Linotype" w:eastAsia="Palatino Linotype" w:hAnsi="Palatino Linotype" w:cs="Palatino Linotype"/>
          <w:i/>
          <w:iCs/>
          <w:sz w:val="22"/>
          <w:szCs w:val="22"/>
        </w:rPr>
        <w:t xml:space="preserve">, </w:t>
      </w:r>
      <w:r w:rsidRPr="000E5111">
        <w:rPr>
          <w:rFonts w:ascii="Palatino Linotype" w:eastAsia="Palatino Linotype" w:hAnsi="Palatino Linotype" w:cs="Palatino Linotype"/>
          <w:b/>
          <w:bCs/>
          <w:i/>
          <w:iCs/>
          <w:sz w:val="22"/>
          <w:szCs w:val="22"/>
        </w:rPr>
        <w:t>actualizada, completa,</w:t>
      </w:r>
      <w:r w:rsidRPr="000E5111">
        <w:rPr>
          <w:rFonts w:ascii="Palatino Linotype" w:eastAsia="Palatino Linotype" w:hAnsi="Palatino Linotype" w:cs="Palatino Linotype"/>
          <w:i/>
          <w:iCs/>
          <w:sz w:val="22"/>
          <w:szCs w:val="22"/>
        </w:rPr>
        <w:t xml:space="preserve"> congruente, confiable, </w:t>
      </w:r>
      <w:r w:rsidRPr="000E5111">
        <w:rPr>
          <w:rFonts w:ascii="Palatino Linotype" w:eastAsia="Palatino Linotype" w:hAnsi="Palatino Linotype" w:cs="Palatino Linotype"/>
          <w:b/>
          <w:bCs/>
          <w:i/>
          <w:iCs/>
          <w:sz w:val="22"/>
          <w:szCs w:val="22"/>
        </w:rPr>
        <w:t>verificable</w:t>
      </w:r>
      <w:r w:rsidRPr="000E5111">
        <w:rPr>
          <w:rFonts w:ascii="Palatino Linotype" w:eastAsia="Palatino Linotype" w:hAnsi="Palatino Linotype" w:cs="Palatino Linotype"/>
          <w:i/>
          <w:iCs/>
          <w:sz w:val="22"/>
          <w:szCs w:val="22"/>
        </w:rPr>
        <w:t xml:space="preserve">, veraz, integral, oportuna y expedita. </w:t>
      </w:r>
      <w:r w:rsidRPr="000E5111">
        <w:rPr>
          <w:rFonts w:ascii="Palatino Linotype" w:eastAsia="Palatino Linotype" w:hAnsi="Palatino Linotype" w:cs="Palatino Linotype"/>
          <w:sz w:val="22"/>
          <w:szCs w:val="22"/>
        </w:rPr>
        <w:t>Asimismo, el artículo 161 de la Ley en comento, refiere lo siguiente:</w:t>
      </w:r>
    </w:p>
    <w:p w14:paraId="00C769C4" w14:textId="77777777" w:rsidR="00600B46" w:rsidRPr="000E5111" w:rsidRDefault="00600B46" w:rsidP="00600B46">
      <w:pPr>
        <w:pBdr>
          <w:top w:val="nil"/>
          <w:left w:val="nil"/>
          <w:bottom w:val="nil"/>
          <w:right w:val="nil"/>
          <w:between w:val="nil"/>
        </w:pBdr>
        <w:ind w:left="708"/>
        <w:jc w:val="both"/>
        <w:rPr>
          <w:rFonts w:ascii="Palatino Linotype" w:eastAsia="Palatino Linotype" w:hAnsi="Palatino Linotype" w:cs="Palatino Linotype"/>
          <w:sz w:val="22"/>
          <w:szCs w:val="22"/>
        </w:rPr>
      </w:pPr>
    </w:p>
    <w:p w14:paraId="7D314490" w14:textId="77777777" w:rsidR="00600B46" w:rsidRPr="000E5111" w:rsidRDefault="00600B46" w:rsidP="00600B46">
      <w:pPr>
        <w:spacing w:line="360" w:lineRule="auto"/>
        <w:ind w:left="567" w:right="567"/>
        <w:jc w:val="both"/>
        <w:rPr>
          <w:rFonts w:ascii="Palatino Linotype" w:eastAsia="Palatino Linotype" w:hAnsi="Palatino Linotype" w:cs="Palatino Linotype"/>
          <w:b/>
          <w:bCs/>
          <w:i/>
          <w:iCs/>
          <w:sz w:val="22"/>
          <w:szCs w:val="22"/>
        </w:rPr>
      </w:pPr>
      <w:r w:rsidRPr="000E5111">
        <w:rPr>
          <w:rFonts w:ascii="Palatino Linotype" w:eastAsia="Palatino Linotype" w:hAnsi="Palatino Linotype" w:cs="Palatino Linotype"/>
          <w:b/>
          <w:bCs/>
          <w:i/>
          <w:iCs/>
          <w:sz w:val="22"/>
          <w:szCs w:val="22"/>
        </w:rPr>
        <w:t xml:space="preserve">Artículo 161. Cuando la información requerida por el solicitante ya esté disponible al público </w:t>
      </w:r>
      <w:r w:rsidRPr="000E5111">
        <w:rPr>
          <w:rFonts w:ascii="Palatino Linotype" w:eastAsia="Palatino Linotype" w:hAnsi="Palatino Linotype" w:cs="Palatino Linotype"/>
          <w:i/>
          <w:iCs/>
          <w:sz w:val="22"/>
          <w:szCs w:val="22"/>
        </w:rPr>
        <w:t xml:space="preserve">en medios impresos, tales como libros, compendios, trípticos, registros públicos, </w:t>
      </w:r>
      <w:r w:rsidRPr="000E5111">
        <w:rPr>
          <w:rFonts w:ascii="Palatino Linotype" w:eastAsia="Palatino Linotype" w:hAnsi="Palatino Linotype" w:cs="Palatino Linotype"/>
          <w:b/>
          <w:bCs/>
          <w:i/>
          <w:iCs/>
          <w:sz w:val="22"/>
          <w:szCs w:val="22"/>
        </w:rPr>
        <w:t>en formatos electrónicos</w:t>
      </w:r>
      <w:r w:rsidRPr="000E5111">
        <w:rPr>
          <w:rFonts w:ascii="Palatino Linotype" w:eastAsia="Palatino Linotype" w:hAnsi="Palatino Linotype" w:cs="Palatino Linotype"/>
          <w:i/>
          <w:iCs/>
          <w:sz w:val="22"/>
          <w:szCs w:val="22"/>
        </w:rPr>
        <w:t xml:space="preserve"> disponibles en Internet o en cualquier otro medio, </w:t>
      </w:r>
      <w:r w:rsidRPr="000E5111">
        <w:rPr>
          <w:rFonts w:ascii="Palatino Linotype" w:eastAsia="Palatino Linotype" w:hAnsi="Palatino Linotype" w:cs="Palatino Linotype"/>
          <w:b/>
          <w:bCs/>
          <w:i/>
          <w:iCs/>
          <w:sz w:val="22"/>
          <w:szCs w:val="22"/>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662049A3" w14:textId="77777777" w:rsidR="00600B46" w:rsidRPr="000E5111" w:rsidRDefault="00600B46" w:rsidP="00600B4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FB5EB38" w14:textId="77777777" w:rsidR="00600B46" w:rsidRPr="000E5111" w:rsidRDefault="00600B46" w:rsidP="00600B4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Es así que, toda aquella información que sea requerida por los particulares que, previamente se encuentre disponible en sitios electrónicos, como puede ser de manera enunciativa más no limitativa, el sitio oficial del Sujeto Obligado o el portal IPOMEX o las páginas institucionales. Los Sujetos Obligado deben indicar la dirección electrónica donde obra la información solicitada. </w:t>
      </w:r>
      <w:r w:rsidRPr="000E5111">
        <w:rPr>
          <w:rFonts w:ascii="Palatino Linotype" w:eastAsia="Palatino Linotype" w:hAnsi="Palatino Linotype" w:cs="Palatino Linotype"/>
          <w:b/>
          <w:bCs/>
          <w:sz w:val="22"/>
          <w:szCs w:val="22"/>
        </w:rPr>
        <w:t>Esta dirección electrónica debe ser precisa, de tal modo que no implique realizar una búsqueda en toda la información que ahí se encuentre, debiendo cumplir</w:t>
      </w:r>
      <w:r w:rsidRPr="000E5111">
        <w:rPr>
          <w:rFonts w:ascii="Palatino Linotype" w:eastAsia="Palatino Linotype" w:hAnsi="Palatino Linotype" w:cs="Palatino Linotype"/>
          <w:sz w:val="22"/>
          <w:szCs w:val="22"/>
        </w:rPr>
        <w:t xml:space="preserve"> una serie de requisitos, a saber:</w:t>
      </w:r>
    </w:p>
    <w:p w14:paraId="010DD0F6" w14:textId="77777777" w:rsidR="00600B46" w:rsidRPr="000E5111" w:rsidRDefault="00600B46" w:rsidP="00600B4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A162C89" w14:textId="77777777" w:rsidR="00600B46" w:rsidRPr="000E5111" w:rsidRDefault="00600B46" w:rsidP="00600B46">
      <w:pPr>
        <w:numPr>
          <w:ilvl w:val="0"/>
          <w:numId w:val="17"/>
        </w:numPr>
        <w:pBdr>
          <w:top w:val="nil"/>
          <w:left w:val="nil"/>
          <w:bottom w:val="nil"/>
          <w:right w:val="nil"/>
          <w:between w:val="nil"/>
        </w:pBdr>
        <w:spacing w:line="360" w:lineRule="auto"/>
        <w:ind w:right="48"/>
        <w:jc w:val="both"/>
        <w:rPr>
          <w:rFonts w:ascii="Palatino Linotype" w:eastAsia="Palatino Linotype" w:hAnsi="Palatino Linotype" w:cs="Palatino Linotype"/>
          <w:b/>
          <w:bCs/>
          <w:sz w:val="22"/>
          <w:szCs w:val="22"/>
        </w:rPr>
      </w:pPr>
      <w:r w:rsidRPr="000E5111">
        <w:rPr>
          <w:rFonts w:ascii="Palatino Linotype" w:eastAsia="Palatino Linotype" w:hAnsi="Palatino Linotype" w:cs="Palatino Linotype"/>
          <w:b/>
          <w:bCs/>
          <w:sz w:val="22"/>
          <w:szCs w:val="22"/>
        </w:rPr>
        <w:t>La dirección electrónica debe señalarse en un plazo no mayor a cinco días hábiles;</w:t>
      </w:r>
    </w:p>
    <w:p w14:paraId="0FB73BF8" w14:textId="77777777" w:rsidR="00600B46" w:rsidRPr="000E5111" w:rsidRDefault="00600B46" w:rsidP="00600B46">
      <w:pPr>
        <w:numPr>
          <w:ilvl w:val="0"/>
          <w:numId w:val="17"/>
        </w:numPr>
        <w:pBdr>
          <w:top w:val="nil"/>
          <w:left w:val="nil"/>
          <w:bottom w:val="nil"/>
          <w:right w:val="nil"/>
          <w:between w:val="nil"/>
        </w:pBdr>
        <w:spacing w:line="360" w:lineRule="auto"/>
        <w:ind w:right="48"/>
        <w:jc w:val="both"/>
        <w:rPr>
          <w:rFonts w:ascii="Palatino Linotype" w:eastAsia="Palatino Linotype" w:hAnsi="Palatino Linotype" w:cs="Palatino Linotype"/>
          <w:b/>
          <w:bCs/>
          <w:sz w:val="22"/>
          <w:szCs w:val="22"/>
        </w:rPr>
      </w:pPr>
      <w:r w:rsidRPr="000E5111">
        <w:rPr>
          <w:rFonts w:ascii="Palatino Linotype" w:eastAsia="Palatino Linotype" w:hAnsi="Palatino Linotype" w:cs="Palatino Linotype"/>
          <w:b/>
          <w:bCs/>
          <w:sz w:val="22"/>
          <w:szCs w:val="22"/>
        </w:rPr>
        <w:t>La dirección electrónica debe ser precisa, de tal modo que no implique realizar una búsqueda en toda la información que ahí se encuentre; y,</w:t>
      </w:r>
    </w:p>
    <w:p w14:paraId="038460EB" w14:textId="77777777" w:rsidR="00600B46" w:rsidRPr="000E5111" w:rsidRDefault="00600B46" w:rsidP="00600B46">
      <w:pPr>
        <w:numPr>
          <w:ilvl w:val="0"/>
          <w:numId w:val="17"/>
        </w:numPr>
        <w:pBdr>
          <w:top w:val="nil"/>
          <w:left w:val="nil"/>
          <w:bottom w:val="nil"/>
          <w:right w:val="nil"/>
          <w:between w:val="nil"/>
        </w:pBdr>
        <w:spacing w:line="360" w:lineRule="auto"/>
        <w:ind w:right="48"/>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bCs/>
          <w:sz w:val="22"/>
          <w:szCs w:val="22"/>
        </w:rPr>
        <w:t>La dirección electrónica debe ir acompañada del procedimiento a seguir, en caso de que la información se encuentre en distintos puntos del sitio electrónico referido; y,</w:t>
      </w:r>
    </w:p>
    <w:p w14:paraId="0886BB9A" w14:textId="77777777" w:rsidR="00600B46" w:rsidRPr="000E5111" w:rsidRDefault="00600B46" w:rsidP="00600B46">
      <w:pPr>
        <w:numPr>
          <w:ilvl w:val="0"/>
          <w:numId w:val="17"/>
        </w:numPr>
        <w:pBdr>
          <w:top w:val="nil"/>
          <w:left w:val="nil"/>
          <w:bottom w:val="nil"/>
          <w:right w:val="nil"/>
          <w:between w:val="nil"/>
        </w:pBdr>
        <w:spacing w:line="360" w:lineRule="auto"/>
        <w:ind w:right="48"/>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bCs/>
          <w:sz w:val="22"/>
          <w:szCs w:val="22"/>
          <w:u w:val="single"/>
        </w:rPr>
        <w:t>La dirección electrónica se debe entregar en formato abierto,</w:t>
      </w:r>
      <w:r w:rsidRPr="000E5111">
        <w:rPr>
          <w:rFonts w:ascii="Palatino Linotype" w:eastAsia="Palatino Linotype" w:hAnsi="Palatino Linotype" w:cs="Palatino Linotype"/>
          <w:b/>
          <w:bCs/>
          <w:sz w:val="22"/>
          <w:szCs w:val="22"/>
        </w:rPr>
        <w:t xml:space="preserve"> para que el Recurrente pueda copiar y pegar sin la necesidad de transcribir la liga electrónica.</w:t>
      </w:r>
    </w:p>
    <w:p w14:paraId="33D7C2D3" w14:textId="77777777" w:rsidR="00600B46" w:rsidRPr="000E5111" w:rsidRDefault="00600B46" w:rsidP="00600B4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759D980" w14:textId="77777777" w:rsidR="00600B46" w:rsidRPr="000E5111" w:rsidRDefault="00600B46" w:rsidP="00600B46">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4CF9F893" w14:textId="77777777" w:rsidR="00600B46" w:rsidRPr="000E5111" w:rsidRDefault="00600B46" w:rsidP="00600B46">
      <w:pPr>
        <w:spacing w:line="360" w:lineRule="auto"/>
        <w:jc w:val="both"/>
        <w:rPr>
          <w:rFonts w:ascii="Palatino Linotype" w:eastAsia="Palatino Linotype" w:hAnsi="Palatino Linotype" w:cs="Palatino Linotype"/>
          <w:sz w:val="22"/>
          <w:szCs w:val="22"/>
        </w:rPr>
      </w:pPr>
    </w:p>
    <w:p w14:paraId="2CC20562" w14:textId="77777777" w:rsidR="00600B46" w:rsidRPr="000E5111" w:rsidRDefault="00600B46" w:rsidP="00600B46">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2A553C3F" w14:textId="77777777" w:rsidR="00600B46" w:rsidRPr="000E5111" w:rsidRDefault="00600B46" w:rsidP="00600B46">
      <w:pPr>
        <w:spacing w:line="360" w:lineRule="auto"/>
        <w:jc w:val="both"/>
        <w:rPr>
          <w:rFonts w:ascii="Palatino Linotype" w:eastAsia="Palatino Linotype" w:hAnsi="Palatino Linotype" w:cs="Palatino Linotype"/>
          <w:sz w:val="22"/>
          <w:szCs w:val="22"/>
        </w:rPr>
      </w:pPr>
    </w:p>
    <w:p w14:paraId="22F506D8" w14:textId="77777777" w:rsidR="00600B46" w:rsidRPr="000E5111" w:rsidRDefault="00600B46" w:rsidP="00600B46">
      <w:pPr>
        <w:numPr>
          <w:ilvl w:val="0"/>
          <w:numId w:val="16"/>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E5111">
        <w:rPr>
          <w:rFonts w:ascii="Palatino Linotype" w:eastAsia="Palatino Linotype" w:hAnsi="Palatino Linotype" w:cs="Palatino Linotype"/>
          <w:b/>
          <w:bCs/>
          <w:sz w:val="22"/>
          <w:szCs w:val="22"/>
        </w:rPr>
        <w:t xml:space="preserve">Dato abierto: </w:t>
      </w:r>
      <w:r w:rsidRPr="000E5111">
        <w:rPr>
          <w:rFonts w:ascii="Palatino Linotype" w:eastAsia="Palatino Linotype" w:hAnsi="Palatino Linotype" w:cs="Palatino Linotype"/>
          <w:sz w:val="22"/>
          <w:szCs w:val="22"/>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2D144AA9" w14:textId="77777777" w:rsidR="00600B46" w:rsidRPr="000E5111" w:rsidRDefault="00600B46" w:rsidP="00600B46">
      <w:pPr>
        <w:numPr>
          <w:ilvl w:val="0"/>
          <w:numId w:val="16"/>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E5111">
        <w:rPr>
          <w:rFonts w:ascii="Palatino Linotype" w:eastAsia="Palatino Linotype" w:hAnsi="Palatino Linotype" w:cs="Palatino Linotype"/>
          <w:b/>
          <w:bCs/>
          <w:sz w:val="22"/>
          <w:szCs w:val="22"/>
        </w:rPr>
        <w:t xml:space="preserve">Formato accesible: </w:t>
      </w:r>
      <w:r w:rsidRPr="000E5111">
        <w:rPr>
          <w:rFonts w:ascii="Palatino Linotype" w:eastAsia="Palatino Linotype" w:hAnsi="Palatino Linotype" w:cs="Palatino Linotype"/>
          <w:sz w:val="22"/>
          <w:szCs w:val="22"/>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7E810617" w14:textId="77777777" w:rsidR="00600B46" w:rsidRPr="000E5111" w:rsidRDefault="00600B46" w:rsidP="00600B46">
      <w:pPr>
        <w:spacing w:line="360" w:lineRule="auto"/>
        <w:jc w:val="both"/>
        <w:rPr>
          <w:rFonts w:ascii="Palatino Linotype" w:eastAsia="Palatino Linotype" w:hAnsi="Palatino Linotype" w:cs="Palatino Linotype"/>
          <w:sz w:val="22"/>
          <w:szCs w:val="22"/>
        </w:rPr>
      </w:pPr>
    </w:p>
    <w:p w14:paraId="08C8720B" w14:textId="2447CBC0" w:rsidR="009B4F38" w:rsidRPr="000E5111" w:rsidRDefault="00600B46" w:rsidP="00600B46">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El Sujeto Obligado entregó la información en formato </w:t>
      </w:r>
      <w:r w:rsidR="009B4F38" w:rsidRPr="000E5111">
        <w:rPr>
          <w:rFonts w:ascii="Palatino Linotype" w:eastAsia="Palatino Linotype" w:hAnsi="Palatino Linotype" w:cs="Palatino Linotype"/>
          <w:sz w:val="22"/>
          <w:szCs w:val="22"/>
        </w:rPr>
        <w:t>abierto, y dirige al Estado Analítico del Ejercicio del Presupuesto de Egresos Clasificación por Objeto del Gasto enero a marzo, el cual ya fue entregado; mientras que la segunda dirección dirige al marco normativo del Órgano Superior de Fiscalización.</w:t>
      </w:r>
    </w:p>
    <w:p w14:paraId="02333252" w14:textId="77777777" w:rsidR="009B4F38" w:rsidRPr="000E5111" w:rsidRDefault="009B4F38" w:rsidP="00600B46">
      <w:pPr>
        <w:spacing w:line="360" w:lineRule="auto"/>
        <w:jc w:val="both"/>
        <w:rPr>
          <w:rFonts w:ascii="Palatino Linotype" w:eastAsia="Palatino Linotype" w:hAnsi="Palatino Linotype" w:cs="Palatino Linotype"/>
          <w:sz w:val="22"/>
          <w:szCs w:val="22"/>
        </w:rPr>
      </w:pPr>
    </w:p>
    <w:p w14:paraId="444BDDF2" w14:textId="480BCFF1" w:rsidR="0090790A" w:rsidRPr="000E5111" w:rsidRDefault="0090790A" w:rsidP="0090790A">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Expuesto lo anterior, este Organismo Garante considera oportuno puntualizar que de la solicitud de información no se advierte que la parte </w:t>
      </w:r>
      <w:r w:rsidRPr="000E5111">
        <w:rPr>
          <w:rFonts w:ascii="Palatino Linotype" w:eastAsia="Palatino Linotype" w:hAnsi="Palatino Linotype" w:cs="Palatino Linotype"/>
          <w:b/>
          <w:sz w:val="22"/>
          <w:szCs w:val="22"/>
        </w:rPr>
        <w:t>Recurrente</w:t>
      </w:r>
      <w:r w:rsidRPr="000E5111">
        <w:rPr>
          <w:rFonts w:ascii="Palatino Linotype" w:eastAsia="Palatino Linotype" w:hAnsi="Palatino Linotype" w:cs="Palatino Linotype"/>
          <w:sz w:val="22"/>
          <w:szCs w:val="22"/>
        </w:rPr>
        <w:t xml:space="preserve"> precisara temporalidad de la información solicitada,</w:t>
      </w:r>
      <w:r w:rsidR="006D6DBC" w:rsidRPr="000E5111">
        <w:rPr>
          <w:rFonts w:ascii="Palatino Linotype" w:eastAsia="Palatino Linotype" w:hAnsi="Palatino Linotype" w:cs="Palatino Linotype"/>
          <w:sz w:val="22"/>
          <w:szCs w:val="22"/>
        </w:rPr>
        <w:t xml:space="preserve"> únicamente se basa en señalar los informados por el Presidente Municipal; sin referir temporalidad, medio o acta de cabildo en específico,</w:t>
      </w:r>
      <w:r w:rsidRPr="000E5111">
        <w:rPr>
          <w:rFonts w:ascii="Palatino Linotype" w:eastAsia="Palatino Linotype" w:hAnsi="Palatino Linotype" w:cs="Palatino Linotype"/>
          <w:sz w:val="22"/>
          <w:szCs w:val="22"/>
        </w:rPr>
        <w:t xml:space="preserve"> por lo que resulta aplicable el criterio de interpretación 03/19 emitido por el entonces Instituto Nacional de Transparencia, Acceso a la Información Y Protección de Datos Personales, el cual refiere lo siguiente: </w:t>
      </w:r>
      <w:r w:rsidRPr="000E5111">
        <w:rPr>
          <w:rFonts w:ascii="Palatino Linotype" w:eastAsia="Palatino Linotype" w:hAnsi="Palatino Linotype" w:cs="Palatino Linotype"/>
          <w:i/>
          <w:sz w:val="22"/>
          <w:szCs w:val="22"/>
        </w:rPr>
        <w:t>“Periodo de búsqueda de la información. Cuando la persona solicitante no señale el periodo respecto del cual requiere la información se considerará que el requerimiento se refiere al año inmediato anterior, contado a partir de la fecha de recepción de la solicitud.”</w:t>
      </w:r>
      <w:r w:rsidRPr="000E5111">
        <w:rPr>
          <w:rFonts w:ascii="Palatino Linotype" w:eastAsia="Palatino Linotype" w:hAnsi="Palatino Linotype" w:cs="Palatino Linotype"/>
          <w:sz w:val="22"/>
          <w:szCs w:val="22"/>
        </w:rPr>
        <w:t xml:space="preserve">. De manera que, ante la omisión por parte del solicitante, la información que es susceptible de entrega, en su caso, corresponde a la que el </w:t>
      </w:r>
      <w:r w:rsidRPr="000E5111">
        <w:rPr>
          <w:rFonts w:ascii="Palatino Linotype" w:eastAsia="Palatino Linotype" w:hAnsi="Palatino Linotype" w:cs="Palatino Linotype"/>
          <w:b/>
          <w:sz w:val="22"/>
          <w:szCs w:val="22"/>
        </w:rPr>
        <w:t>Sujeto Obligado</w:t>
      </w:r>
      <w:r w:rsidRPr="000E5111">
        <w:rPr>
          <w:rFonts w:ascii="Palatino Linotype" w:eastAsia="Palatino Linotype" w:hAnsi="Palatino Linotype" w:cs="Palatino Linotype"/>
          <w:sz w:val="22"/>
          <w:szCs w:val="22"/>
        </w:rPr>
        <w:t xml:space="preserve"> hubiera generado, administrado o poseído en el año inmediato anterior contado a partir de la fecha de presentación de la solicitud</w:t>
      </w:r>
      <w:r w:rsidR="006D6DBC" w:rsidRPr="000E5111">
        <w:rPr>
          <w:rFonts w:ascii="Palatino Linotype" w:eastAsia="Palatino Linotype" w:hAnsi="Palatino Linotype" w:cs="Palatino Linotype"/>
          <w:sz w:val="22"/>
          <w:szCs w:val="22"/>
        </w:rPr>
        <w:t>, es decir, del diez</w:t>
      </w:r>
      <w:r w:rsidRPr="000E5111">
        <w:rPr>
          <w:rFonts w:ascii="Palatino Linotype" w:eastAsia="Palatino Linotype" w:hAnsi="Palatino Linotype" w:cs="Palatino Linotype"/>
          <w:sz w:val="22"/>
          <w:szCs w:val="22"/>
        </w:rPr>
        <w:t xml:space="preserve"> de ju</w:t>
      </w:r>
      <w:r w:rsidR="006D6DBC" w:rsidRPr="000E5111">
        <w:rPr>
          <w:rFonts w:ascii="Palatino Linotype" w:eastAsia="Palatino Linotype" w:hAnsi="Palatino Linotype" w:cs="Palatino Linotype"/>
          <w:sz w:val="22"/>
          <w:szCs w:val="22"/>
        </w:rPr>
        <w:t>nio</w:t>
      </w:r>
      <w:r w:rsidRPr="000E5111">
        <w:rPr>
          <w:rFonts w:ascii="Palatino Linotype" w:eastAsia="Palatino Linotype" w:hAnsi="Palatino Linotype" w:cs="Palatino Linotype"/>
          <w:sz w:val="22"/>
          <w:szCs w:val="22"/>
        </w:rPr>
        <w:t xml:space="preserve"> de dos mil veinticuatro al </w:t>
      </w:r>
      <w:r w:rsidR="006D6DBC" w:rsidRPr="000E5111">
        <w:rPr>
          <w:rFonts w:ascii="Palatino Linotype" w:eastAsia="Palatino Linotype" w:hAnsi="Palatino Linotype" w:cs="Palatino Linotype"/>
          <w:sz w:val="22"/>
          <w:szCs w:val="22"/>
        </w:rPr>
        <w:t>diez</w:t>
      </w:r>
      <w:r w:rsidRPr="000E5111">
        <w:rPr>
          <w:rFonts w:ascii="Palatino Linotype" w:eastAsia="Palatino Linotype" w:hAnsi="Palatino Linotype" w:cs="Palatino Linotype"/>
          <w:sz w:val="22"/>
          <w:szCs w:val="22"/>
        </w:rPr>
        <w:t xml:space="preserve"> de ju</w:t>
      </w:r>
      <w:r w:rsidR="006D6DBC" w:rsidRPr="000E5111">
        <w:rPr>
          <w:rFonts w:ascii="Palatino Linotype" w:eastAsia="Palatino Linotype" w:hAnsi="Palatino Linotype" w:cs="Palatino Linotype"/>
          <w:sz w:val="22"/>
          <w:szCs w:val="22"/>
        </w:rPr>
        <w:t>nio</w:t>
      </w:r>
      <w:r w:rsidRPr="000E5111">
        <w:rPr>
          <w:rFonts w:ascii="Palatino Linotype" w:eastAsia="Palatino Linotype" w:hAnsi="Palatino Linotype" w:cs="Palatino Linotype"/>
          <w:sz w:val="22"/>
          <w:szCs w:val="22"/>
        </w:rPr>
        <w:t xml:space="preserve"> de dos mil veinticinco. </w:t>
      </w:r>
      <w:r w:rsidR="006D6DBC" w:rsidRPr="000E5111">
        <w:rPr>
          <w:rFonts w:ascii="Palatino Linotype" w:eastAsia="Palatino Linotype" w:hAnsi="Palatino Linotype" w:cs="Palatino Linotype"/>
          <w:sz w:val="22"/>
          <w:szCs w:val="22"/>
        </w:rPr>
        <w:t xml:space="preserve"> </w:t>
      </w:r>
    </w:p>
    <w:p w14:paraId="38D75011" w14:textId="77777777" w:rsidR="00505EBC" w:rsidRPr="000E5111" w:rsidRDefault="00505EBC" w:rsidP="006E19B5">
      <w:pPr>
        <w:spacing w:line="360" w:lineRule="auto"/>
        <w:jc w:val="both"/>
        <w:rPr>
          <w:rFonts w:ascii="Palatino Linotype" w:hAnsi="Palatino Linotype"/>
          <w:sz w:val="22"/>
          <w:szCs w:val="22"/>
        </w:rPr>
      </w:pPr>
    </w:p>
    <w:p w14:paraId="31516BF6" w14:textId="77777777" w:rsidR="00FD3CB6" w:rsidRPr="000E5111" w:rsidRDefault="00FD3CB6" w:rsidP="00FD3CB6">
      <w:pPr>
        <w:widowControl w:val="0"/>
        <w:tabs>
          <w:tab w:val="left" w:pos="1701"/>
          <w:tab w:val="left" w:pos="1843"/>
        </w:tabs>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Previo al análisis de la respuesta es necesario precisar que el artículo 90 del Bando Municipal del Ayuntamiento de Toluca vigente, establece que, para el despacho, estudio y planeación de los diversos asuntos de la administración municipal, el </w:t>
      </w:r>
      <w:r w:rsidRPr="000E5111">
        <w:rPr>
          <w:rFonts w:ascii="Palatino Linotype" w:eastAsia="Palatino Linotype" w:hAnsi="Palatino Linotype" w:cs="Palatino Linotype"/>
          <w:b/>
          <w:sz w:val="22"/>
          <w:szCs w:val="22"/>
        </w:rPr>
        <w:t>Sujeto Obligado</w:t>
      </w:r>
      <w:r w:rsidRPr="000E5111">
        <w:rPr>
          <w:rFonts w:ascii="Palatino Linotype" w:eastAsia="Palatino Linotype" w:hAnsi="Palatino Linotype" w:cs="Palatino Linotype"/>
          <w:sz w:val="22"/>
          <w:szCs w:val="22"/>
        </w:rPr>
        <w:t xml:space="preserve"> contará con una Secretaría del Ayuntamiento, Tesorería Municipal y Dirección General de Administración, tal y como se muestra a continuación: </w:t>
      </w:r>
    </w:p>
    <w:p w14:paraId="1BA77DEF" w14:textId="77777777" w:rsidR="00FD3CB6" w:rsidRPr="000E5111" w:rsidRDefault="00FD3CB6" w:rsidP="00FD3CB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396EAD5"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r w:rsidRPr="000E5111">
        <w:rPr>
          <w:rFonts w:ascii="Palatino Linotype" w:eastAsia="Palatino Linotype" w:hAnsi="Palatino Linotype" w:cs="Palatino Linotype"/>
          <w:b/>
          <w:i/>
          <w:sz w:val="22"/>
          <w:szCs w:val="22"/>
        </w:rPr>
        <w:t xml:space="preserve">Artículo 90. </w:t>
      </w:r>
      <w:r w:rsidRPr="000E5111">
        <w:rPr>
          <w:rFonts w:ascii="Palatino Linotype" w:eastAsia="Palatino Linotype" w:hAnsi="Palatino Linotype" w:cs="Palatino Linotype"/>
          <w:i/>
          <w:sz w:val="22"/>
          <w:szCs w:val="22"/>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14:paraId="4FBB98E9"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 DEPENDENCIAS:</w:t>
      </w:r>
    </w:p>
    <w:p w14:paraId="6AE610F0"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b/>
          <w:i/>
          <w:sz w:val="22"/>
          <w:szCs w:val="22"/>
          <w:u w:val="single"/>
        </w:rPr>
      </w:pPr>
      <w:r w:rsidRPr="000E5111">
        <w:rPr>
          <w:rFonts w:ascii="Palatino Linotype" w:eastAsia="Palatino Linotype" w:hAnsi="Palatino Linotype" w:cs="Palatino Linotype"/>
          <w:b/>
          <w:i/>
          <w:sz w:val="22"/>
          <w:szCs w:val="22"/>
          <w:u w:val="single"/>
        </w:rPr>
        <w:t>1. Secretaría del Ayuntamiento;</w:t>
      </w:r>
    </w:p>
    <w:p w14:paraId="1724AF6A"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b/>
          <w:i/>
          <w:sz w:val="22"/>
          <w:szCs w:val="22"/>
          <w:u w:val="single"/>
        </w:rPr>
      </w:pPr>
      <w:r w:rsidRPr="000E5111">
        <w:rPr>
          <w:rFonts w:ascii="Palatino Linotype" w:eastAsia="Palatino Linotype" w:hAnsi="Palatino Linotype" w:cs="Palatino Linotype"/>
          <w:b/>
          <w:i/>
          <w:sz w:val="22"/>
          <w:szCs w:val="22"/>
          <w:u w:val="single"/>
        </w:rPr>
        <w:t>2. Tesorería Municipal;</w:t>
      </w:r>
    </w:p>
    <w:p w14:paraId="756A4275"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3. Órgano Interno de Control;</w:t>
      </w:r>
    </w:p>
    <w:p w14:paraId="08847140"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4. Dirección General de Gobierno;</w:t>
      </w:r>
    </w:p>
    <w:p w14:paraId="5BF969B5"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5. Dirección General de Seguridad y Protección;</w:t>
      </w:r>
    </w:p>
    <w:p w14:paraId="0A592D35"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b/>
          <w:i/>
          <w:sz w:val="22"/>
          <w:szCs w:val="22"/>
          <w:u w:val="single"/>
        </w:rPr>
      </w:pPr>
      <w:r w:rsidRPr="000E5111">
        <w:rPr>
          <w:rFonts w:ascii="Palatino Linotype" w:eastAsia="Palatino Linotype" w:hAnsi="Palatino Linotype" w:cs="Palatino Linotype"/>
          <w:b/>
          <w:i/>
          <w:sz w:val="22"/>
          <w:szCs w:val="22"/>
          <w:u w:val="single"/>
        </w:rPr>
        <w:t>6. Dirección General de Administración;</w:t>
      </w:r>
    </w:p>
    <w:p w14:paraId="1A2805AD"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7. Dirección General de Medio Ambiente;</w:t>
      </w:r>
    </w:p>
    <w:p w14:paraId="0C6E72E6"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8. Dirección General de Servicios Públicos;</w:t>
      </w:r>
    </w:p>
    <w:p w14:paraId="043AAC1D"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9. Dirección General de Innovación, Planeación y Gestión Urbana;</w:t>
      </w:r>
    </w:p>
    <w:p w14:paraId="59E97DBF"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10. Dirección General de Obras Públicas;</w:t>
      </w:r>
    </w:p>
    <w:p w14:paraId="6D89DE7A"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11. Dirección General de Desarrollo Económico;</w:t>
      </w:r>
    </w:p>
    <w:p w14:paraId="5D28E335"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12. Dirección General de Bienestar; y</w:t>
      </w:r>
    </w:p>
    <w:p w14:paraId="04A14FE2"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13.Dirección General de Educación, Cultura y Turismo…”</w:t>
      </w:r>
    </w:p>
    <w:p w14:paraId="3B824C98"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(Énfasis Añadido)</w:t>
      </w:r>
    </w:p>
    <w:p w14:paraId="10C1459A" w14:textId="77777777" w:rsidR="00FD3CB6" w:rsidRPr="000E5111" w:rsidRDefault="00FD3CB6" w:rsidP="00FD3CB6">
      <w:pPr>
        <w:pBdr>
          <w:top w:val="nil"/>
          <w:left w:val="nil"/>
          <w:bottom w:val="nil"/>
          <w:right w:val="nil"/>
          <w:between w:val="nil"/>
        </w:pBdr>
        <w:tabs>
          <w:tab w:val="left" w:pos="709"/>
        </w:tabs>
        <w:spacing w:line="276" w:lineRule="auto"/>
        <w:ind w:left="851" w:right="616"/>
        <w:jc w:val="both"/>
        <w:rPr>
          <w:rFonts w:ascii="Palatino Linotype" w:eastAsia="Palatino Linotype" w:hAnsi="Palatino Linotype" w:cs="Palatino Linotype"/>
          <w:sz w:val="22"/>
          <w:szCs w:val="22"/>
        </w:rPr>
      </w:pPr>
    </w:p>
    <w:p w14:paraId="6197EB60" w14:textId="77777777" w:rsidR="00FD3CB6" w:rsidRPr="000E5111" w:rsidRDefault="00FD3CB6" w:rsidP="00FD3CB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En esa tesitura, los artículos 3.14, 3.15, 3.21, 3.31, 3.32 y 3.33 del Código Reglamentario Municipal de Toluca refieren que dichas dependencias tiene las siguientes atribuciones: </w:t>
      </w:r>
    </w:p>
    <w:p w14:paraId="1C2DB830" w14:textId="77777777" w:rsidR="00FD3CB6" w:rsidRPr="000E5111" w:rsidRDefault="00FD3CB6" w:rsidP="00FD3CB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0FFDC03"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“Artículo 3.14. </w:t>
      </w:r>
      <w:r w:rsidRPr="000E5111">
        <w:rPr>
          <w:rFonts w:ascii="Palatino Linotype" w:eastAsia="Palatino Linotype" w:hAnsi="Palatino Linotype" w:cs="Palatino Linotype"/>
          <w:b/>
          <w:i/>
          <w:sz w:val="22"/>
          <w:szCs w:val="22"/>
        </w:rPr>
        <w:t xml:space="preserve">La Secretaría del Ayuntamiento, para el cumplimiento de sus atribuciones, se auxiliará de </w:t>
      </w:r>
      <w:r w:rsidRPr="000E5111">
        <w:rPr>
          <w:rFonts w:ascii="Palatino Linotype" w:eastAsia="Palatino Linotype" w:hAnsi="Palatino Linotype" w:cs="Palatino Linotype"/>
          <w:i/>
          <w:sz w:val="22"/>
          <w:szCs w:val="22"/>
        </w:rPr>
        <w:t xml:space="preserve">una Coordinación de Apoyo Técnico; una Delegación Administrativa; una Coordinación de Apoyo al Sistema Municipal Anticorrupción; </w:t>
      </w:r>
      <w:r w:rsidRPr="000E5111">
        <w:rPr>
          <w:rFonts w:ascii="Palatino Linotype" w:eastAsia="Palatino Linotype" w:hAnsi="Palatino Linotype" w:cs="Palatino Linotype"/>
          <w:b/>
          <w:i/>
          <w:sz w:val="22"/>
          <w:szCs w:val="22"/>
        </w:rPr>
        <w:t>una Consejería Jurídica</w:t>
      </w:r>
      <w:r w:rsidRPr="000E5111">
        <w:rPr>
          <w:rFonts w:ascii="Palatino Linotype" w:eastAsia="Palatino Linotype" w:hAnsi="Palatino Linotype" w:cs="Palatino Linotype"/>
          <w:i/>
          <w:sz w:val="22"/>
          <w:szCs w:val="22"/>
        </w:rPr>
        <w:t>; un Coordinación de Apoyo a Cabildo; un Departamento de Patrimonio Municipal; un Departamento de Constancias de Vecindad y Certificaciones; una Preceptoría Juvenil Regional de Reintegración Social; una Unidad de Transparencia; una Coordinación de Atención Ciudadana y Correspondencia; una Coordinación de Protección Civil y Bomberos y las demás Unidades Administrativas necesarias para el cumplimiento de sus atribuciones.</w:t>
      </w:r>
    </w:p>
    <w:p w14:paraId="12A81903"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55D44B39"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r w:rsidRPr="000E5111">
        <w:rPr>
          <w:rFonts w:ascii="Palatino Linotype" w:eastAsia="Palatino Linotype" w:hAnsi="Palatino Linotype" w:cs="Palatino Linotype"/>
          <w:b/>
          <w:i/>
          <w:sz w:val="22"/>
          <w:szCs w:val="22"/>
        </w:rPr>
        <w:t>Artículo 3.15.</w:t>
      </w:r>
      <w:r w:rsidRPr="000E5111">
        <w:rPr>
          <w:rFonts w:ascii="Palatino Linotype" w:eastAsia="Palatino Linotype" w:hAnsi="Palatino Linotype" w:cs="Palatino Linotype"/>
          <w:i/>
          <w:sz w:val="22"/>
          <w:szCs w:val="22"/>
        </w:rPr>
        <w:t xml:space="preserve"> La o el titular de </w:t>
      </w:r>
      <w:r w:rsidRPr="000E5111">
        <w:rPr>
          <w:rFonts w:ascii="Palatino Linotype" w:eastAsia="Palatino Linotype" w:hAnsi="Palatino Linotype" w:cs="Palatino Linotype"/>
          <w:b/>
          <w:i/>
          <w:sz w:val="22"/>
          <w:szCs w:val="22"/>
        </w:rPr>
        <w:t>la Consejería Jurídica tiene las siguientes atribuciones:</w:t>
      </w:r>
    </w:p>
    <w:p w14:paraId="4C56C051"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 xml:space="preserve">I. Fungir como apoderado jurídico del H. Ayuntamiento de Toluca, </w:t>
      </w:r>
      <w:r w:rsidRPr="000E5111">
        <w:rPr>
          <w:rFonts w:ascii="Palatino Linotype" w:eastAsia="Palatino Linotype" w:hAnsi="Palatino Linotype" w:cs="Palatino Linotype"/>
          <w:i/>
          <w:sz w:val="22"/>
          <w:szCs w:val="22"/>
        </w:rPr>
        <w:t>de la Presidenta o del Presidente Municipal y de la Administración Pública Municipal Centralizada;</w:t>
      </w:r>
    </w:p>
    <w:p w14:paraId="371CD1DF"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 Coadyuvar con los Síndicos Municipales e</w:t>
      </w:r>
    </w:p>
    <w:p w14:paraId="67AC27CF"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n los procedimientos que por disposición de ley deban conocer, tramitar y resolver;</w:t>
      </w:r>
    </w:p>
    <w:p w14:paraId="52801B32"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III. Desahogar las consultas y las asesorías jurídicas</w:t>
      </w:r>
      <w:r w:rsidRPr="000E5111">
        <w:rPr>
          <w:rFonts w:ascii="Palatino Linotype" w:eastAsia="Palatino Linotype" w:hAnsi="Palatino Linotype" w:cs="Palatino Linotype"/>
          <w:i/>
          <w:sz w:val="22"/>
          <w:szCs w:val="22"/>
        </w:rPr>
        <w:t>, así como brindar apoyo técnico jurídico a las y los integrantes del Ayuntamiento y las dependencias municipales, con excepción de las de carácter fiscal;</w:t>
      </w:r>
    </w:p>
    <w:p w14:paraId="17A035B1"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IV. Recuperar bienes del dominio público o privado del municipio mediante el procedimiento establecido en el artículo 27 Bis de la Ley de Bienes del Estado de México y sus Municipios, con la colaboración de las áreas del Ayuntamiento que de acuerdo a sus atribuciones considere necesarias, en términos del artículo 136 del Bando Municipal;</w:t>
      </w:r>
    </w:p>
    <w:p w14:paraId="783889AF"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V. Atender los asuntos jurídicos de los que la o el Presidente, Síndicos y la Administración Pública Municipal sean parte; y</w:t>
      </w:r>
    </w:p>
    <w:p w14:paraId="2C06FC3B"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VI. Las demás que le asignen otros ordenamientos, la Presidenta o Presidente Municipal y la o el Secretario del Ayuntamiento.</w:t>
      </w:r>
    </w:p>
    <w:p w14:paraId="23072E70"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658D51B5"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r w:rsidRPr="000E5111">
        <w:rPr>
          <w:rFonts w:ascii="Palatino Linotype" w:eastAsia="Palatino Linotype" w:hAnsi="Palatino Linotype" w:cs="Palatino Linotype"/>
          <w:i/>
          <w:sz w:val="22"/>
          <w:szCs w:val="22"/>
        </w:rPr>
        <w:t xml:space="preserve">Artículo 3.21. La o el titular de </w:t>
      </w:r>
      <w:r w:rsidRPr="000E5111">
        <w:rPr>
          <w:rFonts w:ascii="Palatino Linotype" w:eastAsia="Palatino Linotype" w:hAnsi="Palatino Linotype" w:cs="Palatino Linotype"/>
          <w:b/>
          <w:i/>
          <w:sz w:val="22"/>
          <w:szCs w:val="22"/>
        </w:rPr>
        <w:t>la Tesorería Municipal tendrá las siguientes atribuciones:</w:t>
      </w:r>
    </w:p>
    <w:p w14:paraId="7984707B"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 </w:t>
      </w:r>
    </w:p>
    <w:p w14:paraId="68DC15D1"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VII. Supervisar el registro y control de las operaciones financieras</w:t>
      </w:r>
      <w:r w:rsidRPr="000E5111">
        <w:rPr>
          <w:rFonts w:ascii="Palatino Linotype" w:eastAsia="Palatino Linotype" w:hAnsi="Palatino Linotype" w:cs="Palatino Linotype"/>
          <w:i/>
          <w:sz w:val="22"/>
          <w:szCs w:val="22"/>
        </w:rPr>
        <w:t xml:space="preserve"> presupuestales y contables, revisar y autorizar la integración de los informes mensuales y la cuenta pública anual del Municipio para que se entregue de manera oportuna y con apego a los lineamientos establecidos en los ordenamientos jurídicos aplicables;</w:t>
      </w:r>
    </w:p>
    <w:p w14:paraId="5E3DEBEF"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VIII. Coadyuvar con la o el presidente municipal en los juicios de carácter fiscal que se tramiten ante cualquier tribunal</w:t>
      </w:r>
      <w:r w:rsidRPr="000E5111">
        <w:rPr>
          <w:rFonts w:ascii="Palatino Linotype" w:eastAsia="Palatino Linotype" w:hAnsi="Palatino Linotype" w:cs="Palatino Linotype"/>
          <w:i/>
          <w:sz w:val="22"/>
          <w:szCs w:val="22"/>
        </w:rPr>
        <w:t>, cuando tenga interés la hacienda pública municipal, así como en la tramitación de los recursos administrativos de inconformidad en materia fiscal interpuestos por los contribuyentes;</w:t>
      </w:r>
    </w:p>
    <w:p w14:paraId="08911714"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412F1948"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XXII. Analizar las solicitudes de asignación presupuestaria entregadas por las áreas y, en su caso emitir las notificaciones correspondientes;</w:t>
      </w:r>
    </w:p>
    <w:p w14:paraId="46E9AFC7"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XXIII. Presentar ante el Ayuntamiento el informe anual de las finanzas públicas;</w:t>
      </w:r>
    </w:p>
    <w:p w14:paraId="0E095038"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XXIV. Expedir copias certificadas de los documentos que acrediten el pago de las obligaciones fiscales y la documentación presentada ante el Órgano Superior de Fiscalización del Estado de México;</w:t>
      </w:r>
    </w:p>
    <w:p w14:paraId="16572F8A"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XXV. Pagar la nómina mediante depósito bancario o bajo la modalidad convenida por el Sindicato que mayor seguridad brinde a las y los servidores públicos en días y horas hábiles, en el lugar más cercano al centro de trabajo del servidor público los días quince y último de cada mes o el día hábil inmediato anterior, si no fueran laborables esas fechas;</w:t>
      </w:r>
    </w:p>
    <w:p w14:paraId="29C787A4"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66AB757E"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3.31.</w:t>
      </w:r>
      <w:r w:rsidRPr="000E5111">
        <w:rPr>
          <w:rFonts w:ascii="Palatino Linotype" w:eastAsia="Palatino Linotype" w:hAnsi="Palatino Linotype" w:cs="Palatino Linotype"/>
          <w:i/>
          <w:sz w:val="22"/>
          <w:szCs w:val="22"/>
        </w:rPr>
        <w:t xml:space="preserve"> La o el titular de la </w:t>
      </w:r>
      <w:r w:rsidRPr="000E5111">
        <w:rPr>
          <w:rFonts w:ascii="Palatino Linotype" w:eastAsia="Palatino Linotype" w:hAnsi="Palatino Linotype" w:cs="Palatino Linotype"/>
          <w:b/>
          <w:i/>
          <w:sz w:val="22"/>
          <w:szCs w:val="22"/>
        </w:rPr>
        <w:t>Dirección General de Administración</w:t>
      </w:r>
      <w:r w:rsidRPr="000E5111">
        <w:rPr>
          <w:rFonts w:ascii="Palatino Linotype" w:eastAsia="Palatino Linotype" w:hAnsi="Palatino Linotype" w:cs="Palatino Linotype"/>
          <w:i/>
          <w:sz w:val="22"/>
          <w:szCs w:val="22"/>
        </w:rPr>
        <w:t>, tiene las siguientes atribuciones:</w:t>
      </w:r>
    </w:p>
    <w:p w14:paraId="5AC75796"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b/>
          <w:bCs/>
          <w:i/>
          <w:sz w:val="22"/>
          <w:szCs w:val="22"/>
        </w:rPr>
      </w:pPr>
      <w:r w:rsidRPr="000E5111">
        <w:rPr>
          <w:rFonts w:ascii="Palatino Linotype" w:eastAsia="Palatino Linotype" w:hAnsi="Palatino Linotype" w:cs="Palatino Linotype"/>
          <w:b/>
          <w:bCs/>
          <w:i/>
          <w:sz w:val="22"/>
          <w:szCs w:val="22"/>
        </w:rPr>
        <w:t>I. Coordinar y dirigir los sistemas de reclutamiento, selección, contratación e inducción y desarrollo de personal;</w:t>
      </w:r>
    </w:p>
    <w:p w14:paraId="2C77F627"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bCs/>
          <w:i/>
          <w:sz w:val="22"/>
          <w:szCs w:val="22"/>
        </w:rPr>
        <w:t>III</w:t>
      </w:r>
      <w:r w:rsidRPr="000E5111">
        <w:rPr>
          <w:rFonts w:ascii="Palatino Linotype" w:eastAsia="Palatino Linotype" w:hAnsi="Palatino Linotype" w:cs="Palatino Linotype"/>
          <w:i/>
          <w:sz w:val="22"/>
          <w:szCs w:val="22"/>
        </w:rPr>
        <w:t>. Autorizar las altas, bajas, cambios, permisos, licencias, comisiones del personal, entre otras, para su trámite y efectos;</w:t>
      </w:r>
    </w:p>
    <w:p w14:paraId="112AF5C9"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Cs/>
          <w:i/>
          <w:sz w:val="22"/>
          <w:szCs w:val="22"/>
        </w:rPr>
        <w:t>IV. Autorizar la elaboración y distribución oportuna de la nómina al personal que labora en el Ayuntamiento</w:t>
      </w:r>
      <w:r w:rsidRPr="000E5111">
        <w:rPr>
          <w:rFonts w:ascii="Palatino Linotype" w:eastAsia="Palatino Linotype" w:hAnsi="Palatino Linotype" w:cs="Palatino Linotype"/>
          <w:i/>
          <w:sz w:val="22"/>
          <w:szCs w:val="22"/>
        </w:rPr>
        <w:t>, apegándose a la normatividad en la materia y al presupuesto autorizado;</w:t>
      </w:r>
    </w:p>
    <w:p w14:paraId="3823DBAA"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52AED2B6"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3.32.</w:t>
      </w:r>
      <w:r w:rsidRPr="000E5111">
        <w:rPr>
          <w:rFonts w:ascii="Palatino Linotype" w:eastAsia="Palatino Linotype" w:hAnsi="Palatino Linotype" w:cs="Palatino Linotype"/>
          <w:i/>
          <w:sz w:val="22"/>
          <w:szCs w:val="22"/>
        </w:rPr>
        <w:t xml:space="preserve"> La Dirección General de Administración, para el cumplimiento de sus atribuciones, </w:t>
      </w:r>
      <w:r w:rsidRPr="000E5111">
        <w:rPr>
          <w:rFonts w:ascii="Palatino Linotype" w:eastAsia="Palatino Linotype" w:hAnsi="Palatino Linotype" w:cs="Palatino Linotype"/>
          <w:b/>
          <w:i/>
          <w:sz w:val="22"/>
          <w:szCs w:val="22"/>
        </w:rPr>
        <w:t xml:space="preserve">se auxiliará de </w:t>
      </w:r>
      <w:r w:rsidRPr="000E5111">
        <w:rPr>
          <w:rFonts w:ascii="Palatino Linotype" w:eastAsia="Palatino Linotype" w:hAnsi="Palatino Linotype" w:cs="Palatino Linotype"/>
          <w:i/>
          <w:sz w:val="22"/>
          <w:szCs w:val="22"/>
        </w:rPr>
        <w:t>una</w:t>
      </w:r>
      <w:r w:rsidRPr="000E5111">
        <w:rPr>
          <w:rFonts w:ascii="Palatino Linotype" w:eastAsia="Palatino Linotype" w:hAnsi="Palatino Linotype" w:cs="Palatino Linotype"/>
          <w:b/>
          <w:i/>
          <w:sz w:val="22"/>
          <w:szCs w:val="22"/>
        </w:rPr>
        <w:t xml:space="preserve"> </w:t>
      </w:r>
      <w:r w:rsidRPr="000E5111">
        <w:rPr>
          <w:rFonts w:ascii="Palatino Linotype" w:eastAsia="Palatino Linotype" w:hAnsi="Palatino Linotype" w:cs="Palatino Linotype"/>
          <w:i/>
          <w:sz w:val="22"/>
          <w:szCs w:val="22"/>
        </w:rPr>
        <w:t xml:space="preserve">Coordinación de Apoyo Técnico; una Coordinación de Delegaciones Administrativas; una Dirección de Recursos Materiales; </w:t>
      </w:r>
      <w:r w:rsidRPr="000E5111">
        <w:rPr>
          <w:rFonts w:ascii="Palatino Linotype" w:eastAsia="Palatino Linotype" w:hAnsi="Palatino Linotype" w:cs="Palatino Linotype"/>
          <w:b/>
          <w:i/>
          <w:sz w:val="22"/>
          <w:szCs w:val="22"/>
        </w:rPr>
        <w:t>una Dirección de Recursos Humanos</w:t>
      </w:r>
      <w:r w:rsidRPr="000E5111">
        <w:rPr>
          <w:rFonts w:ascii="Palatino Linotype" w:eastAsia="Palatino Linotype" w:hAnsi="Palatino Linotype" w:cs="Palatino Linotype"/>
          <w:i/>
          <w:sz w:val="22"/>
          <w:szCs w:val="22"/>
        </w:rPr>
        <w:t>; una Dirección de Servicios Generales; una Dirección de Innovación y Gobierno Digital, y las demás Unidades Administrativas necesarias para el cumplimiento de sus atribuciones.</w:t>
      </w:r>
    </w:p>
    <w:p w14:paraId="17D674AC"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1946BB2F"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Artículo 3.33. La o el titular de la Dirección de Recursos Humanos cuenta con las siguientes atribuciones:</w:t>
      </w:r>
    </w:p>
    <w:p w14:paraId="4987C59A"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78B48261"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V</w:t>
      </w:r>
      <w:r w:rsidRPr="000E5111">
        <w:rPr>
          <w:rFonts w:ascii="Palatino Linotype" w:eastAsia="Palatino Linotype" w:hAnsi="Palatino Linotype" w:cs="Palatino Linotype"/>
          <w:b/>
          <w:i/>
          <w:sz w:val="22"/>
          <w:szCs w:val="22"/>
        </w:rPr>
        <w:t>. Registrar, controlar y dar seguimiento a los movimientos de personal como, altas, reingresos, bajas, remociones, renuncias,</w:t>
      </w:r>
      <w:r w:rsidRPr="000E5111">
        <w:rPr>
          <w:rFonts w:ascii="Palatino Linotype" w:eastAsia="Palatino Linotype" w:hAnsi="Palatino Linotype" w:cs="Palatino Linotype"/>
          <w:i/>
          <w:sz w:val="22"/>
          <w:szCs w:val="22"/>
        </w:rPr>
        <w:t xml:space="preserve"> retiro, cambios de categoría y adscripción, promociones, comisiones, entre otras;</w:t>
      </w:r>
    </w:p>
    <w:p w14:paraId="3FFAB07C"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 xml:space="preserve">VI. Coadyuvar con la Tesorería Municipal en la elaboración y distribución oportuna de </w:t>
      </w:r>
      <w:r w:rsidRPr="000E5111">
        <w:rPr>
          <w:rFonts w:ascii="Palatino Linotype" w:eastAsia="Palatino Linotype" w:hAnsi="Palatino Linotype" w:cs="Palatino Linotype"/>
          <w:i/>
          <w:sz w:val="22"/>
          <w:szCs w:val="22"/>
        </w:rPr>
        <w:t xml:space="preserve">la nómina para </w:t>
      </w:r>
      <w:r w:rsidRPr="000E5111">
        <w:rPr>
          <w:rFonts w:ascii="Palatino Linotype" w:eastAsia="Palatino Linotype" w:hAnsi="Palatino Linotype" w:cs="Palatino Linotype"/>
          <w:b/>
          <w:i/>
          <w:sz w:val="22"/>
          <w:szCs w:val="22"/>
        </w:rPr>
        <w:t>el pago al personal</w:t>
      </w:r>
      <w:r w:rsidRPr="000E5111">
        <w:rPr>
          <w:rFonts w:ascii="Palatino Linotype" w:eastAsia="Palatino Linotype" w:hAnsi="Palatino Linotype" w:cs="Palatino Linotype"/>
          <w:i/>
          <w:sz w:val="22"/>
          <w:szCs w:val="22"/>
        </w:rPr>
        <w:t xml:space="preserve"> que labora en el Ayuntamiento, </w:t>
      </w:r>
      <w:r w:rsidRPr="000E5111">
        <w:rPr>
          <w:rFonts w:ascii="Palatino Linotype" w:eastAsia="Palatino Linotype" w:hAnsi="Palatino Linotype" w:cs="Palatino Linotype"/>
          <w:b/>
          <w:i/>
          <w:sz w:val="22"/>
          <w:szCs w:val="22"/>
        </w:rPr>
        <w:t>por concepto</w:t>
      </w:r>
      <w:r w:rsidRPr="000E5111">
        <w:rPr>
          <w:rFonts w:ascii="Palatino Linotype" w:eastAsia="Palatino Linotype" w:hAnsi="Palatino Linotype" w:cs="Palatino Linotype"/>
          <w:i/>
          <w:sz w:val="22"/>
          <w:szCs w:val="22"/>
        </w:rPr>
        <w:t xml:space="preserve"> de sueldos, prestaciones, </w:t>
      </w:r>
      <w:r w:rsidRPr="000E5111">
        <w:rPr>
          <w:rFonts w:ascii="Palatino Linotype" w:eastAsia="Palatino Linotype" w:hAnsi="Palatino Linotype" w:cs="Palatino Linotype"/>
          <w:b/>
          <w:i/>
          <w:sz w:val="22"/>
          <w:szCs w:val="22"/>
        </w:rPr>
        <w:t>liquidaciones y finiquitos</w:t>
      </w:r>
      <w:r w:rsidRPr="000E5111">
        <w:rPr>
          <w:rFonts w:ascii="Palatino Linotype" w:eastAsia="Palatino Linotype" w:hAnsi="Palatino Linotype" w:cs="Palatino Linotype"/>
          <w:i/>
          <w:sz w:val="22"/>
          <w:szCs w:val="22"/>
        </w:rPr>
        <w:t xml:space="preserve"> apegándose al presupuesto autorizado aplicado a través del capítulo 1000; así como en lo relativo a las determinaciones de los impuestos y la emisión de los CFDI correspondientes una vez realizado el pago;…”</w:t>
      </w:r>
    </w:p>
    <w:p w14:paraId="0F515898" w14:textId="77777777" w:rsidR="00FD3CB6" w:rsidRPr="000E5111" w:rsidRDefault="00FD3CB6" w:rsidP="00FD3CB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3EC08700" w14:textId="77777777" w:rsidR="00FD3CB6" w:rsidRPr="000E5111" w:rsidRDefault="00FD3CB6" w:rsidP="00FD3CB6">
      <w:pPr>
        <w:spacing w:line="360" w:lineRule="auto"/>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sz w:val="22"/>
          <w:szCs w:val="22"/>
        </w:rPr>
        <w:t xml:space="preserve">Por lo anteriormente expuesto, se advierte que la unidad administrativa que cuenta con atribuciones para fungir como apoderado jurídico del Ayuntamiento de Toluca es la Consejería Jurídica, mientras que la Dirección General de Administración es la encargada de integrar el expediente personal y laboral de los servidores públicos que laboran en el Ayuntamiento, así como registrar, controlar y dar seguimiento a los movimientos de personal como bajas, remociones y renuncias, y finalmente la Tesorería Municipal será la encargada de supervisar el registro y control de las operaciones financieras y coadyuvar con la Dirección de Administración para la elaboración y distribución oportuna del pago por concepto de </w:t>
      </w:r>
      <w:r w:rsidRPr="000E5111">
        <w:rPr>
          <w:rFonts w:ascii="Palatino Linotype" w:eastAsia="Palatino Linotype" w:hAnsi="Palatino Linotype" w:cs="Palatino Linotype"/>
          <w:b/>
          <w:sz w:val="22"/>
          <w:szCs w:val="22"/>
        </w:rPr>
        <w:t xml:space="preserve">liquidaciones y finiquitos. </w:t>
      </w:r>
    </w:p>
    <w:p w14:paraId="7B07E549" w14:textId="77777777" w:rsidR="00FD3CB6" w:rsidRPr="000E5111" w:rsidRDefault="00FD3CB6" w:rsidP="00FD3CB6">
      <w:pPr>
        <w:spacing w:line="360" w:lineRule="auto"/>
        <w:jc w:val="both"/>
        <w:rPr>
          <w:rFonts w:ascii="Palatino Linotype" w:eastAsia="Palatino Linotype" w:hAnsi="Palatino Linotype" w:cs="Palatino Linotype"/>
          <w:sz w:val="22"/>
          <w:szCs w:val="22"/>
        </w:rPr>
      </w:pPr>
    </w:p>
    <w:p w14:paraId="78F41D00" w14:textId="77777777" w:rsidR="00FD3CB6" w:rsidRPr="000E5111" w:rsidRDefault="00FD3CB6" w:rsidP="00FD3CB6">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De este modo se advierte que el </w:t>
      </w:r>
      <w:r w:rsidRPr="000E5111">
        <w:rPr>
          <w:rFonts w:ascii="Palatino Linotype" w:eastAsia="Palatino Linotype" w:hAnsi="Palatino Linotype" w:cs="Palatino Linotype"/>
          <w:b/>
          <w:sz w:val="22"/>
          <w:szCs w:val="22"/>
        </w:rPr>
        <w:t>Sujeto Obligado</w:t>
      </w:r>
      <w:r w:rsidRPr="000E5111">
        <w:rPr>
          <w:rFonts w:ascii="Palatino Linotype" w:eastAsia="Palatino Linotype" w:hAnsi="Palatino Linotype" w:cs="Palatino Linotype"/>
          <w:sz w:val="22"/>
          <w:szCs w:val="22"/>
        </w:rPr>
        <w:t xml:space="preserve"> turnó la solicitud de información a las unidades administrativas competentes, de modo que, es necesario hacer referencia al procedimiento de búsqueda que deben de seguir los Sujetos Obligados para localizar la información, el cual se encuentra previsto en los artículos 160 y 162 de la Ley de Transparencia y Acceso a la Información Pública del Estado de México y Municipios, mismo que es el siguiente:</w:t>
      </w:r>
    </w:p>
    <w:p w14:paraId="48097007" w14:textId="77777777" w:rsidR="00FD3CB6" w:rsidRPr="000E5111" w:rsidRDefault="00FD3CB6" w:rsidP="00FD3CB6">
      <w:pPr>
        <w:spacing w:line="360" w:lineRule="auto"/>
        <w:rPr>
          <w:rFonts w:ascii="Palatino Linotype" w:eastAsia="Palatino Linotype" w:hAnsi="Palatino Linotype" w:cs="Palatino Linotype"/>
          <w:sz w:val="22"/>
          <w:szCs w:val="22"/>
        </w:rPr>
      </w:pPr>
    </w:p>
    <w:p w14:paraId="2D1B8D18" w14:textId="77777777" w:rsidR="00FD3CB6" w:rsidRPr="000E5111" w:rsidRDefault="00FD3CB6" w:rsidP="00FD3CB6">
      <w:pPr>
        <w:numPr>
          <w:ilvl w:val="0"/>
          <w:numId w:val="28"/>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15008F50" w14:textId="77777777" w:rsidR="00FD3CB6" w:rsidRPr="000E5111" w:rsidRDefault="00FD3CB6" w:rsidP="00FD3CB6">
      <w:pPr>
        <w:numPr>
          <w:ilvl w:val="0"/>
          <w:numId w:val="28"/>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Los sujetos obligados otorgarán acceso a los documentos que se encuentren en sus archivos o que estén obligados a documentar de acuerdo con sus facultades, competencias o funciones, en el formato en que el solicitante manifieste, de entre aquellos formatos existentes.</w:t>
      </w:r>
    </w:p>
    <w:p w14:paraId="5186AF60" w14:textId="77777777" w:rsidR="00FD3CB6" w:rsidRPr="000E5111" w:rsidRDefault="00FD3CB6" w:rsidP="00FD3CB6">
      <w:pPr>
        <w:tabs>
          <w:tab w:val="left" w:pos="4962"/>
        </w:tabs>
        <w:spacing w:line="360" w:lineRule="auto"/>
        <w:ind w:right="-28"/>
        <w:jc w:val="both"/>
        <w:rPr>
          <w:rFonts w:ascii="Palatino Linotype" w:eastAsia="Palatino Linotype" w:hAnsi="Palatino Linotype" w:cs="Palatino Linotype"/>
          <w:sz w:val="22"/>
          <w:szCs w:val="22"/>
        </w:rPr>
      </w:pPr>
    </w:p>
    <w:p w14:paraId="3702E25F" w14:textId="77777777" w:rsidR="00FD3CB6" w:rsidRPr="000E5111" w:rsidRDefault="00FD3CB6" w:rsidP="00FD3CB6">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De tal circunstancia, se logra colegir que el </w:t>
      </w:r>
      <w:r w:rsidRPr="000E5111">
        <w:rPr>
          <w:rFonts w:ascii="Palatino Linotype" w:eastAsia="Palatino Linotype" w:hAnsi="Palatino Linotype" w:cs="Palatino Linotype"/>
          <w:b/>
          <w:sz w:val="22"/>
          <w:szCs w:val="22"/>
        </w:rPr>
        <w:t>Sujeto Obligado</w:t>
      </w:r>
      <w:r w:rsidRPr="000E5111">
        <w:rPr>
          <w:rFonts w:ascii="Palatino Linotype" w:eastAsia="Palatino Linotype" w:hAnsi="Palatino Linotype" w:cs="Palatino Linotype"/>
          <w:sz w:val="22"/>
          <w:szCs w:val="22"/>
        </w:rPr>
        <w:t xml:space="preserve"> cumplió con el procedimiento de búsqueda establecido en el artículo 162 de la Ley de Transparencia y Acceso a la Información Pública del Estado de México y Municipios, toda vez que turnó la solicitud a las unidades administrativas que cuentan con atribuciones para conocer de la información solicitada. </w:t>
      </w:r>
    </w:p>
    <w:p w14:paraId="2A72C53A" w14:textId="77777777" w:rsidR="0090790A" w:rsidRPr="000E5111" w:rsidRDefault="0090790A" w:rsidP="006E19B5">
      <w:pPr>
        <w:spacing w:line="360" w:lineRule="auto"/>
        <w:jc w:val="both"/>
        <w:rPr>
          <w:rFonts w:ascii="Palatino Linotype" w:hAnsi="Palatino Linotype"/>
          <w:sz w:val="22"/>
          <w:szCs w:val="22"/>
        </w:rPr>
      </w:pPr>
    </w:p>
    <w:p w14:paraId="517FA937" w14:textId="292F75EC" w:rsidR="004554A0" w:rsidRPr="000E5111" w:rsidRDefault="004554A0" w:rsidP="004554A0">
      <w:pPr>
        <w:spacing w:line="360" w:lineRule="auto"/>
        <w:ind w:right="49"/>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Ahora bien, en relación con los requerimientos, los cuales se relacionan con laudos y convenios laborales, resulta necesario contextualizar la información solicitada, para ello, conveniente traer a contexto los artículos 89, 92, 94, 95, 96 y 97 de la Ley de Trabajo de los Servidores Públicos del Estado y Municipios, establecen lo siguiente:</w:t>
      </w:r>
    </w:p>
    <w:p w14:paraId="298B7EB2" w14:textId="77777777" w:rsidR="004554A0" w:rsidRPr="000E5111" w:rsidRDefault="004554A0" w:rsidP="004554A0">
      <w:pPr>
        <w:spacing w:line="276" w:lineRule="auto"/>
        <w:ind w:left="567" w:right="539"/>
        <w:jc w:val="both"/>
        <w:rPr>
          <w:rFonts w:ascii="Palatino Linotype" w:eastAsia="Palatino Linotype" w:hAnsi="Palatino Linotype" w:cs="Palatino Linotype"/>
          <w:b/>
          <w:i/>
          <w:sz w:val="22"/>
          <w:szCs w:val="22"/>
        </w:rPr>
      </w:pPr>
    </w:p>
    <w:p w14:paraId="678832BA"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89.</w:t>
      </w:r>
      <w:r w:rsidRPr="000E5111">
        <w:rPr>
          <w:rFonts w:ascii="Palatino Linotype" w:eastAsia="Palatino Linotype" w:hAnsi="Palatino Linotype" w:cs="Palatino Linotype"/>
          <w:i/>
          <w:sz w:val="22"/>
          <w:szCs w:val="22"/>
        </w:rPr>
        <w:t xml:space="preserve"> Son </w:t>
      </w:r>
      <w:r w:rsidRPr="000E5111">
        <w:rPr>
          <w:rFonts w:ascii="Palatino Linotype" w:eastAsia="Palatino Linotype" w:hAnsi="Palatino Linotype" w:cs="Palatino Linotype"/>
          <w:b/>
          <w:i/>
          <w:sz w:val="22"/>
          <w:szCs w:val="22"/>
        </w:rPr>
        <w:t>causas de terminación de la relación laboral</w:t>
      </w:r>
      <w:r w:rsidRPr="000E5111">
        <w:rPr>
          <w:rFonts w:ascii="Palatino Linotype" w:eastAsia="Palatino Linotype" w:hAnsi="Palatino Linotype" w:cs="Palatino Linotype"/>
          <w:i/>
          <w:sz w:val="22"/>
          <w:szCs w:val="22"/>
        </w:rPr>
        <w:t xml:space="preserve"> sin responsabilidad para las instituciones públicas: </w:t>
      </w:r>
    </w:p>
    <w:p w14:paraId="6F0EEF05"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I.</w:t>
      </w:r>
      <w:r w:rsidRPr="000E5111">
        <w:rPr>
          <w:rFonts w:ascii="Palatino Linotype" w:eastAsia="Palatino Linotype" w:hAnsi="Palatino Linotype" w:cs="Palatino Linotype"/>
          <w:i/>
          <w:sz w:val="22"/>
          <w:szCs w:val="22"/>
        </w:rPr>
        <w:t xml:space="preserve"> La renuncia del servidor público; </w:t>
      </w:r>
    </w:p>
    <w:p w14:paraId="2AF490C6"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II.</w:t>
      </w:r>
      <w:r w:rsidRPr="000E5111">
        <w:rPr>
          <w:rFonts w:ascii="Palatino Linotype" w:eastAsia="Palatino Linotype" w:hAnsi="Palatino Linotype" w:cs="Palatino Linotype"/>
          <w:i/>
          <w:sz w:val="22"/>
          <w:szCs w:val="22"/>
        </w:rPr>
        <w:t xml:space="preserve"> El mutuo consentimiento de las partes; </w:t>
      </w:r>
    </w:p>
    <w:p w14:paraId="0362BC72"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III.</w:t>
      </w:r>
      <w:r w:rsidRPr="000E5111">
        <w:rPr>
          <w:rFonts w:ascii="Palatino Linotype" w:eastAsia="Palatino Linotype" w:hAnsi="Palatino Linotype" w:cs="Palatino Linotype"/>
          <w:i/>
          <w:sz w:val="22"/>
          <w:szCs w:val="22"/>
        </w:rPr>
        <w:t xml:space="preserve"> El vencimiento del término o conclusión de la obra determinantes de la contratación; </w:t>
      </w:r>
    </w:p>
    <w:p w14:paraId="7DE423F2"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IV.</w:t>
      </w:r>
      <w:r w:rsidRPr="000E5111">
        <w:rPr>
          <w:rFonts w:ascii="Palatino Linotype" w:eastAsia="Palatino Linotype" w:hAnsi="Palatino Linotype" w:cs="Palatino Linotype"/>
          <w:i/>
          <w:sz w:val="22"/>
          <w:szCs w:val="22"/>
        </w:rPr>
        <w:t xml:space="preserve"> El término o conclusión de la administración en la cual fue contratado el servidor público a que se refiere el artículo 8 de ésta Ley; </w:t>
      </w:r>
    </w:p>
    <w:p w14:paraId="34440682"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V.</w:t>
      </w:r>
      <w:r w:rsidRPr="000E5111">
        <w:rPr>
          <w:rFonts w:ascii="Palatino Linotype" w:eastAsia="Palatino Linotype" w:hAnsi="Palatino Linotype" w:cs="Palatino Linotype"/>
          <w:i/>
          <w:sz w:val="22"/>
          <w:szCs w:val="22"/>
        </w:rPr>
        <w:t xml:space="preserve"> La muerte del servidor público; y </w:t>
      </w:r>
    </w:p>
    <w:p w14:paraId="30BA6BFD"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VI.</w:t>
      </w:r>
      <w:r w:rsidRPr="000E5111">
        <w:rPr>
          <w:rFonts w:ascii="Palatino Linotype" w:eastAsia="Palatino Linotype" w:hAnsi="Palatino Linotype" w:cs="Palatino Linotype"/>
          <w:i/>
          <w:sz w:val="22"/>
          <w:szCs w:val="22"/>
        </w:rPr>
        <w:t xml:space="preserve"> La incapacidad permanente del servidor público que le impida el desempeño de sus labores.</w:t>
      </w:r>
    </w:p>
    <w:p w14:paraId="7ACD9CAD"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p>
    <w:p w14:paraId="3D009BE6" w14:textId="77777777" w:rsidR="004554A0" w:rsidRPr="000E5111" w:rsidRDefault="004554A0" w:rsidP="004554A0">
      <w:pPr>
        <w:spacing w:line="276" w:lineRule="auto"/>
        <w:ind w:left="851" w:right="616"/>
        <w:jc w:val="both"/>
        <w:rPr>
          <w:rFonts w:ascii="Palatino Linotype" w:eastAsia="Palatino Linotype" w:hAnsi="Palatino Linotype" w:cs="Palatino Linotype"/>
          <w:b/>
          <w:i/>
          <w:sz w:val="22"/>
          <w:szCs w:val="22"/>
        </w:rPr>
      </w:pPr>
      <w:r w:rsidRPr="000E5111">
        <w:rPr>
          <w:rFonts w:ascii="Palatino Linotype" w:eastAsia="Palatino Linotype" w:hAnsi="Palatino Linotype" w:cs="Palatino Linotype"/>
          <w:b/>
          <w:i/>
          <w:sz w:val="22"/>
          <w:szCs w:val="22"/>
        </w:rPr>
        <w:t>ARTÍCULO 92.</w:t>
      </w:r>
      <w:r w:rsidRPr="000E5111">
        <w:rPr>
          <w:rFonts w:ascii="Palatino Linotype" w:eastAsia="Palatino Linotype" w:hAnsi="Palatino Linotype" w:cs="Palatino Linotype"/>
          <w:i/>
          <w:sz w:val="22"/>
          <w:szCs w:val="22"/>
        </w:rPr>
        <w:t xml:space="preserve"> </w:t>
      </w:r>
      <w:r w:rsidRPr="000E5111">
        <w:rPr>
          <w:rFonts w:ascii="Palatino Linotype" w:eastAsia="Palatino Linotype" w:hAnsi="Palatino Linotype" w:cs="Palatino Linotype"/>
          <w:b/>
          <w:i/>
          <w:sz w:val="22"/>
          <w:szCs w:val="22"/>
        </w:rPr>
        <w:t xml:space="preserve">El servidor público o la institución pública podrán rescindir en cualquier tiempo, por causa justificada, la relación laboral. </w:t>
      </w:r>
    </w:p>
    <w:p w14:paraId="5B69948E" w14:textId="77777777" w:rsidR="004554A0" w:rsidRPr="000E5111" w:rsidRDefault="004554A0" w:rsidP="004554A0">
      <w:pPr>
        <w:spacing w:line="276" w:lineRule="auto"/>
        <w:ind w:left="851" w:right="616"/>
        <w:jc w:val="both"/>
        <w:rPr>
          <w:rFonts w:ascii="Palatino Linotype" w:eastAsia="Palatino Linotype" w:hAnsi="Palatino Linotype" w:cs="Palatino Linotype"/>
          <w:b/>
          <w:i/>
          <w:sz w:val="22"/>
          <w:szCs w:val="22"/>
        </w:rPr>
      </w:pPr>
    </w:p>
    <w:p w14:paraId="7C74E8CB"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94.</w:t>
      </w:r>
      <w:r w:rsidRPr="000E5111">
        <w:rPr>
          <w:rFonts w:ascii="Palatino Linotype" w:eastAsia="Palatino Linotype" w:hAnsi="Palatino Linotype" w:cs="Palatino Linotype"/>
          <w:i/>
          <w:sz w:val="22"/>
          <w:szCs w:val="22"/>
        </w:rPr>
        <w:t xml:space="preserve"> La </w:t>
      </w:r>
      <w:r w:rsidRPr="000E5111">
        <w:rPr>
          <w:rFonts w:ascii="Palatino Linotype" w:eastAsia="Palatino Linotype" w:hAnsi="Palatino Linotype" w:cs="Palatino Linotype"/>
          <w:b/>
          <w:i/>
          <w:sz w:val="22"/>
          <w:szCs w:val="22"/>
        </w:rPr>
        <w:t>institución pública deberá dar aviso por escrito al servidor público de manera personal, de la fecha y causa o causas de la rescisión de la relación laboral.</w:t>
      </w:r>
      <w:r w:rsidRPr="000E5111">
        <w:rPr>
          <w:rFonts w:ascii="Palatino Linotype" w:eastAsia="Palatino Linotype" w:hAnsi="Palatino Linotype" w:cs="Palatino Linotype"/>
          <w:i/>
          <w:sz w:val="22"/>
          <w:szCs w:val="22"/>
        </w:rPr>
        <w:t xml:space="preserve"> </w:t>
      </w:r>
    </w:p>
    <w:p w14:paraId="2C13B274"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En caso de que exista imposibilidad comprobada de entregar el aviso, o que el servidor público se negare a recibirlo, la institución pública o dependencia, dentro de los cinco días hábiles siguientes a la fecha de la rescisión, deberá hacerlo del conocimiento del Tribunal o de la Sala, proporcionando a éste el último domicilio que tenga registrado y solicitando sea notificado el servidor público. </w:t>
      </w:r>
    </w:p>
    <w:p w14:paraId="0AB1C59D"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La falta de aviso al servidor público, al Tribunal o a la Sala por sí sola bastará para considerar que el despido fue injustificado.</w:t>
      </w:r>
    </w:p>
    <w:p w14:paraId="60F6D7B9"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p>
    <w:p w14:paraId="78BEBD2E"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95.</w:t>
      </w:r>
      <w:r w:rsidRPr="000E5111">
        <w:rPr>
          <w:rFonts w:ascii="Palatino Linotype" w:eastAsia="Palatino Linotype" w:hAnsi="Palatino Linotype" w:cs="Palatino Linotype"/>
          <w:i/>
          <w:sz w:val="22"/>
          <w:szCs w:val="22"/>
        </w:rPr>
        <w:t xml:space="preserve"> Son </w:t>
      </w:r>
      <w:r w:rsidRPr="000E5111">
        <w:rPr>
          <w:rFonts w:ascii="Palatino Linotype" w:eastAsia="Palatino Linotype" w:hAnsi="Palatino Linotype" w:cs="Palatino Linotype"/>
          <w:b/>
          <w:i/>
          <w:sz w:val="22"/>
          <w:szCs w:val="22"/>
        </w:rPr>
        <w:t>causas de rescisión de la relación laboral</w:t>
      </w:r>
      <w:r w:rsidRPr="000E5111">
        <w:rPr>
          <w:rFonts w:ascii="Palatino Linotype" w:eastAsia="Palatino Linotype" w:hAnsi="Palatino Linotype" w:cs="Palatino Linotype"/>
          <w:i/>
          <w:sz w:val="22"/>
          <w:szCs w:val="22"/>
        </w:rPr>
        <w:t>, sin responsabilidad para el servidor público:</w:t>
      </w:r>
    </w:p>
    <w:p w14:paraId="486C79E8"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w:t>
      </w:r>
    </w:p>
    <w:p w14:paraId="048D9E37"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En estos casos, </w:t>
      </w:r>
      <w:r w:rsidRPr="000E5111">
        <w:rPr>
          <w:rFonts w:ascii="Palatino Linotype" w:eastAsia="Palatino Linotype" w:hAnsi="Palatino Linotype" w:cs="Palatino Linotype"/>
          <w:b/>
          <w:i/>
          <w:sz w:val="22"/>
          <w:szCs w:val="22"/>
        </w:rPr>
        <w:t xml:space="preserve">el servidor público podrá separarse de su trabajo dentro de los treinta días siguientes a la fecha en que se dé cualquiera de las causas y tendrá derecho a que la institución pública </w:t>
      </w:r>
      <w:r w:rsidRPr="000E5111">
        <w:rPr>
          <w:rFonts w:ascii="Palatino Linotype" w:eastAsia="Palatino Linotype" w:hAnsi="Palatino Linotype" w:cs="Palatino Linotype"/>
          <w:b/>
          <w:i/>
          <w:sz w:val="22"/>
          <w:szCs w:val="22"/>
          <w:u w:val="single"/>
        </w:rPr>
        <w:t>lo indemnice con el importe de tres meses de sueldo base, veinte días por cada año devengado y cubriéndole las prestaciones a que tenga derecho, así como los salarios vencidos desde la fecha en que el Servidor Público se haya separado de su trabajo hasta por un periodo máximo de doce meses o hasta que el servidor público se incorpore</w:t>
      </w:r>
      <w:r w:rsidRPr="000E5111">
        <w:rPr>
          <w:rFonts w:ascii="Palatino Linotype" w:eastAsia="Palatino Linotype" w:hAnsi="Palatino Linotype" w:cs="Palatino Linotype"/>
          <w:i/>
          <w:sz w:val="22"/>
          <w:szCs w:val="22"/>
        </w:rPr>
        <w:t xml:space="preserve"> a laborar en un municipio o institución pública de los poderes del Estado o cualquier organismo estatal, siempre y cuando esto último ocurra en un plazo no mayor a los doce meses antes mencionados, independientemente del tiempo que dure el proceso.</w:t>
      </w:r>
    </w:p>
    <w:p w14:paraId="47FB4ACB"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Si al término del plazo de los doce meses señalados en los artículos 95, 96 y 97 no ha concluido el procedimiento o no se ha dado cumplimiento al laudo, se pagarán también al trabajador los intereses que se generen sobre el importe del adeudo, a razón del nueve por ciento anual capitalizable al momento del pago.</w:t>
      </w:r>
    </w:p>
    <w:p w14:paraId="0E712B09"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p>
    <w:p w14:paraId="268CB138"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96.-</w:t>
      </w:r>
      <w:r w:rsidRPr="000E5111">
        <w:rPr>
          <w:rFonts w:ascii="Palatino Linotype" w:eastAsia="Palatino Linotype" w:hAnsi="Palatino Linotype" w:cs="Palatino Linotype"/>
          <w:i/>
          <w:sz w:val="22"/>
          <w:szCs w:val="22"/>
        </w:rPr>
        <w:t xml:space="preserve"> El servidor público podrá solicitar ante el Tribunal o la Sala correspondiente, que se le reinstale en el trabajo que desempeñaba, o que se le indemnice. </w:t>
      </w:r>
      <w:r w:rsidRPr="000E5111">
        <w:rPr>
          <w:rFonts w:ascii="Palatino Linotype" w:eastAsia="Palatino Linotype" w:hAnsi="Palatino Linotype" w:cs="Palatino Linotype"/>
          <w:b/>
          <w:i/>
          <w:sz w:val="22"/>
          <w:szCs w:val="22"/>
        </w:rPr>
        <w:t>Cuando el servidor público considere injustificada la causa de rescisión de la relación laboral, o bien lo injustificado del despido podrá demandar ante el Tribunal o en la Sala que se le cubra la indemnización de tres meses de su salario base, así como los salarios vencidos desde la fecha del despido hasta por un periodo máximo de doce meses o que se le reinstale en el trabajo que desempeñaba con el pago de los salarios vencidos desde la fecha del despido hasta por un periodo máximo de doce meses, independientemente del tiempo que , dure el proceso.</w:t>
      </w:r>
      <w:r w:rsidRPr="000E5111">
        <w:rPr>
          <w:rFonts w:ascii="Palatino Linotype" w:eastAsia="Palatino Linotype" w:hAnsi="Palatino Linotype" w:cs="Palatino Linotype"/>
          <w:i/>
          <w:sz w:val="22"/>
          <w:szCs w:val="22"/>
        </w:rPr>
        <w:t xml:space="preserve"> </w:t>
      </w:r>
    </w:p>
    <w:p w14:paraId="7E77669D"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No se considerará en el pago de salarios vencidos los aguinaldos e incrementos que se otorguen en el salario de los servidores públicos mientras dure el proceso para objeto de las indemnizaciones a que se refieren los artículos 95, 96 y 97 de esta ley. </w:t>
      </w:r>
    </w:p>
    <w:p w14:paraId="45A89ADB"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Cuando el servidor público ejercite la acción de reinstalación en el trabajo que desempeñaba, será procedente el pago proporcional de sus prestaciones a que tenga derecho con los incrementos que sufra su salario en el periodo que dure el proceso, con excepción de los salarios vencidos ya que únicamente se aplicará esta disposición en el máximo de doce meses de pago de los mismos, en caso de ser procedentes.</w:t>
      </w:r>
    </w:p>
    <w:p w14:paraId="7049AD48"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En cualquier estado del procedimiento el demandado podrá pagar todo o en parte lo reclamado por el actor exhibiendo la cantidad líquida en moneda nacional o en cheque certificado a nombre de éste</w:t>
      </w:r>
      <w:r w:rsidRPr="000E5111">
        <w:rPr>
          <w:rFonts w:ascii="Palatino Linotype" w:eastAsia="Palatino Linotype" w:hAnsi="Palatino Linotype" w:cs="Palatino Linotype"/>
          <w:i/>
          <w:sz w:val="22"/>
          <w:szCs w:val="22"/>
        </w:rPr>
        <w:t xml:space="preserve">, previa cuantificación que haga el Tribunal o la Sala de que las cantidades cubren las prestaciones señaladas en la demanda y que se encuentren ajustadas a derecho, hasta la fecha en que se exhiba. En el primer supuesto se dará por terminado el juicio liberando a la institución pública de la acción principal y sus accesorias. </w:t>
      </w:r>
    </w:p>
    <w:p w14:paraId="5589884F"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El Tribunal o la Sala aprobará la consignación de pago y pondrá a disposición del actor la cantidad depositada a su favor, apercibiéndolo de que para el supuesto de no aceptar la cantidad base de su reclamación, los salarios vencidos dejarán de correr, caso contrario se ordenará el archivo del expediente como asunto total y definitivamente concluido. </w:t>
      </w:r>
    </w:p>
    <w:p w14:paraId="183F20EF"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Excepcionalmente para el efecto de que la cantidad exhibida por la parte demandada sea menor a la que le corresponda al actor, el Tribunal o la Sala le requerirá, para que en un término de cinco días hábiles, contados a partir de que surta sus efectos de notificación el acuerdo que recaiga, deposite la cantidad faltante y hecho lo anterior se tendrá por satisfecha la acción legal ejercitada. </w:t>
      </w:r>
    </w:p>
    <w:p w14:paraId="48DF2952"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Para la hipótesis de que la demandada sólo exhiba la cantidad por indemnizaciones y sus prestaciones accesorias dejarán de correr los salarios caídos, continuándose con el procedimiento por las prestaciones pendientes de pago. </w:t>
      </w:r>
    </w:p>
    <w:p w14:paraId="344106FB"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En caso de muerte del trabajador, dejarán de computarse los salarios vencidos como parte del conflicto.</w:t>
      </w:r>
    </w:p>
    <w:p w14:paraId="3DB59D01"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p>
    <w:p w14:paraId="7B5516B0"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97.-</w:t>
      </w:r>
      <w:r w:rsidRPr="000E5111">
        <w:rPr>
          <w:rFonts w:ascii="Palatino Linotype" w:eastAsia="Palatino Linotype" w:hAnsi="Palatino Linotype" w:cs="Palatino Linotype"/>
          <w:i/>
          <w:sz w:val="22"/>
          <w:szCs w:val="22"/>
        </w:rPr>
        <w:t xml:space="preserve"> Las </w:t>
      </w:r>
      <w:r w:rsidRPr="000E5111">
        <w:rPr>
          <w:rFonts w:ascii="Palatino Linotype" w:eastAsia="Palatino Linotype" w:hAnsi="Palatino Linotype" w:cs="Palatino Linotype"/>
          <w:b/>
          <w:i/>
          <w:sz w:val="22"/>
          <w:szCs w:val="22"/>
        </w:rPr>
        <w:t>instituciones públicas</w:t>
      </w:r>
      <w:r w:rsidRPr="000E5111">
        <w:rPr>
          <w:rFonts w:ascii="Palatino Linotype" w:eastAsia="Palatino Linotype" w:hAnsi="Palatino Linotype" w:cs="Palatino Linotype"/>
          <w:i/>
          <w:sz w:val="22"/>
          <w:szCs w:val="22"/>
        </w:rPr>
        <w:t xml:space="preserve"> o dependencias no estarán </w:t>
      </w:r>
      <w:r w:rsidRPr="000E5111">
        <w:rPr>
          <w:rFonts w:ascii="Palatino Linotype" w:eastAsia="Palatino Linotype" w:hAnsi="Palatino Linotype" w:cs="Palatino Linotype"/>
          <w:b/>
          <w:i/>
          <w:sz w:val="22"/>
          <w:szCs w:val="22"/>
        </w:rPr>
        <w:t>obligadas</w:t>
      </w:r>
      <w:r w:rsidRPr="000E5111">
        <w:rPr>
          <w:rFonts w:ascii="Palatino Linotype" w:eastAsia="Palatino Linotype" w:hAnsi="Palatino Linotype" w:cs="Palatino Linotype"/>
          <w:i/>
          <w:sz w:val="22"/>
          <w:szCs w:val="22"/>
        </w:rPr>
        <w:t xml:space="preserve"> a reinstalar al servidor público, pero sí </w:t>
      </w:r>
      <w:r w:rsidRPr="000E5111">
        <w:rPr>
          <w:rFonts w:ascii="Palatino Linotype" w:eastAsia="Palatino Linotype" w:hAnsi="Palatino Linotype" w:cs="Palatino Linotype"/>
          <w:b/>
          <w:i/>
          <w:sz w:val="22"/>
          <w:szCs w:val="22"/>
        </w:rPr>
        <w:t>a cubrirle la indemnización de tres meses de salario base, veinte días por cada año de servicios en términos del artículo 95 párrafo segundo de esta ley y cubrirle las prestaciones a que tenga derecho, así como los salarios vencidos desde la fecha del despido hasta por un periodo máximo de doce meses,</w:t>
      </w:r>
      <w:r w:rsidRPr="000E5111">
        <w:rPr>
          <w:rFonts w:ascii="Palatino Linotype" w:eastAsia="Palatino Linotype" w:hAnsi="Palatino Linotype" w:cs="Palatino Linotype"/>
          <w:i/>
          <w:sz w:val="22"/>
          <w:szCs w:val="22"/>
        </w:rPr>
        <w:t xml:space="preserve"> independientemente del tiempo que dure el proceso, exhibiendo la totalidad de la cantidad liquida en moneda nacional o mediante cheque certificado al momento de la negativa de reinstalar al actor.”</w:t>
      </w:r>
    </w:p>
    <w:p w14:paraId="0A544A4A"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(Énfasis Añadido)</w:t>
      </w:r>
    </w:p>
    <w:p w14:paraId="5EB29F2B" w14:textId="77777777" w:rsidR="004554A0" w:rsidRPr="000E5111" w:rsidRDefault="004554A0" w:rsidP="004554A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p>
    <w:p w14:paraId="05912DDC" w14:textId="77777777" w:rsidR="004554A0" w:rsidRPr="000E5111" w:rsidRDefault="004554A0" w:rsidP="004554A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De lo anterior, podemos advertir la existencia de dos supuestos, la terminación de la relación laboral y la rescisión laboral, ello sin dejar de lado la figura enmarcada en el artículo 94 tratándose del despido, o aquéllas derivadas de una sanción administrativa, además, se prevén los supuestos de rescisión laboral sin responsabilidad para los servidores públicos, el plazo en que éste debe separarse del trabajo cuando se actualice; asimismo, señala que en la existencia de alguno de esos supuestos, el servidor público tendrá derecho a que la institución pública lo indemnice con tres meses de sueldo base, veinte días por cada año devengado y a cubrirle las prestaciones a que tenga derecho, así como los salarios vencidos desde la fecha en que el servidor público se haya separado de su trabajo hasta que se cumplimente el laudo, o hasta que el servidor público se incorpore a laborar en un municipio o institución pública de los poderes del Estado, independientemente del tiempo que dure el proceso.</w:t>
      </w:r>
    </w:p>
    <w:p w14:paraId="2D99005A" w14:textId="77777777" w:rsidR="004554A0" w:rsidRPr="000E5111" w:rsidRDefault="004554A0" w:rsidP="004554A0">
      <w:pPr>
        <w:spacing w:line="360" w:lineRule="auto"/>
        <w:ind w:right="49"/>
        <w:jc w:val="both"/>
        <w:rPr>
          <w:rFonts w:ascii="Palatino Linotype" w:eastAsia="Palatino Linotype" w:hAnsi="Palatino Linotype" w:cs="Palatino Linotype"/>
          <w:sz w:val="22"/>
          <w:szCs w:val="22"/>
        </w:rPr>
      </w:pPr>
    </w:p>
    <w:p w14:paraId="61AF55B5" w14:textId="77777777" w:rsidR="004554A0" w:rsidRPr="000E5111" w:rsidRDefault="004554A0" w:rsidP="004554A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Por su parte, el artículo 96 del ordenamiento legal en cita, contempla el derecho que le asiste al servidor público para solicitar ante el Tribunal o la Sala Auxiliar correspondiente, que se le reinstale en el trabajo que desempeñaba, o que se le indemnice.</w:t>
      </w:r>
    </w:p>
    <w:p w14:paraId="1E77F8DE" w14:textId="77777777" w:rsidR="004554A0" w:rsidRPr="000E5111" w:rsidRDefault="004554A0" w:rsidP="004554A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p>
    <w:p w14:paraId="7B9316A4" w14:textId="77777777" w:rsidR="004554A0" w:rsidRPr="000E5111" w:rsidRDefault="004554A0" w:rsidP="004554A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Asimismo, se señala que el servidor público debe o puede optar por la indemnización, ésta será por el equivalente a tres meses de su salario base, del mismo modo que los salarios vencidos desde la fecha del despido hasta que se cumplimente el laudo o que se le reinstale en el trabajo que desempeñaba con el pago de los salarios vencidos desde la fecha del despido hasta que se cumplimente el laudo, o hasta que el servidor público se incorpore a laborar en un municipio o institución pública de los poderes del Estado, independientemente del tiempo que dure el proceso.</w:t>
      </w:r>
    </w:p>
    <w:p w14:paraId="54D8820B" w14:textId="77777777" w:rsidR="004554A0" w:rsidRPr="000E5111" w:rsidRDefault="004554A0" w:rsidP="004554A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p>
    <w:p w14:paraId="1101D291" w14:textId="77777777" w:rsidR="004554A0" w:rsidRPr="000E5111" w:rsidRDefault="004554A0" w:rsidP="004554A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Finalmente, se establece que las instituciones públicas o dependencias no estarán obligadas a reinstalar al servidor público, cuando se actualicen los supuestos previstos en el mismo precepto legal, pero sí tienen la obligación de cubrir una indemnización por tres meses de salario base, veinte días por cada año de servicios en términos del artículo 95 párrafo segundo de la ley en cita y cubrir las prestaciones a que tenga derecho, así como los salarios vencidos desde la fecha del despido hasta que se cumplimente el laudo, o hasta que el servidor público se incorpore a laborar en un municipio o institución pública de los poderes del Estado, independientemente del tiempo que dure el proceso.</w:t>
      </w:r>
    </w:p>
    <w:p w14:paraId="0DF7ADBD" w14:textId="77777777" w:rsidR="004554A0" w:rsidRPr="000E5111" w:rsidRDefault="004554A0" w:rsidP="004554A0">
      <w:pPr>
        <w:spacing w:line="360" w:lineRule="auto"/>
        <w:ind w:right="49"/>
        <w:jc w:val="both"/>
        <w:rPr>
          <w:rFonts w:ascii="Palatino Linotype" w:eastAsia="Palatino Linotype" w:hAnsi="Palatino Linotype" w:cs="Palatino Linotype"/>
          <w:sz w:val="22"/>
          <w:szCs w:val="22"/>
        </w:rPr>
      </w:pPr>
    </w:p>
    <w:p w14:paraId="71D0F3D0" w14:textId="77777777" w:rsidR="004554A0" w:rsidRPr="000E5111" w:rsidRDefault="004554A0" w:rsidP="004554A0">
      <w:pPr>
        <w:spacing w:line="360" w:lineRule="auto"/>
        <w:ind w:right="49"/>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Por lo tanto, para la terminación o rescisión laboral, originado por renuncias o juicios ante órganos jurisdiccionales en materia laboral, de los que derivaran laudos condenando al pago de las prestaciones previstas en ese ordenamiento legal (que se traduce en finiquitos), el </w:t>
      </w:r>
      <w:r w:rsidRPr="000E5111">
        <w:rPr>
          <w:rFonts w:ascii="Palatino Linotype" w:eastAsia="Palatino Linotype" w:hAnsi="Palatino Linotype" w:cs="Palatino Linotype"/>
          <w:b/>
          <w:sz w:val="22"/>
          <w:szCs w:val="22"/>
        </w:rPr>
        <w:t>Sujeto Obligado</w:t>
      </w:r>
      <w:r w:rsidRPr="000E5111">
        <w:rPr>
          <w:rFonts w:ascii="Palatino Linotype" w:eastAsia="Palatino Linotype" w:hAnsi="Palatino Linotype" w:cs="Palatino Linotype"/>
          <w:sz w:val="22"/>
          <w:szCs w:val="22"/>
        </w:rPr>
        <w:t xml:space="preserve"> debe efectuar el pago de dichas prestaciones generando necesariamente un soporte documental.</w:t>
      </w:r>
    </w:p>
    <w:p w14:paraId="78266FB1" w14:textId="77777777" w:rsidR="004554A0" w:rsidRPr="000E5111" w:rsidRDefault="004554A0" w:rsidP="004554A0">
      <w:pPr>
        <w:spacing w:line="360" w:lineRule="auto"/>
        <w:ind w:right="49"/>
        <w:jc w:val="both"/>
        <w:rPr>
          <w:rFonts w:ascii="Palatino Linotype" w:eastAsia="Palatino Linotype" w:hAnsi="Palatino Linotype" w:cs="Palatino Linotype"/>
          <w:sz w:val="22"/>
          <w:szCs w:val="22"/>
        </w:rPr>
      </w:pPr>
    </w:p>
    <w:p w14:paraId="7597C053" w14:textId="4EB218BC" w:rsidR="004554A0" w:rsidRPr="000E5111" w:rsidRDefault="004554A0" w:rsidP="004554A0">
      <w:pPr>
        <w:spacing w:line="360" w:lineRule="auto"/>
        <w:ind w:right="49"/>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Por otro lado, derivado de que la parte </w:t>
      </w:r>
      <w:r w:rsidRPr="000E5111">
        <w:rPr>
          <w:rFonts w:ascii="Palatino Linotype" w:eastAsia="Palatino Linotype" w:hAnsi="Palatino Linotype" w:cs="Palatino Linotype"/>
          <w:b/>
          <w:sz w:val="22"/>
          <w:szCs w:val="22"/>
        </w:rPr>
        <w:t>Recurrente</w:t>
      </w:r>
      <w:r w:rsidR="003F5A8F" w:rsidRPr="000E5111">
        <w:rPr>
          <w:rFonts w:ascii="Palatino Linotype" w:eastAsia="Palatino Linotype" w:hAnsi="Palatino Linotype" w:cs="Palatino Linotype"/>
          <w:sz w:val="22"/>
          <w:szCs w:val="22"/>
        </w:rPr>
        <w:t xml:space="preserve"> solicitó, además de laudos, convenios y finiquitos, conocer el listado de pago de finiquitos y laudos</w:t>
      </w:r>
      <w:r w:rsidRPr="000E5111">
        <w:rPr>
          <w:rFonts w:ascii="Palatino Linotype" w:eastAsia="Palatino Linotype" w:hAnsi="Palatino Linotype" w:cs="Palatino Linotype"/>
          <w:sz w:val="22"/>
          <w:szCs w:val="22"/>
        </w:rPr>
        <w:t xml:space="preserve">, </w:t>
      </w:r>
      <w:r w:rsidR="003F5A8F" w:rsidRPr="000E5111">
        <w:rPr>
          <w:rFonts w:ascii="Palatino Linotype" w:eastAsia="Palatino Linotype" w:hAnsi="Palatino Linotype" w:cs="Palatino Linotype"/>
          <w:sz w:val="22"/>
          <w:szCs w:val="22"/>
        </w:rPr>
        <w:t xml:space="preserve">por lo que </w:t>
      </w:r>
      <w:r w:rsidRPr="000E5111">
        <w:rPr>
          <w:rFonts w:ascii="Palatino Linotype" w:eastAsia="Palatino Linotype" w:hAnsi="Palatino Linotype" w:cs="Palatino Linotype"/>
          <w:sz w:val="22"/>
          <w:szCs w:val="22"/>
        </w:rPr>
        <w:t>resulta importante traer a contexto que, de los Lineamientos para la entrega del Informe Trimestral emitidos por el Órgano Superior de Fiscalización del Estado de México, se advierte lo siguiente:</w:t>
      </w:r>
    </w:p>
    <w:p w14:paraId="59BA2710" w14:textId="77777777" w:rsidR="004554A0" w:rsidRPr="000E5111" w:rsidRDefault="004554A0" w:rsidP="004554A0">
      <w:pPr>
        <w:spacing w:line="360" w:lineRule="auto"/>
        <w:ind w:right="49"/>
        <w:jc w:val="center"/>
        <w:rPr>
          <w:rFonts w:ascii="Palatino Linotype" w:eastAsia="Palatino Linotype" w:hAnsi="Palatino Linotype" w:cs="Palatino Linotype"/>
          <w:sz w:val="22"/>
          <w:szCs w:val="22"/>
        </w:rPr>
      </w:pPr>
      <w:r w:rsidRPr="000E5111">
        <w:rPr>
          <w:rFonts w:ascii="Palatino Linotype" w:eastAsia="Palatino Linotype" w:hAnsi="Palatino Linotype" w:cs="Palatino Linotype"/>
          <w:noProof/>
          <w:sz w:val="22"/>
          <w:szCs w:val="22"/>
        </w:rPr>
        <w:drawing>
          <wp:inline distT="0" distB="0" distL="0" distR="0" wp14:anchorId="4D4DCA64" wp14:editId="3C5A352C">
            <wp:extent cx="3896139" cy="3792772"/>
            <wp:effectExtent l="0" t="0" r="0" b="0"/>
            <wp:docPr id="4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3942587" cy="3837988"/>
                    </a:xfrm>
                    <a:prstGeom prst="rect">
                      <a:avLst/>
                    </a:prstGeom>
                    <a:ln/>
                  </pic:spPr>
                </pic:pic>
              </a:graphicData>
            </a:graphic>
          </wp:inline>
        </w:drawing>
      </w:r>
    </w:p>
    <w:p w14:paraId="557974D7" w14:textId="77777777" w:rsidR="004554A0" w:rsidRPr="000E5111" w:rsidRDefault="004554A0" w:rsidP="004554A0">
      <w:pPr>
        <w:spacing w:line="360" w:lineRule="auto"/>
        <w:ind w:right="49"/>
        <w:jc w:val="center"/>
        <w:rPr>
          <w:rFonts w:ascii="Palatino Linotype" w:eastAsia="Palatino Linotype" w:hAnsi="Palatino Linotype" w:cs="Palatino Linotype"/>
          <w:sz w:val="22"/>
          <w:szCs w:val="22"/>
        </w:rPr>
      </w:pPr>
    </w:p>
    <w:p w14:paraId="2F8448C1" w14:textId="77777777" w:rsidR="004554A0" w:rsidRPr="000E5111" w:rsidRDefault="004554A0" w:rsidP="004554A0">
      <w:pPr>
        <w:spacing w:line="360" w:lineRule="auto"/>
        <w:ind w:right="49"/>
        <w:jc w:val="both"/>
        <w:rPr>
          <w:rFonts w:ascii="Palatino Linotype" w:eastAsia="Palatino Linotype" w:hAnsi="Palatino Linotype" w:cs="Palatino Linotype"/>
          <w:sz w:val="22"/>
          <w:szCs w:val="22"/>
        </w:rPr>
      </w:pPr>
      <w:r w:rsidRPr="000E5111">
        <w:rPr>
          <w:rFonts w:ascii="Palatino Linotype" w:hAnsi="Palatino Linotype"/>
          <w:noProof/>
          <w:sz w:val="22"/>
          <w:szCs w:val="22"/>
        </w:rPr>
        <mc:AlternateContent>
          <mc:Choice Requires="wps">
            <w:drawing>
              <wp:anchor distT="0" distB="0" distL="114300" distR="114300" simplePos="0" relativeHeight="251661312" behindDoc="0" locked="0" layoutInCell="1" hidden="0" allowOverlap="1" wp14:anchorId="6BB6A077" wp14:editId="5836DA02">
                <wp:simplePos x="0" y="0"/>
                <wp:positionH relativeFrom="column">
                  <wp:posOffset>100965</wp:posOffset>
                </wp:positionH>
                <wp:positionV relativeFrom="paragraph">
                  <wp:posOffset>1808480</wp:posOffset>
                </wp:positionV>
                <wp:extent cx="3457575" cy="447675"/>
                <wp:effectExtent l="0" t="0" r="28575" b="28575"/>
                <wp:wrapNone/>
                <wp:docPr id="45" name="Rectángulo 45"/>
                <wp:cNvGraphicFramePr/>
                <a:graphic xmlns:a="http://schemas.openxmlformats.org/drawingml/2006/main">
                  <a:graphicData uri="http://schemas.microsoft.com/office/word/2010/wordprocessingShape">
                    <wps:wsp>
                      <wps:cNvSpPr/>
                      <wps:spPr>
                        <a:xfrm>
                          <a:off x="0" y="0"/>
                          <a:ext cx="3457575" cy="447675"/>
                        </a:xfrm>
                        <a:prstGeom prst="rect">
                          <a:avLst/>
                        </a:prstGeom>
                        <a:noFill/>
                        <a:ln w="19050" cap="flat" cmpd="sng">
                          <a:solidFill>
                            <a:srgbClr val="FF0000"/>
                          </a:solidFill>
                          <a:prstDash val="solid"/>
                          <a:miter lim="800000"/>
                          <a:headEnd type="none" w="sm" len="sm"/>
                          <a:tailEnd type="none" w="sm" len="sm"/>
                        </a:ln>
                      </wps:spPr>
                      <wps:txbx>
                        <w:txbxContent>
                          <w:p w14:paraId="64EC5718" w14:textId="77777777" w:rsidR="00873CC2" w:rsidRDefault="00873CC2" w:rsidP="004554A0">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BB6A077" id="Rectángulo 45" o:spid="_x0000_s1026" style="position:absolute;left:0;text-align:left;margin-left:7.95pt;margin-top:142.4pt;width:272.2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" filled="f" strokecolor="red" strokeweight="1.5pt">
                <v:stroke startarrowwidth="narrow" startarrowlength="short" endarrowwidth="narrow" endarrowlength="short"/>
                <v:textbox inset="2.53958mm,2.53958mm,2.53958mm,2.53958mm">
                  <w:txbxContent>
                    <w:p w14:paraId="64EC5718" w14:textId="77777777" w:rsidR="00873CC2" w:rsidRDefault="00873CC2" w:rsidP="004554A0">
                      <w:pPr>
                        <w:textDirection w:val="btLr"/>
                      </w:pPr>
                    </w:p>
                  </w:txbxContent>
                </v:textbox>
              </v:rect>
            </w:pict>
          </mc:Fallback>
        </mc:AlternateContent>
      </w:r>
      <w:r w:rsidRPr="000E5111">
        <w:rPr>
          <w:rFonts w:ascii="Palatino Linotype" w:eastAsia="Palatino Linotype" w:hAnsi="Palatino Linotype" w:cs="Palatino Linotype"/>
          <w:noProof/>
          <w:sz w:val="22"/>
          <w:szCs w:val="22"/>
        </w:rPr>
        <w:drawing>
          <wp:inline distT="0" distB="0" distL="0" distR="0" wp14:anchorId="4B566467" wp14:editId="4C56AFEA">
            <wp:extent cx="5612130" cy="3979545"/>
            <wp:effectExtent l="0" t="0" r="0" b="0"/>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612130" cy="3979545"/>
                    </a:xfrm>
                    <a:prstGeom prst="rect">
                      <a:avLst/>
                    </a:prstGeom>
                    <a:ln/>
                  </pic:spPr>
                </pic:pic>
              </a:graphicData>
            </a:graphic>
          </wp:inline>
        </w:drawing>
      </w:r>
      <w:r w:rsidRPr="000E5111">
        <w:rPr>
          <w:rFonts w:ascii="Palatino Linotype" w:hAnsi="Palatino Linotype"/>
          <w:noProof/>
          <w:sz w:val="22"/>
          <w:szCs w:val="22"/>
        </w:rPr>
        <mc:AlternateContent>
          <mc:Choice Requires="wps">
            <w:drawing>
              <wp:anchor distT="0" distB="0" distL="114300" distR="114300" simplePos="0" relativeHeight="251659264" behindDoc="0" locked="0" layoutInCell="1" hidden="0" allowOverlap="1" wp14:anchorId="34A77E73" wp14:editId="18AABE79">
                <wp:simplePos x="0" y="0"/>
                <wp:positionH relativeFrom="column">
                  <wp:posOffset>88901</wp:posOffset>
                </wp:positionH>
                <wp:positionV relativeFrom="paragraph">
                  <wp:posOffset>342900</wp:posOffset>
                </wp:positionV>
                <wp:extent cx="4152900" cy="161925"/>
                <wp:effectExtent l="0" t="0" r="0" b="0"/>
                <wp:wrapNone/>
                <wp:docPr id="42" name="Rectángulo 42"/>
                <wp:cNvGraphicFramePr/>
                <a:graphic xmlns:a="http://schemas.openxmlformats.org/drawingml/2006/main">
                  <a:graphicData uri="http://schemas.microsoft.com/office/word/2010/wordprocessingShape">
                    <wps:wsp>
                      <wps:cNvSpPr/>
                      <wps:spPr>
                        <a:xfrm>
                          <a:off x="3279075" y="3708563"/>
                          <a:ext cx="4133850" cy="142875"/>
                        </a:xfrm>
                        <a:prstGeom prst="rect">
                          <a:avLst/>
                        </a:prstGeom>
                        <a:noFill/>
                        <a:ln w="19050" cap="flat" cmpd="sng">
                          <a:solidFill>
                            <a:srgbClr val="FF0000"/>
                          </a:solidFill>
                          <a:prstDash val="solid"/>
                          <a:miter lim="800000"/>
                          <a:headEnd type="none" w="sm" len="sm"/>
                          <a:tailEnd type="none" w="sm" len="sm"/>
                        </a:ln>
                      </wps:spPr>
                      <wps:txbx>
                        <w:txbxContent>
                          <w:p w14:paraId="59D61041" w14:textId="77777777" w:rsidR="00873CC2" w:rsidRDefault="00873CC2" w:rsidP="004554A0">
                            <w:pPr>
                              <w:textDirection w:val="btLr"/>
                            </w:pPr>
                          </w:p>
                        </w:txbxContent>
                      </wps:txbx>
                      <wps:bodyPr spcFirstLastPara="1" wrap="square" lIns="91425" tIns="91425" rIns="91425" bIns="91425" anchor="ctr" anchorCtr="0">
                        <a:noAutofit/>
                      </wps:bodyPr>
                    </wps:wsp>
                  </a:graphicData>
                </a:graphic>
              </wp:anchor>
            </w:drawing>
          </mc:Choice>
          <mc:Fallback>
            <w:pict>
              <v:rect w14:anchorId="34A77E73" id="Rectángulo 42" o:spid="_x0000_s1027" style="position:absolute;left:0;text-align:left;margin-left:7pt;margin-top:27pt;width:327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" filled="f" strokecolor="red" strokeweight="1.5pt">
                <v:stroke startarrowwidth="narrow" startarrowlength="short" endarrowwidth="narrow" endarrowlength="short"/>
                <v:textbox inset="2.53958mm,2.53958mm,2.53958mm,2.53958mm">
                  <w:txbxContent>
                    <w:p w14:paraId="59D61041" w14:textId="77777777" w:rsidR="00873CC2" w:rsidRDefault="00873CC2" w:rsidP="004554A0">
                      <w:pPr>
                        <w:textDirection w:val="btLr"/>
                      </w:pPr>
                    </w:p>
                  </w:txbxContent>
                </v:textbox>
              </v:rect>
            </w:pict>
          </mc:Fallback>
        </mc:AlternateContent>
      </w:r>
      <w:r w:rsidRPr="000E5111">
        <w:rPr>
          <w:rFonts w:ascii="Palatino Linotype" w:hAnsi="Palatino Linotype"/>
          <w:noProof/>
          <w:sz w:val="22"/>
          <w:szCs w:val="22"/>
        </w:rPr>
        <mc:AlternateContent>
          <mc:Choice Requires="wps">
            <w:drawing>
              <wp:anchor distT="0" distB="0" distL="114300" distR="114300" simplePos="0" relativeHeight="251660288" behindDoc="0" locked="0" layoutInCell="1" hidden="0" allowOverlap="1" wp14:anchorId="6959E060" wp14:editId="3801BA76">
                <wp:simplePos x="0" y="0"/>
                <wp:positionH relativeFrom="column">
                  <wp:posOffset>114300</wp:posOffset>
                </wp:positionH>
                <wp:positionV relativeFrom="paragraph">
                  <wp:posOffset>990600</wp:posOffset>
                </wp:positionV>
                <wp:extent cx="4953000" cy="152400"/>
                <wp:effectExtent l="0" t="0" r="0" b="0"/>
                <wp:wrapNone/>
                <wp:docPr id="46" name="Rectángulo 46"/>
                <wp:cNvGraphicFramePr/>
                <a:graphic xmlns:a="http://schemas.openxmlformats.org/drawingml/2006/main">
                  <a:graphicData uri="http://schemas.microsoft.com/office/word/2010/wordprocessingShape">
                    <wps:wsp>
                      <wps:cNvSpPr/>
                      <wps:spPr>
                        <a:xfrm>
                          <a:off x="2879025" y="3713325"/>
                          <a:ext cx="4933950" cy="133350"/>
                        </a:xfrm>
                        <a:prstGeom prst="rect">
                          <a:avLst/>
                        </a:prstGeom>
                        <a:noFill/>
                        <a:ln w="19050" cap="flat" cmpd="sng">
                          <a:solidFill>
                            <a:srgbClr val="FF0000"/>
                          </a:solidFill>
                          <a:prstDash val="solid"/>
                          <a:miter lim="800000"/>
                          <a:headEnd type="none" w="sm" len="sm"/>
                          <a:tailEnd type="none" w="sm" len="sm"/>
                        </a:ln>
                      </wps:spPr>
                      <wps:txbx>
                        <w:txbxContent>
                          <w:p w14:paraId="043A73F8" w14:textId="77777777" w:rsidR="00873CC2" w:rsidRDefault="00873CC2" w:rsidP="004554A0">
                            <w:pPr>
                              <w:textDirection w:val="btLr"/>
                            </w:pPr>
                          </w:p>
                        </w:txbxContent>
                      </wps:txbx>
                      <wps:bodyPr spcFirstLastPara="1" wrap="square" lIns="91425" tIns="91425" rIns="91425" bIns="91425" anchor="ctr" anchorCtr="0">
                        <a:noAutofit/>
                      </wps:bodyPr>
                    </wps:wsp>
                  </a:graphicData>
                </a:graphic>
              </wp:anchor>
            </w:drawing>
          </mc:Choice>
          <mc:Fallback>
            <w:pict>
              <v:rect w14:anchorId="6959E060" id="Rectángulo 46" o:spid="_x0000_s1028" style="position:absolute;left:0;text-align:left;margin-left:9pt;margin-top:78pt;width:390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" filled="f" strokecolor="red" strokeweight="1.5pt">
                <v:stroke startarrowwidth="narrow" startarrowlength="short" endarrowwidth="narrow" endarrowlength="short"/>
                <v:textbox inset="2.53958mm,2.53958mm,2.53958mm,2.53958mm">
                  <w:txbxContent>
                    <w:p w14:paraId="043A73F8" w14:textId="77777777" w:rsidR="00873CC2" w:rsidRDefault="00873CC2" w:rsidP="004554A0">
                      <w:pPr>
                        <w:textDirection w:val="btLr"/>
                      </w:pPr>
                    </w:p>
                  </w:txbxContent>
                </v:textbox>
              </v:rect>
            </w:pict>
          </mc:Fallback>
        </mc:AlternateContent>
      </w:r>
    </w:p>
    <w:p w14:paraId="00E7D621" w14:textId="77777777" w:rsidR="004554A0" w:rsidRPr="000E5111" w:rsidRDefault="004554A0" w:rsidP="004554A0">
      <w:pPr>
        <w:spacing w:line="360" w:lineRule="auto"/>
        <w:ind w:right="49"/>
        <w:jc w:val="both"/>
        <w:rPr>
          <w:rFonts w:ascii="Palatino Linotype" w:eastAsia="Palatino Linotype" w:hAnsi="Palatino Linotype" w:cs="Palatino Linotype"/>
          <w:sz w:val="22"/>
          <w:szCs w:val="22"/>
        </w:rPr>
      </w:pPr>
    </w:p>
    <w:p w14:paraId="590E6470" w14:textId="6BAD7DD0" w:rsidR="004554A0" w:rsidRPr="000E5111" w:rsidRDefault="004554A0" w:rsidP="004554A0">
      <w:pPr>
        <w:spacing w:line="360" w:lineRule="auto"/>
        <w:ind w:right="49"/>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De lo anterior, se prevé que contrario con lo referido por el </w:t>
      </w:r>
      <w:r w:rsidRPr="000E5111">
        <w:rPr>
          <w:rFonts w:ascii="Palatino Linotype" w:eastAsia="Palatino Linotype" w:hAnsi="Palatino Linotype" w:cs="Palatino Linotype"/>
          <w:b/>
          <w:sz w:val="22"/>
          <w:szCs w:val="22"/>
        </w:rPr>
        <w:t>Sujeto Obligado</w:t>
      </w:r>
      <w:r w:rsidR="003F5A8F" w:rsidRPr="000E5111">
        <w:rPr>
          <w:rFonts w:ascii="Palatino Linotype" w:eastAsia="Palatino Linotype" w:hAnsi="Palatino Linotype" w:cs="Palatino Linotype"/>
          <w:b/>
          <w:sz w:val="22"/>
          <w:szCs w:val="22"/>
        </w:rPr>
        <w:t xml:space="preserve"> en respuesta e informe justificado, </w:t>
      </w:r>
      <w:r w:rsidRPr="000E5111">
        <w:rPr>
          <w:rFonts w:ascii="Palatino Linotype" w:eastAsia="Palatino Linotype" w:hAnsi="Palatino Linotype" w:cs="Palatino Linotype"/>
          <w:sz w:val="22"/>
          <w:szCs w:val="22"/>
        </w:rPr>
        <w:t xml:space="preserve">si cuenta con atribuciones para generar, poseer y administrar la información requerida por la parte </w:t>
      </w:r>
      <w:r w:rsidRPr="000E5111">
        <w:rPr>
          <w:rFonts w:ascii="Palatino Linotype" w:eastAsia="Palatino Linotype" w:hAnsi="Palatino Linotype" w:cs="Palatino Linotype"/>
          <w:b/>
          <w:sz w:val="22"/>
          <w:szCs w:val="22"/>
        </w:rPr>
        <w:t>Recurrente</w:t>
      </w:r>
      <w:r w:rsidRPr="000E5111">
        <w:rPr>
          <w:rFonts w:ascii="Palatino Linotype" w:eastAsia="Palatino Linotype" w:hAnsi="Palatino Linotype" w:cs="Palatino Linotype"/>
          <w:sz w:val="22"/>
          <w:szCs w:val="22"/>
        </w:rPr>
        <w:t>, puesto que tal y como se refir</w:t>
      </w:r>
      <w:r w:rsidR="003F5A8F" w:rsidRPr="000E5111">
        <w:rPr>
          <w:rFonts w:ascii="Palatino Linotype" w:eastAsia="Palatino Linotype" w:hAnsi="Palatino Linotype" w:cs="Palatino Linotype"/>
          <w:sz w:val="22"/>
          <w:szCs w:val="22"/>
        </w:rPr>
        <w:t xml:space="preserve">ió en párrafos que anteceden, </w:t>
      </w:r>
      <w:r w:rsidRPr="000E5111">
        <w:rPr>
          <w:rFonts w:ascii="Palatino Linotype" w:eastAsia="Palatino Linotype" w:hAnsi="Palatino Linotype" w:cs="Palatino Linotype"/>
          <w:sz w:val="22"/>
          <w:szCs w:val="22"/>
        </w:rPr>
        <w:t>la unidad administrativa competente para recibir, registrar y atender las demandas laborales interpuestas ante el Tribunal estatal de Conciliación y Arbitraje y continuar los juicios en todas sus etapas hasta su culminación</w:t>
      </w:r>
      <w:r w:rsidR="003F5A8F" w:rsidRPr="000E5111">
        <w:rPr>
          <w:rFonts w:ascii="Palatino Linotype" w:eastAsia="Palatino Linotype" w:hAnsi="Palatino Linotype" w:cs="Palatino Linotype"/>
          <w:sz w:val="22"/>
          <w:szCs w:val="22"/>
        </w:rPr>
        <w:t xml:space="preserve"> es la Consejería Jurídica</w:t>
      </w:r>
      <w:r w:rsidRPr="000E5111">
        <w:rPr>
          <w:rFonts w:ascii="Palatino Linotype" w:eastAsia="Palatino Linotype" w:hAnsi="Palatino Linotype" w:cs="Palatino Linotype"/>
          <w:sz w:val="22"/>
          <w:szCs w:val="22"/>
        </w:rPr>
        <w:t xml:space="preserve">. Aunado a que es el documento que de manera enunciativa más no limitativa puede atender lo requerido por la parte </w:t>
      </w:r>
      <w:r w:rsidRPr="000E5111">
        <w:rPr>
          <w:rFonts w:ascii="Palatino Linotype" w:eastAsia="Palatino Linotype" w:hAnsi="Palatino Linotype" w:cs="Palatino Linotype"/>
          <w:b/>
          <w:sz w:val="22"/>
          <w:szCs w:val="22"/>
        </w:rPr>
        <w:t>Recurrente</w:t>
      </w:r>
      <w:r w:rsidRPr="000E5111">
        <w:rPr>
          <w:rFonts w:ascii="Palatino Linotype" w:eastAsia="Palatino Linotype" w:hAnsi="Palatino Linotype" w:cs="Palatino Linotype"/>
          <w:sz w:val="22"/>
          <w:szCs w:val="22"/>
        </w:rPr>
        <w:t>, pues de este se</w:t>
      </w:r>
      <w:r w:rsidR="003F5A8F" w:rsidRPr="000E5111">
        <w:rPr>
          <w:rFonts w:ascii="Palatino Linotype" w:eastAsia="Palatino Linotype" w:hAnsi="Palatino Linotype" w:cs="Palatino Linotype"/>
          <w:sz w:val="22"/>
          <w:szCs w:val="22"/>
        </w:rPr>
        <w:t xml:space="preserve"> advierte el número de demandas, laudos, de qué año son y el importe estimado</w:t>
      </w:r>
      <w:r w:rsidRPr="000E5111">
        <w:rPr>
          <w:rFonts w:ascii="Palatino Linotype" w:eastAsia="Palatino Linotype" w:hAnsi="Palatino Linotype" w:cs="Palatino Linotype"/>
          <w:sz w:val="22"/>
          <w:szCs w:val="22"/>
        </w:rPr>
        <w:t>; por lo que resulta procedente ordenar</w:t>
      </w:r>
      <w:r w:rsidR="003F5A8F" w:rsidRPr="000E5111">
        <w:rPr>
          <w:rFonts w:ascii="Palatino Linotype" w:eastAsia="Palatino Linotype" w:hAnsi="Palatino Linotype" w:cs="Palatino Linotype"/>
          <w:sz w:val="22"/>
          <w:szCs w:val="22"/>
        </w:rPr>
        <w:t xml:space="preserve"> la entrega de la información, </w:t>
      </w:r>
      <w:r w:rsidRPr="000E5111">
        <w:rPr>
          <w:rFonts w:ascii="Palatino Linotype" w:eastAsia="Palatino Linotype" w:hAnsi="Palatino Linotype" w:cs="Palatino Linotype"/>
          <w:sz w:val="22"/>
          <w:szCs w:val="22"/>
        </w:rPr>
        <w:t xml:space="preserve">del </w:t>
      </w:r>
      <w:r w:rsidR="003F5A8F" w:rsidRPr="000E5111">
        <w:rPr>
          <w:rFonts w:ascii="Palatino Linotype" w:eastAsia="Palatino Linotype" w:hAnsi="Palatino Linotype" w:cs="Palatino Linotype"/>
          <w:sz w:val="22"/>
          <w:szCs w:val="22"/>
        </w:rPr>
        <w:t>diez</w:t>
      </w:r>
      <w:r w:rsidRPr="000E5111">
        <w:rPr>
          <w:rFonts w:ascii="Palatino Linotype" w:eastAsia="Palatino Linotype" w:hAnsi="Palatino Linotype" w:cs="Palatino Linotype"/>
          <w:sz w:val="22"/>
          <w:szCs w:val="22"/>
        </w:rPr>
        <w:t xml:space="preserve"> de ju</w:t>
      </w:r>
      <w:r w:rsidR="003F5A8F" w:rsidRPr="000E5111">
        <w:rPr>
          <w:rFonts w:ascii="Palatino Linotype" w:eastAsia="Palatino Linotype" w:hAnsi="Palatino Linotype" w:cs="Palatino Linotype"/>
          <w:sz w:val="22"/>
          <w:szCs w:val="22"/>
        </w:rPr>
        <w:t>nio</w:t>
      </w:r>
      <w:r w:rsidRPr="000E5111">
        <w:rPr>
          <w:rFonts w:ascii="Palatino Linotype" w:eastAsia="Palatino Linotype" w:hAnsi="Palatino Linotype" w:cs="Palatino Linotype"/>
          <w:sz w:val="22"/>
          <w:szCs w:val="22"/>
        </w:rPr>
        <w:t xml:space="preserve"> de dos mil veinticuatro al </w:t>
      </w:r>
      <w:r w:rsidR="003F5A8F" w:rsidRPr="000E5111">
        <w:rPr>
          <w:rFonts w:ascii="Palatino Linotype" w:eastAsia="Palatino Linotype" w:hAnsi="Palatino Linotype" w:cs="Palatino Linotype"/>
          <w:sz w:val="22"/>
          <w:szCs w:val="22"/>
        </w:rPr>
        <w:t>diez</w:t>
      </w:r>
      <w:r w:rsidRPr="000E5111">
        <w:rPr>
          <w:rFonts w:ascii="Palatino Linotype" w:eastAsia="Palatino Linotype" w:hAnsi="Palatino Linotype" w:cs="Palatino Linotype"/>
          <w:sz w:val="22"/>
          <w:szCs w:val="22"/>
        </w:rPr>
        <w:t xml:space="preserve"> de ju</w:t>
      </w:r>
      <w:r w:rsidR="003F5A8F" w:rsidRPr="000E5111">
        <w:rPr>
          <w:rFonts w:ascii="Palatino Linotype" w:eastAsia="Palatino Linotype" w:hAnsi="Palatino Linotype" w:cs="Palatino Linotype"/>
          <w:sz w:val="22"/>
          <w:szCs w:val="22"/>
        </w:rPr>
        <w:t>nio</w:t>
      </w:r>
      <w:r w:rsidRPr="000E5111">
        <w:rPr>
          <w:rFonts w:ascii="Palatino Linotype" w:eastAsia="Palatino Linotype" w:hAnsi="Palatino Linotype" w:cs="Palatino Linotype"/>
          <w:sz w:val="22"/>
          <w:szCs w:val="22"/>
        </w:rPr>
        <w:t xml:space="preserve"> de dos mil veinticinco. </w:t>
      </w:r>
    </w:p>
    <w:p w14:paraId="182FFC3A" w14:textId="77777777" w:rsidR="004554A0" w:rsidRPr="000E5111" w:rsidRDefault="004554A0" w:rsidP="004554A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3EBEC5B" w14:textId="77777777" w:rsidR="004554A0" w:rsidRPr="000E5111" w:rsidRDefault="004554A0" w:rsidP="004554A0">
      <w:pPr>
        <w:spacing w:line="360" w:lineRule="auto"/>
        <w:ind w:right="49"/>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En lo que respecta a los </w:t>
      </w:r>
      <w:r w:rsidRPr="000E5111">
        <w:rPr>
          <w:rFonts w:ascii="Palatino Linotype" w:eastAsia="Palatino Linotype" w:hAnsi="Palatino Linotype" w:cs="Palatino Linotype"/>
          <w:b/>
          <w:sz w:val="22"/>
          <w:szCs w:val="22"/>
          <w:u w:val="single"/>
        </w:rPr>
        <w:t>laudos y convenios laborales</w:t>
      </w:r>
      <w:r w:rsidRPr="000E5111">
        <w:rPr>
          <w:rFonts w:ascii="Palatino Linotype" w:eastAsia="Palatino Linotype" w:hAnsi="Palatino Linotype" w:cs="Palatino Linotype"/>
          <w:sz w:val="22"/>
          <w:szCs w:val="22"/>
        </w:rPr>
        <w:t xml:space="preserve">, resulta conveniente invocar el contenido del artículo 123 apartado A, fracción XX de la Constitución Política de los Estados Unidos Mexicanos que establece que las diferencias o conflictos entre trabajadores y patrones estarán a cargo de los Tribunales Laborales del Poder Judicial de la Federación o de las entidades federativas según corresponda, debiendo sus sentencias y resoluciones observar los principios de legalidad, imparcialidad, transparencia, autonomía e independencia. </w:t>
      </w:r>
    </w:p>
    <w:p w14:paraId="0CD703C7" w14:textId="77777777" w:rsidR="004554A0" w:rsidRPr="000E5111" w:rsidRDefault="004554A0" w:rsidP="004554A0">
      <w:pPr>
        <w:spacing w:line="360" w:lineRule="auto"/>
        <w:ind w:right="49"/>
        <w:jc w:val="both"/>
        <w:rPr>
          <w:rFonts w:ascii="Palatino Linotype" w:eastAsia="Palatino Linotype" w:hAnsi="Palatino Linotype" w:cs="Palatino Linotype"/>
          <w:sz w:val="22"/>
          <w:szCs w:val="22"/>
        </w:rPr>
      </w:pPr>
    </w:p>
    <w:p w14:paraId="2FB89CEB" w14:textId="77777777" w:rsidR="004554A0" w:rsidRPr="000E5111" w:rsidRDefault="004554A0" w:rsidP="004554A0">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En el mismo sentido, es preciso abordar el marco normativo aplicable al tema de la solicitud de información, a partir de lo que dispone la Ley Federal del Trabajo: </w:t>
      </w:r>
    </w:p>
    <w:p w14:paraId="5868C2FA" w14:textId="77777777" w:rsidR="004554A0" w:rsidRPr="000E5111" w:rsidRDefault="004554A0" w:rsidP="004554A0">
      <w:pPr>
        <w:spacing w:line="276" w:lineRule="auto"/>
        <w:ind w:left="851" w:right="616"/>
        <w:jc w:val="center"/>
        <w:rPr>
          <w:rFonts w:ascii="Palatino Linotype" w:eastAsia="Palatino Linotype" w:hAnsi="Palatino Linotype" w:cs="Palatino Linotype"/>
          <w:i/>
          <w:sz w:val="22"/>
          <w:szCs w:val="22"/>
        </w:rPr>
      </w:pPr>
    </w:p>
    <w:p w14:paraId="460CE855" w14:textId="77777777" w:rsidR="004554A0" w:rsidRPr="000E5111" w:rsidRDefault="004554A0" w:rsidP="004554A0">
      <w:pPr>
        <w:spacing w:line="276" w:lineRule="auto"/>
        <w:ind w:left="851" w:right="616"/>
        <w:jc w:val="center"/>
        <w:rPr>
          <w:rFonts w:ascii="Palatino Linotype" w:eastAsia="Palatino Linotype" w:hAnsi="Palatino Linotype" w:cs="Palatino Linotype"/>
          <w:b/>
          <w:i/>
          <w:sz w:val="22"/>
          <w:szCs w:val="22"/>
        </w:rPr>
      </w:pPr>
      <w:r w:rsidRPr="000E5111">
        <w:rPr>
          <w:rFonts w:ascii="Palatino Linotype" w:eastAsia="Palatino Linotype" w:hAnsi="Palatino Linotype" w:cs="Palatino Linotype"/>
          <w:i/>
          <w:sz w:val="22"/>
          <w:szCs w:val="22"/>
        </w:rPr>
        <w:t>“</w:t>
      </w:r>
      <w:r w:rsidRPr="000E5111">
        <w:rPr>
          <w:rFonts w:ascii="Palatino Linotype" w:eastAsia="Palatino Linotype" w:hAnsi="Palatino Linotype" w:cs="Palatino Linotype"/>
          <w:b/>
          <w:i/>
          <w:sz w:val="22"/>
          <w:szCs w:val="22"/>
        </w:rPr>
        <w:t>CAPITULO XIII</w:t>
      </w:r>
    </w:p>
    <w:p w14:paraId="7839D3DA" w14:textId="77777777" w:rsidR="004554A0" w:rsidRPr="000E5111" w:rsidRDefault="004554A0" w:rsidP="004554A0">
      <w:pPr>
        <w:spacing w:line="276" w:lineRule="auto"/>
        <w:ind w:left="851" w:right="616"/>
        <w:jc w:val="center"/>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De las Resoluciones Laborales</w:t>
      </w:r>
    </w:p>
    <w:p w14:paraId="5D813D44"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837.-</w:t>
      </w:r>
      <w:r w:rsidRPr="000E5111">
        <w:rPr>
          <w:rFonts w:ascii="Palatino Linotype" w:eastAsia="Palatino Linotype" w:hAnsi="Palatino Linotype" w:cs="Palatino Linotype"/>
          <w:i/>
          <w:sz w:val="22"/>
          <w:szCs w:val="22"/>
        </w:rPr>
        <w:t xml:space="preserve"> Las resoluciones de los tribunales laborales son:</w:t>
      </w:r>
    </w:p>
    <w:p w14:paraId="42184946"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 Acuerdos: si se refieren a simples determinaciones de trámite o cuando decidan cualquier cuestión dentro del negocio;</w:t>
      </w:r>
    </w:p>
    <w:p w14:paraId="38BFC7AA"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 Autos incidentales o resoluciones interlocutorias: cuando resuelvan dentro o fuera de juicio un incidente; y</w:t>
      </w:r>
    </w:p>
    <w:p w14:paraId="305B984E"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III. Sentencias: cuando decidan sobre el fondo del conflicto</w:t>
      </w:r>
      <w:r w:rsidRPr="000E5111">
        <w:rPr>
          <w:rFonts w:ascii="Palatino Linotype" w:eastAsia="Palatino Linotype" w:hAnsi="Palatino Linotype" w:cs="Palatino Linotype"/>
          <w:i/>
          <w:sz w:val="22"/>
          <w:szCs w:val="22"/>
        </w:rPr>
        <w:t>.</w:t>
      </w:r>
    </w:p>
    <w:p w14:paraId="44EEB01E"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 </w:t>
      </w:r>
    </w:p>
    <w:p w14:paraId="13E74931" w14:textId="77777777" w:rsidR="004554A0" w:rsidRPr="000E5111" w:rsidRDefault="004554A0" w:rsidP="004554A0">
      <w:pPr>
        <w:spacing w:line="276" w:lineRule="auto"/>
        <w:ind w:left="851" w:right="616"/>
        <w:jc w:val="both"/>
        <w:rPr>
          <w:rFonts w:ascii="Palatino Linotype" w:eastAsia="Palatino Linotype" w:hAnsi="Palatino Linotype" w:cs="Palatino Linotype"/>
          <w:b/>
          <w:i/>
          <w:sz w:val="22"/>
          <w:szCs w:val="22"/>
        </w:rPr>
      </w:pPr>
      <w:r w:rsidRPr="000E5111">
        <w:rPr>
          <w:rFonts w:ascii="Palatino Linotype" w:eastAsia="Palatino Linotype" w:hAnsi="Palatino Linotype" w:cs="Palatino Linotype"/>
          <w:b/>
          <w:i/>
          <w:sz w:val="22"/>
          <w:szCs w:val="22"/>
        </w:rPr>
        <w:t>Artículo 840.- El sentencia contendrá:</w:t>
      </w:r>
    </w:p>
    <w:p w14:paraId="2AEF8B8F"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 Lugar, fecha y Junta que lo pronuncie;</w:t>
      </w:r>
    </w:p>
    <w:p w14:paraId="42C9AD9D"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 Nombres y domicilios de las partes y de sus representantes;</w:t>
      </w:r>
    </w:p>
    <w:p w14:paraId="4E163082"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III. Extracto de la demanda y su contestación; réplica y contrarréplica y, en su caso, de la reconvención y contestación a la misma, que deberá contener con claridad y concisión las peticiones de las partes y los hechos controvertidos;</w:t>
      </w:r>
    </w:p>
    <w:p w14:paraId="444FC836"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IV. Enumeración de las pruebas admitidas y desahogadas y su apreciación en conciencia, señalando los hechos que deban considerarse probados;</w:t>
      </w:r>
    </w:p>
    <w:p w14:paraId="43C0A96B"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V. Extracto de los alegatos;</w:t>
      </w:r>
    </w:p>
    <w:p w14:paraId="513033A1"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VI. Las razones legales o de equidad, la jurisprudencia y doctrina que les sirva de fundamento; y</w:t>
      </w:r>
    </w:p>
    <w:p w14:paraId="41398573" w14:textId="77777777" w:rsidR="004554A0" w:rsidRPr="000E5111" w:rsidRDefault="004554A0" w:rsidP="004554A0">
      <w:pPr>
        <w:spacing w:line="276" w:lineRule="auto"/>
        <w:ind w:left="851" w:right="616"/>
        <w:jc w:val="both"/>
        <w:rPr>
          <w:rFonts w:ascii="Palatino Linotype" w:eastAsia="Palatino Linotype" w:hAnsi="Palatino Linotype" w:cs="Palatino Linotype"/>
          <w:b/>
          <w:i/>
          <w:sz w:val="22"/>
          <w:szCs w:val="22"/>
        </w:rPr>
      </w:pPr>
      <w:r w:rsidRPr="000E5111">
        <w:rPr>
          <w:rFonts w:ascii="Palatino Linotype" w:eastAsia="Palatino Linotype" w:hAnsi="Palatino Linotype" w:cs="Palatino Linotype"/>
          <w:i/>
          <w:sz w:val="22"/>
          <w:szCs w:val="22"/>
        </w:rPr>
        <w:t>VII. Los puntos resolutivos”</w:t>
      </w:r>
    </w:p>
    <w:p w14:paraId="56C15E13" w14:textId="77777777" w:rsidR="004554A0" w:rsidRPr="000E5111" w:rsidRDefault="004554A0" w:rsidP="004554A0">
      <w:pPr>
        <w:spacing w:line="360" w:lineRule="auto"/>
        <w:jc w:val="both"/>
        <w:rPr>
          <w:rFonts w:ascii="Palatino Linotype" w:eastAsia="Palatino Linotype" w:hAnsi="Palatino Linotype" w:cs="Palatino Linotype"/>
          <w:sz w:val="22"/>
          <w:szCs w:val="22"/>
        </w:rPr>
      </w:pPr>
    </w:p>
    <w:p w14:paraId="5342DBD0" w14:textId="77777777" w:rsidR="004554A0" w:rsidRPr="000E5111" w:rsidRDefault="004554A0" w:rsidP="004554A0">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De manera que, los laudos son resoluciones de los Tribunales que deciden sobre el fondo del conflicto, de ahí que deban contener nombre y domicilio de las partes, extracto de la demanda y su contestación, replica y contra replica, enumeración de las pruebas admitidas, desahogadas y su apreciación, extracto de los alegatos, las razones legales o de equidad, doctrina, jurisprudencia que sirva de fundamento y los puntos resolutivos. </w:t>
      </w:r>
    </w:p>
    <w:p w14:paraId="46F79D65" w14:textId="77777777" w:rsidR="004554A0" w:rsidRPr="000E5111" w:rsidRDefault="004554A0" w:rsidP="004554A0">
      <w:pPr>
        <w:spacing w:line="360" w:lineRule="auto"/>
        <w:jc w:val="both"/>
        <w:rPr>
          <w:rFonts w:ascii="Palatino Linotype" w:eastAsia="Palatino Linotype" w:hAnsi="Palatino Linotype" w:cs="Palatino Linotype"/>
          <w:sz w:val="22"/>
          <w:szCs w:val="22"/>
        </w:rPr>
      </w:pPr>
    </w:p>
    <w:p w14:paraId="245DF593" w14:textId="77777777" w:rsidR="004554A0" w:rsidRPr="000E5111" w:rsidRDefault="004554A0" w:rsidP="004554A0">
      <w:pPr>
        <w:tabs>
          <w:tab w:val="left" w:pos="4962"/>
        </w:tabs>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Aunado a ello, la Ley del Trabajo de los Servidores Públicos del Estado y Municipios, establece lo siguiente:</w:t>
      </w:r>
    </w:p>
    <w:p w14:paraId="43A2BFA0" w14:textId="77777777" w:rsidR="004554A0" w:rsidRPr="000E5111" w:rsidRDefault="004554A0" w:rsidP="004554A0">
      <w:pPr>
        <w:tabs>
          <w:tab w:val="left" w:pos="4962"/>
        </w:tabs>
        <w:spacing w:line="360" w:lineRule="auto"/>
        <w:jc w:val="both"/>
        <w:rPr>
          <w:rFonts w:ascii="Palatino Linotype" w:eastAsia="Palatino Linotype" w:hAnsi="Palatino Linotype" w:cs="Palatino Linotype"/>
          <w:sz w:val="22"/>
          <w:szCs w:val="22"/>
        </w:rPr>
      </w:pPr>
    </w:p>
    <w:p w14:paraId="559E31F1"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r w:rsidRPr="000E5111">
        <w:rPr>
          <w:rFonts w:ascii="Palatino Linotype" w:eastAsia="Palatino Linotype" w:hAnsi="Palatino Linotype" w:cs="Palatino Linotype"/>
          <w:b/>
          <w:i/>
          <w:sz w:val="22"/>
          <w:szCs w:val="22"/>
        </w:rPr>
        <w:t xml:space="preserve">ARTÍCULO 98. </w:t>
      </w:r>
      <w:r w:rsidRPr="000E5111">
        <w:rPr>
          <w:rFonts w:ascii="Palatino Linotype" w:eastAsia="Palatino Linotype" w:hAnsi="Palatino Linotype" w:cs="Palatino Linotype"/>
          <w:i/>
          <w:sz w:val="22"/>
          <w:szCs w:val="22"/>
        </w:rPr>
        <w:t>Son obligaciones de las instituciones públicas:</w:t>
      </w:r>
    </w:p>
    <w:p w14:paraId="30EEDC12"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567D5922"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VI. Cumplir oportunamente los laudos que dicte el Tribunal o la Sala, y pagar el monto de las indemnizaciones y demás prestaciones a que tenga derecho el servidor público;</w:t>
      </w:r>
    </w:p>
    <w:p w14:paraId="21D148D7"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74E431A0"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214.</w:t>
      </w:r>
      <w:r w:rsidRPr="000E5111">
        <w:rPr>
          <w:rFonts w:ascii="Palatino Linotype" w:eastAsia="Palatino Linotype" w:hAnsi="Palatino Linotype" w:cs="Palatino Linotype"/>
          <w:i/>
          <w:sz w:val="22"/>
          <w:szCs w:val="22"/>
        </w:rPr>
        <w:t xml:space="preserve"> Se harán personalmente las notificaciones siguientes:</w:t>
      </w:r>
    </w:p>
    <w:p w14:paraId="7150B8F0"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 a VII…</w:t>
      </w:r>
    </w:p>
    <w:p w14:paraId="40D3CC18"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b/>
          <w:i/>
          <w:sz w:val="22"/>
          <w:szCs w:val="22"/>
        </w:rPr>
      </w:pPr>
      <w:r w:rsidRPr="000E5111">
        <w:rPr>
          <w:rFonts w:ascii="Palatino Linotype" w:eastAsia="Palatino Linotype" w:hAnsi="Palatino Linotype" w:cs="Palatino Linotype"/>
          <w:b/>
          <w:i/>
          <w:sz w:val="22"/>
          <w:szCs w:val="22"/>
        </w:rPr>
        <w:t>VIII. El laudo;</w:t>
      </w:r>
    </w:p>
    <w:p w14:paraId="184986C5"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IX a XIV…</w:t>
      </w:r>
    </w:p>
    <w:p w14:paraId="57C3E312" w14:textId="77777777" w:rsidR="004554A0" w:rsidRPr="000E5111" w:rsidRDefault="004554A0" w:rsidP="004554A0">
      <w:pPr>
        <w:tabs>
          <w:tab w:val="left" w:pos="4962"/>
        </w:tabs>
        <w:spacing w:line="276" w:lineRule="auto"/>
        <w:ind w:left="851" w:right="616"/>
        <w:jc w:val="center"/>
        <w:rPr>
          <w:rFonts w:ascii="Palatino Linotype" w:eastAsia="Palatino Linotype" w:hAnsi="Palatino Linotype" w:cs="Palatino Linotype"/>
          <w:b/>
          <w:i/>
          <w:sz w:val="22"/>
          <w:szCs w:val="22"/>
        </w:rPr>
      </w:pPr>
      <w:r w:rsidRPr="000E5111">
        <w:rPr>
          <w:rFonts w:ascii="Palatino Linotype" w:eastAsia="Palatino Linotype" w:hAnsi="Palatino Linotype" w:cs="Palatino Linotype"/>
          <w:b/>
          <w:i/>
          <w:sz w:val="22"/>
          <w:szCs w:val="22"/>
        </w:rPr>
        <w:t xml:space="preserve">CAPITULO X </w:t>
      </w:r>
    </w:p>
    <w:p w14:paraId="10EB0987" w14:textId="77777777" w:rsidR="004554A0" w:rsidRPr="000E5111" w:rsidRDefault="004554A0" w:rsidP="004554A0">
      <w:pPr>
        <w:tabs>
          <w:tab w:val="left" w:pos="4962"/>
        </w:tabs>
        <w:spacing w:line="276" w:lineRule="auto"/>
        <w:ind w:left="851" w:right="616"/>
        <w:jc w:val="center"/>
        <w:rPr>
          <w:rFonts w:ascii="Palatino Linotype" w:eastAsia="Palatino Linotype" w:hAnsi="Palatino Linotype" w:cs="Palatino Linotype"/>
          <w:b/>
          <w:i/>
          <w:sz w:val="22"/>
          <w:szCs w:val="22"/>
        </w:rPr>
      </w:pPr>
      <w:r w:rsidRPr="000E5111">
        <w:rPr>
          <w:rFonts w:ascii="Palatino Linotype" w:eastAsia="Palatino Linotype" w:hAnsi="Palatino Linotype" w:cs="Palatino Linotype"/>
          <w:b/>
          <w:i/>
          <w:sz w:val="22"/>
          <w:szCs w:val="22"/>
        </w:rPr>
        <w:t>Del Procedimiento Laboral</w:t>
      </w:r>
    </w:p>
    <w:p w14:paraId="23D9274F"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225.</w:t>
      </w:r>
      <w:r w:rsidRPr="000E5111">
        <w:rPr>
          <w:rFonts w:ascii="Palatino Linotype" w:eastAsia="Palatino Linotype" w:hAnsi="Palatino Linotype" w:cs="Palatino Linotype"/>
          <w:i/>
          <w:sz w:val="22"/>
          <w:szCs w:val="22"/>
        </w:rPr>
        <w:t xml:space="preserve"> Las disposiciones de este capítulo rigen la tramitación y resolución de los conflictos individuales y colectivos, con excepción de la huelga cuya tramitación se sujetará al procedimiento especial que en esta ley se contempla. </w:t>
      </w:r>
    </w:p>
    <w:p w14:paraId="5CC5BC11"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b/>
          <w:i/>
          <w:sz w:val="22"/>
          <w:szCs w:val="22"/>
        </w:rPr>
      </w:pPr>
    </w:p>
    <w:p w14:paraId="28CCC520"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226</w:t>
      </w:r>
      <w:r w:rsidRPr="000E5111">
        <w:rPr>
          <w:rFonts w:ascii="Palatino Linotype" w:eastAsia="Palatino Linotype" w:hAnsi="Palatino Linotype" w:cs="Palatino Linotype"/>
          <w:i/>
          <w:sz w:val="22"/>
          <w:szCs w:val="22"/>
        </w:rPr>
        <w:t>. El procedimiento se iniciará con la presentación del escrito de demanda ante la Oficialía de Partes del Tribunal o la Sala que lo turnará a la Sala oral o mesa de audiencia según le corresponda el mismo día antes de que concluyan las labores…</w:t>
      </w:r>
    </w:p>
    <w:p w14:paraId="52B31425"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p>
    <w:p w14:paraId="3B18C022"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232.-</w:t>
      </w:r>
      <w:r w:rsidRPr="000E5111">
        <w:rPr>
          <w:rFonts w:ascii="Palatino Linotype" w:eastAsia="Palatino Linotype" w:hAnsi="Palatino Linotype" w:cs="Palatino Linotype"/>
          <w:i/>
          <w:sz w:val="22"/>
          <w:szCs w:val="22"/>
        </w:rPr>
        <w:t xml:space="preserve"> La audiencia a que se refiere el artículo 229 de esta ley constará de tres etapas</w:t>
      </w:r>
    </w:p>
    <w:p w14:paraId="3F8FB962"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 De conciliación; y</w:t>
      </w:r>
    </w:p>
    <w:p w14:paraId="07C7C710"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 De depuración procesal;</w:t>
      </w:r>
    </w:p>
    <w:p w14:paraId="162C57DA"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III. De ofrecimiento y admisión de pruebas.</w:t>
      </w:r>
    </w:p>
    <w:p w14:paraId="3E331206"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La audiencia se iniciará con o sin la comparecencia de las partes. Las ausentes podrán intervenir cuando se presenten; sin embargo, tendrán por precluido el derecho para hacer valer las manifestaciones y demás actos referentes a las actuaciones ya celebradas y siempre que el Tribunal o la Sala no haya emitido el acuerdo correspondiente.</w:t>
      </w:r>
    </w:p>
    <w:p w14:paraId="48474320"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p>
    <w:p w14:paraId="70E6FF62"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233</w:t>
      </w:r>
      <w:r w:rsidRPr="000E5111">
        <w:rPr>
          <w:rFonts w:ascii="Palatino Linotype" w:eastAsia="Palatino Linotype" w:hAnsi="Palatino Linotype" w:cs="Palatino Linotype"/>
          <w:i/>
          <w:sz w:val="22"/>
          <w:szCs w:val="22"/>
        </w:rPr>
        <w:t xml:space="preserve">. La </w:t>
      </w:r>
      <w:r w:rsidRPr="000E5111">
        <w:rPr>
          <w:rFonts w:ascii="Palatino Linotype" w:eastAsia="Palatino Linotype" w:hAnsi="Palatino Linotype" w:cs="Palatino Linotype"/>
          <w:b/>
          <w:i/>
          <w:sz w:val="22"/>
          <w:szCs w:val="22"/>
        </w:rPr>
        <w:t xml:space="preserve">etapa conciliatoria se desarrollará </w:t>
      </w:r>
      <w:r w:rsidRPr="000E5111">
        <w:rPr>
          <w:rFonts w:ascii="Palatino Linotype" w:eastAsia="Palatino Linotype" w:hAnsi="Palatino Linotype" w:cs="Palatino Linotype"/>
          <w:i/>
          <w:sz w:val="22"/>
          <w:szCs w:val="22"/>
        </w:rPr>
        <w:t>en la siguiente forma:</w:t>
      </w:r>
    </w:p>
    <w:p w14:paraId="68E04DDB"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 Las partes podrán comparecer ante el Tribunal o la Sala personalmente o por medio de su apoderado o representante legal;</w:t>
      </w:r>
    </w:p>
    <w:p w14:paraId="0017C31F"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 El Tribunal o la Sala intervendrán para la celebración de pláticas entre las partes y las exhortarán, para que procuren llegar a un arreglo conciliatorio;</w:t>
      </w:r>
    </w:p>
    <w:p w14:paraId="2AA539B4"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b/>
          <w:i/>
          <w:sz w:val="22"/>
          <w:szCs w:val="22"/>
          <w:u w:val="single"/>
        </w:rPr>
      </w:pPr>
      <w:r w:rsidRPr="000E5111">
        <w:rPr>
          <w:rFonts w:ascii="Palatino Linotype" w:eastAsia="Palatino Linotype" w:hAnsi="Palatino Linotype" w:cs="Palatino Linotype"/>
          <w:b/>
          <w:i/>
          <w:sz w:val="22"/>
          <w:szCs w:val="22"/>
          <w:u w:val="single"/>
        </w:rPr>
        <w:t>III. Si las partes llegan a un acuerdo, se dará por terminado el conflicto. El convenio respectivo, aprobado por el Tribunal o la Sala, producirá todos los efectos jurídicos inherentes a un laudo;</w:t>
      </w:r>
    </w:p>
    <w:p w14:paraId="1FA38623"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IV a VI…</w:t>
      </w:r>
    </w:p>
    <w:p w14:paraId="5F5DA25D"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p>
    <w:p w14:paraId="262AA5B9"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 xml:space="preserve">ARTÍCULO 244.- </w:t>
      </w:r>
      <w:r w:rsidRPr="000E5111">
        <w:rPr>
          <w:rFonts w:ascii="Palatino Linotype" w:eastAsia="Palatino Linotype" w:hAnsi="Palatino Linotype" w:cs="Palatino Linotype"/>
          <w:i/>
          <w:sz w:val="22"/>
          <w:szCs w:val="22"/>
        </w:rPr>
        <w:t xml:space="preserve">Si la propuesta fuere aprobada, sin adiciones ni modificaciones, </w:t>
      </w:r>
      <w:r w:rsidRPr="000E5111">
        <w:rPr>
          <w:rFonts w:ascii="Palatino Linotype" w:eastAsia="Palatino Linotype" w:hAnsi="Palatino Linotype" w:cs="Palatino Linotype"/>
          <w:b/>
          <w:i/>
          <w:sz w:val="22"/>
          <w:szCs w:val="22"/>
        </w:rPr>
        <w:t>se elevará a la categoría de laudo</w:t>
      </w:r>
      <w:r w:rsidRPr="000E5111">
        <w:rPr>
          <w:rFonts w:ascii="Palatino Linotype" w:eastAsia="Palatino Linotype" w:hAnsi="Palatino Linotype" w:cs="Palatino Linotype"/>
          <w:i/>
          <w:sz w:val="22"/>
          <w:szCs w:val="22"/>
        </w:rPr>
        <w:t xml:space="preserve"> y se firmará de inmediato por los miembros del Tribunal o de la Sala. Si se le hicieran modificaciones o adiciones, se harán constar en el acta y el Presidente ordenará que de inmediato se redacte el laudo, de acuerdo con lo aprobado.</w:t>
      </w:r>
    </w:p>
    <w:p w14:paraId="4D247F2D"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Una vez firmado el laudo, se turnará el expediente al actuario, para que de inmediato lo notifique personalmente a las partes.</w:t>
      </w:r>
    </w:p>
    <w:p w14:paraId="0C2FBA71"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 xml:space="preserve">ARTÍCULO 249.- </w:t>
      </w:r>
      <w:r w:rsidRPr="000E5111">
        <w:rPr>
          <w:rFonts w:ascii="Palatino Linotype" w:eastAsia="Palatino Linotype" w:hAnsi="Palatino Linotype" w:cs="Palatino Linotype"/>
          <w:i/>
          <w:sz w:val="22"/>
          <w:szCs w:val="22"/>
        </w:rPr>
        <w:t>Contra el laudo dictado por el Tribunal o la Sala, no procede recurso alguno.</w:t>
      </w:r>
    </w:p>
    <w:p w14:paraId="1E103368"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p>
    <w:p w14:paraId="6E90D2A7"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 xml:space="preserve">ARTÍCULO 251.- </w:t>
      </w:r>
      <w:r w:rsidRPr="000E5111">
        <w:rPr>
          <w:rFonts w:ascii="Palatino Linotype" w:eastAsia="Palatino Linotype" w:hAnsi="Palatino Linotype" w:cs="Palatino Linotype"/>
          <w:i/>
          <w:sz w:val="22"/>
          <w:szCs w:val="22"/>
        </w:rPr>
        <w:t>Siempre que en ejecución de un laudo o convenio, deba entregarse una suma de dinero o el cumplimiento de un derecho al servidor público, el Presidente cuidará que se le otorgue personalmente.</w:t>
      </w:r>
    </w:p>
    <w:p w14:paraId="44EE4183"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p>
    <w:p w14:paraId="03540759" w14:textId="77777777" w:rsidR="004554A0" w:rsidRPr="000E5111" w:rsidRDefault="004554A0" w:rsidP="004554A0">
      <w:pPr>
        <w:tabs>
          <w:tab w:val="left" w:pos="4962"/>
        </w:tabs>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Los titulares de las instituciones o dependencias</w:t>
      </w:r>
      <w:r w:rsidRPr="000E5111">
        <w:rPr>
          <w:rFonts w:ascii="Palatino Linotype" w:eastAsia="Palatino Linotype" w:hAnsi="Palatino Linotype" w:cs="Palatino Linotype"/>
          <w:i/>
          <w:sz w:val="22"/>
          <w:szCs w:val="22"/>
        </w:rPr>
        <w:t xml:space="preserve"> </w:t>
      </w:r>
      <w:r w:rsidRPr="000E5111">
        <w:rPr>
          <w:rFonts w:ascii="Palatino Linotype" w:eastAsia="Palatino Linotype" w:hAnsi="Palatino Linotype" w:cs="Palatino Linotype"/>
          <w:b/>
          <w:i/>
          <w:sz w:val="22"/>
          <w:szCs w:val="22"/>
        </w:rPr>
        <w:t>y los sujetos a esta ley, se atendrán a lo dispuesto por los laudos y convenios</w:t>
      </w:r>
      <w:r w:rsidRPr="000E5111">
        <w:rPr>
          <w:rFonts w:ascii="Palatino Linotype" w:eastAsia="Palatino Linotype" w:hAnsi="Palatino Linotype" w:cs="Palatino Linotype"/>
          <w:i/>
          <w:sz w:val="22"/>
          <w:szCs w:val="22"/>
        </w:rPr>
        <w:t xml:space="preserve">, </w:t>
      </w:r>
      <w:r w:rsidRPr="000E5111">
        <w:rPr>
          <w:rFonts w:ascii="Palatino Linotype" w:eastAsia="Palatino Linotype" w:hAnsi="Palatino Linotype" w:cs="Palatino Linotype"/>
          <w:b/>
          <w:i/>
          <w:sz w:val="22"/>
          <w:szCs w:val="22"/>
        </w:rPr>
        <w:t xml:space="preserve">ordenando, en su caso el pago de las indemnizaciones sueldos o cualquier prestación en dinero que se determine en ellos, </w:t>
      </w:r>
      <w:r w:rsidRPr="000E5111">
        <w:rPr>
          <w:rFonts w:ascii="Palatino Linotype" w:eastAsia="Palatino Linotype" w:hAnsi="Palatino Linotype" w:cs="Palatino Linotype"/>
          <w:b/>
          <w:i/>
          <w:sz w:val="22"/>
          <w:szCs w:val="22"/>
          <w:u w:val="single"/>
        </w:rPr>
        <w:t>previo el establecimiento de una partida presupuestal específica para la liquidación respectiva</w:t>
      </w:r>
      <w:r w:rsidRPr="000E5111">
        <w:rPr>
          <w:rFonts w:ascii="Palatino Linotype" w:eastAsia="Palatino Linotype" w:hAnsi="Palatino Linotype" w:cs="Palatino Linotype"/>
          <w:i/>
          <w:sz w:val="22"/>
          <w:szCs w:val="22"/>
        </w:rPr>
        <w:t>.”</w:t>
      </w:r>
    </w:p>
    <w:p w14:paraId="49AAA31E" w14:textId="77777777" w:rsidR="004554A0" w:rsidRPr="000E5111" w:rsidRDefault="004554A0" w:rsidP="004554A0">
      <w:pPr>
        <w:tabs>
          <w:tab w:val="left" w:pos="4962"/>
        </w:tabs>
        <w:spacing w:line="360" w:lineRule="auto"/>
        <w:ind w:left="567" w:right="539"/>
        <w:jc w:val="both"/>
        <w:rPr>
          <w:rFonts w:ascii="Palatino Linotype" w:eastAsia="Palatino Linotype" w:hAnsi="Palatino Linotype" w:cs="Palatino Linotype"/>
          <w:i/>
          <w:sz w:val="22"/>
          <w:szCs w:val="22"/>
        </w:rPr>
      </w:pPr>
    </w:p>
    <w:p w14:paraId="3240A22C" w14:textId="77777777" w:rsidR="004554A0" w:rsidRPr="000E5111" w:rsidRDefault="004554A0" w:rsidP="004554A0">
      <w:pPr>
        <w:spacing w:line="360" w:lineRule="auto"/>
        <w:ind w:right="-93"/>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Así de la normatividad citada, se desprende que los laudos emitidos por el Tribunal Estatal de Conciliación y Arbitraje y/o convenios celebrados ante el mismo, no admiten recurso alguno en su contra y una vez notificados por el personal adscrito al Tribunal en comento, deben ser cumplidos por las instituciones públicas sin excepción alguna; conforme a ello, podemos presumir que en los archivos del Sujeto Obligado se pueden encontrar documentos relacionados con la pretensión de la parte </w:t>
      </w:r>
      <w:r w:rsidRPr="000E5111">
        <w:rPr>
          <w:rFonts w:ascii="Palatino Linotype" w:eastAsia="Palatino Linotype" w:hAnsi="Palatino Linotype" w:cs="Palatino Linotype"/>
          <w:b/>
          <w:sz w:val="22"/>
          <w:szCs w:val="22"/>
        </w:rPr>
        <w:t>Recurrente</w:t>
      </w:r>
      <w:r w:rsidRPr="000E5111">
        <w:rPr>
          <w:rFonts w:ascii="Palatino Linotype" w:eastAsia="Palatino Linotype" w:hAnsi="Palatino Linotype" w:cs="Palatino Linotype"/>
          <w:sz w:val="22"/>
          <w:szCs w:val="22"/>
        </w:rPr>
        <w:t xml:space="preserve">. </w:t>
      </w:r>
    </w:p>
    <w:p w14:paraId="749A4E85" w14:textId="77777777" w:rsidR="004554A0" w:rsidRPr="000E5111" w:rsidRDefault="004554A0" w:rsidP="004554A0">
      <w:pPr>
        <w:spacing w:line="360" w:lineRule="auto"/>
        <w:ind w:right="-93"/>
        <w:jc w:val="both"/>
        <w:rPr>
          <w:rFonts w:ascii="Palatino Linotype" w:eastAsia="Palatino Linotype" w:hAnsi="Palatino Linotype" w:cs="Palatino Linotype"/>
          <w:sz w:val="22"/>
          <w:szCs w:val="22"/>
        </w:rPr>
      </w:pPr>
    </w:p>
    <w:p w14:paraId="5EC32AAB" w14:textId="77777777" w:rsidR="004554A0" w:rsidRPr="000E5111" w:rsidRDefault="004554A0" w:rsidP="004554A0">
      <w:pPr>
        <w:spacing w:line="360" w:lineRule="auto"/>
        <w:ind w:right="-93"/>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Ahora bien, no pasa desapercibido para este Órgano Garante precisar que la información solicitada, se encuentra listada dentro de las obligaciones comunes de transparencia que deben mantener de manera permanente y actualizada los Sujetos Obligados en los medios digitales que así corresponda, esto, conforme al artículo 92, fracción XL de la Ley de Transparencia y Acceso a la Información Pública del Estado de México y Municipios, que a la letra, refiere lo siguiente:</w:t>
      </w:r>
    </w:p>
    <w:p w14:paraId="0048C0C2" w14:textId="77777777" w:rsidR="004554A0" w:rsidRPr="000E5111" w:rsidRDefault="004554A0" w:rsidP="004554A0">
      <w:pPr>
        <w:spacing w:line="360" w:lineRule="auto"/>
        <w:ind w:right="-93"/>
        <w:jc w:val="both"/>
        <w:rPr>
          <w:rFonts w:ascii="Palatino Linotype" w:eastAsia="Palatino Linotype" w:hAnsi="Palatino Linotype" w:cs="Palatino Linotype"/>
          <w:sz w:val="22"/>
          <w:szCs w:val="22"/>
        </w:rPr>
      </w:pPr>
    </w:p>
    <w:p w14:paraId="021795C4"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r w:rsidRPr="000E5111">
        <w:rPr>
          <w:rFonts w:ascii="Palatino Linotype" w:eastAsia="Palatino Linotype" w:hAnsi="Palatino Linotype" w:cs="Palatino Linotype"/>
          <w:b/>
          <w:i/>
          <w:sz w:val="22"/>
          <w:szCs w:val="22"/>
        </w:rPr>
        <w:t>Artículo 92.</w:t>
      </w:r>
      <w:r w:rsidRPr="000E5111">
        <w:rPr>
          <w:rFonts w:ascii="Palatino Linotype" w:eastAsia="Palatino Linotype" w:hAnsi="Palatino Linotype" w:cs="Palatino Linotype"/>
          <w:i/>
          <w:sz w:val="22"/>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DD93806"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714732C1"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XL.</w:t>
      </w:r>
      <w:r w:rsidRPr="000E5111">
        <w:rPr>
          <w:rFonts w:ascii="Palatino Linotype" w:eastAsia="Palatino Linotype" w:hAnsi="Palatino Linotype" w:cs="Palatino Linotype"/>
          <w:i/>
          <w:sz w:val="22"/>
          <w:szCs w:val="22"/>
        </w:rPr>
        <w:t xml:space="preserve"> </w:t>
      </w:r>
      <w:r w:rsidRPr="000E5111">
        <w:rPr>
          <w:rFonts w:ascii="Palatino Linotype" w:eastAsia="Palatino Linotype" w:hAnsi="Palatino Linotype" w:cs="Palatino Linotype"/>
          <w:b/>
          <w:i/>
          <w:sz w:val="22"/>
          <w:szCs w:val="22"/>
        </w:rPr>
        <w:t>Las resoluciones y laudos que se emitan en procesos o procedimientos seguidos en forma de juicio</w:t>
      </w:r>
      <w:r w:rsidRPr="000E5111">
        <w:rPr>
          <w:rFonts w:ascii="Palatino Linotype" w:eastAsia="Palatino Linotype" w:hAnsi="Palatino Linotype" w:cs="Palatino Linotype"/>
          <w:i/>
          <w:sz w:val="22"/>
          <w:szCs w:val="22"/>
        </w:rPr>
        <w:t>;</w:t>
      </w:r>
    </w:p>
    <w:p w14:paraId="5373084E" w14:textId="77777777" w:rsidR="004554A0" w:rsidRPr="000E5111" w:rsidRDefault="004554A0" w:rsidP="004554A0">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7F126B47" w14:textId="77777777" w:rsidR="004554A0" w:rsidRPr="000E5111" w:rsidRDefault="004554A0" w:rsidP="004554A0">
      <w:pPr>
        <w:spacing w:line="360" w:lineRule="auto"/>
        <w:jc w:val="both"/>
        <w:rPr>
          <w:rFonts w:ascii="Palatino Linotype" w:eastAsia="Palatino Linotype" w:hAnsi="Palatino Linotype" w:cs="Palatino Linotype"/>
          <w:sz w:val="22"/>
          <w:szCs w:val="22"/>
        </w:rPr>
      </w:pPr>
    </w:p>
    <w:p w14:paraId="00AA85EC" w14:textId="77777777" w:rsidR="004554A0" w:rsidRPr="000E5111" w:rsidRDefault="004554A0" w:rsidP="004554A0">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Es entonces que, respecto al artículo invocado, se advierte la competencia del Ayuntamiento de Toluca para dar atención al requerimiento del particular conforme a lo previsto por los artículos 12, 24 último párrafo y 160 de la Ley de Transparencia y Acceso a la Información Pública del Estado de México y Municipios y en tal virtud, debemos agregar que uno de los objetivos de la Ley es proveer lo necesario para garantizar a toda persona el derecho de acceso a la información pública.</w:t>
      </w:r>
    </w:p>
    <w:p w14:paraId="28E05D6B" w14:textId="77777777" w:rsidR="004554A0" w:rsidRPr="000E5111" w:rsidRDefault="004554A0" w:rsidP="004554A0">
      <w:pPr>
        <w:spacing w:line="360" w:lineRule="auto"/>
        <w:jc w:val="both"/>
        <w:rPr>
          <w:rFonts w:ascii="Palatino Linotype" w:eastAsia="Palatino Linotype" w:hAnsi="Palatino Linotype" w:cs="Palatino Linotype"/>
          <w:sz w:val="22"/>
          <w:szCs w:val="22"/>
        </w:rPr>
      </w:pPr>
    </w:p>
    <w:p w14:paraId="426C8B91" w14:textId="27C0C4C3" w:rsidR="004554A0" w:rsidRPr="000E5111" w:rsidRDefault="004554A0" w:rsidP="004554A0">
      <w:pPr>
        <w:spacing w:line="360" w:lineRule="auto"/>
        <w:jc w:val="both"/>
        <w:rPr>
          <w:rFonts w:ascii="Palatino Linotype" w:eastAsia="Palatino Linotype" w:hAnsi="Palatino Linotype" w:cs="Palatino Linotype"/>
          <w:sz w:val="22"/>
          <w:szCs w:val="22"/>
        </w:rPr>
      </w:pPr>
      <w:bookmarkStart w:id="2" w:name="_heading=h.4274zcjiellf" w:colFirst="0" w:colLast="0"/>
      <w:bookmarkEnd w:id="2"/>
      <w:r w:rsidRPr="000E5111">
        <w:rPr>
          <w:rFonts w:ascii="Palatino Linotype" w:eastAsia="Palatino Linotype" w:hAnsi="Palatino Linotype" w:cs="Palatino Linotype"/>
          <w:sz w:val="22"/>
          <w:szCs w:val="22"/>
        </w:rPr>
        <w:t xml:space="preserve">De este modo se advierte que la Consejería Jurídica a través del Departamento de Asuntos Administrativos se encarga de recibir, registrar y atender las demandas laborales interpuestas ante el Tribunal estatal de Conciliación y Arbitraje y continuar los juicios en todas sus etapas hasta su culminación; </w:t>
      </w:r>
      <w:r w:rsidRPr="000E5111">
        <w:rPr>
          <w:rFonts w:ascii="Palatino Linotype" w:eastAsia="Palatino Linotype" w:hAnsi="Palatino Linotype" w:cs="Palatino Linotype"/>
          <w:b/>
          <w:sz w:val="22"/>
          <w:szCs w:val="22"/>
        </w:rPr>
        <w:t>así como, celebrar convenios</w:t>
      </w:r>
      <w:r w:rsidRPr="000E5111">
        <w:rPr>
          <w:rFonts w:ascii="Palatino Linotype" w:eastAsia="Palatino Linotype" w:hAnsi="Palatino Linotype" w:cs="Palatino Linotype"/>
          <w:sz w:val="22"/>
          <w:szCs w:val="22"/>
        </w:rPr>
        <w:t xml:space="preserve"> a nombre del ayuntamiento ante el Tribunal Estatal de Conciliación y Arbitraje, con las y los trabajadores que deciden dar por terminada la relación laboral </w:t>
      </w:r>
      <w:r w:rsidRPr="000E5111">
        <w:rPr>
          <w:rFonts w:ascii="Palatino Linotype" w:eastAsia="Palatino Linotype" w:hAnsi="Palatino Linotype" w:cs="Palatino Linotype"/>
          <w:b/>
          <w:sz w:val="22"/>
          <w:szCs w:val="22"/>
        </w:rPr>
        <w:t>y elaborar el informe mensual de los casos de terminación y recisión de las relaciones laborales</w:t>
      </w:r>
      <w:r w:rsidRPr="000E5111">
        <w:rPr>
          <w:rFonts w:ascii="Palatino Linotype" w:eastAsia="Palatino Linotype" w:hAnsi="Palatino Linotype" w:cs="Palatino Linotype"/>
          <w:sz w:val="22"/>
          <w:szCs w:val="22"/>
        </w:rPr>
        <w:t xml:space="preserve"> que se presenten independientemente de su causa, así como de las acciones que al respecto se deban tener para evitar los conflictos laborales, de conformidad con el Manual de Organización de</w:t>
      </w:r>
      <w:r w:rsidR="003F5A8F" w:rsidRPr="000E5111">
        <w:rPr>
          <w:rFonts w:ascii="Palatino Linotype" w:eastAsia="Palatino Linotype" w:hAnsi="Palatino Linotype" w:cs="Palatino Linotype"/>
          <w:sz w:val="22"/>
          <w:szCs w:val="22"/>
        </w:rPr>
        <w:t xml:space="preserve"> la Secretaría del Ayuntamiento.</w:t>
      </w:r>
      <w:r w:rsidRPr="000E5111">
        <w:rPr>
          <w:rFonts w:ascii="Palatino Linotype" w:eastAsia="Palatino Linotype" w:hAnsi="Palatino Linotype" w:cs="Palatino Linotype"/>
          <w:sz w:val="22"/>
          <w:szCs w:val="22"/>
        </w:rPr>
        <w:t xml:space="preserve"> </w:t>
      </w:r>
    </w:p>
    <w:p w14:paraId="593319C5" w14:textId="77777777" w:rsidR="004554A0" w:rsidRPr="000E5111" w:rsidRDefault="004554A0" w:rsidP="004554A0">
      <w:pPr>
        <w:spacing w:line="360" w:lineRule="auto"/>
        <w:jc w:val="both"/>
        <w:rPr>
          <w:rFonts w:ascii="Palatino Linotype" w:eastAsia="Palatino Linotype" w:hAnsi="Palatino Linotype" w:cs="Palatino Linotype"/>
          <w:sz w:val="22"/>
          <w:szCs w:val="22"/>
        </w:rPr>
      </w:pPr>
    </w:p>
    <w:p w14:paraId="187085DE" w14:textId="27EEE94D" w:rsidR="004554A0" w:rsidRPr="000E5111" w:rsidRDefault="004554A0" w:rsidP="004554A0">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Ahora bien, este Organismo Garante considera oportuno señalar que referente al monto pagado, se localizó que durante la conferencia de prensa “La Toluqueña”</w:t>
      </w:r>
      <w:r w:rsidRPr="000E5111">
        <w:rPr>
          <w:rStyle w:val="Refdenotaalpie"/>
          <w:rFonts w:ascii="Palatino Linotype" w:eastAsia="Palatino Linotype" w:hAnsi="Palatino Linotype" w:cs="Palatino Linotype"/>
          <w:sz w:val="22"/>
          <w:szCs w:val="22"/>
        </w:rPr>
        <w:footnoteReference w:id="1"/>
      </w:r>
      <w:r w:rsidRPr="000E5111">
        <w:rPr>
          <w:rFonts w:ascii="Palatino Linotype" w:eastAsia="Palatino Linotype" w:hAnsi="Palatino Linotype" w:cs="Palatino Linotype"/>
          <w:sz w:val="22"/>
          <w:szCs w:val="22"/>
        </w:rPr>
        <w:t xml:space="preserve"> realizada en fecha veintiocho de mayo de dos mil veinticinco, el alcalde municipal dio a conocer que el gobierno Municipal de Toluca realizó el pago a asuntos laborales del 2016 al 2025 por </w:t>
      </w:r>
      <w:r w:rsidR="00934131" w:rsidRPr="000E5111">
        <w:rPr>
          <w:rFonts w:ascii="Palatino Linotype" w:eastAsia="Palatino Linotype" w:hAnsi="Palatino Linotype" w:cs="Palatino Linotype"/>
          <w:sz w:val="22"/>
          <w:szCs w:val="22"/>
        </w:rPr>
        <w:t>más</w:t>
      </w:r>
      <w:r w:rsidRPr="000E5111">
        <w:rPr>
          <w:rFonts w:ascii="Palatino Linotype" w:eastAsia="Palatino Linotype" w:hAnsi="Palatino Linotype" w:cs="Palatino Linotype"/>
          <w:sz w:val="22"/>
          <w:szCs w:val="22"/>
        </w:rPr>
        <w:t xml:space="preserve"> de 7.5 millo</w:t>
      </w:r>
      <w:r w:rsidR="00934131" w:rsidRPr="000E5111">
        <w:rPr>
          <w:rFonts w:ascii="Palatino Linotype" w:eastAsia="Palatino Linotype" w:hAnsi="Palatino Linotype" w:cs="Palatino Linotype"/>
          <w:sz w:val="22"/>
          <w:szCs w:val="22"/>
        </w:rPr>
        <w:t xml:space="preserve">nes </w:t>
      </w:r>
      <w:r w:rsidRPr="000E5111">
        <w:rPr>
          <w:rFonts w:ascii="Palatino Linotype" w:eastAsia="Palatino Linotype" w:hAnsi="Palatino Linotype" w:cs="Palatino Linotype"/>
          <w:sz w:val="22"/>
          <w:szCs w:val="22"/>
        </w:rPr>
        <w:t>de peso</w:t>
      </w:r>
      <w:r w:rsidR="00934131" w:rsidRPr="000E5111">
        <w:rPr>
          <w:rFonts w:ascii="Palatino Linotype" w:eastAsia="Palatino Linotype" w:hAnsi="Palatino Linotype" w:cs="Palatino Linotype"/>
          <w:sz w:val="22"/>
          <w:szCs w:val="22"/>
        </w:rPr>
        <w:t>s</w:t>
      </w:r>
      <w:r w:rsidRPr="000E5111">
        <w:rPr>
          <w:rFonts w:ascii="Palatino Linotype" w:eastAsia="Palatino Linotype" w:hAnsi="Palatino Linotype" w:cs="Palatino Linotype"/>
          <w:sz w:val="22"/>
          <w:szCs w:val="22"/>
        </w:rPr>
        <w:t xml:space="preserve">, distribuidos en 84 finiquitos y 31 laudos laborales, tal y como se muestra a continuación: </w:t>
      </w:r>
    </w:p>
    <w:p w14:paraId="2FCC4D52" w14:textId="77777777" w:rsidR="004554A0" w:rsidRPr="000E5111" w:rsidRDefault="004554A0" w:rsidP="00306112">
      <w:pPr>
        <w:spacing w:line="360" w:lineRule="auto"/>
        <w:jc w:val="center"/>
        <w:rPr>
          <w:rFonts w:ascii="Palatino Linotype" w:eastAsia="Palatino Linotype" w:hAnsi="Palatino Linotype" w:cs="Palatino Linotype"/>
          <w:sz w:val="22"/>
          <w:szCs w:val="22"/>
        </w:rPr>
      </w:pPr>
      <w:r w:rsidRPr="000E5111">
        <w:rPr>
          <w:rFonts w:ascii="Palatino Linotype" w:eastAsia="Palatino Linotype" w:hAnsi="Palatino Linotype" w:cs="Palatino Linotype"/>
          <w:noProof/>
          <w:sz w:val="22"/>
          <w:szCs w:val="22"/>
        </w:rPr>
        <w:drawing>
          <wp:inline distT="0" distB="0" distL="0" distR="0" wp14:anchorId="355B16D0" wp14:editId="7A7FA5E1">
            <wp:extent cx="3629543" cy="3848431"/>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54100" cy="3980499"/>
                    </a:xfrm>
                    <a:prstGeom prst="rect">
                      <a:avLst/>
                    </a:prstGeom>
                  </pic:spPr>
                </pic:pic>
              </a:graphicData>
            </a:graphic>
          </wp:inline>
        </w:drawing>
      </w:r>
    </w:p>
    <w:p w14:paraId="7D7DC0DF" w14:textId="77777777" w:rsidR="004554A0" w:rsidRPr="000E5111" w:rsidRDefault="004554A0" w:rsidP="00306112">
      <w:pPr>
        <w:spacing w:line="360" w:lineRule="auto"/>
        <w:jc w:val="center"/>
        <w:rPr>
          <w:rFonts w:ascii="Palatino Linotype" w:eastAsia="Palatino Linotype" w:hAnsi="Palatino Linotype" w:cs="Palatino Linotype"/>
          <w:sz w:val="22"/>
          <w:szCs w:val="22"/>
        </w:rPr>
      </w:pPr>
      <w:r w:rsidRPr="000E5111">
        <w:rPr>
          <w:rFonts w:ascii="Palatino Linotype" w:eastAsia="Palatino Linotype" w:hAnsi="Palatino Linotype" w:cs="Palatino Linotype"/>
          <w:noProof/>
          <w:sz w:val="22"/>
          <w:szCs w:val="22"/>
        </w:rPr>
        <w:drawing>
          <wp:inline distT="0" distB="0" distL="0" distR="0" wp14:anchorId="0CD1A3AD" wp14:editId="19F488C8">
            <wp:extent cx="3786955" cy="3415030"/>
            <wp:effectExtent l="0" t="0" r="444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02549" cy="3429092"/>
                    </a:xfrm>
                    <a:prstGeom prst="rect">
                      <a:avLst/>
                    </a:prstGeom>
                  </pic:spPr>
                </pic:pic>
              </a:graphicData>
            </a:graphic>
          </wp:inline>
        </w:drawing>
      </w:r>
    </w:p>
    <w:p w14:paraId="5C5D3494" w14:textId="77777777" w:rsidR="004554A0" w:rsidRPr="000E5111" w:rsidRDefault="004554A0" w:rsidP="004554A0">
      <w:pPr>
        <w:spacing w:line="360" w:lineRule="auto"/>
        <w:jc w:val="both"/>
        <w:rPr>
          <w:rFonts w:ascii="Palatino Linotype" w:eastAsia="Palatino Linotype" w:hAnsi="Palatino Linotype" w:cs="Palatino Linotype"/>
          <w:sz w:val="22"/>
          <w:szCs w:val="22"/>
        </w:rPr>
      </w:pPr>
    </w:p>
    <w:p w14:paraId="3EE04943" w14:textId="1E668A4F" w:rsidR="00873CC2" w:rsidRPr="000E5111" w:rsidRDefault="00873CC2" w:rsidP="00873CC2">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Tal y como se advierte, el Ayuntamiento de Toluca ha realizado el pago de laudos laborales y finiquitos, </w:t>
      </w:r>
      <w:r w:rsidRPr="000E5111">
        <w:rPr>
          <w:rFonts w:ascii="Palatino Linotype" w:hAnsi="Palatino Linotype"/>
          <w:sz w:val="22"/>
          <w:szCs w:val="22"/>
        </w:rPr>
        <w:t>se advierte que estamos en presencia lo un hecho notorio, el cual se sustenta conforme a las siguientes tesis jurisprudenciales:</w:t>
      </w:r>
    </w:p>
    <w:p w14:paraId="3D675AA5" w14:textId="77777777" w:rsidR="00873CC2" w:rsidRPr="000E5111" w:rsidRDefault="00873CC2" w:rsidP="00873CC2">
      <w:pPr>
        <w:pStyle w:val="NormalWeb"/>
        <w:spacing w:before="120" w:beforeAutospacing="0" w:after="120" w:afterAutospacing="0" w:line="360" w:lineRule="auto"/>
        <w:ind w:left="851" w:right="902"/>
        <w:jc w:val="both"/>
        <w:rPr>
          <w:rFonts w:ascii="Palatino Linotype" w:hAnsi="Palatino Linotype"/>
          <w:sz w:val="22"/>
          <w:szCs w:val="22"/>
        </w:rPr>
      </w:pPr>
      <w:r w:rsidRPr="000E5111">
        <w:rPr>
          <w:rFonts w:ascii="Palatino Linotype" w:hAnsi="Palatino Linotype"/>
          <w:b/>
          <w:bCs/>
          <w:i/>
          <w:iCs/>
          <w:sz w:val="22"/>
          <w:szCs w:val="22"/>
        </w:rPr>
        <w:t>“HECHOS NOTORIOS. CONCEPTOS GENERAL Y JURÍDICO. Conforme al artículo 88 del Código Federal de Procedimientos Civiles los tribunales pueden invocar hechos notorios aunque no hayan sido alegados ni probados por las partes.</w:t>
      </w:r>
      <w:r w:rsidRPr="000E5111">
        <w:rPr>
          <w:rFonts w:ascii="Palatino Linotype" w:hAnsi="Palatino Linotype"/>
          <w:i/>
          <w:iCs/>
          <w:sz w:val="22"/>
          <w:szCs w:val="22"/>
        </w:rPr>
        <w:t xml:space="preserve"> Por hechos notorios deben entenderse, en general, aquellos que por el conocimiento humano se consideran ciertos e indiscutibles, ya sea que pertenezcan a la historia, a la ciencia, a la naturaleza</w:t>
      </w:r>
      <w:r w:rsidRPr="000E5111">
        <w:rPr>
          <w:rFonts w:ascii="Palatino Linotype" w:hAnsi="Palatino Linotype"/>
          <w:b/>
          <w:bCs/>
          <w:i/>
          <w:iCs/>
          <w:sz w:val="22"/>
          <w:szCs w:val="22"/>
        </w:rPr>
        <w:t>, a las vicisitudes de la vida pública actual o a circunstancias comúnmente conocidas en un determinado lugar</w:t>
      </w:r>
      <w:r w:rsidRPr="000E5111">
        <w:rPr>
          <w:rFonts w:ascii="Palatino Linotype" w:hAnsi="Palatino Linotype"/>
          <w:i/>
          <w:iCs/>
          <w:sz w:val="22"/>
          <w:szCs w:val="22"/>
        </w:rPr>
        <w:t xml:space="preserve">, </w:t>
      </w:r>
      <w:r w:rsidRPr="000E5111">
        <w:rPr>
          <w:rFonts w:ascii="Palatino Linotype" w:hAnsi="Palatino Linotype"/>
          <w:b/>
          <w:bCs/>
          <w:i/>
          <w:iCs/>
          <w:sz w:val="22"/>
          <w:szCs w:val="22"/>
        </w:rPr>
        <w:t>de modo que toda persona de ese medio esté en condiciones de saberlo</w:t>
      </w:r>
      <w:r w:rsidRPr="000E5111">
        <w:rPr>
          <w:rFonts w:ascii="Palatino Linotype" w:hAnsi="Palatino Linotype"/>
          <w:i/>
          <w:iCs/>
          <w:sz w:val="22"/>
          <w:szCs w:val="22"/>
        </w:rPr>
        <w:t>;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14:paraId="410D3479" w14:textId="77777777" w:rsidR="00873CC2" w:rsidRPr="000E5111" w:rsidRDefault="00873CC2" w:rsidP="00873CC2">
      <w:pPr>
        <w:pStyle w:val="NormalWeb"/>
        <w:spacing w:before="120" w:beforeAutospacing="0" w:after="120" w:afterAutospacing="0" w:line="360" w:lineRule="auto"/>
        <w:ind w:left="851" w:right="902"/>
        <w:jc w:val="both"/>
        <w:rPr>
          <w:rFonts w:ascii="Palatino Linotype" w:hAnsi="Palatino Linotype"/>
          <w:sz w:val="22"/>
          <w:szCs w:val="22"/>
        </w:rPr>
      </w:pPr>
      <w:r w:rsidRPr="000E5111">
        <w:rPr>
          <w:rFonts w:ascii="Palatino Linotype" w:hAnsi="Palatino Linotype"/>
          <w:i/>
          <w:iCs/>
          <w:sz w:val="22"/>
          <w:szCs w:val="22"/>
        </w:rPr>
        <w:t>“</w:t>
      </w:r>
      <w:r w:rsidRPr="000E5111">
        <w:rPr>
          <w:rFonts w:ascii="Palatino Linotype" w:hAnsi="Palatino Linotype"/>
          <w:b/>
          <w:bCs/>
          <w:i/>
          <w:iCs/>
          <w:sz w:val="22"/>
          <w:szCs w:val="22"/>
        </w:rPr>
        <w:t>PÁGINAS WEB O ELECTRÓNICAS. SU CONTENIDO ES UN HECHO NOTORIO Y SUSCEPTIBLE DE SER VALORADO EN UNA DECISIÓN JUDICIAL.</w:t>
      </w:r>
      <w:r w:rsidRPr="000E5111">
        <w:rPr>
          <w:rFonts w:ascii="Palatino Linotype" w:hAnsi="Palatino Linotype"/>
          <w:i/>
          <w:iCs/>
          <w:sz w:val="22"/>
          <w:szCs w:val="22"/>
        </w:rPr>
        <w:t xml:space="preserve"> 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w:t>
      </w:r>
    </w:p>
    <w:p w14:paraId="32A2D934" w14:textId="77777777" w:rsidR="00873CC2" w:rsidRPr="000E5111" w:rsidRDefault="00873CC2" w:rsidP="00873CC2">
      <w:pPr>
        <w:pStyle w:val="NormalWeb"/>
        <w:spacing w:before="120" w:beforeAutospacing="0" w:after="120" w:afterAutospacing="0" w:line="360" w:lineRule="auto"/>
        <w:ind w:left="851" w:right="902"/>
        <w:jc w:val="both"/>
        <w:rPr>
          <w:rFonts w:ascii="Palatino Linotype" w:hAnsi="Palatino Linotype"/>
          <w:sz w:val="22"/>
          <w:szCs w:val="22"/>
        </w:rPr>
      </w:pPr>
      <w:r w:rsidRPr="000E5111">
        <w:rPr>
          <w:rFonts w:ascii="Palatino Linotype" w:hAnsi="Palatino Linotype"/>
          <w:i/>
          <w:iCs/>
          <w:sz w:val="22"/>
          <w:szCs w:val="22"/>
        </w:rPr>
        <w:t>“</w:t>
      </w:r>
      <w:r w:rsidRPr="000E5111">
        <w:rPr>
          <w:rFonts w:ascii="Palatino Linotype" w:hAnsi="Palatino Linotype"/>
          <w:b/>
          <w:bCs/>
          <w:i/>
          <w:iCs/>
          <w:sz w:val="22"/>
          <w:szCs w:val="22"/>
        </w:rPr>
        <w:t>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r w:rsidRPr="000E5111">
        <w:rPr>
          <w:rFonts w:ascii="Palatino Linotype" w:hAnsi="Palatino Linotype"/>
          <w:i/>
          <w:iCs/>
          <w:sz w:val="22"/>
          <w:szCs w:val="22"/>
        </w:rPr>
        <w:t>. Los datos que aparecen en las páginas electrónicas oficiales que los órganos de gobierno utilizan para poner a disposición del público, entre otros servicios, la descripción de sus plazas, el directorio de sus empleados o el estado que guardan sus expedientes, constituyen un hecho notorio que puede invocarse por los tribunales, en términos del artículo 88 del Código Federal de Procedimientos Civiles, de aplicación supletoria a la Ley de Amparo; porque la información generada o comunicada por esa vía forma parte del sistema mundial de diseminación y obtención de datos denominada "internet", del cual puede obtenerse, por ejemplo, el nombre de un servidor público, el organigrama de una institución, así como el sentido de sus resoluciones; de ahí que sea válido que los órganos jurisdiccionales invoquen de oficio lo publicado en ese medio para resolver un asunto en particular.”</w:t>
      </w:r>
    </w:p>
    <w:p w14:paraId="1588DF04" w14:textId="77777777" w:rsidR="00873CC2" w:rsidRPr="000E5111" w:rsidRDefault="00873CC2" w:rsidP="004554A0">
      <w:pPr>
        <w:spacing w:line="360" w:lineRule="auto"/>
        <w:jc w:val="both"/>
        <w:rPr>
          <w:rFonts w:ascii="Palatino Linotype" w:eastAsia="Palatino Linotype" w:hAnsi="Palatino Linotype" w:cs="Palatino Linotype"/>
          <w:sz w:val="22"/>
          <w:szCs w:val="22"/>
        </w:rPr>
      </w:pPr>
    </w:p>
    <w:p w14:paraId="7EB6FE7C" w14:textId="2F337BAA" w:rsidR="004554A0" w:rsidRPr="000E5111" w:rsidRDefault="004554A0" w:rsidP="004554A0">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De lo anteriormente expuesto, se observa la existencia de la información que desea conocer la parte </w:t>
      </w:r>
      <w:r w:rsidRPr="000E5111">
        <w:rPr>
          <w:rFonts w:ascii="Palatino Linotype" w:eastAsia="Palatino Linotype" w:hAnsi="Palatino Linotype" w:cs="Palatino Linotype"/>
          <w:b/>
          <w:sz w:val="22"/>
          <w:szCs w:val="22"/>
        </w:rPr>
        <w:t>Recurrente</w:t>
      </w:r>
      <w:r w:rsidRPr="000E5111">
        <w:rPr>
          <w:rFonts w:ascii="Palatino Linotype" w:eastAsia="Palatino Linotype" w:hAnsi="Palatino Linotype" w:cs="Palatino Linotype"/>
          <w:sz w:val="22"/>
          <w:szCs w:val="22"/>
        </w:rPr>
        <w:t>, por lo que, resulta procedente ordenar previa búsqueda exhaustiva y razonable, la entrega en versión pública, el documento o documentos que den cuenta de lo siguiente</w:t>
      </w:r>
      <w:r w:rsidR="002B4667" w:rsidRPr="000E5111">
        <w:rPr>
          <w:rFonts w:ascii="Palatino Linotype" w:eastAsia="Palatino Linotype" w:hAnsi="Palatino Linotype" w:cs="Palatino Linotype"/>
          <w:sz w:val="22"/>
          <w:szCs w:val="22"/>
        </w:rPr>
        <w:t>, del periodo comprendido del diez de junio de dos mil veinticuatro al diez de junio de dos mil veinticinco</w:t>
      </w:r>
      <w:r w:rsidRPr="000E5111">
        <w:rPr>
          <w:rFonts w:ascii="Palatino Linotype" w:eastAsia="Palatino Linotype" w:hAnsi="Palatino Linotype" w:cs="Palatino Linotype"/>
          <w:sz w:val="22"/>
          <w:szCs w:val="22"/>
        </w:rPr>
        <w:t xml:space="preserve">: </w:t>
      </w:r>
      <w:r w:rsidR="00306112" w:rsidRPr="000E5111">
        <w:rPr>
          <w:rFonts w:ascii="Palatino Linotype" w:eastAsia="Palatino Linotype" w:hAnsi="Palatino Linotype" w:cs="Palatino Linotype"/>
          <w:sz w:val="22"/>
          <w:szCs w:val="22"/>
        </w:rPr>
        <w:t xml:space="preserve"> </w:t>
      </w:r>
    </w:p>
    <w:p w14:paraId="7C39CA0D" w14:textId="77777777" w:rsidR="00FD3CB6" w:rsidRPr="000E5111" w:rsidRDefault="00FD3CB6" w:rsidP="006E19B5">
      <w:pPr>
        <w:spacing w:line="360" w:lineRule="auto"/>
        <w:jc w:val="both"/>
        <w:rPr>
          <w:rFonts w:ascii="Palatino Linotype" w:hAnsi="Palatino Linotype"/>
          <w:sz w:val="22"/>
          <w:szCs w:val="22"/>
        </w:rPr>
      </w:pPr>
    </w:p>
    <w:p w14:paraId="50094DBB" w14:textId="7B7C2C97" w:rsidR="00FD3CB6" w:rsidRPr="000E5111" w:rsidRDefault="004876E1" w:rsidP="004876E1">
      <w:pPr>
        <w:pStyle w:val="Prrafodelista"/>
        <w:numPr>
          <w:ilvl w:val="0"/>
          <w:numId w:val="27"/>
        </w:numPr>
        <w:spacing w:line="360" w:lineRule="auto"/>
        <w:jc w:val="both"/>
        <w:rPr>
          <w:rFonts w:ascii="Palatino Linotype" w:hAnsi="Palatino Linotype"/>
          <w:sz w:val="22"/>
          <w:szCs w:val="22"/>
        </w:rPr>
      </w:pPr>
      <w:r w:rsidRPr="000E5111">
        <w:rPr>
          <w:rFonts w:ascii="Palatino Linotype" w:hAnsi="Palatino Linotype"/>
          <w:sz w:val="22"/>
          <w:szCs w:val="22"/>
        </w:rPr>
        <w:t>Documento donde conste el listado o informe de pago de finiquitos y laudos, donde se advierta el año al que corresponden;</w:t>
      </w:r>
    </w:p>
    <w:p w14:paraId="6844C2D3" w14:textId="5DB35FF6" w:rsidR="004876E1" w:rsidRPr="000E5111" w:rsidRDefault="004876E1" w:rsidP="004876E1">
      <w:pPr>
        <w:pStyle w:val="Prrafodelista"/>
        <w:numPr>
          <w:ilvl w:val="0"/>
          <w:numId w:val="27"/>
        </w:numPr>
        <w:spacing w:line="360" w:lineRule="auto"/>
        <w:jc w:val="both"/>
        <w:rPr>
          <w:rFonts w:ascii="Palatino Linotype" w:hAnsi="Palatino Linotype"/>
          <w:sz w:val="22"/>
          <w:szCs w:val="22"/>
        </w:rPr>
      </w:pPr>
      <w:r w:rsidRPr="000E5111">
        <w:rPr>
          <w:rFonts w:ascii="Palatino Linotype" w:hAnsi="Palatino Linotype"/>
          <w:sz w:val="22"/>
          <w:szCs w:val="22"/>
        </w:rPr>
        <w:t>Laudos y convenios laborales;</w:t>
      </w:r>
    </w:p>
    <w:p w14:paraId="45754119" w14:textId="0E091817" w:rsidR="004876E1" w:rsidRPr="000E5111" w:rsidRDefault="004876E1" w:rsidP="004876E1">
      <w:pPr>
        <w:pStyle w:val="Prrafodelista"/>
        <w:numPr>
          <w:ilvl w:val="0"/>
          <w:numId w:val="27"/>
        </w:numPr>
        <w:spacing w:line="360" w:lineRule="auto"/>
        <w:jc w:val="both"/>
        <w:rPr>
          <w:rFonts w:ascii="Palatino Linotype" w:hAnsi="Palatino Linotype"/>
          <w:sz w:val="22"/>
          <w:szCs w:val="22"/>
        </w:rPr>
      </w:pPr>
      <w:r w:rsidRPr="000E5111">
        <w:rPr>
          <w:rFonts w:ascii="Palatino Linotype" w:hAnsi="Palatino Linotype"/>
          <w:sz w:val="22"/>
          <w:szCs w:val="22"/>
        </w:rPr>
        <w:t>Documento que compruebe el pago de laudos.</w:t>
      </w:r>
    </w:p>
    <w:p w14:paraId="0FF7E643" w14:textId="1378E453" w:rsidR="00FD3CB6" w:rsidRPr="000E5111" w:rsidRDefault="00FD3CB6" w:rsidP="006E19B5">
      <w:pPr>
        <w:spacing w:line="360" w:lineRule="auto"/>
        <w:jc w:val="both"/>
        <w:rPr>
          <w:rFonts w:ascii="Palatino Linotype" w:hAnsi="Palatino Linotype"/>
          <w:sz w:val="22"/>
          <w:szCs w:val="22"/>
        </w:rPr>
      </w:pPr>
    </w:p>
    <w:p w14:paraId="40DC1B36" w14:textId="72F4F94A" w:rsidR="00BC2960" w:rsidRPr="000E5111" w:rsidRDefault="00934131" w:rsidP="00BC2960">
      <w:pPr>
        <w:spacing w:line="360" w:lineRule="auto"/>
        <w:jc w:val="both"/>
      </w:pPr>
      <w:r w:rsidRPr="000E5111">
        <w:rPr>
          <w:rFonts w:ascii="Palatino Linotype" w:hAnsi="Palatino Linotype"/>
          <w:sz w:val="22"/>
          <w:szCs w:val="22"/>
        </w:rPr>
        <w:t xml:space="preserve">Respecto al documento </w:t>
      </w:r>
      <w:r w:rsidR="00BC2960" w:rsidRPr="000E5111">
        <w:rPr>
          <w:rFonts w:ascii="Palatino Linotype" w:hAnsi="Palatino Linotype"/>
          <w:sz w:val="22"/>
          <w:szCs w:val="22"/>
        </w:rPr>
        <w:t>que compruebe el pago de laudos, es necesario enfatizar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570CB9A3" w14:textId="77777777" w:rsidR="00BC2960" w:rsidRPr="000E5111" w:rsidRDefault="00BC2960" w:rsidP="00BC2960">
      <w:pPr>
        <w:pStyle w:val="NormalWeb"/>
        <w:spacing w:before="120" w:beforeAutospacing="0" w:after="120" w:afterAutospacing="0" w:line="360" w:lineRule="auto"/>
        <w:ind w:left="840" w:right="902" w:hanging="10"/>
        <w:jc w:val="both"/>
      </w:pPr>
      <w:r w:rsidRPr="000E5111">
        <w:rPr>
          <w:rFonts w:ascii="Palatino Linotype" w:hAnsi="Palatino Linotype"/>
          <w:b/>
          <w:bCs/>
          <w:i/>
          <w:iCs/>
          <w:sz w:val="22"/>
          <w:szCs w:val="22"/>
        </w:rPr>
        <w:t>“REGISTRO CONTABLE</w:t>
      </w:r>
    </w:p>
    <w:p w14:paraId="1E3A85F2" w14:textId="77777777" w:rsidR="00BC2960" w:rsidRPr="000E5111" w:rsidRDefault="00BC2960" w:rsidP="00BC2960">
      <w:pPr>
        <w:pStyle w:val="NormalWeb"/>
        <w:spacing w:before="120" w:beforeAutospacing="0" w:after="120" w:afterAutospacing="0" w:line="360" w:lineRule="auto"/>
        <w:ind w:left="840" w:right="902" w:hanging="10"/>
        <w:jc w:val="both"/>
      </w:pPr>
      <w:r w:rsidRPr="000E5111">
        <w:rPr>
          <w:rFonts w:ascii="Palatino Linotype" w:hAnsi="Palatino Linotype"/>
          <w:i/>
          <w:iCs/>
          <w:sz w:val="22"/>
          <w:szCs w:val="22"/>
        </w:rPr>
        <w:t>Asiento que se realiza en los libros de contabilidad de las actividades relacionadas con el ingreso y egresos de un ente económico.”</w:t>
      </w:r>
    </w:p>
    <w:p w14:paraId="463165B0" w14:textId="77777777" w:rsidR="00BC2960" w:rsidRPr="000E5111" w:rsidRDefault="00BC2960" w:rsidP="00BC2960">
      <w:pPr>
        <w:pStyle w:val="NormalWeb"/>
        <w:spacing w:before="120" w:beforeAutospacing="0" w:after="120" w:afterAutospacing="0" w:line="360" w:lineRule="auto"/>
        <w:ind w:left="840" w:right="902" w:hanging="10"/>
        <w:jc w:val="both"/>
      </w:pPr>
      <w:r w:rsidRPr="000E5111">
        <w:rPr>
          <w:rFonts w:ascii="Palatino Linotype" w:hAnsi="Palatino Linotype"/>
          <w:b/>
          <w:bCs/>
          <w:i/>
          <w:iCs/>
          <w:sz w:val="22"/>
          <w:szCs w:val="22"/>
        </w:rPr>
        <w:t>“REGISTRO PRESUPUESTARIO</w:t>
      </w:r>
    </w:p>
    <w:p w14:paraId="7016E36E" w14:textId="77777777" w:rsidR="00BC2960" w:rsidRPr="000E5111" w:rsidRDefault="00BC2960" w:rsidP="00BC2960">
      <w:pPr>
        <w:pStyle w:val="NormalWeb"/>
        <w:spacing w:before="120" w:beforeAutospacing="0" w:after="120" w:afterAutospacing="0" w:line="360" w:lineRule="auto"/>
        <w:ind w:left="840" w:right="902" w:hanging="10"/>
        <w:jc w:val="both"/>
      </w:pPr>
      <w:r w:rsidRPr="000E5111">
        <w:rPr>
          <w:rFonts w:ascii="Palatino Linotype" w:hAnsi="Palatino Linotype"/>
          <w:i/>
          <w:iCs/>
          <w:sz w:val="22"/>
          <w:szCs w:val="22"/>
        </w:rPr>
        <w:t>Asiento contable de las erogaciones realizadas por las dependencias y entidades con relación a la asignación, modificación y ejercicio de los recursos presupuestarios que se les hayan autorizado.”</w:t>
      </w:r>
    </w:p>
    <w:p w14:paraId="391FF2A4" w14:textId="77777777" w:rsidR="00BC2960" w:rsidRPr="000E5111" w:rsidRDefault="00BC2960" w:rsidP="00BC2960">
      <w:pPr>
        <w:pStyle w:val="NormalWeb"/>
        <w:spacing w:before="240" w:beforeAutospacing="0" w:after="240" w:afterAutospacing="0" w:line="360" w:lineRule="auto"/>
        <w:ind w:right="51"/>
        <w:jc w:val="both"/>
      </w:pPr>
      <w:r w:rsidRPr="000E5111">
        <w:rPr>
          <w:rFonts w:ascii="Palatino Linotype" w:hAnsi="Palatino Linotype"/>
          <w:sz w:val="22"/>
          <w:szCs w:val="22"/>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o equivalente de llevar dicho registro.</w:t>
      </w:r>
    </w:p>
    <w:p w14:paraId="19AC44D6" w14:textId="77777777" w:rsidR="00BC2960" w:rsidRPr="000E5111" w:rsidRDefault="00BC2960" w:rsidP="00BC2960">
      <w:pPr>
        <w:pStyle w:val="NormalWeb"/>
        <w:spacing w:before="240" w:beforeAutospacing="0" w:after="240" w:afterAutospacing="0" w:line="360" w:lineRule="auto"/>
        <w:jc w:val="both"/>
      </w:pPr>
      <w:r w:rsidRPr="000E5111">
        <w:rPr>
          <w:rFonts w:ascii="Palatino Linotype" w:hAnsi="Palatino Linotype"/>
          <w:sz w:val="22"/>
          <w:szCs w:val="22"/>
        </w:rPr>
        <w:t>Por otra parte, se establece que el sistema de contabilidad sobre base acumulativa total se sustentará en los principios de contabilidad gubernamental.</w:t>
      </w:r>
    </w:p>
    <w:p w14:paraId="00D9959F" w14:textId="77777777" w:rsidR="00BC2960" w:rsidRPr="000E5111" w:rsidRDefault="00BC2960" w:rsidP="00BC2960">
      <w:pPr>
        <w:pStyle w:val="NormalWeb"/>
        <w:spacing w:before="240" w:beforeAutospacing="0" w:after="240" w:afterAutospacing="0" w:line="360" w:lineRule="auto"/>
        <w:jc w:val="both"/>
      </w:pPr>
      <w:r w:rsidRPr="000E5111">
        <w:rPr>
          <w:rFonts w:ascii="Palatino Linotype" w:hAnsi="Palatino Linotype"/>
          <w:sz w:val="22"/>
          <w:szCs w:val="22"/>
        </w:rPr>
        <w:t>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364D9A01" w14:textId="77777777" w:rsidR="00BC2960" w:rsidRPr="000E5111" w:rsidRDefault="00BC2960" w:rsidP="00BC2960">
      <w:pPr>
        <w:pStyle w:val="NormalWeb"/>
        <w:spacing w:before="240" w:beforeAutospacing="0" w:after="240" w:afterAutospacing="0" w:line="360" w:lineRule="auto"/>
        <w:jc w:val="both"/>
      </w:pPr>
      <w:r w:rsidRPr="000E5111">
        <w:rPr>
          <w:rFonts w:ascii="Palatino Linotype" w:hAnsi="Palatino Linotype"/>
          <w:sz w:val="22"/>
          <w:szCs w:val="22"/>
        </w:rPr>
        <w:t xml:space="preserve">Correlativo a lo anterior, es preciso referir una definición de </w:t>
      </w:r>
      <w:r w:rsidRPr="000E5111">
        <w:rPr>
          <w:rFonts w:ascii="Palatino Linotype" w:hAnsi="Palatino Linotype"/>
          <w:i/>
          <w:iCs/>
          <w:sz w:val="22"/>
          <w:szCs w:val="22"/>
        </w:rPr>
        <w:t>póliza contable</w:t>
      </w:r>
      <w:r w:rsidRPr="000E5111">
        <w:rPr>
          <w:rFonts w:ascii="Palatino Linotype" w:hAnsi="Palatino Linotype"/>
          <w:sz w:val="22"/>
          <w:szCs w:val="22"/>
        </w:rPr>
        <w:t>, la cual, primeramente, no está definida en el Código Financiero del Estado de México y Municipios; no obstante, el ya mencionado Glosario la define como:</w:t>
      </w:r>
    </w:p>
    <w:p w14:paraId="5A19D667" w14:textId="77777777" w:rsidR="00BC2960" w:rsidRPr="000E5111" w:rsidRDefault="00BC2960" w:rsidP="00BC2960">
      <w:pPr>
        <w:pStyle w:val="NormalWeb"/>
        <w:spacing w:before="120" w:beforeAutospacing="0" w:after="120" w:afterAutospacing="0" w:line="360" w:lineRule="auto"/>
        <w:ind w:left="862" w:right="902"/>
        <w:jc w:val="both"/>
      </w:pPr>
      <w:r w:rsidRPr="000E5111">
        <w:rPr>
          <w:rFonts w:ascii="Palatino Linotype" w:hAnsi="Palatino Linotype"/>
          <w:i/>
          <w:iCs/>
          <w:sz w:val="22"/>
          <w:szCs w:val="22"/>
        </w:rPr>
        <w:t>“</w:t>
      </w:r>
      <w:r w:rsidRPr="000E5111">
        <w:rPr>
          <w:rFonts w:ascii="Palatino Linotype" w:hAnsi="Palatino Linotype"/>
          <w:b/>
          <w:bCs/>
          <w:i/>
          <w:iCs/>
          <w:sz w:val="22"/>
          <w:szCs w:val="22"/>
        </w:rPr>
        <w:t>PÓLIZA CONTABLE</w:t>
      </w:r>
    </w:p>
    <w:p w14:paraId="2C432202" w14:textId="77777777" w:rsidR="00BC2960" w:rsidRPr="000E5111" w:rsidRDefault="00BC2960" w:rsidP="00BC2960">
      <w:pPr>
        <w:pStyle w:val="NormalWeb"/>
        <w:spacing w:before="120" w:beforeAutospacing="0" w:after="120" w:afterAutospacing="0" w:line="360" w:lineRule="auto"/>
        <w:ind w:left="862" w:right="902"/>
        <w:jc w:val="both"/>
      </w:pPr>
      <w:r w:rsidRPr="000E5111">
        <w:rPr>
          <w:rFonts w:ascii="Palatino Linotype" w:hAnsi="Palatino Linotype"/>
          <w:i/>
          <w:iCs/>
          <w:sz w:val="22"/>
          <w:szCs w:val="22"/>
        </w:rPr>
        <w:t>Documento en el cual se asientan en forma individual todas y cada una de las operaciones desarrolladas por una institución, así como la información necesaria para la identificación de dichas operaciones.” </w:t>
      </w:r>
    </w:p>
    <w:p w14:paraId="267C727B" w14:textId="77777777" w:rsidR="00BC2960" w:rsidRPr="000E5111" w:rsidRDefault="00BC2960" w:rsidP="00BC2960">
      <w:pPr>
        <w:pStyle w:val="NormalWeb"/>
        <w:spacing w:before="240" w:beforeAutospacing="0" w:after="240" w:afterAutospacing="0" w:line="360" w:lineRule="auto"/>
        <w:jc w:val="both"/>
      </w:pPr>
      <w:r w:rsidRPr="000E5111">
        <w:rPr>
          <w:rFonts w:ascii="Palatino Linotype" w:hAnsi="Palatino Linotype"/>
          <w:sz w:val="22"/>
          <w:szCs w:val="22"/>
        </w:rPr>
        <w:t xml:space="preserve">Así, se advierte que la </w:t>
      </w:r>
      <w:r w:rsidRPr="000E5111">
        <w:rPr>
          <w:rFonts w:ascii="Palatino Linotype" w:hAnsi="Palatino Linotype"/>
          <w:i/>
          <w:iCs/>
          <w:sz w:val="22"/>
          <w:szCs w:val="22"/>
        </w:rPr>
        <w:t>póliza contable</w:t>
      </w:r>
      <w:r w:rsidRPr="000E5111">
        <w:rPr>
          <w:rFonts w:ascii="Palatino Linotype" w:hAnsi="Palatino Linotype"/>
          <w:sz w:val="22"/>
          <w:szCs w:val="22"/>
        </w:rPr>
        <w:t xml:space="preserve"> constituye un registro contable y presupuestal con el que cuentan los Municipios para el registro de operaciones relacionadas con </w:t>
      </w:r>
      <w:r w:rsidRPr="000E5111">
        <w:rPr>
          <w:rFonts w:ascii="Palatino Linotype" w:hAnsi="Palatino Linotype"/>
          <w:sz w:val="22"/>
          <w:szCs w:val="22"/>
          <w:u w:val="single"/>
        </w:rPr>
        <w:t>ingresos y egresos</w:t>
      </w:r>
      <w:r w:rsidRPr="000E5111">
        <w:rPr>
          <w:rFonts w:ascii="Palatino Linotype" w:hAnsi="Palatino Linotype"/>
          <w:sz w:val="22"/>
          <w:szCs w:val="22"/>
        </w:rPr>
        <w:t xml:space="preserve"> y se anexan los documentos o comprobantes que justifiquen las anotaciones y cantidades en ellas registradas, lo que permite la identificación plena de dichas operaciones.</w:t>
      </w:r>
    </w:p>
    <w:p w14:paraId="0F40A4AA" w14:textId="77777777" w:rsidR="00BC2960" w:rsidRPr="000E5111" w:rsidRDefault="00BC2960" w:rsidP="00BC2960">
      <w:pPr>
        <w:pStyle w:val="NormalWeb"/>
        <w:spacing w:before="240" w:beforeAutospacing="0" w:after="240" w:afterAutospacing="0" w:line="360" w:lineRule="auto"/>
        <w:jc w:val="both"/>
      </w:pPr>
      <w:r w:rsidRPr="000E5111">
        <w:rPr>
          <w:rFonts w:ascii="Palatino Linotype" w:hAnsi="Palatino Linotype"/>
          <w:sz w:val="22"/>
          <w:szCs w:val="22"/>
        </w:rPr>
        <w:t xml:space="preserve">En este sentido, existen diversos tipos de pólizas contables de acuerdo a las operaciones realizadas, dentro de las cuales, encontramos las </w:t>
      </w:r>
      <w:r w:rsidRPr="000E5111">
        <w:rPr>
          <w:rFonts w:ascii="Palatino Linotype" w:hAnsi="Palatino Linotype"/>
          <w:i/>
          <w:iCs/>
          <w:sz w:val="22"/>
          <w:szCs w:val="22"/>
        </w:rPr>
        <w:t>pólizas de egresos e ingresos</w:t>
      </w:r>
      <w:r w:rsidRPr="000E5111">
        <w:rPr>
          <w:rFonts w:ascii="Palatino Linotype" w:hAnsi="Palatino Linotype"/>
          <w:sz w:val="22"/>
          <w:szCs w:val="22"/>
        </w:rPr>
        <w:t xml:space="preserve">, </w:t>
      </w:r>
      <w:r w:rsidRPr="000E5111">
        <w:rPr>
          <w:rFonts w:ascii="Palatino Linotype" w:hAnsi="Palatino Linotype"/>
          <w:b/>
          <w:bCs/>
          <w:sz w:val="22"/>
          <w:szCs w:val="22"/>
        </w:rPr>
        <w:t xml:space="preserve">las primeras son aquellas en las cuales </w:t>
      </w:r>
      <w:r w:rsidRPr="000E5111">
        <w:rPr>
          <w:rFonts w:ascii="Palatino Linotype" w:hAnsi="Palatino Linotype"/>
          <w:b/>
          <w:bCs/>
          <w:sz w:val="22"/>
          <w:szCs w:val="22"/>
          <w:u w:val="single"/>
        </w:rPr>
        <w:t>se anotan diariamente las operaciones que representan gastos, es decir, salidas de dinero</w:t>
      </w:r>
      <w:r w:rsidRPr="000E5111">
        <w:rPr>
          <w:rFonts w:ascii="Palatino Linotype" w:hAnsi="Palatino Linotype"/>
          <w:b/>
          <w:bCs/>
          <w:sz w:val="22"/>
          <w:szCs w:val="22"/>
        </w:rPr>
        <w:t>,</w:t>
      </w:r>
      <w:r w:rsidRPr="000E5111">
        <w:rPr>
          <w:rFonts w:ascii="Palatino Linotype" w:hAnsi="Palatino Linotype"/>
          <w:sz w:val="22"/>
          <w:szCs w:val="22"/>
        </w:rPr>
        <w:t xml:space="preserve"> las que además, </w:t>
      </w:r>
      <w:r w:rsidRPr="000E5111">
        <w:rPr>
          <w:rFonts w:ascii="Palatino Linotype" w:hAnsi="Palatino Linotype"/>
          <w:b/>
          <w:bCs/>
          <w:sz w:val="22"/>
          <w:szCs w:val="22"/>
        </w:rPr>
        <w:t>deben encontrarse acompañadas de las documentales que sirven de soporte de dicho movimiento como lo es la suficiencia y la requisición</w:t>
      </w:r>
      <w:r w:rsidRPr="000E5111">
        <w:rPr>
          <w:rFonts w:ascii="Palatino Linotype" w:hAnsi="Palatino Linotype"/>
          <w:sz w:val="22"/>
          <w:szCs w:val="22"/>
        </w:rPr>
        <w:t xml:space="preserve">, en atención a las segundas, registran todas la entradas de dinero independientemente de la modalidad, ya sea en efectivo, transferencia, </w:t>
      </w:r>
      <w:r w:rsidRPr="000E5111">
        <w:rPr>
          <w:rFonts w:ascii="Palatino Linotype" w:hAnsi="Palatino Linotype"/>
          <w:b/>
          <w:sz w:val="22"/>
          <w:szCs w:val="22"/>
        </w:rPr>
        <w:t>cheque</w:t>
      </w:r>
      <w:r w:rsidRPr="000E5111">
        <w:rPr>
          <w:rFonts w:ascii="Palatino Linotype" w:hAnsi="Palatino Linotype"/>
          <w:sz w:val="22"/>
          <w:szCs w:val="22"/>
        </w:rPr>
        <w:t xml:space="preserve"> o pagaré, mediante la expedición de facturas.</w:t>
      </w:r>
    </w:p>
    <w:p w14:paraId="10170BEC" w14:textId="449BE7C3" w:rsidR="00BC2960" w:rsidRPr="000E5111" w:rsidRDefault="00BC2960" w:rsidP="0092733C">
      <w:pPr>
        <w:spacing w:line="360" w:lineRule="auto"/>
        <w:jc w:val="both"/>
        <w:rPr>
          <w:rFonts w:ascii="Palatino Linotype" w:hAnsi="Palatino Linotype"/>
          <w:sz w:val="22"/>
          <w:szCs w:val="22"/>
        </w:rPr>
      </w:pPr>
      <w:r w:rsidRPr="000E5111">
        <w:rPr>
          <w:rFonts w:ascii="Palatino Linotype" w:hAnsi="Palatino Linotype"/>
          <w:sz w:val="22"/>
          <w:szCs w:val="22"/>
        </w:rPr>
        <w:t>De lo anterior, se determina que la información que requiere el particular es generada, administrada y poseída por el Sujeto Obligado.</w:t>
      </w:r>
    </w:p>
    <w:p w14:paraId="786757DD" w14:textId="77777777" w:rsidR="00BC2960" w:rsidRPr="000E5111" w:rsidRDefault="00BC2960" w:rsidP="0092733C">
      <w:pPr>
        <w:spacing w:line="360" w:lineRule="auto"/>
        <w:jc w:val="both"/>
        <w:rPr>
          <w:rFonts w:ascii="Palatino Linotype" w:hAnsi="Palatino Linotype"/>
          <w:sz w:val="22"/>
          <w:szCs w:val="22"/>
        </w:rPr>
      </w:pPr>
    </w:p>
    <w:p w14:paraId="3002D765" w14:textId="3A319300" w:rsidR="00BC2960" w:rsidRPr="000E5111" w:rsidRDefault="00BC2960" w:rsidP="0092733C">
      <w:pPr>
        <w:spacing w:line="360" w:lineRule="auto"/>
        <w:jc w:val="both"/>
        <w:rPr>
          <w:rFonts w:ascii="Palatino Linotype" w:hAnsi="Palatino Linotype"/>
          <w:sz w:val="22"/>
          <w:szCs w:val="22"/>
        </w:rPr>
      </w:pPr>
      <w:r w:rsidRPr="000E5111">
        <w:rPr>
          <w:rFonts w:ascii="Palatino Linotype" w:hAnsi="Palatino Linotype"/>
          <w:sz w:val="22"/>
          <w:szCs w:val="22"/>
        </w:rPr>
        <w:t xml:space="preserve">Por lo anterior, se determina que el Sujeto Obligado deberá entregar los documentos donde conste la información requerida por el Particular. </w:t>
      </w:r>
    </w:p>
    <w:p w14:paraId="4B3A2129" w14:textId="77777777" w:rsidR="00BC2960" w:rsidRPr="000E5111" w:rsidRDefault="00BC2960" w:rsidP="0092733C">
      <w:pPr>
        <w:spacing w:line="360" w:lineRule="auto"/>
        <w:jc w:val="both"/>
        <w:rPr>
          <w:rFonts w:ascii="Palatino Linotype" w:hAnsi="Palatino Linotype"/>
          <w:sz w:val="22"/>
          <w:szCs w:val="22"/>
        </w:rPr>
      </w:pPr>
    </w:p>
    <w:p w14:paraId="55A79E4A" w14:textId="780DF9EE" w:rsidR="002D4381" w:rsidRPr="000E5111" w:rsidRDefault="004876E1" w:rsidP="0092733C">
      <w:pPr>
        <w:spacing w:line="360" w:lineRule="auto"/>
        <w:jc w:val="both"/>
        <w:rPr>
          <w:rFonts w:ascii="Palatino Linotype" w:hAnsi="Palatino Linotype"/>
          <w:sz w:val="22"/>
          <w:szCs w:val="22"/>
        </w:rPr>
      </w:pPr>
      <w:r w:rsidRPr="000E5111">
        <w:rPr>
          <w:rFonts w:ascii="Palatino Linotype" w:hAnsi="Palatino Linotype"/>
          <w:sz w:val="22"/>
          <w:szCs w:val="22"/>
        </w:rPr>
        <w:t>De ser el caso de que contengan datos personales susceptibles de clasificarse como confidenciales, el Sujeto Obligado estará a lo dispuesto en el Considerando Quinto de la presente resolución.</w:t>
      </w:r>
    </w:p>
    <w:p w14:paraId="71554BD4" w14:textId="77777777" w:rsidR="004876E1" w:rsidRPr="000E5111" w:rsidRDefault="004876E1" w:rsidP="0092733C">
      <w:pPr>
        <w:spacing w:line="360" w:lineRule="auto"/>
        <w:jc w:val="both"/>
        <w:rPr>
          <w:rFonts w:ascii="Palatino Linotype" w:eastAsia="Palatino Linotype" w:hAnsi="Palatino Linotype" w:cs="Palatino Linotype"/>
          <w:sz w:val="22"/>
          <w:szCs w:val="22"/>
        </w:rPr>
      </w:pPr>
    </w:p>
    <w:p w14:paraId="2246F67C" w14:textId="77777777" w:rsidR="00C877F6" w:rsidRPr="000E5111" w:rsidRDefault="00F36565">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 xml:space="preserve">Quinto. Versión Pública. </w:t>
      </w:r>
      <w:r w:rsidRPr="000E5111">
        <w:rPr>
          <w:rFonts w:ascii="Palatino Linotype" w:eastAsia="Palatino Linotype" w:hAnsi="Palatino Linotype" w:cs="Palatino Linotype"/>
          <w:sz w:val="22"/>
          <w:szCs w:val="22"/>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14:paraId="176AC7A5" w14:textId="77777777" w:rsidR="00C877F6" w:rsidRPr="000E5111" w:rsidRDefault="00C877F6">
      <w:pPr>
        <w:spacing w:line="360" w:lineRule="auto"/>
        <w:jc w:val="both"/>
        <w:rPr>
          <w:rFonts w:ascii="Palatino Linotype" w:eastAsia="Palatino Linotype" w:hAnsi="Palatino Linotype" w:cs="Palatino Linotype"/>
          <w:sz w:val="22"/>
          <w:szCs w:val="22"/>
        </w:rPr>
      </w:pPr>
    </w:p>
    <w:p w14:paraId="7679BB30" w14:textId="77777777" w:rsidR="00C877F6" w:rsidRPr="000E5111" w:rsidRDefault="00F36565">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En ese sentido, el Sujeto Obligado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 </w:t>
      </w:r>
    </w:p>
    <w:p w14:paraId="370F0DC2" w14:textId="77777777" w:rsidR="00C877F6" w:rsidRPr="000E5111" w:rsidRDefault="00C877F6">
      <w:pPr>
        <w:spacing w:line="360" w:lineRule="auto"/>
        <w:jc w:val="both"/>
        <w:rPr>
          <w:rFonts w:ascii="Palatino Linotype" w:eastAsia="Palatino Linotype" w:hAnsi="Palatino Linotype" w:cs="Palatino Linotype"/>
          <w:sz w:val="22"/>
          <w:szCs w:val="22"/>
        </w:rPr>
      </w:pPr>
    </w:p>
    <w:p w14:paraId="578FA5EA" w14:textId="77777777" w:rsidR="00C877F6" w:rsidRPr="000E5111" w:rsidRDefault="00F36565">
      <w:pPr>
        <w:spacing w:line="360" w:lineRule="auto"/>
        <w:ind w:right="50"/>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Lo anterior, de conformidad con lo que señalan los artículos 3 fracciones IX, XX, XXI y XLV, 91, 132 fracciones II y III, y 143 de la Ley de Transparencia y Acceso a la Información Pública del Estado de México y Municipios que establecen: </w:t>
      </w:r>
    </w:p>
    <w:p w14:paraId="3CDCE510" w14:textId="77777777" w:rsidR="00C877F6" w:rsidRPr="000E5111" w:rsidRDefault="00C877F6">
      <w:pPr>
        <w:spacing w:line="360" w:lineRule="auto"/>
        <w:ind w:right="50"/>
        <w:jc w:val="both"/>
        <w:rPr>
          <w:rFonts w:ascii="Palatino Linotype" w:eastAsia="Palatino Linotype" w:hAnsi="Palatino Linotype" w:cs="Palatino Linotype"/>
          <w:sz w:val="22"/>
          <w:szCs w:val="22"/>
        </w:rPr>
      </w:pPr>
    </w:p>
    <w:p w14:paraId="014C759A"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r w:rsidRPr="000E5111">
        <w:rPr>
          <w:rFonts w:ascii="Palatino Linotype" w:eastAsia="Palatino Linotype" w:hAnsi="Palatino Linotype" w:cs="Palatino Linotype"/>
          <w:b/>
          <w:i/>
          <w:sz w:val="22"/>
          <w:szCs w:val="22"/>
        </w:rPr>
        <w:t>Artículo 3.</w:t>
      </w:r>
      <w:r w:rsidRPr="000E5111">
        <w:rPr>
          <w:rFonts w:ascii="Palatino Linotype" w:eastAsia="Palatino Linotype" w:hAnsi="Palatino Linotype" w:cs="Palatino Linotype"/>
          <w:i/>
          <w:sz w:val="22"/>
          <w:szCs w:val="22"/>
        </w:rPr>
        <w:t xml:space="preserve"> Para los efectos de la presente Ley se entenderá por:</w:t>
      </w:r>
    </w:p>
    <w:p w14:paraId="6D483FCD"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07C497C9"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IX. Datos personales: La información concerniente a una persona, identificada o identificable según lo dispuesto por la Ley de Protección de Datos Personales del Estado de México; </w:t>
      </w:r>
    </w:p>
    <w:p w14:paraId="1BFF9FDC"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XX. Información clasificada: Aquella considerada por la presente Ley como reservada o confidencial;</w:t>
      </w:r>
    </w:p>
    <w:p w14:paraId="38A48A59"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B5C407E"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XLV. Versión pública: Documento en el que se elimine, suprime o borra la información clasificada como reservada o confidencial para permitir su acceso.</w:t>
      </w:r>
    </w:p>
    <w:p w14:paraId="3D22D22D"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7BE5EF39"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91.</w:t>
      </w:r>
      <w:r w:rsidRPr="000E5111">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p>
    <w:p w14:paraId="3F17469B"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132.</w:t>
      </w:r>
      <w:r w:rsidRPr="000E5111">
        <w:rPr>
          <w:rFonts w:ascii="Palatino Linotype" w:eastAsia="Palatino Linotype" w:hAnsi="Palatino Linotype" w:cs="Palatino Linotype"/>
          <w:i/>
          <w:sz w:val="22"/>
          <w:szCs w:val="22"/>
        </w:rPr>
        <w:t xml:space="preserve"> La clasificación de la información se llevará a cabo en el momento en que:</w:t>
      </w:r>
    </w:p>
    <w:p w14:paraId="7AFC8D89" w14:textId="77777777" w:rsidR="00C877F6" w:rsidRPr="000E5111" w:rsidRDefault="00F36565">
      <w:pPr>
        <w:tabs>
          <w:tab w:val="left" w:pos="1134"/>
        </w:tabs>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 Se reciba una solicitud de acceso a la información;</w:t>
      </w:r>
    </w:p>
    <w:p w14:paraId="45CEA9D2" w14:textId="77777777" w:rsidR="00C877F6" w:rsidRPr="000E5111" w:rsidRDefault="00F36565">
      <w:pPr>
        <w:tabs>
          <w:tab w:val="left" w:pos="1134"/>
        </w:tabs>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 Se determine mediante resolución de autoridad competente; o</w:t>
      </w:r>
    </w:p>
    <w:p w14:paraId="2455AA3E" w14:textId="77777777" w:rsidR="00C877F6" w:rsidRPr="000E5111" w:rsidRDefault="00F36565">
      <w:pPr>
        <w:tabs>
          <w:tab w:val="left" w:pos="1134"/>
        </w:tabs>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III. Se generen versiones públicas para dar cumplimiento a las obligaciones de transparencia previstas en esta Ley.</w:t>
      </w:r>
    </w:p>
    <w:p w14:paraId="0570D4E8"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54A48D97"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Artículo 143</w:t>
      </w:r>
      <w:r w:rsidRPr="000E5111">
        <w:rPr>
          <w:rFonts w:ascii="Palatino Linotype" w:eastAsia="Palatino Linotype" w:hAnsi="Palatino Linotype" w:cs="Palatino Linotype"/>
          <w:i/>
          <w:sz w:val="22"/>
          <w:szCs w:val="22"/>
        </w:rPr>
        <w:t>. Para los efectos de esta Ley se considera información confidencial, la clasificada como tal, de manera permanente, por su naturaleza, cuando:</w:t>
      </w:r>
    </w:p>
    <w:p w14:paraId="47D8B45E"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 Se refiera a la información privada y los datos personales concernientes a una persona física o jurídico colectiva identificada o identificable;</w:t>
      </w:r>
    </w:p>
    <w:p w14:paraId="5F8C642C"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27EBC6A6"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III. La que presenten los particulares a los sujetos obligados, de conformidad con lo dispuesto por las leyes o los tratados internacionales.</w:t>
      </w:r>
    </w:p>
    <w:p w14:paraId="1B309FE7"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33733357"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658562F3" w14:textId="77777777" w:rsidR="00C877F6" w:rsidRPr="000E5111" w:rsidRDefault="00C877F6">
      <w:pPr>
        <w:ind w:left="567" w:right="616"/>
        <w:jc w:val="both"/>
        <w:rPr>
          <w:rFonts w:ascii="Palatino Linotype" w:eastAsia="Palatino Linotype" w:hAnsi="Palatino Linotype" w:cs="Palatino Linotype"/>
          <w:i/>
          <w:sz w:val="22"/>
          <w:szCs w:val="22"/>
        </w:rPr>
      </w:pPr>
    </w:p>
    <w:p w14:paraId="4931F605" w14:textId="12F467C1" w:rsidR="00C877F6" w:rsidRPr="000E5111" w:rsidRDefault="00F36565">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vigentes a la fecha de la solicitud de información,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r w:rsidR="0083209D" w:rsidRPr="000E5111">
        <w:rPr>
          <w:rFonts w:ascii="Palatino Linotype" w:eastAsia="Palatino Linotype" w:hAnsi="Palatino Linotype" w:cs="Palatino Linotype"/>
          <w:sz w:val="22"/>
          <w:szCs w:val="22"/>
        </w:rPr>
        <w:t xml:space="preserve"> </w:t>
      </w:r>
    </w:p>
    <w:p w14:paraId="4FF02ACB" w14:textId="77777777" w:rsidR="0087565C" w:rsidRPr="000E5111" w:rsidRDefault="0087565C">
      <w:pPr>
        <w:spacing w:line="360" w:lineRule="auto"/>
        <w:jc w:val="both"/>
        <w:rPr>
          <w:rFonts w:ascii="Palatino Linotype" w:eastAsia="Palatino Linotype" w:hAnsi="Palatino Linotype" w:cs="Palatino Linotype"/>
          <w:sz w:val="22"/>
          <w:szCs w:val="22"/>
        </w:rPr>
      </w:pPr>
    </w:p>
    <w:p w14:paraId="5180B693" w14:textId="40F24126" w:rsidR="0087565C" w:rsidRPr="000E5111" w:rsidRDefault="0087565C" w:rsidP="0087565C">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Al respecto, cabe precisar que el nombre de las personas que demandaron al </w:t>
      </w:r>
      <w:r w:rsidRPr="000E5111">
        <w:rPr>
          <w:rFonts w:ascii="Palatino Linotype" w:eastAsia="Palatino Linotype" w:hAnsi="Palatino Linotype" w:cs="Palatino Linotype"/>
          <w:b/>
          <w:sz w:val="22"/>
          <w:szCs w:val="22"/>
        </w:rPr>
        <w:t>Sujeto Obligado</w:t>
      </w:r>
      <w:r w:rsidRPr="000E5111">
        <w:rPr>
          <w:rFonts w:ascii="Palatino Linotype" w:eastAsia="Palatino Linotype" w:hAnsi="Palatino Linotype" w:cs="Palatino Linotype"/>
          <w:sz w:val="22"/>
          <w:szCs w:val="22"/>
        </w:rPr>
        <w:t xml:space="preserve"> y que dichas demandas inician un procedimiento del cual no obtuvo algún beneficio o se encuentra en trámite, debe ser motivo de protección, ello en atención a que este Órgano Garante debe ofrecer la mayor protección de una persona que al demandar ejercita su derecho a reclamar ante un órgano el cumplimiento de sus derechos laborales, por lo que, dar a conocer su nombre puede hacerlo identificable.</w:t>
      </w:r>
    </w:p>
    <w:p w14:paraId="51E8FC18" w14:textId="77777777" w:rsidR="0087565C" w:rsidRPr="000E5111" w:rsidRDefault="0087565C" w:rsidP="0087565C">
      <w:pPr>
        <w:spacing w:line="360" w:lineRule="auto"/>
        <w:jc w:val="both"/>
        <w:rPr>
          <w:rFonts w:ascii="Palatino Linotype" w:eastAsia="Palatino Linotype" w:hAnsi="Palatino Linotype" w:cs="Palatino Linotype"/>
          <w:sz w:val="22"/>
          <w:szCs w:val="22"/>
        </w:rPr>
      </w:pPr>
    </w:p>
    <w:p w14:paraId="721C04A0" w14:textId="77777777" w:rsidR="0087565C" w:rsidRPr="000E5111" w:rsidRDefault="0087565C" w:rsidP="0087565C">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Sin embargo, para el caso específico, en el que la persona o personas que demandaron al Sujeto Obligado, hayan recibido recursos públicos, la naturaleza de la información se modificara debido a su interés público; al respecto el entonces Instituto Nacional de Transparencia, Acceso a la Información y Protección de Datos Personales (INAI), emitió un criterio que robustece dicha situación y que más adelante será analizado a detalle.</w:t>
      </w:r>
    </w:p>
    <w:p w14:paraId="37EA5B26" w14:textId="77777777" w:rsidR="0087565C" w:rsidRPr="000E5111" w:rsidRDefault="0087565C" w:rsidP="0087565C">
      <w:pPr>
        <w:spacing w:line="360" w:lineRule="auto"/>
        <w:jc w:val="both"/>
        <w:rPr>
          <w:rFonts w:ascii="Palatino Linotype" w:eastAsia="Palatino Linotype" w:hAnsi="Palatino Linotype" w:cs="Palatino Linotype"/>
          <w:sz w:val="22"/>
          <w:szCs w:val="22"/>
        </w:rPr>
      </w:pPr>
    </w:p>
    <w:p w14:paraId="34B77F5F" w14:textId="77777777" w:rsidR="0087565C" w:rsidRPr="000E5111" w:rsidRDefault="0087565C" w:rsidP="0087565C">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De tal suerte que cuando se ordena el pago, por cualquier motivo, se actualiza el supuesto del artículo 23, párrafo segundo, de la Ley de Transparencia y Acceso a la Información Pública del Estado de México y Municipios, por tratarse de la entrega de recursos públicos. Esto nos lleva a que la decisión tuvo consecuencias más allá del ámbito personal del demandante y, al haber la entrega de recursos públicos, se trata de información que se debe hacer pública, ya que existe interés público en conocer la forma en que se ejercen los recursos y porque simple y sencillamente existe disposición legal que obliga a la entrega de la información.</w:t>
      </w:r>
    </w:p>
    <w:p w14:paraId="7E9E2CAF" w14:textId="77777777" w:rsidR="0087565C" w:rsidRPr="000E5111" w:rsidRDefault="0087565C" w:rsidP="0087565C">
      <w:pPr>
        <w:spacing w:line="360" w:lineRule="auto"/>
        <w:jc w:val="both"/>
        <w:rPr>
          <w:rFonts w:ascii="Palatino Linotype" w:eastAsia="Palatino Linotype" w:hAnsi="Palatino Linotype" w:cs="Palatino Linotype"/>
          <w:sz w:val="22"/>
          <w:szCs w:val="22"/>
        </w:rPr>
      </w:pPr>
    </w:p>
    <w:p w14:paraId="1525393A" w14:textId="77777777" w:rsidR="0087565C" w:rsidRPr="000E5111" w:rsidRDefault="0087565C" w:rsidP="0087565C">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Asimismo, se advierte que proporcionar el nombre de los actores que ya recibieron recursos públicos con motivo de las demandas interpuestas en contra del Sujeto Obligado, es información, cuya publicidad, puede abonar en la transparencia y rendición de cuentas; por tanto, es necesario, atraer al estudio el criterio 19/13 emitido por el entonces Instituto Nacional de Transparencia, Acceso a la Información y Protección de Datos Personales (INAI); el cual a la letra precisa:</w:t>
      </w:r>
    </w:p>
    <w:p w14:paraId="50111F17" w14:textId="77777777" w:rsidR="0087565C" w:rsidRPr="000E5111" w:rsidRDefault="0087565C" w:rsidP="0087565C">
      <w:pPr>
        <w:spacing w:line="360" w:lineRule="auto"/>
        <w:jc w:val="both"/>
        <w:rPr>
          <w:rFonts w:ascii="Palatino Linotype" w:eastAsia="Palatino Linotype" w:hAnsi="Palatino Linotype" w:cs="Palatino Linotype"/>
          <w:sz w:val="22"/>
          <w:szCs w:val="22"/>
        </w:rPr>
      </w:pPr>
    </w:p>
    <w:p w14:paraId="3BE297F6" w14:textId="77777777" w:rsidR="0087565C" w:rsidRPr="000E5111" w:rsidRDefault="0087565C" w:rsidP="0087565C">
      <w:pPr>
        <w:spacing w:line="276" w:lineRule="auto"/>
        <w:ind w:left="851"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r w:rsidRPr="000E5111">
        <w:rPr>
          <w:rFonts w:ascii="Palatino Linotype" w:eastAsia="Palatino Linotype" w:hAnsi="Palatino Linotype" w:cs="Palatino Linotype"/>
          <w:b/>
          <w:i/>
          <w:sz w:val="22"/>
          <w:szCs w:val="22"/>
        </w:rPr>
        <w:t>Nombre de actores en juicios laborales constituye, en principio, información confidencial.</w:t>
      </w:r>
      <w:r w:rsidRPr="000E5111">
        <w:rPr>
          <w:rFonts w:ascii="Palatino Linotype" w:eastAsia="Palatino Linotype" w:hAnsi="Palatino Linotype" w:cs="Palatino Linotype"/>
          <w:i/>
          <w:sz w:val="22"/>
          <w:szCs w:val="22"/>
        </w:rPr>
        <w:t xml:space="preserve"> El nombre es un atributo de la personalidad y la manifestación principal del derecho a la identidad, en razón de que por sí mismo permite identificar a una persona física. Por lo que respecta al nombre de las personas que han entablado un juicio laboral, éste permite identificar a los actores que presentaron una demanda laboral y participan en un juicio, lo cual constituye una decisión personal que refleja un acto de voluntad de quien lo realiza. En efecto, las acciones legales que emprenden los actores en el ejercicio de sus derechos laborales hacen evidente la posición jurídica en la cual se han colocado por decisión propia, con relación a determinados órganos de gobierno, para la obtención de algunas prestaciones laborales o económicas, lo cual constituye cuestiones de carácter estrictamente privado. </w:t>
      </w:r>
      <w:r w:rsidRPr="000E5111">
        <w:rPr>
          <w:rFonts w:ascii="Palatino Linotype" w:eastAsia="Palatino Linotype" w:hAnsi="Palatino Linotype" w:cs="Palatino Linotype"/>
          <w:b/>
          <w:i/>
          <w:sz w:val="22"/>
          <w:szCs w:val="22"/>
        </w:rPr>
        <w:t xml:space="preserve">En este tenor, el nombre de los actores de los juicios laborales que se encuentran en trámite o que, en su defecto, concluyeron con la emisión de un laudo desfavorable a los intereses personales del actor constituye información confidencial, </w:t>
      </w:r>
      <w:r w:rsidRPr="000E5111">
        <w:rPr>
          <w:rFonts w:ascii="Palatino Linotype" w:eastAsia="Palatino Linotype" w:hAnsi="Palatino Linotype" w:cs="Palatino Linotype"/>
          <w:i/>
          <w:sz w:val="22"/>
          <w:szCs w:val="22"/>
        </w:rPr>
        <w:t>conforme a lo dispuesto en el artículo 18, fracción II de la Ley Federal de Transparencia y Acceso a la Información Pública Gubernamental.</w:t>
      </w:r>
      <w:r w:rsidRPr="000E5111">
        <w:rPr>
          <w:rFonts w:ascii="Palatino Linotype" w:eastAsia="Palatino Linotype" w:hAnsi="Palatino Linotype" w:cs="Palatino Linotype"/>
          <w:b/>
          <w:i/>
          <w:sz w:val="22"/>
          <w:szCs w:val="22"/>
        </w:rPr>
        <w:t xml:space="preserve"> No obstante, procede la entrega del nombre de los actores en juicios laborales cuando, en definitiva, se haya condenado a una dependencia o entidad al pago de las prestaciones económicas reclamadas o la reinstalación del servidor público, en virtud de que el cumplimiento de dicho fallo se realiza necesariamente con recursos públicos a cargo del presupuesto del sujeto obligado, lo cual permite por una parte, dar cumplimiento a las obligaciones de transparencia contenidas en el artículo 7, fracciones III, IV, IX y XVII de la Ley y, por la otra, transparenta la gestión pública y favorece la rendición de cuentas a los ciudadanos, ya que se refiere al ejercicio de los recursos públicos y al cumplimiento que se da a las resoluciones emitidas por alguna autoridad jurisdiccional encargada de dirimir conflictos laborales.</w:t>
      </w:r>
      <w:r w:rsidRPr="000E5111">
        <w:rPr>
          <w:rFonts w:ascii="Palatino Linotype" w:eastAsia="Palatino Linotype" w:hAnsi="Palatino Linotype" w:cs="Palatino Linotype"/>
          <w:i/>
          <w:sz w:val="22"/>
          <w:szCs w:val="22"/>
        </w:rPr>
        <w:t>”</w:t>
      </w:r>
    </w:p>
    <w:p w14:paraId="7EEC93B4" w14:textId="77777777" w:rsidR="0087565C" w:rsidRPr="000E5111" w:rsidRDefault="0087565C" w:rsidP="0087565C">
      <w:pPr>
        <w:spacing w:line="360" w:lineRule="auto"/>
        <w:jc w:val="both"/>
        <w:rPr>
          <w:rFonts w:ascii="Palatino Linotype" w:eastAsia="Palatino Linotype" w:hAnsi="Palatino Linotype" w:cs="Palatino Linotype"/>
          <w:sz w:val="22"/>
          <w:szCs w:val="22"/>
        </w:rPr>
      </w:pPr>
    </w:p>
    <w:p w14:paraId="54EB4A57" w14:textId="77777777" w:rsidR="0087565C" w:rsidRPr="000E5111" w:rsidRDefault="0087565C" w:rsidP="0087565C">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En atención al criterio emitido por el entonces Instituto Nacional de Transparencia, Acceso a la Información y Protección de Datos Personales (INAI), se advierte que el nombre de los actores en los procedimientos laborales es público, siempre que culmine con la entrega a favor de los actores de recurso público, pues se favorece la rendición de cuentas y se puede verificar el cumplimiento que el </w:t>
      </w:r>
      <w:r w:rsidRPr="000E5111">
        <w:rPr>
          <w:rFonts w:ascii="Palatino Linotype" w:eastAsia="Palatino Linotype" w:hAnsi="Palatino Linotype" w:cs="Palatino Linotype"/>
          <w:b/>
          <w:sz w:val="22"/>
          <w:szCs w:val="22"/>
        </w:rPr>
        <w:t>Sujeto Obligado</w:t>
      </w:r>
      <w:r w:rsidRPr="000E5111">
        <w:rPr>
          <w:rFonts w:ascii="Palatino Linotype" w:eastAsia="Palatino Linotype" w:hAnsi="Palatino Linotype" w:cs="Palatino Linotype"/>
          <w:sz w:val="22"/>
          <w:szCs w:val="22"/>
        </w:rPr>
        <w:t xml:space="preserve"> de  las resoluciones o convenios suscritos ante la autoridad laboral. </w:t>
      </w:r>
    </w:p>
    <w:p w14:paraId="04BE5618" w14:textId="77777777" w:rsidR="009A3CFC" w:rsidRPr="000E5111" w:rsidRDefault="009A3CFC">
      <w:pPr>
        <w:spacing w:line="360" w:lineRule="auto"/>
        <w:jc w:val="both"/>
        <w:rPr>
          <w:rFonts w:ascii="Palatino Linotype" w:eastAsia="Palatino Linotype" w:hAnsi="Palatino Linotype" w:cs="Palatino Linotype"/>
          <w:sz w:val="22"/>
          <w:szCs w:val="22"/>
        </w:rPr>
      </w:pPr>
    </w:p>
    <w:p w14:paraId="57180B8D" w14:textId="77777777" w:rsidR="00C877F6" w:rsidRPr="000E5111" w:rsidRDefault="00F36565">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Por otro lado, es de destacar que los artículos Quincuagésimo, Quincuagésimo primero, Quincuagésimo segundo, de los Lineamientos Generales en Materia de Clasificación y Desclasificación de la Información, así como para la Elaboración de Versiones Públicas vigentes a la fecha de la solicitud señalan las formalidades que deberá llevar el acuerdo de clasificación que deberá emitir el Sujeto Obligado, siendo estas las siguientes:</w:t>
      </w:r>
    </w:p>
    <w:p w14:paraId="507FF2DE" w14:textId="77777777" w:rsidR="00C877F6" w:rsidRPr="000E5111" w:rsidRDefault="00C877F6">
      <w:pPr>
        <w:spacing w:line="360" w:lineRule="auto"/>
        <w:jc w:val="both"/>
        <w:rPr>
          <w:rFonts w:ascii="Palatino Linotype" w:eastAsia="Palatino Linotype" w:hAnsi="Palatino Linotype" w:cs="Palatino Linotype"/>
          <w:sz w:val="22"/>
          <w:szCs w:val="22"/>
        </w:rPr>
      </w:pPr>
    </w:p>
    <w:p w14:paraId="579515E6"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 “</w:t>
      </w:r>
      <w:r w:rsidRPr="000E5111">
        <w:rPr>
          <w:rFonts w:ascii="Palatino Linotype" w:eastAsia="Palatino Linotype" w:hAnsi="Palatino Linotype" w:cs="Palatino Linotype"/>
          <w:b/>
          <w:i/>
          <w:sz w:val="22"/>
          <w:szCs w:val="22"/>
        </w:rPr>
        <w:t>Quincuagésimo</w:t>
      </w:r>
      <w:r w:rsidRPr="000E5111">
        <w:rPr>
          <w:rFonts w:ascii="Palatino Linotype" w:eastAsia="Palatino Linotype" w:hAnsi="Palatino Linotype" w:cs="Palatino Linotype"/>
          <w:i/>
          <w:sz w:val="22"/>
          <w:szCs w:val="22"/>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D75FDF0"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Quincuagésimo primero.</w:t>
      </w:r>
      <w:r w:rsidRPr="000E5111">
        <w:rPr>
          <w:rFonts w:ascii="Palatino Linotype" w:eastAsia="Palatino Linotype" w:hAnsi="Palatino Linotype" w:cs="Palatino Linotype"/>
          <w:i/>
          <w:sz w:val="22"/>
          <w:szCs w:val="22"/>
        </w:rPr>
        <w:t xml:space="preserve"> Toda acta del Comité de Transparencia deberá contener: </w:t>
      </w:r>
    </w:p>
    <w:p w14:paraId="029B8A73"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I. El número de sesión y fecha; </w:t>
      </w:r>
    </w:p>
    <w:p w14:paraId="241B2257"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II. El nombre del área que solicitó la clasificación de información; </w:t>
      </w:r>
    </w:p>
    <w:p w14:paraId="40011ECD"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III. La fundamentación legal y motivación correspondiente; </w:t>
      </w:r>
    </w:p>
    <w:p w14:paraId="06077BFD"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IV. La resolución o resoluciones aprobadas; y </w:t>
      </w:r>
    </w:p>
    <w:p w14:paraId="682C4065"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V. La rúbrica o firma digital de cada integrante del Comité de Transparencia. </w:t>
      </w:r>
    </w:p>
    <w:p w14:paraId="04AF5855"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55DC6F19"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 Los motivos y razonamientos que sustenten la confirmación o modificación de la prueba de daño;</w:t>
      </w:r>
    </w:p>
    <w:p w14:paraId="049EF118"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II. Descripción de las partes o secciones reservadas, en caso de clasificación parcial; </w:t>
      </w:r>
    </w:p>
    <w:p w14:paraId="6093E57B"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III. El periodo por el que mantendrá su clasificación y fecha de expiración; y </w:t>
      </w:r>
    </w:p>
    <w:p w14:paraId="24D78FA1"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IV. El nombre del titular y área encargada de realizar la versión pública del documento, en su caso. </w:t>
      </w:r>
    </w:p>
    <w:p w14:paraId="7CADD532"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33D8EAD5"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3B5B709"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Quincuagésimo segundo.</w:t>
      </w:r>
      <w:r w:rsidRPr="000E5111">
        <w:rPr>
          <w:rFonts w:ascii="Palatino Linotype" w:eastAsia="Palatino Linotype" w:hAnsi="Palatino Linotype" w:cs="Palatino Linotype"/>
          <w:i/>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0D3B9CF4"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4300F776"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 Fijar la fecha en que se elaboró la versión pública y la fecha en la cual el Comité de Transparencia confirmó dicha versión;</w:t>
      </w:r>
    </w:p>
    <w:p w14:paraId="172233E6"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 Señalar dentro del documento el tipo de información confidencial que fue testada en cada caso específico, de conformidad con el lineamiento trigésimo octavo; y</w:t>
      </w:r>
    </w:p>
    <w:p w14:paraId="162DC3B7"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III. Señalar las personas o instancias autorizadas a acceder a la información clasificada.</w:t>
      </w:r>
    </w:p>
    <w:p w14:paraId="74BA100E"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2106DB5B" w14:textId="77777777" w:rsidR="00C877F6" w:rsidRPr="000E5111" w:rsidRDefault="00C877F6">
      <w:pPr>
        <w:spacing w:line="360" w:lineRule="auto"/>
        <w:jc w:val="both"/>
        <w:rPr>
          <w:rFonts w:ascii="Palatino Linotype" w:eastAsia="Palatino Linotype" w:hAnsi="Palatino Linotype" w:cs="Palatino Linotype"/>
          <w:sz w:val="22"/>
          <w:szCs w:val="22"/>
        </w:rPr>
      </w:pPr>
    </w:p>
    <w:p w14:paraId="1F19E5B0" w14:textId="77777777" w:rsidR="00C877F6" w:rsidRPr="000E5111" w:rsidRDefault="00F36565">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De igual forma, deberá observar los Lineamientos Quincuagésimo cuarto, Quincuagésimo quinto, Quincuagésimo séptimo y Quincuagésimo octavo, vigentes a la fecha de la solicitud de información establecen lo siguiente: </w:t>
      </w:r>
    </w:p>
    <w:p w14:paraId="3F8D4A2F" w14:textId="77777777" w:rsidR="00C877F6" w:rsidRPr="000E5111" w:rsidRDefault="00C877F6">
      <w:pPr>
        <w:spacing w:line="360" w:lineRule="auto"/>
        <w:jc w:val="both"/>
        <w:rPr>
          <w:rFonts w:ascii="Palatino Linotype" w:eastAsia="Palatino Linotype" w:hAnsi="Palatino Linotype" w:cs="Palatino Linotype"/>
          <w:sz w:val="22"/>
          <w:szCs w:val="22"/>
        </w:rPr>
      </w:pPr>
    </w:p>
    <w:p w14:paraId="2A63BE39" w14:textId="77777777" w:rsidR="00C877F6" w:rsidRPr="000E5111"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r w:rsidRPr="000E5111">
        <w:rPr>
          <w:rFonts w:ascii="Palatino Linotype" w:eastAsia="Palatino Linotype" w:hAnsi="Palatino Linotype" w:cs="Palatino Linotype"/>
          <w:b/>
          <w:i/>
          <w:sz w:val="22"/>
          <w:szCs w:val="22"/>
        </w:rPr>
        <w:t>Quincuagésimo cuarto.</w:t>
      </w:r>
      <w:r w:rsidRPr="000E5111">
        <w:rPr>
          <w:rFonts w:ascii="Palatino Linotype" w:eastAsia="Palatino Linotype" w:hAnsi="Palatino Linotype" w:cs="Palatino Linotype"/>
          <w:i/>
          <w:sz w:val="22"/>
          <w:szCs w:val="22"/>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4F855FAE"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Quincuagésimo quinto.</w:t>
      </w:r>
      <w:r w:rsidRPr="000E5111">
        <w:rPr>
          <w:rFonts w:ascii="Palatino Linotype" w:eastAsia="Palatino Linotype" w:hAnsi="Palatino Linotype" w:cs="Palatino Linotype"/>
          <w:i/>
          <w:sz w:val="22"/>
          <w:szCs w:val="22"/>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AB48148"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w:t>
      </w:r>
    </w:p>
    <w:p w14:paraId="09D096A7"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b/>
          <w:i/>
          <w:sz w:val="22"/>
          <w:szCs w:val="22"/>
        </w:rPr>
        <w:t>Quincuagésimo séptimo.</w:t>
      </w:r>
      <w:r w:rsidRPr="000E5111">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223042EF"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I. La relativa a las Obligaciones de Transparencia que contempla el Título V de la Ley General y las demás disposiciones legales aplicables; </w:t>
      </w:r>
    </w:p>
    <w:p w14:paraId="3084A27E"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II. El nombre de los integrantes de los sujetos obligados en los documentos, y sus firmas autógrafas o digitales, cuando sean utilizados en el ejercicio de las facultades conferidas para el desempeño del servicio público, y</w:t>
      </w:r>
    </w:p>
    <w:p w14:paraId="6B5A832E"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A675986"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39E22D0A" w14:textId="77777777" w:rsidR="00C877F6" w:rsidRPr="000E5111" w:rsidRDefault="00F36565">
      <w:pPr>
        <w:ind w:left="567" w:right="616"/>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Quincuagésimo octavo. Los sujetos obligados garantizarán que los sistemas o medios empleados para eliminar la información en las versiones públicas sean irreversibles, de tal forma que no permitan su recuperación o la visualización de la misma.”</w:t>
      </w:r>
    </w:p>
    <w:p w14:paraId="34E6BDC9" w14:textId="77777777" w:rsidR="00C877F6" w:rsidRPr="000E5111" w:rsidRDefault="00C877F6">
      <w:pPr>
        <w:spacing w:line="360" w:lineRule="auto"/>
        <w:ind w:left="567" w:right="616"/>
        <w:jc w:val="both"/>
        <w:rPr>
          <w:rFonts w:ascii="Palatino Linotype" w:eastAsia="Palatino Linotype" w:hAnsi="Palatino Linotype" w:cs="Palatino Linotype"/>
          <w:i/>
          <w:sz w:val="22"/>
          <w:szCs w:val="22"/>
        </w:rPr>
      </w:pPr>
    </w:p>
    <w:p w14:paraId="130BAA1B" w14:textId="77777777" w:rsidR="00C877F6" w:rsidRPr="000E5111" w:rsidRDefault="00F36565">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126872BB" w14:textId="77777777" w:rsidR="003E62A8" w:rsidRPr="000E5111" w:rsidRDefault="003E62A8">
      <w:pPr>
        <w:spacing w:line="360" w:lineRule="auto"/>
        <w:jc w:val="both"/>
        <w:rPr>
          <w:rFonts w:ascii="Palatino Linotype" w:eastAsia="Palatino Linotype" w:hAnsi="Palatino Linotype" w:cs="Palatino Linotype"/>
          <w:sz w:val="22"/>
          <w:szCs w:val="22"/>
        </w:rPr>
      </w:pPr>
    </w:p>
    <w:p w14:paraId="091B9B14" w14:textId="77777777" w:rsidR="003E62A8" w:rsidRPr="000E5111" w:rsidRDefault="003E62A8" w:rsidP="003E62A8">
      <w:pPr>
        <w:spacing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4189785E" w14:textId="77777777" w:rsidR="00C877F6" w:rsidRPr="000E5111" w:rsidRDefault="00F36565">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Por lo anteriormente expuesto y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y 186 fracción III de la Ley de Transparencia y Acceso a la Información Pública del Estado de México y Municipios, este Pleno:</w:t>
      </w:r>
    </w:p>
    <w:p w14:paraId="51DB8E95" w14:textId="77777777" w:rsidR="00C877F6" w:rsidRPr="000E5111" w:rsidRDefault="00F36565">
      <w:pPr>
        <w:pBdr>
          <w:top w:val="nil"/>
          <w:left w:val="nil"/>
          <w:bottom w:val="nil"/>
          <w:right w:val="nil"/>
          <w:between w:val="nil"/>
        </w:pBdr>
        <w:spacing w:before="240" w:after="240" w:line="360" w:lineRule="auto"/>
        <w:ind w:left="567"/>
        <w:jc w:val="center"/>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R E S U E L V E:</w:t>
      </w:r>
    </w:p>
    <w:p w14:paraId="6EF9BB33" w14:textId="496ABFD8" w:rsidR="00C877F6" w:rsidRPr="000E5111" w:rsidRDefault="00F36565">
      <w:pPr>
        <w:spacing w:before="240" w:after="240" w:line="360" w:lineRule="auto"/>
        <w:jc w:val="both"/>
        <w:rPr>
          <w:rFonts w:ascii="Palatino Linotype" w:eastAsia="Palatino Linotype" w:hAnsi="Palatino Linotype" w:cs="Palatino Linotype"/>
          <w:b/>
          <w:sz w:val="22"/>
          <w:szCs w:val="22"/>
        </w:rPr>
      </w:pPr>
      <w:r w:rsidRPr="000E5111">
        <w:rPr>
          <w:rFonts w:ascii="Palatino Linotype" w:eastAsia="Palatino Linotype" w:hAnsi="Palatino Linotype" w:cs="Palatino Linotype"/>
          <w:b/>
          <w:sz w:val="22"/>
          <w:szCs w:val="22"/>
        </w:rPr>
        <w:t xml:space="preserve">Primero. </w:t>
      </w:r>
      <w:r w:rsidRPr="000E5111">
        <w:rPr>
          <w:rFonts w:ascii="Palatino Linotype" w:eastAsia="Palatino Linotype" w:hAnsi="Palatino Linotype" w:cs="Palatino Linotype"/>
          <w:sz w:val="22"/>
          <w:szCs w:val="22"/>
        </w:rPr>
        <w:t>Resultan</w:t>
      </w:r>
      <w:r w:rsidRPr="000E5111">
        <w:rPr>
          <w:rFonts w:ascii="Palatino Linotype" w:eastAsia="Palatino Linotype" w:hAnsi="Palatino Linotype" w:cs="Palatino Linotype"/>
          <w:b/>
          <w:sz w:val="22"/>
          <w:szCs w:val="22"/>
        </w:rPr>
        <w:t xml:space="preserve"> fundados </w:t>
      </w:r>
      <w:r w:rsidRPr="000E5111">
        <w:rPr>
          <w:rFonts w:ascii="Palatino Linotype" w:eastAsia="Palatino Linotype" w:hAnsi="Palatino Linotype" w:cs="Palatino Linotype"/>
          <w:sz w:val="22"/>
          <w:szCs w:val="22"/>
        </w:rPr>
        <w:t xml:space="preserve">los motivos de inconformidad hechos valer por </w:t>
      </w:r>
      <w:r w:rsidRPr="000E5111">
        <w:rPr>
          <w:rFonts w:ascii="Palatino Linotype" w:eastAsia="Palatino Linotype" w:hAnsi="Palatino Linotype" w:cs="Palatino Linotype"/>
          <w:b/>
          <w:sz w:val="22"/>
          <w:szCs w:val="22"/>
        </w:rPr>
        <w:t>la parte Recurrente</w:t>
      </w:r>
      <w:r w:rsidRPr="000E5111">
        <w:rPr>
          <w:rFonts w:ascii="Palatino Linotype" w:eastAsia="Palatino Linotype" w:hAnsi="Palatino Linotype" w:cs="Palatino Linotype"/>
          <w:sz w:val="22"/>
          <w:szCs w:val="22"/>
        </w:rPr>
        <w:t xml:space="preserve"> en el Recurso de Revisión</w:t>
      </w:r>
      <w:r w:rsidRPr="000E5111">
        <w:rPr>
          <w:rFonts w:ascii="Palatino Linotype" w:eastAsia="Palatino Linotype" w:hAnsi="Palatino Linotype" w:cs="Palatino Linotype"/>
          <w:b/>
          <w:sz w:val="22"/>
          <w:szCs w:val="22"/>
        </w:rPr>
        <w:t xml:space="preserve"> </w:t>
      </w:r>
      <w:r w:rsidR="00E67408" w:rsidRPr="000E5111">
        <w:rPr>
          <w:rFonts w:ascii="Palatino Linotype" w:eastAsia="Palatino Linotype" w:hAnsi="Palatino Linotype" w:cs="Palatino Linotype"/>
          <w:b/>
          <w:sz w:val="22"/>
          <w:szCs w:val="22"/>
        </w:rPr>
        <w:t>09119/INFOEM/IP/RR/2025</w:t>
      </w:r>
      <w:r w:rsidRPr="000E5111">
        <w:rPr>
          <w:rFonts w:ascii="Palatino Linotype" w:eastAsia="Palatino Linotype" w:hAnsi="Palatino Linotype" w:cs="Palatino Linotype"/>
          <w:b/>
          <w:sz w:val="22"/>
          <w:szCs w:val="22"/>
        </w:rPr>
        <w:t xml:space="preserve">, </w:t>
      </w:r>
      <w:r w:rsidRPr="000E5111">
        <w:rPr>
          <w:rFonts w:ascii="Palatino Linotype" w:eastAsia="Palatino Linotype" w:hAnsi="Palatino Linotype" w:cs="Palatino Linotype"/>
          <w:sz w:val="22"/>
          <w:szCs w:val="22"/>
        </w:rPr>
        <w:t>por lo que</w:t>
      </w:r>
      <w:r w:rsidRPr="000E5111">
        <w:rPr>
          <w:rFonts w:ascii="Palatino Linotype" w:eastAsia="Palatino Linotype" w:hAnsi="Palatino Linotype" w:cs="Palatino Linotype"/>
          <w:b/>
          <w:sz w:val="22"/>
          <w:szCs w:val="22"/>
        </w:rPr>
        <w:t xml:space="preserve">, en términos del Considerando Cuarto </w:t>
      </w:r>
      <w:r w:rsidRPr="000E5111">
        <w:rPr>
          <w:rFonts w:ascii="Palatino Linotype" w:eastAsia="Palatino Linotype" w:hAnsi="Palatino Linotype" w:cs="Palatino Linotype"/>
          <w:sz w:val="22"/>
          <w:szCs w:val="22"/>
        </w:rPr>
        <w:t>de la presente resolución</w:t>
      </w:r>
      <w:r w:rsidRPr="000E5111">
        <w:rPr>
          <w:rFonts w:ascii="Palatino Linotype" w:eastAsia="Palatino Linotype" w:hAnsi="Palatino Linotype" w:cs="Palatino Linotype"/>
          <w:b/>
          <w:sz w:val="22"/>
          <w:szCs w:val="22"/>
        </w:rPr>
        <w:t xml:space="preserve">, se </w:t>
      </w:r>
      <w:r w:rsidR="0009354C" w:rsidRPr="000E5111">
        <w:rPr>
          <w:rFonts w:ascii="Palatino Linotype" w:eastAsia="Palatino Linotype" w:hAnsi="Palatino Linotype" w:cs="Palatino Linotype"/>
          <w:b/>
          <w:sz w:val="22"/>
          <w:szCs w:val="22"/>
        </w:rPr>
        <w:t>REVOCA</w:t>
      </w:r>
      <w:r w:rsidRPr="000E5111">
        <w:rPr>
          <w:rFonts w:ascii="Palatino Linotype" w:eastAsia="Palatino Linotype" w:hAnsi="Palatino Linotype" w:cs="Palatino Linotype"/>
          <w:b/>
          <w:sz w:val="22"/>
          <w:szCs w:val="22"/>
        </w:rPr>
        <w:t xml:space="preserve"> l</w:t>
      </w:r>
      <w:r w:rsidRPr="000E5111">
        <w:rPr>
          <w:rFonts w:ascii="Palatino Linotype" w:eastAsia="Palatino Linotype" w:hAnsi="Palatino Linotype" w:cs="Palatino Linotype"/>
          <w:sz w:val="22"/>
          <w:szCs w:val="22"/>
        </w:rPr>
        <w:t>a respuesta del</w:t>
      </w:r>
      <w:r w:rsidRPr="000E5111">
        <w:rPr>
          <w:rFonts w:ascii="Palatino Linotype" w:eastAsia="Palatino Linotype" w:hAnsi="Palatino Linotype" w:cs="Palatino Linotype"/>
          <w:b/>
          <w:sz w:val="22"/>
          <w:szCs w:val="22"/>
        </w:rPr>
        <w:t xml:space="preserve"> Sujeto Obligado.</w:t>
      </w:r>
    </w:p>
    <w:p w14:paraId="7D8F81E5" w14:textId="52B61C92" w:rsidR="00C877F6" w:rsidRPr="000E5111" w:rsidRDefault="00F36565">
      <w:pPr>
        <w:spacing w:before="240" w:after="240" w:line="360" w:lineRule="auto"/>
        <w:jc w:val="both"/>
        <w:rPr>
          <w:rFonts w:ascii="Palatino Linotype" w:eastAsia="Palatino Linotype" w:hAnsi="Palatino Linotype" w:cs="Palatino Linotype"/>
          <w:b/>
          <w:sz w:val="22"/>
          <w:szCs w:val="22"/>
        </w:rPr>
      </w:pPr>
      <w:bookmarkStart w:id="3" w:name="_heading=h.j3ppyxwlb1s2" w:colFirst="0" w:colLast="0"/>
      <w:bookmarkEnd w:id="3"/>
      <w:r w:rsidRPr="000E5111">
        <w:rPr>
          <w:rFonts w:ascii="Palatino Linotype" w:eastAsia="Palatino Linotype" w:hAnsi="Palatino Linotype" w:cs="Palatino Linotype"/>
          <w:b/>
          <w:sz w:val="22"/>
          <w:szCs w:val="22"/>
        </w:rPr>
        <w:t xml:space="preserve">Segundo. Se Ordena al Sujeto Obligado </w:t>
      </w:r>
      <w:r w:rsidRPr="000E5111">
        <w:rPr>
          <w:rFonts w:ascii="Palatino Linotype" w:eastAsia="Palatino Linotype" w:hAnsi="Palatino Linotype" w:cs="Palatino Linotype"/>
          <w:sz w:val="22"/>
          <w:szCs w:val="22"/>
        </w:rPr>
        <w:t>que en términos de los</w:t>
      </w:r>
      <w:r w:rsidRPr="000E5111">
        <w:rPr>
          <w:rFonts w:ascii="Palatino Linotype" w:eastAsia="Palatino Linotype" w:hAnsi="Palatino Linotype" w:cs="Palatino Linotype"/>
          <w:b/>
          <w:sz w:val="22"/>
          <w:szCs w:val="22"/>
        </w:rPr>
        <w:t xml:space="preserve"> Considerandos Cuarto y Quinto </w:t>
      </w:r>
      <w:r w:rsidRPr="000E5111">
        <w:rPr>
          <w:rFonts w:ascii="Palatino Linotype" w:eastAsia="Palatino Linotype" w:hAnsi="Palatino Linotype" w:cs="Palatino Linotype"/>
          <w:sz w:val="22"/>
          <w:szCs w:val="22"/>
        </w:rPr>
        <w:t xml:space="preserve">de esta resolución, haga entrega a </w:t>
      </w:r>
      <w:r w:rsidRPr="000E5111">
        <w:rPr>
          <w:rFonts w:ascii="Palatino Linotype" w:eastAsia="Palatino Linotype" w:hAnsi="Palatino Linotype" w:cs="Palatino Linotype"/>
          <w:b/>
          <w:sz w:val="22"/>
          <w:szCs w:val="22"/>
        </w:rPr>
        <w:t xml:space="preserve">la parte Recurrente a través del SAIMEX, </w:t>
      </w:r>
      <w:r w:rsidR="00426C87" w:rsidRPr="000E5111">
        <w:rPr>
          <w:rFonts w:ascii="Palatino Linotype" w:eastAsia="Palatino Linotype" w:hAnsi="Palatino Linotype" w:cs="Palatino Linotype"/>
          <w:b/>
          <w:sz w:val="22"/>
          <w:szCs w:val="22"/>
        </w:rPr>
        <w:t xml:space="preserve">de ser el caso </w:t>
      </w:r>
      <w:r w:rsidR="00D35935" w:rsidRPr="000E5111">
        <w:rPr>
          <w:rFonts w:ascii="Palatino Linotype" w:eastAsia="Palatino Linotype" w:hAnsi="Palatino Linotype" w:cs="Palatino Linotype"/>
          <w:b/>
          <w:sz w:val="22"/>
          <w:szCs w:val="22"/>
        </w:rPr>
        <w:t xml:space="preserve">en versión pública, </w:t>
      </w:r>
      <w:r w:rsidR="002B4667" w:rsidRPr="000E5111">
        <w:rPr>
          <w:rFonts w:ascii="Palatino Linotype" w:eastAsia="Palatino Linotype" w:hAnsi="Palatino Linotype" w:cs="Palatino Linotype"/>
          <w:sz w:val="22"/>
          <w:szCs w:val="22"/>
        </w:rPr>
        <w:t>del periodo comprendido del</w:t>
      </w:r>
      <w:r w:rsidR="002B4667" w:rsidRPr="000E5111">
        <w:rPr>
          <w:rFonts w:ascii="Palatino Linotype" w:eastAsia="Palatino Linotype" w:hAnsi="Palatino Linotype" w:cs="Palatino Linotype"/>
          <w:b/>
          <w:sz w:val="22"/>
          <w:szCs w:val="22"/>
        </w:rPr>
        <w:t xml:space="preserve"> diez de junio de dos mil veinticuatro al diez de junio de dos mil veinticinco</w:t>
      </w:r>
      <w:r w:rsidR="002B4667" w:rsidRPr="000E5111">
        <w:rPr>
          <w:rFonts w:ascii="Palatino Linotype" w:eastAsia="Palatino Linotype" w:hAnsi="Palatino Linotype" w:cs="Palatino Linotype"/>
          <w:sz w:val="22"/>
          <w:szCs w:val="22"/>
        </w:rPr>
        <w:t xml:space="preserve"> </w:t>
      </w:r>
      <w:r w:rsidRPr="000E5111">
        <w:rPr>
          <w:rFonts w:ascii="Palatino Linotype" w:eastAsia="Palatino Linotype" w:hAnsi="Palatino Linotype" w:cs="Palatino Linotype"/>
          <w:sz w:val="22"/>
          <w:szCs w:val="22"/>
        </w:rPr>
        <w:t>la siguiente información:</w:t>
      </w:r>
    </w:p>
    <w:p w14:paraId="46D3B43E" w14:textId="2FA34CF7" w:rsidR="00600B46" w:rsidRPr="000E5111" w:rsidRDefault="00600B46" w:rsidP="00600B46">
      <w:pPr>
        <w:pStyle w:val="Prrafodelista"/>
        <w:numPr>
          <w:ilvl w:val="0"/>
          <w:numId w:val="13"/>
        </w:numPr>
        <w:spacing w:after="240" w:line="360" w:lineRule="auto"/>
        <w:ind w:right="843"/>
        <w:jc w:val="both"/>
        <w:rPr>
          <w:rFonts w:ascii="Palatino Linotype" w:eastAsia="Palatino Linotype" w:hAnsi="Palatino Linotype" w:cs="Palatino Linotype"/>
          <w:b/>
          <w:sz w:val="36"/>
          <w:szCs w:val="22"/>
        </w:rPr>
      </w:pPr>
      <w:r w:rsidRPr="000E5111">
        <w:rPr>
          <w:rFonts w:ascii="Palatino Linotype" w:hAnsi="Palatino Linotype"/>
          <w:b/>
          <w:sz w:val="22"/>
          <w:szCs w:val="22"/>
        </w:rPr>
        <w:t>Documento donde conste el listado o informe de pago de finiquitos y laudos, donde se advierta el año al que corresponden;</w:t>
      </w:r>
    </w:p>
    <w:p w14:paraId="11D56ED4" w14:textId="77777777" w:rsidR="00600B46" w:rsidRPr="000E5111" w:rsidRDefault="00600B46" w:rsidP="00600B46">
      <w:pPr>
        <w:pStyle w:val="Prrafodelista"/>
        <w:numPr>
          <w:ilvl w:val="0"/>
          <w:numId w:val="13"/>
        </w:numPr>
        <w:spacing w:after="240" w:line="360" w:lineRule="auto"/>
        <w:ind w:right="843"/>
        <w:jc w:val="both"/>
        <w:rPr>
          <w:rFonts w:ascii="Palatino Linotype" w:eastAsia="Palatino Linotype" w:hAnsi="Palatino Linotype" w:cs="Palatino Linotype"/>
          <w:b/>
          <w:sz w:val="36"/>
          <w:szCs w:val="22"/>
        </w:rPr>
      </w:pPr>
      <w:r w:rsidRPr="000E5111">
        <w:rPr>
          <w:rFonts w:ascii="Palatino Linotype" w:hAnsi="Palatino Linotype"/>
          <w:b/>
          <w:sz w:val="22"/>
          <w:szCs w:val="22"/>
        </w:rPr>
        <w:t>Laudos y convenios laborales;</w:t>
      </w:r>
    </w:p>
    <w:p w14:paraId="4B1917BD" w14:textId="44096D4B" w:rsidR="00600B46" w:rsidRPr="000E5111" w:rsidRDefault="00600B46" w:rsidP="00600B46">
      <w:pPr>
        <w:pStyle w:val="Prrafodelista"/>
        <w:numPr>
          <w:ilvl w:val="0"/>
          <w:numId w:val="13"/>
        </w:numPr>
        <w:spacing w:after="240" w:line="360" w:lineRule="auto"/>
        <w:ind w:right="843"/>
        <w:jc w:val="both"/>
        <w:rPr>
          <w:rFonts w:ascii="Palatino Linotype" w:eastAsia="Palatino Linotype" w:hAnsi="Palatino Linotype" w:cs="Palatino Linotype"/>
          <w:b/>
          <w:sz w:val="36"/>
          <w:szCs w:val="22"/>
        </w:rPr>
      </w:pPr>
      <w:r w:rsidRPr="000E5111">
        <w:rPr>
          <w:rFonts w:ascii="Palatino Linotype" w:hAnsi="Palatino Linotype"/>
          <w:b/>
          <w:sz w:val="22"/>
          <w:szCs w:val="22"/>
        </w:rPr>
        <w:t>Documento que compruebe el pago de laudos.</w:t>
      </w:r>
    </w:p>
    <w:p w14:paraId="09EFB991" w14:textId="77777777" w:rsidR="00602DB8" w:rsidRPr="000E5111" w:rsidRDefault="00F36565" w:rsidP="00602DB8">
      <w:pPr>
        <w:pBdr>
          <w:top w:val="nil"/>
          <w:left w:val="nil"/>
          <w:bottom w:val="nil"/>
          <w:right w:val="nil"/>
          <w:between w:val="nil"/>
        </w:pBdr>
        <w:spacing w:line="360" w:lineRule="auto"/>
        <w:ind w:left="284" w:right="560"/>
        <w:jc w:val="both"/>
        <w:rPr>
          <w:rFonts w:ascii="Palatino Linotype" w:eastAsia="Palatino Linotype" w:hAnsi="Palatino Linotype" w:cs="Palatino Linotype"/>
          <w:i/>
          <w:sz w:val="22"/>
          <w:szCs w:val="22"/>
        </w:rPr>
      </w:pPr>
      <w:r w:rsidRPr="000E5111">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la parte Recurrente. </w:t>
      </w:r>
    </w:p>
    <w:p w14:paraId="2ABA00F7" w14:textId="77777777" w:rsidR="00C877F6" w:rsidRPr="000E5111" w:rsidRDefault="00F36565">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 xml:space="preserve">Tercero.  Notifíquese vía SAIMEX, </w:t>
      </w:r>
      <w:r w:rsidRPr="000E5111">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C3DB06" w14:textId="77777777" w:rsidR="00C877F6" w:rsidRPr="000E5111" w:rsidRDefault="00F36565">
      <w:pPr>
        <w:spacing w:before="240" w:after="240" w:line="360" w:lineRule="auto"/>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b/>
          <w:sz w:val="22"/>
          <w:szCs w:val="22"/>
        </w:rPr>
        <w:t xml:space="preserve">Cuarto. </w:t>
      </w:r>
      <w:r w:rsidRPr="000E5111">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0E5111">
        <w:rPr>
          <w:rFonts w:ascii="Palatino Linotype" w:eastAsia="Palatino Linotype" w:hAnsi="Palatino Linotype" w:cs="Palatino Linotype"/>
          <w:b/>
          <w:sz w:val="22"/>
          <w:szCs w:val="22"/>
        </w:rPr>
        <w:t>Sujeto Obligado</w:t>
      </w:r>
      <w:r w:rsidRPr="000E5111">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40B6401C" w14:textId="77777777" w:rsidR="00C877F6" w:rsidRPr="000E5111" w:rsidRDefault="00F36565">
      <w:pPr>
        <w:spacing w:line="360" w:lineRule="auto"/>
        <w:jc w:val="both"/>
        <w:rPr>
          <w:rFonts w:ascii="Palatino Linotype" w:eastAsia="Palatino Linotype" w:hAnsi="Palatino Linotype" w:cs="Palatino Linotype"/>
          <w:sz w:val="22"/>
          <w:szCs w:val="22"/>
        </w:rPr>
      </w:pPr>
      <w:bookmarkStart w:id="4" w:name="_heading=h.tyjcwt" w:colFirst="0" w:colLast="0"/>
      <w:bookmarkEnd w:id="4"/>
      <w:r w:rsidRPr="000E5111">
        <w:rPr>
          <w:rFonts w:ascii="Palatino Linotype" w:eastAsia="Palatino Linotype" w:hAnsi="Palatino Linotype" w:cs="Palatino Linotype"/>
          <w:b/>
          <w:sz w:val="22"/>
          <w:szCs w:val="22"/>
        </w:rPr>
        <w:t xml:space="preserve">Quinto. Notifíquese vía SAIMEX, </w:t>
      </w:r>
      <w:r w:rsidRPr="000E5111">
        <w:rPr>
          <w:rFonts w:ascii="Palatino Linotype" w:eastAsia="Palatino Linotype" w:hAnsi="Palatino Linotype" w:cs="Palatino Linotype"/>
          <w:sz w:val="22"/>
          <w:szCs w:val="22"/>
        </w:rPr>
        <w:t>a</w:t>
      </w:r>
      <w:r w:rsidRPr="000E5111">
        <w:rPr>
          <w:rFonts w:ascii="Palatino Linotype" w:eastAsia="Palatino Linotype" w:hAnsi="Palatino Linotype" w:cs="Palatino Linotype"/>
          <w:b/>
          <w:sz w:val="22"/>
          <w:szCs w:val="22"/>
        </w:rPr>
        <w:t xml:space="preserve"> la parte Recurrente</w:t>
      </w:r>
      <w:r w:rsidRPr="000E5111">
        <w:rPr>
          <w:rFonts w:ascii="Palatino Linotype" w:eastAsia="Palatino Linotype" w:hAnsi="Palatino Linotype" w:cs="Palatino Linotype"/>
          <w:sz w:val="22"/>
          <w:szCs w:val="22"/>
        </w:rPr>
        <w:t xml:space="preserve"> la presente resolución, así como que podrá impugnar vía Juicio de Amparo en los términos de las leyes aplicables, de conformidad con lo establecido en el artículo 196 de la Ley de Transparencia y Acceso a la Información Pública del Estado de México y Municipios.</w:t>
      </w:r>
    </w:p>
    <w:p w14:paraId="04B27B0A" w14:textId="77777777" w:rsidR="005509CC" w:rsidRPr="000E5111" w:rsidRDefault="005509CC">
      <w:pPr>
        <w:spacing w:line="360" w:lineRule="auto"/>
        <w:ind w:right="-93"/>
        <w:jc w:val="both"/>
        <w:rPr>
          <w:rFonts w:ascii="Palatino Linotype" w:eastAsia="Palatino Linotype" w:hAnsi="Palatino Linotype" w:cs="Palatino Linotype"/>
          <w:sz w:val="22"/>
          <w:szCs w:val="22"/>
        </w:rPr>
      </w:pPr>
      <w:bookmarkStart w:id="5" w:name="_heading=h.jl0dlasot4f" w:colFirst="0" w:colLast="0"/>
      <w:bookmarkEnd w:id="5"/>
    </w:p>
    <w:p w14:paraId="124DF890" w14:textId="686CA9AF" w:rsidR="00C877F6" w:rsidRPr="000E5111" w:rsidRDefault="00F36565">
      <w:pPr>
        <w:spacing w:line="360" w:lineRule="auto"/>
        <w:ind w:right="-93"/>
        <w:jc w:val="both"/>
        <w:rPr>
          <w:rFonts w:ascii="Palatino Linotype" w:eastAsia="Palatino Linotype" w:hAnsi="Palatino Linotype" w:cs="Palatino Linotype"/>
          <w:sz w:val="22"/>
          <w:szCs w:val="22"/>
        </w:rPr>
      </w:pPr>
      <w:r w:rsidRPr="000E5111">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403AAA" w:rsidRPr="000E5111">
        <w:rPr>
          <w:rFonts w:ascii="Palatino Linotype" w:eastAsia="Palatino Linotype" w:hAnsi="Palatino Linotype" w:cs="Palatino Linotype"/>
          <w:sz w:val="22"/>
          <w:szCs w:val="22"/>
        </w:rPr>
        <w:t>OCTAVA</w:t>
      </w:r>
      <w:r w:rsidRPr="000E5111">
        <w:rPr>
          <w:rFonts w:ascii="Palatino Linotype" w:eastAsia="Palatino Linotype" w:hAnsi="Palatino Linotype" w:cs="Palatino Linotype"/>
          <w:sz w:val="22"/>
          <w:szCs w:val="22"/>
        </w:rPr>
        <w:t xml:space="preserve"> S</w:t>
      </w:r>
      <w:r w:rsidR="001244B6" w:rsidRPr="000E5111">
        <w:rPr>
          <w:rFonts w:ascii="Palatino Linotype" w:eastAsia="Palatino Linotype" w:hAnsi="Palatino Linotype" w:cs="Palatino Linotype"/>
          <w:sz w:val="22"/>
          <w:szCs w:val="22"/>
        </w:rPr>
        <w:t xml:space="preserve">ESIÓN ORDINARIA CELEBRADA EL </w:t>
      </w:r>
      <w:r w:rsidR="00403AAA" w:rsidRPr="000E5111">
        <w:rPr>
          <w:rFonts w:ascii="Palatino Linotype" w:eastAsia="Palatino Linotype" w:hAnsi="Palatino Linotype" w:cs="Palatino Linotype"/>
          <w:sz w:val="22"/>
          <w:szCs w:val="22"/>
        </w:rPr>
        <w:t xml:space="preserve">CINCO </w:t>
      </w:r>
      <w:r w:rsidRPr="000E5111">
        <w:rPr>
          <w:rFonts w:ascii="Palatino Linotype" w:eastAsia="Palatino Linotype" w:hAnsi="Palatino Linotype" w:cs="Palatino Linotype"/>
          <w:sz w:val="22"/>
          <w:szCs w:val="22"/>
        </w:rPr>
        <w:t xml:space="preserve">DE </w:t>
      </w:r>
      <w:r w:rsidR="00403AAA" w:rsidRPr="000E5111">
        <w:rPr>
          <w:rFonts w:ascii="Palatino Linotype" w:eastAsia="Palatino Linotype" w:hAnsi="Palatino Linotype" w:cs="Palatino Linotype"/>
          <w:sz w:val="22"/>
          <w:szCs w:val="22"/>
        </w:rPr>
        <w:t>MARZO</w:t>
      </w:r>
      <w:r w:rsidRPr="000E5111">
        <w:rPr>
          <w:rFonts w:ascii="Palatino Linotype" w:eastAsia="Palatino Linotype" w:hAnsi="Palatino Linotype" w:cs="Palatino Linotype"/>
          <w:sz w:val="22"/>
          <w:szCs w:val="22"/>
        </w:rPr>
        <w:t xml:space="preserve"> DE DOS MIL VEINTI</w:t>
      </w:r>
      <w:r w:rsidR="000C6DFE" w:rsidRPr="000E5111">
        <w:rPr>
          <w:rFonts w:ascii="Palatino Linotype" w:eastAsia="Palatino Linotype" w:hAnsi="Palatino Linotype" w:cs="Palatino Linotype"/>
          <w:sz w:val="22"/>
          <w:szCs w:val="22"/>
        </w:rPr>
        <w:t>SÉIS</w:t>
      </w:r>
      <w:r w:rsidRPr="000E5111">
        <w:rPr>
          <w:rFonts w:ascii="Palatino Linotype" w:eastAsia="Palatino Linotype" w:hAnsi="Palatino Linotype" w:cs="Palatino Linotype"/>
          <w:sz w:val="22"/>
          <w:szCs w:val="22"/>
        </w:rPr>
        <w:t>, ANTE EL SECRETARIO TÉCNICO DEL PLENO ALEXIS TAPIA RAMÍREZ.</w:t>
      </w:r>
    </w:p>
    <w:p w14:paraId="54455659" w14:textId="77777777" w:rsidR="00C877F6" w:rsidRPr="000E5111" w:rsidRDefault="00C877F6">
      <w:pPr>
        <w:spacing w:line="360" w:lineRule="auto"/>
        <w:ind w:right="-93"/>
        <w:jc w:val="both"/>
        <w:rPr>
          <w:rFonts w:ascii="Palatino Linotype" w:eastAsia="Palatino Linotype" w:hAnsi="Palatino Linotype" w:cs="Palatino Linotype"/>
          <w:sz w:val="22"/>
          <w:szCs w:val="22"/>
        </w:rPr>
      </w:pPr>
    </w:p>
    <w:p w14:paraId="030E6A5B" w14:textId="77777777" w:rsidR="00C877F6" w:rsidRPr="000E5111" w:rsidRDefault="00C877F6">
      <w:pPr>
        <w:spacing w:line="360" w:lineRule="auto"/>
        <w:ind w:right="-93"/>
        <w:jc w:val="both"/>
        <w:rPr>
          <w:rFonts w:ascii="Palatino Linotype" w:eastAsia="Palatino Linotype" w:hAnsi="Palatino Linotype" w:cs="Palatino Linotype"/>
          <w:sz w:val="22"/>
          <w:szCs w:val="22"/>
        </w:rPr>
      </w:pPr>
    </w:p>
    <w:p w14:paraId="5B12C640" w14:textId="77777777" w:rsidR="00C877F6" w:rsidRPr="000E5111" w:rsidRDefault="00C877F6">
      <w:pPr>
        <w:spacing w:line="360" w:lineRule="auto"/>
        <w:ind w:right="-93"/>
        <w:jc w:val="both"/>
        <w:rPr>
          <w:rFonts w:ascii="Palatino Linotype" w:eastAsia="Palatino Linotype" w:hAnsi="Palatino Linotype" w:cs="Palatino Linotype"/>
          <w:sz w:val="22"/>
          <w:szCs w:val="22"/>
        </w:rPr>
      </w:pPr>
    </w:p>
    <w:p w14:paraId="7A4C70FF" w14:textId="77777777" w:rsidR="00C877F6" w:rsidRPr="000E5111" w:rsidRDefault="00C877F6">
      <w:pPr>
        <w:spacing w:line="360" w:lineRule="auto"/>
        <w:ind w:right="-93"/>
        <w:jc w:val="both"/>
        <w:rPr>
          <w:rFonts w:ascii="Palatino Linotype" w:eastAsia="Palatino Linotype" w:hAnsi="Palatino Linotype" w:cs="Palatino Linotype"/>
          <w:sz w:val="22"/>
          <w:szCs w:val="22"/>
        </w:rPr>
      </w:pPr>
    </w:p>
    <w:p w14:paraId="6197DF1F" w14:textId="77777777" w:rsidR="00C877F6" w:rsidRPr="000E5111" w:rsidRDefault="00C877F6">
      <w:pPr>
        <w:spacing w:line="360" w:lineRule="auto"/>
        <w:ind w:right="-93"/>
        <w:jc w:val="both"/>
        <w:rPr>
          <w:rFonts w:ascii="Palatino Linotype" w:eastAsia="Palatino Linotype" w:hAnsi="Palatino Linotype" w:cs="Palatino Linotype"/>
          <w:sz w:val="22"/>
          <w:szCs w:val="22"/>
        </w:rPr>
      </w:pPr>
    </w:p>
    <w:p w14:paraId="1A57851A" w14:textId="77777777" w:rsidR="00C877F6" w:rsidRPr="000E5111" w:rsidRDefault="00C877F6">
      <w:pPr>
        <w:spacing w:line="360" w:lineRule="auto"/>
        <w:ind w:right="49"/>
        <w:jc w:val="both"/>
        <w:rPr>
          <w:rFonts w:ascii="Palatino Linotype" w:eastAsia="Palatino Linotype" w:hAnsi="Palatino Linotype" w:cs="Palatino Linotype"/>
          <w:sz w:val="22"/>
          <w:szCs w:val="22"/>
        </w:rPr>
      </w:pPr>
    </w:p>
    <w:p w14:paraId="4A490262"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6DED50DA"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4443A093"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7173F819"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0901C8FA"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2487D5E5"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0A257914"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5AA2A14C"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2C12C0D2"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667BF474"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3C5E00E0"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7D545914"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27EA4DF3"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62BD3C84"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p w14:paraId="10C77A9C" w14:textId="77777777" w:rsidR="000E5111" w:rsidRPr="000E5111" w:rsidRDefault="000E5111">
      <w:pPr>
        <w:spacing w:line="360" w:lineRule="auto"/>
        <w:ind w:right="49"/>
        <w:jc w:val="both"/>
        <w:rPr>
          <w:rFonts w:ascii="Palatino Linotype" w:eastAsia="Palatino Linotype" w:hAnsi="Palatino Linotype" w:cs="Palatino Linotype"/>
          <w:sz w:val="22"/>
          <w:szCs w:val="22"/>
        </w:rPr>
      </w:pPr>
    </w:p>
    <w:sectPr w:rsidR="000E5111" w:rsidRPr="000E5111">
      <w:headerReference w:type="default" r:id="rId16"/>
      <w:footerReference w:type="default" r:id="rId17"/>
      <w:headerReference w:type="first" r:id="rId18"/>
      <w:footerReference w:type="first" r:id="rId19"/>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3B155" w14:textId="77777777" w:rsidR="00F80703" w:rsidRDefault="00F80703">
      <w:r>
        <w:separator/>
      </w:r>
    </w:p>
  </w:endnote>
  <w:endnote w:type="continuationSeparator" w:id="0">
    <w:p w14:paraId="06323181" w14:textId="77777777" w:rsidR="00F80703" w:rsidRDefault="00F80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embedRegular r:id="rId1" w:fontKey="{24B4F380-1E58-49BB-B2E1-8389EDEA934F}"/>
    <w:embedBold r:id="rId2" w:fontKey="{5A5CFC29-B552-47DB-96BC-9BCA91C6D343}"/>
    <w:embedItalic r:id="rId3" w:fontKey="{BBF9F004-4AC2-42A6-BFC3-E024933A0934}"/>
    <w:embedBoldItalic r:id="rId4" w:fontKey="{2580E3CA-BD8B-4914-85C5-FF79232376F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embedRegular r:id="rId5" w:fontKey="{EAFAC367-F543-421A-80FD-BBFC1BF1037D}"/>
    <w:embedBold r:id="rId6" w:fontKey="{D006BAA5-E81D-49AF-A80A-F1A44E8974C0}"/>
  </w:font>
  <w:font w:name="Tahoma">
    <w:panose1 w:val="020B0604030504040204"/>
    <w:charset w:val="00"/>
    <w:family w:val="swiss"/>
    <w:pitch w:val="variable"/>
    <w:sig w:usb0="E1002EFF" w:usb1="C000605B" w:usb2="00000029" w:usb3="00000000" w:csb0="000101FF" w:csb1="00000000"/>
    <w:embedRegular r:id="rId7" w:fontKey="{3F085B5A-FF5B-4EAA-BDF4-5CF8DF18B49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EE85D464-6510-4ED3-B319-08DCC582F964}"/>
    <w:embedBold r:id="rId9" w:fontKey="{28D91FA8-FE68-4D83-8295-5C0E3A8311F5}"/>
    <w:embedItalic r:id="rId10" w:fontKey="{C891B2B7-7D62-4BF0-8191-639F129E7FEF}"/>
  </w:font>
  <w:font w:name="Georgia">
    <w:panose1 w:val="02040502050405020303"/>
    <w:charset w:val="00"/>
    <w:family w:val="roman"/>
    <w:pitch w:val="variable"/>
    <w:sig w:usb0="00000287" w:usb1="00000000" w:usb2="00000000" w:usb3="00000000" w:csb0="0000009F" w:csb1="00000000"/>
    <w:embedRegular r:id="rId11" w:fontKey="{A5C43103-AE21-4992-B1FC-9E98E4964DFE}"/>
    <w:embedItalic r:id="rId12" w:fontKey="{7ED02048-EC6F-41A3-8FFA-554DA0F68736}"/>
  </w:font>
  <w:font w:name="Calibri Light">
    <w:panose1 w:val="020F0302020204030204"/>
    <w:charset w:val="00"/>
    <w:family w:val="swiss"/>
    <w:pitch w:val="variable"/>
    <w:sig w:usb0="E4002EFF" w:usb1="C200247B" w:usb2="00000009" w:usb3="00000000" w:csb0="000001FF" w:csb1="00000000"/>
    <w:embedRegular r:id="rId13" w:fontKey="{8E7A5F9F-63A8-43B3-A318-A6AEA2E2EA7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27024" w14:textId="04692595" w:rsidR="00873CC2" w:rsidRDefault="00873CC2">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5F0BD7">
      <w:rPr>
        <w:b/>
        <w:noProof/>
        <w:color w:val="000000"/>
      </w:rPr>
      <w:t>20</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5F0BD7">
      <w:rPr>
        <w:b/>
        <w:noProof/>
        <w:color w:val="000000"/>
      </w:rPr>
      <w:t>53</w:t>
    </w:r>
    <w:r>
      <w:rPr>
        <w:b/>
        <w:color w:val="000000"/>
      </w:rPr>
      <w:fldChar w:fldCharType="end"/>
    </w:r>
  </w:p>
  <w:p w14:paraId="7AE4EEFD" w14:textId="77777777" w:rsidR="00873CC2" w:rsidRDefault="00873CC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1E332" w14:textId="0160380B" w:rsidR="00873CC2" w:rsidRDefault="00873CC2">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5F0BD7">
      <w:rPr>
        <w:b/>
        <w:noProof/>
        <w:color w:val="000000"/>
      </w:rPr>
      <w:t>1</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5F0BD7">
      <w:rPr>
        <w:b/>
        <w:noProof/>
        <w:color w:val="000000"/>
      </w:rPr>
      <w:t>53</w:t>
    </w:r>
    <w:r>
      <w:rPr>
        <w:b/>
        <w:color w:val="000000"/>
      </w:rPr>
      <w:fldChar w:fldCharType="end"/>
    </w:r>
  </w:p>
  <w:p w14:paraId="6675DA9D" w14:textId="77777777" w:rsidR="00873CC2" w:rsidRDefault="00873CC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4BBE3" w14:textId="77777777" w:rsidR="00F80703" w:rsidRDefault="00F80703">
      <w:r>
        <w:separator/>
      </w:r>
    </w:p>
  </w:footnote>
  <w:footnote w:type="continuationSeparator" w:id="0">
    <w:p w14:paraId="52C0CD5F" w14:textId="77777777" w:rsidR="00F80703" w:rsidRDefault="00F80703">
      <w:r>
        <w:continuationSeparator/>
      </w:r>
    </w:p>
  </w:footnote>
  <w:footnote w:id="1">
    <w:p w14:paraId="27E84746" w14:textId="77777777" w:rsidR="00873CC2" w:rsidRPr="00610F82" w:rsidRDefault="00873CC2" w:rsidP="004554A0">
      <w:pPr>
        <w:pStyle w:val="Textonotapie"/>
        <w:jc w:val="both"/>
        <w:rPr>
          <w:rFonts w:ascii="Palatino Linotype" w:hAnsi="Palatino Linotype"/>
        </w:rPr>
      </w:pPr>
      <w:r>
        <w:rPr>
          <w:rStyle w:val="Refdenotaalpie"/>
        </w:rPr>
        <w:footnoteRef/>
      </w:r>
      <w:r>
        <w:t xml:space="preserve"> </w:t>
      </w:r>
      <w:r w:rsidRPr="00610F82">
        <w:rPr>
          <w:rFonts w:ascii="Palatino Linotype" w:hAnsi="Palatino Linotype"/>
        </w:rPr>
        <w:t xml:space="preserve">Consultable en: </w:t>
      </w:r>
      <w:hyperlink r:id="rId1" w:history="1">
        <w:r w:rsidRPr="00610F82">
          <w:rPr>
            <w:rStyle w:val="Hipervnculo"/>
            <w:rFonts w:ascii="Palatino Linotype" w:hAnsi="Palatino Linotype"/>
          </w:rPr>
          <w:t>https://www2.toluca.gob.mx/paga-gobierno-municipal-mas-de-7-5-millones-de-pesos-en-finiquitos-y-laudos-laborales/</w:t>
        </w:r>
      </w:hyperlink>
      <w:r w:rsidRPr="00610F82">
        <w:rPr>
          <w:rFonts w:ascii="Palatino Linotype" w:hAnsi="Palatino Linotype"/>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7457D" w14:textId="77777777" w:rsidR="00873CC2" w:rsidRDefault="00873CC2">
    <w:pPr>
      <w:widowControl w:val="0"/>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14:anchorId="093A9E0D" wp14:editId="28CE1BC9">
          <wp:simplePos x="0" y="0"/>
          <wp:positionH relativeFrom="column">
            <wp:posOffset>0</wp:posOffset>
          </wp:positionH>
          <wp:positionV relativeFrom="paragraph">
            <wp:posOffset>-401953</wp:posOffset>
          </wp:positionV>
          <wp:extent cx="7809876" cy="10165823"/>
          <wp:effectExtent l="0" t="0" r="0" b="0"/>
          <wp:wrapNone/>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6"/>
      <w:tblW w:w="5603" w:type="dxa"/>
      <w:tblInd w:w="3611" w:type="dxa"/>
      <w:tblLayout w:type="fixed"/>
      <w:tblLook w:val="0400" w:firstRow="0" w:lastRow="0" w:firstColumn="0" w:lastColumn="0" w:noHBand="0" w:noVBand="1"/>
    </w:tblPr>
    <w:tblGrid>
      <w:gridCol w:w="2551"/>
      <w:gridCol w:w="3052"/>
    </w:tblGrid>
    <w:tr w:rsidR="00873CC2" w14:paraId="3DE1F927" w14:textId="77777777">
      <w:tc>
        <w:tcPr>
          <w:tcW w:w="2551" w:type="dxa"/>
          <w:vAlign w:val="center"/>
        </w:tcPr>
        <w:p w14:paraId="27218DF9" w14:textId="77777777" w:rsidR="00873CC2" w:rsidRDefault="00873CC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Recurso de Revisión:</w:t>
          </w:r>
        </w:p>
        <w:p w14:paraId="4D5060D3" w14:textId="77777777" w:rsidR="00873CC2" w:rsidRDefault="00873CC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p>
      </w:tc>
      <w:tc>
        <w:tcPr>
          <w:tcW w:w="3052" w:type="dxa"/>
          <w:vAlign w:val="center"/>
        </w:tcPr>
        <w:p w14:paraId="1F9F508D" w14:textId="2015EC2B" w:rsidR="00873CC2" w:rsidRDefault="00873CC2" w:rsidP="00F9422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sz w:val="22"/>
              <w:szCs w:val="22"/>
            </w:rPr>
            <w:t>09119</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 xml:space="preserve">/IP/RR/2025  </w:t>
          </w:r>
        </w:p>
      </w:tc>
    </w:tr>
    <w:tr w:rsidR="00873CC2" w14:paraId="6E2D1273" w14:textId="77777777">
      <w:trPr>
        <w:trHeight w:val="217"/>
      </w:trPr>
      <w:tc>
        <w:tcPr>
          <w:tcW w:w="2551" w:type="dxa"/>
          <w:vAlign w:val="center"/>
        </w:tcPr>
        <w:p w14:paraId="21203565" w14:textId="77777777" w:rsidR="00873CC2" w:rsidRDefault="00873CC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Sujeto obligado:</w:t>
          </w:r>
        </w:p>
      </w:tc>
      <w:tc>
        <w:tcPr>
          <w:tcW w:w="3052" w:type="dxa"/>
          <w:vAlign w:val="center"/>
        </w:tcPr>
        <w:p w14:paraId="6BAD3091" w14:textId="31A6824B" w:rsidR="00873CC2" w:rsidRDefault="00873CC2" w:rsidP="00287278">
          <w:pPr>
            <w:pBdr>
              <w:top w:val="nil"/>
              <w:left w:val="nil"/>
              <w:bottom w:val="nil"/>
              <w:right w:val="nil"/>
              <w:between w:val="nil"/>
            </w:pBdr>
            <w:tabs>
              <w:tab w:val="center" w:pos="4419"/>
              <w:tab w:val="right" w:pos="8838"/>
            </w:tabs>
            <w:ind w:right="168"/>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Ayuntamiento de Toluca</w:t>
          </w:r>
        </w:p>
      </w:tc>
    </w:tr>
    <w:tr w:rsidR="00873CC2" w14:paraId="651D01A7" w14:textId="77777777">
      <w:tc>
        <w:tcPr>
          <w:tcW w:w="2551" w:type="dxa"/>
          <w:vAlign w:val="center"/>
        </w:tcPr>
        <w:p w14:paraId="5229B5A5" w14:textId="77777777" w:rsidR="00873CC2" w:rsidRDefault="00873CC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Comisionada ponente:</w:t>
          </w:r>
        </w:p>
      </w:tc>
      <w:tc>
        <w:tcPr>
          <w:tcW w:w="3052" w:type="dxa"/>
          <w:vAlign w:val="center"/>
        </w:tcPr>
        <w:p w14:paraId="252A5C20" w14:textId="77777777" w:rsidR="00873CC2" w:rsidRDefault="00873CC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Guadalupe Ramírez Peña</w:t>
          </w:r>
        </w:p>
      </w:tc>
    </w:tr>
  </w:tbl>
  <w:p w14:paraId="24D54F31" w14:textId="77777777" w:rsidR="00873CC2" w:rsidRDefault="00873CC2">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30C5A" w14:textId="77777777" w:rsidR="00873CC2" w:rsidRDefault="00873CC2">
    <w:pPr>
      <w:widowControl w:val="0"/>
      <w:pBdr>
        <w:top w:val="nil"/>
        <w:left w:val="nil"/>
        <w:bottom w:val="nil"/>
        <w:right w:val="nil"/>
        <w:between w:val="nil"/>
      </w:pBdr>
      <w:rPr>
        <w:rFonts w:ascii="Palatino Linotype" w:eastAsia="Palatino Linotype" w:hAnsi="Palatino Linotype" w:cs="Palatino Linotype"/>
        <w:sz w:val="22"/>
        <w:szCs w:val="22"/>
      </w:rPr>
    </w:pPr>
    <w:r>
      <w:rPr>
        <w:noProof/>
      </w:rPr>
      <w:drawing>
        <wp:anchor distT="0" distB="0" distL="0" distR="0" simplePos="0" relativeHeight="251659264" behindDoc="1" locked="0" layoutInCell="1" hidden="0" allowOverlap="1" wp14:anchorId="060CB74E" wp14:editId="30E0D12D">
          <wp:simplePos x="0" y="0"/>
          <wp:positionH relativeFrom="column">
            <wp:posOffset>-929004</wp:posOffset>
          </wp:positionH>
          <wp:positionV relativeFrom="paragraph">
            <wp:posOffset>-644524</wp:posOffset>
          </wp:positionV>
          <wp:extent cx="7809865" cy="10165715"/>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7"/>
      <w:tblW w:w="5461" w:type="dxa"/>
      <w:tblInd w:w="3611" w:type="dxa"/>
      <w:tblLayout w:type="fixed"/>
      <w:tblLook w:val="0400" w:firstRow="0" w:lastRow="0" w:firstColumn="0" w:lastColumn="0" w:noHBand="0" w:noVBand="1"/>
    </w:tblPr>
    <w:tblGrid>
      <w:gridCol w:w="2343"/>
      <w:gridCol w:w="3118"/>
    </w:tblGrid>
    <w:tr w:rsidR="00873CC2" w14:paraId="1419E4B9" w14:textId="77777777">
      <w:tc>
        <w:tcPr>
          <w:tcW w:w="2343" w:type="dxa"/>
          <w:vAlign w:val="center"/>
        </w:tcPr>
        <w:p w14:paraId="0A4DAE44" w14:textId="77777777" w:rsidR="00873CC2" w:rsidRDefault="00873CC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Recurso de Revisión:</w:t>
          </w:r>
        </w:p>
        <w:p w14:paraId="61232AD0" w14:textId="77777777" w:rsidR="00873CC2" w:rsidRDefault="00873CC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1D2E4BAD" w14:textId="1E0F646C" w:rsidR="00873CC2" w:rsidRDefault="00873CC2" w:rsidP="00E6740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sz w:val="22"/>
              <w:szCs w:val="22"/>
            </w:rPr>
            <w:t>09119</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/IP/RR/2025</w:t>
          </w:r>
        </w:p>
      </w:tc>
    </w:tr>
    <w:tr w:rsidR="00873CC2" w14:paraId="5406FED2" w14:textId="77777777">
      <w:tc>
        <w:tcPr>
          <w:tcW w:w="2343" w:type="dxa"/>
          <w:vAlign w:val="center"/>
        </w:tcPr>
        <w:p w14:paraId="40683B83" w14:textId="77777777" w:rsidR="00873CC2" w:rsidRDefault="00873CC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Recurrente:</w:t>
          </w:r>
        </w:p>
      </w:tc>
      <w:tc>
        <w:tcPr>
          <w:tcW w:w="3118" w:type="dxa"/>
          <w:vAlign w:val="center"/>
        </w:tcPr>
        <w:p w14:paraId="79BFF42B" w14:textId="34E43315" w:rsidR="00873CC2" w:rsidRDefault="00873CC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r>
    <w:tr w:rsidR="00873CC2" w14:paraId="0CE2BEAE" w14:textId="77777777">
      <w:trPr>
        <w:trHeight w:val="152"/>
      </w:trPr>
      <w:tc>
        <w:tcPr>
          <w:tcW w:w="2343" w:type="dxa"/>
          <w:vAlign w:val="center"/>
        </w:tcPr>
        <w:p w14:paraId="2B6A9907" w14:textId="77777777" w:rsidR="00873CC2" w:rsidRDefault="00873CC2">
          <w:pP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Sujeto obligado:</w:t>
          </w:r>
        </w:p>
        <w:p w14:paraId="337D7A1C" w14:textId="77777777" w:rsidR="00873CC2" w:rsidRDefault="00873CC2">
          <w:pP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6FC25278" w14:textId="55A72DC7" w:rsidR="00873CC2" w:rsidRDefault="00873CC2" w:rsidP="000C6DFE">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2"/>
              <w:szCs w:val="22"/>
            </w:rPr>
            <w:t>Ayuntamiento de Toluca</w:t>
          </w:r>
        </w:p>
      </w:tc>
    </w:tr>
    <w:tr w:rsidR="00873CC2" w14:paraId="1EF4B579" w14:textId="77777777">
      <w:tc>
        <w:tcPr>
          <w:tcW w:w="2343" w:type="dxa"/>
          <w:vAlign w:val="center"/>
        </w:tcPr>
        <w:p w14:paraId="71B9E111" w14:textId="77777777" w:rsidR="00873CC2" w:rsidRDefault="00873CC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Comisionada ponente:</w:t>
          </w:r>
        </w:p>
      </w:tc>
      <w:tc>
        <w:tcPr>
          <w:tcW w:w="3118" w:type="dxa"/>
          <w:vAlign w:val="center"/>
        </w:tcPr>
        <w:p w14:paraId="02FC2A70" w14:textId="77777777" w:rsidR="00873CC2" w:rsidRDefault="00873CC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Guadalupe Ramírez Peña</w:t>
          </w:r>
        </w:p>
      </w:tc>
    </w:tr>
  </w:tbl>
  <w:p w14:paraId="2CE2B1EF" w14:textId="77777777" w:rsidR="00873CC2" w:rsidRDefault="00873CC2">
    <w:pPr>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52D9"/>
    <w:multiLevelType w:val="hybridMultilevel"/>
    <w:tmpl w:val="40626B42"/>
    <w:lvl w:ilvl="0" w:tplc="3C3C5B4E">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D8054D"/>
    <w:multiLevelType w:val="multilevel"/>
    <w:tmpl w:val="F5348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801CE9"/>
    <w:multiLevelType w:val="multilevel"/>
    <w:tmpl w:val="96B62F4E"/>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A433EBA"/>
    <w:multiLevelType w:val="multilevel"/>
    <w:tmpl w:val="4D760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861DC7"/>
    <w:multiLevelType w:val="hybridMultilevel"/>
    <w:tmpl w:val="DD661264"/>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1C1C17CE"/>
    <w:multiLevelType w:val="hybridMultilevel"/>
    <w:tmpl w:val="E3B29E8A"/>
    <w:lvl w:ilvl="0" w:tplc="AC00FD0C">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0E1769"/>
    <w:multiLevelType w:val="hybridMultilevel"/>
    <w:tmpl w:val="7C1CCCF2"/>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BA60E1"/>
    <w:multiLevelType w:val="hybridMultilevel"/>
    <w:tmpl w:val="833C01C6"/>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3130A81"/>
    <w:multiLevelType w:val="multilevel"/>
    <w:tmpl w:val="6D783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4E74C6D"/>
    <w:multiLevelType w:val="multilevel"/>
    <w:tmpl w:val="61E029E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7DD64BD"/>
    <w:multiLevelType w:val="hybridMultilevel"/>
    <w:tmpl w:val="D1B48FD6"/>
    <w:lvl w:ilvl="0" w:tplc="70C24986">
      <w:start w:val="1"/>
      <w:numFmt w:val="lowerLetter"/>
      <w:lvlText w:val="%1)"/>
      <w:lvlJc w:val="left"/>
      <w:pPr>
        <w:ind w:left="644" w:hanging="360"/>
      </w:pPr>
      <w:rPr>
        <w:sz w:val="22"/>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EB73296"/>
    <w:multiLevelType w:val="hybridMultilevel"/>
    <w:tmpl w:val="CB8C69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5F05287"/>
    <w:multiLevelType w:val="hybridMultilevel"/>
    <w:tmpl w:val="883039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6B12C71"/>
    <w:multiLevelType w:val="hybridMultilevel"/>
    <w:tmpl w:val="270EA23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99D408D"/>
    <w:multiLevelType w:val="hybridMultilevel"/>
    <w:tmpl w:val="5372B9D2"/>
    <w:lvl w:ilvl="0" w:tplc="080A000F">
      <w:start w:val="1"/>
      <w:numFmt w:val="decimal"/>
      <w:lvlText w:val="%1."/>
      <w:lvlJc w:val="left"/>
      <w:pPr>
        <w:ind w:left="1287" w:hanging="360"/>
      </w:pPr>
      <w:rPr>
        <w:rFont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7" w15:restartNumberingAfterBreak="0">
    <w:nsid w:val="50691881"/>
    <w:multiLevelType w:val="multilevel"/>
    <w:tmpl w:val="9208DD3A"/>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2B53A72"/>
    <w:multiLevelType w:val="hybridMultilevel"/>
    <w:tmpl w:val="B0647A12"/>
    <w:lvl w:ilvl="0" w:tplc="080A0017">
      <w:start w:val="1"/>
      <w:numFmt w:val="lowerLetter"/>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19" w15:restartNumberingAfterBreak="0">
    <w:nsid w:val="53BF1D10"/>
    <w:multiLevelType w:val="hybridMultilevel"/>
    <w:tmpl w:val="290E673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0">
    <w:nsid w:val="5A7573AA"/>
    <w:multiLevelType w:val="hybridMultilevel"/>
    <w:tmpl w:val="2A2C282C"/>
    <w:lvl w:ilvl="0" w:tplc="080A0011">
      <w:start w:val="1"/>
      <w:numFmt w:val="decimal"/>
      <w:lvlText w:val="%1)"/>
      <w:lvlJc w:val="left"/>
      <w:pPr>
        <w:ind w:left="1287" w:hanging="360"/>
      </w:pPr>
      <w:rPr>
        <w:rFont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1" w15:restartNumberingAfterBreak="0">
    <w:nsid w:val="65070C84"/>
    <w:multiLevelType w:val="multilevel"/>
    <w:tmpl w:val="8A2A1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7142C49"/>
    <w:multiLevelType w:val="multilevel"/>
    <w:tmpl w:val="30B4AF1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68717A16"/>
    <w:multiLevelType w:val="multilevel"/>
    <w:tmpl w:val="FE0A5F9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F345B31"/>
    <w:multiLevelType w:val="multilevel"/>
    <w:tmpl w:val="6B2C040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9C01BB5"/>
    <w:multiLevelType w:val="multilevel"/>
    <w:tmpl w:val="5D2CB75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7B083A9B"/>
    <w:multiLevelType w:val="multilevel"/>
    <w:tmpl w:val="01A0AE9C"/>
    <w:lvl w:ilvl="0">
      <w:start w:val="2"/>
      <w:numFmt w:val="bullet"/>
      <w:pStyle w:val="Listaconvietas"/>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7" w15:restartNumberingAfterBreak="0">
    <w:nsid w:val="7B2C08A8"/>
    <w:multiLevelType w:val="hybridMultilevel"/>
    <w:tmpl w:val="708873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
  </w:num>
  <w:num w:numId="3">
    <w:abstractNumId w:val="26"/>
  </w:num>
  <w:num w:numId="4">
    <w:abstractNumId w:val="13"/>
  </w:num>
  <w:num w:numId="5">
    <w:abstractNumId w:val="5"/>
  </w:num>
  <w:num w:numId="6">
    <w:abstractNumId w:val="14"/>
  </w:num>
  <w:num w:numId="7">
    <w:abstractNumId w:val="2"/>
  </w:num>
  <w:num w:numId="8">
    <w:abstractNumId w:val="4"/>
  </w:num>
  <w:num w:numId="9">
    <w:abstractNumId w:val="6"/>
  </w:num>
  <w:num w:numId="10">
    <w:abstractNumId w:val="27"/>
  </w:num>
  <w:num w:numId="11">
    <w:abstractNumId w:val="8"/>
  </w:num>
  <w:num w:numId="12">
    <w:abstractNumId w:val="15"/>
  </w:num>
  <w:num w:numId="13">
    <w:abstractNumId w:val="11"/>
  </w:num>
  <w:num w:numId="14">
    <w:abstractNumId w:val="16"/>
  </w:num>
  <w:num w:numId="15">
    <w:abstractNumId w:val="20"/>
  </w:num>
  <w:num w:numId="16">
    <w:abstractNumId w:val="21"/>
  </w:num>
  <w:num w:numId="17">
    <w:abstractNumId w:val="3"/>
  </w:num>
  <w:num w:numId="18">
    <w:abstractNumId w:val="9"/>
  </w:num>
  <w:num w:numId="19">
    <w:abstractNumId w:val="25"/>
  </w:num>
  <w:num w:numId="20">
    <w:abstractNumId w:val="23"/>
  </w:num>
  <w:num w:numId="21">
    <w:abstractNumId w:val="10"/>
  </w:num>
  <w:num w:numId="22">
    <w:abstractNumId w:val="22"/>
  </w:num>
  <w:num w:numId="23">
    <w:abstractNumId w:val="0"/>
  </w:num>
  <w:num w:numId="24">
    <w:abstractNumId w:val="7"/>
  </w:num>
  <w:num w:numId="25">
    <w:abstractNumId w:val="18"/>
  </w:num>
  <w:num w:numId="26">
    <w:abstractNumId w:val="19"/>
  </w:num>
  <w:num w:numId="27">
    <w:abstractNumId w:val="12"/>
  </w:num>
  <w:num w:numId="28">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F6"/>
    <w:rsid w:val="00003CC0"/>
    <w:rsid w:val="00011BB7"/>
    <w:rsid w:val="000140E9"/>
    <w:rsid w:val="00022FF0"/>
    <w:rsid w:val="00035362"/>
    <w:rsid w:val="0004101C"/>
    <w:rsid w:val="000414EC"/>
    <w:rsid w:val="000472DB"/>
    <w:rsid w:val="000505A2"/>
    <w:rsid w:val="00050C84"/>
    <w:rsid w:val="00085E1F"/>
    <w:rsid w:val="0009354C"/>
    <w:rsid w:val="000C2D35"/>
    <w:rsid w:val="000C6DFE"/>
    <w:rsid w:val="000D0009"/>
    <w:rsid w:val="000D6BF4"/>
    <w:rsid w:val="000E264E"/>
    <w:rsid w:val="000E5111"/>
    <w:rsid w:val="000F3A18"/>
    <w:rsid w:val="000F461B"/>
    <w:rsid w:val="00102B00"/>
    <w:rsid w:val="00104A39"/>
    <w:rsid w:val="00106A63"/>
    <w:rsid w:val="00106CF0"/>
    <w:rsid w:val="0010766B"/>
    <w:rsid w:val="0011572F"/>
    <w:rsid w:val="00115C81"/>
    <w:rsid w:val="0012241A"/>
    <w:rsid w:val="001244B6"/>
    <w:rsid w:val="0012725B"/>
    <w:rsid w:val="00137C81"/>
    <w:rsid w:val="00167CFB"/>
    <w:rsid w:val="00177120"/>
    <w:rsid w:val="001775F5"/>
    <w:rsid w:val="00195613"/>
    <w:rsid w:val="001A2C55"/>
    <w:rsid w:val="001F52E8"/>
    <w:rsid w:val="00215433"/>
    <w:rsid w:val="00220962"/>
    <w:rsid w:val="0022312E"/>
    <w:rsid w:val="00240A2A"/>
    <w:rsid w:val="00241C45"/>
    <w:rsid w:val="00244C94"/>
    <w:rsid w:val="002460CA"/>
    <w:rsid w:val="00251552"/>
    <w:rsid w:val="00261424"/>
    <w:rsid w:val="00271603"/>
    <w:rsid w:val="00272A31"/>
    <w:rsid w:val="00282A93"/>
    <w:rsid w:val="00283C9F"/>
    <w:rsid w:val="00287278"/>
    <w:rsid w:val="00294BBE"/>
    <w:rsid w:val="002A38A5"/>
    <w:rsid w:val="002A4A12"/>
    <w:rsid w:val="002A642E"/>
    <w:rsid w:val="002A7958"/>
    <w:rsid w:val="002B39AC"/>
    <w:rsid w:val="002B423B"/>
    <w:rsid w:val="002B4667"/>
    <w:rsid w:val="002C4916"/>
    <w:rsid w:val="002C63CA"/>
    <w:rsid w:val="002D25A9"/>
    <w:rsid w:val="002D4381"/>
    <w:rsid w:val="002E51A0"/>
    <w:rsid w:val="002F289C"/>
    <w:rsid w:val="00301A49"/>
    <w:rsid w:val="003054D7"/>
    <w:rsid w:val="00306112"/>
    <w:rsid w:val="00336C8D"/>
    <w:rsid w:val="003412FF"/>
    <w:rsid w:val="00351E01"/>
    <w:rsid w:val="003535F7"/>
    <w:rsid w:val="00357E62"/>
    <w:rsid w:val="003610C8"/>
    <w:rsid w:val="00374863"/>
    <w:rsid w:val="00381615"/>
    <w:rsid w:val="00382B63"/>
    <w:rsid w:val="003A539C"/>
    <w:rsid w:val="003B746B"/>
    <w:rsid w:val="003C0D60"/>
    <w:rsid w:val="003D17CE"/>
    <w:rsid w:val="003E151E"/>
    <w:rsid w:val="003E62A8"/>
    <w:rsid w:val="003F5A8F"/>
    <w:rsid w:val="003F6A2A"/>
    <w:rsid w:val="00402094"/>
    <w:rsid w:val="00403AAA"/>
    <w:rsid w:val="00405804"/>
    <w:rsid w:val="004066C2"/>
    <w:rsid w:val="00407432"/>
    <w:rsid w:val="00413D80"/>
    <w:rsid w:val="00420E52"/>
    <w:rsid w:val="00421C3A"/>
    <w:rsid w:val="00422637"/>
    <w:rsid w:val="00426C87"/>
    <w:rsid w:val="00431AFC"/>
    <w:rsid w:val="004422C9"/>
    <w:rsid w:val="00443D93"/>
    <w:rsid w:val="00447209"/>
    <w:rsid w:val="0045016F"/>
    <w:rsid w:val="004554A0"/>
    <w:rsid w:val="00472CB1"/>
    <w:rsid w:val="00477E95"/>
    <w:rsid w:val="004876E1"/>
    <w:rsid w:val="004A4D59"/>
    <w:rsid w:val="004B37BF"/>
    <w:rsid w:val="004B699A"/>
    <w:rsid w:val="004C6A5F"/>
    <w:rsid w:val="004D64F1"/>
    <w:rsid w:val="004F40D3"/>
    <w:rsid w:val="00505EBC"/>
    <w:rsid w:val="00507CDE"/>
    <w:rsid w:val="005116B7"/>
    <w:rsid w:val="00521904"/>
    <w:rsid w:val="00524582"/>
    <w:rsid w:val="0053486A"/>
    <w:rsid w:val="00541989"/>
    <w:rsid w:val="005509CC"/>
    <w:rsid w:val="005644E2"/>
    <w:rsid w:val="00571BF7"/>
    <w:rsid w:val="005764D6"/>
    <w:rsid w:val="0058244A"/>
    <w:rsid w:val="00590594"/>
    <w:rsid w:val="005957F2"/>
    <w:rsid w:val="0059705D"/>
    <w:rsid w:val="005A4875"/>
    <w:rsid w:val="005A668A"/>
    <w:rsid w:val="005B15F7"/>
    <w:rsid w:val="005B4F46"/>
    <w:rsid w:val="005B79A1"/>
    <w:rsid w:val="005C2ED1"/>
    <w:rsid w:val="005C3FA2"/>
    <w:rsid w:val="005C74CB"/>
    <w:rsid w:val="005D08E7"/>
    <w:rsid w:val="005D28FA"/>
    <w:rsid w:val="005D6395"/>
    <w:rsid w:val="005E009A"/>
    <w:rsid w:val="005F0BD7"/>
    <w:rsid w:val="005F460A"/>
    <w:rsid w:val="005F6923"/>
    <w:rsid w:val="00600B46"/>
    <w:rsid w:val="00602DB8"/>
    <w:rsid w:val="0060454F"/>
    <w:rsid w:val="00605693"/>
    <w:rsid w:val="00605991"/>
    <w:rsid w:val="00607DE9"/>
    <w:rsid w:val="00612CCA"/>
    <w:rsid w:val="00617B63"/>
    <w:rsid w:val="00631C21"/>
    <w:rsid w:val="00635632"/>
    <w:rsid w:val="00641C48"/>
    <w:rsid w:val="0065110C"/>
    <w:rsid w:val="0067251B"/>
    <w:rsid w:val="006949BC"/>
    <w:rsid w:val="00697BED"/>
    <w:rsid w:val="006B413C"/>
    <w:rsid w:val="006C5268"/>
    <w:rsid w:val="006D2F09"/>
    <w:rsid w:val="006D4025"/>
    <w:rsid w:val="006D4A7D"/>
    <w:rsid w:val="006D6DBC"/>
    <w:rsid w:val="006E19B5"/>
    <w:rsid w:val="00707E5B"/>
    <w:rsid w:val="0071796C"/>
    <w:rsid w:val="00730751"/>
    <w:rsid w:val="00737A90"/>
    <w:rsid w:val="00740429"/>
    <w:rsid w:val="007425E8"/>
    <w:rsid w:val="00745DF3"/>
    <w:rsid w:val="007668BD"/>
    <w:rsid w:val="007671AC"/>
    <w:rsid w:val="00776154"/>
    <w:rsid w:val="00783979"/>
    <w:rsid w:val="007861D5"/>
    <w:rsid w:val="007A250C"/>
    <w:rsid w:val="007A4352"/>
    <w:rsid w:val="007A6122"/>
    <w:rsid w:val="007B023D"/>
    <w:rsid w:val="007C365E"/>
    <w:rsid w:val="008012C6"/>
    <w:rsid w:val="008120F9"/>
    <w:rsid w:val="00816709"/>
    <w:rsid w:val="00822722"/>
    <w:rsid w:val="00822FC6"/>
    <w:rsid w:val="0083209D"/>
    <w:rsid w:val="008360A2"/>
    <w:rsid w:val="00843597"/>
    <w:rsid w:val="00847CD8"/>
    <w:rsid w:val="00850987"/>
    <w:rsid w:val="0085476E"/>
    <w:rsid w:val="008626D6"/>
    <w:rsid w:val="008655BD"/>
    <w:rsid w:val="00873CC2"/>
    <w:rsid w:val="00874AC1"/>
    <w:rsid w:val="0087565C"/>
    <w:rsid w:val="008903B9"/>
    <w:rsid w:val="0089595B"/>
    <w:rsid w:val="008A3B54"/>
    <w:rsid w:val="008D57B1"/>
    <w:rsid w:val="008D5D61"/>
    <w:rsid w:val="008D6E2B"/>
    <w:rsid w:val="008E4A90"/>
    <w:rsid w:val="008E5996"/>
    <w:rsid w:val="008E5C4C"/>
    <w:rsid w:val="0090790A"/>
    <w:rsid w:val="00923A7C"/>
    <w:rsid w:val="0092733C"/>
    <w:rsid w:val="00934131"/>
    <w:rsid w:val="00943813"/>
    <w:rsid w:val="00943908"/>
    <w:rsid w:val="00944A08"/>
    <w:rsid w:val="009456FA"/>
    <w:rsid w:val="009653D4"/>
    <w:rsid w:val="00980F4D"/>
    <w:rsid w:val="00992177"/>
    <w:rsid w:val="00992C9D"/>
    <w:rsid w:val="009A113E"/>
    <w:rsid w:val="009A3CFC"/>
    <w:rsid w:val="009B4F38"/>
    <w:rsid w:val="009C5423"/>
    <w:rsid w:val="009D0B8C"/>
    <w:rsid w:val="009D1375"/>
    <w:rsid w:val="009D625A"/>
    <w:rsid w:val="009D7455"/>
    <w:rsid w:val="009E3BCC"/>
    <w:rsid w:val="009E6D1D"/>
    <w:rsid w:val="00A04074"/>
    <w:rsid w:val="00A06A0C"/>
    <w:rsid w:val="00A330C2"/>
    <w:rsid w:val="00A91027"/>
    <w:rsid w:val="00AA08AE"/>
    <w:rsid w:val="00AA5D5B"/>
    <w:rsid w:val="00AB4893"/>
    <w:rsid w:val="00AB6007"/>
    <w:rsid w:val="00AC3FEF"/>
    <w:rsid w:val="00AD35BC"/>
    <w:rsid w:val="00AD391C"/>
    <w:rsid w:val="00AE1500"/>
    <w:rsid w:val="00AE181D"/>
    <w:rsid w:val="00AE34F4"/>
    <w:rsid w:val="00AE4C99"/>
    <w:rsid w:val="00AE6C8D"/>
    <w:rsid w:val="00AF516B"/>
    <w:rsid w:val="00AF6459"/>
    <w:rsid w:val="00AF6A93"/>
    <w:rsid w:val="00B01B4E"/>
    <w:rsid w:val="00B01F31"/>
    <w:rsid w:val="00B0784B"/>
    <w:rsid w:val="00B11D16"/>
    <w:rsid w:val="00B21479"/>
    <w:rsid w:val="00B230A4"/>
    <w:rsid w:val="00B27D30"/>
    <w:rsid w:val="00B4317F"/>
    <w:rsid w:val="00B50137"/>
    <w:rsid w:val="00B5111D"/>
    <w:rsid w:val="00B64821"/>
    <w:rsid w:val="00B67B0F"/>
    <w:rsid w:val="00B705EB"/>
    <w:rsid w:val="00B8230E"/>
    <w:rsid w:val="00B96097"/>
    <w:rsid w:val="00BA12AE"/>
    <w:rsid w:val="00BC2960"/>
    <w:rsid w:val="00BF7077"/>
    <w:rsid w:val="00C2497E"/>
    <w:rsid w:val="00C26595"/>
    <w:rsid w:val="00C36B10"/>
    <w:rsid w:val="00C4295C"/>
    <w:rsid w:val="00C5418E"/>
    <w:rsid w:val="00C64701"/>
    <w:rsid w:val="00C877F6"/>
    <w:rsid w:val="00C93CB2"/>
    <w:rsid w:val="00C94A83"/>
    <w:rsid w:val="00C975DF"/>
    <w:rsid w:val="00C9792E"/>
    <w:rsid w:val="00CA0CC9"/>
    <w:rsid w:val="00CB4251"/>
    <w:rsid w:val="00CC4BBA"/>
    <w:rsid w:val="00CC63A3"/>
    <w:rsid w:val="00CD4BE9"/>
    <w:rsid w:val="00CF57A2"/>
    <w:rsid w:val="00CF6480"/>
    <w:rsid w:val="00CF7200"/>
    <w:rsid w:val="00D06EB7"/>
    <w:rsid w:val="00D261B6"/>
    <w:rsid w:val="00D3382D"/>
    <w:rsid w:val="00D35935"/>
    <w:rsid w:val="00D42C47"/>
    <w:rsid w:val="00D47A86"/>
    <w:rsid w:val="00D501D9"/>
    <w:rsid w:val="00D503A7"/>
    <w:rsid w:val="00D5108C"/>
    <w:rsid w:val="00D52078"/>
    <w:rsid w:val="00D548D9"/>
    <w:rsid w:val="00D561F5"/>
    <w:rsid w:val="00D632AD"/>
    <w:rsid w:val="00D63364"/>
    <w:rsid w:val="00D71419"/>
    <w:rsid w:val="00D75F7C"/>
    <w:rsid w:val="00D86E05"/>
    <w:rsid w:val="00DA22DE"/>
    <w:rsid w:val="00DA6825"/>
    <w:rsid w:val="00DB08DD"/>
    <w:rsid w:val="00DB20F5"/>
    <w:rsid w:val="00DB2ED8"/>
    <w:rsid w:val="00DB3E69"/>
    <w:rsid w:val="00DC2CE2"/>
    <w:rsid w:val="00DC5898"/>
    <w:rsid w:val="00DF2ABD"/>
    <w:rsid w:val="00DF4BF2"/>
    <w:rsid w:val="00DF7C85"/>
    <w:rsid w:val="00E111DF"/>
    <w:rsid w:val="00E218CB"/>
    <w:rsid w:val="00E21C9B"/>
    <w:rsid w:val="00E26AFB"/>
    <w:rsid w:val="00E3411D"/>
    <w:rsid w:val="00E34B63"/>
    <w:rsid w:val="00E36FCB"/>
    <w:rsid w:val="00E40539"/>
    <w:rsid w:val="00E41166"/>
    <w:rsid w:val="00E45568"/>
    <w:rsid w:val="00E53604"/>
    <w:rsid w:val="00E542DD"/>
    <w:rsid w:val="00E649BA"/>
    <w:rsid w:val="00E67408"/>
    <w:rsid w:val="00E70C81"/>
    <w:rsid w:val="00E90A7F"/>
    <w:rsid w:val="00E97AD5"/>
    <w:rsid w:val="00EA2D40"/>
    <w:rsid w:val="00EB1F6C"/>
    <w:rsid w:val="00EB6FCF"/>
    <w:rsid w:val="00EC1F60"/>
    <w:rsid w:val="00EC3DA1"/>
    <w:rsid w:val="00EC7027"/>
    <w:rsid w:val="00ED1F46"/>
    <w:rsid w:val="00EE30D8"/>
    <w:rsid w:val="00F0001E"/>
    <w:rsid w:val="00F0041B"/>
    <w:rsid w:val="00F11903"/>
    <w:rsid w:val="00F2348E"/>
    <w:rsid w:val="00F36565"/>
    <w:rsid w:val="00F60B31"/>
    <w:rsid w:val="00F63FA8"/>
    <w:rsid w:val="00F6784D"/>
    <w:rsid w:val="00F80703"/>
    <w:rsid w:val="00F80CD2"/>
    <w:rsid w:val="00F845FC"/>
    <w:rsid w:val="00F90408"/>
    <w:rsid w:val="00F94226"/>
    <w:rsid w:val="00FA6C9F"/>
    <w:rsid w:val="00FB389B"/>
    <w:rsid w:val="00FD3CB6"/>
    <w:rsid w:val="00FF1AD9"/>
    <w:rsid w:val="00FF4F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03C616"/>
  <w15:docId w15:val="{9B6F5DC6-6478-4D7C-BEBD-2CE44165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CD74AE"/>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CD74AE"/>
    <w:rPr>
      <w:color w:val="0563C1" w:themeColor="hyperlink"/>
      <w:u w:val="single"/>
    </w:rPr>
  </w:style>
  <w:style w:type="table" w:styleId="Tablaconcuadrcula">
    <w:name w:val="Table Grid"/>
    <w:basedOn w:val="Tablanormal"/>
    <w:uiPriority w:val="39"/>
    <w:rsid w:val="009C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6">
    <w:name w:val="6"/>
    <w:basedOn w:val="TableNormal10"/>
    <w:tblPr>
      <w:tblStyleRowBandSize w:val="1"/>
      <w:tblStyleColBandSize w:val="1"/>
      <w:tblCellMar>
        <w:top w:w="15" w:type="dxa"/>
        <w:left w:w="15" w:type="dxa"/>
        <w:bottom w:w="15" w:type="dxa"/>
        <w:right w:w="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top w:w="15" w:type="dxa"/>
        <w:left w:w="115" w:type="dxa"/>
        <w:bottom w:w="15" w:type="dxa"/>
        <w:right w:w="115" w:type="dxa"/>
      </w:tblCellMar>
    </w:tblPr>
  </w:style>
  <w:style w:type="table" w:customStyle="1" w:styleId="2">
    <w:name w:val="2"/>
    <w:basedOn w:val="TableNormal10"/>
    <w:tblPr>
      <w:tblStyleRowBandSize w:val="1"/>
      <w:tblStyleColBandSize w:val="1"/>
      <w:tblCellMar>
        <w:top w:w="15" w:type="dxa"/>
        <w:left w:w="115" w:type="dxa"/>
        <w:bottom w:w="15" w:type="dxa"/>
        <w:right w:w="115" w:type="dxa"/>
      </w:tblCellMar>
    </w:tblPr>
  </w:style>
  <w:style w:type="table" w:customStyle="1" w:styleId="1">
    <w:name w:val="1"/>
    <w:basedOn w:val="TableNormal10"/>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character" w:customStyle="1" w:styleId="Mencinsinresolver2">
    <w:name w:val="Mención sin resolver2"/>
    <w:basedOn w:val="Fuentedeprrafopredeter"/>
    <w:uiPriority w:val="99"/>
    <w:semiHidden/>
    <w:unhideWhenUsed/>
    <w:rsid w:val="00AC79ED"/>
    <w:rPr>
      <w:color w:val="605E5C"/>
      <w:shd w:val="clear" w:color="auto" w:fill="E1DFDD"/>
    </w:rPr>
  </w:style>
  <w:style w:type="paragraph" w:customStyle="1" w:styleId="Default">
    <w:name w:val="Default"/>
    <w:rsid w:val="00A27592"/>
    <w:pPr>
      <w:autoSpaceDE w:val="0"/>
      <w:autoSpaceDN w:val="0"/>
      <w:adjustRightInd w:val="0"/>
    </w:pPr>
    <w:rPr>
      <w:rFonts w:ascii="Arial" w:hAnsi="Arial" w:cs="Arial"/>
      <w:color w:val="000000"/>
    </w:rPr>
  </w:style>
  <w:style w:type="character" w:customStyle="1" w:styleId="normaltextrun">
    <w:name w:val="normaltextrun"/>
    <w:basedOn w:val="Fuentedeprrafopredeter"/>
    <w:rsid w:val="002F3C2D"/>
  </w:style>
  <w:style w:type="paragraph" w:styleId="Sinespaciado">
    <w:name w:val="No Spacing"/>
    <w:aliases w:val="Francesa,INAI"/>
    <w:link w:val="SinespaciadoCar"/>
    <w:uiPriority w:val="1"/>
    <w:qFormat/>
    <w:rsid w:val="00F01E4E"/>
    <w:rPr>
      <w:lang w:val="es-ES" w:eastAsia="es-ES"/>
    </w:rPr>
  </w:style>
  <w:style w:type="character" w:customStyle="1" w:styleId="SinespaciadoCar">
    <w:name w:val="Sin espaciado Car"/>
    <w:aliases w:val="Francesa Car,INAI Car"/>
    <w:link w:val="Sinespaciado"/>
    <w:uiPriority w:val="1"/>
    <w:locked/>
    <w:rsid w:val="00F01E4E"/>
    <w:rPr>
      <w:rFonts w:ascii="Times New Roman" w:eastAsia="Times New Roman" w:hAnsi="Times New Roman" w:cs="Times New Roman"/>
      <w:sz w:val="24"/>
      <w:szCs w:val="24"/>
      <w:lang w:val="es-ES" w:eastAsia="es-ES"/>
    </w:rPr>
  </w:style>
  <w:style w:type="table" w:customStyle="1" w:styleId="9">
    <w:name w:val="9"/>
    <w:basedOn w:val="TableNormal20"/>
    <w:tblPr>
      <w:tblStyleRowBandSize w:val="1"/>
      <w:tblStyleColBandSize w:val="1"/>
      <w:tblCellMar>
        <w:left w:w="108" w:type="dxa"/>
        <w:right w:w="108" w:type="dxa"/>
      </w:tblCellMar>
    </w:tblPr>
  </w:style>
  <w:style w:type="table" w:customStyle="1" w:styleId="8">
    <w:name w:val="8"/>
    <w:basedOn w:val="TableNormal20"/>
    <w:tblPr>
      <w:tblStyleRowBandSize w:val="1"/>
      <w:tblStyleColBandSize w:val="1"/>
      <w:tblCellMar>
        <w:top w:w="15" w:type="dxa"/>
        <w:left w:w="115" w:type="dxa"/>
        <w:bottom w:w="15" w:type="dxa"/>
        <w:right w:w="115" w:type="dxa"/>
      </w:tblCellMar>
    </w:tblPr>
  </w:style>
  <w:style w:type="table" w:customStyle="1" w:styleId="7">
    <w:name w:val="7"/>
    <w:basedOn w:val="TableNormal20"/>
    <w:tblPr>
      <w:tblStyleRowBandSize w:val="1"/>
      <w:tblStyleColBandSize w:val="1"/>
      <w:tblCellMar>
        <w:top w:w="15" w:type="dxa"/>
        <w:left w:w="115" w:type="dxa"/>
        <w:bottom w:w="15" w:type="dxa"/>
        <w:right w:w="115" w:type="dxa"/>
      </w:tblCellMar>
    </w:tblPr>
  </w:style>
  <w:style w:type="character" w:customStyle="1" w:styleId="Mencinsinresolver3">
    <w:name w:val="Mención sin resolver3"/>
    <w:basedOn w:val="Fuentedeprrafopredeter"/>
    <w:uiPriority w:val="99"/>
    <w:semiHidden/>
    <w:unhideWhenUsed/>
    <w:rsid w:val="00B91EC4"/>
    <w:rPr>
      <w:color w:val="605E5C"/>
      <w:shd w:val="clear" w:color="auto" w:fill="E1DFDD"/>
    </w:rPr>
  </w:style>
  <w:style w:type="character" w:styleId="Refdecomentario">
    <w:name w:val="annotation reference"/>
    <w:basedOn w:val="Fuentedeprrafopredeter"/>
    <w:uiPriority w:val="99"/>
    <w:semiHidden/>
    <w:unhideWhenUsed/>
    <w:rsid w:val="007266CA"/>
    <w:rPr>
      <w:sz w:val="16"/>
      <w:szCs w:val="16"/>
    </w:rPr>
  </w:style>
  <w:style w:type="paragraph" w:styleId="Textocomentario">
    <w:name w:val="annotation text"/>
    <w:basedOn w:val="Normal"/>
    <w:link w:val="TextocomentarioCar"/>
    <w:uiPriority w:val="99"/>
    <w:semiHidden/>
    <w:unhideWhenUsed/>
    <w:rsid w:val="007266CA"/>
    <w:rPr>
      <w:sz w:val="20"/>
      <w:szCs w:val="20"/>
    </w:rPr>
  </w:style>
  <w:style w:type="character" w:customStyle="1" w:styleId="TextocomentarioCar">
    <w:name w:val="Texto comentario Car"/>
    <w:basedOn w:val="Fuentedeprrafopredeter"/>
    <w:link w:val="Textocomentario"/>
    <w:uiPriority w:val="99"/>
    <w:semiHidden/>
    <w:rsid w:val="007266CA"/>
    <w:rPr>
      <w:rFonts w:eastAsia="Times New Roman"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266CA"/>
    <w:rPr>
      <w:b/>
      <w:bCs/>
    </w:rPr>
  </w:style>
  <w:style w:type="character" w:customStyle="1" w:styleId="AsuntodelcomentarioCar">
    <w:name w:val="Asunto del comentario Car"/>
    <w:basedOn w:val="TextocomentarioCar"/>
    <w:link w:val="Asuntodelcomentario"/>
    <w:uiPriority w:val="99"/>
    <w:semiHidden/>
    <w:rsid w:val="007266CA"/>
    <w:rPr>
      <w:rFonts w:eastAsia="Times New Roman" w:cs="Times New Roman"/>
      <w:b/>
      <w:bCs/>
      <w:sz w:val="20"/>
      <w:szCs w:val="20"/>
      <w:lang w:eastAsia="en-US"/>
    </w:rPr>
  </w:style>
  <w:style w:type="character" w:styleId="Textodelmarcadordeposicin">
    <w:name w:val="Placeholder Text"/>
    <w:basedOn w:val="Fuentedeprrafopredeter"/>
    <w:uiPriority w:val="99"/>
    <w:semiHidden/>
    <w:rsid w:val="007266CA"/>
    <w:rPr>
      <w:color w:val="808080"/>
    </w:rPr>
  </w:style>
  <w:style w:type="character" w:styleId="Hipervnculovisitado">
    <w:name w:val="FollowedHyperlink"/>
    <w:basedOn w:val="Fuentedeprrafopredeter"/>
    <w:uiPriority w:val="99"/>
    <w:semiHidden/>
    <w:unhideWhenUsed/>
    <w:rsid w:val="00FC1F2B"/>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C1F2B"/>
    <w:rPr>
      <w:rFonts w:asciiTheme="minorHAnsi" w:eastAsiaTheme="minorHAnsi" w:hAnsiTheme="minorHAnsi" w:cstheme="minorBidi"/>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C1F2B"/>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1F2B"/>
    <w:rPr>
      <w:vertAlign w:val="superscript"/>
    </w:rPr>
  </w:style>
  <w:style w:type="character" w:customStyle="1" w:styleId="PuestoCar">
    <w:name w:val="Puesto Car"/>
    <w:aliases w:val="Cita textual Car"/>
    <w:basedOn w:val="Fuentedeprrafopredeter"/>
    <w:uiPriority w:val="10"/>
    <w:rsid w:val="00EC101D"/>
    <w:rPr>
      <w:rFonts w:eastAsia="Times New Roman" w:cs="Times New Roman"/>
      <w:b/>
      <w:sz w:val="72"/>
      <w:szCs w:val="72"/>
      <w:lang w:eastAsia="en-US"/>
    </w:rPr>
  </w:style>
  <w:style w:type="table" w:customStyle="1" w:styleId="Tablanormal11">
    <w:name w:val="Tabla normal 11"/>
    <w:basedOn w:val="Tablanormal"/>
    <w:uiPriority w:val="41"/>
    <w:rsid w:val="009A0A8D"/>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top w:w="15" w:type="dxa"/>
        <w:left w:w="115" w:type="dxa"/>
        <w:bottom w:w="15" w:type="dxa"/>
        <w:right w:w="115" w:type="dxa"/>
      </w:tblCellMar>
    </w:tblPr>
  </w:style>
  <w:style w:type="table" w:customStyle="1" w:styleId="a4">
    <w:basedOn w:val="TableNormal4"/>
    <w:tblPr>
      <w:tblStyleRowBandSize w:val="1"/>
      <w:tblStyleColBandSize w:val="1"/>
      <w:tblCellMar>
        <w:top w:w="15" w:type="dxa"/>
        <w:left w:w="115" w:type="dxa"/>
        <w:bottom w:w="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top w:w="15" w:type="dxa"/>
        <w:left w:w="115" w:type="dxa"/>
        <w:bottom w:w="15" w:type="dxa"/>
        <w:right w:w="115" w:type="dxa"/>
      </w:tblCellMar>
    </w:tblPr>
  </w:style>
  <w:style w:type="table" w:customStyle="1" w:styleId="aa">
    <w:basedOn w:val="TableNormal3"/>
    <w:tblPr>
      <w:tblStyleRowBandSize w:val="1"/>
      <w:tblStyleColBandSize w:val="1"/>
      <w:tblCellMar>
        <w:top w:w="15" w:type="dxa"/>
        <w:left w:w="115" w:type="dxa"/>
        <w:bottom w:w="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top w:w="15" w:type="dxa"/>
        <w:left w:w="115" w:type="dxa"/>
        <w:bottom w:w="15" w:type="dxa"/>
        <w:right w:w="115" w:type="dxa"/>
      </w:tblCellMar>
    </w:tblPr>
  </w:style>
  <w:style w:type="table" w:customStyle="1" w:styleId="af2">
    <w:basedOn w:val="TableNormal2"/>
    <w:tblPr>
      <w:tblStyleRowBandSize w:val="1"/>
      <w:tblStyleColBandSize w:val="1"/>
      <w:tblCellMar>
        <w:top w:w="15" w:type="dxa"/>
        <w:left w:w="115" w:type="dxa"/>
        <w:bottom w:w="15" w:type="dxa"/>
        <w:right w:w="115" w:type="dxa"/>
      </w:tblCellMar>
    </w:tblPr>
  </w:style>
  <w:style w:type="character" w:styleId="Textoennegrita">
    <w:name w:val="Strong"/>
    <w:basedOn w:val="Fuentedeprrafopredeter"/>
    <w:uiPriority w:val="22"/>
    <w:qFormat/>
    <w:rsid w:val="00AC6527"/>
    <w:rPr>
      <w:b/>
      <w:bCs/>
    </w:rPr>
  </w:style>
  <w:style w:type="character" w:customStyle="1" w:styleId="apple-tab-span">
    <w:name w:val="apple-tab-span"/>
    <w:basedOn w:val="Fuentedeprrafopredeter"/>
    <w:rsid w:val="00EB58F7"/>
  </w:style>
  <w:style w:type="paragraph" w:styleId="Listaconvietas3">
    <w:name w:val="List Bullet 3"/>
    <w:basedOn w:val="Normal"/>
    <w:uiPriority w:val="99"/>
    <w:unhideWhenUsed/>
    <w:rsid w:val="00AF720B"/>
    <w:pPr>
      <w:numPr>
        <w:numId w:val="1"/>
      </w:numPr>
      <w:contextualSpacing/>
    </w:p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top w:w="15" w:type="dxa"/>
        <w:left w:w="115" w:type="dxa"/>
        <w:bottom w:w="15" w:type="dxa"/>
        <w:right w:w="115" w:type="dxa"/>
      </w:tblCellMar>
    </w:tblPr>
  </w:style>
  <w:style w:type="table" w:customStyle="1" w:styleId="af5">
    <w:basedOn w:val="TableNormal1"/>
    <w:tblPr>
      <w:tblStyleRowBandSize w:val="1"/>
      <w:tblStyleColBandSize w:val="1"/>
      <w:tblCellMar>
        <w:top w:w="15" w:type="dxa"/>
        <w:left w:w="115" w:type="dxa"/>
        <w:bottom w:w="15" w:type="dxa"/>
        <w:right w:w="115" w:type="dxa"/>
      </w:tblCellMar>
    </w:tblPr>
  </w:style>
  <w:style w:type="paragraph" w:styleId="Listaconvietas">
    <w:name w:val="List Bullet"/>
    <w:basedOn w:val="Normal"/>
    <w:uiPriority w:val="99"/>
    <w:unhideWhenUsed/>
    <w:rsid w:val="00E97D6F"/>
    <w:pPr>
      <w:numPr>
        <w:numId w:val="3"/>
      </w:numPr>
      <w:contextualSpacing/>
    </w:pPr>
    <w:rPr>
      <w:lang w:val="es-ES"/>
    </w:rPr>
  </w:style>
  <w:style w:type="character" w:customStyle="1" w:styleId="Mencinsinresolver4">
    <w:name w:val="Mención sin resolver4"/>
    <w:basedOn w:val="Fuentedeprrafopredeter"/>
    <w:uiPriority w:val="99"/>
    <w:semiHidden/>
    <w:unhideWhenUsed/>
    <w:rsid w:val="00E8288F"/>
    <w:rPr>
      <w:color w:val="605E5C"/>
      <w:shd w:val="clear" w:color="auto" w:fill="E1DFDD"/>
    </w:rPr>
  </w:style>
  <w:style w:type="paragraph" w:customStyle="1" w:styleId="xgmail-msonormal">
    <w:name w:val="x_gmail-msonormal"/>
    <w:basedOn w:val="Normal"/>
    <w:rsid w:val="009B2050"/>
    <w:pPr>
      <w:spacing w:before="100" w:beforeAutospacing="1" w:after="100" w:afterAutospacing="1"/>
    </w:pPr>
    <w:rPr>
      <w:lang w:val="en-US" w:eastAsia="en-US"/>
    </w:rPr>
  </w:style>
  <w:style w:type="table" w:customStyle="1" w:styleId="11">
    <w:name w:val="11"/>
    <w:basedOn w:val="Tablanormal"/>
    <w:rsid w:val="0087332C"/>
    <w:rPr>
      <w:lang w:val="es-ES"/>
    </w:rPr>
    <w:tblPr>
      <w:tblStyleRowBandSize w:val="1"/>
      <w:tblStyleColBandSize w:val="1"/>
      <w:tblInd w:w="0" w:type="nil"/>
      <w:tblCellMar>
        <w:left w:w="115" w:type="dxa"/>
        <w:right w:w="115" w:type="dxa"/>
      </w:tblCellMar>
    </w:tblPr>
  </w:style>
  <w:style w:type="table" w:customStyle="1" w:styleId="10">
    <w:name w:val="10"/>
    <w:basedOn w:val="Tablanormal"/>
    <w:rsid w:val="0087332C"/>
    <w:rPr>
      <w:lang w:val="es-ES"/>
    </w:rPr>
    <w:tblPr>
      <w:tblStyleRowBandSize w:val="1"/>
      <w:tblStyleColBandSize w:val="1"/>
      <w:tblInd w:w="0" w:type="nil"/>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0"/>
    <w:tblPr>
      <w:tblStyleRowBandSize w:val="1"/>
      <w:tblStyleColBandSize w:val="1"/>
      <w:tblCellMar>
        <w:top w:w="15" w:type="dxa"/>
        <w:left w:w="115" w:type="dxa"/>
        <w:bottom w:w="15" w:type="dxa"/>
        <w:right w:w="115" w:type="dxa"/>
      </w:tblCellMar>
    </w:tblPr>
  </w:style>
  <w:style w:type="table" w:customStyle="1" w:styleId="af7">
    <w:basedOn w:val="TableNormal0"/>
    <w:tblPr>
      <w:tblStyleRowBandSize w:val="1"/>
      <w:tblStyleColBandSize w:val="1"/>
      <w:tblCellMar>
        <w:top w:w="15" w:type="dxa"/>
        <w:left w:w="115" w:type="dxa"/>
        <w:bottom w:w="15" w:type="dxa"/>
        <w:right w:w="115" w:type="dxa"/>
      </w:tblCellMar>
    </w:tblPr>
  </w:style>
  <w:style w:type="paragraph" w:styleId="Textoindependiente">
    <w:name w:val="Body Text"/>
    <w:basedOn w:val="Normal"/>
    <w:link w:val="TextoindependienteCar"/>
    <w:uiPriority w:val="99"/>
    <w:unhideWhenUsed/>
    <w:rsid w:val="00FB389B"/>
    <w:pPr>
      <w:spacing w:after="120"/>
    </w:pPr>
    <w:rPr>
      <w:lang w:val="es-ES" w:eastAsia="es-ES"/>
    </w:rPr>
  </w:style>
  <w:style w:type="character" w:customStyle="1" w:styleId="TextoindependienteCar">
    <w:name w:val="Texto independiente Car"/>
    <w:basedOn w:val="Fuentedeprrafopredeter"/>
    <w:link w:val="Textoindependiente"/>
    <w:uiPriority w:val="99"/>
    <w:rsid w:val="00FB389B"/>
    <w:rPr>
      <w:lang w:val="es-ES" w:eastAsia="es-ES"/>
    </w:rPr>
  </w:style>
  <w:style w:type="paragraph" w:customStyle="1" w:styleId="INFOEM">
    <w:name w:val="INFOEM"/>
    <w:basedOn w:val="Normal"/>
    <w:qFormat/>
    <w:rsid w:val="00D5108C"/>
    <w:pPr>
      <w:spacing w:before="240" w:after="160" w:line="360" w:lineRule="auto"/>
      <w:ind w:left="851" w:right="851"/>
      <w:jc w:val="both"/>
    </w:pPr>
    <w:rPr>
      <w:rFonts w:ascii="Palatino Linotype" w:eastAsiaTheme="minorHAnsi" w:hAnsi="Palatino Linotype" w:cstheme="minorBidi"/>
      <w:i/>
      <w:sz w:val="22"/>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859">
      <w:bodyDiv w:val="1"/>
      <w:marLeft w:val="0"/>
      <w:marRight w:val="0"/>
      <w:marTop w:val="0"/>
      <w:marBottom w:val="0"/>
      <w:divBdr>
        <w:top w:val="none" w:sz="0" w:space="0" w:color="auto"/>
        <w:left w:val="none" w:sz="0" w:space="0" w:color="auto"/>
        <w:bottom w:val="none" w:sz="0" w:space="0" w:color="auto"/>
        <w:right w:val="none" w:sz="0" w:space="0" w:color="auto"/>
      </w:divBdr>
    </w:div>
    <w:div w:id="65151976">
      <w:bodyDiv w:val="1"/>
      <w:marLeft w:val="0"/>
      <w:marRight w:val="0"/>
      <w:marTop w:val="0"/>
      <w:marBottom w:val="0"/>
      <w:divBdr>
        <w:top w:val="none" w:sz="0" w:space="0" w:color="auto"/>
        <w:left w:val="none" w:sz="0" w:space="0" w:color="auto"/>
        <w:bottom w:val="none" w:sz="0" w:space="0" w:color="auto"/>
        <w:right w:val="none" w:sz="0" w:space="0" w:color="auto"/>
      </w:divBdr>
    </w:div>
    <w:div w:id="85078891">
      <w:bodyDiv w:val="1"/>
      <w:marLeft w:val="0"/>
      <w:marRight w:val="0"/>
      <w:marTop w:val="0"/>
      <w:marBottom w:val="0"/>
      <w:divBdr>
        <w:top w:val="none" w:sz="0" w:space="0" w:color="auto"/>
        <w:left w:val="none" w:sz="0" w:space="0" w:color="auto"/>
        <w:bottom w:val="none" w:sz="0" w:space="0" w:color="auto"/>
        <w:right w:val="none" w:sz="0" w:space="0" w:color="auto"/>
      </w:divBdr>
    </w:div>
    <w:div w:id="155191324">
      <w:bodyDiv w:val="1"/>
      <w:marLeft w:val="0"/>
      <w:marRight w:val="0"/>
      <w:marTop w:val="0"/>
      <w:marBottom w:val="0"/>
      <w:divBdr>
        <w:top w:val="none" w:sz="0" w:space="0" w:color="auto"/>
        <w:left w:val="none" w:sz="0" w:space="0" w:color="auto"/>
        <w:bottom w:val="none" w:sz="0" w:space="0" w:color="auto"/>
        <w:right w:val="none" w:sz="0" w:space="0" w:color="auto"/>
      </w:divBdr>
    </w:div>
    <w:div w:id="177890315">
      <w:bodyDiv w:val="1"/>
      <w:marLeft w:val="0"/>
      <w:marRight w:val="0"/>
      <w:marTop w:val="0"/>
      <w:marBottom w:val="0"/>
      <w:divBdr>
        <w:top w:val="none" w:sz="0" w:space="0" w:color="auto"/>
        <w:left w:val="none" w:sz="0" w:space="0" w:color="auto"/>
        <w:bottom w:val="none" w:sz="0" w:space="0" w:color="auto"/>
        <w:right w:val="none" w:sz="0" w:space="0" w:color="auto"/>
      </w:divBdr>
    </w:div>
    <w:div w:id="202131205">
      <w:bodyDiv w:val="1"/>
      <w:marLeft w:val="0"/>
      <w:marRight w:val="0"/>
      <w:marTop w:val="0"/>
      <w:marBottom w:val="0"/>
      <w:divBdr>
        <w:top w:val="none" w:sz="0" w:space="0" w:color="auto"/>
        <w:left w:val="none" w:sz="0" w:space="0" w:color="auto"/>
        <w:bottom w:val="none" w:sz="0" w:space="0" w:color="auto"/>
        <w:right w:val="none" w:sz="0" w:space="0" w:color="auto"/>
      </w:divBdr>
    </w:div>
    <w:div w:id="325672825">
      <w:bodyDiv w:val="1"/>
      <w:marLeft w:val="0"/>
      <w:marRight w:val="0"/>
      <w:marTop w:val="0"/>
      <w:marBottom w:val="0"/>
      <w:divBdr>
        <w:top w:val="none" w:sz="0" w:space="0" w:color="auto"/>
        <w:left w:val="none" w:sz="0" w:space="0" w:color="auto"/>
        <w:bottom w:val="none" w:sz="0" w:space="0" w:color="auto"/>
        <w:right w:val="none" w:sz="0" w:space="0" w:color="auto"/>
      </w:divBdr>
    </w:div>
    <w:div w:id="372192082">
      <w:bodyDiv w:val="1"/>
      <w:marLeft w:val="0"/>
      <w:marRight w:val="0"/>
      <w:marTop w:val="0"/>
      <w:marBottom w:val="0"/>
      <w:divBdr>
        <w:top w:val="none" w:sz="0" w:space="0" w:color="auto"/>
        <w:left w:val="none" w:sz="0" w:space="0" w:color="auto"/>
        <w:bottom w:val="none" w:sz="0" w:space="0" w:color="auto"/>
        <w:right w:val="none" w:sz="0" w:space="0" w:color="auto"/>
      </w:divBdr>
    </w:div>
    <w:div w:id="387192999">
      <w:bodyDiv w:val="1"/>
      <w:marLeft w:val="0"/>
      <w:marRight w:val="0"/>
      <w:marTop w:val="0"/>
      <w:marBottom w:val="0"/>
      <w:divBdr>
        <w:top w:val="none" w:sz="0" w:space="0" w:color="auto"/>
        <w:left w:val="none" w:sz="0" w:space="0" w:color="auto"/>
        <w:bottom w:val="none" w:sz="0" w:space="0" w:color="auto"/>
        <w:right w:val="none" w:sz="0" w:space="0" w:color="auto"/>
      </w:divBdr>
    </w:div>
    <w:div w:id="423452016">
      <w:bodyDiv w:val="1"/>
      <w:marLeft w:val="0"/>
      <w:marRight w:val="0"/>
      <w:marTop w:val="0"/>
      <w:marBottom w:val="0"/>
      <w:divBdr>
        <w:top w:val="none" w:sz="0" w:space="0" w:color="auto"/>
        <w:left w:val="none" w:sz="0" w:space="0" w:color="auto"/>
        <w:bottom w:val="none" w:sz="0" w:space="0" w:color="auto"/>
        <w:right w:val="none" w:sz="0" w:space="0" w:color="auto"/>
      </w:divBdr>
    </w:div>
    <w:div w:id="424571006">
      <w:bodyDiv w:val="1"/>
      <w:marLeft w:val="0"/>
      <w:marRight w:val="0"/>
      <w:marTop w:val="0"/>
      <w:marBottom w:val="0"/>
      <w:divBdr>
        <w:top w:val="none" w:sz="0" w:space="0" w:color="auto"/>
        <w:left w:val="none" w:sz="0" w:space="0" w:color="auto"/>
        <w:bottom w:val="none" w:sz="0" w:space="0" w:color="auto"/>
        <w:right w:val="none" w:sz="0" w:space="0" w:color="auto"/>
      </w:divBdr>
    </w:div>
    <w:div w:id="435564847">
      <w:bodyDiv w:val="1"/>
      <w:marLeft w:val="0"/>
      <w:marRight w:val="0"/>
      <w:marTop w:val="0"/>
      <w:marBottom w:val="0"/>
      <w:divBdr>
        <w:top w:val="none" w:sz="0" w:space="0" w:color="auto"/>
        <w:left w:val="none" w:sz="0" w:space="0" w:color="auto"/>
        <w:bottom w:val="none" w:sz="0" w:space="0" w:color="auto"/>
        <w:right w:val="none" w:sz="0" w:space="0" w:color="auto"/>
      </w:divBdr>
    </w:div>
    <w:div w:id="453137758">
      <w:bodyDiv w:val="1"/>
      <w:marLeft w:val="0"/>
      <w:marRight w:val="0"/>
      <w:marTop w:val="0"/>
      <w:marBottom w:val="0"/>
      <w:divBdr>
        <w:top w:val="none" w:sz="0" w:space="0" w:color="auto"/>
        <w:left w:val="none" w:sz="0" w:space="0" w:color="auto"/>
        <w:bottom w:val="none" w:sz="0" w:space="0" w:color="auto"/>
        <w:right w:val="none" w:sz="0" w:space="0" w:color="auto"/>
      </w:divBdr>
    </w:div>
    <w:div w:id="475949336">
      <w:bodyDiv w:val="1"/>
      <w:marLeft w:val="0"/>
      <w:marRight w:val="0"/>
      <w:marTop w:val="0"/>
      <w:marBottom w:val="0"/>
      <w:divBdr>
        <w:top w:val="none" w:sz="0" w:space="0" w:color="auto"/>
        <w:left w:val="none" w:sz="0" w:space="0" w:color="auto"/>
        <w:bottom w:val="none" w:sz="0" w:space="0" w:color="auto"/>
        <w:right w:val="none" w:sz="0" w:space="0" w:color="auto"/>
      </w:divBdr>
    </w:div>
    <w:div w:id="493766585">
      <w:bodyDiv w:val="1"/>
      <w:marLeft w:val="0"/>
      <w:marRight w:val="0"/>
      <w:marTop w:val="0"/>
      <w:marBottom w:val="0"/>
      <w:divBdr>
        <w:top w:val="none" w:sz="0" w:space="0" w:color="auto"/>
        <w:left w:val="none" w:sz="0" w:space="0" w:color="auto"/>
        <w:bottom w:val="none" w:sz="0" w:space="0" w:color="auto"/>
        <w:right w:val="none" w:sz="0" w:space="0" w:color="auto"/>
      </w:divBdr>
    </w:div>
    <w:div w:id="544413487">
      <w:bodyDiv w:val="1"/>
      <w:marLeft w:val="0"/>
      <w:marRight w:val="0"/>
      <w:marTop w:val="0"/>
      <w:marBottom w:val="0"/>
      <w:divBdr>
        <w:top w:val="none" w:sz="0" w:space="0" w:color="auto"/>
        <w:left w:val="none" w:sz="0" w:space="0" w:color="auto"/>
        <w:bottom w:val="none" w:sz="0" w:space="0" w:color="auto"/>
        <w:right w:val="none" w:sz="0" w:space="0" w:color="auto"/>
      </w:divBdr>
    </w:div>
    <w:div w:id="607197001">
      <w:bodyDiv w:val="1"/>
      <w:marLeft w:val="0"/>
      <w:marRight w:val="0"/>
      <w:marTop w:val="0"/>
      <w:marBottom w:val="0"/>
      <w:divBdr>
        <w:top w:val="none" w:sz="0" w:space="0" w:color="auto"/>
        <w:left w:val="none" w:sz="0" w:space="0" w:color="auto"/>
        <w:bottom w:val="none" w:sz="0" w:space="0" w:color="auto"/>
        <w:right w:val="none" w:sz="0" w:space="0" w:color="auto"/>
      </w:divBdr>
    </w:div>
    <w:div w:id="652173721">
      <w:bodyDiv w:val="1"/>
      <w:marLeft w:val="0"/>
      <w:marRight w:val="0"/>
      <w:marTop w:val="0"/>
      <w:marBottom w:val="0"/>
      <w:divBdr>
        <w:top w:val="none" w:sz="0" w:space="0" w:color="auto"/>
        <w:left w:val="none" w:sz="0" w:space="0" w:color="auto"/>
        <w:bottom w:val="none" w:sz="0" w:space="0" w:color="auto"/>
        <w:right w:val="none" w:sz="0" w:space="0" w:color="auto"/>
      </w:divBdr>
    </w:div>
    <w:div w:id="673535569">
      <w:bodyDiv w:val="1"/>
      <w:marLeft w:val="0"/>
      <w:marRight w:val="0"/>
      <w:marTop w:val="0"/>
      <w:marBottom w:val="0"/>
      <w:divBdr>
        <w:top w:val="none" w:sz="0" w:space="0" w:color="auto"/>
        <w:left w:val="none" w:sz="0" w:space="0" w:color="auto"/>
        <w:bottom w:val="none" w:sz="0" w:space="0" w:color="auto"/>
        <w:right w:val="none" w:sz="0" w:space="0" w:color="auto"/>
      </w:divBdr>
    </w:div>
    <w:div w:id="690185658">
      <w:bodyDiv w:val="1"/>
      <w:marLeft w:val="0"/>
      <w:marRight w:val="0"/>
      <w:marTop w:val="0"/>
      <w:marBottom w:val="0"/>
      <w:divBdr>
        <w:top w:val="none" w:sz="0" w:space="0" w:color="auto"/>
        <w:left w:val="none" w:sz="0" w:space="0" w:color="auto"/>
        <w:bottom w:val="none" w:sz="0" w:space="0" w:color="auto"/>
        <w:right w:val="none" w:sz="0" w:space="0" w:color="auto"/>
      </w:divBdr>
    </w:div>
    <w:div w:id="718289741">
      <w:bodyDiv w:val="1"/>
      <w:marLeft w:val="0"/>
      <w:marRight w:val="0"/>
      <w:marTop w:val="0"/>
      <w:marBottom w:val="0"/>
      <w:divBdr>
        <w:top w:val="none" w:sz="0" w:space="0" w:color="auto"/>
        <w:left w:val="none" w:sz="0" w:space="0" w:color="auto"/>
        <w:bottom w:val="none" w:sz="0" w:space="0" w:color="auto"/>
        <w:right w:val="none" w:sz="0" w:space="0" w:color="auto"/>
      </w:divBdr>
    </w:div>
    <w:div w:id="787360933">
      <w:bodyDiv w:val="1"/>
      <w:marLeft w:val="0"/>
      <w:marRight w:val="0"/>
      <w:marTop w:val="0"/>
      <w:marBottom w:val="0"/>
      <w:divBdr>
        <w:top w:val="none" w:sz="0" w:space="0" w:color="auto"/>
        <w:left w:val="none" w:sz="0" w:space="0" w:color="auto"/>
        <w:bottom w:val="none" w:sz="0" w:space="0" w:color="auto"/>
        <w:right w:val="none" w:sz="0" w:space="0" w:color="auto"/>
      </w:divBdr>
    </w:div>
    <w:div w:id="873923322">
      <w:bodyDiv w:val="1"/>
      <w:marLeft w:val="0"/>
      <w:marRight w:val="0"/>
      <w:marTop w:val="0"/>
      <w:marBottom w:val="0"/>
      <w:divBdr>
        <w:top w:val="none" w:sz="0" w:space="0" w:color="auto"/>
        <w:left w:val="none" w:sz="0" w:space="0" w:color="auto"/>
        <w:bottom w:val="none" w:sz="0" w:space="0" w:color="auto"/>
        <w:right w:val="none" w:sz="0" w:space="0" w:color="auto"/>
      </w:divBdr>
    </w:div>
    <w:div w:id="920993389">
      <w:bodyDiv w:val="1"/>
      <w:marLeft w:val="0"/>
      <w:marRight w:val="0"/>
      <w:marTop w:val="0"/>
      <w:marBottom w:val="0"/>
      <w:divBdr>
        <w:top w:val="none" w:sz="0" w:space="0" w:color="auto"/>
        <w:left w:val="none" w:sz="0" w:space="0" w:color="auto"/>
        <w:bottom w:val="none" w:sz="0" w:space="0" w:color="auto"/>
        <w:right w:val="none" w:sz="0" w:space="0" w:color="auto"/>
      </w:divBdr>
    </w:div>
    <w:div w:id="942223247">
      <w:bodyDiv w:val="1"/>
      <w:marLeft w:val="0"/>
      <w:marRight w:val="0"/>
      <w:marTop w:val="0"/>
      <w:marBottom w:val="0"/>
      <w:divBdr>
        <w:top w:val="none" w:sz="0" w:space="0" w:color="auto"/>
        <w:left w:val="none" w:sz="0" w:space="0" w:color="auto"/>
        <w:bottom w:val="none" w:sz="0" w:space="0" w:color="auto"/>
        <w:right w:val="none" w:sz="0" w:space="0" w:color="auto"/>
      </w:divBdr>
    </w:div>
    <w:div w:id="967009993">
      <w:bodyDiv w:val="1"/>
      <w:marLeft w:val="0"/>
      <w:marRight w:val="0"/>
      <w:marTop w:val="0"/>
      <w:marBottom w:val="0"/>
      <w:divBdr>
        <w:top w:val="none" w:sz="0" w:space="0" w:color="auto"/>
        <w:left w:val="none" w:sz="0" w:space="0" w:color="auto"/>
        <w:bottom w:val="none" w:sz="0" w:space="0" w:color="auto"/>
        <w:right w:val="none" w:sz="0" w:space="0" w:color="auto"/>
      </w:divBdr>
    </w:div>
    <w:div w:id="1034767035">
      <w:bodyDiv w:val="1"/>
      <w:marLeft w:val="0"/>
      <w:marRight w:val="0"/>
      <w:marTop w:val="0"/>
      <w:marBottom w:val="0"/>
      <w:divBdr>
        <w:top w:val="none" w:sz="0" w:space="0" w:color="auto"/>
        <w:left w:val="none" w:sz="0" w:space="0" w:color="auto"/>
        <w:bottom w:val="none" w:sz="0" w:space="0" w:color="auto"/>
        <w:right w:val="none" w:sz="0" w:space="0" w:color="auto"/>
      </w:divBdr>
    </w:div>
    <w:div w:id="1051925407">
      <w:bodyDiv w:val="1"/>
      <w:marLeft w:val="0"/>
      <w:marRight w:val="0"/>
      <w:marTop w:val="0"/>
      <w:marBottom w:val="0"/>
      <w:divBdr>
        <w:top w:val="none" w:sz="0" w:space="0" w:color="auto"/>
        <w:left w:val="none" w:sz="0" w:space="0" w:color="auto"/>
        <w:bottom w:val="none" w:sz="0" w:space="0" w:color="auto"/>
        <w:right w:val="none" w:sz="0" w:space="0" w:color="auto"/>
      </w:divBdr>
    </w:div>
    <w:div w:id="1055548714">
      <w:bodyDiv w:val="1"/>
      <w:marLeft w:val="0"/>
      <w:marRight w:val="0"/>
      <w:marTop w:val="0"/>
      <w:marBottom w:val="0"/>
      <w:divBdr>
        <w:top w:val="none" w:sz="0" w:space="0" w:color="auto"/>
        <w:left w:val="none" w:sz="0" w:space="0" w:color="auto"/>
        <w:bottom w:val="none" w:sz="0" w:space="0" w:color="auto"/>
        <w:right w:val="none" w:sz="0" w:space="0" w:color="auto"/>
      </w:divBdr>
    </w:div>
    <w:div w:id="1073239938">
      <w:bodyDiv w:val="1"/>
      <w:marLeft w:val="0"/>
      <w:marRight w:val="0"/>
      <w:marTop w:val="0"/>
      <w:marBottom w:val="0"/>
      <w:divBdr>
        <w:top w:val="none" w:sz="0" w:space="0" w:color="auto"/>
        <w:left w:val="none" w:sz="0" w:space="0" w:color="auto"/>
        <w:bottom w:val="none" w:sz="0" w:space="0" w:color="auto"/>
        <w:right w:val="none" w:sz="0" w:space="0" w:color="auto"/>
      </w:divBdr>
    </w:div>
    <w:div w:id="1119957017">
      <w:bodyDiv w:val="1"/>
      <w:marLeft w:val="0"/>
      <w:marRight w:val="0"/>
      <w:marTop w:val="0"/>
      <w:marBottom w:val="0"/>
      <w:divBdr>
        <w:top w:val="none" w:sz="0" w:space="0" w:color="auto"/>
        <w:left w:val="none" w:sz="0" w:space="0" w:color="auto"/>
        <w:bottom w:val="none" w:sz="0" w:space="0" w:color="auto"/>
        <w:right w:val="none" w:sz="0" w:space="0" w:color="auto"/>
      </w:divBdr>
    </w:div>
    <w:div w:id="1159809554">
      <w:bodyDiv w:val="1"/>
      <w:marLeft w:val="0"/>
      <w:marRight w:val="0"/>
      <w:marTop w:val="0"/>
      <w:marBottom w:val="0"/>
      <w:divBdr>
        <w:top w:val="none" w:sz="0" w:space="0" w:color="auto"/>
        <w:left w:val="none" w:sz="0" w:space="0" w:color="auto"/>
        <w:bottom w:val="none" w:sz="0" w:space="0" w:color="auto"/>
        <w:right w:val="none" w:sz="0" w:space="0" w:color="auto"/>
      </w:divBdr>
    </w:div>
    <w:div w:id="1235623770">
      <w:bodyDiv w:val="1"/>
      <w:marLeft w:val="0"/>
      <w:marRight w:val="0"/>
      <w:marTop w:val="0"/>
      <w:marBottom w:val="0"/>
      <w:divBdr>
        <w:top w:val="none" w:sz="0" w:space="0" w:color="auto"/>
        <w:left w:val="none" w:sz="0" w:space="0" w:color="auto"/>
        <w:bottom w:val="none" w:sz="0" w:space="0" w:color="auto"/>
        <w:right w:val="none" w:sz="0" w:space="0" w:color="auto"/>
      </w:divBdr>
    </w:div>
    <w:div w:id="1268462703">
      <w:bodyDiv w:val="1"/>
      <w:marLeft w:val="0"/>
      <w:marRight w:val="0"/>
      <w:marTop w:val="0"/>
      <w:marBottom w:val="0"/>
      <w:divBdr>
        <w:top w:val="none" w:sz="0" w:space="0" w:color="auto"/>
        <w:left w:val="none" w:sz="0" w:space="0" w:color="auto"/>
        <w:bottom w:val="none" w:sz="0" w:space="0" w:color="auto"/>
        <w:right w:val="none" w:sz="0" w:space="0" w:color="auto"/>
      </w:divBdr>
    </w:div>
    <w:div w:id="1271425973">
      <w:bodyDiv w:val="1"/>
      <w:marLeft w:val="0"/>
      <w:marRight w:val="0"/>
      <w:marTop w:val="0"/>
      <w:marBottom w:val="0"/>
      <w:divBdr>
        <w:top w:val="none" w:sz="0" w:space="0" w:color="auto"/>
        <w:left w:val="none" w:sz="0" w:space="0" w:color="auto"/>
        <w:bottom w:val="none" w:sz="0" w:space="0" w:color="auto"/>
        <w:right w:val="none" w:sz="0" w:space="0" w:color="auto"/>
      </w:divBdr>
    </w:div>
    <w:div w:id="1338843004">
      <w:bodyDiv w:val="1"/>
      <w:marLeft w:val="0"/>
      <w:marRight w:val="0"/>
      <w:marTop w:val="0"/>
      <w:marBottom w:val="0"/>
      <w:divBdr>
        <w:top w:val="none" w:sz="0" w:space="0" w:color="auto"/>
        <w:left w:val="none" w:sz="0" w:space="0" w:color="auto"/>
        <w:bottom w:val="none" w:sz="0" w:space="0" w:color="auto"/>
        <w:right w:val="none" w:sz="0" w:space="0" w:color="auto"/>
      </w:divBdr>
    </w:div>
    <w:div w:id="1416324621">
      <w:bodyDiv w:val="1"/>
      <w:marLeft w:val="0"/>
      <w:marRight w:val="0"/>
      <w:marTop w:val="0"/>
      <w:marBottom w:val="0"/>
      <w:divBdr>
        <w:top w:val="none" w:sz="0" w:space="0" w:color="auto"/>
        <w:left w:val="none" w:sz="0" w:space="0" w:color="auto"/>
        <w:bottom w:val="none" w:sz="0" w:space="0" w:color="auto"/>
        <w:right w:val="none" w:sz="0" w:space="0" w:color="auto"/>
      </w:divBdr>
    </w:div>
    <w:div w:id="1461847975">
      <w:bodyDiv w:val="1"/>
      <w:marLeft w:val="0"/>
      <w:marRight w:val="0"/>
      <w:marTop w:val="0"/>
      <w:marBottom w:val="0"/>
      <w:divBdr>
        <w:top w:val="none" w:sz="0" w:space="0" w:color="auto"/>
        <w:left w:val="none" w:sz="0" w:space="0" w:color="auto"/>
        <w:bottom w:val="none" w:sz="0" w:space="0" w:color="auto"/>
        <w:right w:val="none" w:sz="0" w:space="0" w:color="auto"/>
      </w:divBdr>
    </w:div>
    <w:div w:id="1473593885">
      <w:bodyDiv w:val="1"/>
      <w:marLeft w:val="0"/>
      <w:marRight w:val="0"/>
      <w:marTop w:val="0"/>
      <w:marBottom w:val="0"/>
      <w:divBdr>
        <w:top w:val="none" w:sz="0" w:space="0" w:color="auto"/>
        <w:left w:val="none" w:sz="0" w:space="0" w:color="auto"/>
        <w:bottom w:val="none" w:sz="0" w:space="0" w:color="auto"/>
        <w:right w:val="none" w:sz="0" w:space="0" w:color="auto"/>
      </w:divBdr>
    </w:div>
    <w:div w:id="1513911030">
      <w:bodyDiv w:val="1"/>
      <w:marLeft w:val="0"/>
      <w:marRight w:val="0"/>
      <w:marTop w:val="0"/>
      <w:marBottom w:val="0"/>
      <w:divBdr>
        <w:top w:val="none" w:sz="0" w:space="0" w:color="auto"/>
        <w:left w:val="none" w:sz="0" w:space="0" w:color="auto"/>
        <w:bottom w:val="none" w:sz="0" w:space="0" w:color="auto"/>
        <w:right w:val="none" w:sz="0" w:space="0" w:color="auto"/>
      </w:divBdr>
    </w:div>
    <w:div w:id="1527255343">
      <w:bodyDiv w:val="1"/>
      <w:marLeft w:val="0"/>
      <w:marRight w:val="0"/>
      <w:marTop w:val="0"/>
      <w:marBottom w:val="0"/>
      <w:divBdr>
        <w:top w:val="none" w:sz="0" w:space="0" w:color="auto"/>
        <w:left w:val="none" w:sz="0" w:space="0" w:color="auto"/>
        <w:bottom w:val="none" w:sz="0" w:space="0" w:color="auto"/>
        <w:right w:val="none" w:sz="0" w:space="0" w:color="auto"/>
      </w:divBdr>
    </w:div>
    <w:div w:id="1597059607">
      <w:bodyDiv w:val="1"/>
      <w:marLeft w:val="0"/>
      <w:marRight w:val="0"/>
      <w:marTop w:val="0"/>
      <w:marBottom w:val="0"/>
      <w:divBdr>
        <w:top w:val="none" w:sz="0" w:space="0" w:color="auto"/>
        <w:left w:val="none" w:sz="0" w:space="0" w:color="auto"/>
        <w:bottom w:val="none" w:sz="0" w:space="0" w:color="auto"/>
        <w:right w:val="none" w:sz="0" w:space="0" w:color="auto"/>
      </w:divBdr>
    </w:div>
    <w:div w:id="1600870388">
      <w:bodyDiv w:val="1"/>
      <w:marLeft w:val="0"/>
      <w:marRight w:val="0"/>
      <w:marTop w:val="0"/>
      <w:marBottom w:val="0"/>
      <w:divBdr>
        <w:top w:val="none" w:sz="0" w:space="0" w:color="auto"/>
        <w:left w:val="none" w:sz="0" w:space="0" w:color="auto"/>
        <w:bottom w:val="none" w:sz="0" w:space="0" w:color="auto"/>
        <w:right w:val="none" w:sz="0" w:space="0" w:color="auto"/>
      </w:divBdr>
    </w:div>
    <w:div w:id="1832330758">
      <w:bodyDiv w:val="1"/>
      <w:marLeft w:val="0"/>
      <w:marRight w:val="0"/>
      <w:marTop w:val="0"/>
      <w:marBottom w:val="0"/>
      <w:divBdr>
        <w:top w:val="none" w:sz="0" w:space="0" w:color="auto"/>
        <w:left w:val="none" w:sz="0" w:space="0" w:color="auto"/>
        <w:bottom w:val="none" w:sz="0" w:space="0" w:color="auto"/>
        <w:right w:val="none" w:sz="0" w:space="0" w:color="auto"/>
      </w:divBdr>
    </w:div>
    <w:div w:id="1925145090">
      <w:bodyDiv w:val="1"/>
      <w:marLeft w:val="0"/>
      <w:marRight w:val="0"/>
      <w:marTop w:val="0"/>
      <w:marBottom w:val="0"/>
      <w:divBdr>
        <w:top w:val="none" w:sz="0" w:space="0" w:color="auto"/>
        <w:left w:val="none" w:sz="0" w:space="0" w:color="auto"/>
        <w:bottom w:val="none" w:sz="0" w:space="0" w:color="auto"/>
        <w:right w:val="none" w:sz="0" w:space="0" w:color="auto"/>
      </w:divBdr>
    </w:div>
    <w:div w:id="2013333216">
      <w:bodyDiv w:val="1"/>
      <w:marLeft w:val="0"/>
      <w:marRight w:val="0"/>
      <w:marTop w:val="0"/>
      <w:marBottom w:val="0"/>
      <w:divBdr>
        <w:top w:val="none" w:sz="0" w:space="0" w:color="auto"/>
        <w:left w:val="none" w:sz="0" w:space="0" w:color="auto"/>
        <w:bottom w:val="none" w:sz="0" w:space="0" w:color="auto"/>
        <w:right w:val="none" w:sz="0" w:space="0" w:color="auto"/>
      </w:divBdr>
    </w:div>
    <w:div w:id="2029284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2.toluca.gob.mx/paga-gobierno-municipal-mas-de-7-5-millones-de-pesos-en-finiquitos-y-laudos-labo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HBLDjWTp6p2cViPwAICSzCfqg==">CgMxLjAyCWguM3pueXNoNzIOaC55aGJmdjc1Njc2bXQyDmguajNwcHl4d2xiMXMyMghoLnR5amN3dDINaC5qbDBkbGFzb3Q0ZjgAciExT2VTcXNycWJ5dV9lUFpCNllQZmpuS1pnTFpXX0ZnbnM=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13447</Words>
  <Characters>73959</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dcterms:created xsi:type="dcterms:W3CDTF">2026-04-07T17:54:00Z</dcterms:created>
  <dcterms:modified xsi:type="dcterms:W3CDTF">2026-04-07T17:54:00Z</dcterms:modified>
</cp:coreProperties>
</file>