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7B127" w14:textId="77777777" w:rsidR="00BA6005" w:rsidRDefault="00BA6005">
      <w:pPr>
        <w:widowControl w:val="0"/>
        <w:pBdr>
          <w:top w:val="nil"/>
          <w:left w:val="nil"/>
          <w:bottom w:val="nil"/>
          <w:right w:val="nil"/>
          <w:between w:val="nil"/>
        </w:pBdr>
        <w:spacing w:line="276" w:lineRule="auto"/>
      </w:pPr>
    </w:p>
    <w:p w14:paraId="6783EBAC" w14:textId="77777777" w:rsidR="00BA6005" w:rsidRDefault="00BA6005">
      <w:pPr>
        <w:keepNext/>
        <w:keepLines/>
        <w:pBdr>
          <w:top w:val="nil"/>
          <w:left w:val="nil"/>
          <w:bottom w:val="nil"/>
          <w:right w:val="nil"/>
          <w:between w:val="nil"/>
        </w:pBdr>
        <w:spacing w:line="360" w:lineRule="auto"/>
        <w:rPr>
          <w:rFonts w:ascii="Palatino Linotype" w:eastAsia="Palatino Linotype" w:hAnsi="Palatino Linotype" w:cs="Palatino Linotype"/>
          <w:color w:val="000000"/>
          <w:sz w:val="22"/>
          <w:szCs w:val="22"/>
        </w:rPr>
      </w:pPr>
      <w:bookmarkStart w:id="0" w:name="_heading=h.sj5k69w81sdu" w:colFirst="0" w:colLast="0"/>
      <w:bookmarkEnd w:id="0"/>
    </w:p>
    <w:p w14:paraId="4AF522C4" w14:textId="77777777" w:rsidR="00BA6005" w:rsidRDefault="007C5973">
      <w:pPr>
        <w:keepNext/>
        <w:keepLines/>
        <w:pBdr>
          <w:top w:val="nil"/>
          <w:left w:val="nil"/>
          <w:bottom w:val="nil"/>
          <w:right w:val="nil"/>
          <w:between w:val="nil"/>
        </w:pBdr>
        <w:spacing w:line="360" w:lineRule="auto"/>
        <w:jc w:val="center"/>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RESOLUCIÓN DEL RECURSO DE REVISIÓN 11661/INFOEM/IP/RR/2025</w:t>
      </w:r>
    </w:p>
    <w:p w14:paraId="394387A7" w14:textId="77777777" w:rsidR="00BA6005" w:rsidRDefault="00BA6005">
      <w:pPr>
        <w:keepNext/>
        <w:keepLines/>
        <w:pBdr>
          <w:top w:val="nil"/>
          <w:left w:val="nil"/>
          <w:bottom w:val="nil"/>
          <w:right w:val="nil"/>
          <w:between w:val="nil"/>
        </w:pBdr>
        <w:spacing w:line="360" w:lineRule="auto"/>
        <w:rPr>
          <w:rFonts w:ascii="Palatino Linotype" w:eastAsia="Palatino Linotype" w:hAnsi="Palatino Linotype" w:cs="Palatino Linotype"/>
          <w:color w:val="000000"/>
          <w:sz w:val="22"/>
          <w:szCs w:val="22"/>
        </w:rPr>
      </w:pPr>
    </w:p>
    <w:sdt>
      <w:sdtPr>
        <w:id w:val="853506125"/>
        <w:docPartObj>
          <w:docPartGallery w:val="Table of Contents"/>
          <w:docPartUnique/>
        </w:docPartObj>
      </w:sdtPr>
      <w:sdtContent>
        <w:p w14:paraId="6EB7F253" w14:textId="77777777" w:rsidR="00BA6005" w:rsidRDefault="007C5973">
          <w:pPr>
            <w:pBdr>
              <w:top w:val="nil"/>
              <w:left w:val="nil"/>
              <w:bottom w:val="nil"/>
              <w:right w:val="nil"/>
              <w:between w:val="nil"/>
            </w:pBdr>
            <w:tabs>
              <w:tab w:val="right" w:pos="8828"/>
            </w:tabs>
            <w:spacing w:line="360" w:lineRule="auto"/>
            <w:rPr>
              <w:rFonts w:ascii="Calibri" w:eastAsia="Calibri" w:hAnsi="Calibri" w:cs="Calibri"/>
              <w:color w:val="000000"/>
              <w:sz w:val="22"/>
              <w:szCs w:val="22"/>
            </w:rPr>
          </w:pPr>
          <w:r>
            <w:fldChar w:fldCharType="begin"/>
          </w:r>
          <w:r>
            <w:instrText xml:space="preserve"> TOC \h \u \z \t "Heading 1,1,Heading 2,2,Heading 3,3,"</w:instrText>
          </w:r>
          <w:r>
            <w:fldChar w:fldCharType="separate"/>
          </w:r>
          <w:hyperlink w:anchor="_heading=h.3jkk3w62t7hz">
            <w:r>
              <w:rPr>
                <w:rFonts w:ascii="Palatino Linotype" w:eastAsia="Palatino Linotype" w:hAnsi="Palatino Linotype" w:cs="Palatino Linotype"/>
                <w:color w:val="000000"/>
                <w:sz w:val="22"/>
                <w:szCs w:val="22"/>
              </w:rPr>
              <w:t>A N T E C E D E N T E S</w:t>
            </w:r>
          </w:hyperlink>
          <w:hyperlink w:anchor="_heading=h.3jkk3w62t7hz">
            <w:r>
              <w:rPr>
                <w:rFonts w:ascii="Calibri" w:eastAsia="Calibri" w:hAnsi="Calibri" w:cs="Calibri"/>
                <w:color w:val="000000"/>
                <w:sz w:val="22"/>
                <w:szCs w:val="22"/>
              </w:rPr>
              <w:tab/>
              <w:t>2</w:t>
            </w:r>
          </w:hyperlink>
        </w:p>
        <w:p w14:paraId="21D84022" w14:textId="77777777" w:rsidR="00BA6005" w:rsidRDefault="007C5973">
          <w:pPr>
            <w:pBdr>
              <w:top w:val="nil"/>
              <w:left w:val="nil"/>
              <w:bottom w:val="nil"/>
              <w:right w:val="nil"/>
              <w:between w:val="nil"/>
            </w:pBdr>
            <w:tabs>
              <w:tab w:val="right" w:pos="8828"/>
            </w:tabs>
            <w:spacing w:line="360" w:lineRule="auto"/>
            <w:ind w:left="220"/>
            <w:rPr>
              <w:rFonts w:ascii="Calibri" w:eastAsia="Calibri" w:hAnsi="Calibri" w:cs="Calibri"/>
              <w:color w:val="000000"/>
              <w:sz w:val="22"/>
              <w:szCs w:val="22"/>
            </w:rPr>
          </w:pPr>
          <w:hyperlink w:anchor="_heading=h.4tw028tmez58">
            <w:r>
              <w:rPr>
                <w:rFonts w:ascii="Palatino Linotype" w:eastAsia="Palatino Linotype" w:hAnsi="Palatino Linotype" w:cs="Palatino Linotype"/>
                <w:color w:val="000000"/>
                <w:sz w:val="22"/>
                <w:szCs w:val="22"/>
              </w:rPr>
              <w:t>I. Presentación de la solicitud de información</w:t>
            </w:r>
          </w:hyperlink>
          <w:hyperlink w:anchor="_heading=h.4tw028tmez58">
            <w:r>
              <w:rPr>
                <w:rFonts w:ascii="Calibri" w:eastAsia="Calibri" w:hAnsi="Calibri" w:cs="Calibri"/>
                <w:color w:val="000000"/>
                <w:sz w:val="22"/>
                <w:szCs w:val="22"/>
              </w:rPr>
              <w:tab/>
              <w:t>2</w:t>
            </w:r>
          </w:hyperlink>
        </w:p>
        <w:p w14:paraId="00211413" w14:textId="77777777" w:rsidR="00BA6005" w:rsidRDefault="007C5973">
          <w:pPr>
            <w:pBdr>
              <w:top w:val="nil"/>
              <w:left w:val="nil"/>
              <w:bottom w:val="nil"/>
              <w:right w:val="nil"/>
              <w:between w:val="nil"/>
            </w:pBdr>
            <w:tabs>
              <w:tab w:val="right" w:pos="8828"/>
            </w:tabs>
            <w:spacing w:line="360" w:lineRule="auto"/>
            <w:ind w:left="220"/>
            <w:rPr>
              <w:rFonts w:ascii="Calibri" w:eastAsia="Calibri" w:hAnsi="Calibri" w:cs="Calibri"/>
              <w:color w:val="000000"/>
              <w:sz w:val="22"/>
              <w:szCs w:val="22"/>
            </w:rPr>
          </w:pPr>
          <w:hyperlink w:anchor="_heading=h.q514b4sonpkb">
            <w:r>
              <w:rPr>
                <w:rFonts w:ascii="Palatino Linotype" w:eastAsia="Palatino Linotype" w:hAnsi="Palatino Linotype" w:cs="Palatino Linotype"/>
                <w:color w:val="000000"/>
                <w:sz w:val="22"/>
                <w:szCs w:val="22"/>
              </w:rPr>
              <w:t>II. Respuesta del Sujeto Obligado</w:t>
            </w:r>
          </w:hyperlink>
          <w:hyperlink w:anchor="_heading=h.q514b4sonpkb">
            <w:r>
              <w:rPr>
                <w:rFonts w:ascii="Calibri" w:eastAsia="Calibri" w:hAnsi="Calibri" w:cs="Calibri"/>
                <w:color w:val="000000"/>
                <w:sz w:val="22"/>
                <w:szCs w:val="22"/>
              </w:rPr>
              <w:tab/>
              <w:t>3</w:t>
            </w:r>
          </w:hyperlink>
        </w:p>
        <w:p w14:paraId="100BC777" w14:textId="77777777" w:rsidR="00BA6005" w:rsidRDefault="007C5973">
          <w:pPr>
            <w:pBdr>
              <w:top w:val="nil"/>
              <w:left w:val="nil"/>
              <w:bottom w:val="nil"/>
              <w:right w:val="nil"/>
              <w:between w:val="nil"/>
            </w:pBdr>
            <w:tabs>
              <w:tab w:val="right" w:pos="8828"/>
            </w:tabs>
            <w:spacing w:line="360" w:lineRule="auto"/>
            <w:ind w:left="220"/>
            <w:rPr>
              <w:rFonts w:ascii="Calibri" w:eastAsia="Calibri" w:hAnsi="Calibri" w:cs="Calibri"/>
              <w:color w:val="000000"/>
              <w:sz w:val="22"/>
              <w:szCs w:val="22"/>
            </w:rPr>
          </w:pPr>
          <w:hyperlink w:anchor="_heading=h.r1lyq4lo1zy1">
            <w:r>
              <w:rPr>
                <w:rFonts w:ascii="Palatino Linotype" w:eastAsia="Palatino Linotype" w:hAnsi="Palatino Linotype" w:cs="Palatino Linotype"/>
                <w:color w:val="000000"/>
                <w:sz w:val="22"/>
                <w:szCs w:val="22"/>
              </w:rPr>
              <w:t>III. Interposición del Recurso de Revisión</w:t>
            </w:r>
          </w:hyperlink>
          <w:hyperlink w:anchor="_heading=h.r1lyq4lo1zy1">
            <w:r>
              <w:rPr>
                <w:rFonts w:ascii="Calibri" w:eastAsia="Calibri" w:hAnsi="Calibri" w:cs="Calibri"/>
                <w:color w:val="000000"/>
                <w:sz w:val="22"/>
                <w:szCs w:val="22"/>
              </w:rPr>
              <w:tab/>
              <w:t>4</w:t>
            </w:r>
          </w:hyperlink>
        </w:p>
        <w:p w14:paraId="2EEFDA4D" w14:textId="77777777" w:rsidR="00BA6005" w:rsidRDefault="007C5973">
          <w:pPr>
            <w:pBdr>
              <w:top w:val="nil"/>
              <w:left w:val="nil"/>
              <w:bottom w:val="nil"/>
              <w:right w:val="nil"/>
              <w:between w:val="nil"/>
            </w:pBdr>
            <w:tabs>
              <w:tab w:val="right" w:pos="8828"/>
            </w:tabs>
            <w:spacing w:line="360" w:lineRule="auto"/>
            <w:ind w:left="220"/>
            <w:rPr>
              <w:rFonts w:ascii="Calibri" w:eastAsia="Calibri" w:hAnsi="Calibri" w:cs="Calibri"/>
              <w:color w:val="000000"/>
              <w:sz w:val="22"/>
              <w:szCs w:val="22"/>
            </w:rPr>
          </w:pPr>
          <w:hyperlink w:anchor="_heading=h.7lssj83ru48t">
            <w:r>
              <w:rPr>
                <w:rFonts w:ascii="Palatino Linotype" w:eastAsia="Palatino Linotype" w:hAnsi="Palatino Linotype" w:cs="Palatino Linotype"/>
                <w:color w:val="000000"/>
                <w:sz w:val="22"/>
                <w:szCs w:val="22"/>
              </w:rPr>
              <w:t>IV. Trámite del Recurso de Revisión ante este Instituto</w:t>
            </w:r>
          </w:hyperlink>
          <w:hyperlink w:anchor="_heading=h.7lssj83ru48t">
            <w:r>
              <w:rPr>
                <w:rFonts w:ascii="Calibri" w:eastAsia="Calibri" w:hAnsi="Calibri" w:cs="Calibri"/>
                <w:color w:val="000000"/>
                <w:sz w:val="22"/>
                <w:szCs w:val="22"/>
              </w:rPr>
              <w:tab/>
              <w:t>4</w:t>
            </w:r>
          </w:hyperlink>
        </w:p>
        <w:p w14:paraId="42969B6A" w14:textId="77777777" w:rsidR="00BA6005" w:rsidRDefault="007C5973">
          <w:pPr>
            <w:pBdr>
              <w:top w:val="nil"/>
              <w:left w:val="nil"/>
              <w:bottom w:val="nil"/>
              <w:right w:val="nil"/>
              <w:between w:val="nil"/>
            </w:pBdr>
            <w:tabs>
              <w:tab w:val="right" w:pos="8828"/>
            </w:tabs>
            <w:spacing w:line="360" w:lineRule="auto"/>
            <w:rPr>
              <w:rFonts w:ascii="Calibri" w:eastAsia="Calibri" w:hAnsi="Calibri" w:cs="Calibri"/>
              <w:color w:val="000000"/>
              <w:sz w:val="22"/>
              <w:szCs w:val="22"/>
            </w:rPr>
          </w:pPr>
          <w:hyperlink w:anchor="_heading=h.ph65fmwdtwym">
            <w:r>
              <w:rPr>
                <w:rFonts w:ascii="Palatino Linotype" w:eastAsia="Palatino Linotype" w:hAnsi="Palatino Linotype" w:cs="Palatino Linotype"/>
                <w:color w:val="000000"/>
                <w:sz w:val="22"/>
                <w:szCs w:val="22"/>
              </w:rPr>
              <w:t>C O N S I D E R A N D O S</w:t>
            </w:r>
          </w:hyperlink>
          <w:hyperlink w:anchor="_heading=h.ph65fmwdtwym">
            <w:r>
              <w:rPr>
                <w:rFonts w:ascii="Calibri" w:eastAsia="Calibri" w:hAnsi="Calibri" w:cs="Calibri"/>
                <w:color w:val="000000"/>
                <w:sz w:val="22"/>
                <w:szCs w:val="22"/>
              </w:rPr>
              <w:tab/>
              <w:t>8</w:t>
            </w:r>
          </w:hyperlink>
        </w:p>
        <w:p w14:paraId="26D4FC96" w14:textId="77777777" w:rsidR="00BA6005" w:rsidRDefault="007C5973">
          <w:pPr>
            <w:pBdr>
              <w:top w:val="nil"/>
              <w:left w:val="nil"/>
              <w:bottom w:val="nil"/>
              <w:right w:val="nil"/>
              <w:between w:val="nil"/>
            </w:pBdr>
            <w:tabs>
              <w:tab w:val="right" w:pos="8828"/>
            </w:tabs>
            <w:spacing w:line="360" w:lineRule="auto"/>
            <w:ind w:left="220"/>
            <w:rPr>
              <w:rFonts w:ascii="Calibri" w:eastAsia="Calibri" w:hAnsi="Calibri" w:cs="Calibri"/>
              <w:color w:val="000000"/>
              <w:sz w:val="22"/>
              <w:szCs w:val="22"/>
            </w:rPr>
          </w:pPr>
          <w:hyperlink w:anchor="_heading=h.v7i59auh9aed">
            <w:r>
              <w:rPr>
                <w:rFonts w:ascii="Palatino Linotype" w:eastAsia="Palatino Linotype" w:hAnsi="Palatino Linotype" w:cs="Palatino Linotype"/>
                <w:color w:val="000000"/>
                <w:sz w:val="22"/>
                <w:szCs w:val="22"/>
              </w:rPr>
              <w:t>PRIMERO. Competencia</w:t>
            </w:r>
          </w:hyperlink>
          <w:hyperlink w:anchor="_heading=h.v7i59auh9aed">
            <w:r>
              <w:rPr>
                <w:rFonts w:ascii="Calibri" w:eastAsia="Calibri" w:hAnsi="Calibri" w:cs="Calibri"/>
                <w:color w:val="000000"/>
                <w:sz w:val="22"/>
                <w:szCs w:val="22"/>
              </w:rPr>
              <w:tab/>
              <w:t>8</w:t>
            </w:r>
          </w:hyperlink>
        </w:p>
        <w:p w14:paraId="53EAE07B" w14:textId="77777777" w:rsidR="00BA6005" w:rsidRDefault="007C5973">
          <w:pPr>
            <w:pBdr>
              <w:top w:val="nil"/>
              <w:left w:val="nil"/>
              <w:bottom w:val="nil"/>
              <w:right w:val="nil"/>
              <w:between w:val="nil"/>
            </w:pBdr>
            <w:tabs>
              <w:tab w:val="right" w:pos="8828"/>
            </w:tabs>
            <w:spacing w:line="360" w:lineRule="auto"/>
            <w:ind w:left="220"/>
            <w:rPr>
              <w:rFonts w:ascii="Calibri" w:eastAsia="Calibri" w:hAnsi="Calibri" w:cs="Calibri"/>
              <w:color w:val="000000"/>
              <w:sz w:val="22"/>
              <w:szCs w:val="22"/>
            </w:rPr>
          </w:pPr>
          <w:hyperlink w:anchor="_heading=h.wj8cdmx99r4">
            <w:r>
              <w:rPr>
                <w:rFonts w:ascii="Palatino Linotype" w:eastAsia="Palatino Linotype" w:hAnsi="Palatino Linotype" w:cs="Palatino Linotype"/>
                <w:color w:val="000000"/>
                <w:sz w:val="22"/>
                <w:szCs w:val="22"/>
              </w:rPr>
              <w:t>SEGUNDO. Causales de improcedencia y sobreseimiento</w:t>
            </w:r>
          </w:hyperlink>
          <w:hyperlink w:anchor="_heading=h.wj8cdmx99r4">
            <w:r>
              <w:rPr>
                <w:rFonts w:ascii="Calibri" w:eastAsia="Calibri" w:hAnsi="Calibri" w:cs="Calibri"/>
                <w:color w:val="000000"/>
                <w:sz w:val="22"/>
                <w:szCs w:val="22"/>
              </w:rPr>
              <w:tab/>
              <w:t>8</w:t>
            </w:r>
          </w:hyperlink>
        </w:p>
        <w:p w14:paraId="74B2AE4A" w14:textId="77777777" w:rsidR="00BA6005" w:rsidRDefault="007C5973">
          <w:pPr>
            <w:pBdr>
              <w:top w:val="nil"/>
              <w:left w:val="nil"/>
              <w:bottom w:val="nil"/>
              <w:right w:val="nil"/>
              <w:between w:val="nil"/>
            </w:pBdr>
            <w:tabs>
              <w:tab w:val="right" w:pos="8828"/>
            </w:tabs>
            <w:spacing w:line="360" w:lineRule="auto"/>
            <w:ind w:left="220"/>
            <w:rPr>
              <w:rFonts w:ascii="Calibri" w:eastAsia="Calibri" w:hAnsi="Calibri" w:cs="Calibri"/>
              <w:color w:val="000000"/>
              <w:sz w:val="22"/>
              <w:szCs w:val="22"/>
            </w:rPr>
          </w:pPr>
          <w:hyperlink w:anchor="_heading=h.an0qdw5hiycb">
            <w:r>
              <w:rPr>
                <w:rFonts w:ascii="Palatino Linotype" w:eastAsia="Palatino Linotype" w:hAnsi="Palatino Linotype" w:cs="Palatino Linotype"/>
                <w:color w:val="000000"/>
                <w:sz w:val="22"/>
                <w:szCs w:val="22"/>
              </w:rPr>
              <w:t>CUARTO. Marco normativo aplicable en materia de transparencia y acceso a la información pública</w:t>
            </w:r>
          </w:hyperlink>
          <w:hyperlink w:anchor="_heading=h.an0qdw5hiycb">
            <w:r>
              <w:rPr>
                <w:rFonts w:ascii="Calibri" w:eastAsia="Calibri" w:hAnsi="Calibri" w:cs="Calibri"/>
                <w:color w:val="000000"/>
                <w:sz w:val="22"/>
                <w:szCs w:val="22"/>
              </w:rPr>
              <w:tab/>
              <w:t>12</w:t>
            </w:r>
          </w:hyperlink>
        </w:p>
        <w:p w14:paraId="05D54466" w14:textId="77777777" w:rsidR="00BA6005" w:rsidRDefault="007C5973">
          <w:pPr>
            <w:pBdr>
              <w:top w:val="nil"/>
              <w:left w:val="nil"/>
              <w:bottom w:val="nil"/>
              <w:right w:val="nil"/>
              <w:between w:val="nil"/>
            </w:pBdr>
            <w:tabs>
              <w:tab w:val="right" w:pos="8828"/>
            </w:tabs>
            <w:spacing w:line="360" w:lineRule="auto"/>
            <w:ind w:left="220"/>
            <w:rPr>
              <w:rFonts w:ascii="Calibri" w:eastAsia="Calibri" w:hAnsi="Calibri" w:cs="Calibri"/>
              <w:color w:val="000000"/>
              <w:sz w:val="22"/>
              <w:szCs w:val="22"/>
            </w:rPr>
          </w:pPr>
          <w:hyperlink w:anchor="_heading=h.iu7wifpez0l">
            <w:r>
              <w:rPr>
                <w:rFonts w:ascii="Palatino Linotype" w:eastAsia="Palatino Linotype" w:hAnsi="Palatino Linotype" w:cs="Palatino Linotype"/>
                <w:color w:val="000000"/>
                <w:sz w:val="22"/>
                <w:szCs w:val="22"/>
              </w:rPr>
              <w:t>QUINTO. Estudio de Fondo</w:t>
            </w:r>
          </w:hyperlink>
          <w:hyperlink w:anchor="_heading=h.iu7wifpez0l">
            <w:r>
              <w:rPr>
                <w:rFonts w:ascii="Calibri" w:eastAsia="Calibri" w:hAnsi="Calibri" w:cs="Calibri"/>
                <w:color w:val="000000"/>
                <w:sz w:val="22"/>
                <w:szCs w:val="22"/>
              </w:rPr>
              <w:tab/>
              <w:t>13</w:t>
            </w:r>
          </w:hyperlink>
        </w:p>
        <w:p w14:paraId="61ADA5BD" w14:textId="77777777" w:rsidR="00BA6005" w:rsidRDefault="007C5973">
          <w:pPr>
            <w:pBdr>
              <w:top w:val="nil"/>
              <w:left w:val="nil"/>
              <w:bottom w:val="nil"/>
              <w:right w:val="nil"/>
              <w:between w:val="nil"/>
            </w:pBdr>
            <w:tabs>
              <w:tab w:val="right" w:pos="8828"/>
            </w:tabs>
            <w:spacing w:line="360" w:lineRule="auto"/>
            <w:ind w:left="220"/>
            <w:rPr>
              <w:rFonts w:ascii="Calibri" w:eastAsia="Calibri" w:hAnsi="Calibri" w:cs="Calibri"/>
              <w:color w:val="000000"/>
              <w:sz w:val="22"/>
              <w:szCs w:val="22"/>
            </w:rPr>
          </w:pPr>
          <w:hyperlink w:anchor="_heading=h.4q0tcf2zxw2z">
            <w:r>
              <w:rPr>
                <w:rFonts w:ascii="Palatino Linotype" w:eastAsia="Palatino Linotype" w:hAnsi="Palatino Linotype" w:cs="Palatino Linotype"/>
                <w:color w:val="000000"/>
                <w:sz w:val="22"/>
                <w:szCs w:val="22"/>
              </w:rPr>
              <w:t>SEXTO. Decisión</w:t>
            </w:r>
          </w:hyperlink>
          <w:hyperlink w:anchor="_heading=h.4q0tcf2zxw2z">
            <w:r>
              <w:rPr>
                <w:rFonts w:ascii="Calibri" w:eastAsia="Calibri" w:hAnsi="Calibri" w:cs="Calibri"/>
                <w:color w:val="000000"/>
                <w:sz w:val="22"/>
                <w:szCs w:val="22"/>
              </w:rPr>
              <w:tab/>
              <w:t>25</w:t>
            </w:r>
          </w:hyperlink>
        </w:p>
        <w:p w14:paraId="5DBC35B3" w14:textId="77777777" w:rsidR="00BA6005" w:rsidRDefault="007C5973">
          <w:pPr>
            <w:pBdr>
              <w:top w:val="nil"/>
              <w:left w:val="nil"/>
              <w:bottom w:val="nil"/>
              <w:right w:val="nil"/>
              <w:between w:val="nil"/>
            </w:pBdr>
            <w:tabs>
              <w:tab w:val="right" w:pos="8828"/>
            </w:tabs>
            <w:spacing w:line="360" w:lineRule="auto"/>
            <w:rPr>
              <w:rFonts w:ascii="Calibri" w:eastAsia="Calibri" w:hAnsi="Calibri" w:cs="Calibri"/>
              <w:color w:val="000000"/>
              <w:sz w:val="22"/>
              <w:szCs w:val="22"/>
            </w:rPr>
          </w:pPr>
          <w:hyperlink w:anchor="_heading=h.1dhi2xg84obw">
            <w:r>
              <w:rPr>
                <w:rFonts w:ascii="Palatino Linotype" w:eastAsia="Palatino Linotype" w:hAnsi="Palatino Linotype" w:cs="Palatino Linotype"/>
                <w:color w:val="000000"/>
                <w:sz w:val="22"/>
                <w:szCs w:val="22"/>
              </w:rPr>
              <w:t>R E S U E L V E</w:t>
            </w:r>
          </w:hyperlink>
          <w:hyperlink w:anchor="_heading=h.1dhi2xg84obw">
            <w:r>
              <w:rPr>
                <w:rFonts w:ascii="Calibri" w:eastAsia="Calibri" w:hAnsi="Calibri" w:cs="Calibri"/>
                <w:color w:val="000000"/>
                <w:sz w:val="22"/>
                <w:szCs w:val="22"/>
              </w:rPr>
              <w:tab/>
              <w:t>26</w:t>
            </w:r>
          </w:hyperlink>
        </w:p>
        <w:p w14:paraId="1864FF67" w14:textId="77777777" w:rsidR="00BA6005" w:rsidRDefault="007C5973">
          <w:pPr>
            <w:spacing w:line="360" w:lineRule="auto"/>
            <w:jc w:val="both"/>
            <w:rPr>
              <w:rFonts w:ascii="Palatino Linotype" w:eastAsia="Palatino Linotype" w:hAnsi="Palatino Linotype" w:cs="Palatino Linotype"/>
              <w:sz w:val="22"/>
              <w:szCs w:val="22"/>
            </w:rPr>
          </w:pPr>
          <w:r>
            <w:fldChar w:fldCharType="end"/>
          </w:r>
        </w:p>
      </w:sdtContent>
    </w:sdt>
    <w:p w14:paraId="75A6D10E" w14:textId="77777777" w:rsidR="00BA6005" w:rsidRDefault="007C5973">
      <w:pPr>
        <w:spacing w:line="360" w:lineRule="auto"/>
        <w:rPr>
          <w:rFonts w:ascii="Palatino Linotype" w:eastAsia="Palatino Linotype" w:hAnsi="Palatino Linotype" w:cs="Palatino Linotype"/>
          <w:sz w:val="22"/>
          <w:szCs w:val="22"/>
        </w:rPr>
      </w:pPr>
      <w:r>
        <w:br w:type="page"/>
      </w:r>
    </w:p>
    <w:p w14:paraId="1BAF0099" w14:textId="77777777" w:rsidR="00BA6005" w:rsidRDefault="00BA6005">
      <w:pPr>
        <w:spacing w:line="360" w:lineRule="auto"/>
        <w:jc w:val="both"/>
        <w:rPr>
          <w:rFonts w:ascii="Palatino Linotype" w:eastAsia="Palatino Linotype" w:hAnsi="Palatino Linotype" w:cs="Palatino Linotype"/>
          <w:sz w:val="22"/>
          <w:szCs w:val="22"/>
        </w:rPr>
      </w:pPr>
    </w:p>
    <w:p w14:paraId="23B6A076"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Resolución del Pleno del Instituto de Transparencia, Acceso a la Información Pública y Protección de Datos Personales del Estado de México y Municipios, con domicilio en Metepec, Estado de México, del cinco de marzo de dos mil veintiséis.</w:t>
      </w:r>
    </w:p>
    <w:p w14:paraId="30368F28" w14:textId="77777777" w:rsidR="00BA6005" w:rsidRDefault="00BA6005">
      <w:pPr>
        <w:spacing w:line="360" w:lineRule="auto"/>
        <w:rPr>
          <w:rFonts w:ascii="Palatino Linotype" w:eastAsia="Palatino Linotype" w:hAnsi="Palatino Linotype" w:cs="Palatino Linotype"/>
          <w:sz w:val="22"/>
          <w:szCs w:val="22"/>
        </w:rPr>
      </w:pPr>
    </w:p>
    <w:p w14:paraId="381EC587" w14:textId="77777777" w:rsidR="00BA6005" w:rsidRDefault="007C5973">
      <w:pPr>
        <w:spacing w:line="360" w:lineRule="auto"/>
        <w:jc w:val="both"/>
        <w:rPr>
          <w:rFonts w:ascii="Palatino Linotype" w:eastAsia="Palatino Linotype" w:hAnsi="Palatino Linotype" w:cs="Palatino Linotype"/>
          <w:sz w:val="22"/>
          <w:szCs w:val="22"/>
        </w:rPr>
      </w:pPr>
      <w:bookmarkStart w:id="1" w:name="_heading=h.xrcw6xknjplm" w:colFirst="0" w:colLast="0"/>
      <w:bookmarkEnd w:id="1"/>
      <w:r>
        <w:rPr>
          <w:rFonts w:ascii="Palatino Linotype" w:eastAsia="Palatino Linotype" w:hAnsi="Palatino Linotype" w:cs="Palatino Linotype"/>
          <w:b/>
          <w:bCs/>
          <w:color w:val="0D0D0D"/>
          <w:sz w:val="22"/>
          <w:szCs w:val="22"/>
        </w:rPr>
        <w:t xml:space="preserve">VISTO </w:t>
      </w:r>
      <w:r>
        <w:rPr>
          <w:rFonts w:ascii="Palatino Linotype" w:eastAsia="Palatino Linotype" w:hAnsi="Palatino Linotype" w:cs="Palatino Linotype"/>
          <w:color w:val="0D0D0D"/>
          <w:sz w:val="22"/>
          <w:szCs w:val="22"/>
        </w:rPr>
        <w:t xml:space="preserve">el expediente conformado con motivo del Recurso de Revisión </w:t>
      </w:r>
      <w:r w:rsidRPr="00E308C6">
        <w:rPr>
          <w:rFonts w:ascii="Palatino Linotype" w:eastAsia="Palatino Linotype" w:hAnsi="Palatino Linotype" w:cs="Palatino Linotype"/>
          <w:b/>
          <w:sz w:val="22"/>
          <w:szCs w:val="22"/>
        </w:rPr>
        <w:t>11661/INFOEM/IP/RR/2025</w:t>
      </w:r>
      <w:r>
        <w:rPr>
          <w:rFonts w:ascii="Palatino Linotype" w:eastAsia="Palatino Linotype" w:hAnsi="Palatino Linotype" w:cs="Palatino Linotype"/>
          <w:sz w:val="22"/>
          <w:szCs w:val="22"/>
        </w:rPr>
        <w:t xml:space="preserve">, </w:t>
      </w:r>
      <w:r>
        <w:rPr>
          <w:rFonts w:ascii="Palatino Linotype" w:eastAsia="Palatino Linotype" w:hAnsi="Palatino Linotype" w:cs="Palatino Linotype"/>
          <w:color w:val="0D0D0D"/>
          <w:sz w:val="22"/>
          <w:szCs w:val="22"/>
        </w:rPr>
        <w:t xml:space="preserve">interpuesto por </w:t>
      </w:r>
      <w:r>
        <w:rPr>
          <w:rFonts w:ascii="Palatino Linotype" w:eastAsia="Palatino Linotype" w:hAnsi="Palatino Linotype" w:cs="Palatino Linotype"/>
          <w:sz w:val="22"/>
          <w:szCs w:val="22"/>
        </w:rPr>
        <w:t xml:space="preserve">la persona </w:t>
      </w:r>
      <w:r>
        <w:rPr>
          <w:rFonts w:ascii="Palatino Linotype" w:eastAsia="Palatino Linotype" w:hAnsi="Palatino Linotype" w:cs="Palatino Linotype"/>
          <w:color w:val="0D0D0D"/>
          <w:sz w:val="22"/>
          <w:szCs w:val="22"/>
        </w:rPr>
        <w:t xml:space="preserve">Recurrente o Particular, en contra de la respuesta del Sujeto Obligado, </w:t>
      </w:r>
      <w:r w:rsidRPr="00E308C6">
        <w:rPr>
          <w:rFonts w:ascii="Palatino Linotype" w:eastAsia="Palatino Linotype" w:hAnsi="Palatino Linotype" w:cs="Palatino Linotype"/>
          <w:b/>
          <w:color w:val="0D0D0D"/>
          <w:sz w:val="22"/>
          <w:szCs w:val="22"/>
        </w:rPr>
        <w:t>Organismo Público Descentralizado para la Prestación de los Servicios de Agua Potable Drenaje y Tratamiento de Aguas Residuales del Municipio de Huixquilucan México, denominado ‘Sistema Aguas de Huixquilucan’</w:t>
      </w:r>
      <w:r>
        <w:rPr>
          <w:rFonts w:ascii="Palatino Linotype" w:eastAsia="Palatino Linotype" w:hAnsi="Palatino Linotype" w:cs="Palatino Linotype"/>
          <w:color w:val="0D0D0D"/>
          <w:sz w:val="22"/>
          <w:szCs w:val="22"/>
        </w:rPr>
        <w:t xml:space="preserve">, a la solicitud de acceso a la información pública </w:t>
      </w:r>
      <w:r>
        <w:rPr>
          <w:rFonts w:ascii="Palatino Linotype" w:eastAsia="Palatino Linotype" w:hAnsi="Palatino Linotype" w:cs="Palatino Linotype"/>
          <w:sz w:val="22"/>
          <w:szCs w:val="22"/>
        </w:rPr>
        <w:t xml:space="preserve">00016/OASHUIXQUI/IP/2025, </w:t>
      </w:r>
      <w:r>
        <w:rPr>
          <w:rFonts w:ascii="Palatino Linotype" w:eastAsia="Palatino Linotype" w:hAnsi="Palatino Linotype" w:cs="Palatino Linotype"/>
          <w:color w:val="0D0D0D"/>
          <w:sz w:val="22"/>
          <w:szCs w:val="22"/>
        </w:rPr>
        <w:t>se emite la presente Resolución, con base en los Antecedentes y C</w:t>
      </w:r>
      <w:r>
        <w:rPr>
          <w:rFonts w:ascii="Palatino Linotype" w:eastAsia="Palatino Linotype" w:hAnsi="Palatino Linotype" w:cs="Palatino Linotype"/>
          <w:sz w:val="22"/>
          <w:szCs w:val="22"/>
        </w:rPr>
        <w:t>onsiderandos que a continuación se exponen:</w:t>
      </w:r>
    </w:p>
    <w:p w14:paraId="0F8C9746" w14:textId="77777777" w:rsidR="00BA6005" w:rsidRDefault="00BA6005">
      <w:pPr>
        <w:spacing w:line="360" w:lineRule="auto"/>
        <w:jc w:val="both"/>
        <w:rPr>
          <w:rFonts w:ascii="Palatino Linotype" w:eastAsia="Palatino Linotype" w:hAnsi="Palatino Linotype" w:cs="Palatino Linotype"/>
          <w:sz w:val="22"/>
          <w:szCs w:val="22"/>
        </w:rPr>
      </w:pPr>
    </w:p>
    <w:p w14:paraId="1F9419FF" w14:textId="77777777" w:rsidR="00BA6005" w:rsidRDefault="007C5973">
      <w:pPr>
        <w:pStyle w:val="Ttulo1"/>
        <w:spacing w:before="0" w:after="0" w:line="360" w:lineRule="auto"/>
        <w:jc w:val="center"/>
        <w:rPr>
          <w:rFonts w:ascii="Palatino Linotype" w:eastAsia="Palatino Linotype" w:hAnsi="Palatino Linotype" w:cs="Palatino Linotype"/>
          <w:b/>
          <w:bCs/>
          <w:color w:val="000000"/>
          <w:sz w:val="22"/>
          <w:szCs w:val="22"/>
        </w:rPr>
      </w:pPr>
      <w:bookmarkStart w:id="2" w:name="_heading=h.3jkk3w62t7hz" w:colFirst="0" w:colLast="0"/>
      <w:bookmarkEnd w:id="2"/>
      <w:r>
        <w:rPr>
          <w:rFonts w:ascii="Palatino Linotype" w:eastAsia="Palatino Linotype" w:hAnsi="Palatino Linotype" w:cs="Palatino Linotype"/>
          <w:b/>
          <w:bCs/>
          <w:color w:val="000000"/>
          <w:sz w:val="22"/>
          <w:szCs w:val="22"/>
        </w:rPr>
        <w:t>A N T E C E D E N T E S</w:t>
      </w:r>
    </w:p>
    <w:p w14:paraId="0FB5FCA5" w14:textId="77777777" w:rsidR="00BA6005" w:rsidRDefault="00BA6005">
      <w:pPr>
        <w:spacing w:line="360" w:lineRule="auto"/>
      </w:pPr>
    </w:p>
    <w:p w14:paraId="53A9F179" w14:textId="77777777" w:rsidR="00BA6005" w:rsidRDefault="007C5973">
      <w:pPr>
        <w:pStyle w:val="Ttulo2"/>
        <w:spacing w:before="0" w:after="0" w:line="360" w:lineRule="auto"/>
        <w:rPr>
          <w:rFonts w:ascii="Palatino Linotype" w:eastAsia="Palatino Linotype" w:hAnsi="Palatino Linotype" w:cs="Palatino Linotype"/>
          <w:b/>
          <w:bCs/>
          <w:color w:val="000000"/>
          <w:sz w:val="22"/>
          <w:szCs w:val="22"/>
        </w:rPr>
      </w:pPr>
      <w:bookmarkStart w:id="3" w:name="_heading=h.4tw028tmez58" w:colFirst="0" w:colLast="0"/>
      <w:bookmarkEnd w:id="3"/>
      <w:r>
        <w:rPr>
          <w:rFonts w:ascii="Palatino Linotype" w:eastAsia="Palatino Linotype" w:hAnsi="Palatino Linotype" w:cs="Palatino Linotype"/>
          <w:b/>
          <w:bCs/>
          <w:color w:val="000000"/>
          <w:sz w:val="22"/>
          <w:szCs w:val="22"/>
        </w:rPr>
        <w:t>I. Presentación de la solicitud de información</w:t>
      </w:r>
    </w:p>
    <w:p w14:paraId="39A19D41" w14:textId="77777777" w:rsidR="00BA6005" w:rsidRDefault="00BA6005">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14:paraId="081A887B"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Con fecha once de septiembre de dos mil veinticinco, la persona Particular presentó una solicitud de acceso a la información pública, a través del Sistema de Acceso a la Información Mexiquense (SAIMEX), ante el Organismo Público Descentralizado para la Prestación de los Servicios de Agua Potable Drenaje y Tratamiento de Aguas Residuales del Municipio de Huixquilucan México, denominado ‘Sistema Aguas de Huixquilucan’ en los siguientes términos: </w:t>
      </w:r>
    </w:p>
    <w:p w14:paraId="7CF27D31" w14:textId="77777777" w:rsidR="00BA6005" w:rsidRDefault="00BA6005">
      <w:pPr>
        <w:spacing w:line="360" w:lineRule="auto"/>
        <w:jc w:val="both"/>
        <w:rPr>
          <w:rFonts w:ascii="Palatino Linotype" w:eastAsia="Palatino Linotype" w:hAnsi="Palatino Linotype" w:cs="Palatino Linotype"/>
          <w:sz w:val="22"/>
          <w:szCs w:val="22"/>
        </w:rPr>
      </w:pPr>
    </w:p>
    <w:p w14:paraId="7DB9CEF0" w14:textId="77777777" w:rsidR="00BA6005" w:rsidRDefault="007C5973">
      <w:pPr>
        <w:tabs>
          <w:tab w:val="left" w:pos="4667"/>
        </w:tabs>
        <w:spacing w:line="360" w:lineRule="auto"/>
        <w:ind w:left="567" w:right="56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“DESCRIPCIÓN CLARA Y PRECISA DE LA INFORMACIÓN SOLICITADA.</w:t>
      </w:r>
    </w:p>
    <w:p w14:paraId="5C44BD0E" w14:textId="77777777" w:rsidR="00BA6005" w:rsidRDefault="007C5973">
      <w:pPr>
        <w:tabs>
          <w:tab w:val="left" w:pos="4667"/>
        </w:tabs>
        <w:spacing w:line="360" w:lineRule="auto"/>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Solicito listado de las altas en nómina que se llevaron a cabo en el año 2024 y 2025, que incluyan, nombre, cargó, sueldo y </w:t>
      </w:r>
      <w:proofErr w:type="spellStart"/>
      <w:r>
        <w:rPr>
          <w:rFonts w:ascii="Palatino Linotype" w:eastAsia="Palatino Linotype" w:hAnsi="Palatino Linotype" w:cs="Palatino Linotype"/>
          <w:i/>
          <w:iCs/>
        </w:rPr>
        <w:t>curriculum</w:t>
      </w:r>
      <w:proofErr w:type="spellEnd"/>
      <w:r>
        <w:rPr>
          <w:rFonts w:ascii="Palatino Linotype" w:eastAsia="Palatino Linotype" w:hAnsi="Palatino Linotype" w:cs="Palatino Linotype"/>
          <w:i/>
          <w:iCs/>
        </w:rPr>
        <w:t xml:space="preserve">.” (Sic) </w:t>
      </w:r>
    </w:p>
    <w:p w14:paraId="5415A344" w14:textId="77777777" w:rsidR="00BA6005" w:rsidRDefault="00BA6005">
      <w:pPr>
        <w:tabs>
          <w:tab w:val="left" w:pos="4667"/>
        </w:tabs>
        <w:spacing w:line="360" w:lineRule="auto"/>
        <w:ind w:left="567" w:right="567"/>
        <w:jc w:val="both"/>
        <w:rPr>
          <w:rFonts w:ascii="Palatino Linotype" w:eastAsia="Palatino Linotype" w:hAnsi="Palatino Linotype" w:cs="Palatino Linotype"/>
          <w:b/>
          <w:bCs/>
          <w:i/>
          <w:iCs/>
        </w:rPr>
      </w:pPr>
    </w:p>
    <w:p w14:paraId="5D255818" w14:textId="77777777" w:rsidR="00BA6005" w:rsidRDefault="007C5973">
      <w:pPr>
        <w:tabs>
          <w:tab w:val="left" w:pos="4667"/>
        </w:tabs>
        <w:spacing w:line="360" w:lineRule="auto"/>
        <w:ind w:left="567" w:right="56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“MODALIDAD DE ENTREGA</w:t>
      </w:r>
    </w:p>
    <w:p w14:paraId="7CB17C3D" w14:textId="77777777" w:rsidR="00BA6005" w:rsidRDefault="007C5973">
      <w:pPr>
        <w:spacing w:line="360" w:lineRule="auto"/>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A través del SAIMEX”</w:t>
      </w:r>
    </w:p>
    <w:p w14:paraId="3FF8231A" w14:textId="77777777" w:rsidR="00BA6005" w:rsidRDefault="00BA6005">
      <w:pPr>
        <w:tabs>
          <w:tab w:val="left" w:pos="4667"/>
        </w:tabs>
        <w:spacing w:line="360" w:lineRule="auto"/>
        <w:ind w:right="567"/>
        <w:jc w:val="both"/>
        <w:rPr>
          <w:rFonts w:ascii="Palatino Linotype" w:eastAsia="Palatino Linotype" w:hAnsi="Palatino Linotype" w:cs="Palatino Linotype"/>
          <w:i/>
          <w:iCs/>
        </w:rPr>
      </w:pPr>
    </w:p>
    <w:p w14:paraId="2D676880" w14:textId="77777777" w:rsidR="00BA6005" w:rsidRDefault="007C5973">
      <w:pPr>
        <w:pStyle w:val="Ttulo2"/>
        <w:spacing w:before="0" w:after="0" w:line="360" w:lineRule="auto"/>
        <w:rPr>
          <w:rFonts w:ascii="Palatino Linotype" w:eastAsia="Palatino Linotype" w:hAnsi="Palatino Linotype" w:cs="Palatino Linotype"/>
          <w:b/>
          <w:bCs/>
          <w:color w:val="000000"/>
          <w:sz w:val="22"/>
          <w:szCs w:val="22"/>
        </w:rPr>
      </w:pPr>
      <w:bookmarkStart w:id="4" w:name="_heading=h.q514b4sonpkb" w:colFirst="0" w:colLast="0"/>
      <w:bookmarkEnd w:id="4"/>
      <w:r>
        <w:rPr>
          <w:rFonts w:ascii="Palatino Linotype" w:eastAsia="Palatino Linotype" w:hAnsi="Palatino Linotype" w:cs="Palatino Linotype"/>
          <w:b/>
          <w:bCs/>
          <w:color w:val="000000"/>
          <w:sz w:val="22"/>
          <w:szCs w:val="22"/>
        </w:rPr>
        <w:t>II. Respuesta del Sujeto Obligado</w:t>
      </w:r>
    </w:p>
    <w:p w14:paraId="7320B7FC" w14:textId="77777777" w:rsidR="00BA6005" w:rsidRDefault="007C5973">
      <w:pPr>
        <w:tabs>
          <w:tab w:val="left" w:pos="7387"/>
        </w:tabs>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b/>
      </w:r>
    </w:p>
    <w:p w14:paraId="493F354F"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El diecinueve de septiembre de dos mil veinticinco, el Sujeto Obligado notificó, a través del Sistema de Acceso a la Información Mexiquense (SAIMEX), la respuesta a la solicitud de acceso a la información pública, a través de la digitalización de los siguientes documentos: </w:t>
      </w:r>
    </w:p>
    <w:p w14:paraId="18ECEDCB" w14:textId="77777777" w:rsidR="00BA6005" w:rsidRDefault="00BA6005">
      <w:pPr>
        <w:spacing w:line="360" w:lineRule="auto"/>
        <w:jc w:val="both"/>
        <w:rPr>
          <w:rFonts w:ascii="Palatino Linotype" w:eastAsia="Palatino Linotype" w:hAnsi="Palatino Linotype" w:cs="Palatino Linotype"/>
          <w:color w:val="FF0000"/>
          <w:sz w:val="22"/>
          <w:szCs w:val="22"/>
        </w:rPr>
      </w:pPr>
    </w:p>
    <w:p w14:paraId="546B5345"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i. Oficio número OPD/DAYF/175/2025, de la misma fecha de recepción, suscrito por el Director de Administración y Finanzas y dirigido a la Titular de la Unidad de Transparencia, por medio del precisó remitir el diverso OPD/</w:t>
      </w:r>
      <w:proofErr w:type="spellStart"/>
      <w:r>
        <w:rPr>
          <w:rFonts w:ascii="Palatino Linotype" w:eastAsia="Palatino Linotype" w:hAnsi="Palatino Linotype" w:cs="Palatino Linotype"/>
          <w:sz w:val="22"/>
          <w:szCs w:val="22"/>
        </w:rPr>
        <w:t>DAyF</w:t>
      </w:r>
      <w:proofErr w:type="spellEnd"/>
      <w:r>
        <w:rPr>
          <w:rFonts w:ascii="Palatino Linotype" w:eastAsia="Palatino Linotype" w:hAnsi="Palatino Linotype" w:cs="Palatino Linotype"/>
          <w:sz w:val="22"/>
          <w:szCs w:val="22"/>
        </w:rPr>
        <w:t>/GA/DRH/101/2025, mediante el cual se da contestación a la solicitud de información</w:t>
      </w:r>
    </w:p>
    <w:p w14:paraId="346665B1" w14:textId="77777777" w:rsidR="00BA6005" w:rsidRDefault="00BA6005">
      <w:pPr>
        <w:spacing w:line="360" w:lineRule="auto"/>
        <w:jc w:val="both"/>
        <w:rPr>
          <w:rFonts w:ascii="Palatino Linotype" w:eastAsia="Palatino Linotype" w:hAnsi="Palatino Linotype" w:cs="Palatino Linotype"/>
          <w:color w:val="FF0000"/>
          <w:sz w:val="22"/>
          <w:szCs w:val="22"/>
        </w:rPr>
      </w:pPr>
    </w:p>
    <w:p w14:paraId="57581928"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ii. Oficio número </w:t>
      </w:r>
      <w:r>
        <w:rPr>
          <w:rFonts w:ascii="Palatino Linotype" w:eastAsia="Palatino Linotype" w:hAnsi="Palatino Linotype" w:cs="Palatino Linotype"/>
          <w:color w:val="000000"/>
          <w:sz w:val="22"/>
          <w:szCs w:val="22"/>
        </w:rPr>
        <w:t>OPD/</w:t>
      </w:r>
      <w:proofErr w:type="spellStart"/>
      <w:r>
        <w:rPr>
          <w:rFonts w:ascii="Palatino Linotype" w:eastAsia="Palatino Linotype" w:hAnsi="Palatino Linotype" w:cs="Palatino Linotype"/>
          <w:color w:val="000000"/>
          <w:sz w:val="22"/>
          <w:szCs w:val="22"/>
        </w:rPr>
        <w:t>DAyF</w:t>
      </w:r>
      <w:proofErr w:type="spellEnd"/>
      <w:r>
        <w:rPr>
          <w:rFonts w:ascii="Palatino Linotype" w:eastAsia="Palatino Linotype" w:hAnsi="Palatino Linotype" w:cs="Palatino Linotype"/>
          <w:color w:val="000000"/>
          <w:sz w:val="22"/>
          <w:szCs w:val="22"/>
        </w:rPr>
        <w:t>/GA/DRH/101/2025,</w:t>
      </w:r>
      <w:r>
        <w:rPr>
          <w:rFonts w:ascii="Palatino Linotype" w:eastAsia="Palatino Linotype" w:hAnsi="Palatino Linotype" w:cs="Palatino Linotype"/>
          <w:sz w:val="22"/>
          <w:szCs w:val="22"/>
        </w:rPr>
        <w:t xml:space="preserve"> de la misma fecha de recepción, suscrito por el Jefe del Departamento de Recursos Humanos, por medio del cual, precisó lo siguiente: </w:t>
      </w:r>
    </w:p>
    <w:p w14:paraId="69C9F5E9"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14:paraId="03EBD872" w14:textId="77777777" w:rsidR="00BA6005" w:rsidRDefault="007C5973">
      <w:pPr>
        <w:spacing w:line="360" w:lineRule="auto"/>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09DB3701" w14:textId="77777777" w:rsidR="00BA6005" w:rsidRDefault="007C5973">
      <w:pPr>
        <w:spacing w:line="360" w:lineRule="auto"/>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 Por lo anterior, me permito señalar que la información que solicita, lo puede visualizar en la Plataforma de Información Pública de Oficio Mexiquense (IPOMEX), ya que este Descentralizado, se encarga de cargar en la Plataforma la información que solicita anteriormente en la fracción VIII Remuneraciones de los Servidores Públicos y en la fracción XXI Información Curricular y Sanciones Administrativas, en los cuales encontrara los datos que desea saber el solicitante, del mismo modo podrá consultarlo en la siguientes ligas:</w:t>
      </w:r>
    </w:p>
    <w:p w14:paraId="39D9CD92" w14:textId="77777777" w:rsidR="00BA6005" w:rsidRDefault="00BA6005">
      <w:pPr>
        <w:spacing w:line="360" w:lineRule="auto"/>
        <w:ind w:right="567"/>
        <w:jc w:val="both"/>
        <w:rPr>
          <w:rFonts w:ascii="Palatino Linotype" w:eastAsia="Palatino Linotype" w:hAnsi="Palatino Linotype" w:cs="Palatino Linotype"/>
          <w:i/>
          <w:iCs/>
        </w:rPr>
      </w:pPr>
    </w:p>
    <w:p w14:paraId="73B03A52" w14:textId="77777777" w:rsidR="00BA6005" w:rsidRDefault="007C5973">
      <w:pPr>
        <w:spacing w:line="360" w:lineRule="auto"/>
        <w:ind w:left="567" w:right="567"/>
        <w:jc w:val="both"/>
        <w:rPr>
          <w:rFonts w:ascii="Palatino Linotype" w:eastAsia="Palatino Linotype" w:hAnsi="Palatino Linotype" w:cs="Palatino Linotype"/>
          <w:i/>
          <w:iCs/>
        </w:rPr>
      </w:pPr>
      <w:hyperlink r:id="rId8" w:anchor="/info-fraccion/11/285/28">
        <w:r>
          <w:rPr>
            <w:rFonts w:ascii="Palatino Linotype" w:eastAsia="Palatino Linotype" w:hAnsi="Palatino Linotype" w:cs="Palatino Linotype"/>
            <w:i/>
            <w:iCs/>
            <w:color w:val="0563C1"/>
            <w:u w:val="single"/>
          </w:rPr>
          <w:t>https://ipomex.org.mx/ipomex/#/info-fraccion/11/285/28</w:t>
        </w:r>
      </w:hyperlink>
      <w:r>
        <w:rPr>
          <w:rFonts w:ascii="Palatino Linotype" w:eastAsia="Palatino Linotype" w:hAnsi="Palatino Linotype" w:cs="Palatino Linotype"/>
          <w:i/>
          <w:iCs/>
        </w:rPr>
        <w:t xml:space="preserve"> o </w:t>
      </w:r>
      <w:hyperlink r:id="rId9" w:anchor="/info-fraccion/28/285/12">
        <w:r>
          <w:rPr>
            <w:rFonts w:ascii="Palatino Linotype" w:eastAsia="Palatino Linotype" w:hAnsi="Palatino Linotype" w:cs="Palatino Linotype"/>
            <w:i/>
            <w:iCs/>
            <w:color w:val="0563C1"/>
            <w:u w:val="single"/>
          </w:rPr>
          <w:t>https://ipomex.org.mx/ipomex/#/info-fraccion/28/285/12</w:t>
        </w:r>
      </w:hyperlink>
      <w:r>
        <w:rPr>
          <w:rFonts w:ascii="Palatino Linotype" w:eastAsia="Palatino Linotype" w:hAnsi="Palatino Linotype" w:cs="Palatino Linotype"/>
          <w:i/>
          <w:iCs/>
        </w:rPr>
        <w:t xml:space="preserve">. </w:t>
      </w:r>
    </w:p>
    <w:p w14:paraId="4ABA454A" w14:textId="77777777" w:rsidR="00BA6005" w:rsidRDefault="007C5973">
      <w:pPr>
        <w:tabs>
          <w:tab w:val="left" w:pos="567"/>
        </w:tabs>
        <w:spacing w:line="360" w:lineRule="auto"/>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6700F821" w14:textId="77777777" w:rsidR="00BA6005" w:rsidRDefault="00BA6005">
      <w:pPr>
        <w:tabs>
          <w:tab w:val="left" w:pos="567"/>
        </w:tabs>
        <w:spacing w:line="360" w:lineRule="auto"/>
        <w:jc w:val="both"/>
        <w:rPr>
          <w:rFonts w:ascii="Palatino Linotype" w:eastAsia="Palatino Linotype" w:hAnsi="Palatino Linotype" w:cs="Palatino Linotype"/>
          <w:i/>
          <w:iCs/>
        </w:rPr>
      </w:pPr>
    </w:p>
    <w:p w14:paraId="2B3BF86F" w14:textId="77777777" w:rsidR="00BA6005" w:rsidRDefault="007C5973">
      <w:pPr>
        <w:pStyle w:val="Ttulo2"/>
        <w:spacing w:before="0" w:after="0" w:line="360" w:lineRule="auto"/>
        <w:rPr>
          <w:rFonts w:ascii="Palatino Linotype" w:eastAsia="Palatino Linotype" w:hAnsi="Palatino Linotype" w:cs="Palatino Linotype"/>
          <w:b/>
          <w:bCs/>
          <w:color w:val="000000"/>
          <w:sz w:val="22"/>
          <w:szCs w:val="22"/>
        </w:rPr>
      </w:pPr>
      <w:bookmarkStart w:id="5" w:name="_heading=h.r1lyq4lo1zy1" w:colFirst="0" w:colLast="0"/>
      <w:bookmarkEnd w:id="5"/>
      <w:r>
        <w:rPr>
          <w:rFonts w:ascii="Palatino Linotype" w:eastAsia="Palatino Linotype" w:hAnsi="Palatino Linotype" w:cs="Palatino Linotype"/>
          <w:b/>
          <w:bCs/>
          <w:color w:val="000000"/>
          <w:sz w:val="22"/>
          <w:szCs w:val="22"/>
        </w:rPr>
        <w:t>III. Interposición del Recurso de Revisión</w:t>
      </w:r>
    </w:p>
    <w:p w14:paraId="36B68A20" w14:textId="77777777" w:rsidR="00BA6005" w:rsidRDefault="00BA6005">
      <w:pPr>
        <w:spacing w:line="360" w:lineRule="auto"/>
        <w:jc w:val="both"/>
        <w:rPr>
          <w:rFonts w:ascii="Palatino Linotype" w:eastAsia="Palatino Linotype" w:hAnsi="Palatino Linotype" w:cs="Palatino Linotype"/>
          <w:sz w:val="22"/>
          <w:szCs w:val="22"/>
        </w:rPr>
      </w:pPr>
    </w:p>
    <w:p w14:paraId="13DDB243"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Con fecha ocho de octubre de dos mil veinticinco, se recibió en este Instituto, a través del Sistema de Acceso a la Información Mexiquense (SAIMEX), Recurso de Revisión interpuesto por la persona Recurrente, en contra de la respuesta por el Sujeto Obligado, a la solicitud de información, en los siguientes términos:</w:t>
      </w:r>
    </w:p>
    <w:p w14:paraId="3B0C7681" w14:textId="77777777" w:rsidR="00BA6005" w:rsidRDefault="00BA6005">
      <w:pPr>
        <w:spacing w:line="360" w:lineRule="auto"/>
        <w:jc w:val="both"/>
        <w:rPr>
          <w:rFonts w:ascii="Palatino Linotype" w:eastAsia="Palatino Linotype" w:hAnsi="Palatino Linotype" w:cs="Palatino Linotype"/>
          <w:sz w:val="22"/>
          <w:szCs w:val="22"/>
        </w:rPr>
      </w:pPr>
    </w:p>
    <w:p w14:paraId="682AF53F" w14:textId="77777777" w:rsidR="00BA6005" w:rsidRDefault="007C5973">
      <w:pPr>
        <w:spacing w:line="360" w:lineRule="auto"/>
        <w:ind w:left="567" w:right="567"/>
        <w:jc w:val="both"/>
        <w:rPr>
          <w:rFonts w:ascii="Palatino Linotype" w:eastAsia="Palatino Linotype" w:hAnsi="Palatino Linotype" w:cs="Palatino Linotype"/>
          <w:i/>
          <w:iCs/>
        </w:rPr>
      </w:pPr>
      <w:r>
        <w:rPr>
          <w:rFonts w:ascii="Palatino Linotype" w:eastAsia="Palatino Linotype" w:hAnsi="Palatino Linotype" w:cs="Palatino Linotype"/>
          <w:b/>
          <w:bCs/>
          <w:i/>
          <w:iCs/>
        </w:rPr>
        <w:t>“ACTO IMPUGNADO</w:t>
      </w:r>
    </w:p>
    <w:p w14:paraId="530F6F8A" w14:textId="77777777" w:rsidR="00BA6005" w:rsidRDefault="007C5973">
      <w:pPr>
        <w:spacing w:line="360" w:lineRule="auto"/>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Las ligas compartidas en la respuestas no dirige a la información que se </w:t>
      </w:r>
      <w:proofErr w:type="spellStart"/>
      <w:r>
        <w:rPr>
          <w:rFonts w:ascii="Palatino Linotype" w:eastAsia="Palatino Linotype" w:hAnsi="Palatino Linotype" w:cs="Palatino Linotype"/>
          <w:i/>
          <w:iCs/>
          <w:color w:val="000000"/>
        </w:rPr>
        <w:t>solicito</w:t>
      </w:r>
      <w:proofErr w:type="spellEnd"/>
      <w:r>
        <w:rPr>
          <w:rFonts w:ascii="Palatino Linotype" w:eastAsia="Palatino Linotype" w:hAnsi="Palatino Linotype" w:cs="Palatino Linotype"/>
          <w:i/>
          <w:iCs/>
        </w:rPr>
        <w:t>” (Sic.)</w:t>
      </w:r>
    </w:p>
    <w:p w14:paraId="1236F26D" w14:textId="77777777" w:rsidR="00BA6005" w:rsidRDefault="00BA6005">
      <w:pPr>
        <w:spacing w:line="360" w:lineRule="auto"/>
        <w:ind w:left="567" w:right="567"/>
        <w:jc w:val="both"/>
        <w:rPr>
          <w:rFonts w:ascii="Palatino Linotype" w:eastAsia="Palatino Linotype" w:hAnsi="Palatino Linotype" w:cs="Palatino Linotype"/>
          <w:i/>
          <w:iCs/>
        </w:rPr>
      </w:pPr>
    </w:p>
    <w:p w14:paraId="60FF0BA6" w14:textId="77777777" w:rsidR="00BA6005" w:rsidRDefault="007C5973">
      <w:pPr>
        <w:spacing w:line="360" w:lineRule="auto"/>
        <w:ind w:left="567" w:right="56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“RAZONES O MOTIVOS DE LA INCONFORMIDAD</w:t>
      </w:r>
    </w:p>
    <w:p w14:paraId="336EC728" w14:textId="77777777" w:rsidR="00BA6005" w:rsidRDefault="007C5973">
      <w:pPr>
        <w:spacing w:line="360" w:lineRule="auto"/>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La primer liga no existe la segunda no me dirige a ningún sitio donde pueda ver los datos que pedí</w:t>
      </w:r>
      <w:r>
        <w:rPr>
          <w:rFonts w:ascii="Palatino Linotype" w:eastAsia="Palatino Linotype" w:hAnsi="Palatino Linotype" w:cs="Palatino Linotype"/>
          <w:i/>
          <w:iCs/>
        </w:rPr>
        <w:t>” (Sic.)</w:t>
      </w:r>
    </w:p>
    <w:p w14:paraId="3BDB19EE" w14:textId="77777777" w:rsidR="00BA6005" w:rsidRDefault="00BA6005">
      <w:pPr>
        <w:spacing w:line="360" w:lineRule="auto"/>
        <w:ind w:left="567" w:right="567"/>
        <w:jc w:val="both"/>
        <w:rPr>
          <w:rFonts w:ascii="Palatino Linotype" w:eastAsia="Palatino Linotype" w:hAnsi="Palatino Linotype" w:cs="Palatino Linotype"/>
          <w:i/>
          <w:iCs/>
        </w:rPr>
      </w:pPr>
    </w:p>
    <w:p w14:paraId="5F7E957A" w14:textId="77777777" w:rsidR="00BA6005" w:rsidRDefault="007C5973">
      <w:pPr>
        <w:pStyle w:val="Ttulo2"/>
        <w:spacing w:before="0" w:after="0" w:line="360" w:lineRule="auto"/>
        <w:rPr>
          <w:rFonts w:ascii="Palatino Linotype" w:eastAsia="Palatino Linotype" w:hAnsi="Palatino Linotype" w:cs="Palatino Linotype"/>
          <w:b/>
          <w:bCs/>
          <w:color w:val="000000"/>
          <w:sz w:val="22"/>
          <w:szCs w:val="22"/>
        </w:rPr>
      </w:pPr>
      <w:bookmarkStart w:id="6" w:name="_heading=h.7lssj83ru48t" w:colFirst="0" w:colLast="0"/>
      <w:bookmarkEnd w:id="6"/>
      <w:r>
        <w:rPr>
          <w:rFonts w:ascii="Palatino Linotype" w:eastAsia="Palatino Linotype" w:hAnsi="Palatino Linotype" w:cs="Palatino Linotype"/>
          <w:b/>
          <w:bCs/>
          <w:color w:val="000000"/>
          <w:sz w:val="22"/>
          <w:szCs w:val="22"/>
        </w:rPr>
        <w:lastRenderedPageBreak/>
        <w:t>IV. Trámite del Recurso de Revisión ante este Instituto</w:t>
      </w:r>
    </w:p>
    <w:p w14:paraId="1639573E" w14:textId="77777777" w:rsidR="00BA6005" w:rsidRDefault="00BA6005">
      <w:pPr>
        <w:spacing w:line="360" w:lineRule="auto"/>
        <w:jc w:val="both"/>
        <w:rPr>
          <w:rFonts w:ascii="Palatino Linotype" w:eastAsia="Palatino Linotype" w:hAnsi="Palatino Linotype" w:cs="Palatino Linotype"/>
          <w:b/>
          <w:bCs/>
          <w:sz w:val="22"/>
          <w:szCs w:val="22"/>
        </w:rPr>
      </w:pPr>
    </w:p>
    <w:p w14:paraId="30D4AAE9"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 xml:space="preserve">a) Turno del Recurso de Revisión. </w:t>
      </w:r>
      <w:r>
        <w:rPr>
          <w:rFonts w:ascii="Palatino Linotype" w:eastAsia="Palatino Linotype" w:hAnsi="Palatino Linotype" w:cs="Palatino Linotype"/>
          <w:sz w:val="22"/>
          <w:szCs w:val="22"/>
        </w:rPr>
        <w:t>El ocho de octubre de dos mil veinticinco, el Sistema de Acceso a la Información Mexiquense (SAIMEX), asignó el número de expediente 11661/INFOEM/IP/RR/2025, al medio de impugnación que nos ocupa, con base en el sistema aprobado por el Pleno de este Órgano Garante y lo turnó al Comisionado Ponente Luis Gustavo Parra Noriega, para los efectos del artículo 185, fracción I de la Ley de Transparencia y Acceso a la Información Pública del Estado de México y Municipios.</w:t>
      </w:r>
    </w:p>
    <w:p w14:paraId="69AD67C3" w14:textId="77777777" w:rsidR="00BA6005" w:rsidRDefault="00BA6005">
      <w:pPr>
        <w:spacing w:line="360" w:lineRule="auto"/>
        <w:jc w:val="both"/>
        <w:rPr>
          <w:rFonts w:ascii="Palatino Linotype" w:eastAsia="Palatino Linotype" w:hAnsi="Palatino Linotype" w:cs="Palatino Linotype"/>
          <w:b/>
          <w:bCs/>
          <w:sz w:val="22"/>
          <w:szCs w:val="22"/>
        </w:rPr>
      </w:pPr>
    </w:p>
    <w:p w14:paraId="3C7289BE"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 xml:space="preserve">b) Admisión del Recurso de Revisión. </w:t>
      </w:r>
      <w:r>
        <w:rPr>
          <w:rFonts w:ascii="Palatino Linotype" w:eastAsia="Palatino Linotype" w:hAnsi="Palatino Linotype" w:cs="Palatino Linotype"/>
          <w:sz w:val="22"/>
          <w:szCs w:val="22"/>
        </w:rPr>
        <w:t>El catorce de octubre de dos mil veinticinco,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111B1911" w14:textId="77777777" w:rsidR="00BA6005" w:rsidRDefault="00BA6005">
      <w:pPr>
        <w:spacing w:line="360" w:lineRule="auto"/>
        <w:jc w:val="both"/>
        <w:rPr>
          <w:rFonts w:ascii="Palatino Linotype" w:eastAsia="Palatino Linotype" w:hAnsi="Palatino Linotype" w:cs="Palatino Linotype"/>
          <w:sz w:val="22"/>
          <w:szCs w:val="22"/>
        </w:rPr>
      </w:pPr>
    </w:p>
    <w:p w14:paraId="579D48E3"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 xml:space="preserve">c) Informe Justificado. </w:t>
      </w:r>
      <w:r>
        <w:rPr>
          <w:rFonts w:ascii="Palatino Linotype" w:eastAsia="Palatino Linotype" w:hAnsi="Palatino Linotype" w:cs="Palatino Linotype"/>
          <w:sz w:val="22"/>
          <w:szCs w:val="22"/>
        </w:rPr>
        <w:t>El veintitrés de octubre de dos mil veinticinco, se recibió, a través del SAIMEX, el informe justificado</w:t>
      </w:r>
      <w:r>
        <w:rPr>
          <w:rFonts w:ascii="Palatino Linotype" w:eastAsia="Palatino Linotype" w:hAnsi="Palatino Linotype" w:cs="Palatino Linotype"/>
          <w:color w:val="0D0D0D"/>
          <w:sz w:val="22"/>
          <w:szCs w:val="22"/>
        </w:rPr>
        <w:t xml:space="preserve"> </w:t>
      </w:r>
      <w:r>
        <w:rPr>
          <w:rFonts w:ascii="Palatino Linotype" w:eastAsia="Palatino Linotype" w:hAnsi="Palatino Linotype" w:cs="Palatino Linotype"/>
          <w:sz w:val="22"/>
          <w:szCs w:val="22"/>
        </w:rPr>
        <w:t xml:space="preserve">por a través del cual ratifica su respuesta inicial, de conformidad con la digitalización de los documentos siguientes: </w:t>
      </w:r>
    </w:p>
    <w:p w14:paraId="480210A5" w14:textId="77777777" w:rsidR="00BA6005" w:rsidRDefault="00BA6005">
      <w:pPr>
        <w:spacing w:line="360" w:lineRule="auto"/>
        <w:jc w:val="both"/>
        <w:rPr>
          <w:rFonts w:ascii="Palatino Linotype" w:eastAsia="Palatino Linotype" w:hAnsi="Palatino Linotype" w:cs="Palatino Linotype"/>
          <w:sz w:val="22"/>
          <w:szCs w:val="22"/>
        </w:rPr>
      </w:pPr>
    </w:p>
    <w:p w14:paraId="12455E2A"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lastRenderedPageBreak/>
        <w:t xml:space="preserve">i. Oficios sin número, de la misa fecha de recepción, suscrito por el Titular de la Unidad de Transparencia y dirigido al Comisionado Ponente, por medio del cual ratificó su respuesta y solicitó sobreseer el presente Recurso de Revisión, de conformidad con lo siguiente: </w:t>
      </w:r>
    </w:p>
    <w:p w14:paraId="0A3A2B08" w14:textId="77777777" w:rsidR="00BA6005" w:rsidRDefault="00BA6005">
      <w:pPr>
        <w:spacing w:line="360" w:lineRule="auto"/>
        <w:jc w:val="both"/>
        <w:rPr>
          <w:rFonts w:ascii="Palatino Linotype" w:eastAsia="Palatino Linotype" w:hAnsi="Palatino Linotype" w:cs="Palatino Linotype"/>
          <w:sz w:val="22"/>
          <w:szCs w:val="22"/>
        </w:rPr>
      </w:pPr>
    </w:p>
    <w:p w14:paraId="7491871A" w14:textId="77777777" w:rsidR="00BA6005" w:rsidRDefault="00BA6005">
      <w:pPr>
        <w:spacing w:line="360" w:lineRule="auto"/>
        <w:jc w:val="both"/>
        <w:rPr>
          <w:rFonts w:ascii="Palatino Linotype" w:eastAsia="Palatino Linotype" w:hAnsi="Palatino Linotype" w:cs="Palatino Linotype"/>
          <w:sz w:val="22"/>
          <w:szCs w:val="22"/>
        </w:rPr>
      </w:pPr>
    </w:p>
    <w:p w14:paraId="0DF8EF4D" w14:textId="77777777" w:rsidR="00BA6005" w:rsidRDefault="007C5973">
      <w:pPr>
        <w:spacing w:line="360" w:lineRule="auto"/>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22012462" w14:textId="77777777" w:rsidR="00BA6005" w:rsidRDefault="007C5973">
      <w:pPr>
        <w:spacing w:line="360" w:lineRule="auto"/>
        <w:ind w:left="567" w:right="567"/>
        <w:jc w:val="both"/>
        <w:rPr>
          <w:rFonts w:ascii="Palatino Linotype" w:eastAsia="Palatino Linotype" w:hAnsi="Palatino Linotype" w:cs="Palatino Linotype"/>
          <w:b/>
          <w:bCs/>
          <w:i/>
          <w:iCs/>
          <w:u w:val="single"/>
        </w:rPr>
      </w:pPr>
      <w:r>
        <w:rPr>
          <w:rFonts w:ascii="Palatino Linotype" w:eastAsia="Palatino Linotype" w:hAnsi="Palatino Linotype" w:cs="Palatino Linotype"/>
          <w:i/>
          <w:iCs/>
        </w:rPr>
        <w:t xml:space="preserve">III .- Haciendo valer los anteriores argumentos, </w:t>
      </w:r>
      <w:r>
        <w:rPr>
          <w:rFonts w:ascii="Palatino Linotype" w:eastAsia="Palatino Linotype" w:hAnsi="Palatino Linotype" w:cs="Palatino Linotype"/>
          <w:b/>
          <w:bCs/>
          <w:i/>
          <w:iCs/>
        </w:rPr>
        <w:t>pido se tenga por sobreseído el presente Recurso de Revisión,</w:t>
      </w:r>
      <w:r>
        <w:rPr>
          <w:rFonts w:ascii="Palatino Linotype" w:eastAsia="Palatino Linotype" w:hAnsi="Palatino Linotype" w:cs="Palatino Linotype"/>
          <w:i/>
          <w:iCs/>
        </w:rPr>
        <w:t xml:space="preserve"> en razón de que se actualiza el supuesto contemplado en la Ley de Transparencia y Acceso a la Información Pública del Estado de México y Municipios en su </w:t>
      </w:r>
      <w:r>
        <w:rPr>
          <w:rFonts w:ascii="Palatino Linotype" w:eastAsia="Palatino Linotype" w:hAnsi="Palatino Linotype" w:cs="Palatino Linotype"/>
          <w:b/>
          <w:bCs/>
          <w:i/>
          <w:iCs/>
        </w:rPr>
        <w:t>artículo 192 Fracción IV,</w:t>
      </w:r>
      <w:r>
        <w:rPr>
          <w:rFonts w:ascii="Palatino Linotype" w:eastAsia="Palatino Linotype" w:hAnsi="Palatino Linotype" w:cs="Palatino Linotype"/>
          <w:i/>
          <w:iCs/>
        </w:rPr>
        <w:t xml:space="preserve"> el cual estable que cuando </w:t>
      </w:r>
      <w:r>
        <w:rPr>
          <w:rFonts w:ascii="Palatino Linotype" w:eastAsia="Palatino Linotype" w:hAnsi="Palatino Linotype" w:cs="Palatino Linotype"/>
          <w:b/>
          <w:bCs/>
          <w:i/>
          <w:iCs/>
        </w:rPr>
        <w:t>"Admitido el recurso de revisión, aparezca alguna causal de improcedencia en términos de la presente Ley",</w:t>
      </w:r>
      <w:r>
        <w:rPr>
          <w:rFonts w:ascii="Palatino Linotype" w:eastAsia="Palatino Linotype" w:hAnsi="Palatino Linotype" w:cs="Palatino Linotype"/>
          <w:i/>
          <w:iCs/>
        </w:rPr>
        <w:t xml:space="preserve"> al igual que el supuesto contemplado en la </w:t>
      </w:r>
      <w:r>
        <w:rPr>
          <w:rFonts w:ascii="Palatino Linotype" w:eastAsia="Palatino Linotype" w:hAnsi="Palatino Linotype" w:cs="Palatino Linotype"/>
          <w:b/>
          <w:bCs/>
          <w:i/>
          <w:iCs/>
        </w:rPr>
        <w:t>Fracción V</w:t>
      </w:r>
      <w:r>
        <w:rPr>
          <w:rFonts w:ascii="Palatino Linotype" w:eastAsia="Palatino Linotype" w:hAnsi="Palatino Linotype" w:cs="Palatino Linotype"/>
          <w:i/>
          <w:iCs/>
        </w:rPr>
        <w:t xml:space="preserve"> del mismo artículo, que establece que </w:t>
      </w:r>
      <w:r>
        <w:rPr>
          <w:rFonts w:ascii="Palatino Linotype" w:eastAsia="Palatino Linotype" w:hAnsi="Palatino Linotype" w:cs="Palatino Linotype"/>
          <w:b/>
          <w:bCs/>
          <w:i/>
          <w:iCs/>
        </w:rPr>
        <w:t xml:space="preserve">"Cuando por cualquier motivo quede sin materia el recurso". </w:t>
      </w:r>
      <w:r>
        <w:rPr>
          <w:rFonts w:ascii="Palatino Linotype" w:eastAsia="Palatino Linotype" w:hAnsi="Palatino Linotype" w:cs="Palatino Linotype"/>
          <w:i/>
          <w:iCs/>
        </w:rPr>
        <w:t xml:space="preserve">Esto </w:t>
      </w:r>
      <w:proofErr w:type="gramStart"/>
      <w:r>
        <w:rPr>
          <w:rFonts w:ascii="Palatino Linotype" w:eastAsia="Palatino Linotype" w:hAnsi="Palatino Linotype" w:cs="Palatino Linotype"/>
          <w:i/>
          <w:iCs/>
        </w:rPr>
        <w:t>en relación al</w:t>
      </w:r>
      <w:proofErr w:type="gramEnd"/>
      <w:r>
        <w:rPr>
          <w:rFonts w:ascii="Palatino Linotype" w:eastAsia="Palatino Linotype" w:hAnsi="Palatino Linotype" w:cs="Palatino Linotype"/>
          <w:i/>
          <w:iCs/>
        </w:rPr>
        <w:t xml:space="preserve"> artículo </w:t>
      </w:r>
      <w:r>
        <w:rPr>
          <w:rFonts w:ascii="Palatino Linotype" w:eastAsia="Palatino Linotype" w:hAnsi="Palatino Linotype" w:cs="Palatino Linotype"/>
          <w:b/>
          <w:bCs/>
          <w:i/>
          <w:iCs/>
        </w:rPr>
        <w:t>191 fracción III</w:t>
      </w:r>
      <w:r>
        <w:rPr>
          <w:rFonts w:ascii="Palatino Linotype" w:eastAsia="Palatino Linotype" w:hAnsi="Palatino Linotype" w:cs="Palatino Linotype"/>
          <w:i/>
          <w:iCs/>
        </w:rPr>
        <w:t xml:space="preserve"> de la cita Ley, en el que se establece que el recurso será desechado por improcedente cuando: </w:t>
      </w:r>
      <w:r>
        <w:rPr>
          <w:rFonts w:ascii="Palatino Linotype" w:eastAsia="Palatino Linotype" w:hAnsi="Palatino Linotype" w:cs="Palatino Linotype"/>
          <w:b/>
          <w:bCs/>
          <w:i/>
          <w:iCs/>
        </w:rPr>
        <w:t>"No se actualice alguno de los supuestos previstos en la presente Ley".</w:t>
      </w:r>
      <w:r>
        <w:rPr>
          <w:rFonts w:ascii="Palatino Linotype" w:eastAsia="Palatino Linotype" w:hAnsi="Palatino Linotype" w:cs="Palatino Linotype"/>
          <w:i/>
          <w:iCs/>
        </w:rPr>
        <w:t xml:space="preserve"> Por consecuencia, no existe negativa por parte de este Operador de proporcionar la información que requiere, lo anterior bajo los argumentos y fundamentos antes vertidos, por ello, se solicita a usted el sobreseimiento del presente Recurso de Revisión, ya que, como se puede observar en los </w:t>
      </w:r>
      <w:r>
        <w:rPr>
          <w:rFonts w:ascii="Palatino Linotype" w:eastAsia="Palatino Linotype" w:hAnsi="Palatino Linotype" w:cs="Palatino Linotype"/>
          <w:b/>
          <w:bCs/>
          <w:i/>
          <w:iCs/>
        </w:rPr>
        <w:t xml:space="preserve">HECHOS y ARGUMENTOS </w:t>
      </w:r>
      <w:r>
        <w:rPr>
          <w:rFonts w:ascii="Palatino Linotype" w:eastAsia="Palatino Linotype" w:hAnsi="Palatino Linotype" w:cs="Palatino Linotype"/>
          <w:i/>
          <w:iCs/>
        </w:rPr>
        <w:t xml:space="preserve">anteriormente expuestos, la respuesta proporcionada está apegada a la Ley de Transparencia y Acceso a la Información Pública del Estado de México y Municipios, y que de ninguna manera viola el Derecho Humano de Acceso a la Información, por lo cual, es claro que </w:t>
      </w:r>
      <w:r>
        <w:rPr>
          <w:rFonts w:ascii="Palatino Linotype" w:eastAsia="Palatino Linotype" w:hAnsi="Palatino Linotype" w:cs="Palatino Linotype"/>
          <w:b/>
          <w:bCs/>
          <w:i/>
          <w:iCs/>
          <w:u w:val="single"/>
        </w:rPr>
        <w:t xml:space="preserve">el presente recurso queda sin materia, debido a que se actualizan los supuestos de sobreseimiento contemplados en la fracción IV y V del artículo 192 de la Ley de Transparencia y Acceso a la Información Pública del Estado de Mexico y Municipios y al </w:t>
      </w:r>
      <w:proofErr w:type="spellStart"/>
      <w:r>
        <w:rPr>
          <w:rFonts w:ascii="Palatino Linotype" w:eastAsia="Palatino Linotype" w:hAnsi="Palatino Linotype" w:cs="Palatino Linotype"/>
          <w:b/>
          <w:bCs/>
          <w:i/>
          <w:iCs/>
          <w:u w:val="single"/>
        </w:rPr>
        <w:t>articulo</w:t>
      </w:r>
      <w:proofErr w:type="spellEnd"/>
      <w:r>
        <w:rPr>
          <w:rFonts w:ascii="Palatino Linotype" w:eastAsia="Palatino Linotype" w:hAnsi="Palatino Linotype" w:cs="Palatino Linotype"/>
          <w:b/>
          <w:bCs/>
          <w:i/>
          <w:iCs/>
          <w:u w:val="single"/>
        </w:rPr>
        <w:t xml:space="preserve"> 191 fracción VII de citada Ley.</w:t>
      </w:r>
    </w:p>
    <w:p w14:paraId="20DD7B0D" w14:textId="77777777" w:rsidR="00BA6005" w:rsidRDefault="007C5973">
      <w:pPr>
        <w:spacing w:line="360" w:lineRule="auto"/>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p>
    <w:p w14:paraId="6BC66515" w14:textId="77777777" w:rsidR="00BA6005" w:rsidRDefault="00BA6005">
      <w:pPr>
        <w:spacing w:line="360" w:lineRule="auto"/>
        <w:jc w:val="both"/>
        <w:rPr>
          <w:rFonts w:ascii="Palatino Linotype" w:eastAsia="Palatino Linotype" w:hAnsi="Palatino Linotype" w:cs="Palatino Linotype"/>
          <w:sz w:val="22"/>
          <w:szCs w:val="22"/>
        </w:rPr>
      </w:pPr>
    </w:p>
    <w:p w14:paraId="3520BBC8"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ii. Oficio número OPD/DAYF/194/2025, de la misma fecha de recepción, suscrito por el Director de Administración y Finanzas por medio del cual informó remitir el diverso OPD/</w:t>
      </w:r>
      <w:proofErr w:type="spellStart"/>
      <w:r>
        <w:rPr>
          <w:rFonts w:ascii="Palatino Linotype" w:eastAsia="Palatino Linotype" w:hAnsi="Palatino Linotype" w:cs="Palatino Linotype"/>
          <w:sz w:val="22"/>
          <w:szCs w:val="22"/>
        </w:rPr>
        <w:t>DAyF</w:t>
      </w:r>
      <w:proofErr w:type="spellEnd"/>
      <w:r>
        <w:rPr>
          <w:rFonts w:ascii="Palatino Linotype" w:eastAsia="Palatino Linotype" w:hAnsi="Palatino Linotype" w:cs="Palatino Linotype"/>
          <w:sz w:val="22"/>
          <w:szCs w:val="22"/>
        </w:rPr>
        <w:t xml:space="preserve">/GA/DRH/113/2025. </w:t>
      </w:r>
    </w:p>
    <w:p w14:paraId="43D0C9E3" w14:textId="77777777" w:rsidR="00BA6005" w:rsidRDefault="00BA6005">
      <w:pPr>
        <w:spacing w:line="360" w:lineRule="auto"/>
        <w:jc w:val="both"/>
        <w:rPr>
          <w:rFonts w:ascii="Palatino Linotype" w:eastAsia="Palatino Linotype" w:hAnsi="Palatino Linotype" w:cs="Palatino Linotype"/>
          <w:sz w:val="22"/>
          <w:szCs w:val="22"/>
        </w:rPr>
      </w:pPr>
    </w:p>
    <w:p w14:paraId="3BDDE853"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iii. Oficio número OPD/</w:t>
      </w:r>
      <w:proofErr w:type="spellStart"/>
      <w:r>
        <w:rPr>
          <w:rFonts w:ascii="Palatino Linotype" w:eastAsia="Palatino Linotype" w:hAnsi="Palatino Linotype" w:cs="Palatino Linotype"/>
          <w:sz w:val="22"/>
          <w:szCs w:val="22"/>
        </w:rPr>
        <w:t>DAyF</w:t>
      </w:r>
      <w:proofErr w:type="spellEnd"/>
      <w:r>
        <w:rPr>
          <w:rFonts w:ascii="Palatino Linotype" w:eastAsia="Palatino Linotype" w:hAnsi="Palatino Linotype" w:cs="Palatino Linotype"/>
          <w:sz w:val="22"/>
          <w:szCs w:val="22"/>
        </w:rPr>
        <w:t xml:space="preserve">/GA/DRH/0113/2025, del veintidós de octubre de dos mil veinticinco, suscrito por el Jefe del Departamento de Recursos Humanos y dirigido al Director de Administración y Finanzas, por medio del cual ratificó su respuesta, a través de las mismas ligas electrónicas proporcionadas en el Antecedente II, así como las capturas de pantalla del portal de Información Pública de Oficio Mexiquense (IPOMEX) al que dirigen las ligas referidas. </w:t>
      </w:r>
    </w:p>
    <w:p w14:paraId="4B269058" w14:textId="77777777" w:rsidR="00BA6005" w:rsidRDefault="00BA6005">
      <w:pPr>
        <w:spacing w:line="360" w:lineRule="auto"/>
        <w:jc w:val="both"/>
        <w:rPr>
          <w:rFonts w:ascii="Palatino Linotype" w:eastAsia="Palatino Linotype" w:hAnsi="Palatino Linotype" w:cs="Palatino Linotype"/>
          <w:sz w:val="22"/>
          <w:szCs w:val="22"/>
        </w:rPr>
      </w:pPr>
    </w:p>
    <w:p w14:paraId="217C51CB"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d) Ampliación de plazo para resolver. </w:t>
      </w:r>
      <w:r>
        <w:rPr>
          <w:rFonts w:ascii="Palatino Linotype" w:eastAsia="Palatino Linotype" w:hAnsi="Palatino Linotype" w:cs="Palatino Linotype"/>
          <w:color w:val="000000"/>
          <w:sz w:val="22"/>
          <w:szCs w:val="22"/>
        </w:rPr>
        <w:t>El veintitrés de febrero de dos mil veintiséis, el Comisionado Ponente, con fundamento en lo dispuesto por el artículo 181, párrafo tercero, de la Ley de Transparencia y Acceso a la Información Pública del Estado de México y Municipios, acordó ampliar por un plazo razonable, el plazo para resolver el Recurso de Revisión que nos ocupa; acto que fue notificado a las partes el día hábil siguiente, mediante el Sistema de Acceso a la Información Mexiquense (SAIMEX).</w:t>
      </w:r>
    </w:p>
    <w:p w14:paraId="395A99B6" w14:textId="77777777" w:rsidR="00BA6005" w:rsidRDefault="00BA6005">
      <w:pPr>
        <w:spacing w:line="360" w:lineRule="auto"/>
        <w:jc w:val="both"/>
        <w:rPr>
          <w:rFonts w:ascii="Palatino Linotype" w:eastAsia="Palatino Linotype" w:hAnsi="Palatino Linotype" w:cs="Palatino Linotype"/>
          <w:sz w:val="22"/>
          <w:szCs w:val="22"/>
        </w:rPr>
      </w:pPr>
    </w:p>
    <w:p w14:paraId="63C7A119"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 xml:space="preserve">e) Vista del informe justificado. </w:t>
      </w:r>
      <w:r>
        <w:rPr>
          <w:rFonts w:ascii="Palatino Linotype" w:eastAsia="Palatino Linotype" w:hAnsi="Palatino Linotype" w:cs="Palatino Linotype"/>
          <w:sz w:val="22"/>
          <w:szCs w:val="22"/>
        </w:rPr>
        <w:t xml:space="preserve">El veinticuatro de febrero de dos mil veintiséis, se dictó acuerdo mediante el cual se puso a la vista del Particular, el Informe Justificado entregados </w:t>
      </w:r>
      <w:r>
        <w:rPr>
          <w:rFonts w:ascii="Palatino Linotype" w:eastAsia="Palatino Linotype" w:hAnsi="Palatino Linotype" w:cs="Palatino Linotype"/>
          <w:sz w:val="22"/>
          <w:szCs w:val="22"/>
        </w:rPr>
        <w:lastRenderedPageBreak/>
        <w:t>por el Sujeto Obligado, el cual fue notificado a las partes el día hábil siguiente, a través del SAIMEX.</w:t>
      </w:r>
    </w:p>
    <w:p w14:paraId="7C7C2EF2" w14:textId="77777777" w:rsidR="00BA6005" w:rsidRDefault="00BA6005">
      <w:pPr>
        <w:spacing w:line="360" w:lineRule="auto"/>
        <w:jc w:val="both"/>
        <w:rPr>
          <w:rFonts w:ascii="Palatino Linotype" w:eastAsia="Palatino Linotype" w:hAnsi="Palatino Linotype" w:cs="Palatino Linotype"/>
          <w:sz w:val="22"/>
          <w:szCs w:val="22"/>
        </w:rPr>
      </w:pPr>
      <w:bookmarkStart w:id="7" w:name="_heading=h.pkn22jqowpyk" w:colFirst="0" w:colLast="0"/>
      <w:bookmarkEnd w:id="7"/>
    </w:p>
    <w:p w14:paraId="4321E536"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e) Cierre de instrucción.</w:t>
      </w:r>
      <w:r>
        <w:rPr>
          <w:rFonts w:ascii="Palatino Linotype" w:eastAsia="Palatino Linotype" w:hAnsi="Palatino Linotype" w:cs="Palatino Linotype"/>
          <w:sz w:val="22"/>
          <w:szCs w:val="22"/>
        </w:rPr>
        <w:t xml:space="preserve"> El cuatro de marzo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SAIMEX, el mismo día.</w:t>
      </w:r>
    </w:p>
    <w:p w14:paraId="066326A8" w14:textId="77777777" w:rsidR="00BA6005" w:rsidRDefault="00BA6005">
      <w:pPr>
        <w:spacing w:line="360" w:lineRule="auto"/>
        <w:jc w:val="both"/>
        <w:rPr>
          <w:rFonts w:ascii="Palatino Linotype" w:eastAsia="Palatino Linotype" w:hAnsi="Palatino Linotype" w:cs="Palatino Linotype"/>
          <w:b/>
          <w:bCs/>
          <w:sz w:val="22"/>
          <w:szCs w:val="22"/>
        </w:rPr>
      </w:pPr>
    </w:p>
    <w:p w14:paraId="24CEACEF"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En razón de que fue debidamente sustanciado el expediente electrónico y no existe diligencia pendiente de desahogo, se emite la resolución que conforme a Derecho proceda, de acuerdo a los siguientes: </w:t>
      </w:r>
    </w:p>
    <w:p w14:paraId="27CD259E" w14:textId="77777777" w:rsidR="00BA6005" w:rsidRDefault="00BA6005">
      <w:pPr>
        <w:pStyle w:val="Ttulo1"/>
        <w:spacing w:before="0" w:after="0" w:line="360" w:lineRule="auto"/>
        <w:jc w:val="center"/>
        <w:rPr>
          <w:rFonts w:ascii="Palatino Linotype" w:eastAsia="Palatino Linotype" w:hAnsi="Palatino Linotype" w:cs="Palatino Linotype"/>
          <w:b/>
          <w:bCs/>
          <w:color w:val="000000"/>
          <w:sz w:val="14"/>
          <w:szCs w:val="14"/>
        </w:rPr>
      </w:pPr>
    </w:p>
    <w:p w14:paraId="0428DB3F" w14:textId="77777777" w:rsidR="00BA6005" w:rsidRDefault="00BA6005">
      <w:pPr>
        <w:spacing w:line="360" w:lineRule="auto"/>
      </w:pPr>
    </w:p>
    <w:p w14:paraId="2E6F9FE2" w14:textId="77777777" w:rsidR="00BA6005" w:rsidRDefault="007C5973">
      <w:pPr>
        <w:pStyle w:val="Ttulo1"/>
        <w:spacing w:before="0" w:after="0" w:line="360" w:lineRule="auto"/>
        <w:jc w:val="center"/>
        <w:rPr>
          <w:rFonts w:ascii="Palatino Linotype" w:eastAsia="Palatino Linotype" w:hAnsi="Palatino Linotype" w:cs="Palatino Linotype"/>
          <w:b/>
          <w:bCs/>
          <w:color w:val="000000"/>
          <w:sz w:val="22"/>
          <w:szCs w:val="22"/>
        </w:rPr>
      </w:pPr>
      <w:bookmarkStart w:id="8" w:name="_heading=h.ph65fmwdtwym" w:colFirst="0" w:colLast="0"/>
      <w:bookmarkEnd w:id="8"/>
      <w:r>
        <w:rPr>
          <w:rFonts w:ascii="Palatino Linotype" w:eastAsia="Palatino Linotype" w:hAnsi="Palatino Linotype" w:cs="Palatino Linotype"/>
          <w:b/>
          <w:bCs/>
          <w:color w:val="000000"/>
          <w:sz w:val="22"/>
          <w:szCs w:val="22"/>
        </w:rPr>
        <w:t>C O N S I D E R A N D O S</w:t>
      </w:r>
    </w:p>
    <w:p w14:paraId="0B556A16" w14:textId="77777777" w:rsidR="00BA6005" w:rsidRDefault="00BA6005">
      <w:pPr>
        <w:spacing w:line="360" w:lineRule="auto"/>
      </w:pPr>
    </w:p>
    <w:p w14:paraId="66D37E52" w14:textId="77777777" w:rsidR="00BA6005" w:rsidRDefault="007C5973">
      <w:pPr>
        <w:pStyle w:val="Ttulo2"/>
        <w:spacing w:before="0" w:after="0" w:line="360" w:lineRule="auto"/>
        <w:rPr>
          <w:rFonts w:ascii="Palatino Linotype" w:eastAsia="Palatino Linotype" w:hAnsi="Palatino Linotype" w:cs="Palatino Linotype"/>
          <w:b/>
          <w:bCs/>
          <w:color w:val="000000"/>
          <w:sz w:val="22"/>
          <w:szCs w:val="22"/>
        </w:rPr>
      </w:pPr>
      <w:bookmarkStart w:id="9" w:name="_heading=h.v7i59auh9aed" w:colFirst="0" w:colLast="0"/>
      <w:bookmarkEnd w:id="9"/>
      <w:r>
        <w:rPr>
          <w:rFonts w:ascii="Palatino Linotype" w:eastAsia="Palatino Linotype" w:hAnsi="Palatino Linotype" w:cs="Palatino Linotype"/>
          <w:b/>
          <w:bCs/>
          <w:color w:val="000000"/>
          <w:sz w:val="22"/>
          <w:szCs w:val="22"/>
        </w:rPr>
        <w:t>PRIMERO. Competencia</w:t>
      </w:r>
    </w:p>
    <w:p w14:paraId="5AA1EFB2" w14:textId="77777777" w:rsidR="00BA6005" w:rsidRDefault="00BA6005">
      <w:pPr>
        <w:spacing w:line="360" w:lineRule="auto"/>
      </w:pPr>
    </w:p>
    <w:p w14:paraId="11756CB0"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w:t>
      </w:r>
      <w:r>
        <w:rPr>
          <w:rFonts w:ascii="Palatino Linotype" w:eastAsia="Palatino Linotype" w:hAnsi="Palatino Linotype" w:cs="Palatino Linotype"/>
          <w:color w:val="000000"/>
          <w:sz w:val="22"/>
          <w:szCs w:val="22"/>
        </w:rPr>
        <w:lastRenderedPageBreak/>
        <w:t>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60D75A6D"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40B4F42B" w14:textId="77777777" w:rsidR="00BA6005" w:rsidRDefault="007C5973">
      <w:pPr>
        <w:pStyle w:val="Ttulo2"/>
        <w:spacing w:before="0" w:after="0" w:line="360" w:lineRule="auto"/>
        <w:rPr>
          <w:rFonts w:ascii="Palatino Linotype" w:eastAsia="Palatino Linotype" w:hAnsi="Palatino Linotype" w:cs="Palatino Linotype"/>
          <w:b/>
          <w:bCs/>
          <w:color w:val="000000"/>
          <w:sz w:val="22"/>
          <w:szCs w:val="22"/>
        </w:rPr>
      </w:pPr>
      <w:bookmarkStart w:id="10" w:name="_heading=h.wj8cdmx99r4" w:colFirst="0" w:colLast="0"/>
      <w:bookmarkEnd w:id="10"/>
      <w:r>
        <w:rPr>
          <w:rFonts w:ascii="Palatino Linotype" w:eastAsia="Palatino Linotype" w:hAnsi="Palatino Linotype" w:cs="Palatino Linotype"/>
          <w:b/>
          <w:bCs/>
          <w:color w:val="000000"/>
          <w:sz w:val="22"/>
          <w:szCs w:val="22"/>
        </w:rPr>
        <w:t>SEGUNDO. Causales de improcedencia y sobreseimiento</w:t>
      </w:r>
    </w:p>
    <w:p w14:paraId="7907F706" w14:textId="77777777" w:rsidR="00BA6005" w:rsidRDefault="00BA6005">
      <w:pPr>
        <w:spacing w:line="360" w:lineRule="auto"/>
        <w:jc w:val="both"/>
        <w:rPr>
          <w:rFonts w:ascii="Palatino Linotype" w:eastAsia="Palatino Linotype" w:hAnsi="Palatino Linotype" w:cs="Palatino Linotype"/>
          <w:b/>
          <w:bCs/>
          <w:sz w:val="22"/>
          <w:szCs w:val="22"/>
        </w:rPr>
      </w:pPr>
    </w:p>
    <w:p w14:paraId="419CA67A"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De las constancias que forma parte del Recurso de Revisión que se analiza, se advierte que previo al estudio del fondo de la </w:t>
      </w:r>
      <w:r>
        <w:rPr>
          <w:rFonts w:ascii="Palatino Linotype" w:eastAsia="Palatino Linotype" w:hAnsi="Palatino Linotype" w:cs="Palatino Linotype"/>
          <w:i/>
          <w:iCs/>
          <w:sz w:val="22"/>
          <w:szCs w:val="22"/>
        </w:rPr>
        <w:t>litis</w:t>
      </w:r>
      <w:r>
        <w:rPr>
          <w:rFonts w:ascii="Palatino Linotype" w:eastAsia="Palatino Linotype" w:hAnsi="Palatino Linotype" w:cs="Palatino Linotype"/>
          <w:sz w:val="22"/>
          <w:szCs w:val="22"/>
        </w:rPr>
        <w:t>, es necesario estudiar las causales de improcedencia y sobreseimiento que se adviertan, para determinar lo que en Derecho proceda.</w:t>
      </w:r>
    </w:p>
    <w:p w14:paraId="31AB758E" w14:textId="77777777" w:rsidR="00BA6005" w:rsidRDefault="00BA6005">
      <w:pPr>
        <w:spacing w:line="360" w:lineRule="auto"/>
        <w:jc w:val="both"/>
        <w:rPr>
          <w:rFonts w:ascii="Palatino Linotype" w:eastAsia="Palatino Linotype" w:hAnsi="Palatino Linotype" w:cs="Palatino Linotype"/>
          <w:b/>
          <w:bCs/>
          <w:color w:val="000000"/>
          <w:sz w:val="22"/>
          <w:szCs w:val="22"/>
        </w:rPr>
      </w:pPr>
    </w:p>
    <w:p w14:paraId="19C99D42" w14:textId="77777777" w:rsidR="00BA6005" w:rsidRDefault="007C5973">
      <w:pPr>
        <w:spacing w:line="360" w:lineRule="auto"/>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Causales de improcedencia</w:t>
      </w:r>
    </w:p>
    <w:p w14:paraId="66A2AA31" w14:textId="77777777" w:rsidR="00BA6005" w:rsidRDefault="00BA6005">
      <w:pPr>
        <w:spacing w:line="360" w:lineRule="auto"/>
        <w:jc w:val="both"/>
        <w:rPr>
          <w:rFonts w:ascii="Palatino Linotype" w:eastAsia="Palatino Linotype" w:hAnsi="Palatino Linotype" w:cs="Palatino Linotype"/>
          <w:sz w:val="22"/>
          <w:szCs w:val="22"/>
        </w:rPr>
      </w:pPr>
    </w:p>
    <w:p w14:paraId="09680301"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7647F1BC" w14:textId="77777777" w:rsidR="00BA6005" w:rsidRDefault="00BA6005">
      <w:pPr>
        <w:spacing w:line="360" w:lineRule="auto"/>
        <w:jc w:val="both"/>
        <w:rPr>
          <w:rFonts w:ascii="Palatino Linotype" w:eastAsia="Palatino Linotype" w:hAnsi="Palatino Linotype" w:cs="Palatino Linotype"/>
          <w:sz w:val="22"/>
          <w:szCs w:val="22"/>
        </w:rPr>
      </w:pPr>
    </w:p>
    <w:p w14:paraId="4111B83A"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En el presente caso, no se actualiza ninguna de las causales de improcedencia establecidas en el ordenamiento jurídico previamente señalado, toda vez que: el recurso fue presentado dentro del plazo establecido en el artículo 178 de la Ley la materia; además, que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14:paraId="5FD55785"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Asimismo, se actualiza la causal de procedencia del Recurso de Revisión establecida en el artículo 179, fracción VI, de la Ley de Transparencia y Acceso a la Información Pública del Estado de México y Municipios, referente a la inexistencia de la información que no corresponde con lo solicitado. </w:t>
      </w:r>
    </w:p>
    <w:p w14:paraId="168B69FA" w14:textId="77777777" w:rsidR="00BA6005" w:rsidRDefault="00BA6005">
      <w:pPr>
        <w:spacing w:line="360" w:lineRule="auto"/>
        <w:jc w:val="both"/>
        <w:rPr>
          <w:rFonts w:ascii="Palatino Linotype" w:eastAsia="Palatino Linotype" w:hAnsi="Palatino Linotype" w:cs="Palatino Linotype"/>
          <w:sz w:val="22"/>
          <w:szCs w:val="22"/>
        </w:rPr>
      </w:pPr>
    </w:p>
    <w:p w14:paraId="7D6D5B6E"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Causales de sobreseimiento</w:t>
      </w:r>
    </w:p>
    <w:p w14:paraId="67599354" w14:textId="77777777" w:rsidR="00BA6005" w:rsidRDefault="00BA6005">
      <w:pPr>
        <w:spacing w:line="360" w:lineRule="auto"/>
        <w:jc w:val="both"/>
        <w:rPr>
          <w:rFonts w:ascii="Palatino Linotype" w:eastAsia="Palatino Linotype" w:hAnsi="Palatino Linotype" w:cs="Palatino Linotype"/>
          <w:sz w:val="22"/>
          <w:szCs w:val="22"/>
        </w:rPr>
      </w:pPr>
    </w:p>
    <w:p w14:paraId="7275EDD5"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ser de previo y especial pronunciamiento, este Instituto analiza si se actualiza alguna causal de sobreseimiento.</w:t>
      </w:r>
    </w:p>
    <w:p w14:paraId="3131E8EF" w14:textId="77777777" w:rsidR="00BA6005" w:rsidRDefault="00BA6005">
      <w:pPr>
        <w:spacing w:line="360" w:lineRule="auto"/>
        <w:jc w:val="both"/>
        <w:rPr>
          <w:rFonts w:ascii="Palatino Linotype" w:eastAsia="Palatino Linotype" w:hAnsi="Palatino Linotype" w:cs="Palatino Linotype"/>
          <w:sz w:val="22"/>
          <w:szCs w:val="22"/>
        </w:rPr>
      </w:pPr>
    </w:p>
    <w:p w14:paraId="62C1E9AC"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el Recurrente se haya desistido del </w:t>
      </w:r>
      <w:r>
        <w:rPr>
          <w:rFonts w:ascii="Palatino Linotype" w:eastAsia="Palatino Linotype" w:hAnsi="Palatino Linotype" w:cs="Palatino Linotype"/>
          <w:sz w:val="22"/>
          <w:szCs w:val="22"/>
        </w:rPr>
        <w:lastRenderedPageBreak/>
        <w:t>recurso, haya fallecido, sobreviniera alguna causal de improcedencia, que el Sujeto Obligado hubiese modificado o revocado el acto impugnado o bien, haya quedado sin materia.</w:t>
      </w:r>
    </w:p>
    <w:p w14:paraId="442E44F3" w14:textId="77777777" w:rsidR="00BA6005" w:rsidRDefault="00BA6005">
      <w:pPr>
        <w:spacing w:line="360" w:lineRule="auto"/>
        <w:jc w:val="both"/>
        <w:rPr>
          <w:rFonts w:ascii="Palatino Linotype" w:eastAsia="Palatino Linotype" w:hAnsi="Palatino Linotype" w:cs="Palatino Linotype"/>
          <w:sz w:val="22"/>
          <w:szCs w:val="22"/>
        </w:rPr>
      </w:pPr>
    </w:p>
    <w:p w14:paraId="3E17F379" w14:textId="77777777" w:rsidR="00BA6005" w:rsidRDefault="007C5973">
      <w:pPr>
        <w:tabs>
          <w:tab w:val="left" w:pos="4962"/>
        </w:tabs>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Por tales motivos, se considera procedente entrar al fondo del presente asunto. </w:t>
      </w:r>
    </w:p>
    <w:p w14:paraId="37E43097" w14:textId="77777777" w:rsidR="00BA6005" w:rsidRDefault="00BA6005">
      <w:pPr>
        <w:tabs>
          <w:tab w:val="left" w:pos="4962"/>
        </w:tabs>
        <w:spacing w:line="360" w:lineRule="auto"/>
        <w:jc w:val="both"/>
        <w:rPr>
          <w:rFonts w:ascii="Palatino Linotype" w:eastAsia="Palatino Linotype" w:hAnsi="Palatino Linotype" w:cs="Palatino Linotype"/>
          <w:sz w:val="22"/>
          <w:szCs w:val="22"/>
        </w:rPr>
      </w:pPr>
    </w:p>
    <w:p w14:paraId="4828DD35" w14:textId="77777777" w:rsidR="00BA6005" w:rsidRDefault="007C5973">
      <w:pPr>
        <w:tabs>
          <w:tab w:val="left" w:pos="4962"/>
        </w:tabs>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TERCERO. Determinación de la Controversia</w:t>
      </w:r>
    </w:p>
    <w:p w14:paraId="62BB179D"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3E85C850"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Una vez realizado el estudio de las constancias que integran el expediente en que se actúa, se desprende que el Particular requirió el de los servidores públicos dados de alta del primero de enero de dos mil veinticuatro al treinta y uno de diciembre de dos mil veinticinco, los documentos donde conste lo siguiente:</w:t>
      </w:r>
    </w:p>
    <w:p w14:paraId="2D627C95"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3652199A" w14:textId="77777777" w:rsidR="00BA6005" w:rsidRDefault="007C5973">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Nombre y cargo;</w:t>
      </w:r>
    </w:p>
    <w:p w14:paraId="06ACE8A3" w14:textId="77777777" w:rsidR="00BA6005" w:rsidRDefault="007C5973">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Sueldo bruto y neto mensual; y </w:t>
      </w:r>
    </w:p>
    <w:p w14:paraId="326577D4" w14:textId="77777777" w:rsidR="00BA6005" w:rsidRDefault="007C5973">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Currículum Vitae  </w:t>
      </w:r>
    </w:p>
    <w:p w14:paraId="79B2C5D8"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5A5CFAC2"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En respuesta, el Departamento de Recursos Humanos precisó que la información solicitada corresponde a obligaciones de transparencia y proporcionó dos ligas electrónicas en formato cerrado para consultar las remuneraciones y la información curricular en el sistema de Información Pública de Oficio Mexiquense (IPOMEX); ante dicha circunstancia, el Particular se inconformó de la  entrega de información que no corresponde con lo solicitado, lo cual actualiza la causal de procedencia prevista en la fracción VI, del artículo 179 de la Ley de </w:t>
      </w:r>
      <w:r>
        <w:rPr>
          <w:rFonts w:ascii="Palatino Linotype" w:eastAsia="Palatino Linotype" w:hAnsi="Palatino Linotype" w:cs="Palatino Linotype"/>
          <w:color w:val="000000"/>
          <w:sz w:val="22"/>
          <w:szCs w:val="22"/>
        </w:rPr>
        <w:lastRenderedPageBreak/>
        <w:t xml:space="preserve">Transparencia y Acceso a la Información Pública del Estado de México y Municipios. Así las cosas, una vez admitido y notificado a las partes los Medio de Impugnación, el Sujeto Obligado ratificó la respuesta inicial y proporcionó las ligas remitidas en respuesta con las capturas de pantalla de las fracciones correspondientes en el Portal de Transparencia del Sujeto Obligado. </w:t>
      </w:r>
    </w:p>
    <w:p w14:paraId="3C0CD817" w14:textId="77777777" w:rsidR="00BA6005" w:rsidRDefault="00BA6005">
      <w:pPr>
        <w:spacing w:line="360" w:lineRule="auto"/>
        <w:jc w:val="both"/>
        <w:rPr>
          <w:rFonts w:ascii="Palatino Linotype" w:eastAsia="Palatino Linotype" w:hAnsi="Palatino Linotype" w:cs="Palatino Linotype"/>
          <w:sz w:val="22"/>
          <w:szCs w:val="22"/>
        </w:rPr>
      </w:pPr>
    </w:p>
    <w:p w14:paraId="53CACE9C"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Lo anterior, se desprende de las documentales que obran en el expediente de referencia, materia de la presente resolución, consistentes en: la solicitud de acceso a la información, la respuesta proporcionada, el escrito </w:t>
      </w:r>
      <w:proofErr w:type="spellStart"/>
      <w:r>
        <w:rPr>
          <w:rFonts w:ascii="Palatino Linotype" w:eastAsia="Palatino Linotype" w:hAnsi="Palatino Linotype" w:cs="Palatino Linotype"/>
          <w:sz w:val="22"/>
          <w:szCs w:val="22"/>
        </w:rPr>
        <w:t>recursal</w:t>
      </w:r>
      <w:proofErr w:type="spellEnd"/>
      <w:r>
        <w:rPr>
          <w:rFonts w:ascii="Palatino Linotype" w:eastAsia="Palatino Linotype" w:hAnsi="Palatino Linotype" w:cs="Palatino Linotype"/>
          <w:sz w:val="22"/>
          <w:szCs w:val="22"/>
        </w:rPr>
        <w:t>, y el informe justificado; instrumentales que se toman en cuenta a efecto de resolver el presente medio de impugnación, conforme a lo dispuesto por el artículo 185, fracción IV, de la Ley de Transparencia y Acceso a la Información Pública del Estado de México y Municipios.</w:t>
      </w:r>
      <w:r>
        <w:rPr>
          <w:rFonts w:ascii="Palatino Linotype" w:eastAsia="Palatino Linotype" w:hAnsi="Palatino Linotype" w:cs="Palatino Linotype"/>
          <w:b/>
          <w:bCs/>
          <w:sz w:val="22"/>
          <w:szCs w:val="22"/>
        </w:rPr>
        <w:t xml:space="preserve"> </w:t>
      </w:r>
    </w:p>
    <w:p w14:paraId="266511DD" w14:textId="77777777" w:rsidR="00BA6005" w:rsidRDefault="00BA6005">
      <w:pPr>
        <w:tabs>
          <w:tab w:val="left" w:pos="4962"/>
        </w:tabs>
        <w:spacing w:line="360" w:lineRule="auto"/>
        <w:jc w:val="both"/>
        <w:rPr>
          <w:rFonts w:ascii="Palatino Linotype" w:eastAsia="Palatino Linotype" w:hAnsi="Palatino Linotype" w:cs="Palatino Linotype"/>
          <w:sz w:val="22"/>
          <w:szCs w:val="22"/>
        </w:rPr>
      </w:pPr>
    </w:p>
    <w:p w14:paraId="0E6B00F0" w14:textId="77777777" w:rsidR="00BA6005" w:rsidRDefault="007C5973">
      <w:pPr>
        <w:pStyle w:val="Ttulo2"/>
        <w:spacing w:before="0" w:after="0" w:line="360" w:lineRule="auto"/>
        <w:jc w:val="both"/>
        <w:rPr>
          <w:rFonts w:ascii="Palatino Linotype" w:eastAsia="Palatino Linotype" w:hAnsi="Palatino Linotype" w:cs="Palatino Linotype"/>
          <w:b/>
          <w:bCs/>
          <w:color w:val="000000"/>
          <w:sz w:val="22"/>
          <w:szCs w:val="22"/>
        </w:rPr>
      </w:pPr>
      <w:bookmarkStart w:id="11" w:name="_heading=h.an0qdw5hiycb" w:colFirst="0" w:colLast="0"/>
      <w:bookmarkEnd w:id="11"/>
      <w:r>
        <w:rPr>
          <w:rFonts w:ascii="Palatino Linotype" w:eastAsia="Palatino Linotype" w:hAnsi="Palatino Linotype" w:cs="Palatino Linotype"/>
          <w:b/>
          <w:bCs/>
          <w:color w:val="000000"/>
          <w:sz w:val="22"/>
          <w:szCs w:val="22"/>
        </w:rPr>
        <w:t>CUARTO. Marco normativo aplicable en materia de transparencia y acceso a la información pública</w:t>
      </w:r>
    </w:p>
    <w:p w14:paraId="3A0FACC3" w14:textId="77777777" w:rsidR="00BA6005" w:rsidRDefault="00BA6005">
      <w:pPr>
        <w:widowControl w:val="0"/>
        <w:spacing w:line="360" w:lineRule="auto"/>
        <w:jc w:val="both"/>
        <w:rPr>
          <w:rFonts w:ascii="Palatino Linotype" w:eastAsia="Palatino Linotype" w:hAnsi="Palatino Linotype" w:cs="Palatino Linotype"/>
          <w:sz w:val="22"/>
          <w:szCs w:val="22"/>
        </w:rPr>
      </w:pPr>
    </w:p>
    <w:p w14:paraId="066389D0" w14:textId="77777777" w:rsidR="00BA6005" w:rsidRDefault="007C5973">
      <w:pPr>
        <w:widowControl w:val="0"/>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33AAA34A" w14:textId="77777777" w:rsidR="00BA6005" w:rsidRDefault="00BA6005">
      <w:pPr>
        <w:widowControl w:val="0"/>
        <w:spacing w:line="360" w:lineRule="auto"/>
        <w:jc w:val="both"/>
        <w:rPr>
          <w:rFonts w:ascii="Palatino Linotype" w:eastAsia="Palatino Linotype" w:hAnsi="Palatino Linotype" w:cs="Palatino Linotype"/>
          <w:sz w:val="22"/>
          <w:szCs w:val="22"/>
        </w:rPr>
      </w:pPr>
    </w:p>
    <w:p w14:paraId="34472699"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Por su parte, en materia local, el artículo 5°, fracción I de la Constitución Política del Estado Libre y Soberano de México, es coincidente con la Constitución Política de los Estados Unidos Mexicanos, en el sentido de la publicidad de toda la información, con la única </w:t>
      </w:r>
      <w:r>
        <w:rPr>
          <w:rFonts w:ascii="Palatino Linotype" w:eastAsia="Palatino Linotype" w:hAnsi="Palatino Linotype" w:cs="Palatino Linotype"/>
          <w:sz w:val="22"/>
          <w:szCs w:val="22"/>
        </w:rPr>
        <w:lastRenderedPageBreak/>
        <w:t>restricción de proteger el interés público, así como la información referente a la intimidad de la vida privada y la imagen de las personas, con las excepciones que establezca la ley reglamentaria.</w:t>
      </w:r>
    </w:p>
    <w:p w14:paraId="28A097D2" w14:textId="77777777" w:rsidR="00BA6005" w:rsidRDefault="00BA6005">
      <w:pPr>
        <w:widowControl w:val="0"/>
        <w:spacing w:line="360" w:lineRule="auto"/>
        <w:jc w:val="both"/>
        <w:rPr>
          <w:rFonts w:ascii="Palatino Linotype" w:eastAsia="Palatino Linotype" w:hAnsi="Palatino Linotype" w:cs="Palatino Linotype"/>
          <w:sz w:val="22"/>
          <w:szCs w:val="22"/>
        </w:rPr>
      </w:pPr>
    </w:p>
    <w:p w14:paraId="33ED1DC5" w14:textId="77777777" w:rsidR="00BA6005" w:rsidRDefault="007C5973">
      <w:pPr>
        <w:widowControl w:val="0"/>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su parte, la Ley de Transparencia y Acceso a la Información Pública del Estado de México y Municipios (Reglamentaria del artículo 5° de la Constitución Local), establece lo siguiente:</w:t>
      </w:r>
    </w:p>
    <w:p w14:paraId="2A9BD72C" w14:textId="77777777" w:rsidR="00BA6005" w:rsidRDefault="00BA6005">
      <w:pPr>
        <w:widowControl w:val="0"/>
        <w:spacing w:line="360" w:lineRule="auto"/>
        <w:jc w:val="both"/>
        <w:rPr>
          <w:rFonts w:ascii="Palatino Linotype" w:eastAsia="Palatino Linotype" w:hAnsi="Palatino Linotype" w:cs="Palatino Linotype"/>
          <w:sz w:val="22"/>
          <w:szCs w:val="22"/>
        </w:rPr>
      </w:pPr>
    </w:p>
    <w:p w14:paraId="379A8D33" w14:textId="77777777" w:rsidR="00BA6005" w:rsidRDefault="007C5973">
      <w:pPr>
        <w:widowControl w:val="0"/>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12, que, quienes generen, recopilen, administren, manejen, procesen, archiven o conserven información pública serán responsables de la misma.</w:t>
      </w:r>
    </w:p>
    <w:p w14:paraId="3F27ABAE" w14:textId="77777777" w:rsidR="00BA6005" w:rsidRDefault="007C5973">
      <w:pPr>
        <w:widowControl w:val="0"/>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6FF1F6FE" w14:textId="77777777" w:rsidR="00BA6005" w:rsidRDefault="00BA6005">
      <w:pPr>
        <w:widowControl w:val="0"/>
        <w:spacing w:line="360" w:lineRule="auto"/>
        <w:jc w:val="both"/>
        <w:rPr>
          <w:rFonts w:ascii="Palatino Linotype" w:eastAsia="Palatino Linotype" w:hAnsi="Palatino Linotype" w:cs="Palatino Linotype"/>
          <w:sz w:val="22"/>
          <w:szCs w:val="22"/>
        </w:rPr>
      </w:pPr>
    </w:p>
    <w:p w14:paraId="309D64BD" w14:textId="77777777" w:rsidR="00BA6005" w:rsidRDefault="007C5973">
      <w:pPr>
        <w:widowControl w:val="0"/>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212E60E2" w14:textId="77777777" w:rsidR="00BA6005" w:rsidRDefault="00BA6005">
      <w:pPr>
        <w:tabs>
          <w:tab w:val="left" w:pos="4962"/>
        </w:tabs>
        <w:spacing w:line="360" w:lineRule="auto"/>
        <w:jc w:val="both"/>
        <w:rPr>
          <w:rFonts w:ascii="Palatino Linotype" w:eastAsia="Palatino Linotype" w:hAnsi="Palatino Linotype" w:cs="Palatino Linotype"/>
          <w:sz w:val="22"/>
          <w:szCs w:val="22"/>
        </w:rPr>
      </w:pPr>
    </w:p>
    <w:p w14:paraId="0B4776C0" w14:textId="77777777" w:rsidR="00BA6005" w:rsidRDefault="007C5973">
      <w:pPr>
        <w:pStyle w:val="Ttulo2"/>
        <w:spacing w:before="0" w:after="0" w:line="360" w:lineRule="auto"/>
        <w:rPr>
          <w:rFonts w:ascii="Palatino Linotype" w:eastAsia="Palatino Linotype" w:hAnsi="Palatino Linotype" w:cs="Palatino Linotype"/>
          <w:b/>
          <w:bCs/>
          <w:color w:val="000000"/>
          <w:sz w:val="22"/>
          <w:szCs w:val="22"/>
        </w:rPr>
      </w:pPr>
      <w:bookmarkStart w:id="12" w:name="_heading=h.iu7wifpez0l" w:colFirst="0" w:colLast="0"/>
      <w:bookmarkEnd w:id="12"/>
      <w:r>
        <w:rPr>
          <w:rFonts w:ascii="Palatino Linotype" w:eastAsia="Palatino Linotype" w:hAnsi="Palatino Linotype" w:cs="Palatino Linotype"/>
          <w:b/>
          <w:bCs/>
          <w:color w:val="000000"/>
          <w:sz w:val="22"/>
          <w:szCs w:val="22"/>
        </w:rPr>
        <w:t>QUINTO. Estudio de Fondo</w:t>
      </w:r>
    </w:p>
    <w:p w14:paraId="4FA36383" w14:textId="77777777" w:rsidR="00BA6005" w:rsidRDefault="00BA6005">
      <w:pPr>
        <w:spacing w:line="360" w:lineRule="auto"/>
        <w:jc w:val="both"/>
        <w:rPr>
          <w:rFonts w:ascii="Palatino Linotype" w:eastAsia="Palatino Linotype" w:hAnsi="Palatino Linotype" w:cs="Palatino Linotype"/>
          <w:b/>
          <w:bCs/>
          <w:sz w:val="22"/>
          <w:szCs w:val="22"/>
        </w:rPr>
      </w:pPr>
    </w:p>
    <w:p w14:paraId="4A2D8888" w14:textId="77777777" w:rsidR="00BA6005" w:rsidRDefault="007C5973">
      <w:pPr>
        <w:widowControl w:val="0"/>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Expuestas las posturas de las partes, se procede al análisis de los agravios hechos valer por la persona Recurrente, por lo que, en principio es necesario contextualizar la solicitud de </w:t>
      </w:r>
      <w:r>
        <w:rPr>
          <w:rFonts w:ascii="Palatino Linotype" w:eastAsia="Palatino Linotype" w:hAnsi="Palatino Linotype" w:cs="Palatino Linotype"/>
          <w:sz w:val="22"/>
          <w:szCs w:val="22"/>
        </w:rPr>
        <w:lastRenderedPageBreak/>
        <w:t>información.</w:t>
      </w:r>
    </w:p>
    <w:p w14:paraId="4FDBB17B" w14:textId="77777777" w:rsidR="00BA6005" w:rsidRDefault="00BA6005">
      <w:pPr>
        <w:widowControl w:val="0"/>
        <w:spacing w:line="360" w:lineRule="auto"/>
        <w:jc w:val="both"/>
        <w:rPr>
          <w:rFonts w:ascii="Palatino Linotype" w:eastAsia="Palatino Linotype" w:hAnsi="Palatino Linotype" w:cs="Palatino Linotype"/>
          <w:sz w:val="22"/>
          <w:szCs w:val="22"/>
        </w:rPr>
      </w:pPr>
    </w:p>
    <w:p w14:paraId="3A34A0FD"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sz w:val="22"/>
          <w:szCs w:val="22"/>
        </w:rPr>
        <w:t xml:space="preserve">Ahora bien, respecto al nombre y cargo de los servidores públicos </w:t>
      </w:r>
      <w:r>
        <w:rPr>
          <w:rFonts w:ascii="Palatino Linotype" w:eastAsia="Palatino Linotype" w:hAnsi="Palatino Linotype" w:cs="Palatino Linotype"/>
          <w:color w:val="000000"/>
          <w:sz w:val="22"/>
          <w:szCs w:val="22"/>
        </w:rPr>
        <w:t xml:space="preserve">el artículo 92, fracción VII, de la Ley de Transparencia y Acceso a la Información Pública del Estado de México y Municipios, establece como obligación común de transparencia, el Directorio de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 además, deberá incluir, al menos el </w:t>
      </w:r>
      <w:r>
        <w:rPr>
          <w:rFonts w:ascii="Palatino Linotype" w:eastAsia="Palatino Linotype" w:hAnsi="Palatino Linotype" w:cs="Palatino Linotype"/>
          <w:b/>
          <w:bCs/>
          <w:color w:val="000000"/>
          <w:sz w:val="22"/>
          <w:szCs w:val="22"/>
        </w:rPr>
        <w:t>nombre, cargo</w:t>
      </w:r>
      <w:r>
        <w:rPr>
          <w:rFonts w:ascii="Palatino Linotype" w:eastAsia="Palatino Linotype" w:hAnsi="Palatino Linotype" w:cs="Palatino Linotype"/>
          <w:color w:val="000000"/>
          <w:sz w:val="22"/>
          <w:szCs w:val="22"/>
        </w:rPr>
        <w:t xml:space="preserve"> o nombramiento oficial asignado, nivel del puesto en la estructura orgánica, </w:t>
      </w:r>
      <w:r>
        <w:rPr>
          <w:rFonts w:ascii="Palatino Linotype" w:eastAsia="Palatino Linotype" w:hAnsi="Palatino Linotype" w:cs="Palatino Linotype"/>
          <w:b/>
          <w:bCs/>
          <w:color w:val="000000"/>
          <w:sz w:val="22"/>
          <w:szCs w:val="22"/>
        </w:rPr>
        <w:t>fecha de alta en el cargo</w:t>
      </w:r>
      <w:r>
        <w:rPr>
          <w:rFonts w:ascii="Palatino Linotype" w:eastAsia="Palatino Linotype" w:hAnsi="Palatino Linotype" w:cs="Palatino Linotype"/>
          <w:color w:val="000000"/>
          <w:sz w:val="22"/>
          <w:szCs w:val="22"/>
        </w:rPr>
        <w:t>, número telefónico, domicilio para recibir correspondencia y dirección de correo electrónico oficiales, datos que deberán señalarse de forma independiente por dependencia y entidad pública de cada sujeto obligado.</w:t>
      </w:r>
    </w:p>
    <w:p w14:paraId="1010D391" w14:textId="77777777" w:rsidR="00BA6005" w:rsidRDefault="00BA6005">
      <w:pPr>
        <w:spacing w:line="360" w:lineRule="auto"/>
        <w:ind w:right="-93"/>
        <w:jc w:val="both"/>
        <w:rPr>
          <w:rFonts w:ascii="Palatino Linotype" w:eastAsia="Palatino Linotype" w:hAnsi="Palatino Linotype" w:cs="Palatino Linotype"/>
          <w:color w:val="000000"/>
          <w:sz w:val="22"/>
          <w:szCs w:val="22"/>
        </w:rPr>
      </w:pPr>
    </w:p>
    <w:p w14:paraId="70912A5B"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Conforme a lo anterior, el Sujeto Obligado tiene la obligación de publicar y hacer del conocimiento de la ciudadanía, el Directorio de todos los Servidores Públicos con los datos de nombre, cargo o nombramiento oficial asignado, nivel del puesto, fecha de alta en el cargo, número telefónico, domicilio para recibir correspondencia y dirección de correo electrónico oficiales.</w:t>
      </w:r>
    </w:p>
    <w:p w14:paraId="0C12C63E" w14:textId="77777777" w:rsidR="00BA6005" w:rsidRDefault="00BA6005">
      <w:pPr>
        <w:widowControl w:val="0"/>
        <w:spacing w:line="360" w:lineRule="auto"/>
        <w:jc w:val="both"/>
        <w:rPr>
          <w:rFonts w:ascii="Palatino Linotype" w:eastAsia="Palatino Linotype" w:hAnsi="Palatino Linotype" w:cs="Palatino Linotype"/>
          <w:sz w:val="22"/>
          <w:szCs w:val="22"/>
        </w:rPr>
      </w:pPr>
    </w:p>
    <w:p w14:paraId="474C02A1" w14:textId="77777777" w:rsidR="00BA6005" w:rsidRDefault="007C5973">
      <w:pPr>
        <w:tabs>
          <w:tab w:val="left" w:pos="4962"/>
        </w:tabs>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Ahora respecto al sueldo, es necesario traer a colación la Guía Técnica 9 “La Administración del Personal Municipal”, define a los servidores públicos, como todas aquellas personas que prestan su trabajo al servicio del municipio, conformado por las autoridades, funcionarios </w:t>
      </w:r>
      <w:r>
        <w:rPr>
          <w:rFonts w:ascii="Palatino Linotype" w:eastAsia="Palatino Linotype" w:hAnsi="Palatino Linotype" w:cs="Palatino Linotype"/>
          <w:color w:val="000000"/>
          <w:sz w:val="22"/>
          <w:szCs w:val="22"/>
        </w:rPr>
        <w:lastRenderedPageBreak/>
        <w:t>(Secretario Directores, Tesoreros, Contralores y Jefes de Departamento) y empleados (puestos administrativos y técnicos).</w:t>
      </w:r>
    </w:p>
    <w:p w14:paraId="4A0DA69D" w14:textId="77777777" w:rsidR="00BA6005" w:rsidRDefault="00BA6005">
      <w:pPr>
        <w:widowControl w:val="0"/>
        <w:spacing w:line="360" w:lineRule="auto"/>
        <w:jc w:val="both"/>
        <w:rPr>
          <w:rFonts w:ascii="Palatino Linotype" w:eastAsia="Palatino Linotype" w:hAnsi="Palatino Linotype" w:cs="Palatino Linotype"/>
          <w:sz w:val="22"/>
          <w:szCs w:val="22"/>
        </w:rPr>
      </w:pPr>
    </w:p>
    <w:p w14:paraId="08BDC3DC" w14:textId="77777777" w:rsidR="00BA6005" w:rsidRDefault="007C5973">
      <w:pPr>
        <w:tabs>
          <w:tab w:val="left" w:pos="4962"/>
        </w:tabs>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En ese orden de ideas, el primer párrafo, del artículo 108 de la Constitución Política de los Estados Unidos Mexicanos, establece que, en materia de responsabilidades, serán servidores públicos, los representantes de elección popular, los funcionarios y empleados y, en general, a toda persona que desempeñe un empleo, cargo o comisión de cualquier naturaleza dentro de la Administración Pública. De la misma manera, el artículo 130 de la Constitución Política del Estado Libre y Soberano de México, precisa que son servidores públicos a todas las personas que desempeñen un empleo, cargo o comisión en los Municipios.</w:t>
      </w:r>
    </w:p>
    <w:p w14:paraId="730F74D5" w14:textId="77777777" w:rsidR="00BA6005" w:rsidRDefault="00BA6005">
      <w:pPr>
        <w:tabs>
          <w:tab w:val="left" w:pos="4962"/>
        </w:tabs>
        <w:spacing w:line="360" w:lineRule="auto"/>
        <w:jc w:val="both"/>
        <w:rPr>
          <w:rFonts w:ascii="Palatino Linotype" w:eastAsia="Palatino Linotype" w:hAnsi="Palatino Linotype" w:cs="Palatino Linotype"/>
          <w:color w:val="000000"/>
          <w:sz w:val="22"/>
          <w:szCs w:val="22"/>
        </w:rPr>
      </w:pPr>
    </w:p>
    <w:p w14:paraId="33020C23" w14:textId="77777777" w:rsidR="00BA6005" w:rsidRDefault="007C5973">
      <w:pPr>
        <w:tabs>
          <w:tab w:val="left" w:pos="4962"/>
        </w:tabs>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Además, el artículo 4°, fracción VI, de la Ley del Trabajo de los servidores públicos del Estado y Municipios, precisa que son servidores públicos, todas las personas físicas que presten a una institución pública un trabajo personal subordinado, mediante el pago de un sueldo.</w:t>
      </w:r>
    </w:p>
    <w:p w14:paraId="70985ED2" w14:textId="77777777" w:rsidR="00BA6005" w:rsidRDefault="00BA6005">
      <w:pPr>
        <w:tabs>
          <w:tab w:val="left" w:pos="4962"/>
        </w:tabs>
        <w:spacing w:line="360" w:lineRule="auto"/>
        <w:jc w:val="both"/>
        <w:rPr>
          <w:rFonts w:ascii="Palatino Linotype" w:eastAsia="Palatino Linotype" w:hAnsi="Palatino Linotype" w:cs="Palatino Linotype"/>
          <w:color w:val="000000"/>
          <w:sz w:val="22"/>
          <w:szCs w:val="22"/>
        </w:rPr>
      </w:pPr>
    </w:p>
    <w:p w14:paraId="207AA2C4" w14:textId="77777777" w:rsidR="00BA6005" w:rsidRDefault="007C5973">
      <w:pPr>
        <w:tabs>
          <w:tab w:val="left" w:pos="4962"/>
        </w:tabs>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En orden de ideas, el artículo 3°, fracción XXXII, del Código Financiero del Estado de México y Municipios establece que la remuneración consiste en los pagos hechos por concepto de sueldo, compensaciones, gratificaciones, habitación, primas, comisiones, prestaciones, en especie y cualquier otra percepción o prestación que se entregue al servidor por su trabajo.</w:t>
      </w:r>
    </w:p>
    <w:p w14:paraId="1BC2F214" w14:textId="77777777" w:rsidR="00BA6005" w:rsidRDefault="00BA6005">
      <w:pPr>
        <w:tabs>
          <w:tab w:val="left" w:pos="4962"/>
        </w:tabs>
        <w:spacing w:line="360" w:lineRule="auto"/>
        <w:jc w:val="both"/>
        <w:rPr>
          <w:rFonts w:ascii="Palatino Linotype" w:eastAsia="Palatino Linotype" w:hAnsi="Palatino Linotype" w:cs="Palatino Linotype"/>
          <w:color w:val="000000"/>
          <w:sz w:val="22"/>
          <w:szCs w:val="22"/>
        </w:rPr>
      </w:pPr>
    </w:p>
    <w:p w14:paraId="20CD9793" w14:textId="77777777" w:rsidR="00BA6005" w:rsidRDefault="007C5973">
      <w:pPr>
        <w:tabs>
          <w:tab w:val="left" w:pos="4962"/>
        </w:tabs>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Da la misma manera, el Anexo IV.5 Glosario de Términos, del Manual para la Planeación, Programación y Presupuesto de Egresos Municipal para el ejercicio fiscal dos mil </w:t>
      </w:r>
      <w:r>
        <w:rPr>
          <w:rFonts w:ascii="Palatino Linotype" w:eastAsia="Palatino Linotype" w:hAnsi="Palatino Linotype" w:cs="Palatino Linotype"/>
          <w:color w:val="000000"/>
          <w:sz w:val="22"/>
          <w:szCs w:val="22"/>
        </w:rPr>
        <w:lastRenderedPageBreak/>
        <w:t>veinticinco, establece que la remuneración es la percepción de un trabajador o retribución monetaria que se da en pago por su servicio o actividad desarrollada.</w:t>
      </w:r>
    </w:p>
    <w:p w14:paraId="0A3C9F9F" w14:textId="77777777" w:rsidR="00BA6005" w:rsidRDefault="00BA6005">
      <w:pPr>
        <w:widowControl w:val="0"/>
        <w:spacing w:line="360" w:lineRule="auto"/>
        <w:jc w:val="both"/>
        <w:rPr>
          <w:rFonts w:ascii="Palatino Linotype" w:eastAsia="Palatino Linotype" w:hAnsi="Palatino Linotype" w:cs="Palatino Linotype"/>
          <w:sz w:val="22"/>
          <w:szCs w:val="22"/>
        </w:rPr>
      </w:pPr>
    </w:p>
    <w:p w14:paraId="52C45999" w14:textId="77777777" w:rsidR="00BA6005" w:rsidRDefault="007C5973">
      <w:pPr>
        <w:widowControl w:val="0"/>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Asimismo, el artículo 92, fracción VIII, de la Ley de Transparencia y Acceso a la Información Pública del Estado de México y Municipios, establece que los Sujetos Obligados deberán poner a disposición del público de manera permanente y actualizada, </w:t>
      </w:r>
      <w:r>
        <w:rPr>
          <w:rFonts w:ascii="Palatino Linotype" w:eastAsia="Palatino Linotype" w:hAnsi="Palatino Linotype" w:cs="Palatino Linotype"/>
          <w:b/>
          <w:bCs/>
          <w:sz w:val="22"/>
          <w:szCs w:val="22"/>
        </w:rPr>
        <w:t>las remuneraciones brutas y netas</w:t>
      </w:r>
      <w:r>
        <w:rPr>
          <w:rFonts w:ascii="Palatino Linotype" w:eastAsia="Palatino Linotype" w:hAnsi="Palatino Linotype" w:cs="Palatino Linotype"/>
          <w:sz w:val="22"/>
          <w:szCs w:val="22"/>
        </w:rPr>
        <w:t xml:space="preserve"> de todos los servidores públicos, que incluya todas las percepciones, entre las cuales, se encuentran los sueldos, prestaciones, gratificaciones, primas, comisiones, dietas, bonos, estímulos, ingresos, entre otros.</w:t>
      </w:r>
    </w:p>
    <w:p w14:paraId="51AE1D52" w14:textId="77777777" w:rsidR="00BA6005" w:rsidRDefault="00BA6005">
      <w:pPr>
        <w:widowControl w:val="0"/>
        <w:spacing w:line="360" w:lineRule="auto"/>
        <w:jc w:val="both"/>
        <w:rPr>
          <w:rFonts w:ascii="Palatino Linotype" w:eastAsia="Palatino Linotype" w:hAnsi="Palatino Linotype" w:cs="Palatino Linotype"/>
          <w:sz w:val="22"/>
          <w:szCs w:val="22"/>
        </w:rPr>
      </w:pPr>
    </w:p>
    <w:p w14:paraId="1FA7AB5B"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sz w:val="22"/>
          <w:szCs w:val="22"/>
        </w:rPr>
        <w:t xml:space="preserve">  Finalmente, respecto a la información curricular </w:t>
      </w:r>
      <w:r>
        <w:rPr>
          <w:rFonts w:ascii="Palatino Linotype" w:eastAsia="Palatino Linotype" w:hAnsi="Palatino Linotype" w:cs="Palatino Linotype"/>
          <w:color w:val="000000"/>
          <w:sz w:val="22"/>
          <w:szCs w:val="22"/>
        </w:rPr>
        <w:t>es necesario señalar que, el documento donde consta la información curricular de una persona, corresponde aquel que las personas elaboran con los datos de identificación y contacto, preparación académica y experiencia profesional, para presentarse ante un posible empleador. Por lo que, dicho documento da cuenta de la preparación académica y la experiencia laboral, lo cual permite identificar el nivel de conocimientos de su titular, así como, su perfil profesional o laboral.</w:t>
      </w:r>
    </w:p>
    <w:p w14:paraId="7E65905B"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195FEC25"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En ese sentido, si bien el currículum, se trata de aquel elaborado por cada persona, sin ninguna validez oficial, también lo es, que tiene por objetivo que las personas puedan conocer la trayectoria de quién lo presenta; por lo que, existe un interés público para dar a conocer dicha información, pues transparenta que el personal que labora para el Sujeto Obligado cuenta con las capacidades, conocimientos y experiencia necesaria para cumplir  con sus funciones.</w:t>
      </w:r>
    </w:p>
    <w:p w14:paraId="0FF30F4D"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7A9EB7DD"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Lo anterior, se robustece con la fracción XXI, del artículo 92 de la Ley de Transparencia y Acceso a la Información Pública del Estado de México y Municipios, que establece que la </w:t>
      </w:r>
      <w:r>
        <w:rPr>
          <w:rFonts w:ascii="Palatino Linotype" w:eastAsia="Palatino Linotype" w:hAnsi="Palatino Linotype" w:cs="Palatino Linotype"/>
          <w:b/>
          <w:bCs/>
          <w:color w:val="000000"/>
          <w:sz w:val="22"/>
          <w:szCs w:val="22"/>
        </w:rPr>
        <w:t>información curricular</w:t>
      </w:r>
      <w:r>
        <w:rPr>
          <w:rFonts w:ascii="Palatino Linotype" w:eastAsia="Palatino Linotype" w:hAnsi="Palatino Linotype" w:cs="Palatino Linotype"/>
          <w:color w:val="000000"/>
          <w:sz w:val="22"/>
          <w:szCs w:val="22"/>
        </w:rPr>
        <w:t xml:space="preserve"> es información que deben de poner a disposición del público los sujetos obligados.</w:t>
      </w:r>
    </w:p>
    <w:p w14:paraId="360090A6" w14:textId="77777777" w:rsidR="00BA6005" w:rsidRDefault="00BA6005">
      <w:pPr>
        <w:widowControl w:val="0"/>
        <w:spacing w:line="360" w:lineRule="auto"/>
        <w:jc w:val="both"/>
        <w:rPr>
          <w:rFonts w:ascii="Palatino Linotype" w:eastAsia="Palatino Linotype" w:hAnsi="Palatino Linotype" w:cs="Palatino Linotype"/>
          <w:color w:val="000000"/>
          <w:sz w:val="22"/>
          <w:szCs w:val="22"/>
        </w:rPr>
      </w:pPr>
    </w:p>
    <w:p w14:paraId="4EB9F16B" w14:textId="77777777" w:rsidR="00BA6005" w:rsidRDefault="007C5973">
      <w:pPr>
        <w:widowControl w:val="0"/>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En el mismo sentido, el Criterio de Interpretación, de la Tercera de Época, con número de registro SO/007/2023, emitido por el Instituto Nacional de Transparencia, Acceso a la Información y Protección de Datos Personales, el cual se trae por analogía establece que una de las formas en que los ciudadanos pueden evaluar las aptitudes para desempeñar un cargo público determinado, es mediante </w:t>
      </w:r>
      <w:r>
        <w:rPr>
          <w:rFonts w:ascii="Palatino Linotype" w:eastAsia="Palatino Linotype" w:hAnsi="Palatino Linotype" w:cs="Palatino Linotype"/>
          <w:b/>
          <w:bCs/>
          <w:color w:val="000000"/>
          <w:sz w:val="22"/>
          <w:szCs w:val="22"/>
        </w:rPr>
        <w:t>la publicidad de ciertos datos</w:t>
      </w:r>
      <w:r>
        <w:rPr>
          <w:rFonts w:ascii="Palatino Linotype" w:eastAsia="Palatino Linotype" w:hAnsi="Palatino Linotype" w:cs="Palatino Linotype"/>
          <w:color w:val="000000"/>
          <w:sz w:val="22"/>
          <w:szCs w:val="22"/>
        </w:rPr>
        <w:t xml:space="preserve"> contenidos en el currículum vitae, tales como, la </w:t>
      </w:r>
      <w:r>
        <w:rPr>
          <w:rFonts w:ascii="Palatino Linotype" w:eastAsia="Palatino Linotype" w:hAnsi="Palatino Linotype" w:cs="Palatino Linotype"/>
          <w:b/>
          <w:bCs/>
          <w:color w:val="000000"/>
          <w:sz w:val="22"/>
          <w:szCs w:val="22"/>
        </w:rPr>
        <w:t>trayectoria académica, profesional, laboral, así como todos aquellos que acrediten su capacidad, habilidades pericia para ocupar el puesto público</w:t>
      </w:r>
      <w:r>
        <w:rPr>
          <w:rFonts w:ascii="Palatino Linotype" w:eastAsia="Palatino Linotype" w:hAnsi="Palatino Linotype" w:cs="Palatino Linotype"/>
          <w:color w:val="000000"/>
          <w:sz w:val="22"/>
          <w:szCs w:val="22"/>
        </w:rPr>
        <w:t>. Lo anterior, para favorecer la rendición de cuentas, pues la publicidad de lo anterior tiene como fin verificar el correcto desempeño de los sujetos obligados.</w:t>
      </w:r>
    </w:p>
    <w:p w14:paraId="4E6F69CA" w14:textId="77777777" w:rsidR="00BA6005" w:rsidRDefault="00BA6005">
      <w:pPr>
        <w:widowControl w:val="0"/>
        <w:spacing w:line="360" w:lineRule="auto"/>
        <w:jc w:val="both"/>
        <w:rPr>
          <w:rFonts w:ascii="Palatino Linotype" w:eastAsia="Palatino Linotype" w:hAnsi="Palatino Linotype" w:cs="Palatino Linotype"/>
          <w:sz w:val="22"/>
          <w:szCs w:val="22"/>
        </w:rPr>
      </w:pPr>
    </w:p>
    <w:p w14:paraId="233A5502"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sz w:val="22"/>
          <w:szCs w:val="22"/>
        </w:rPr>
        <w:t xml:space="preserve">Conforme a lo expuesto, se logra vislumbrar que la pretensión de la persona Recurrente es obtener </w:t>
      </w:r>
      <w:r>
        <w:rPr>
          <w:rFonts w:ascii="Palatino Linotype" w:eastAsia="Palatino Linotype" w:hAnsi="Palatino Linotype" w:cs="Palatino Linotype"/>
          <w:color w:val="000000"/>
          <w:sz w:val="22"/>
          <w:szCs w:val="22"/>
        </w:rPr>
        <w:t>de los servidores públicos dados de alta del primero de enero de dos mil veinticuatro al once de septiembre de dos mil veinticinco (fecha de presentación de la solicitud), los documentos donde conste lo siguiente:</w:t>
      </w:r>
    </w:p>
    <w:p w14:paraId="0FDBF36A"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0415DA24" w14:textId="77777777" w:rsidR="00BA6005" w:rsidRDefault="007C5973">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Nombre y cargo;</w:t>
      </w:r>
    </w:p>
    <w:p w14:paraId="555E4622" w14:textId="77777777" w:rsidR="00BA6005" w:rsidRDefault="007C5973">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Sueldo bruto y neto mensual; y </w:t>
      </w:r>
    </w:p>
    <w:p w14:paraId="1CB562E4" w14:textId="77777777" w:rsidR="00BA6005" w:rsidRDefault="007C5973">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lastRenderedPageBreak/>
        <w:t>Información curricular</w:t>
      </w:r>
    </w:p>
    <w:p w14:paraId="759F84D0" w14:textId="77777777" w:rsidR="00BA6005" w:rsidRDefault="00BA6005">
      <w:pPr>
        <w:widowControl w:val="0"/>
        <w:spacing w:line="360" w:lineRule="auto"/>
        <w:jc w:val="both"/>
        <w:rPr>
          <w:rFonts w:ascii="Palatino Linotype" w:eastAsia="Palatino Linotype" w:hAnsi="Palatino Linotype" w:cs="Palatino Linotype"/>
          <w:color w:val="000000"/>
          <w:sz w:val="22"/>
          <w:szCs w:val="22"/>
        </w:rPr>
      </w:pPr>
    </w:p>
    <w:p w14:paraId="03B7246A" w14:textId="77777777" w:rsidR="00BA6005" w:rsidRDefault="007C5973">
      <w:pPr>
        <w:spacing w:line="360" w:lineRule="auto"/>
        <w:ind w:right="-28"/>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Establecida dicha circunstancia, se procede analizar la respuesta entregada, para lo cual, es de señalar que el Departamento de Recursos Humanos, fue el área que dio respuesta a la solicitud; así, resulta necesario hacer referencia al procedimiento de búsqueda que deben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w:t>
      </w:r>
    </w:p>
    <w:p w14:paraId="23FCABEF" w14:textId="77777777" w:rsidR="00BA6005" w:rsidRDefault="00BA6005">
      <w:pPr>
        <w:spacing w:line="360" w:lineRule="auto"/>
        <w:ind w:right="-28"/>
        <w:jc w:val="both"/>
        <w:rPr>
          <w:rFonts w:ascii="Palatino Linotype" w:eastAsia="Palatino Linotype" w:hAnsi="Palatino Linotype" w:cs="Palatino Linotype"/>
          <w:sz w:val="22"/>
          <w:szCs w:val="22"/>
        </w:rPr>
      </w:pPr>
    </w:p>
    <w:p w14:paraId="2F5CB6DC" w14:textId="77777777" w:rsidR="00BA6005" w:rsidRDefault="007C5973">
      <w:pPr>
        <w:spacing w:line="360" w:lineRule="auto"/>
        <w:ind w:right="-28"/>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Dicho lo anterior, es necesario traer al estudio los artículos 20, fracción V, 37 y 40, fracciones II, III y IV del Reglamento Interno del Organismo Público Descentralizado para la prestación de los Servicios de Agua Potable, Drenaje y Tratamiento de Agua Residuales del Municipio de Huixquilucan, precisan que para el ejercicio de las atribuciones y responsabilidades del Organismo, la Dirección General se auxiliará de la Dirección de Administración y Finanzas, encargada de responsabilizarse del proveer e área de recursos humanos, con personal capacitado que cumpla los perfiles requeridos y para tal efecto, contará con el Departamento de Recursos Humanos, encargada de realizar los movimientos de personal previa aprobación de la Dirección General, integrar el registro de los expedientes del personal que </w:t>
      </w:r>
      <w:r>
        <w:rPr>
          <w:rFonts w:ascii="Palatino Linotype" w:eastAsia="Palatino Linotype" w:hAnsi="Palatino Linotype" w:cs="Palatino Linotype"/>
          <w:sz w:val="22"/>
          <w:szCs w:val="22"/>
        </w:rPr>
        <w:lastRenderedPageBreak/>
        <w:t xml:space="preserve">labora en el Organismo y elaborar la nómina con base al sistema de remuneraciones y efectuar el pago del salario de los servidores públicos.  </w:t>
      </w:r>
    </w:p>
    <w:p w14:paraId="12DFD0E5" w14:textId="77777777" w:rsidR="00BA6005" w:rsidRDefault="007C5973">
      <w:pPr>
        <w:spacing w:line="360" w:lineRule="auto"/>
        <w:ind w:right="-28"/>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14:paraId="2F5D92CC" w14:textId="77777777" w:rsidR="00BA6005" w:rsidRDefault="007C5973">
      <w:pPr>
        <w:spacing w:line="360" w:lineRule="auto"/>
        <w:ind w:right="-28"/>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sz w:val="22"/>
          <w:szCs w:val="22"/>
        </w:rPr>
        <w:t xml:space="preserve">Así, </w:t>
      </w:r>
      <w:r>
        <w:rPr>
          <w:rFonts w:ascii="Palatino Linotype" w:eastAsia="Palatino Linotype" w:hAnsi="Palatino Linotype" w:cs="Palatino Linotype"/>
          <w:color w:val="000000"/>
          <w:sz w:val="22"/>
          <w:szCs w:val="22"/>
        </w:rPr>
        <w:t>se logra colegir que el Sujeto Obligado cumplió con el procedimiento de búsqueda establecido en el artículo 162 de la Ley de Transparencia y Acceso a la Información Pública del Estado de México y Municipios, pues gestionó el requerimiento de información al área competente para conocer de lo peticionado</w:t>
      </w:r>
      <w:r>
        <w:rPr>
          <w:rFonts w:ascii="Palatino Linotype" w:eastAsia="Palatino Linotype" w:hAnsi="Palatino Linotype" w:cs="Palatino Linotype"/>
          <w:sz w:val="22"/>
          <w:szCs w:val="22"/>
        </w:rPr>
        <w:t>.</w:t>
      </w:r>
    </w:p>
    <w:p w14:paraId="33D55907" w14:textId="77777777" w:rsidR="00BA6005" w:rsidRDefault="00BA6005">
      <w:pPr>
        <w:spacing w:line="360" w:lineRule="auto"/>
        <w:jc w:val="both"/>
        <w:rPr>
          <w:rFonts w:ascii="Palatino Linotype" w:eastAsia="Palatino Linotype" w:hAnsi="Palatino Linotype" w:cs="Palatino Linotype"/>
          <w:sz w:val="22"/>
          <w:szCs w:val="22"/>
        </w:rPr>
      </w:pPr>
    </w:p>
    <w:p w14:paraId="1AC52EDF" w14:textId="77777777" w:rsidR="00BA6005" w:rsidRDefault="007C5973">
      <w:pPr>
        <w:tabs>
          <w:tab w:val="left" w:pos="7080"/>
        </w:tabs>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Ahora bien, en respuesta, dicha área, precisó que la información solicitada correspondía a obligaciones de transparencia que el Organismo Descentralizado debe publicar en el Portal de Información Pública de Oficio Mexiquense (IPOMEX), de conformidad con lo estipulado en las fracciones VIII “Remuneraciones” y XXI “Información Curricular y Sanciones Administrativas”, del </w:t>
      </w:r>
      <w:proofErr w:type="spellStart"/>
      <w:r>
        <w:rPr>
          <w:rFonts w:ascii="Palatino Linotype" w:eastAsia="Palatino Linotype" w:hAnsi="Palatino Linotype" w:cs="Palatino Linotype"/>
          <w:sz w:val="22"/>
          <w:szCs w:val="22"/>
        </w:rPr>
        <w:t>articulo</w:t>
      </w:r>
      <w:proofErr w:type="spellEnd"/>
      <w:r>
        <w:rPr>
          <w:rFonts w:ascii="Palatino Linotype" w:eastAsia="Palatino Linotype" w:hAnsi="Palatino Linotype" w:cs="Palatino Linotype"/>
          <w:sz w:val="22"/>
          <w:szCs w:val="22"/>
        </w:rPr>
        <w:t xml:space="preserve"> 92 de la Ley de Transparencia y Acceso a la Información Pública del Estado de México y Municipios, y para tal efecto proporcionó dos ligas electrónicas para consultar la información, mismas que remitió mediante su informe justificado, tal como se desprende de las siguientes imágenes ilustrativas: </w:t>
      </w:r>
    </w:p>
    <w:p w14:paraId="19A3E5E0" w14:textId="77777777" w:rsidR="00BA6005" w:rsidRDefault="00BA6005">
      <w:pPr>
        <w:tabs>
          <w:tab w:val="left" w:pos="7080"/>
        </w:tabs>
        <w:spacing w:line="360" w:lineRule="auto"/>
        <w:jc w:val="both"/>
        <w:rPr>
          <w:rFonts w:ascii="Palatino Linotype" w:eastAsia="Palatino Linotype" w:hAnsi="Palatino Linotype" w:cs="Palatino Linotype"/>
          <w:sz w:val="22"/>
          <w:szCs w:val="22"/>
        </w:rPr>
      </w:pPr>
    </w:p>
    <w:p w14:paraId="3FB67314" w14:textId="77777777" w:rsidR="00BA6005" w:rsidRDefault="007C5973">
      <w:pPr>
        <w:tabs>
          <w:tab w:val="left" w:pos="7080"/>
        </w:tabs>
        <w:spacing w:line="360"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drawing>
          <wp:inline distT="0" distB="0" distL="0" distR="0" wp14:anchorId="027AAA84" wp14:editId="36EC3FD4">
            <wp:extent cx="5159187" cy="586791"/>
            <wp:effectExtent l="0" t="0" r="0" b="0"/>
            <wp:docPr id="17544223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159187" cy="586791"/>
                    </a:xfrm>
                    <a:prstGeom prst="rect">
                      <a:avLst/>
                    </a:prstGeom>
                    <a:ln/>
                  </pic:spPr>
                </pic:pic>
              </a:graphicData>
            </a:graphic>
          </wp:inline>
        </w:drawing>
      </w:r>
    </w:p>
    <w:p w14:paraId="5569A2A7" w14:textId="77777777" w:rsidR="00BA6005" w:rsidRDefault="007C5973">
      <w:pPr>
        <w:tabs>
          <w:tab w:val="left" w:pos="7080"/>
        </w:tabs>
        <w:spacing w:line="360"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p w14:paraId="5091B915" w14:textId="77777777" w:rsidR="00BA6005" w:rsidRDefault="007C5973">
      <w:pPr>
        <w:tabs>
          <w:tab w:val="left" w:pos="7080"/>
        </w:tabs>
        <w:spacing w:line="360"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lastRenderedPageBreak/>
        <w:drawing>
          <wp:inline distT="0" distB="0" distL="0" distR="0" wp14:anchorId="20597280" wp14:editId="228A51BF">
            <wp:extent cx="5197290" cy="1585097"/>
            <wp:effectExtent l="0" t="0" r="0" b="0"/>
            <wp:docPr id="1754422340" name="image2.png"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Texto&#10;&#10;El contenido generado por IA puede ser incorrecto."/>
                    <pic:cNvPicPr preferRelativeResize="0"/>
                  </pic:nvPicPr>
                  <pic:blipFill>
                    <a:blip r:embed="rId11"/>
                    <a:srcRect/>
                    <a:stretch>
                      <a:fillRect/>
                    </a:stretch>
                  </pic:blipFill>
                  <pic:spPr>
                    <a:xfrm>
                      <a:off x="0" y="0"/>
                      <a:ext cx="5197290" cy="1585097"/>
                    </a:xfrm>
                    <a:prstGeom prst="rect">
                      <a:avLst/>
                    </a:prstGeom>
                    <a:ln/>
                  </pic:spPr>
                </pic:pic>
              </a:graphicData>
            </a:graphic>
          </wp:inline>
        </w:drawing>
      </w:r>
    </w:p>
    <w:p w14:paraId="0176415C" w14:textId="77777777" w:rsidR="00BA6005" w:rsidRDefault="00BA6005">
      <w:pPr>
        <w:tabs>
          <w:tab w:val="left" w:pos="7080"/>
        </w:tabs>
        <w:spacing w:line="360" w:lineRule="auto"/>
        <w:jc w:val="center"/>
        <w:rPr>
          <w:rFonts w:ascii="Palatino Linotype" w:eastAsia="Palatino Linotype" w:hAnsi="Palatino Linotype" w:cs="Palatino Linotype"/>
          <w:sz w:val="22"/>
          <w:szCs w:val="22"/>
        </w:rPr>
      </w:pPr>
    </w:p>
    <w:p w14:paraId="30B61B06"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Ahora bien, de la revisión de estas, se logra vislumbrar que en encuentran en un formato cerrado, es decir, que no se puede copiar y pegar para tener acceso; sobre el tema, Trujillo, Humberto (2019), en el “Diccionario de Transparencia y Acceso a la Información Pública” (p. 136 y 137), precisa que cuando un Sujeto Obligado proporcione información pública de manera electrónica es necesario garantizar su interoperabilidad, lo cual se traduce al hecho a que la información contenga datos en formatos y estándares abiertos para su reproducción y reutilización electrónica de manera libre y sin ninguna restricción.</w:t>
      </w:r>
    </w:p>
    <w:p w14:paraId="55377C49" w14:textId="77777777" w:rsidR="00BA6005" w:rsidRDefault="00BA6005">
      <w:pPr>
        <w:spacing w:line="360" w:lineRule="auto"/>
        <w:jc w:val="both"/>
        <w:rPr>
          <w:rFonts w:ascii="Palatino Linotype" w:eastAsia="Palatino Linotype" w:hAnsi="Palatino Linotype" w:cs="Palatino Linotype"/>
          <w:sz w:val="22"/>
          <w:szCs w:val="22"/>
        </w:rPr>
      </w:pPr>
    </w:p>
    <w:p w14:paraId="4CA7F052"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14:paraId="61BB5C3E" w14:textId="77777777" w:rsidR="00BA6005" w:rsidRDefault="00BA6005">
      <w:pPr>
        <w:spacing w:line="360" w:lineRule="auto"/>
        <w:jc w:val="both"/>
        <w:rPr>
          <w:rFonts w:ascii="Palatino Linotype" w:eastAsia="Palatino Linotype" w:hAnsi="Palatino Linotype" w:cs="Palatino Linotype"/>
          <w:sz w:val="22"/>
          <w:szCs w:val="22"/>
        </w:rPr>
      </w:pPr>
    </w:p>
    <w:p w14:paraId="6BCEAA49"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En ese contexto, el artículo 3°, fracción VI y X, de la Ley General de Transparencia y Acceso a la Información Pública, con relación, al diverso 3°, fracciones VIII y XVI de la Ley de </w:t>
      </w:r>
      <w:r>
        <w:rPr>
          <w:rFonts w:ascii="Palatino Linotype" w:eastAsia="Palatino Linotype" w:hAnsi="Palatino Linotype" w:cs="Palatino Linotype"/>
          <w:sz w:val="22"/>
          <w:szCs w:val="22"/>
        </w:rPr>
        <w:lastRenderedPageBreak/>
        <w:t>Transparencia y Acceso a la Información Pública del Estado de México y Municipios, precisan lo siguiente:</w:t>
      </w:r>
    </w:p>
    <w:p w14:paraId="7267A4B5" w14:textId="77777777" w:rsidR="00BA6005" w:rsidRDefault="00BA6005">
      <w:pPr>
        <w:spacing w:line="360" w:lineRule="auto"/>
        <w:jc w:val="both"/>
        <w:rPr>
          <w:rFonts w:ascii="Palatino Linotype" w:eastAsia="Palatino Linotype" w:hAnsi="Palatino Linotype" w:cs="Palatino Linotype"/>
          <w:sz w:val="22"/>
          <w:szCs w:val="22"/>
        </w:rPr>
      </w:pPr>
    </w:p>
    <w:p w14:paraId="0D26AD11" w14:textId="77777777" w:rsidR="00BA6005" w:rsidRDefault="007C5973">
      <w:pPr>
        <w:numPr>
          <w:ilvl w:val="0"/>
          <w:numId w:val="1"/>
        </w:numPr>
        <w:spacing w:line="360" w:lineRule="auto"/>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Dato abierto: </w:t>
      </w:r>
      <w:r>
        <w:rPr>
          <w:rFonts w:ascii="Palatino Linotype" w:eastAsia="Palatino Linotype" w:hAnsi="Palatino Linotype" w:cs="Palatino Linotype"/>
          <w:sz w:val="22"/>
          <w:szCs w:val="22"/>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1FCA1BA7" w14:textId="77777777" w:rsidR="00BA6005" w:rsidRDefault="00BA6005">
      <w:pPr>
        <w:spacing w:line="360" w:lineRule="auto"/>
        <w:ind w:left="720"/>
        <w:jc w:val="both"/>
        <w:rPr>
          <w:rFonts w:ascii="Palatino Linotype" w:eastAsia="Palatino Linotype" w:hAnsi="Palatino Linotype" w:cs="Palatino Linotype"/>
          <w:b/>
          <w:bCs/>
          <w:sz w:val="22"/>
          <w:szCs w:val="22"/>
        </w:rPr>
      </w:pPr>
    </w:p>
    <w:p w14:paraId="27938B2B" w14:textId="77777777" w:rsidR="00BA6005" w:rsidRDefault="007C5973">
      <w:pPr>
        <w:numPr>
          <w:ilvl w:val="0"/>
          <w:numId w:val="1"/>
        </w:numPr>
        <w:spacing w:line="360" w:lineRule="auto"/>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Formato accesible: </w:t>
      </w:r>
      <w:r>
        <w:rPr>
          <w:rFonts w:ascii="Palatino Linotype" w:eastAsia="Palatino Linotype" w:hAnsi="Palatino Linotype" w:cs="Palatino Linotype"/>
          <w:sz w:val="22"/>
          <w:szCs w:val="22"/>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624EBE9F" w14:textId="77777777" w:rsidR="00BA6005" w:rsidRDefault="00BA6005">
      <w:pPr>
        <w:spacing w:line="360" w:lineRule="auto"/>
        <w:jc w:val="both"/>
        <w:rPr>
          <w:rFonts w:ascii="Palatino Linotype" w:eastAsia="Palatino Linotype" w:hAnsi="Palatino Linotype" w:cs="Palatino Linotype"/>
          <w:sz w:val="22"/>
          <w:szCs w:val="22"/>
        </w:rPr>
      </w:pPr>
    </w:p>
    <w:p w14:paraId="01F3B6FA"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Conforme a lo anterior, se considera que en el caso de que la información peticionada obre en ligas electrónicas, el Sujeto Obligado deberá privilegiar la entrega de estas, en datos abiertos, es decir, en un formato que permita la accesibilidad y facilidad a los Particulares, para obtener la información contenida estas.</w:t>
      </w:r>
    </w:p>
    <w:p w14:paraId="7DBF46CB" w14:textId="77777777" w:rsidR="00BA6005" w:rsidRDefault="00BA6005">
      <w:pPr>
        <w:spacing w:line="360" w:lineRule="auto"/>
        <w:jc w:val="both"/>
        <w:rPr>
          <w:rFonts w:ascii="Palatino Linotype" w:eastAsia="Palatino Linotype" w:hAnsi="Palatino Linotype" w:cs="Palatino Linotype"/>
          <w:sz w:val="22"/>
          <w:szCs w:val="22"/>
        </w:rPr>
      </w:pPr>
    </w:p>
    <w:p w14:paraId="2E0BDFDF" w14:textId="77777777" w:rsidR="00BA6005" w:rsidRDefault="007C5973">
      <w:pPr>
        <w:tabs>
          <w:tab w:val="left" w:pos="4962"/>
        </w:tabs>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Al respecto, el artículo 161 de la Ley de Transparencia y Acceso a la Información Pública del Estado de México y Municipios, establece que cuando la documentación peticionada ya se encuentra disponible al público, entre otros, en formatos electrónicos disponibles en internet, los sujetos obligados cumplirán el derecho de acceso a la información, cuando le </w:t>
      </w:r>
      <w:r>
        <w:rPr>
          <w:rFonts w:ascii="Palatino Linotype" w:eastAsia="Palatino Linotype" w:hAnsi="Palatino Linotype" w:cs="Palatino Linotype"/>
          <w:sz w:val="22"/>
          <w:szCs w:val="22"/>
        </w:rPr>
        <w:lastRenderedPageBreak/>
        <w:t xml:space="preserve">hagan saber de manera precisa a los solicitantes, </w:t>
      </w:r>
      <w:r>
        <w:rPr>
          <w:rFonts w:ascii="Palatino Linotype" w:eastAsia="Palatino Linotype" w:hAnsi="Palatino Linotype" w:cs="Palatino Linotype"/>
          <w:b/>
          <w:bCs/>
          <w:sz w:val="22"/>
          <w:szCs w:val="22"/>
        </w:rPr>
        <w:t>la fuente, el lugar y la forma</w:t>
      </w:r>
      <w:r>
        <w:rPr>
          <w:rFonts w:ascii="Palatino Linotype" w:eastAsia="Palatino Linotype" w:hAnsi="Palatino Linotype" w:cs="Palatino Linotype"/>
          <w:sz w:val="22"/>
          <w:szCs w:val="22"/>
        </w:rPr>
        <w:t xml:space="preserve"> en que se puede obtener la información.</w:t>
      </w:r>
    </w:p>
    <w:p w14:paraId="18983DD0" w14:textId="77777777" w:rsidR="00BA6005" w:rsidRDefault="00BA6005">
      <w:pPr>
        <w:spacing w:line="360" w:lineRule="auto"/>
        <w:jc w:val="both"/>
        <w:rPr>
          <w:rFonts w:ascii="Palatino Linotype" w:eastAsia="Palatino Linotype" w:hAnsi="Palatino Linotype" w:cs="Palatino Linotype"/>
          <w:sz w:val="22"/>
          <w:szCs w:val="22"/>
        </w:rPr>
      </w:pPr>
    </w:p>
    <w:p w14:paraId="23881933" w14:textId="77777777" w:rsidR="00BA6005" w:rsidRDefault="007C5973">
      <w:pPr>
        <w:widowControl w:val="0"/>
        <w:tabs>
          <w:tab w:val="center" w:pos="4522"/>
        </w:tabs>
        <w:spacing w:line="360" w:lineRule="auto"/>
        <w:jc w:val="both"/>
        <w:rPr>
          <w:rFonts w:ascii="Palatino Linotype" w:eastAsia="Palatino Linotype" w:hAnsi="Palatino Linotype" w:cs="Palatino Linotype"/>
          <w:b/>
          <w:bCs/>
          <w:sz w:val="22"/>
          <w:szCs w:val="22"/>
        </w:rPr>
      </w:pPr>
      <w:r>
        <w:rPr>
          <w:rFonts w:ascii="Palatino Linotype" w:eastAsia="Palatino Linotype" w:hAnsi="Palatino Linotype" w:cs="Palatino Linotype"/>
          <w:sz w:val="22"/>
          <w:szCs w:val="22"/>
        </w:rPr>
        <w:t>Como se logra observar, el Sujeto Obligado si bien señaló la página electrónica, omitió proporcionarlas en formato abierto, lo cual implica la dificultad de acceder a la misma, pues se traduce al hecho de que el Particular tendría que colocar cada dígito alfanumérico, y cuya equivocación implicaría no acceder a la información contenida en las mismas, por lo que, se considera que incumplió con lo establecido en el artículo 161 de la Ley de Transparencia y Acceso a la Información Pública del Estado de México y Municipios.</w:t>
      </w:r>
      <w:r>
        <w:rPr>
          <w:rFonts w:ascii="Palatino Linotype" w:eastAsia="Palatino Linotype" w:hAnsi="Palatino Linotype" w:cs="Palatino Linotype"/>
          <w:b/>
          <w:bCs/>
          <w:sz w:val="22"/>
          <w:szCs w:val="22"/>
        </w:rPr>
        <w:t xml:space="preserve"> </w:t>
      </w:r>
    </w:p>
    <w:p w14:paraId="373B7BB1" w14:textId="77777777" w:rsidR="00BA6005" w:rsidRDefault="00BA6005">
      <w:pPr>
        <w:tabs>
          <w:tab w:val="left" w:pos="7080"/>
        </w:tabs>
        <w:spacing w:line="360" w:lineRule="auto"/>
        <w:jc w:val="both"/>
        <w:rPr>
          <w:rFonts w:ascii="Palatino Linotype" w:eastAsia="Palatino Linotype" w:hAnsi="Palatino Linotype" w:cs="Palatino Linotype"/>
          <w:sz w:val="22"/>
          <w:szCs w:val="22"/>
        </w:rPr>
      </w:pPr>
    </w:p>
    <w:p w14:paraId="0004F7B1" w14:textId="77777777" w:rsidR="00BA6005" w:rsidRDefault="007C5973">
      <w:pPr>
        <w:tabs>
          <w:tab w:val="left" w:pos="7080"/>
        </w:tabs>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Situación que se robustece, pues durante la interposición del medio de impugnación la persona Recurrente precisó que la primer liga (</w:t>
      </w:r>
      <w:hyperlink r:id="rId12" w:anchor="/info-fraccion/11/285/28">
        <w:r>
          <w:rPr>
            <w:rFonts w:ascii="Palatino Linotype" w:eastAsia="Palatino Linotype" w:hAnsi="Palatino Linotype" w:cs="Palatino Linotype"/>
            <w:color w:val="0563C1"/>
            <w:sz w:val="22"/>
            <w:szCs w:val="22"/>
            <w:u w:val="single"/>
          </w:rPr>
          <w:t>https://ipomex.org.mx/ipomex/#/info-fraccion/11/285/28</w:t>
        </w:r>
      </w:hyperlink>
      <w:r>
        <w:rPr>
          <w:rFonts w:ascii="Palatino Linotype" w:eastAsia="Palatino Linotype" w:hAnsi="Palatino Linotype" w:cs="Palatino Linotype"/>
          <w:sz w:val="22"/>
          <w:szCs w:val="22"/>
        </w:rPr>
        <w:t>) no existía y la segunda (</w:t>
      </w:r>
      <w:hyperlink r:id="rId13" w:anchor="/info-fraccion/28/285/12">
        <w:r>
          <w:rPr>
            <w:rFonts w:ascii="Palatino Linotype" w:eastAsia="Palatino Linotype" w:hAnsi="Palatino Linotype" w:cs="Palatino Linotype"/>
            <w:color w:val="0563C1"/>
            <w:sz w:val="22"/>
            <w:szCs w:val="22"/>
            <w:u w:val="single"/>
          </w:rPr>
          <w:t>https://ipomex.org.mx/ipomex/#/info-fraccion/28/285/12</w:t>
        </w:r>
      </w:hyperlink>
      <w:r>
        <w:rPr>
          <w:rFonts w:ascii="Palatino Linotype" w:eastAsia="Palatino Linotype" w:hAnsi="Palatino Linotype" w:cs="Palatino Linotype"/>
          <w:sz w:val="22"/>
          <w:szCs w:val="22"/>
        </w:rPr>
        <w:t xml:space="preserve">) no dirige a un sitio, sin menoscabar lo anterior, este Instituto procedió a verificar las ligas proporcionadas, de las cuales se logró vislumbrar lo siguiente: </w:t>
      </w:r>
    </w:p>
    <w:p w14:paraId="599EF23A" w14:textId="77777777" w:rsidR="00BA6005" w:rsidRDefault="00BA6005">
      <w:pPr>
        <w:tabs>
          <w:tab w:val="left" w:pos="7080"/>
        </w:tabs>
        <w:spacing w:line="360" w:lineRule="auto"/>
        <w:jc w:val="center"/>
        <w:rPr>
          <w:rFonts w:ascii="Palatino Linotype" w:eastAsia="Palatino Linotype" w:hAnsi="Palatino Linotype" w:cs="Palatino Linotype"/>
          <w:sz w:val="22"/>
          <w:szCs w:val="22"/>
        </w:rPr>
      </w:pPr>
    </w:p>
    <w:p w14:paraId="41BF8C5D" w14:textId="77777777" w:rsidR="00BA6005" w:rsidRDefault="007C5973">
      <w:pPr>
        <w:tabs>
          <w:tab w:val="left" w:pos="7080"/>
        </w:tabs>
        <w:spacing w:line="360"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lastRenderedPageBreak/>
        <w:drawing>
          <wp:inline distT="0" distB="0" distL="0" distR="0" wp14:anchorId="2F6EDD89" wp14:editId="4B359FBE">
            <wp:extent cx="5612130" cy="2647950"/>
            <wp:effectExtent l="0" t="0" r="0" b="0"/>
            <wp:docPr id="1754422339" name="image1.png" descr="Interfaz de usuario gráfica, Texto, Aplicación, Correo electrón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Interfaz de usuario gráfica, Texto, Aplicación, Correo electrónico&#10;&#10;El contenido generado por IA puede ser incorrecto."/>
                    <pic:cNvPicPr preferRelativeResize="0"/>
                  </pic:nvPicPr>
                  <pic:blipFill>
                    <a:blip r:embed="rId14"/>
                    <a:srcRect/>
                    <a:stretch>
                      <a:fillRect/>
                    </a:stretch>
                  </pic:blipFill>
                  <pic:spPr>
                    <a:xfrm>
                      <a:off x="0" y="0"/>
                      <a:ext cx="5612130" cy="2647950"/>
                    </a:xfrm>
                    <a:prstGeom prst="rect">
                      <a:avLst/>
                    </a:prstGeom>
                    <a:ln/>
                  </pic:spPr>
                </pic:pic>
              </a:graphicData>
            </a:graphic>
          </wp:inline>
        </w:drawing>
      </w:r>
    </w:p>
    <w:p w14:paraId="6C78A5B2" w14:textId="77777777" w:rsidR="00BA6005" w:rsidRDefault="007C5973">
      <w:pPr>
        <w:tabs>
          <w:tab w:val="left" w:pos="7080"/>
        </w:tabs>
        <w:spacing w:line="360"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(consulta de la primera liga: </w:t>
      </w:r>
      <w:hyperlink r:id="rId15" w:anchor="/info-fraccion/11/285/28">
        <w:r>
          <w:rPr>
            <w:rFonts w:ascii="Palatino Linotype" w:eastAsia="Palatino Linotype" w:hAnsi="Palatino Linotype" w:cs="Palatino Linotype"/>
            <w:color w:val="0563C1"/>
            <w:sz w:val="22"/>
            <w:szCs w:val="22"/>
            <w:u w:val="single"/>
          </w:rPr>
          <w:t>https://ipomex.org.mx/ipomex/#/info-fraccion/11/285/28</w:t>
        </w:r>
      </w:hyperlink>
      <w:r>
        <w:rPr>
          <w:rFonts w:ascii="Palatino Linotype" w:eastAsia="Palatino Linotype" w:hAnsi="Palatino Linotype" w:cs="Palatino Linotype"/>
          <w:sz w:val="22"/>
          <w:szCs w:val="22"/>
        </w:rPr>
        <w:t>)</w:t>
      </w:r>
    </w:p>
    <w:p w14:paraId="6B799CAA" w14:textId="77777777" w:rsidR="00BA6005" w:rsidRDefault="00BA6005">
      <w:pPr>
        <w:tabs>
          <w:tab w:val="left" w:pos="7080"/>
        </w:tabs>
        <w:spacing w:line="360" w:lineRule="auto"/>
        <w:jc w:val="center"/>
        <w:rPr>
          <w:rFonts w:ascii="Palatino Linotype" w:eastAsia="Palatino Linotype" w:hAnsi="Palatino Linotype" w:cs="Palatino Linotype"/>
          <w:sz w:val="22"/>
          <w:szCs w:val="22"/>
        </w:rPr>
      </w:pPr>
    </w:p>
    <w:p w14:paraId="337C2177" w14:textId="77777777" w:rsidR="00BA6005" w:rsidRDefault="007C5973">
      <w:pPr>
        <w:tabs>
          <w:tab w:val="left" w:pos="7080"/>
        </w:tabs>
        <w:spacing w:line="360"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drawing>
          <wp:inline distT="0" distB="0" distL="0" distR="0" wp14:anchorId="633E2718" wp14:editId="626EB336">
            <wp:extent cx="5612130" cy="2630170"/>
            <wp:effectExtent l="0" t="0" r="0" b="0"/>
            <wp:docPr id="1754422341" name="image4.png" descr="Interfaz de usuario gráfic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4.png" descr="Interfaz de usuario gráfica&#10;&#10;El contenido generado por IA puede ser incorrecto."/>
                    <pic:cNvPicPr preferRelativeResize="0"/>
                  </pic:nvPicPr>
                  <pic:blipFill>
                    <a:blip r:embed="rId16"/>
                    <a:srcRect/>
                    <a:stretch>
                      <a:fillRect/>
                    </a:stretch>
                  </pic:blipFill>
                  <pic:spPr>
                    <a:xfrm>
                      <a:off x="0" y="0"/>
                      <a:ext cx="5612130" cy="2630170"/>
                    </a:xfrm>
                    <a:prstGeom prst="rect">
                      <a:avLst/>
                    </a:prstGeom>
                    <a:ln/>
                  </pic:spPr>
                </pic:pic>
              </a:graphicData>
            </a:graphic>
          </wp:inline>
        </w:drawing>
      </w:r>
    </w:p>
    <w:p w14:paraId="3C1CA7E0" w14:textId="77777777" w:rsidR="00BA6005" w:rsidRDefault="007C5973">
      <w:pPr>
        <w:tabs>
          <w:tab w:val="left" w:pos="7080"/>
        </w:tabs>
        <w:spacing w:line="360"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consulta de la segunda liga: </w:t>
      </w:r>
      <w:hyperlink r:id="rId17" w:anchor="/info-fraccion/28/285/12">
        <w:r>
          <w:rPr>
            <w:rFonts w:ascii="Palatino Linotype" w:eastAsia="Palatino Linotype" w:hAnsi="Palatino Linotype" w:cs="Palatino Linotype"/>
            <w:color w:val="0563C1"/>
            <w:sz w:val="22"/>
            <w:szCs w:val="22"/>
            <w:u w:val="single"/>
          </w:rPr>
          <w:t>https://ipomex.org.mx/ipomex/#/info-fraccion/28/285/12</w:t>
        </w:r>
      </w:hyperlink>
      <w:r>
        <w:rPr>
          <w:rFonts w:ascii="Palatino Linotype" w:eastAsia="Palatino Linotype" w:hAnsi="Palatino Linotype" w:cs="Palatino Linotype"/>
          <w:sz w:val="22"/>
          <w:szCs w:val="22"/>
        </w:rPr>
        <w:t xml:space="preserve">) </w:t>
      </w:r>
    </w:p>
    <w:p w14:paraId="32610774" w14:textId="77777777" w:rsidR="00BA6005" w:rsidRDefault="00BA6005">
      <w:pPr>
        <w:tabs>
          <w:tab w:val="left" w:pos="7080"/>
        </w:tabs>
        <w:spacing w:line="360" w:lineRule="auto"/>
        <w:jc w:val="center"/>
        <w:rPr>
          <w:rFonts w:ascii="Palatino Linotype" w:eastAsia="Palatino Linotype" w:hAnsi="Palatino Linotype" w:cs="Palatino Linotype"/>
          <w:sz w:val="22"/>
          <w:szCs w:val="22"/>
        </w:rPr>
      </w:pPr>
    </w:p>
    <w:p w14:paraId="4F67C721" w14:textId="77777777" w:rsidR="00BA6005" w:rsidRDefault="007C5973">
      <w:pPr>
        <w:spacing w:line="360" w:lineRule="auto"/>
        <w:jc w:val="both"/>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sz w:val="22"/>
          <w:szCs w:val="22"/>
        </w:rPr>
        <w:lastRenderedPageBreak/>
        <w:t xml:space="preserve">Conforme a lo anterior, cabe precisar que si bien la información guarda relación con lo solicitado, tal como lo precisó Particular, la información no da cuenta de lo solicitado, pues </w:t>
      </w:r>
      <w:r>
        <w:rPr>
          <w:rFonts w:ascii="Palatino Linotype" w:eastAsia="Palatino Linotype" w:hAnsi="Palatino Linotype" w:cs="Palatino Linotype"/>
          <w:sz w:val="22"/>
          <w:szCs w:val="22"/>
          <w:u w:val="single"/>
        </w:rPr>
        <w:t xml:space="preserve">tendría que realizar una búsqueda en la plataforma de información, pues únicamente señaló la liga que debía consultar, sin señalar el procedimiento de búsqueda de información, además que no precisó cómo consultar la información correspondiente al ejercicio fiscal dos mil veinticuatro, pues dio acceso a las remuneraciones y la información curricular correspondientes al cuarto trimestre de </w:t>
      </w:r>
      <w:proofErr w:type="spellStart"/>
      <w:r>
        <w:rPr>
          <w:rFonts w:ascii="Palatino Linotype" w:eastAsia="Palatino Linotype" w:hAnsi="Palatino Linotype" w:cs="Palatino Linotype"/>
          <w:sz w:val="22"/>
          <w:szCs w:val="22"/>
          <w:u w:val="single"/>
        </w:rPr>
        <w:t>de</w:t>
      </w:r>
      <w:proofErr w:type="spellEnd"/>
      <w:r>
        <w:rPr>
          <w:rFonts w:ascii="Palatino Linotype" w:eastAsia="Palatino Linotype" w:hAnsi="Palatino Linotype" w:cs="Palatino Linotype"/>
          <w:sz w:val="22"/>
          <w:szCs w:val="22"/>
          <w:u w:val="single"/>
        </w:rPr>
        <w:t xml:space="preserve"> dos mil veinticinco</w:t>
      </w:r>
      <w:r>
        <w:rPr>
          <w:rFonts w:ascii="Palatino Linotype" w:eastAsia="Palatino Linotype" w:hAnsi="Palatino Linotype" w:cs="Palatino Linotype"/>
          <w:sz w:val="22"/>
          <w:szCs w:val="22"/>
        </w:rPr>
        <w:t xml:space="preserve">, </w:t>
      </w:r>
      <w:r>
        <w:rPr>
          <w:rFonts w:ascii="Palatino Linotype" w:eastAsia="Palatino Linotype" w:hAnsi="Palatino Linotype" w:cs="Palatino Linotype"/>
          <w:color w:val="000000"/>
          <w:sz w:val="22"/>
          <w:szCs w:val="22"/>
        </w:rPr>
        <w:t xml:space="preserve">lo cual da como resultado que no se pueda validar la respuesta entregada y que el agravio resulte </w:t>
      </w:r>
      <w:r>
        <w:rPr>
          <w:rFonts w:ascii="Palatino Linotype" w:eastAsia="Palatino Linotype" w:hAnsi="Palatino Linotype" w:cs="Palatino Linotype"/>
          <w:b/>
          <w:bCs/>
          <w:color w:val="000000"/>
          <w:sz w:val="22"/>
          <w:szCs w:val="22"/>
        </w:rPr>
        <w:t>FUNDADO.</w:t>
      </w:r>
    </w:p>
    <w:p w14:paraId="5B4F1C98" w14:textId="77777777" w:rsidR="00BA6005" w:rsidRDefault="00BA6005">
      <w:pPr>
        <w:tabs>
          <w:tab w:val="left" w:pos="7080"/>
        </w:tabs>
        <w:spacing w:line="360" w:lineRule="auto"/>
        <w:jc w:val="both"/>
        <w:rPr>
          <w:rFonts w:ascii="Palatino Linotype" w:eastAsia="Palatino Linotype" w:hAnsi="Palatino Linotype" w:cs="Palatino Linotype"/>
          <w:sz w:val="22"/>
          <w:szCs w:val="22"/>
        </w:rPr>
      </w:pPr>
    </w:p>
    <w:p w14:paraId="0508EABC"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sz w:val="22"/>
          <w:szCs w:val="22"/>
        </w:rPr>
        <w:t>Por lo tanto, para atender al requerimiento en análisis, el Sujeto Obligado, deberá realizar una búsqueda exhaustiva y razonable en los archivos de la Dirección de Recursos Humanos, a efecto de proporcionar</w:t>
      </w:r>
      <w:r>
        <w:t xml:space="preserve"> </w:t>
      </w:r>
      <w:r>
        <w:rPr>
          <w:rFonts w:ascii="Palatino Linotype" w:eastAsia="Palatino Linotype" w:hAnsi="Palatino Linotype" w:cs="Palatino Linotype"/>
          <w:sz w:val="22"/>
          <w:szCs w:val="22"/>
        </w:rPr>
        <w:t>el documento que contenga el nombre, cargo, sueldo bruto y neto mensual y la información curricular de los Servidores Públicos dados de alta del primero de enero de dos mil veinticuatro al treinta y uno de diciembre de dos mil veinticinco, dicha determinación toma relevancia</w:t>
      </w:r>
      <w:r>
        <w:rPr>
          <w:rFonts w:ascii="Palatino Linotype" w:eastAsia="Palatino Linotype" w:hAnsi="Palatino Linotype" w:cs="Palatino Linotype"/>
          <w:color w:val="000000"/>
          <w:sz w:val="22"/>
          <w:szCs w:val="22"/>
        </w:rPr>
        <w:t xml:space="preserve">; dicha situación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  </w:t>
      </w:r>
    </w:p>
    <w:p w14:paraId="4221D6E9"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273E6D5B"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De esta manera, el derecho de acceso a la información pública se satisface en aquellos casos en que se entregue el soporte documental en el que conste la información solicitada, sin </w:t>
      </w:r>
      <w:r>
        <w:rPr>
          <w:rFonts w:ascii="Palatino Linotype" w:eastAsia="Palatino Linotype" w:hAnsi="Palatino Linotype" w:cs="Palatino Linotype"/>
          <w:color w:val="000000"/>
          <w:sz w:val="22"/>
          <w:szCs w:val="22"/>
        </w:rPr>
        <w:lastRenderedPageBreak/>
        <w:t xml:space="preserve">necesidad de elaborar documentos ad hoc; lo cual, de conformidad con en el artículo 160 de la Ley de Transparencia y Acceso a la Información Pública del Estado de México y Municipios, el cual refiere que los sujetos obligados deberán entregar la información que obre en sus archivos. </w:t>
      </w:r>
    </w:p>
    <w:p w14:paraId="20F60531"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 </w:t>
      </w:r>
    </w:p>
    <w:p w14:paraId="1931E712"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De tales circunstancias, se concluye que los sujetos obligados únicamente se encuentran constreñidos a proporcionar los documentos que den cuenta de la información solicitada, como obren en sus archivos, sin tener que elaborarlos a las necesidades del Recurrente.</w:t>
      </w:r>
    </w:p>
    <w:p w14:paraId="2A7A4ED8"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312F7BE0"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color w:val="000000"/>
          <w:sz w:val="22"/>
          <w:szCs w:val="22"/>
        </w:rPr>
        <w:t>Por otra parte, resulta necesario precisar que los documentos que dan cuenta de lo solicitado, pudieran tener datos personales; por lo que, se procede analizar si estos son de naturaleza confidencial o pública; en principio, cabe mencionar que el artículo 143, fracción I, de la Ley de Transparencia Local, establece que la información privada y los datos personales, concernientes a una persona física o jurídica colectiva identificada o identificable son confidenciales.</w:t>
      </w:r>
    </w:p>
    <w:p w14:paraId="05B01E30" w14:textId="77777777" w:rsidR="00BA6005" w:rsidRDefault="00BA6005">
      <w:pPr>
        <w:spacing w:line="360" w:lineRule="auto"/>
        <w:jc w:val="both"/>
        <w:rPr>
          <w:rFonts w:ascii="Palatino Linotype" w:eastAsia="Palatino Linotype" w:hAnsi="Palatino Linotype" w:cs="Palatino Linotype"/>
          <w:sz w:val="22"/>
          <w:szCs w:val="22"/>
        </w:rPr>
      </w:pPr>
    </w:p>
    <w:p w14:paraId="5082DACC"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w:t>
      </w:r>
      <w:r>
        <w:rPr>
          <w:rFonts w:ascii="Palatino Linotype" w:eastAsia="Palatino Linotype" w:hAnsi="Palatino Linotype" w:cs="Palatino Linotype"/>
          <w:color w:val="000000"/>
          <w:sz w:val="22"/>
          <w:szCs w:val="22"/>
        </w:rPr>
        <w:lastRenderedPageBreak/>
        <w:t>para proteger los derechos de terceros o cuando se transmita entre sujetos obligados en términos de los tratados y los acuerdos interinstitucionales.</w:t>
      </w:r>
    </w:p>
    <w:p w14:paraId="4710A943"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653A516B"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En términos de lo expuesto, la documentación y aquellos datos que se consideren confidenciales, serán una limitante del derecho de acceso a la información, siempre y cuando: </w:t>
      </w:r>
    </w:p>
    <w:p w14:paraId="09526D29"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3A3277F7" w14:textId="77777777" w:rsidR="00BA6005" w:rsidRDefault="007C5973">
      <w:pPr>
        <w:numPr>
          <w:ilvl w:val="0"/>
          <w:numId w:val="9"/>
        </w:num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Se trate de datos personales o información privada; esto es, información concerniente a una persona física o </w:t>
      </w:r>
      <w:r>
        <w:rPr>
          <w:rFonts w:ascii="Palatino Linotype" w:eastAsia="Palatino Linotype" w:hAnsi="Palatino Linotype" w:cs="Palatino Linotype"/>
          <w:sz w:val="22"/>
          <w:szCs w:val="22"/>
        </w:rPr>
        <w:t>jurídica</w:t>
      </w:r>
      <w:r>
        <w:rPr>
          <w:rFonts w:ascii="Palatino Linotype" w:eastAsia="Palatino Linotype" w:hAnsi="Palatino Linotype" w:cs="Palatino Linotype"/>
          <w:color w:val="000000"/>
          <w:sz w:val="22"/>
          <w:szCs w:val="22"/>
        </w:rPr>
        <w:t xml:space="preserve"> colectiva y que esta sea identificada o identificable. </w:t>
      </w:r>
    </w:p>
    <w:p w14:paraId="3D310FCE" w14:textId="77777777" w:rsidR="00BA6005" w:rsidRDefault="007C5973">
      <w:pPr>
        <w:numPr>
          <w:ilvl w:val="0"/>
          <w:numId w:val="9"/>
        </w:num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color w:val="000000"/>
          <w:sz w:val="22"/>
          <w:szCs w:val="22"/>
        </w:rPr>
        <w:t xml:space="preserve">Para la difusión de los datos, se </w:t>
      </w:r>
      <w:r>
        <w:rPr>
          <w:rFonts w:ascii="Palatino Linotype" w:eastAsia="Palatino Linotype" w:hAnsi="Palatino Linotype" w:cs="Palatino Linotype"/>
          <w:sz w:val="22"/>
          <w:szCs w:val="22"/>
        </w:rPr>
        <w:t>requiere</w:t>
      </w:r>
      <w:r>
        <w:rPr>
          <w:rFonts w:ascii="Palatino Linotype" w:eastAsia="Palatino Linotype" w:hAnsi="Palatino Linotype" w:cs="Palatino Linotype"/>
          <w:color w:val="000000"/>
          <w:sz w:val="22"/>
          <w:szCs w:val="22"/>
        </w:rPr>
        <w:t xml:space="preserve"> el consentimiento del titular.</w:t>
      </w:r>
    </w:p>
    <w:p w14:paraId="1E3819D8" w14:textId="77777777" w:rsidR="00BA6005" w:rsidRDefault="00BA6005">
      <w:pPr>
        <w:spacing w:line="360" w:lineRule="auto"/>
        <w:jc w:val="both"/>
        <w:rPr>
          <w:rFonts w:ascii="Palatino Linotype" w:eastAsia="Palatino Linotype" w:hAnsi="Palatino Linotype" w:cs="Palatino Linotype"/>
          <w:color w:val="FF0000"/>
          <w:sz w:val="22"/>
          <w:szCs w:val="22"/>
        </w:rPr>
      </w:pPr>
    </w:p>
    <w:p w14:paraId="69443C4C"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w:t>
      </w:r>
    </w:p>
    <w:p w14:paraId="79CA1EBA"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5A09ADB8"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lastRenderedPageBreak/>
        <w:t xml:space="preserve">Bajo ese contexto, se </w:t>
      </w:r>
      <w:r>
        <w:rPr>
          <w:rFonts w:ascii="Palatino Linotype" w:eastAsia="Palatino Linotype" w:hAnsi="Palatino Linotype" w:cs="Palatino Linotype"/>
          <w:sz w:val="22"/>
          <w:szCs w:val="22"/>
        </w:rPr>
        <w:t>analizará</w:t>
      </w:r>
      <w:r>
        <w:rPr>
          <w:rFonts w:ascii="Palatino Linotype" w:eastAsia="Palatino Linotype" w:hAnsi="Palatino Linotype" w:cs="Palatino Linotype"/>
          <w:color w:val="000000"/>
          <w:sz w:val="22"/>
          <w:szCs w:val="22"/>
        </w:rPr>
        <w:t xml:space="preserve"> si los datos mencionados, deben ser considerados confidenciales, en términos del artículo 143, fracción I, de la Ley de Transparencia y Acceso a la Información Pública del Estado de México y Municipios, o públicos.</w:t>
      </w:r>
    </w:p>
    <w:p w14:paraId="405A5844" w14:textId="77777777" w:rsidR="00BA6005" w:rsidRDefault="00BA6005">
      <w:pPr>
        <w:spacing w:line="360" w:lineRule="auto"/>
        <w:jc w:val="both"/>
        <w:rPr>
          <w:rFonts w:ascii="Palatino Linotype" w:eastAsia="Palatino Linotype" w:hAnsi="Palatino Linotype" w:cs="Palatino Linotype"/>
          <w:b/>
          <w:bCs/>
          <w:color w:val="000000"/>
          <w:sz w:val="22"/>
          <w:szCs w:val="22"/>
        </w:rPr>
      </w:pPr>
    </w:p>
    <w:p w14:paraId="64F8FC2C" w14:textId="77777777" w:rsidR="00BA6005" w:rsidRDefault="007C5973">
      <w:pPr>
        <w:numPr>
          <w:ilvl w:val="0"/>
          <w:numId w:val="8"/>
        </w:numPr>
        <w:spacing w:line="360" w:lineRule="auto"/>
        <w:jc w:val="both"/>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Clave Única de Registro de Población (CURP)</w:t>
      </w:r>
    </w:p>
    <w:p w14:paraId="3EEF0B29"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738C024D"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5D413F14"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2B1DCCE4"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314A0C83"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00CED496"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En ese orden de ideas, la Secretaría de Gobernación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Pr>
          <w:rFonts w:ascii="Palatino Linotype" w:eastAsia="Palatino Linotype" w:hAnsi="Palatino Linotype" w:cs="Palatino Linotype"/>
          <w:b/>
          <w:bCs/>
          <w:color w:val="000000"/>
          <w:sz w:val="22"/>
          <w:szCs w:val="22"/>
        </w:rPr>
        <w:t xml:space="preserve">se generan a </w:t>
      </w:r>
      <w:r>
        <w:rPr>
          <w:rFonts w:ascii="Palatino Linotype" w:eastAsia="Palatino Linotype" w:hAnsi="Palatino Linotype" w:cs="Palatino Linotype"/>
          <w:b/>
          <w:bCs/>
          <w:color w:val="000000"/>
          <w:sz w:val="22"/>
          <w:szCs w:val="22"/>
        </w:rPr>
        <w:lastRenderedPageBreak/>
        <w:t>partir de los datos contenidos en el documento probatorio de la identidad</w:t>
      </w:r>
      <w:r>
        <w:rPr>
          <w:rFonts w:ascii="Palatino Linotype" w:eastAsia="Palatino Linotype" w:hAnsi="Palatino Linotype" w:cs="Palatino Linotype"/>
          <w:color w:val="000000"/>
          <w:sz w:val="22"/>
          <w:szCs w:val="22"/>
        </w:rPr>
        <w:t xml:space="preserve"> </w:t>
      </w:r>
      <w:r>
        <w:rPr>
          <w:rFonts w:ascii="Palatino Linotype" w:eastAsia="Palatino Linotype" w:hAnsi="Palatino Linotype" w:cs="Palatino Linotype"/>
          <w:b/>
          <w:bCs/>
          <w:color w:val="000000"/>
          <w:sz w:val="22"/>
          <w:szCs w:val="22"/>
        </w:rPr>
        <w:t xml:space="preserve">del interesado </w:t>
      </w:r>
      <w:r>
        <w:rPr>
          <w:rFonts w:ascii="Palatino Linotype" w:eastAsia="Palatino Linotype" w:hAnsi="Palatino Linotype" w:cs="Palatino Linotype"/>
          <w:color w:val="000000"/>
          <w:sz w:val="22"/>
          <w:szCs w:val="22"/>
        </w:rPr>
        <w:t>(acta de nacimiento, carta de naturalización o documento migratorio) de la siguiente forma:</w:t>
      </w:r>
    </w:p>
    <w:p w14:paraId="19BE2D8D"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2FE63066" w14:textId="77777777" w:rsidR="00BA6005" w:rsidRDefault="007C5973">
      <w:pPr>
        <w:numPr>
          <w:ilvl w:val="0"/>
          <w:numId w:val="5"/>
        </w:num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El primero y segundo apellidos, así como al nombre de pila;</w:t>
      </w:r>
    </w:p>
    <w:p w14:paraId="2CDB848C" w14:textId="77777777" w:rsidR="00BA6005" w:rsidRDefault="007C5973">
      <w:pPr>
        <w:numPr>
          <w:ilvl w:val="0"/>
          <w:numId w:val="5"/>
        </w:num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La fecha de nacimiento;</w:t>
      </w:r>
    </w:p>
    <w:p w14:paraId="7C78B5A0" w14:textId="77777777" w:rsidR="00BA6005" w:rsidRDefault="007C5973">
      <w:pPr>
        <w:numPr>
          <w:ilvl w:val="0"/>
          <w:numId w:val="5"/>
        </w:num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El sexo, y</w:t>
      </w:r>
    </w:p>
    <w:p w14:paraId="3DDCBD9D" w14:textId="77777777" w:rsidR="00BA6005" w:rsidRDefault="007C5973">
      <w:pPr>
        <w:numPr>
          <w:ilvl w:val="0"/>
          <w:numId w:val="5"/>
        </w:num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La entidad federativa de nacimiento.</w:t>
      </w:r>
    </w:p>
    <w:p w14:paraId="58630348"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6981B36D"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Los dos últimos elementos de la Clave Única de Registro de Población evitan la duplicidad de la Clave y garantizan su correcta integración.</w:t>
      </w:r>
    </w:p>
    <w:p w14:paraId="2FCD475F"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7137DB21"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06DE761B"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1F6599B1"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Situación que se robustece, con el Criterio Orientador, de la Segunda Época, con número de registro SO/018/2017, emitido por el entonces Instituto Nacional de Transparencia, Acceso a la Información y Protección de Datos Personales, vigente a la fecha de la solicitud, que establece lo siguiente:</w:t>
      </w:r>
    </w:p>
    <w:p w14:paraId="17C5D167" w14:textId="77777777" w:rsidR="00BA6005" w:rsidRDefault="00BA6005">
      <w:pPr>
        <w:spacing w:line="360" w:lineRule="auto"/>
        <w:ind w:left="567" w:right="567"/>
        <w:jc w:val="both"/>
        <w:rPr>
          <w:rFonts w:ascii="Palatino Linotype" w:eastAsia="Palatino Linotype" w:hAnsi="Palatino Linotype" w:cs="Palatino Linotype"/>
          <w:color w:val="000000"/>
          <w:sz w:val="22"/>
          <w:szCs w:val="22"/>
        </w:rPr>
      </w:pPr>
    </w:p>
    <w:p w14:paraId="1AFF1571" w14:textId="77777777" w:rsidR="00BA6005" w:rsidRDefault="007C5973">
      <w:pPr>
        <w:spacing w:line="360" w:lineRule="auto"/>
        <w:ind w:left="567" w:right="56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 xml:space="preserve">“Clave Única de Registro de Población (CURP). </w:t>
      </w:r>
      <w:r>
        <w:rPr>
          <w:rFonts w:ascii="Palatino Linotype" w:eastAsia="Palatino Linotype" w:hAnsi="Palatino Linotype" w:cs="Palatino Linotype"/>
          <w:i/>
          <w:iCs/>
          <w:color w:val="000000"/>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46E64C4B"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0C09B496"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 </w:t>
      </w:r>
    </w:p>
    <w:p w14:paraId="6B61A213"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1B93ACF7" w14:textId="77777777" w:rsidR="00BA6005" w:rsidRDefault="007C5973">
      <w:pPr>
        <w:numPr>
          <w:ilvl w:val="0"/>
          <w:numId w:val="7"/>
        </w:numPr>
        <w:spacing w:line="360" w:lineRule="auto"/>
        <w:jc w:val="both"/>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Registro Federal de Contribuyentes (RFC)</w:t>
      </w:r>
    </w:p>
    <w:p w14:paraId="0B5F2F2A"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5DA110E8"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07128C65"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6DA0B8AF"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De acuerdo a lo establecido en el artículo en comento, esta clave se compone de trece caracteres alfanuméricos, con datos obtenidos de los apellidos, nombre(s), fecha de nacimiento del titular, más una </w:t>
      </w:r>
      <w:proofErr w:type="spellStart"/>
      <w:r>
        <w:rPr>
          <w:rFonts w:ascii="Palatino Linotype" w:eastAsia="Palatino Linotype" w:hAnsi="Palatino Linotype" w:cs="Palatino Linotype"/>
          <w:color w:val="000000"/>
          <w:sz w:val="22"/>
          <w:szCs w:val="22"/>
        </w:rPr>
        <w:t>homoclave</w:t>
      </w:r>
      <w:proofErr w:type="spellEnd"/>
      <w:r>
        <w:rPr>
          <w:rFonts w:ascii="Palatino Linotype" w:eastAsia="Palatino Linotype" w:hAnsi="Palatino Linotype" w:cs="Palatino Linotype"/>
          <w:color w:val="000000"/>
          <w:sz w:val="22"/>
          <w:szCs w:val="22"/>
        </w:rPr>
        <w:t xml:space="preserve"> que establece el sistema automático del Servicio de Administración Tributaria.</w:t>
      </w:r>
    </w:p>
    <w:p w14:paraId="49DA020B"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4B8D2C33"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01E56FF5"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5A04ABCC"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Así, el Registro Federal de Contribuyentes, es un dato personal, ya que hace a las personas físicas </w:t>
      </w:r>
      <w:r>
        <w:rPr>
          <w:rFonts w:ascii="Palatino Linotype" w:eastAsia="Palatino Linotype" w:hAnsi="Palatino Linotype" w:cs="Palatino Linotype"/>
          <w:sz w:val="22"/>
          <w:szCs w:val="22"/>
        </w:rPr>
        <w:t>identificadas</w:t>
      </w:r>
      <w:r>
        <w:rPr>
          <w:rFonts w:ascii="Palatino Linotype" w:eastAsia="Palatino Linotype" w:hAnsi="Palatino Linotype" w:cs="Palatino Linotype"/>
          <w:color w:val="000000"/>
          <w:sz w:val="22"/>
          <w:szCs w:val="22"/>
        </w:rPr>
        <w:t xml:space="preserve"> e identificables, además de que las relaciona como contribuyentes de las autoridades fiscales. Es de destacar que dicho dato únicamente sirve para efectos fiscales y pago de contribuciones, por lo que se trata de un dato relevante únicamente para las personas </w:t>
      </w:r>
      <w:r>
        <w:rPr>
          <w:rFonts w:ascii="Palatino Linotype" w:eastAsia="Palatino Linotype" w:hAnsi="Palatino Linotype" w:cs="Palatino Linotype"/>
          <w:sz w:val="22"/>
          <w:szCs w:val="22"/>
        </w:rPr>
        <w:t>involucradas</w:t>
      </w:r>
      <w:r>
        <w:rPr>
          <w:rFonts w:ascii="Palatino Linotype" w:eastAsia="Palatino Linotype" w:hAnsi="Palatino Linotype" w:cs="Palatino Linotype"/>
          <w:color w:val="000000"/>
          <w:sz w:val="22"/>
          <w:szCs w:val="22"/>
        </w:rPr>
        <w:t xml:space="preserve">, en el pago de estos, en el presente caso, del pago del Impuesto Sobre el Producto del Trabajo. </w:t>
      </w:r>
    </w:p>
    <w:p w14:paraId="003F87E2"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204C9A42"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Lo anterior, resulta congruente con el Criterio Orientador, de la Segunda Época, con número de registro SO/019/2017, emitido por el entonces Instituto Nacional de Transparencia, Acceso a la Información y Protección de Datos Personales, vigente a la fecha de la solicitud, en el cual se señala lo siguiente:</w:t>
      </w:r>
    </w:p>
    <w:p w14:paraId="35C68F73"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1D79FCDB" w14:textId="77777777" w:rsidR="00BA6005" w:rsidRDefault="007C5973">
      <w:pPr>
        <w:spacing w:line="360" w:lineRule="auto"/>
        <w:ind w:left="567" w:right="56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“Registro Federal de Contribuyentes (RFC) de personas físicas.</w:t>
      </w:r>
      <w:r>
        <w:rPr>
          <w:rFonts w:ascii="Palatino Linotype" w:eastAsia="Palatino Linotype" w:hAnsi="Palatino Linotype" w:cs="Palatino Linotype"/>
          <w:i/>
          <w:iCs/>
          <w:color w:val="000000"/>
        </w:rPr>
        <w:t xml:space="preserve"> El RFC es una clave de carácter fiscal, única e irrepetible, que permite identificar al titular, su edad y fecha de nacimiento, por lo que es un dato personal de carácter confidencial.”</w:t>
      </w:r>
    </w:p>
    <w:p w14:paraId="6BE61B5F" w14:textId="77777777" w:rsidR="00BA6005" w:rsidRDefault="00BA6005">
      <w:pPr>
        <w:spacing w:line="360" w:lineRule="auto"/>
        <w:ind w:left="567" w:right="567"/>
        <w:jc w:val="both"/>
        <w:rPr>
          <w:rFonts w:ascii="Palatino Linotype" w:eastAsia="Palatino Linotype" w:hAnsi="Palatino Linotype" w:cs="Palatino Linotype"/>
          <w:i/>
          <w:iCs/>
          <w:color w:val="000000"/>
          <w:sz w:val="22"/>
          <w:szCs w:val="22"/>
        </w:rPr>
      </w:pPr>
    </w:p>
    <w:p w14:paraId="75B50617"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lastRenderedPageBreak/>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14:paraId="3CB7A6DA"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6C88D4D5" w14:textId="77777777" w:rsidR="00BA6005" w:rsidRDefault="007C5973">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Fotografía</w:t>
      </w:r>
    </w:p>
    <w:p w14:paraId="5859CED6" w14:textId="77777777" w:rsidR="00BA6005" w:rsidRDefault="00BA6005">
      <w:pPr>
        <w:spacing w:line="360" w:lineRule="auto"/>
        <w:ind w:left="720"/>
        <w:jc w:val="both"/>
        <w:rPr>
          <w:rFonts w:ascii="Palatino Linotype" w:eastAsia="Palatino Linotype" w:hAnsi="Palatino Linotype" w:cs="Palatino Linotype"/>
          <w:b/>
          <w:bCs/>
          <w:color w:val="000000"/>
          <w:sz w:val="22"/>
          <w:szCs w:val="22"/>
        </w:rPr>
      </w:pPr>
    </w:p>
    <w:p w14:paraId="0860D178"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0550A763"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02323CB0"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w:t>
      </w:r>
      <w:r>
        <w:rPr>
          <w:rFonts w:ascii="Palatino Linotype" w:eastAsia="Palatino Linotype" w:hAnsi="Palatino Linotype" w:cs="Palatino Linotype"/>
          <w:sz w:val="22"/>
          <w:szCs w:val="22"/>
        </w:rPr>
        <w:t>acreditará</w:t>
      </w:r>
      <w:r>
        <w:rPr>
          <w:rFonts w:ascii="Palatino Linotype" w:eastAsia="Palatino Linotype" w:hAnsi="Palatino Linotype" w:cs="Palatino Linotype"/>
          <w:color w:val="000000"/>
          <w:sz w:val="22"/>
          <w:szCs w:val="22"/>
        </w:rPr>
        <w:t xml:space="preserve"> e identificaría a una persona como servidor público, por lo que es posible advertir que existe cierto interés público, cuando la fotografía obra en documentos de servidores públicos vinculados con el cumplimiento de disposiciones legales.</w:t>
      </w:r>
    </w:p>
    <w:p w14:paraId="5C4ED67F"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5787A692"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lastRenderedPageBreak/>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0A0E171E" w14:textId="77777777" w:rsidR="00BA6005" w:rsidRDefault="00BA6005">
      <w:pPr>
        <w:spacing w:line="360" w:lineRule="auto"/>
        <w:jc w:val="both"/>
        <w:rPr>
          <w:rFonts w:ascii="Palatino Linotype" w:eastAsia="Palatino Linotype" w:hAnsi="Palatino Linotype" w:cs="Palatino Linotype"/>
          <w:sz w:val="22"/>
          <w:szCs w:val="22"/>
        </w:rPr>
      </w:pPr>
    </w:p>
    <w:p w14:paraId="599998D6" w14:textId="77777777" w:rsidR="00BA6005" w:rsidRDefault="007C5973">
      <w:pPr>
        <w:spacing w:line="360" w:lineRule="auto"/>
        <w:ind w:right="-93"/>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748939C2" w14:textId="77777777" w:rsidR="00BA6005" w:rsidRDefault="00BA6005">
      <w:pPr>
        <w:spacing w:line="360" w:lineRule="auto"/>
        <w:ind w:right="-93"/>
        <w:jc w:val="both"/>
        <w:rPr>
          <w:rFonts w:ascii="Palatino Linotype" w:eastAsia="Palatino Linotype" w:hAnsi="Palatino Linotype" w:cs="Palatino Linotype"/>
          <w:color w:val="000000"/>
          <w:sz w:val="22"/>
          <w:szCs w:val="22"/>
        </w:rPr>
      </w:pPr>
    </w:p>
    <w:p w14:paraId="4F79B685" w14:textId="77777777" w:rsidR="00BA6005" w:rsidRDefault="007C5973">
      <w:pPr>
        <w:spacing w:line="360" w:lineRule="auto"/>
        <w:ind w:right="-93"/>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w:t>
      </w:r>
      <w:r>
        <w:rPr>
          <w:rFonts w:ascii="Palatino Linotype" w:eastAsia="Palatino Linotype" w:hAnsi="Palatino Linotype" w:cs="Palatino Linotype"/>
          <w:color w:val="000000"/>
          <w:sz w:val="22"/>
          <w:szCs w:val="22"/>
        </w:rPr>
        <w:lastRenderedPageBreak/>
        <w:t>cumplimiento de disposiciones normativas o el ejercicio de funciones revisten un interés público.</w:t>
      </w:r>
    </w:p>
    <w:p w14:paraId="0B5BEDA7" w14:textId="77777777" w:rsidR="00BA6005" w:rsidRDefault="00BA6005">
      <w:pPr>
        <w:spacing w:line="360" w:lineRule="auto"/>
        <w:ind w:right="-93"/>
        <w:jc w:val="both"/>
        <w:rPr>
          <w:rFonts w:ascii="Palatino Linotype" w:eastAsia="Palatino Linotype" w:hAnsi="Palatino Linotype" w:cs="Palatino Linotype"/>
          <w:color w:val="000000"/>
          <w:sz w:val="22"/>
          <w:szCs w:val="22"/>
        </w:rPr>
      </w:pPr>
    </w:p>
    <w:p w14:paraId="60B8D145" w14:textId="77777777" w:rsidR="00BA6005" w:rsidRDefault="007C5973">
      <w:pPr>
        <w:spacing w:line="360" w:lineRule="auto"/>
        <w:ind w:right="-93"/>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2D412759" w14:textId="77777777" w:rsidR="00BA6005" w:rsidRDefault="00BA6005">
      <w:pPr>
        <w:spacing w:line="360" w:lineRule="auto"/>
        <w:ind w:right="-93"/>
        <w:jc w:val="both"/>
        <w:rPr>
          <w:rFonts w:ascii="Palatino Linotype" w:eastAsia="Palatino Linotype" w:hAnsi="Palatino Linotype" w:cs="Palatino Linotype"/>
          <w:color w:val="000000"/>
          <w:sz w:val="22"/>
          <w:szCs w:val="22"/>
        </w:rPr>
      </w:pPr>
    </w:p>
    <w:p w14:paraId="378F4EA9"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Conforme a lo anterior, las fotografías de servidores públicos sin importar el nivel o rango guardan la naturaleza de públicas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0FC96E42"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3D978AAE" w14:textId="77777777" w:rsidR="00BA6005" w:rsidRDefault="007C5973">
      <w:pPr>
        <w:numPr>
          <w:ilvl w:val="0"/>
          <w:numId w:val="10"/>
        </w:numPr>
        <w:pBdr>
          <w:top w:val="nil"/>
          <w:left w:val="nil"/>
          <w:bottom w:val="nil"/>
          <w:right w:val="nil"/>
          <w:between w:val="nil"/>
        </w:pBdr>
        <w:spacing w:after="160" w:line="360" w:lineRule="auto"/>
        <w:jc w:val="both"/>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Domicilio de particulares</w:t>
      </w:r>
    </w:p>
    <w:p w14:paraId="79B01198"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729FF2FF"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color w:val="000000"/>
          <w:sz w:val="22"/>
          <w:szCs w:val="22"/>
        </w:rPr>
        <w:t xml:space="preserve">De acuerdo a lo señalado en los artículos 2.3 y 2.5 del Código Civil del Estado de México, el domicilio es un atributo de la personalidad y un derecho de las personas. Este tiene como propósito que una persona pueda establecerse temporal o permanentemente en un lugar </w:t>
      </w:r>
      <w:r>
        <w:rPr>
          <w:rFonts w:ascii="Palatino Linotype" w:eastAsia="Palatino Linotype" w:hAnsi="Palatino Linotype" w:cs="Palatino Linotype"/>
          <w:color w:val="000000"/>
          <w:sz w:val="22"/>
          <w:szCs w:val="22"/>
        </w:rPr>
        <w:lastRenderedPageBreak/>
        <w:t xml:space="preserve">determinado, para habitar, establecer su centro de trabajo o negocios, sin que esta información sea de relevancia para el interés público, así como tampoco tiene relevancia en el ejercicio de atribuciones de los servidores públicos. Por lo que se trata de un dato personal confidencial, en términos del artículo 143, fracción I de la Ley de Transparencia y Acceso a la Información Pública del Estado de México y Municipios. </w:t>
      </w:r>
    </w:p>
    <w:p w14:paraId="7D3A075C" w14:textId="77777777" w:rsidR="00BA6005" w:rsidRDefault="00BA6005">
      <w:pPr>
        <w:spacing w:line="360" w:lineRule="auto"/>
        <w:jc w:val="both"/>
        <w:rPr>
          <w:rFonts w:ascii="Palatino Linotype" w:eastAsia="Palatino Linotype" w:hAnsi="Palatino Linotype" w:cs="Palatino Linotype"/>
          <w:sz w:val="22"/>
          <w:szCs w:val="22"/>
        </w:rPr>
      </w:pPr>
    </w:p>
    <w:p w14:paraId="363955D3" w14:textId="77777777" w:rsidR="00BA6005" w:rsidRDefault="00D1002A">
      <w:pPr>
        <w:numPr>
          <w:ilvl w:val="0"/>
          <w:numId w:val="12"/>
        </w:numPr>
        <w:spacing w:after="160"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Correo electrónico particular</w:t>
      </w:r>
    </w:p>
    <w:p w14:paraId="509E4DCD"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641B9C9E"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12544FDD"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47888B6E"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En ese sentido, cabe señalar que el correo electrónico particular, por lo que, mantiene su carácter primigenio, es decir, que la titularidad de dicho dato corresponde a la persona física y no así en su calidad de trabajador del Gobierno; por lo que corresponde a un dato personal que actualiza la causal de clasificación establecida en el artículo 143, fracción I de la Ley de Transparencia y Acceso a la Información Pública del Estado de México y Municipios.</w:t>
      </w:r>
    </w:p>
    <w:p w14:paraId="5C59D300"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7D00913F" w14:textId="77777777" w:rsidR="00BA6005" w:rsidRDefault="007C5973">
      <w:pPr>
        <w:numPr>
          <w:ilvl w:val="0"/>
          <w:numId w:val="11"/>
        </w:numPr>
        <w:spacing w:after="160"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Número d</w:t>
      </w:r>
      <w:r w:rsidR="00D1002A">
        <w:rPr>
          <w:rFonts w:ascii="Palatino Linotype" w:eastAsia="Palatino Linotype" w:hAnsi="Palatino Linotype" w:cs="Palatino Linotype"/>
          <w:b/>
          <w:bCs/>
          <w:color w:val="000000"/>
          <w:sz w:val="22"/>
          <w:szCs w:val="22"/>
        </w:rPr>
        <w:t>e teléfono o celular particular</w:t>
      </w:r>
    </w:p>
    <w:p w14:paraId="19D10D75"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03FE06D1"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lastRenderedPageBreak/>
        <w:t>Al igual que el correo electrónico, el número asignado a un teléfono particular o celular permite localizar a una persona física identificada o identificable, ya sea a través de un dispositivo móvil o bien, en un lugar como el domicilio; por lo que, la titularidad del mismo, al igual que el correo electrónico analizado, corresponde a la persona física en su calidad de particular y no como servidor público.</w:t>
      </w:r>
    </w:p>
    <w:p w14:paraId="43583413"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29D2A6ED"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En tales consideraciones, dicho dato personal es susceptible de ser clasificado como confidencial, con fundamento en el artículo 143, fracción I de la Ley de Transparencia y Acceso a la Información Pública.</w:t>
      </w:r>
    </w:p>
    <w:p w14:paraId="115AACC4"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5EA2866F"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Así este Instituto tendrá que testar los datos personales analizados, los cuales se precisan de manera enunciativa, más no limitativa, en términos del artículo 143, fracción I de la Ley de la materia y proporcionar las versiones públicas respectivas; al respecto,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1C0C491C" w14:textId="77777777" w:rsidR="00BA6005" w:rsidRDefault="00BA6005">
      <w:pPr>
        <w:spacing w:line="360" w:lineRule="auto"/>
        <w:jc w:val="both"/>
        <w:rPr>
          <w:rFonts w:ascii="Palatino Linotype" w:eastAsia="Palatino Linotype" w:hAnsi="Palatino Linotype" w:cs="Palatino Linotype"/>
          <w:sz w:val="22"/>
          <w:szCs w:val="22"/>
        </w:rPr>
      </w:pPr>
    </w:p>
    <w:p w14:paraId="1E5D8985" w14:textId="77777777" w:rsidR="00BA6005" w:rsidRDefault="007C5973">
      <w:pPr>
        <w:pStyle w:val="Ttulo2"/>
        <w:spacing w:before="0" w:after="0" w:line="360" w:lineRule="auto"/>
        <w:jc w:val="both"/>
        <w:rPr>
          <w:rFonts w:ascii="Palatino Linotype" w:eastAsia="Palatino Linotype" w:hAnsi="Palatino Linotype" w:cs="Palatino Linotype"/>
          <w:b/>
          <w:bCs/>
          <w:color w:val="000000"/>
          <w:sz w:val="22"/>
          <w:szCs w:val="22"/>
        </w:rPr>
      </w:pPr>
      <w:bookmarkStart w:id="13" w:name="_heading=h.4q0tcf2zxw2z" w:colFirst="0" w:colLast="0"/>
      <w:bookmarkEnd w:id="13"/>
      <w:r>
        <w:rPr>
          <w:rFonts w:ascii="Palatino Linotype" w:eastAsia="Palatino Linotype" w:hAnsi="Palatino Linotype" w:cs="Palatino Linotype"/>
          <w:b/>
          <w:bCs/>
          <w:color w:val="000000"/>
          <w:sz w:val="22"/>
          <w:szCs w:val="22"/>
        </w:rPr>
        <w:t>SEXTO. Decisión</w:t>
      </w:r>
    </w:p>
    <w:p w14:paraId="05717EB3" w14:textId="77777777" w:rsidR="00BA6005" w:rsidRDefault="00BA6005">
      <w:pPr>
        <w:spacing w:line="360" w:lineRule="auto"/>
        <w:jc w:val="both"/>
        <w:rPr>
          <w:rFonts w:ascii="Palatino Linotype" w:eastAsia="Palatino Linotype" w:hAnsi="Palatino Linotype" w:cs="Palatino Linotype"/>
          <w:b/>
          <w:bCs/>
          <w:sz w:val="22"/>
          <w:szCs w:val="22"/>
        </w:rPr>
      </w:pPr>
    </w:p>
    <w:p w14:paraId="6E164229"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lastRenderedPageBreak/>
        <w:t xml:space="preserve">Con fundamento en el artículo 186, fracción III, de la Ley de Transparencia y Acceso a la Información Pública del Estado de México y Municipios, este Instituto considera procedente </w:t>
      </w:r>
      <w:r>
        <w:rPr>
          <w:rFonts w:ascii="Palatino Linotype" w:eastAsia="Palatino Linotype" w:hAnsi="Palatino Linotype" w:cs="Palatino Linotype"/>
          <w:b/>
          <w:bCs/>
          <w:sz w:val="22"/>
          <w:szCs w:val="22"/>
        </w:rPr>
        <w:t>REVOCAR</w:t>
      </w:r>
      <w:r>
        <w:rPr>
          <w:rFonts w:ascii="Palatino Linotype" w:eastAsia="Palatino Linotype" w:hAnsi="Palatino Linotype" w:cs="Palatino Linotype"/>
          <w:sz w:val="22"/>
          <w:szCs w:val="22"/>
        </w:rPr>
        <w:t xml:space="preserve"> la respuesta otorgada por el Sujeto Obligado a la solicitud de información 00016/OASHUIXQUI/IP/2025, a efecto de que entregue, la información solicitada.</w:t>
      </w:r>
    </w:p>
    <w:p w14:paraId="66F51461" w14:textId="77777777" w:rsidR="00BA6005" w:rsidRDefault="00BA6005">
      <w:pPr>
        <w:spacing w:line="360" w:lineRule="auto"/>
        <w:jc w:val="both"/>
        <w:rPr>
          <w:rFonts w:ascii="Palatino Linotype" w:eastAsia="Palatino Linotype" w:hAnsi="Palatino Linotype" w:cs="Palatino Linotype"/>
          <w:sz w:val="22"/>
          <w:szCs w:val="22"/>
        </w:rPr>
      </w:pPr>
    </w:p>
    <w:p w14:paraId="631BC63F" w14:textId="77777777" w:rsidR="00BA6005" w:rsidRDefault="007C5973">
      <w:pPr>
        <w:spacing w:line="360" w:lineRule="auto"/>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Términos de la Resolución para conocimiento del Particular</w:t>
      </w:r>
    </w:p>
    <w:p w14:paraId="3B914623" w14:textId="77777777" w:rsidR="00BA6005" w:rsidRDefault="00BA6005">
      <w:pPr>
        <w:spacing w:line="360" w:lineRule="auto"/>
        <w:jc w:val="both"/>
        <w:rPr>
          <w:rFonts w:ascii="Palatino Linotype" w:eastAsia="Palatino Linotype" w:hAnsi="Palatino Linotype" w:cs="Palatino Linotype"/>
          <w:b/>
          <w:bCs/>
          <w:sz w:val="22"/>
          <w:szCs w:val="22"/>
        </w:rPr>
      </w:pPr>
    </w:p>
    <w:p w14:paraId="4F3C9218"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Se le hace del conocimiento a la persona Recurrente que, en el presente asunto, se le da la razón, pues el Sujeto Obligado no proporcionó documento alguno que diera cuenta de las remuneraciones y la información curricular de los servidores públicos dados de alta en el periodo solicitado, por lo que, deberá entregar dicha información. La labor del Instituto es apoyar a la población a acceder a la información pública y garantizar la protección de sus datos personales.</w:t>
      </w:r>
    </w:p>
    <w:p w14:paraId="61BD7357"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3BFEBB87"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Por lo expuesto y fundado, este Pleno:</w:t>
      </w:r>
    </w:p>
    <w:p w14:paraId="366D0B9A" w14:textId="77777777" w:rsidR="00BA6005" w:rsidRDefault="007C5973">
      <w:pPr>
        <w:pStyle w:val="Ttulo1"/>
        <w:spacing w:before="0" w:after="0" w:line="360" w:lineRule="auto"/>
        <w:jc w:val="center"/>
        <w:rPr>
          <w:rFonts w:ascii="Palatino Linotype" w:eastAsia="Palatino Linotype" w:hAnsi="Palatino Linotype" w:cs="Palatino Linotype"/>
          <w:b/>
          <w:bCs/>
          <w:color w:val="000000"/>
          <w:sz w:val="22"/>
          <w:szCs w:val="22"/>
        </w:rPr>
      </w:pPr>
      <w:bookmarkStart w:id="14" w:name="_heading=h.1dhi2xg84obw" w:colFirst="0" w:colLast="0"/>
      <w:bookmarkEnd w:id="14"/>
      <w:r>
        <w:rPr>
          <w:rFonts w:ascii="Palatino Linotype" w:eastAsia="Palatino Linotype" w:hAnsi="Palatino Linotype" w:cs="Palatino Linotype"/>
          <w:b/>
          <w:bCs/>
          <w:color w:val="000000"/>
          <w:sz w:val="22"/>
          <w:szCs w:val="22"/>
        </w:rPr>
        <w:t>R E S U E L V E</w:t>
      </w:r>
    </w:p>
    <w:p w14:paraId="1062D975" w14:textId="77777777" w:rsidR="00BA6005" w:rsidRDefault="00BA6005">
      <w:pPr>
        <w:spacing w:line="360" w:lineRule="auto"/>
        <w:ind w:right="-91"/>
        <w:jc w:val="both"/>
        <w:rPr>
          <w:rFonts w:ascii="Palatino Linotype" w:eastAsia="Palatino Linotype" w:hAnsi="Palatino Linotype" w:cs="Palatino Linotype"/>
          <w:b/>
          <w:bCs/>
          <w:sz w:val="22"/>
          <w:szCs w:val="22"/>
        </w:rPr>
      </w:pPr>
    </w:p>
    <w:p w14:paraId="3B3D0E0F"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 xml:space="preserve">PRIMERO. </w:t>
      </w:r>
      <w:r>
        <w:rPr>
          <w:rFonts w:ascii="Palatino Linotype" w:eastAsia="Palatino Linotype" w:hAnsi="Palatino Linotype" w:cs="Palatino Linotype"/>
          <w:sz w:val="22"/>
          <w:szCs w:val="22"/>
        </w:rPr>
        <w:t xml:space="preserve">Se </w:t>
      </w:r>
      <w:r>
        <w:rPr>
          <w:rFonts w:ascii="Palatino Linotype" w:eastAsia="Palatino Linotype" w:hAnsi="Palatino Linotype" w:cs="Palatino Linotype"/>
          <w:b/>
          <w:bCs/>
          <w:sz w:val="22"/>
          <w:szCs w:val="22"/>
        </w:rPr>
        <w:t xml:space="preserve">REVOCA </w:t>
      </w:r>
      <w:r>
        <w:rPr>
          <w:rFonts w:ascii="Palatino Linotype" w:eastAsia="Palatino Linotype" w:hAnsi="Palatino Linotype" w:cs="Palatino Linotype"/>
          <w:sz w:val="22"/>
          <w:szCs w:val="22"/>
        </w:rPr>
        <w:t xml:space="preserve">la respuesta entregada por el </w:t>
      </w:r>
      <w:r>
        <w:rPr>
          <w:rFonts w:ascii="Palatino Linotype" w:eastAsia="Palatino Linotype" w:hAnsi="Palatino Linotype" w:cs="Palatino Linotype"/>
          <w:color w:val="0D0D0D"/>
          <w:sz w:val="22"/>
          <w:szCs w:val="22"/>
        </w:rPr>
        <w:t>Organismo Público Descentralizado para la Prestación de los Servicios de Agua Potable Drenaje y Tratamiento de Aguas Residuales del Municipio de Huixquilucan México, denominado ‘Sistema Aguas de Huixquilucan’</w:t>
      </w:r>
      <w:r>
        <w:rPr>
          <w:rFonts w:ascii="Palatino Linotype" w:eastAsia="Palatino Linotype" w:hAnsi="Palatino Linotype" w:cs="Palatino Linotype"/>
          <w:sz w:val="22"/>
          <w:szCs w:val="22"/>
        </w:rPr>
        <w:t>, a la solicitud de información 00016/OASHUIXQUI/IP/2025</w:t>
      </w:r>
      <w:r>
        <w:rPr>
          <w:rFonts w:ascii="Palatino Linotype" w:eastAsia="Palatino Linotype" w:hAnsi="Palatino Linotype" w:cs="Palatino Linotype"/>
          <w:color w:val="000000"/>
          <w:sz w:val="22"/>
          <w:szCs w:val="22"/>
        </w:rPr>
        <w:t>,</w:t>
      </w:r>
      <w:r>
        <w:rPr>
          <w:rFonts w:ascii="Palatino Linotype" w:eastAsia="Palatino Linotype" w:hAnsi="Palatino Linotype" w:cs="Palatino Linotype"/>
          <w:sz w:val="22"/>
          <w:szCs w:val="22"/>
        </w:rPr>
        <w:t xml:space="preserve"> por resultar </w:t>
      </w:r>
      <w:r>
        <w:rPr>
          <w:rFonts w:ascii="Palatino Linotype" w:eastAsia="Palatino Linotype" w:hAnsi="Palatino Linotype" w:cs="Palatino Linotype"/>
          <w:b/>
          <w:bCs/>
          <w:sz w:val="22"/>
          <w:szCs w:val="22"/>
        </w:rPr>
        <w:t xml:space="preserve">FUNDADAS </w:t>
      </w:r>
      <w:r>
        <w:rPr>
          <w:rFonts w:ascii="Palatino Linotype" w:eastAsia="Palatino Linotype" w:hAnsi="Palatino Linotype" w:cs="Palatino Linotype"/>
          <w:sz w:val="22"/>
          <w:szCs w:val="22"/>
        </w:rPr>
        <w:t>las razones o motivos de inconformidad hechos valer por la persona Recurrente, en términos de los considerandos QUINTO y SEXTO de la presente Resolución.</w:t>
      </w:r>
    </w:p>
    <w:p w14:paraId="305123E7" w14:textId="77777777" w:rsidR="00BA6005" w:rsidRDefault="00BA6005">
      <w:pPr>
        <w:spacing w:line="360" w:lineRule="auto"/>
        <w:jc w:val="both"/>
        <w:rPr>
          <w:rFonts w:ascii="Palatino Linotype" w:eastAsia="Palatino Linotype" w:hAnsi="Palatino Linotype" w:cs="Palatino Linotype"/>
          <w:sz w:val="22"/>
          <w:szCs w:val="22"/>
        </w:rPr>
      </w:pPr>
    </w:p>
    <w:p w14:paraId="33DB0F37"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sz w:val="22"/>
          <w:szCs w:val="22"/>
        </w:rPr>
        <w:t xml:space="preserve">SEGUNDO. </w:t>
      </w:r>
      <w:r>
        <w:rPr>
          <w:rFonts w:ascii="Palatino Linotype" w:eastAsia="Palatino Linotype" w:hAnsi="Palatino Linotype" w:cs="Palatino Linotype"/>
          <w:sz w:val="22"/>
          <w:szCs w:val="22"/>
        </w:rPr>
        <w:t xml:space="preserve">Se </w:t>
      </w:r>
      <w:r>
        <w:rPr>
          <w:rFonts w:ascii="Palatino Linotype" w:eastAsia="Palatino Linotype" w:hAnsi="Palatino Linotype" w:cs="Palatino Linotype"/>
          <w:b/>
          <w:bCs/>
          <w:sz w:val="22"/>
          <w:szCs w:val="22"/>
        </w:rPr>
        <w:t>ORDENA</w:t>
      </w:r>
      <w:r>
        <w:rPr>
          <w:rFonts w:ascii="Palatino Linotype" w:eastAsia="Palatino Linotype" w:hAnsi="Palatino Linotype" w:cs="Palatino Linotype"/>
          <w:sz w:val="22"/>
          <w:szCs w:val="22"/>
        </w:rPr>
        <w:t xml:space="preserve"> al Sujeto Obligado</w:t>
      </w:r>
      <w:r>
        <w:rPr>
          <w:rFonts w:ascii="Palatino Linotype" w:eastAsia="Palatino Linotype" w:hAnsi="Palatino Linotype" w:cs="Palatino Linotype"/>
          <w:b/>
          <w:bCs/>
          <w:sz w:val="22"/>
          <w:szCs w:val="22"/>
        </w:rPr>
        <w:t xml:space="preserve">, </w:t>
      </w:r>
      <w:r>
        <w:rPr>
          <w:rFonts w:ascii="Palatino Linotype" w:eastAsia="Palatino Linotype" w:hAnsi="Palatino Linotype" w:cs="Palatino Linotype"/>
          <w:sz w:val="22"/>
          <w:szCs w:val="22"/>
        </w:rPr>
        <w:t>a efecto de que previa búsqueda exhaustiva y razonable en los archivos de las unidades administrativas competentes, entregue a través del Sistema de Acceso a la Información Mexiquense (SAIMEX), en su caso, en versión pública, de los servidores públicos dados de alta del primero de enero de dos mil veinticuatro al once de septiembre de dos mil veinticinco, los documentos donde conste lo siguiente:</w:t>
      </w:r>
    </w:p>
    <w:p w14:paraId="75E37097" w14:textId="77777777" w:rsidR="00BA6005" w:rsidRDefault="00BA6005">
      <w:pPr>
        <w:spacing w:line="360" w:lineRule="auto"/>
        <w:ind w:right="-30"/>
        <w:jc w:val="both"/>
        <w:rPr>
          <w:rFonts w:ascii="Palatino Linotype" w:eastAsia="Palatino Linotype" w:hAnsi="Palatino Linotype" w:cs="Palatino Linotype"/>
          <w:color w:val="000000"/>
          <w:sz w:val="22"/>
          <w:szCs w:val="22"/>
        </w:rPr>
      </w:pPr>
    </w:p>
    <w:p w14:paraId="3163593A" w14:textId="77777777" w:rsidR="00BA6005" w:rsidRDefault="007C5973">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Nombre y cargo;</w:t>
      </w:r>
    </w:p>
    <w:p w14:paraId="4B62D006" w14:textId="77777777" w:rsidR="00BA6005" w:rsidRDefault="007C5973">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Sueldo bruto y neto mensual, e</w:t>
      </w:r>
    </w:p>
    <w:p w14:paraId="28D35ABC" w14:textId="77777777" w:rsidR="00BA6005" w:rsidRDefault="007C5973">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Información curricular</w:t>
      </w:r>
    </w:p>
    <w:p w14:paraId="4F4CAEFE" w14:textId="77777777" w:rsidR="00BA6005" w:rsidRDefault="00BA6005">
      <w:pPr>
        <w:spacing w:line="360" w:lineRule="auto"/>
        <w:ind w:left="720"/>
        <w:jc w:val="both"/>
        <w:rPr>
          <w:rFonts w:ascii="Palatino Linotype" w:eastAsia="Palatino Linotype" w:hAnsi="Palatino Linotype" w:cs="Palatino Linotype"/>
          <w:color w:val="000000"/>
          <w:sz w:val="22"/>
          <w:szCs w:val="22"/>
        </w:rPr>
      </w:pPr>
    </w:p>
    <w:p w14:paraId="4BE2382A"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Además, deberá proporcionar el Acuerdo de Clasificación donde el Comité de Transparencia, confirme la eliminación de los datos o información clasificada, en la versión pública, en términos del Considerando QUINTO, de conformidad con los artículos 49, fracciones II y VIII y 132, fracción II de la Ley de Transparencia y Acceso a la Información Pública del Estado de México y Municipios.</w:t>
      </w:r>
    </w:p>
    <w:p w14:paraId="409180B2" w14:textId="77777777" w:rsidR="00BA6005" w:rsidRDefault="00BA6005">
      <w:pPr>
        <w:spacing w:line="360" w:lineRule="auto"/>
        <w:jc w:val="both"/>
        <w:rPr>
          <w:rFonts w:ascii="Palatino Linotype" w:eastAsia="Palatino Linotype" w:hAnsi="Palatino Linotype" w:cs="Palatino Linotype"/>
          <w:sz w:val="22"/>
          <w:szCs w:val="22"/>
        </w:rPr>
      </w:pPr>
    </w:p>
    <w:p w14:paraId="2902F38C" w14:textId="77777777" w:rsidR="00BA6005" w:rsidRDefault="007C5973">
      <w:pPr>
        <w:spacing w:line="360" w:lineRule="auto"/>
        <w:ind w:right="-28"/>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TERCERO. NOTIFÍQUESE POR SAIMEX </w:t>
      </w:r>
      <w:r>
        <w:rPr>
          <w:rFonts w:ascii="Palatino Linotype" w:eastAsia="Palatino Linotype" w:hAnsi="Palatino Linotype" w:cs="Palatino Linotype"/>
          <w:sz w:val="22"/>
          <w:szCs w:val="22"/>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w:t>
      </w:r>
      <w:r>
        <w:rPr>
          <w:rFonts w:ascii="Palatino Linotype" w:eastAsia="Palatino Linotype" w:hAnsi="Palatino Linotype" w:cs="Palatino Linotype"/>
          <w:sz w:val="22"/>
          <w:szCs w:val="22"/>
        </w:rPr>
        <w:lastRenderedPageBreak/>
        <w:t>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p>
    <w:p w14:paraId="71461540" w14:textId="77777777" w:rsidR="00BA6005" w:rsidRDefault="00BA6005">
      <w:pPr>
        <w:spacing w:line="360" w:lineRule="auto"/>
        <w:ind w:right="-28"/>
        <w:jc w:val="both"/>
        <w:rPr>
          <w:rFonts w:ascii="Palatino Linotype" w:eastAsia="Palatino Linotype" w:hAnsi="Palatino Linotype" w:cs="Palatino Linotype"/>
          <w:color w:val="000000"/>
          <w:sz w:val="22"/>
          <w:szCs w:val="22"/>
        </w:rPr>
      </w:pPr>
    </w:p>
    <w:p w14:paraId="28AA3ED3"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De conformidad con el artículo 198 de la </w:t>
      </w:r>
      <w:r>
        <w:rPr>
          <w:rFonts w:ascii="Palatino Linotype" w:eastAsia="Palatino Linotype" w:hAnsi="Palatino Linotype" w:cs="Palatino Linotype"/>
          <w:sz w:val="22"/>
          <w:szCs w:val="22"/>
        </w:rPr>
        <w:t>Ley de Transparencia y Acceso a la Información Pública del Estado de México y Municipios</w:t>
      </w:r>
      <w:r>
        <w:rPr>
          <w:rFonts w:ascii="Palatino Linotype" w:eastAsia="Palatino Linotype" w:hAnsi="Palatino Linotype" w:cs="Palatino Linotype"/>
          <w:color w:val="000000"/>
          <w:sz w:val="22"/>
          <w:szCs w:val="22"/>
        </w:rPr>
        <w:t>, de considerarlo procedente, el Sujeto Obligado de manera fundada y motivada, podrá solicitar una ampliación de plazo para el cumplimiento de la presente resolución.</w:t>
      </w:r>
    </w:p>
    <w:p w14:paraId="2638E0D2" w14:textId="77777777" w:rsidR="00BA6005" w:rsidRDefault="00BA6005">
      <w:pPr>
        <w:spacing w:line="360" w:lineRule="auto"/>
        <w:jc w:val="both"/>
        <w:rPr>
          <w:rFonts w:ascii="Palatino Linotype" w:eastAsia="Palatino Linotype" w:hAnsi="Palatino Linotype" w:cs="Palatino Linotype"/>
          <w:color w:val="000000"/>
          <w:sz w:val="22"/>
          <w:szCs w:val="22"/>
        </w:rPr>
      </w:pPr>
    </w:p>
    <w:p w14:paraId="6F15ACA8" w14:textId="77777777" w:rsidR="00BA6005" w:rsidRDefault="007C5973">
      <w:pP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CUARTO. </w:t>
      </w:r>
      <w:r>
        <w:rPr>
          <w:rFonts w:ascii="Palatino Linotype" w:eastAsia="Palatino Linotype" w:hAnsi="Palatino Linotype" w:cs="Palatino Linotype"/>
          <w:b/>
          <w:bCs/>
          <w:sz w:val="22"/>
          <w:szCs w:val="22"/>
        </w:rPr>
        <w:t>NOTIFÍQUESE POR SAIMEX</w:t>
      </w:r>
      <w:r>
        <w:rPr>
          <w:rFonts w:ascii="Palatino Linotype" w:eastAsia="Palatino Linotype" w:hAnsi="Palatino Linotype" w:cs="Palatino Linotype"/>
          <w:color w:val="000000"/>
          <w:sz w:val="22"/>
          <w:szCs w:val="22"/>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 </w:t>
      </w:r>
    </w:p>
    <w:p w14:paraId="2D8D971A" w14:textId="77777777" w:rsidR="00BA6005" w:rsidRDefault="00BA6005">
      <w:pPr>
        <w:spacing w:line="360" w:lineRule="auto"/>
        <w:jc w:val="both"/>
        <w:rPr>
          <w:rFonts w:ascii="Palatino Linotype" w:eastAsia="Palatino Linotype" w:hAnsi="Palatino Linotype" w:cs="Palatino Linotype"/>
          <w:sz w:val="22"/>
          <w:szCs w:val="22"/>
        </w:rPr>
      </w:pPr>
    </w:p>
    <w:p w14:paraId="2BEA93D8" w14:textId="77777777" w:rsidR="00BA6005" w:rsidRDefault="007C5973">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ASÍ LO RESUELVE, POR </w:t>
      </w:r>
      <w:r>
        <w:rPr>
          <w:rFonts w:ascii="Palatino Linotype" w:eastAsia="Palatino Linotype" w:hAnsi="Palatino Linotype" w:cs="Palatino Linotype"/>
          <w:b/>
          <w:bCs/>
          <w:sz w:val="22"/>
          <w:szCs w:val="22"/>
        </w:rPr>
        <w:t>UNANIMIDAD</w:t>
      </w:r>
      <w:r>
        <w:rPr>
          <w:rFonts w:ascii="Palatino Linotype" w:eastAsia="Palatino Linotype" w:hAnsi="Palatino Linotype" w:cs="Palatino Linotype"/>
          <w:sz w:val="22"/>
          <w:szCs w:val="22"/>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CON VOTO PARTICULAR, LUIS GUSTAVO PARRA NORIEGA Y GUADALUPE RAMÍREZ PEÑA CON VOTO PARTICULAR, EN LA OCTAVA SESIÓN ORDINARIA, CELEBRADA EL CINCO DE </w:t>
      </w:r>
      <w:r>
        <w:rPr>
          <w:rFonts w:ascii="Palatino Linotype" w:eastAsia="Palatino Linotype" w:hAnsi="Palatino Linotype" w:cs="Palatino Linotype"/>
          <w:sz w:val="22"/>
          <w:szCs w:val="22"/>
        </w:rPr>
        <w:lastRenderedPageBreak/>
        <w:t>MARZO DE DOS MIL VEINTISÉIS, ANTE EL SECRETARIO TÉCNICO DEL PLENO, ALEXIS TAPIA RAMÍREZ.</w:t>
      </w:r>
    </w:p>
    <w:p w14:paraId="61367F50" w14:textId="77777777" w:rsidR="00BA6005" w:rsidRDefault="00BA6005">
      <w:pPr>
        <w:spacing w:line="360" w:lineRule="auto"/>
        <w:rPr>
          <w:rFonts w:ascii="Palatino Linotype" w:eastAsia="Palatino Linotype" w:hAnsi="Palatino Linotype" w:cs="Palatino Linotype"/>
        </w:rPr>
      </w:pPr>
    </w:p>
    <w:p w14:paraId="02BF0299" w14:textId="77777777" w:rsidR="00BA6005" w:rsidRDefault="00BA6005">
      <w:pPr>
        <w:spacing w:line="360" w:lineRule="auto"/>
        <w:rPr>
          <w:rFonts w:ascii="Palatino Linotype" w:eastAsia="Palatino Linotype" w:hAnsi="Palatino Linotype" w:cs="Palatino Linotype"/>
        </w:rPr>
      </w:pPr>
    </w:p>
    <w:p w14:paraId="74D35596" w14:textId="77777777" w:rsidR="00BA6005" w:rsidRDefault="00BA6005">
      <w:pPr>
        <w:spacing w:line="360" w:lineRule="auto"/>
        <w:rPr>
          <w:rFonts w:ascii="Palatino Linotype" w:eastAsia="Palatino Linotype" w:hAnsi="Palatino Linotype" w:cs="Palatino Linotype"/>
        </w:rPr>
      </w:pPr>
    </w:p>
    <w:p w14:paraId="6A874990" w14:textId="77777777" w:rsidR="00BA6005" w:rsidRDefault="00BA6005">
      <w:pPr>
        <w:spacing w:line="360" w:lineRule="auto"/>
        <w:rPr>
          <w:rFonts w:ascii="Palatino Linotype" w:eastAsia="Palatino Linotype" w:hAnsi="Palatino Linotype" w:cs="Palatino Linotype"/>
        </w:rPr>
      </w:pPr>
    </w:p>
    <w:p w14:paraId="631E03A2" w14:textId="77777777" w:rsidR="00BA6005" w:rsidRDefault="00BA6005">
      <w:pPr>
        <w:spacing w:line="360" w:lineRule="auto"/>
        <w:rPr>
          <w:rFonts w:ascii="Palatino Linotype" w:eastAsia="Palatino Linotype" w:hAnsi="Palatino Linotype" w:cs="Palatino Linotype"/>
        </w:rPr>
      </w:pPr>
    </w:p>
    <w:p w14:paraId="117E5464" w14:textId="77777777" w:rsidR="00BA6005" w:rsidRDefault="00BA6005">
      <w:pPr>
        <w:spacing w:line="360" w:lineRule="auto"/>
        <w:rPr>
          <w:rFonts w:ascii="Palatino Linotype" w:eastAsia="Palatino Linotype" w:hAnsi="Palatino Linotype" w:cs="Palatino Linotype"/>
        </w:rPr>
      </w:pPr>
    </w:p>
    <w:p w14:paraId="36784171" w14:textId="77777777" w:rsidR="00BA6005" w:rsidRDefault="00BA6005">
      <w:pPr>
        <w:spacing w:line="360" w:lineRule="auto"/>
        <w:rPr>
          <w:rFonts w:ascii="Palatino Linotype" w:eastAsia="Palatino Linotype" w:hAnsi="Palatino Linotype" w:cs="Palatino Linotype"/>
        </w:rPr>
      </w:pPr>
    </w:p>
    <w:p w14:paraId="3E735FF9" w14:textId="77777777" w:rsidR="00BA6005" w:rsidRDefault="00BA6005">
      <w:pPr>
        <w:spacing w:line="360" w:lineRule="auto"/>
        <w:rPr>
          <w:rFonts w:ascii="Palatino Linotype" w:eastAsia="Palatino Linotype" w:hAnsi="Palatino Linotype" w:cs="Palatino Linotype"/>
        </w:rPr>
      </w:pPr>
    </w:p>
    <w:p w14:paraId="6B3597B7" w14:textId="77777777" w:rsidR="00BA6005" w:rsidRDefault="00BA6005">
      <w:pPr>
        <w:spacing w:line="360" w:lineRule="auto"/>
        <w:rPr>
          <w:rFonts w:ascii="Palatino Linotype" w:eastAsia="Palatino Linotype" w:hAnsi="Palatino Linotype" w:cs="Palatino Linotype"/>
        </w:rPr>
      </w:pPr>
    </w:p>
    <w:p w14:paraId="020A3388" w14:textId="77777777" w:rsidR="00BA6005" w:rsidRDefault="00BA6005">
      <w:pPr>
        <w:spacing w:line="360" w:lineRule="auto"/>
        <w:rPr>
          <w:rFonts w:ascii="Palatino Linotype" w:eastAsia="Palatino Linotype" w:hAnsi="Palatino Linotype" w:cs="Palatino Linotype"/>
        </w:rPr>
      </w:pPr>
    </w:p>
    <w:p w14:paraId="5C67992F" w14:textId="77777777" w:rsidR="00BA6005" w:rsidRDefault="00BA6005">
      <w:pPr>
        <w:spacing w:line="360" w:lineRule="auto"/>
        <w:rPr>
          <w:rFonts w:ascii="Palatino Linotype" w:eastAsia="Palatino Linotype" w:hAnsi="Palatino Linotype" w:cs="Palatino Linotype"/>
        </w:rPr>
      </w:pPr>
    </w:p>
    <w:p w14:paraId="0D6C836F" w14:textId="77777777" w:rsidR="00BA6005" w:rsidRDefault="00BA6005">
      <w:pPr>
        <w:spacing w:line="360" w:lineRule="auto"/>
        <w:rPr>
          <w:rFonts w:ascii="Palatino Linotype" w:eastAsia="Palatino Linotype" w:hAnsi="Palatino Linotype" w:cs="Palatino Linotype"/>
        </w:rPr>
      </w:pPr>
    </w:p>
    <w:p w14:paraId="16FAFE43" w14:textId="77777777" w:rsidR="00BA6005" w:rsidRDefault="00BA6005">
      <w:pPr>
        <w:spacing w:line="360" w:lineRule="auto"/>
        <w:rPr>
          <w:rFonts w:ascii="Palatino Linotype" w:eastAsia="Palatino Linotype" w:hAnsi="Palatino Linotype" w:cs="Palatino Linotype"/>
        </w:rPr>
      </w:pPr>
    </w:p>
    <w:p w14:paraId="35F90803" w14:textId="77777777" w:rsidR="00BA6005" w:rsidRDefault="00BA6005">
      <w:pPr>
        <w:spacing w:line="360" w:lineRule="auto"/>
        <w:rPr>
          <w:rFonts w:ascii="Palatino Linotype" w:eastAsia="Palatino Linotype" w:hAnsi="Palatino Linotype" w:cs="Palatino Linotype"/>
        </w:rPr>
      </w:pPr>
    </w:p>
    <w:p w14:paraId="2DB5335B" w14:textId="77777777" w:rsidR="00BA6005" w:rsidRDefault="00BA6005">
      <w:pPr>
        <w:spacing w:line="360" w:lineRule="auto"/>
        <w:rPr>
          <w:rFonts w:ascii="Palatino Linotype" w:eastAsia="Palatino Linotype" w:hAnsi="Palatino Linotype" w:cs="Palatino Linotype"/>
        </w:rPr>
      </w:pPr>
    </w:p>
    <w:p w14:paraId="1B8002DA" w14:textId="77777777" w:rsidR="00BA6005" w:rsidRDefault="00BA6005">
      <w:pPr>
        <w:spacing w:line="360" w:lineRule="auto"/>
        <w:rPr>
          <w:rFonts w:ascii="Palatino Linotype" w:eastAsia="Palatino Linotype" w:hAnsi="Palatino Linotype" w:cs="Palatino Linotype"/>
        </w:rPr>
      </w:pPr>
    </w:p>
    <w:p w14:paraId="18FA220A" w14:textId="77777777" w:rsidR="00BA6005" w:rsidRDefault="00BA6005">
      <w:pPr>
        <w:spacing w:line="360" w:lineRule="auto"/>
        <w:rPr>
          <w:rFonts w:ascii="Palatino Linotype" w:eastAsia="Palatino Linotype" w:hAnsi="Palatino Linotype" w:cs="Palatino Linotype"/>
        </w:rPr>
      </w:pPr>
    </w:p>
    <w:p w14:paraId="4EF89FFD" w14:textId="77777777" w:rsidR="00BA6005" w:rsidRDefault="00BA6005">
      <w:pPr>
        <w:spacing w:line="360" w:lineRule="auto"/>
        <w:rPr>
          <w:rFonts w:ascii="Palatino Linotype" w:eastAsia="Palatino Linotype" w:hAnsi="Palatino Linotype" w:cs="Palatino Linotype"/>
        </w:rPr>
      </w:pPr>
    </w:p>
    <w:p w14:paraId="331E9C41" w14:textId="77777777" w:rsidR="00BA6005" w:rsidRDefault="00BA6005">
      <w:pPr>
        <w:spacing w:line="360" w:lineRule="auto"/>
        <w:rPr>
          <w:rFonts w:ascii="Palatino Linotype" w:eastAsia="Palatino Linotype" w:hAnsi="Palatino Linotype" w:cs="Palatino Linotype"/>
        </w:rPr>
      </w:pPr>
    </w:p>
    <w:p w14:paraId="385D404E" w14:textId="77777777" w:rsidR="00BA6005" w:rsidRDefault="00BA6005">
      <w:pPr>
        <w:spacing w:line="360" w:lineRule="auto"/>
        <w:rPr>
          <w:rFonts w:ascii="Palatino Linotype" w:eastAsia="Palatino Linotype" w:hAnsi="Palatino Linotype" w:cs="Palatino Linotype"/>
        </w:rPr>
      </w:pPr>
    </w:p>
    <w:p w14:paraId="6C78D03E" w14:textId="77777777" w:rsidR="00BA6005" w:rsidRDefault="00BA6005">
      <w:pPr>
        <w:spacing w:line="360" w:lineRule="auto"/>
        <w:rPr>
          <w:rFonts w:ascii="Palatino Linotype" w:eastAsia="Palatino Linotype" w:hAnsi="Palatino Linotype" w:cs="Palatino Linotype"/>
        </w:rPr>
      </w:pPr>
    </w:p>
    <w:p w14:paraId="71D9C78B" w14:textId="77777777" w:rsidR="00BA6005" w:rsidRDefault="00BA6005">
      <w:pPr>
        <w:spacing w:line="360" w:lineRule="auto"/>
      </w:pPr>
    </w:p>
    <w:p w14:paraId="4AC9046D" w14:textId="77777777" w:rsidR="00BA6005" w:rsidRDefault="00BA6005">
      <w:pPr>
        <w:spacing w:line="360" w:lineRule="auto"/>
      </w:pPr>
    </w:p>
    <w:p w14:paraId="1CBB96DA" w14:textId="77777777" w:rsidR="00BA6005" w:rsidRDefault="00BA6005">
      <w:pPr>
        <w:spacing w:line="360" w:lineRule="auto"/>
      </w:pPr>
    </w:p>
    <w:p w14:paraId="6396E716" w14:textId="77777777" w:rsidR="00BA6005" w:rsidRDefault="00BA6005">
      <w:pPr>
        <w:spacing w:line="360" w:lineRule="auto"/>
      </w:pPr>
    </w:p>
    <w:p w14:paraId="2F2C122E" w14:textId="77777777" w:rsidR="00BA6005" w:rsidRDefault="00BA6005">
      <w:pPr>
        <w:spacing w:line="360" w:lineRule="auto"/>
      </w:pPr>
    </w:p>
    <w:p w14:paraId="48C24AB9" w14:textId="77777777" w:rsidR="00BA6005" w:rsidRDefault="00BA6005">
      <w:pPr>
        <w:spacing w:line="360" w:lineRule="auto"/>
      </w:pPr>
    </w:p>
    <w:p w14:paraId="60B97724" w14:textId="77777777" w:rsidR="00BA6005" w:rsidRDefault="00BA6005">
      <w:pPr>
        <w:spacing w:line="360" w:lineRule="auto"/>
      </w:pPr>
    </w:p>
    <w:p w14:paraId="461C9B69" w14:textId="77777777" w:rsidR="00BA6005" w:rsidRDefault="00BA6005">
      <w:pPr>
        <w:spacing w:line="360" w:lineRule="auto"/>
      </w:pPr>
    </w:p>
    <w:p w14:paraId="5282E43C" w14:textId="77777777" w:rsidR="00BA6005" w:rsidRDefault="00BA6005">
      <w:pPr>
        <w:spacing w:line="360" w:lineRule="auto"/>
      </w:pPr>
    </w:p>
    <w:sectPr w:rsidR="00BA6005">
      <w:headerReference w:type="even" r:id="rId18"/>
      <w:headerReference w:type="default" r:id="rId19"/>
      <w:footerReference w:type="even" r:id="rId20"/>
      <w:footerReference w:type="default" r:id="rId21"/>
      <w:headerReference w:type="first" r:id="rId22"/>
      <w:footerReference w:type="first" r:id="rId23"/>
      <w:pgSz w:w="12240" w:h="15840"/>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170B4" w14:textId="77777777" w:rsidR="006A6C92" w:rsidRDefault="006A6C92">
      <w:r>
        <w:separator/>
      </w:r>
    </w:p>
  </w:endnote>
  <w:endnote w:type="continuationSeparator" w:id="0">
    <w:p w14:paraId="6C4C2729" w14:textId="77777777" w:rsidR="006A6C92" w:rsidRDefault="006A6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D989E039-CEAF-4E31-B97D-893C987D727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9942DAA-68CD-45FD-8492-F8D35B61E2EF}"/>
  </w:font>
  <w:font w:name="Calibri Light">
    <w:panose1 w:val="020F0302020204030204"/>
    <w:charset w:val="00"/>
    <w:family w:val="swiss"/>
    <w:pitch w:val="variable"/>
    <w:sig w:usb0="E4002EFF" w:usb1="C200247B" w:usb2="00000009" w:usb3="00000000" w:csb0="000001FF" w:csb1="00000000"/>
    <w:embedRegular r:id="rId3" w:fontKey="{5B239F50-9656-4F6B-BA18-19EFCE3063A5}"/>
  </w:font>
  <w:font w:name="Georgia">
    <w:panose1 w:val="02040502050405020303"/>
    <w:charset w:val="00"/>
    <w:family w:val="roman"/>
    <w:pitch w:val="variable"/>
    <w:sig w:usb0="00000287" w:usb1="00000000" w:usb2="00000000" w:usb3="00000000" w:csb0="0000009F" w:csb1="00000000"/>
    <w:embedItalic r:id="rId4" w:fontKey="{EE0C49F2-7550-41A2-A739-013DAC38090E}"/>
  </w:font>
  <w:font w:name="Palatino Linotype">
    <w:panose1 w:val="02040502050505030304"/>
    <w:charset w:val="00"/>
    <w:family w:val="roman"/>
    <w:pitch w:val="variable"/>
    <w:sig w:usb0="E0000287" w:usb1="40000013" w:usb2="00000000" w:usb3="00000000" w:csb0="0000019F" w:csb1="00000000"/>
    <w:embedRegular r:id="rId5" w:fontKey="{215EE4A0-5BAD-46C0-88C7-A693AF68B4BF}"/>
    <w:embedBold r:id="rId6" w:fontKey="{C7D30775-99A0-4B37-8336-1A18F02D5A23}"/>
    <w:embedItalic r:id="rId7" w:fontKey="{0E40ADFD-F960-444B-A5E4-6D9A2DB7B39B}"/>
    <w:embedBoldItalic r:id="rId8" w:fontKey="{21DBCCB0-B472-44AD-8BAD-A913A527F2C5}"/>
  </w:font>
  <w:font w:name="Garamond">
    <w:panose1 w:val="02020404030301010803"/>
    <w:charset w:val="00"/>
    <w:family w:val="roman"/>
    <w:pitch w:val="variable"/>
    <w:sig w:usb0="00000287" w:usb1="00000000" w:usb2="00000000" w:usb3="00000000" w:csb0="0000009F" w:csb1="00000000"/>
    <w:embedRegular r:id="rId9" w:fontKey="{E37FBD71-3D93-4432-9A56-20F329EBDB2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9B5D" w14:textId="77777777" w:rsidR="00BA6005" w:rsidRDefault="007C5973">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281F08">
      <w:rPr>
        <w:rFonts w:ascii="Palatino Linotype" w:eastAsia="Palatino Linotype" w:hAnsi="Palatino Linotype" w:cs="Palatino Linotype"/>
        <w:b/>
        <w:bCs/>
        <w:noProof/>
        <w:color w:val="000000"/>
        <w:sz w:val="22"/>
        <w:szCs w:val="22"/>
      </w:rPr>
      <w:t>40</w:t>
    </w:r>
    <w:r>
      <w:rPr>
        <w:rFonts w:ascii="Palatino Linotype" w:eastAsia="Palatino Linotype" w:hAnsi="Palatino Linotype" w:cs="Palatino Linotype"/>
        <w:b/>
        <w:bCs/>
        <w:color w:val="000000"/>
        <w:sz w:val="22"/>
        <w:szCs w:val="22"/>
      </w:rPr>
      <w:fldChar w:fldCharType="end"/>
    </w:r>
  </w:p>
  <w:p w14:paraId="1B2917F4" w14:textId="77777777" w:rsidR="00BA6005" w:rsidRDefault="00BA600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497C" w14:textId="77777777" w:rsidR="00BA6005" w:rsidRDefault="007C5973">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281F08">
      <w:rPr>
        <w:rFonts w:ascii="Palatino Linotype" w:eastAsia="Palatino Linotype" w:hAnsi="Palatino Linotype" w:cs="Palatino Linotype"/>
        <w:b/>
        <w:bCs/>
        <w:noProof/>
        <w:color w:val="000000"/>
        <w:sz w:val="22"/>
        <w:szCs w:val="22"/>
      </w:rPr>
      <w:t>39</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281F08">
      <w:rPr>
        <w:rFonts w:ascii="Palatino Linotype" w:eastAsia="Palatino Linotype" w:hAnsi="Palatino Linotype" w:cs="Palatino Linotype"/>
        <w:b/>
        <w:bCs/>
        <w:noProof/>
        <w:color w:val="000000"/>
        <w:sz w:val="22"/>
        <w:szCs w:val="22"/>
      </w:rPr>
      <w:t>40</w:t>
    </w:r>
    <w:r>
      <w:rPr>
        <w:rFonts w:ascii="Palatino Linotype" w:eastAsia="Palatino Linotype" w:hAnsi="Palatino Linotype" w:cs="Palatino Linotype"/>
        <w:b/>
        <w:bCs/>
        <w:color w:val="000000"/>
        <w:sz w:val="22"/>
        <w:szCs w:val="22"/>
      </w:rPr>
      <w:fldChar w:fldCharType="end"/>
    </w:r>
  </w:p>
  <w:p w14:paraId="2768E4E7" w14:textId="77777777" w:rsidR="00BA6005" w:rsidRDefault="00BA6005">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779E8" w14:textId="77777777" w:rsidR="00BA6005" w:rsidRDefault="007C597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281F08">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281F08">
      <w:rPr>
        <w:rFonts w:ascii="Palatino Linotype" w:eastAsia="Palatino Linotype" w:hAnsi="Palatino Linotype" w:cs="Palatino Linotype"/>
        <w:b/>
        <w:bCs/>
        <w:noProof/>
        <w:color w:val="000000"/>
        <w:sz w:val="22"/>
        <w:szCs w:val="22"/>
      </w:rPr>
      <w:t>40</w:t>
    </w:r>
    <w:r>
      <w:rPr>
        <w:rFonts w:ascii="Palatino Linotype" w:eastAsia="Palatino Linotype" w:hAnsi="Palatino Linotype" w:cs="Palatino Linotype"/>
        <w:b/>
        <w:bCs/>
        <w:color w:val="000000"/>
        <w:sz w:val="22"/>
        <w:szCs w:val="22"/>
      </w:rPr>
      <w:fldChar w:fldCharType="end"/>
    </w:r>
  </w:p>
  <w:p w14:paraId="2B8C8EED" w14:textId="77777777" w:rsidR="00BA6005" w:rsidRDefault="00BA600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D9123" w14:textId="77777777" w:rsidR="006A6C92" w:rsidRDefault="006A6C92">
      <w:r>
        <w:separator/>
      </w:r>
    </w:p>
  </w:footnote>
  <w:footnote w:type="continuationSeparator" w:id="0">
    <w:p w14:paraId="1C9CE450" w14:textId="77777777" w:rsidR="006A6C92" w:rsidRDefault="006A6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2244" w14:textId="77777777" w:rsidR="00BA6005" w:rsidRDefault="00BA6005">
    <w:pPr>
      <w:widowControl w:val="0"/>
      <w:pBdr>
        <w:top w:val="nil"/>
        <w:left w:val="nil"/>
        <w:bottom w:val="nil"/>
        <w:right w:val="nil"/>
        <w:between w:val="nil"/>
      </w:pBdr>
      <w:spacing w:line="276" w:lineRule="auto"/>
    </w:pPr>
  </w:p>
  <w:tbl>
    <w:tblPr>
      <w:tblStyle w:val="a"/>
      <w:tblW w:w="9705" w:type="dxa"/>
      <w:tblInd w:w="0" w:type="dxa"/>
      <w:tblLayout w:type="fixed"/>
      <w:tblLook w:val="0400" w:firstRow="0" w:lastRow="0" w:firstColumn="0" w:lastColumn="0" w:noHBand="0" w:noVBand="1"/>
    </w:tblPr>
    <w:tblGrid>
      <w:gridCol w:w="2972"/>
      <w:gridCol w:w="6733"/>
    </w:tblGrid>
    <w:tr w:rsidR="00BA6005" w14:paraId="4B765B3D" w14:textId="77777777">
      <w:trPr>
        <w:trHeight w:val="1435"/>
      </w:trPr>
      <w:tc>
        <w:tcPr>
          <w:tcW w:w="2972" w:type="dxa"/>
        </w:tcPr>
        <w:p w14:paraId="62DF52B5" w14:textId="77777777" w:rsidR="00BA6005" w:rsidRDefault="00BA6005">
          <w:pPr>
            <w:tabs>
              <w:tab w:val="right" w:pos="4273"/>
            </w:tabs>
            <w:spacing w:line="256" w:lineRule="auto"/>
            <w:rPr>
              <w:rFonts w:ascii="Garamond" w:eastAsia="Garamond" w:hAnsi="Garamond" w:cs="Garamond"/>
              <w:sz w:val="22"/>
              <w:szCs w:val="22"/>
            </w:rPr>
          </w:pPr>
        </w:p>
      </w:tc>
      <w:tc>
        <w:tcPr>
          <w:tcW w:w="6733" w:type="dxa"/>
        </w:tcPr>
        <w:p w14:paraId="2C74D8F3" w14:textId="77777777" w:rsidR="00BA6005" w:rsidRDefault="00BA6005">
          <w:pPr>
            <w:widowControl w:val="0"/>
            <w:pBdr>
              <w:top w:val="nil"/>
              <w:left w:val="nil"/>
              <w:bottom w:val="nil"/>
              <w:right w:val="nil"/>
              <w:between w:val="nil"/>
            </w:pBdr>
            <w:spacing w:line="276" w:lineRule="auto"/>
            <w:rPr>
              <w:rFonts w:ascii="Garamond" w:eastAsia="Garamond" w:hAnsi="Garamond" w:cs="Garamond"/>
              <w:sz w:val="22"/>
              <w:szCs w:val="22"/>
            </w:rPr>
          </w:pPr>
        </w:p>
        <w:tbl>
          <w:tblPr>
            <w:tblStyle w:val="a0"/>
            <w:tblW w:w="5535" w:type="dxa"/>
            <w:tblInd w:w="322" w:type="dxa"/>
            <w:tblBorders>
              <w:top w:val="nil"/>
              <w:left w:val="nil"/>
              <w:bottom w:val="nil"/>
              <w:right w:val="nil"/>
              <w:insideH w:val="nil"/>
              <w:insideV w:val="nil"/>
            </w:tblBorders>
            <w:tblLayout w:type="fixed"/>
            <w:tblLook w:val="0400" w:firstRow="0" w:lastRow="0" w:firstColumn="0" w:lastColumn="0" w:noHBand="0" w:noVBand="1"/>
          </w:tblPr>
          <w:tblGrid>
            <w:gridCol w:w="2447"/>
            <w:gridCol w:w="3088"/>
          </w:tblGrid>
          <w:tr w:rsidR="00BA6005" w14:paraId="6F81175B" w14:textId="77777777">
            <w:trPr>
              <w:trHeight w:val="144"/>
            </w:trPr>
            <w:tc>
              <w:tcPr>
                <w:tcW w:w="2447" w:type="dxa"/>
              </w:tcPr>
              <w:p w14:paraId="19B3AB09" w14:textId="77777777" w:rsidR="00BA6005" w:rsidRDefault="007C5973">
                <w:pPr>
                  <w:tabs>
                    <w:tab w:val="right" w:pos="8838"/>
                  </w:tabs>
                  <w:ind w:left="-69" w:right="-105"/>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3088" w:type="dxa"/>
              </w:tcPr>
              <w:p w14:paraId="1CB53A0F" w14:textId="77777777" w:rsidR="00BA6005" w:rsidRDefault="007C5973">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02946/INFOEM/IP/RR/2021</w:t>
                </w:r>
              </w:p>
            </w:tc>
          </w:tr>
          <w:tr w:rsidR="00BA6005" w14:paraId="26378E1D" w14:textId="77777777">
            <w:trPr>
              <w:trHeight w:val="283"/>
            </w:trPr>
            <w:tc>
              <w:tcPr>
                <w:tcW w:w="2447" w:type="dxa"/>
              </w:tcPr>
              <w:p w14:paraId="4669E9F5" w14:textId="77777777" w:rsidR="00BA6005" w:rsidRDefault="007C5973">
                <w:pPr>
                  <w:tabs>
                    <w:tab w:val="right" w:pos="8838"/>
                  </w:tabs>
                  <w:ind w:left="-74" w:right="-105"/>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3088" w:type="dxa"/>
              </w:tcPr>
              <w:p w14:paraId="6841250F" w14:textId="77777777" w:rsidR="00BA6005" w:rsidRDefault="007C5973">
                <w:pPr>
                  <w:tabs>
                    <w:tab w:val="left" w:pos="2834"/>
                    <w:tab w:val="right" w:pos="8838"/>
                  </w:tabs>
                  <w:ind w:left="-74" w:right="-105"/>
                  <w:jc w:val="both"/>
                  <w:rPr>
                    <w:rFonts w:ascii="Palatino Linotype" w:eastAsia="Palatino Linotype" w:hAnsi="Palatino Linotype" w:cs="Palatino Linotype"/>
                    <w:b/>
                    <w:bCs/>
                    <w:sz w:val="22"/>
                    <w:szCs w:val="22"/>
                  </w:rPr>
                </w:pPr>
                <w:r>
                  <w:rPr>
                    <w:rFonts w:ascii="Palatino Linotype" w:eastAsia="Palatino Linotype" w:hAnsi="Palatino Linotype" w:cs="Palatino Linotype"/>
                    <w:sz w:val="22"/>
                    <w:szCs w:val="22"/>
                  </w:rPr>
                  <w:t>Ayuntamiento de San Antonio la Isla</w:t>
                </w:r>
              </w:p>
            </w:tc>
          </w:tr>
          <w:tr w:rsidR="00BA6005" w14:paraId="5C9AE301" w14:textId="77777777">
            <w:trPr>
              <w:trHeight w:val="283"/>
            </w:trPr>
            <w:tc>
              <w:tcPr>
                <w:tcW w:w="2447" w:type="dxa"/>
              </w:tcPr>
              <w:p w14:paraId="3C53A3F6" w14:textId="77777777" w:rsidR="00BA6005" w:rsidRDefault="007C5973">
                <w:pPr>
                  <w:tabs>
                    <w:tab w:val="right" w:pos="8838"/>
                  </w:tabs>
                  <w:ind w:left="-74" w:right="-105"/>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Comisionado Ponente:</w:t>
                </w:r>
              </w:p>
            </w:tc>
            <w:tc>
              <w:tcPr>
                <w:tcW w:w="3088" w:type="dxa"/>
              </w:tcPr>
              <w:p w14:paraId="6FC5DB66" w14:textId="77777777" w:rsidR="00BA6005" w:rsidRDefault="007C5973">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p w14:paraId="147EB964" w14:textId="77777777" w:rsidR="00BA6005" w:rsidRDefault="00BA6005">
                <w:pPr>
                  <w:tabs>
                    <w:tab w:val="right" w:pos="8838"/>
                  </w:tabs>
                  <w:ind w:left="-74" w:right="-105"/>
                  <w:jc w:val="both"/>
                  <w:rPr>
                    <w:rFonts w:ascii="Palatino Linotype" w:eastAsia="Palatino Linotype" w:hAnsi="Palatino Linotype" w:cs="Palatino Linotype"/>
                    <w:b/>
                    <w:bCs/>
                    <w:sz w:val="22"/>
                    <w:szCs w:val="22"/>
                  </w:rPr>
                </w:pPr>
              </w:p>
            </w:tc>
          </w:tr>
        </w:tbl>
        <w:p w14:paraId="3D03879D" w14:textId="77777777" w:rsidR="00BA6005" w:rsidRDefault="00BA6005">
          <w:pPr>
            <w:tabs>
              <w:tab w:val="right" w:pos="8838"/>
            </w:tabs>
            <w:spacing w:line="256" w:lineRule="auto"/>
            <w:ind w:left="-28"/>
            <w:jc w:val="both"/>
            <w:rPr>
              <w:rFonts w:ascii="Arial" w:eastAsia="Arial" w:hAnsi="Arial" w:cs="Arial"/>
              <w:b/>
              <w:bCs/>
              <w:sz w:val="22"/>
              <w:szCs w:val="22"/>
            </w:rPr>
          </w:pPr>
        </w:p>
      </w:tc>
    </w:tr>
  </w:tbl>
  <w:p w14:paraId="16971EC3" w14:textId="77777777" w:rsidR="00BA6005" w:rsidRDefault="007C5973">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sz w:val="22"/>
        <w:szCs w:val="22"/>
      </w:rPr>
      <w:drawing>
        <wp:anchor distT="0" distB="0" distL="0" distR="0" simplePos="0" relativeHeight="251657728" behindDoc="1" locked="0" layoutInCell="1" hidden="0" allowOverlap="1" wp14:anchorId="00B7C7DB" wp14:editId="257AC758">
          <wp:simplePos x="0" y="0"/>
          <wp:positionH relativeFrom="margin">
            <wp:posOffset>-1381124</wp:posOffset>
          </wp:positionH>
          <wp:positionV relativeFrom="margin">
            <wp:posOffset>-1611629</wp:posOffset>
          </wp:positionV>
          <wp:extent cx="5612130" cy="7308215"/>
          <wp:effectExtent l="0" t="0" r="0" b="0"/>
          <wp:wrapNone/>
          <wp:docPr id="175442233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5612130" cy="730821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6C9F6" w14:textId="77777777" w:rsidR="00BA6005" w:rsidRDefault="00BA6005">
    <w:pPr>
      <w:widowControl w:val="0"/>
      <w:pBdr>
        <w:top w:val="nil"/>
        <w:left w:val="nil"/>
        <w:bottom w:val="nil"/>
        <w:right w:val="nil"/>
        <w:between w:val="nil"/>
      </w:pBdr>
      <w:spacing w:line="276" w:lineRule="auto"/>
      <w:rPr>
        <w:color w:val="000000"/>
      </w:rPr>
    </w:pPr>
  </w:p>
  <w:tbl>
    <w:tblPr>
      <w:tblStyle w:val="a1"/>
      <w:tblW w:w="9356" w:type="dxa"/>
      <w:tblInd w:w="0" w:type="dxa"/>
      <w:tblLayout w:type="fixed"/>
      <w:tblLook w:val="0400" w:firstRow="0" w:lastRow="0" w:firstColumn="0" w:lastColumn="0" w:noHBand="0" w:noVBand="1"/>
    </w:tblPr>
    <w:tblGrid>
      <w:gridCol w:w="1985"/>
      <w:gridCol w:w="7371"/>
    </w:tblGrid>
    <w:tr w:rsidR="00BA6005" w14:paraId="3EE10ADE" w14:textId="77777777">
      <w:trPr>
        <w:trHeight w:val="1435"/>
      </w:trPr>
      <w:tc>
        <w:tcPr>
          <w:tcW w:w="1985" w:type="dxa"/>
        </w:tcPr>
        <w:p w14:paraId="0DEEBCA9" w14:textId="77777777" w:rsidR="00BA6005" w:rsidRDefault="00BA6005">
          <w:pPr>
            <w:tabs>
              <w:tab w:val="right" w:pos="4273"/>
            </w:tabs>
            <w:spacing w:line="256" w:lineRule="auto"/>
            <w:rPr>
              <w:rFonts w:ascii="Garamond" w:eastAsia="Garamond" w:hAnsi="Garamond" w:cs="Garamond"/>
              <w:sz w:val="22"/>
              <w:szCs w:val="22"/>
            </w:rPr>
          </w:pPr>
        </w:p>
      </w:tc>
      <w:tc>
        <w:tcPr>
          <w:tcW w:w="7371" w:type="dxa"/>
        </w:tcPr>
        <w:p w14:paraId="1AC84E27" w14:textId="77777777" w:rsidR="00BA6005" w:rsidRDefault="00BA6005">
          <w:pPr>
            <w:rPr>
              <w:sz w:val="28"/>
              <w:szCs w:val="28"/>
            </w:rPr>
          </w:pPr>
        </w:p>
        <w:tbl>
          <w:tblPr>
            <w:tblStyle w:val="a2"/>
            <w:tblW w:w="951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41"/>
            <w:gridCol w:w="4422"/>
            <w:gridCol w:w="2254"/>
          </w:tblGrid>
          <w:tr w:rsidR="00BA6005" w14:paraId="2902AF83" w14:textId="77777777">
            <w:trPr>
              <w:trHeight w:val="194"/>
            </w:trPr>
            <w:tc>
              <w:tcPr>
                <w:tcW w:w="2841" w:type="dxa"/>
              </w:tcPr>
              <w:p w14:paraId="116AEED6" w14:textId="77777777" w:rsidR="00BA6005" w:rsidRDefault="007C5973">
                <w:pPr>
                  <w:tabs>
                    <w:tab w:val="right" w:pos="8838"/>
                  </w:tabs>
                  <w:ind w:left="-114" w:right="-105"/>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       Recurso de Revisión:</w:t>
                </w:r>
              </w:p>
            </w:tc>
            <w:tc>
              <w:tcPr>
                <w:tcW w:w="4422" w:type="dxa"/>
              </w:tcPr>
              <w:p w14:paraId="4E5931DA" w14:textId="77777777" w:rsidR="00BA6005" w:rsidRDefault="007C5973">
                <w:pPr>
                  <w:tabs>
                    <w:tab w:val="right" w:pos="8838"/>
                  </w:tabs>
                  <w:ind w:left="-11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11661/INFOEM/IP/RR/2025</w:t>
                </w:r>
              </w:p>
            </w:tc>
            <w:tc>
              <w:tcPr>
                <w:tcW w:w="2254" w:type="dxa"/>
              </w:tcPr>
              <w:p w14:paraId="4EDA552E" w14:textId="77777777" w:rsidR="00BA6005" w:rsidRDefault="00BA6005">
                <w:pPr>
                  <w:tabs>
                    <w:tab w:val="right" w:pos="8838"/>
                  </w:tabs>
                  <w:ind w:left="-114" w:right="-105"/>
                  <w:jc w:val="both"/>
                  <w:rPr>
                    <w:rFonts w:ascii="Palatino Linotype" w:eastAsia="Palatino Linotype" w:hAnsi="Palatino Linotype" w:cs="Palatino Linotype"/>
                    <w:sz w:val="22"/>
                    <w:szCs w:val="22"/>
                  </w:rPr>
                </w:pPr>
              </w:p>
            </w:tc>
          </w:tr>
          <w:tr w:rsidR="00BA6005" w14:paraId="1D9D7D69" w14:textId="77777777">
            <w:trPr>
              <w:trHeight w:val="88"/>
            </w:trPr>
            <w:tc>
              <w:tcPr>
                <w:tcW w:w="2841" w:type="dxa"/>
              </w:tcPr>
              <w:p w14:paraId="6713FA59" w14:textId="77777777" w:rsidR="00BA6005" w:rsidRDefault="007C5973">
                <w:pPr>
                  <w:tabs>
                    <w:tab w:val="right" w:pos="8838"/>
                  </w:tabs>
                  <w:ind w:left="-114" w:right="-105"/>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       Sujeto Obligado:</w:t>
                </w:r>
              </w:p>
            </w:tc>
            <w:tc>
              <w:tcPr>
                <w:tcW w:w="4422" w:type="dxa"/>
              </w:tcPr>
              <w:p w14:paraId="0478064C" w14:textId="77777777" w:rsidR="00BA6005" w:rsidRDefault="007C5973">
                <w:pPr>
                  <w:tabs>
                    <w:tab w:val="left" w:pos="2834"/>
                    <w:tab w:val="right" w:pos="8838"/>
                  </w:tabs>
                  <w:ind w:left="-114"/>
                  <w:jc w:val="both"/>
                  <w:rPr>
                    <w:rFonts w:ascii="Palatino Linotype" w:eastAsia="Palatino Linotype" w:hAnsi="Palatino Linotype" w:cs="Palatino Linotype"/>
                    <w:b/>
                    <w:bCs/>
                    <w:sz w:val="32"/>
                    <w:szCs w:val="32"/>
                  </w:rPr>
                </w:pPr>
                <w:r>
                  <w:rPr>
                    <w:rFonts w:ascii="Palatino Linotype" w:eastAsia="Palatino Linotype" w:hAnsi="Palatino Linotype" w:cs="Palatino Linotype"/>
                    <w:sz w:val="22"/>
                    <w:szCs w:val="22"/>
                  </w:rPr>
                  <w:t>Organismo Público Descentralizado para la Prestación de los Servicios de Agua Potable Drenaje y Tratamiento de Aguas Residuales del Municipio de Huixquilucan México, denominado ‘Sistema Aguas de Huixquilucan’</w:t>
                </w:r>
              </w:p>
            </w:tc>
            <w:tc>
              <w:tcPr>
                <w:tcW w:w="2254" w:type="dxa"/>
              </w:tcPr>
              <w:p w14:paraId="0B963C8C" w14:textId="77777777" w:rsidR="00BA6005" w:rsidRDefault="00BA6005">
                <w:pPr>
                  <w:tabs>
                    <w:tab w:val="left" w:pos="2834"/>
                    <w:tab w:val="right" w:pos="8838"/>
                  </w:tabs>
                  <w:ind w:left="-114"/>
                  <w:jc w:val="both"/>
                  <w:rPr>
                    <w:rFonts w:ascii="Palatino Linotype" w:eastAsia="Palatino Linotype" w:hAnsi="Palatino Linotype" w:cs="Palatino Linotype"/>
                    <w:sz w:val="22"/>
                    <w:szCs w:val="22"/>
                  </w:rPr>
                </w:pPr>
              </w:p>
            </w:tc>
          </w:tr>
          <w:tr w:rsidR="00BA6005" w14:paraId="3FA0471D" w14:textId="77777777">
            <w:trPr>
              <w:trHeight w:val="383"/>
            </w:trPr>
            <w:tc>
              <w:tcPr>
                <w:tcW w:w="2841" w:type="dxa"/>
              </w:tcPr>
              <w:p w14:paraId="3DE0E19D" w14:textId="77777777" w:rsidR="00BA6005" w:rsidRDefault="007C5973">
                <w:pPr>
                  <w:tabs>
                    <w:tab w:val="right" w:pos="8838"/>
                  </w:tabs>
                  <w:ind w:left="-114" w:right="-105"/>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       Comisionado Ponente:</w:t>
                </w:r>
              </w:p>
            </w:tc>
            <w:tc>
              <w:tcPr>
                <w:tcW w:w="4422" w:type="dxa"/>
              </w:tcPr>
              <w:p w14:paraId="773C0DE9" w14:textId="77777777" w:rsidR="00BA6005" w:rsidRDefault="007C5973">
                <w:pPr>
                  <w:tabs>
                    <w:tab w:val="right" w:pos="8838"/>
                  </w:tabs>
                  <w:ind w:left="-11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c>
              <w:tcPr>
                <w:tcW w:w="2254" w:type="dxa"/>
              </w:tcPr>
              <w:p w14:paraId="55EEA798" w14:textId="77777777" w:rsidR="00BA6005" w:rsidRDefault="00BA6005">
                <w:pPr>
                  <w:tabs>
                    <w:tab w:val="right" w:pos="8838"/>
                  </w:tabs>
                  <w:ind w:left="-114" w:right="-105"/>
                  <w:jc w:val="both"/>
                  <w:rPr>
                    <w:rFonts w:ascii="Palatino Linotype" w:eastAsia="Palatino Linotype" w:hAnsi="Palatino Linotype" w:cs="Palatino Linotype"/>
                    <w:sz w:val="22"/>
                    <w:szCs w:val="22"/>
                  </w:rPr>
                </w:pPr>
              </w:p>
            </w:tc>
          </w:tr>
        </w:tbl>
        <w:p w14:paraId="02D4F5A9" w14:textId="77777777" w:rsidR="00BA6005" w:rsidRDefault="00BA6005">
          <w:pPr>
            <w:tabs>
              <w:tab w:val="right" w:pos="8838"/>
            </w:tabs>
            <w:spacing w:line="256" w:lineRule="auto"/>
            <w:ind w:left="-28"/>
            <w:jc w:val="both"/>
            <w:rPr>
              <w:rFonts w:ascii="Arial" w:eastAsia="Arial" w:hAnsi="Arial" w:cs="Arial"/>
              <w:b/>
              <w:bCs/>
              <w:sz w:val="22"/>
              <w:szCs w:val="22"/>
            </w:rPr>
          </w:pPr>
        </w:p>
      </w:tc>
    </w:tr>
  </w:tbl>
  <w:p w14:paraId="5A6AC283" w14:textId="77777777" w:rsidR="00BA6005" w:rsidRDefault="007C5973">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sz w:val="22"/>
        <w:szCs w:val="22"/>
      </w:rPr>
      <w:drawing>
        <wp:anchor distT="0" distB="0" distL="0" distR="0" simplePos="0" relativeHeight="251656704" behindDoc="1" locked="0" layoutInCell="1" hidden="0" allowOverlap="1" wp14:anchorId="723E49F1" wp14:editId="5AA79920">
          <wp:simplePos x="0" y="0"/>
          <wp:positionH relativeFrom="margin">
            <wp:posOffset>-1153159</wp:posOffset>
          </wp:positionH>
          <wp:positionV relativeFrom="margin">
            <wp:posOffset>-1539239</wp:posOffset>
          </wp:positionV>
          <wp:extent cx="7835900" cy="10203815"/>
          <wp:effectExtent l="0" t="0" r="0" b="0"/>
          <wp:wrapNone/>
          <wp:docPr id="175442233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7835900" cy="1020381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4E6FA" w14:textId="77777777" w:rsidR="00BA6005" w:rsidRDefault="00BA6005">
    <w:pPr>
      <w:widowControl w:val="0"/>
      <w:pBdr>
        <w:top w:val="nil"/>
        <w:left w:val="nil"/>
        <w:bottom w:val="nil"/>
        <w:right w:val="nil"/>
        <w:between w:val="nil"/>
      </w:pBdr>
      <w:spacing w:line="276" w:lineRule="auto"/>
      <w:rPr>
        <w:color w:val="000000"/>
      </w:rPr>
    </w:pPr>
  </w:p>
  <w:tbl>
    <w:tblPr>
      <w:tblStyle w:val="a3"/>
      <w:tblW w:w="9214" w:type="dxa"/>
      <w:tblInd w:w="0" w:type="dxa"/>
      <w:tblLayout w:type="fixed"/>
      <w:tblLook w:val="0400" w:firstRow="0" w:lastRow="0" w:firstColumn="0" w:lastColumn="0" w:noHBand="0" w:noVBand="1"/>
    </w:tblPr>
    <w:tblGrid>
      <w:gridCol w:w="709"/>
      <w:gridCol w:w="8505"/>
    </w:tblGrid>
    <w:tr w:rsidR="00BA6005" w14:paraId="56BE9132" w14:textId="77777777">
      <w:trPr>
        <w:trHeight w:val="1435"/>
      </w:trPr>
      <w:tc>
        <w:tcPr>
          <w:tcW w:w="709" w:type="dxa"/>
        </w:tcPr>
        <w:p w14:paraId="2E3DAE8F" w14:textId="77777777" w:rsidR="00BA6005" w:rsidRDefault="00BA6005">
          <w:pPr>
            <w:tabs>
              <w:tab w:val="right" w:pos="4273"/>
            </w:tabs>
            <w:spacing w:line="256" w:lineRule="auto"/>
            <w:rPr>
              <w:rFonts w:ascii="Garamond" w:eastAsia="Garamond" w:hAnsi="Garamond" w:cs="Garamond"/>
              <w:sz w:val="22"/>
              <w:szCs w:val="22"/>
            </w:rPr>
          </w:pPr>
        </w:p>
      </w:tc>
      <w:tc>
        <w:tcPr>
          <w:tcW w:w="8505" w:type="dxa"/>
        </w:tcPr>
        <w:p w14:paraId="0F5E5E19" w14:textId="77777777" w:rsidR="00BA6005" w:rsidRDefault="00BA6005">
          <w:pPr>
            <w:widowControl w:val="0"/>
            <w:pBdr>
              <w:top w:val="nil"/>
              <w:left w:val="nil"/>
              <w:bottom w:val="nil"/>
              <w:right w:val="nil"/>
              <w:between w:val="nil"/>
            </w:pBdr>
            <w:spacing w:line="276" w:lineRule="auto"/>
            <w:rPr>
              <w:rFonts w:ascii="Garamond" w:eastAsia="Garamond" w:hAnsi="Garamond" w:cs="Garamond"/>
              <w:sz w:val="22"/>
              <w:szCs w:val="22"/>
            </w:rPr>
          </w:pPr>
        </w:p>
        <w:tbl>
          <w:tblPr>
            <w:tblStyle w:val="a4"/>
            <w:tblW w:w="99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821"/>
            <w:gridCol w:w="4434"/>
            <w:gridCol w:w="1707"/>
          </w:tblGrid>
          <w:tr w:rsidR="00BA6005" w14:paraId="46E978FE" w14:textId="77777777">
            <w:trPr>
              <w:gridAfter w:val="1"/>
              <w:wAfter w:w="1707" w:type="dxa"/>
              <w:trHeight w:val="132"/>
            </w:trPr>
            <w:tc>
              <w:tcPr>
                <w:tcW w:w="3821" w:type="dxa"/>
              </w:tcPr>
              <w:p w14:paraId="324CA243" w14:textId="77777777" w:rsidR="00BA6005" w:rsidRDefault="007C5973">
                <w:pPr>
                  <w:tabs>
                    <w:tab w:val="right" w:pos="8838"/>
                  </w:tabs>
                  <w:ind w:left="-69" w:right="-105"/>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                          Recurso de Revisión:</w:t>
                </w:r>
              </w:p>
            </w:tc>
            <w:tc>
              <w:tcPr>
                <w:tcW w:w="4434" w:type="dxa"/>
              </w:tcPr>
              <w:p w14:paraId="40F9B6E0" w14:textId="77777777" w:rsidR="00BA6005" w:rsidRDefault="007C5973">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11661/INFOEM/IP/RR/2025</w:t>
                </w:r>
              </w:p>
            </w:tc>
          </w:tr>
          <w:tr w:rsidR="00BA6005" w14:paraId="055E42BA" w14:textId="77777777">
            <w:trPr>
              <w:gridAfter w:val="1"/>
              <w:wAfter w:w="1707" w:type="dxa"/>
              <w:trHeight w:val="132"/>
            </w:trPr>
            <w:tc>
              <w:tcPr>
                <w:tcW w:w="3821" w:type="dxa"/>
              </w:tcPr>
              <w:p w14:paraId="05D380B1" w14:textId="77777777" w:rsidR="00BA6005" w:rsidRDefault="007C5973">
                <w:pPr>
                  <w:tabs>
                    <w:tab w:val="right" w:pos="8838"/>
                  </w:tabs>
                  <w:ind w:left="-74" w:right="-105"/>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                          Recurrente:</w:t>
                </w:r>
              </w:p>
            </w:tc>
            <w:tc>
              <w:tcPr>
                <w:tcW w:w="4434" w:type="dxa"/>
              </w:tcPr>
              <w:p w14:paraId="1DFCC6AB" w14:textId="7803F962" w:rsidR="00BA6005" w:rsidRDefault="007F62CA">
                <w:pPr>
                  <w:tabs>
                    <w:tab w:val="left" w:pos="3122"/>
                    <w:tab w:val="right" w:pos="8838"/>
                  </w:tabs>
                  <w:ind w:left="-74" w:right="-105"/>
                  <w:jc w:val="both"/>
                  <w:rPr>
                    <w:rFonts w:ascii="Palatino Linotype" w:eastAsia="Palatino Linotype" w:hAnsi="Palatino Linotype" w:cs="Palatino Linotype"/>
                    <w:sz w:val="22"/>
                    <w:szCs w:val="22"/>
                  </w:rPr>
                </w:pPr>
                <w:r w:rsidRPr="007F62CA">
                  <w:rPr>
                    <w:rFonts w:ascii="Palatino Linotype" w:eastAsia="Palatino Linotype" w:hAnsi="Palatino Linotype" w:cs="Palatino Linotype"/>
                    <w:sz w:val="22"/>
                    <w:szCs w:val="22"/>
                    <w:highlight w:val="black"/>
                  </w:rPr>
                  <w:t>XXXXXXXXXXXXXXXX</w:t>
                </w:r>
              </w:p>
            </w:tc>
          </w:tr>
          <w:tr w:rsidR="00BA6005" w14:paraId="02D7BEA2" w14:textId="77777777">
            <w:trPr>
              <w:gridAfter w:val="1"/>
              <w:wAfter w:w="1707" w:type="dxa"/>
              <w:trHeight w:val="261"/>
            </w:trPr>
            <w:tc>
              <w:tcPr>
                <w:tcW w:w="3821" w:type="dxa"/>
              </w:tcPr>
              <w:p w14:paraId="0C327A51" w14:textId="77777777" w:rsidR="00BA6005" w:rsidRDefault="007C5973">
                <w:pPr>
                  <w:tabs>
                    <w:tab w:val="right" w:pos="8838"/>
                  </w:tabs>
                  <w:ind w:left="-74" w:right="-105"/>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                          Sujeto Obligado:</w:t>
                </w:r>
              </w:p>
            </w:tc>
            <w:tc>
              <w:tcPr>
                <w:tcW w:w="4434" w:type="dxa"/>
              </w:tcPr>
              <w:p w14:paraId="078B375E" w14:textId="77777777" w:rsidR="00BA6005" w:rsidRDefault="007C5973">
                <w:pPr>
                  <w:tabs>
                    <w:tab w:val="left" w:pos="2834"/>
                    <w:tab w:val="right" w:pos="8838"/>
                  </w:tabs>
                  <w:ind w:left="-74"/>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Organismo Público Descentralizado para la Prestación de los Servicios de Agua Potable Drenaje y Tratamiento de Aguas Residuales del Municipio de Huixquilucan México, denominado ‘Sistema Aguas de Huixquilucan’</w:t>
                </w:r>
              </w:p>
            </w:tc>
          </w:tr>
          <w:tr w:rsidR="00BA6005" w14:paraId="7E081981" w14:textId="77777777">
            <w:trPr>
              <w:trHeight w:val="261"/>
            </w:trPr>
            <w:tc>
              <w:tcPr>
                <w:tcW w:w="3821" w:type="dxa"/>
              </w:tcPr>
              <w:p w14:paraId="29B90A25" w14:textId="77777777" w:rsidR="00BA6005" w:rsidRDefault="007C5973">
                <w:pPr>
                  <w:tabs>
                    <w:tab w:val="right" w:pos="8838"/>
                  </w:tabs>
                  <w:ind w:left="-74" w:right="-105"/>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                          Comisionado Ponente:</w:t>
                </w:r>
              </w:p>
            </w:tc>
            <w:tc>
              <w:tcPr>
                <w:tcW w:w="6141" w:type="dxa"/>
                <w:gridSpan w:val="2"/>
              </w:tcPr>
              <w:p w14:paraId="3AC6F740" w14:textId="77777777" w:rsidR="00BA6005" w:rsidRDefault="007C5973">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r>
        </w:tbl>
        <w:p w14:paraId="17C7601A" w14:textId="77777777" w:rsidR="00BA6005" w:rsidRDefault="00BA6005">
          <w:pPr>
            <w:tabs>
              <w:tab w:val="right" w:pos="8838"/>
            </w:tabs>
            <w:spacing w:line="256" w:lineRule="auto"/>
            <w:ind w:left="-28"/>
            <w:jc w:val="both"/>
            <w:rPr>
              <w:rFonts w:ascii="Arial" w:eastAsia="Arial" w:hAnsi="Arial" w:cs="Arial"/>
              <w:b/>
              <w:bCs/>
              <w:sz w:val="22"/>
              <w:szCs w:val="22"/>
            </w:rPr>
          </w:pPr>
        </w:p>
      </w:tc>
    </w:tr>
  </w:tbl>
  <w:p w14:paraId="67D51D81" w14:textId="77777777" w:rsidR="00BA6005" w:rsidRDefault="00000000">
    <w:pPr>
      <w:pBdr>
        <w:top w:val="nil"/>
        <w:left w:val="nil"/>
        <w:bottom w:val="nil"/>
        <w:right w:val="nil"/>
        <w:between w:val="nil"/>
      </w:pBdr>
      <w:tabs>
        <w:tab w:val="center" w:pos="4419"/>
        <w:tab w:val="right" w:pos="8838"/>
      </w:tabs>
      <w:rPr>
        <w:color w:val="000000"/>
      </w:rPr>
    </w:pPr>
    <w:r>
      <w:rPr>
        <w:rFonts w:ascii="Garamond" w:eastAsia="Garamond" w:hAnsi="Garamond" w:cs="Garamond"/>
        <w:color w:val="000000"/>
        <w:sz w:val="22"/>
        <w:szCs w:val="22"/>
      </w:rPr>
      <w:pict w14:anchorId="6AAA38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85.05pt;margin-top:-121.35pt;width:663.5pt;height:12in;z-index:-251657728;mso-position-horizontal:absolute;mso-position-horizontal-relative:margin;mso-position-vertical:absolute;mso-position-vertical-relative:margin">
          <v:imagedata r:id="rId1" o:title="image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D3D70"/>
    <w:multiLevelType w:val="multilevel"/>
    <w:tmpl w:val="6E2AAB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942AA4"/>
    <w:multiLevelType w:val="multilevel"/>
    <w:tmpl w:val="369A16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B54232"/>
    <w:multiLevelType w:val="multilevel"/>
    <w:tmpl w:val="659202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ECD0E6E"/>
    <w:multiLevelType w:val="multilevel"/>
    <w:tmpl w:val="A9489A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EC1794A"/>
    <w:multiLevelType w:val="multilevel"/>
    <w:tmpl w:val="A8F8C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4395EE5"/>
    <w:multiLevelType w:val="multilevel"/>
    <w:tmpl w:val="77429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4BD0FE7"/>
    <w:multiLevelType w:val="multilevel"/>
    <w:tmpl w:val="61E4EE2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79F484E"/>
    <w:multiLevelType w:val="multilevel"/>
    <w:tmpl w:val="163A1A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A8662C9"/>
    <w:multiLevelType w:val="multilevel"/>
    <w:tmpl w:val="0CDE00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4302E2D"/>
    <w:multiLevelType w:val="multilevel"/>
    <w:tmpl w:val="7FA66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BF10DAB"/>
    <w:multiLevelType w:val="multilevel"/>
    <w:tmpl w:val="2EA280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E0B2E62"/>
    <w:multiLevelType w:val="multilevel"/>
    <w:tmpl w:val="2F8A47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00455363">
    <w:abstractNumId w:val="2"/>
  </w:num>
  <w:num w:numId="2" w16cid:durableId="2093769814">
    <w:abstractNumId w:val="4"/>
  </w:num>
  <w:num w:numId="3" w16cid:durableId="567418216">
    <w:abstractNumId w:val="3"/>
  </w:num>
  <w:num w:numId="4" w16cid:durableId="726032746">
    <w:abstractNumId w:val="0"/>
  </w:num>
  <w:num w:numId="5" w16cid:durableId="1386099405">
    <w:abstractNumId w:val="5"/>
  </w:num>
  <w:num w:numId="6" w16cid:durableId="1309699666">
    <w:abstractNumId w:val="11"/>
  </w:num>
  <w:num w:numId="7" w16cid:durableId="1927496516">
    <w:abstractNumId w:val="9"/>
  </w:num>
  <w:num w:numId="8" w16cid:durableId="666397087">
    <w:abstractNumId w:val="1"/>
  </w:num>
  <w:num w:numId="9" w16cid:durableId="565338570">
    <w:abstractNumId w:val="6"/>
  </w:num>
  <w:num w:numId="10" w16cid:durableId="1698896505">
    <w:abstractNumId w:val="8"/>
  </w:num>
  <w:num w:numId="11" w16cid:durableId="627471516">
    <w:abstractNumId w:val="10"/>
  </w:num>
  <w:num w:numId="12" w16cid:durableId="8487595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005"/>
    <w:rsid w:val="001767BC"/>
    <w:rsid w:val="0027076A"/>
    <w:rsid w:val="00281F08"/>
    <w:rsid w:val="006A6C92"/>
    <w:rsid w:val="007C5973"/>
    <w:rsid w:val="007F62CA"/>
    <w:rsid w:val="00BA6005"/>
    <w:rsid w:val="00D1002A"/>
    <w:rsid w:val="00E308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88E28"/>
  <w15:docId w15:val="{4BB48E34-FB60-4DD9-9BFE-CB4073BC8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360" w:after="80"/>
      <w:outlineLvl w:val="0"/>
    </w:pPr>
    <w:rPr>
      <w:rFonts w:ascii="Calibri" w:eastAsia="Calibri" w:hAnsi="Calibri" w:cs="Calibri"/>
      <w:color w:val="2E75B5"/>
      <w:sz w:val="40"/>
      <w:szCs w:val="40"/>
    </w:rPr>
  </w:style>
  <w:style w:type="paragraph" w:styleId="Ttulo2">
    <w:name w:val="heading 2"/>
    <w:basedOn w:val="Normal"/>
    <w:next w:val="Normal"/>
    <w:pPr>
      <w:keepNext/>
      <w:keepLines/>
      <w:spacing w:before="160" w:after="80"/>
      <w:outlineLvl w:val="1"/>
    </w:pPr>
    <w:rPr>
      <w:rFonts w:ascii="Calibri" w:eastAsia="Calibri" w:hAnsi="Calibri" w:cs="Calibri"/>
      <w:color w:val="2E75B5"/>
      <w:sz w:val="32"/>
      <w:szCs w:val="32"/>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character" w:customStyle="1" w:styleId="Ttulo1Car">
    <w:name w:val="Título 1 Car"/>
    <w:basedOn w:val="Fuentedeprrafopredeter"/>
    <w:uiPriority w:val="9"/>
    <w:rsid w:val="00473E86"/>
    <w:rPr>
      <w:rFonts w:asciiTheme="majorHAnsi" w:eastAsiaTheme="majorEastAsia" w:hAnsiTheme="majorHAnsi" w:cstheme="majorBidi"/>
      <w:color w:val="2E74B5" w:themeColor="accent1" w:themeShade="BF"/>
      <w:sz w:val="40"/>
      <w:szCs w:val="40"/>
      <w:lang w:eastAsia="es-ES"/>
    </w:rPr>
  </w:style>
  <w:style w:type="character" w:customStyle="1" w:styleId="Ttulo2Car">
    <w:name w:val="Título 2 Car"/>
    <w:basedOn w:val="Fuentedeprrafopredeter"/>
    <w:uiPriority w:val="9"/>
    <w:rsid w:val="00473E86"/>
    <w:rPr>
      <w:rFonts w:asciiTheme="majorHAnsi" w:eastAsiaTheme="majorEastAsia" w:hAnsiTheme="majorHAnsi" w:cstheme="majorBidi"/>
      <w:color w:val="2E74B5" w:themeColor="accent1" w:themeShade="BF"/>
      <w:sz w:val="32"/>
      <w:szCs w:val="32"/>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73E8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473E86"/>
    <w:rPr>
      <w:rFonts w:ascii="Times New Roman" w:eastAsia="Times New Roman" w:hAnsi="Times New Roman" w:cs="Times New Roman"/>
      <w:sz w:val="20"/>
      <w:szCs w:val="20"/>
      <w:lang w:eastAsia="es-ES"/>
    </w:rPr>
  </w:style>
  <w:style w:type="table" w:styleId="Tablaconcuadrcula">
    <w:name w:val="Table Grid"/>
    <w:basedOn w:val="Tablanormal"/>
    <w:uiPriority w:val="39"/>
    <w:rsid w:val="00473E86"/>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73E86"/>
    <w:pPr>
      <w:tabs>
        <w:tab w:val="center" w:pos="4419"/>
        <w:tab w:val="right" w:pos="8838"/>
      </w:tabs>
    </w:pPr>
  </w:style>
  <w:style w:type="character" w:customStyle="1" w:styleId="EncabezadoCar">
    <w:name w:val="Encabezado Car"/>
    <w:basedOn w:val="Fuentedeprrafopredeter"/>
    <w:link w:val="Encabezado"/>
    <w:uiPriority w:val="99"/>
    <w:rsid w:val="00473E86"/>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473E86"/>
    <w:pPr>
      <w:tabs>
        <w:tab w:val="center" w:pos="4419"/>
        <w:tab w:val="right" w:pos="8838"/>
      </w:tabs>
    </w:pPr>
  </w:style>
  <w:style w:type="character" w:customStyle="1" w:styleId="PiedepginaCar">
    <w:name w:val="Pie de página Car"/>
    <w:basedOn w:val="Fuentedeprrafopredeter"/>
    <w:link w:val="Piedepgina"/>
    <w:uiPriority w:val="99"/>
    <w:rsid w:val="00473E86"/>
    <w:rPr>
      <w:rFonts w:ascii="Times New Roman" w:eastAsia="Times New Roman" w:hAnsi="Times New Roman" w:cs="Times New Roman"/>
      <w:sz w:val="20"/>
      <w:szCs w:val="20"/>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473E86"/>
    <w:rPr>
      <w:color w:val="0563C1" w:themeColor="hyperlink"/>
      <w:u w:val="single"/>
    </w:rPr>
  </w:style>
  <w:style w:type="paragraph" w:styleId="TtuloTDC">
    <w:name w:val="TOC Heading"/>
    <w:next w:val="Normal"/>
    <w:uiPriority w:val="39"/>
    <w:unhideWhenUsed/>
    <w:qFormat/>
    <w:rsid w:val="00473E86"/>
    <w:pPr>
      <w:spacing w:before="240"/>
    </w:pPr>
    <w:rPr>
      <w:sz w:val="32"/>
      <w:szCs w:val="32"/>
    </w:rPr>
  </w:style>
  <w:style w:type="paragraph" w:styleId="TDC2">
    <w:name w:val="toc 2"/>
    <w:basedOn w:val="Normal"/>
    <w:next w:val="Normal"/>
    <w:autoRedefine/>
    <w:uiPriority w:val="39"/>
    <w:unhideWhenUsed/>
    <w:rsid w:val="00473E86"/>
    <w:pPr>
      <w:spacing w:after="100" w:line="259" w:lineRule="auto"/>
      <w:ind w:left="220"/>
    </w:pPr>
    <w:rPr>
      <w:rFonts w:asciiTheme="minorHAnsi" w:eastAsiaTheme="minorEastAsia" w:hAnsiTheme="minorHAnsi"/>
      <w:sz w:val="22"/>
      <w:szCs w:val="22"/>
    </w:rPr>
  </w:style>
  <w:style w:type="paragraph" w:styleId="TDC1">
    <w:name w:val="toc 1"/>
    <w:basedOn w:val="Normal"/>
    <w:next w:val="Normal"/>
    <w:autoRedefine/>
    <w:uiPriority w:val="39"/>
    <w:unhideWhenUsed/>
    <w:rsid w:val="00473E86"/>
    <w:pPr>
      <w:spacing w:after="100" w:line="259" w:lineRule="auto"/>
    </w:pPr>
    <w:rPr>
      <w:rFonts w:asciiTheme="minorHAnsi" w:eastAsiaTheme="minorEastAsia" w:hAnsiTheme="minorHAnsi"/>
      <w:sz w:val="22"/>
      <w:szCs w:val="22"/>
    </w:rPr>
  </w:style>
  <w:style w:type="character" w:customStyle="1" w:styleId="Mencinsinresolver1">
    <w:name w:val="Mención sin resolver1"/>
    <w:basedOn w:val="Fuentedeprrafopredeter"/>
    <w:uiPriority w:val="99"/>
    <w:semiHidden/>
    <w:unhideWhenUsed/>
    <w:rsid w:val="00EC3205"/>
    <w:rPr>
      <w:color w:val="605E5C"/>
      <w:shd w:val="clear" w:color="auto" w:fill="E1DFDD"/>
    </w:rPr>
  </w:style>
  <w:style w:type="character" w:customStyle="1" w:styleId="Mencinsinresolver2">
    <w:name w:val="Mención sin resolver2"/>
    <w:basedOn w:val="Fuentedeprrafopredeter"/>
    <w:uiPriority w:val="99"/>
    <w:semiHidden/>
    <w:unhideWhenUsed/>
    <w:rsid w:val="006137A5"/>
    <w:rPr>
      <w:color w:val="605E5C"/>
      <w:shd w:val="clear" w:color="auto" w:fill="E1DFDD"/>
    </w:rPr>
  </w:style>
  <w:style w:type="character" w:styleId="Hipervnculovisitado">
    <w:name w:val="FollowedHyperlink"/>
    <w:basedOn w:val="Fuentedeprrafopredeter"/>
    <w:uiPriority w:val="99"/>
    <w:semiHidden/>
    <w:unhideWhenUsed/>
    <w:rsid w:val="00856AF8"/>
    <w:rPr>
      <w:color w:val="954F72" w:themeColor="followedHyperlink"/>
      <w:u w:val="single"/>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pomex.org.mx/ipomex/" TargetMode="External"/><Relationship Id="rId13" Type="http://schemas.openxmlformats.org/officeDocument/2006/relationships/hyperlink" Target="https://ipomex.org.mx/ipome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ipomex.org.mx/ipomex/" TargetMode="External"/><Relationship Id="rId17" Type="http://schemas.openxmlformats.org/officeDocument/2006/relationships/hyperlink" Target="https://ipomex.org.mx/ipome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pomex.org.mx/ipomex/" TargetMode="External"/><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ipomex.org.mx/ipomex/" TargetMode="External"/><Relationship Id="rId14" Type="http://schemas.openxmlformats.org/officeDocument/2006/relationships/image" Target="media/image3.pn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z5Oqm4T2Ku7+3/r1TSEzFSA2Fw==">CgMxLjAyDmguc2o1azY5dzgxc2R1Mg5oLnhyY3c2eGtuanBsbTIOaC4zamtrM3c2MnQ3aHoyDmguNHR3MDI4dG1lejU4Mg5oLnE1MTRiNHNvbnBrYjIOaC5yMWx5cTRsbzF6eTEyDmguN2xzc2o4M3J1NDh0Mg5oLnBrbjIyanFvd3B5azIOaC5waDY1Zm13ZHR3eW0yDmgudjdpNTlhdWg5YWVkMg1oLndqOGNkbXg5OXI0Mg5oLmFuMHFkdzVoaXljYjINaC5pdTd3aWZwZXowbDIOaC40cTB0Y2Yyenh3MnoyDmguMWRoaTJ4Zzg0b2J3OAByITFHQnVwdEk5b3Y2MjRrU18tbGtFR3JnTzhVY3YxbXJi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8203</Words>
  <Characters>43892</Characters>
  <Application>Microsoft Office Word</Application>
  <DocSecurity>0</DocSecurity>
  <Lines>862</Lines>
  <Paragraphs>176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INFOEM500</dc:creator>
  <cp:lastModifiedBy>Roxana Lechuga</cp:lastModifiedBy>
  <cp:revision>4</cp:revision>
  <cp:lastPrinted>2026-03-06T20:05:00Z</cp:lastPrinted>
  <dcterms:created xsi:type="dcterms:W3CDTF">2026-03-06T20:05:00Z</dcterms:created>
  <dcterms:modified xsi:type="dcterms:W3CDTF">2026-04-10T01:37:00Z</dcterms:modified>
</cp:coreProperties>
</file>