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05739" w14:textId="77777777" w:rsidR="00F616CD" w:rsidRDefault="00F616CD" w:rsidP="008860AA">
      <w:pPr>
        <w:tabs>
          <w:tab w:val="left" w:pos="8931"/>
        </w:tabs>
        <w:spacing w:line="360" w:lineRule="auto"/>
        <w:ind w:left="8931" w:hanging="8931"/>
        <w:contextualSpacing/>
      </w:pPr>
      <w:bookmarkStart w:id="0" w:name="_Hlk215665293"/>
    </w:p>
    <w:sdt>
      <w:sdtPr>
        <w:rPr>
          <w:rFonts w:ascii="Palatino Linotype" w:eastAsia="Palatino Linotype" w:hAnsi="Palatino Linotype" w:cs="Palatino Linotype"/>
          <w:color w:val="000000" w:themeColor="text1"/>
          <w:sz w:val="22"/>
          <w:szCs w:val="22"/>
          <w:lang w:val="es-ES"/>
        </w:rPr>
        <w:id w:val="789625836"/>
        <w:docPartObj>
          <w:docPartGallery w:val="Table of Contents"/>
          <w:docPartUnique/>
        </w:docPartObj>
      </w:sdtPr>
      <w:sdtEndPr>
        <w:rPr>
          <w:rFonts w:ascii="Times New Roman" w:eastAsia="Times New Roman" w:hAnsi="Times New Roman" w:cs="Times New Roman"/>
          <w:b/>
          <w:bCs/>
          <w:color w:val="auto"/>
          <w:sz w:val="20"/>
          <w:szCs w:val="20"/>
        </w:rPr>
      </w:sdtEndPr>
      <w:sdtContent>
        <w:p w14:paraId="625F1ABE" w14:textId="77777777" w:rsidR="00F616CD" w:rsidRDefault="00F616CD" w:rsidP="008860AA">
          <w:pPr>
            <w:pStyle w:val="TtuloTDC"/>
            <w:spacing w:before="0" w:line="360" w:lineRule="auto"/>
            <w:contextualSpacing/>
            <w:jc w:val="center"/>
            <w:rPr>
              <w:rFonts w:ascii="Palatino Linotype" w:eastAsia="Palatino Linotype" w:hAnsi="Palatino Linotype" w:cs="Palatino Linotype"/>
              <w:color w:val="000000" w:themeColor="text1"/>
              <w:sz w:val="22"/>
              <w:szCs w:val="22"/>
              <w:lang w:val="es-ES"/>
            </w:rPr>
          </w:pPr>
        </w:p>
        <w:p w14:paraId="7591E0BC" w14:textId="77777777" w:rsidR="00F616CD" w:rsidRPr="00B71E26" w:rsidRDefault="00F616CD" w:rsidP="008860AA">
          <w:pPr>
            <w:pStyle w:val="TtuloTDC"/>
            <w:spacing w:before="0" w:line="360" w:lineRule="auto"/>
            <w:contextualSpacing/>
            <w:jc w:val="center"/>
            <w:rPr>
              <w:rFonts w:ascii="Palatino Linotype" w:hAnsi="Palatino Linotype"/>
              <w:color w:val="auto"/>
              <w:sz w:val="22"/>
              <w:szCs w:val="22"/>
            </w:rPr>
          </w:pPr>
          <w:r w:rsidRPr="00B71E26">
            <w:rPr>
              <w:rFonts w:ascii="Palatino Linotype" w:hAnsi="Palatino Linotype"/>
              <w:color w:val="auto"/>
              <w:sz w:val="22"/>
              <w:szCs w:val="22"/>
              <w:lang w:val="es-ES"/>
            </w:rPr>
            <w:t xml:space="preserve">RESOLUCIÓN DEL RECURSO DE REVISIÓN </w:t>
          </w:r>
          <w:r>
            <w:rPr>
              <w:rFonts w:ascii="Palatino Linotype" w:hAnsi="Palatino Linotype"/>
              <w:color w:val="auto"/>
              <w:sz w:val="22"/>
              <w:szCs w:val="22"/>
            </w:rPr>
            <w:t>014111</w:t>
          </w:r>
          <w:r w:rsidRPr="00B71E26">
            <w:rPr>
              <w:rFonts w:ascii="Palatino Linotype" w:hAnsi="Palatino Linotype"/>
              <w:color w:val="auto"/>
              <w:sz w:val="22"/>
              <w:szCs w:val="22"/>
            </w:rPr>
            <w:t>/INFOEM/IP/RR/2025</w:t>
          </w:r>
        </w:p>
        <w:p w14:paraId="786773D8" w14:textId="77777777" w:rsidR="00F616CD" w:rsidRPr="00B71E26" w:rsidRDefault="00F616CD" w:rsidP="008860AA">
          <w:pPr>
            <w:spacing w:line="360" w:lineRule="auto"/>
            <w:contextualSpacing/>
          </w:pPr>
        </w:p>
        <w:p w14:paraId="466226B1" w14:textId="0107C6DD" w:rsidR="002D3D7A" w:rsidRPr="002D3D7A" w:rsidRDefault="00F616CD">
          <w:pPr>
            <w:pStyle w:val="TDC1"/>
            <w:tabs>
              <w:tab w:val="right" w:leader="dot" w:pos="8828"/>
            </w:tabs>
            <w:rPr>
              <w:rFonts w:asciiTheme="minorHAnsi" w:eastAsiaTheme="minorEastAsia" w:hAnsiTheme="minorHAnsi" w:cstheme="minorBidi"/>
              <w:noProof/>
              <w:color w:val="auto"/>
              <w:kern w:val="2"/>
              <w14:ligatures w14:val="standardContextual"/>
            </w:rPr>
          </w:pPr>
          <w:r w:rsidRPr="00B71E26">
            <w:fldChar w:fldCharType="begin"/>
          </w:r>
          <w:r w:rsidRPr="00B71E26">
            <w:instrText xml:space="preserve"> TOC \o "1-3" \h \z \u </w:instrText>
          </w:r>
          <w:r w:rsidRPr="00B71E26">
            <w:fldChar w:fldCharType="separate"/>
          </w:r>
          <w:hyperlink w:anchor="_Toc223020252" w:history="1">
            <w:r w:rsidR="002D3D7A" w:rsidRPr="002D3D7A">
              <w:rPr>
                <w:rStyle w:val="Hipervnculo"/>
                <w:noProof/>
              </w:rPr>
              <w:t>A N T E C E D E N T E S</w:t>
            </w:r>
            <w:r w:rsidR="002D3D7A" w:rsidRPr="002D3D7A">
              <w:rPr>
                <w:noProof/>
                <w:webHidden/>
              </w:rPr>
              <w:tab/>
            </w:r>
            <w:r w:rsidR="002D3D7A" w:rsidRPr="002D3D7A">
              <w:rPr>
                <w:noProof/>
                <w:webHidden/>
              </w:rPr>
              <w:fldChar w:fldCharType="begin"/>
            </w:r>
            <w:r w:rsidR="002D3D7A" w:rsidRPr="002D3D7A">
              <w:rPr>
                <w:noProof/>
                <w:webHidden/>
              </w:rPr>
              <w:instrText xml:space="preserve"> PAGEREF _Toc223020252 \h </w:instrText>
            </w:r>
            <w:r w:rsidR="002D3D7A" w:rsidRPr="002D3D7A">
              <w:rPr>
                <w:noProof/>
                <w:webHidden/>
              </w:rPr>
            </w:r>
            <w:r w:rsidR="002D3D7A" w:rsidRPr="002D3D7A">
              <w:rPr>
                <w:noProof/>
                <w:webHidden/>
              </w:rPr>
              <w:fldChar w:fldCharType="separate"/>
            </w:r>
            <w:r w:rsidR="002D3D7A" w:rsidRPr="002D3D7A">
              <w:rPr>
                <w:noProof/>
                <w:webHidden/>
              </w:rPr>
              <w:t>2</w:t>
            </w:r>
            <w:r w:rsidR="002D3D7A" w:rsidRPr="002D3D7A">
              <w:rPr>
                <w:noProof/>
                <w:webHidden/>
              </w:rPr>
              <w:fldChar w:fldCharType="end"/>
            </w:r>
          </w:hyperlink>
        </w:p>
        <w:p w14:paraId="3E732898" w14:textId="652FB479" w:rsidR="002D3D7A" w:rsidRPr="002D3D7A" w:rsidRDefault="002D3D7A">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253" w:history="1">
            <w:r w:rsidRPr="002D3D7A">
              <w:rPr>
                <w:rStyle w:val="Hipervnculo"/>
                <w:noProof/>
              </w:rPr>
              <w:t>I. Presentación de la solicitud de información</w:t>
            </w:r>
            <w:r w:rsidRPr="002D3D7A">
              <w:rPr>
                <w:noProof/>
                <w:webHidden/>
              </w:rPr>
              <w:tab/>
            </w:r>
            <w:r w:rsidRPr="002D3D7A">
              <w:rPr>
                <w:noProof/>
                <w:webHidden/>
              </w:rPr>
              <w:fldChar w:fldCharType="begin"/>
            </w:r>
            <w:r w:rsidRPr="002D3D7A">
              <w:rPr>
                <w:noProof/>
                <w:webHidden/>
              </w:rPr>
              <w:instrText xml:space="preserve"> PAGEREF _Toc223020253 \h </w:instrText>
            </w:r>
            <w:r w:rsidRPr="002D3D7A">
              <w:rPr>
                <w:noProof/>
                <w:webHidden/>
              </w:rPr>
            </w:r>
            <w:r w:rsidRPr="002D3D7A">
              <w:rPr>
                <w:noProof/>
                <w:webHidden/>
              </w:rPr>
              <w:fldChar w:fldCharType="separate"/>
            </w:r>
            <w:r w:rsidRPr="002D3D7A">
              <w:rPr>
                <w:noProof/>
                <w:webHidden/>
              </w:rPr>
              <w:t>2</w:t>
            </w:r>
            <w:r w:rsidRPr="002D3D7A">
              <w:rPr>
                <w:noProof/>
                <w:webHidden/>
              </w:rPr>
              <w:fldChar w:fldCharType="end"/>
            </w:r>
          </w:hyperlink>
        </w:p>
        <w:p w14:paraId="62E93651" w14:textId="788D29AE" w:rsidR="002D3D7A" w:rsidRPr="002D3D7A" w:rsidRDefault="002D3D7A">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254" w:history="1">
            <w:r w:rsidRPr="002D3D7A">
              <w:rPr>
                <w:rStyle w:val="Hipervnculo"/>
                <w:noProof/>
              </w:rPr>
              <w:t>II. Respuesta del Sujeto Obligado</w:t>
            </w:r>
            <w:r w:rsidRPr="002D3D7A">
              <w:rPr>
                <w:noProof/>
                <w:webHidden/>
              </w:rPr>
              <w:tab/>
            </w:r>
            <w:r w:rsidRPr="002D3D7A">
              <w:rPr>
                <w:noProof/>
                <w:webHidden/>
              </w:rPr>
              <w:fldChar w:fldCharType="begin"/>
            </w:r>
            <w:r w:rsidRPr="002D3D7A">
              <w:rPr>
                <w:noProof/>
                <w:webHidden/>
              </w:rPr>
              <w:instrText xml:space="preserve"> PAGEREF _Toc223020254 \h </w:instrText>
            </w:r>
            <w:r w:rsidRPr="002D3D7A">
              <w:rPr>
                <w:noProof/>
                <w:webHidden/>
              </w:rPr>
            </w:r>
            <w:r w:rsidRPr="002D3D7A">
              <w:rPr>
                <w:noProof/>
                <w:webHidden/>
              </w:rPr>
              <w:fldChar w:fldCharType="separate"/>
            </w:r>
            <w:r w:rsidRPr="002D3D7A">
              <w:rPr>
                <w:noProof/>
                <w:webHidden/>
              </w:rPr>
              <w:t>3</w:t>
            </w:r>
            <w:r w:rsidRPr="002D3D7A">
              <w:rPr>
                <w:noProof/>
                <w:webHidden/>
              </w:rPr>
              <w:fldChar w:fldCharType="end"/>
            </w:r>
          </w:hyperlink>
        </w:p>
        <w:p w14:paraId="27D5BF3B" w14:textId="5CF918A4" w:rsidR="002D3D7A" w:rsidRPr="002D3D7A" w:rsidRDefault="002D3D7A">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255" w:history="1">
            <w:r w:rsidRPr="002D3D7A">
              <w:rPr>
                <w:rStyle w:val="Hipervnculo"/>
                <w:noProof/>
              </w:rPr>
              <w:t>III. Interposición del Recurso de Revisión</w:t>
            </w:r>
            <w:r w:rsidRPr="002D3D7A">
              <w:rPr>
                <w:noProof/>
                <w:webHidden/>
              </w:rPr>
              <w:tab/>
            </w:r>
            <w:r w:rsidRPr="002D3D7A">
              <w:rPr>
                <w:noProof/>
                <w:webHidden/>
              </w:rPr>
              <w:fldChar w:fldCharType="begin"/>
            </w:r>
            <w:r w:rsidRPr="002D3D7A">
              <w:rPr>
                <w:noProof/>
                <w:webHidden/>
              </w:rPr>
              <w:instrText xml:space="preserve"> PAGEREF _Toc223020255 \h </w:instrText>
            </w:r>
            <w:r w:rsidRPr="002D3D7A">
              <w:rPr>
                <w:noProof/>
                <w:webHidden/>
              </w:rPr>
            </w:r>
            <w:r w:rsidRPr="002D3D7A">
              <w:rPr>
                <w:noProof/>
                <w:webHidden/>
              </w:rPr>
              <w:fldChar w:fldCharType="separate"/>
            </w:r>
            <w:r w:rsidRPr="002D3D7A">
              <w:rPr>
                <w:noProof/>
                <w:webHidden/>
              </w:rPr>
              <w:t>4</w:t>
            </w:r>
            <w:r w:rsidRPr="002D3D7A">
              <w:rPr>
                <w:noProof/>
                <w:webHidden/>
              </w:rPr>
              <w:fldChar w:fldCharType="end"/>
            </w:r>
          </w:hyperlink>
        </w:p>
        <w:p w14:paraId="4E16134C" w14:textId="6FB7C9DE" w:rsidR="002D3D7A" w:rsidRPr="002D3D7A" w:rsidRDefault="002D3D7A">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256" w:history="1">
            <w:r w:rsidRPr="002D3D7A">
              <w:rPr>
                <w:rStyle w:val="Hipervnculo"/>
                <w:noProof/>
              </w:rPr>
              <w:t>IV. Trámite del Recurso de Revisión ante este Instituto</w:t>
            </w:r>
            <w:r w:rsidRPr="002D3D7A">
              <w:rPr>
                <w:noProof/>
                <w:webHidden/>
              </w:rPr>
              <w:tab/>
            </w:r>
            <w:r w:rsidRPr="002D3D7A">
              <w:rPr>
                <w:noProof/>
                <w:webHidden/>
              </w:rPr>
              <w:fldChar w:fldCharType="begin"/>
            </w:r>
            <w:r w:rsidRPr="002D3D7A">
              <w:rPr>
                <w:noProof/>
                <w:webHidden/>
              </w:rPr>
              <w:instrText xml:space="preserve"> PAGEREF _Toc223020256 \h </w:instrText>
            </w:r>
            <w:r w:rsidRPr="002D3D7A">
              <w:rPr>
                <w:noProof/>
                <w:webHidden/>
              </w:rPr>
            </w:r>
            <w:r w:rsidRPr="002D3D7A">
              <w:rPr>
                <w:noProof/>
                <w:webHidden/>
              </w:rPr>
              <w:fldChar w:fldCharType="separate"/>
            </w:r>
            <w:r w:rsidRPr="002D3D7A">
              <w:rPr>
                <w:noProof/>
                <w:webHidden/>
              </w:rPr>
              <w:t>4</w:t>
            </w:r>
            <w:r w:rsidRPr="002D3D7A">
              <w:rPr>
                <w:noProof/>
                <w:webHidden/>
              </w:rPr>
              <w:fldChar w:fldCharType="end"/>
            </w:r>
          </w:hyperlink>
        </w:p>
        <w:p w14:paraId="3FEF34C8" w14:textId="10B44EA7" w:rsidR="002D3D7A" w:rsidRPr="002D3D7A" w:rsidRDefault="002D3D7A">
          <w:pPr>
            <w:pStyle w:val="TDC1"/>
            <w:tabs>
              <w:tab w:val="right" w:leader="dot" w:pos="8828"/>
            </w:tabs>
            <w:rPr>
              <w:rFonts w:asciiTheme="minorHAnsi" w:eastAsiaTheme="minorEastAsia" w:hAnsiTheme="minorHAnsi" w:cstheme="minorBidi"/>
              <w:noProof/>
              <w:color w:val="auto"/>
              <w:kern w:val="2"/>
              <w14:ligatures w14:val="standardContextual"/>
            </w:rPr>
          </w:pPr>
          <w:hyperlink w:anchor="_Toc223020257" w:history="1">
            <w:r w:rsidRPr="002D3D7A">
              <w:rPr>
                <w:rStyle w:val="Hipervnculo"/>
                <w:noProof/>
              </w:rPr>
              <w:t>C O N S I D E R A N D O S</w:t>
            </w:r>
            <w:r w:rsidRPr="002D3D7A">
              <w:rPr>
                <w:noProof/>
                <w:webHidden/>
              </w:rPr>
              <w:tab/>
            </w:r>
            <w:r w:rsidRPr="002D3D7A">
              <w:rPr>
                <w:noProof/>
                <w:webHidden/>
              </w:rPr>
              <w:fldChar w:fldCharType="begin"/>
            </w:r>
            <w:r w:rsidRPr="002D3D7A">
              <w:rPr>
                <w:noProof/>
                <w:webHidden/>
              </w:rPr>
              <w:instrText xml:space="preserve"> PAGEREF _Toc223020257 \h </w:instrText>
            </w:r>
            <w:r w:rsidRPr="002D3D7A">
              <w:rPr>
                <w:noProof/>
                <w:webHidden/>
              </w:rPr>
            </w:r>
            <w:r w:rsidRPr="002D3D7A">
              <w:rPr>
                <w:noProof/>
                <w:webHidden/>
              </w:rPr>
              <w:fldChar w:fldCharType="separate"/>
            </w:r>
            <w:r w:rsidRPr="002D3D7A">
              <w:rPr>
                <w:noProof/>
                <w:webHidden/>
              </w:rPr>
              <w:t>6</w:t>
            </w:r>
            <w:r w:rsidRPr="002D3D7A">
              <w:rPr>
                <w:noProof/>
                <w:webHidden/>
              </w:rPr>
              <w:fldChar w:fldCharType="end"/>
            </w:r>
          </w:hyperlink>
        </w:p>
        <w:p w14:paraId="56C8C541" w14:textId="649290CC" w:rsidR="002D3D7A" w:rsidRPr="002D3D7A" w:rsidRDefault="002D3D7A">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258" w:history="1">
            <w:r w:rsidRPr="002D3D7A">
              <w:rPr>
                <w:rStyle w:val="Hipervnculo"/>
                <w:noProof/>
              </w:rPr>
              <w:t>PRIMERO. Competencia</w:t>
            </w:r>
            <w:r w:rsidRPr="002D3D7A">
              <w:rPr>
                <w:noProof/>
                <w:webHidden/>
              </w:rPr>
              <w:tab/>
            </w:r>
            <w:r w:rsidRPr="002D3D7A">
              <w:rPr>
                <w:noProof/>
                <w:webHidden/>
              </w:rPr>
              <w:fldChar w:fldCharType="begin"/>
            </w:r>
            <w:r w:rsidRPr="002D3D7A">
              <w:rPr>
                <w:noProof/>
                <w:webHidden/>
              </w:rPr>
              <w:instrText xml:space="preserve"> PAGEREF _Toc223020258 \h </w:instrText>
            </w:r>
            <w:r w:rsidRPr="002D3D7A">
              <w:rPr>
                <w:noProof/>
                <w:webHidden/>
              </w:rPr>
            </w:r>
            <w:r w:rsidRPr="002D3D7A">
              <w:rPr>
                <w:noProof/>
                <w:webHidden/>
              </w:rPr>
              <w:fldChar w:fldCharType="separate"/>
            </w:r>
            <w:r w:rsidRPr="002D3D7A">
              <w:rPr>
                <w:noProof/>
                <w:webHidden/>
              </w:rPr>
              <w:t>6</w:t>
            </w:r>
            <w:r w:rsidRPr="002D3D7A">
              <w:rPr>
                <w:noProof/>
                <w:webHidden/>
              </w:rPr>
              <w:fldChar w:fldCharType="end"/>
            </w:r>
          </w:hyperlink>
        </w:p>
        <w:p w14:paraId="6F443E54" w14:textId="6CA66755" w:rsidR="002D3D7A" w:rsidRPr="002D3D7A" w:rsidRDefault="002D3D7A">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259" w:history="1">
            <w:r w:rsidRPr="002D3D7A">
              <w:rPr>
                <w:rStyle w:val="Hipervnculo"/>
                <w:noProof/>
              </w:rPr>
              <w:t>SEGUNDO. Causales de improcedencia y sobreseimiento</w:t>
            </w:r>
            <w:r w:rsidRPr="002D3D7A">
              <w:rPr>
                <w:noProof/>
                <w:webHidden/>
              </w:rPr>
              <w:tab/>
            </w:r>
            <w:r w:rsidRPr="002D3D7A">
              <w:rPr>
                <w:noProof/>
                <w:webHidden/>
              </w:rPr>
              <w:fldChar w:fldCharType="begin"/>
            </w:r>
            <w:r w:rsidRPr="002D3D7A">
              <w:rPr>
                <w:noProof/>
                <w:webHidden/>
              </w:rPr>
              <w:instrText xml:space="preserve"> PAGEREF _Toc223020259 \h </w:instrText>
            </w:r>
            <w:r w:rsidRPr="002D3D7A">
              <w:rPr>
                <w:noProof/>
                <w:webHidden/>
              </w:rPr>
            </w:r>
            <w:r w:rsidRPr="002D3D7A">
              <w:rPr>
                <w:noProof/>
                <w:webHidden/>
              </w:rPr>
              <w:fldChar w:fldCharType="separate"/>
            </w:r>
            <w:r w:rsidRPr="002D3D7A">
              <w:rPr>
                <w:noProof/>
                <w:webHidden/>
              </w:rPr>
              <w:t>7</w:t>
            </w:r>
            <w:r w:rsidRPr="002D3D7A">
              <w:rPr>
                <w:noProof/>
                <w:webHidden/>
              </w:rPr>
              <w:fldChar w:fldCharType="end"/>
            </w:r>
          </w:hyperlink>
        </w:p>
        <w:p w14:paraId="2818160D" w14:textId="7EC33954" w:rsidR="002D3D7A" w:rsidRPr="002D3D7A" w:rsidRDefault="002D3D7A">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260" w:history="1">
            <w:r w:rsidRPr="002D3D7A">
              <w:rPr>
                <w:rStyle w:val="Hipervnculo"/>
                <w:noProof/>
              </w:rPr>
              <w:t>TERCERO. Determinación de la Controversia</w:t>
            </w:r>
            <w:r w:rsidRPr="002D3D7A">
              <w:rPr>
                <w:noProof/>
                <w:webHidden/>
              </w:rPr>
              <w:tab/>
            </w:r>
            <w:r w:rsidRPr="002D3D7A">
              <w:rPr>
                <w:noProof/>
                <w:webHidden/>
              </w:rPr>
              <w:fldChar w:fldCharType="begin"/>
            </w:r>
            <w:r w:rsidRPr="002D3D7A">
              <w:rPr>
                <w:noProof/>
                <w:webHidden/>
              </w:rPr>
              <w:instrText xml:space="preserve"> PAGEREF _Toc223020260 \h </w:instrText>
            </w:r>
            <w:r w:rsidRPr="002D3D7A">
              <w:rPr>
                <w:noProof/>
                <w:webHidden/>
              </w:rPr>
            </w:r>
            <w:r w:rsidRPr="002D3D7A">
              <w:rPr>
                <w:noProof/>
                <w:webHidden/>
              </w:rPr>
              <w:fldChar w:fldCharType="separate"/>
            </w:r>
            <w:r w:rsidRPr="002D3D7A">
              <w:rPr>
                <w:noProof/>
                <w:webHidden/>
              </w:rPr>
              <w:t>8</w:t>
            </w:r>
            <w:r w:rsidRPr="002D3D7A">
              <w:rPr>
                <w:noProof/>
                <w:webHidden/>
              </w:rPr>
              <w:fldChar w:fldCharType="end"/>
            </w:r>
          </w:hyperlink>
        </w:p>
        <w:p w14:paraId="3F12BC2D" w14:textId="5C306B60" w:rsidR="002D3D7A" w:rsidRPr="002D3D7A" w:rsidRDefault="002D3D7A">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261" w:history="1">
            <w:r w:rsidRPr="002D3D7A">
              <w:rPr>
                <w:rStyle w:val="Hipervnculo"/>
                <w:noProof/>
              </w:rPr>
              <w:t>CUARTO. Marco normativo aplicable en materia de transparencia y acceso a la información pública</w:t>
            </w:r>
            <w:r w:rsidRPr="002D3D7A">
              <w:rPr>
                <w:noProof/>
                <w:webHidden/>
              </w:rPr>
              <w:tab/>
            </w:r>
            <w:r w:rsidRPr="002D3D7A">
              <w:rPr>
                <w:noProof/>
                <w:webHidden/>
              </w:rPr>
              <w:fldChar w:fldCharType="begin"/>
            </w:r>
            <w:r w:rsidRPr="002D3D7A">
              <w:rPr>
                <w:noProof/>
                <w:webHidden/>
              </w:rPr>
              <w:instrText xml:space="preserve"> PAGEREF _Toc223020261 \h </w:instrText>
            </w:r>
            <w:r w:rsidRPr="002D3D7A">
              <w:rPr>
                <w:noProof/>
                <w:webHidden/>
              </w:rPr>
            </w:r>
            <w:r w:rsidRPr="002D3D7A">
              <w:rPr>
                <w:noProof/>
                <w:webHidden/>
              </w:rPr>
              <w:fldChar w:fldCharType="separate"/>
            </w:r>
            <w:r w:rsidRPr="002D3D7A">
              <w:rPr>
                <w:noProof/>
                <w:webHidden/>
              </w:rPr>
              <w:t>10</w:t>
            </w:r>
            <w:r w:rsidRPr="002D3D7A">
              <w:rPr>
                <w:noProof/>
                <w:webHidden/>
              </w:rPr>
              <w:fldChar w:fldCharType="end"/>
            </w:r>
          </w:hyperlink>
        </w:p>
        <w:p w14:paraId="4CC9E0D0" w14:textId="18514550" w:rsidR="002D3D7A" w:rsidRPr="002D3D7A" w:rsidRDefault="002D3D7A">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262" w:history="1">
            <w:r w:rsidRPr="002D3D7A">
              <w:rPr>
                <w:rStyle w:val="Hipervnculo"/>
                <w:noProof/>
              </w:rPr>
              <w:t>QUINTO. Estudio de Fondo</w:t>
            </w:r>
            <w:r w:rsidRPr="002D3D7A">
              <w:rPr>
                <w:noProof/>
                <w:webHidden/>
              </w:rPr>
              <w:tab/>
            </w:r>
            <w:r w:rsidRPr="002D3D7A">
              <w:rPr>
                <w:noProof/>
                <w:webHidden/>
              </w:rPr>
              <w:fldChar w:fldCharType="begin"/>
            </w:r>
            <w:r w:rsidRPr="002D3D7A">
              <w:rPr>
                <w:noProof/>
                <w:webHidden/>
              </w:rPr>
              <w:instrText xml:space="preserve"> PAGEREF _Toc223020262 \h </w:instrText>
            </w:r>
            <w:r w:rsidRPr="002D3D7A">
              <w:rPr>
                <w:noProof/>
                <w:webHidden/>
              </w:rPr>
            </w:r>
            <w:r w:rsidRPr="002D3D7A">
              <w:rPr>
                <w:noProof/>
                <w:webHidden/>
              </w:rPr>
              <w:fldChar w:fldCharType="separate"/>
            </w:r>
            <w:r w:rsidRPr="002D3D7A">
              <w:rPr>
                <w:noProof/>
                <w:webHidden/>
              </w:rPr>
              <w:t>11</w:t>
            </w:r>
            <w:r w:rsidRPr="002D3D7A">
              <w:rPr>
                <w:noProof/>
                <w:webHidden/>
              </w:rPr>
              <w:fldChar w:fldCharType="end"/>
            </w:r>
          </w:hyperlink>
        </w:p>
        <w:p w14:paraId="77C27CED" w14:textId="21A8F6D3" w:rsidR="002D3D7A" w:rsidRPr="002D3D7A" w:rsidRDefault="002D3D7A">
          <w:pPr>
            <w:pStyle w:val="TDC2"/>
            <w:tabs>
              <w:tab w:val="right" w:leader="dot" w:pos="8828"/>
            </w:tabs>
            <w:rPr>
              <w:rFonts w:asciiTheme="minorHAnsi" w:eastAsiaTheme="minorEastAsia" w:hAnsiTheme="minorHAnsi" w:cstheme="minorBidi"/>
              <w:noProof/>
              <w:color w:val="auto"/>
              <w:kern w:val="2"/>
              <w14:ligatures w14:val="standardContextual"/>
            </w:rPr>
          </w:pPr>
          <w:hyperlink w:anchor="_Toc223020263" w:history="1">
            <w:r w:rsidRPr="002D3D7A">
              <w:rPr>
                <w:rStyle w:val="Hipervnculo"/>
                <w:rFonts w:eastAsia="Calibri"/>
                <w:noProof/>
              </w:rPr>
              <w:t>SEXTO. Decisión</w:t>
            </w:r>
            <w:r w:rsidRPr="002D3D7A">
              <w:rPr>
                <w:noProof/>
                <w:webHidden/>
              </w:rPr>
              <w:tab/>
            </w:r>
            <w:r w:rsidRPr="002D3D7A">
              <w:rPr>
                <w:noProof/>
                <w:webHidden/>
              </w:rPr>
              <w:fldChar w:fldCharType="begin"/>
            </w:r>
            <w:r w:rsidRPr="002D3D7A">
              <w:rPr>
                <w:noProof/>
                <w:webHidden/>
              </w:rPr>
              <w:instrText xml:space="preserve"> PAGEREF _Toc223020263 \h </w:instrText>
            </w:r>
            <w:r w:rsidRPr="002D3D7A">
              <w:rPr>
                <w:noProof/>
                <w:webHidden/>
              </w:rPr>
            </w:r>
            <w:r w:rsidRPr="002D3D7A">
              <w:rPr>
                <w:noProof/>
                <w:webHidden/>
              </w:rPr>
              <w:fldChar w:fldCharType="separate"/>
            </w:r>
            <w:r w:rsidRPr="002D3D7A">
              <w:rPr>
                <w:noProof/>
                <w:webHidden/>
              </w:rPr>
              <w:t>17</w:t>
            </w:r>
            <w:r w:rsidRPr="002D3D7A">
              <w:rPr>
                <w:noProof/>
                <w:webHidden/>
              </w:rPr>
              <w:fldChar w:fldCharType="end"/>
            </w:r>
          </w:hyperlink>
        </w:p>
        <w:p w14:paraId="7B3F897A" w14:textId="4F3B71F8" w:rsidR="002D3D7A" w:rsidRPr="002D3D7A" w:rsidRDefault="002D3D7A">
          <w:pPr>
            <w:pStyle w:val="TDC1"/>
            <w:tabs>
              <w:tab w:val="right" w:leader="dot" w:pos="8828"/>
            </w:tabs>
            <w:rPr>
              <w:rFonts w:asciiTheme="minorHAnsi" w:eastAsiaTheme="minorEastAsia" w:hAnsiTheme="minorHAnsi" w:cstheme="minorBidi"/>
              <w:noProof/>
              <w:color w:val="auto"/>
              <w:kern w:val="2"/>
              <w14:ligatures w14:val="standardContextual"/>
            </w:rPr>
          </w:pPr>
          <w:hyperlink w:anchor="_Toc223020264" w:history="1">
            <w:r w:rsidRPr="002D3D7A">
              <w:rPr>
                <w:rStyle w:val="Hipervnculo"/>
                <w:rFonts w:eastAsia="Calibri"/>
                <w:noProof/>
              </w:rPr>
              <w:t>R E S U E L V E</w:t>
            </w:r>
            <w:r w:rsidRPr="002D3D7A">
              <w:rPr>
                <w:noProof/>
                <w:webHidden/>
              </w:rPr>
              <w:tab/>
            </w:r>
            <w:r w:rsidRPr="002D3D7A">
              <w:rPr>
                <w:noProof/>
                <w:webHidden/>
              </w:rPr>
              <w:fldChar w:fldCharType="begin"/>
            </w:r>
            <w:r w:rsidRPr="002D3D7A">
              <w:rPr>
                <w:noProof/>
                <w:webHidden/>
              </w:rPr>
              <w:instrText xml:space="preserve"> PAGEREF _Toc223020264 \h </w:instrText>
            </w:r>
            <w:r w:rsidRPr="002D3D7A">
              <w:rPr>
                <w:noProof/>
                <w:webHidden/>
              </w:rPr>
            </w:r>
            <w:r w:rsidRPr="002D3D7A">
              <w:rPr>
                <w:noProof/>
                <w:webHidden/>
              </w:rPr>
              <w:fldChar w:fldCharType="separate"/>
            </w:r>
            <w:r w:rsidRPr="002D3D7A">
              <w:rPr>
                <w:noProof/>
                <w:webHidden/>
              </w:rPr>
              <w:t>17</w:t>
            </w:r>
            <w:r w:rsidRPr="002D3D7A">
              <w:rPr>
                <w:noProof/>
                <w:webHidden/>
              </w:rPr>
              <w:fldChar w:fldCharType="end"/>
            </w:r>
          </w:hyperlink>
        </w:p>
        <w:p w14:paraId="4C602D20" w14:textId="4F8A176A" w:rsidR="00F616CD" w:rsidRDefault="00F616CD" w:rsidP="008860AA">
          <w:pPr>
            <w:widowControl w:val="0"/>
            <w:pBdr>
              <w:top w:val="nil"/>
              <w:left w:val="nil"/>
              <w:bottom w:val="nil"/>
              <w:right w:val="nil"/>
              <w:between w:val="nil"/>
            </w:pBdr>
            <w:spacing w:line="360" w:lineRule="auto"/>
            <w:ind w:left="720" w:hanging="720"/>
            <w:contextualSpacing/>
          </w:pPr>
          <w:r w:rsidRPr="00B71E26">
            <w:rPr>
              <w:b/>
              <w:bCs/>
              <w:lang w:val="es-ES"/>
            </w:rPr>
            <w:fldChar w:fldCharType="end"/>
          </w:r>
        </w:p>
      </w:sdtContent>
    </w:sdt>
    <w:p w14:paraId="20B00A88" w14:textId="77777777" w:rsidR="00F616CD" w:rsidRDefault="00F616CD" w:rsidP="008860AA">
      <w:pPr>
        <w:keepNext/>
        <w:keepLines/>
        <w:pBdr>
          <w:top w:val="nil"/>
          <w:left w:val="nil"/>
          <w:bottom w:val="nil"/>
          <w:right w:val="nil"/>
          <w:between w:val="nil"/>
        </w:pBdr>
        <w:spacing w:line="360" w:lineRule="auto"/>
        <w:contextualSpacing/>
        <w:rPr>
          <w:rFonts w:ascii="Palatino Linotype" w:eastAsia="Palatino Linotype" w:hAnsi="Palatino Linotype" w:cs="Palatino Linotype"/>
          <w:color w:val="000000"/>
          <w:sz w:val="22"/>
          <w:szCs w:val="22"/>
        </w:rPr>
      </w:pPr>
      <w:bookmarkStart w:id="1" w:name="_heading=h.t77kwk8e2ch7" w:colFirst="0" w:colLast="0"/>
      <w:bookmarkEnd w:id="1"/>
    </w:p>
    <w:p w14:paraId="1C90B815" w14:textId="77777777" w:rsidR="00F616CD" w:rsidRDefault="00F616CD" w:rsidP="008860AA">
      <w:pPr>
        <w:spacing w:line="360" w:lineRule="auto"/>
        <w:ind w:right="-28"/>
        <w:contextualSpacing/>
        <w:jc w:val="both"/>
        <w:rPr>
          <w:rFonts w:ascii="Palatino Linotype" w:eastAsia="Palatino Linotype" w:hAnsi="Palatino Linotype" w:cs="Palatino Linotype"/>
          <w:color w:val="000000"/>
          <w:sz w:val="22"/>
          <w:szCs w:val="22"/>
        </w:rPr>
      </w:pPr>
    </w:p>
    <w:p w14:paraId="76F2CBB3" w14:textId="77777777" w:rsidR="00F616CD" w:rsidRDefault="00F616CD" w:rsidP="008860AA">
      <w:pPr>
        <w:spacing w:line="360" w:lineRule="auto"/>
        <w:ind w:right="-28"/>
        <w:contextualSpacing/>
        <w:jc w:val="both"/>
        <w:rPr>
          <w:rFonts w:ascii="Palatino Linotype" w:eastAsia="Palatino Linotype" w:hAnsi="Palatino Linotype" w:cs="Palatino Linotype"/>
          <w:color w:val="000000"/>
          <w:sz w:val="22"/>
          <w:szCs w:val="22"/>
        </w:rPr>
      </w:pPr>
    </w:p>
    <w:p w14:paraId="5B7D9C92" w14:textId="77777777" w:rsidR="00F616CD" w:rsidRDefault="00F616CD" w:rsidP="008860AA">
      <w:pPr>
        <w:spacing w:line="360" w:lineRule="auto"/>
        <w:ind w:right="-28"/>
        <w:contextualSpacing/>
        <w:jc w:val="both"/>
        <w:rPr>
          <w:rFonts w:ascii="Palatino Linotype" w:eastAsia="Palatino Linotype" w:hAnsi="Palatino Linotype" w:cs="Palatino Linotype"/>
          <w:color w:val="000000"/>
          <w:sz w:val="22"/>
          <w:szCs w:val="22"/>
        </w:rPr>
      </w:pPr>
    </w:p>
    <w:p w14:paraId="7CEC6154" w14:textId="77777777" w:rsidR="00F616CD" w:rsidRDefault="00F616CD" w:rsidP="008860AA">
      <w:pPr>
        <w:spacing w:line="360" w:lineRule="auto"/>
        <w:ind w:right="-28"/>
        <w:contextualSpacing/>
        <w:jc w:val="both"/>
        <w:rPr>
          <w:rFonts w:ascii="Palatino Linotype" w:eastAsia="Palatino Linotype" w:hAnsi="Palatino Linotype" w:cs="Palatino Linotype"/>
          <w:color w:val="000000"/>
          <w:sz w:val="22"/>
          <w:szCs w:val="22"/>
        </w:rPr>
      </w:pPr>
    </w:p>
    <w:p w14:paraId="135EE0FC" w14:textId="77777777" w:rsidR="00F616CD" w:rsidRDefault="00F616CD" w:rsidP="008860AA">
      <w:pPr>
        <w:spacing w:line="360" w:lineRule="auto"/>
        <w:ind w:right="-28"/>
        <w:contextualSpacing/>
        <w:jc w:val="both"/>
        <w:rPr>
          <w:rFonts w:ascii="Palatino Linotype" w:eastAsia="Palatino Linotype" w:hAnsi="Palatino Linotype" w:cs="Palatino Linotype"/>
          <w:color w:val="000000"/>
          <w:sz w:val="22"/>
          <w:szCs w:val="22"/>
        </w:rPr>
      </w:pPr>
    </w:p>
    <w:p w14:paraId="39E9D4A0" w14:textId="77777777" w:rsidR="00F616CD" w:rsidRDefault="00F616CD" w:rsidP="008860AA">
      <w:pPr>
        <w:spacing w:line="360" w:lineRule="auto"/>
        <w:contextualSpacing/>
        <w:jc w:val="both"/>
        <w:rPr>
          <w:rFonts w:ascii="Palatino Linotype" w:eastAsia="Palatino Linotype" w:hAnsi="Palatino Linotype" w:cs="Palatino Linotype"/>
          <w:sz w:val="22"/>
          <w:szCs w:val="22"/>
        </w:rPr>
      </w:pPr>
    </w:p>
    <w:p w14:paraId="5A8ED6FD" w14:textId="77777777" w:rsidR="00AD0CE4" w:rsidRDefault="00AD0CE4" w:rsidP="008860AA">
      <w:pPr>
        <w:spacing w:line="360" w:lineRule="auto"/>
        <w:contextualSpacing/>
        <w:jc w:val="both"/>
        <w:rPr>
          <w:rFonts w:ascii="Palatino Linotype" w:eastAsia="Palatino Linotype" w:hAnsi="Palatino Linotype" w:cs="Palatino Linotype"/>
          <w:sz w:val="22"/>
          <w:szCs w:val="22"/>
        </w:rPr>
      </w:pPr>
    </w:p>
    <w:p w14:paraId="34DA9216" w14:textId="77777777" w:rsidR="00F616CD" w:rsidRDefault="00F616CD" w:rsidP="008860AA">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lastRenderedPageBreak/>
        <w:t>Resolución del Pleno del Instituto de Transparencia, Acceso a la Información Pública y Protección de Datos Personales del Estado de México y Municipios, con domicilio en Metepec, Estado de México, del veinticinco de febrero de dos mil veintiséis.</w:t>
      </w:r>
    </w:p>
    <w:p w14:paraId="4023183B" w14:textId="77777777" w:rsidR="00F616CD" w:rsidRDefault="00F616CD" w:rsidP="008860AA">
      <w:pPr>
        <w:spacing w:line="360" w:lineRule="auto"/>
        <w:contextualSpacing/>
        <w:rPr>
          <w:rFonts w:ascii="Palatino Linotype" w:eastAsia="Palatino Linotype" w:hAnsi="Palatino Linotype" w:cs="Palatino Linotype"/>
          <w:sz w:val="22"/>
          <w:szCs w:val="22"/>
        </w:rPr>
      </w:pPr>
    </w:p>
    <w:p w14:paraId="1D6558CA" w14:textId="77777777" w:rsidR="00F616CD" w:rsidRDefault="00F616CD" w:rsidP="008860AA">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b/>
          <w:color w:val="0D0D0D"/>
          <w:sz w:val="22"/>
          <w:szCs w:val="22"/>
        </w:rPr>
        <w:t xml:space="preserve">VISTO </w:t>
      </w:r>
      <w:r>
        <w:rPr>
          <w:rFonts w:ascii="Palatino Linotype" w:eastAsia="Palatino Linotype" w:hAnsi="Palatino Linotype" w:cs="Palatino Linotype"/>
          <w:color w:val="0D0D0D"/>
          <w:sz w:val="22"/>
          <w:szCs w:val="22"/>
        </w:rPr>
        <w:t xml:space="preserve">el expediente conformado con motivo del Recurso de Revisión </w:t>
      </w:r>
      <w:r w:rsidRPr="00073FAC">
        <w:rPr>
          <w:rFonts w:ascii="Palatino Linotype" w:eastAsia="Palatino Linotype" w:hAnsi="Palatino Linotype" w:cs="Palatino Linotype"/>
          <w:b/>
          <w:sz w:val="22"/>
          <w:szCs w:val="22"/>
        </w:rPr>
        <w:t>014111/INFOEM/IP/RR/2025</w:t>
      </w:r>
      <w:r w:rsidRPr="007B5C5D">
        <w:rPr>
          <w:rFonts w:ascii="Palatino Linotype" w:eastAsia="Palatino Linotype" w:hAnsi="Palatino Linotype" w:cs="Palatino Linotype"/>
          <w:bCs/>
          <w:sz w:val="22"/>
          <w:szCs w:val="22"/>
        </w:rPr>
        <w:t xml:space="preserve">, </w:t>
      </w:r>
      <w:r w:rsidRPr="007B5C5D">
        <w:rPr>
          <w:rFonts w:ascii="Palatino Linotype" w:eastAsia="Palatino Linotype" w:hAnsi="Palatino Linotype" w:cs="Palatino Linotype"/>
          <w:bCs/>
          <w:color w:val="0D0D0D"/>
          <w:sz w:val="22"/>
          <w:szCs w:val="22"/>
        </w:rPr>
        <w:t xml:space="preserve">interpuesto por </w:t>
      </w:r>
      <w:r w:rsidRPr="007B5C5D">
        <w:rPr>
          <w:rFonts w:ascii="Palatino Linotype" w:eastAsia="Palatino Linotype" w:hAnsi="Palatino Linotype" w:cs="Palatino Linotype"/>
          <w:bCs/>
          <w:sz w:val="22"/>
          <w:szCs w:val="22"/>
        </w:rPr>
        <w:t xml:space="preserve">el </w:t>
      </w:r>
      <w:r w:rsidRPr="007B5C5D">
        <w:rPr>
          <w:rFonts w:ascii="Palatino Linotype" w:eastAsia="Palatino Linotype" w:hAnsi="Palatino Linotype" w:cs="Palatino Linotype"/>
          <w:bCs/>
          <w:color w:val="0D0D0D"/>
          <w:sz w:val="22"/>
          <w:szCs w:val="22"/>
        </w:rPr>
        <w:t xml:space="preserve">Recurrente o Particular, en contra de la respuesta del Sujeto Obligado, </w:t>
      </w:r>
      <w:r w:rsidRPr="00073FAC">
        <w:rPr>
          <w:rFonts w:ascii="Palatino Linotype" w:eastAsia="Palatino Linotype" w:hAnsi="Palatino Linotype" w:cs="Palatino Linotype"/>
          <w:b/>
          <w:color w:val="0D0D0D"/>
          <w:sz w:val="22"/>
          <w:szCs w:val="22"/>
        </w:rPr>
        <w:t>Ayuntamiento de Toluca</w:t>
      </w:r>
      <w:r w:rsidRPr="007B5C5D">
        <w:rPr>
          <w:rFonts w:ascii="Palatino Linotype" w:eastAsia="Palatino Linotype" w:hAnsi="Palatino Linotype" w:cs="Palatino Linotype"/>
          <w:bCs/>
          <w:color w:val="0D0D0D"/>
          <w:sz w:val="22"/>
          <w:szCs w:val="22"/>
        </w:rPr>
        <w:t>, a</w:t>
      </w:r>
      <w:r>
        <w:rPr>
          <w:rFonts w:ascii="Palatino Linotype" w:eastAsia="Palatino Linotype" w:hAnsi="Palatino Linotype" w:cs="Palatino Linotype"/>
          <w:color w:val="0D0D0D"/>
          <w:sz w:val="22"/>
          <w:szCs w:val="22"/>
        </w:rPr>
        <w:t xml:space="preserve"> la solicitud de acceso a la información pública </w:t>
      </w:r>
      <w:r>
        <w:rPr>
          <w:rFonts w:ascii="Palatino Linotype" w:eastAsia="Palatino Linotype" w:hAnsi="Palatino Linotype" w:cs="Palatino Linotype"/>
          <w:sz w:val="22"/>
          <w:szCs w:val="22"/>
        </w:rPr>
        <w:t>05505/TOLUCA/IP/2025</w:t>
      </w:r>
      <w:r>
        <w:rPr>
          <w:rFonts w:ascii="Palatino Linotype" w:eastAsia="Palatino Linotype" w:hAnsi="Palatino Linotype" w:cs="Palatino Linotype"/>
          <w:color w:val="0D0D0D"/>
          <w:sz w:val="22"/>
          <w:szCs w:val="22"/>
        </w:rPr>
        <w:t>, se emite la presente Resolución, con base en los Antecedentes y C</w:t>
      </w:r>
      <w:r>
        <w:rPr>
          <w:rFonts w:ascii="Palatino Linotype" w:eastAsia="Palatino Linotype" w:hAnsi="Palatino Linotype" w:cs="Palatino Linotype"/>
          <w:sz w:val="22"/>
          <w:szCs w:val="22"/>
        </w:rPr>
        <w:t>onsiderandos que a continuación se exponen:</w:t>
      </w:r>
    </w:p>
    <w:p w14:paraId="540C108D" w14:textId="77777777" w:rsidR="00F616CD" w:rsidRDefault="00F616CD" w:rsidP="008860AA">
      <w:pPr>
        <w:spacing w:line="360" w:lineRule="auto"/>
        <w:contextualSpacing/>
        <w:jc w:val="both"/>
        <w:rPr>
          <w:rFonts w:ascii="Palatino Linotype" w:eastAsia="Palatino Linotype" w:hAnsi="Palatino Linotype" w:cs="Palatino Linotype"/>
          <w:sz w:val="22"/>
          <w:szCs w:val="22"/>
        </w:rPr>
      </w:pPr>
    </w:p>
    <w:p w14:paraId="6DE3E2E3" w14:textId="77777777" w:rsidR="00F616CD" w:rsidRPr="00633419" w:rsidRDefault="00F616CD" w:rsidP="008860AA">
      <w:pPr>
        <w:pStyle w:val="Ttulo1"/>
        <w:spacing w:before="0" w:after="0" w:line="360" w:lineRule="auto"/>
        <w:contextualSpacing/>
        <w:jc w:val="center"/>
        <w:rPr>
          <w:rFonts w:ascii="Palatino Linotype" w:hAnsi="Palatino Linotype"/>
          <w:b/>
          <w:bCs/>
          <w:color w:val="auto"/>
          <w:sz w:val="22"/>
          <w:szCs w:val="22"/>
        </w:rPr>
      </w:pPr>
      <w:bookmarkStart w:id="2" w:name="_Toc223020252"/>
      <w:r w:rsidRPr="00633419">
        <w:rPr>
          <w:rFonts w:ascii="Palatino Linotype" w:hAnsi="Palatino Linotype"/>
          <w:b/>
          <w:bCs/>
          <w:color w:val="auto"/>
          <w:sz w:val="22"/>
          <w:szCs w:val="22"/>
        </w:rPr>
        <w:t>A N T E C E D E N T E S</w:t>
      </w:r>
      <w:bookmarkEnd w:id="2"/>
    </w:p>
    <w:p w14:paraId="5A840D5B" w14:textId="77777777" w:rsidR="00F616CD" w:rsidRPr="007B5C5D" w:rsidRDefault="00F616CD" w:rsidP="008860AA">
      <w:pPr>
        <w:spacing w:line="360" w:lineRule="auto"/>
        <w:contextualSpacing/>
        <w:rPr>
          <w:sz w:val="22"/>
          <w:szCs w:val="22"/>
        </w:rPr>
      </w:pPr>
    </w:p>
    <w:p w14:paraId="170155AC" w14:textId="77777777" w:rsidR="00F616CD" w:rsidRPr="00633419" w:rsidRDefault="00F616CD" w:rsidP="008860AA">
      <w:pPr>
        <w:pStyle w:val="Ttulo2"/>
        <w:spacing w:before="0" w:after="0" w:line="360" w:lineRule="auto"/>
        <w:contextualSpacing/>
        <w:rPr>
          <w:rFonts w:ascii="Palatino Linotype" w:hAnsi="Palatino Linotype"/>
          <w:b/>
          <w:bCs/>
          <w:color w:val="auto"/>
          <w:sz w:val="22"/>
          <w:szCs w:val="22"/>
        </w:rPr>
      </w:pPr>
      <w:bookmarkStart w:id="3" w:name="_Toc223020253"/>
      <w:r w:rsidRPr="00633419">
        <w:rPr>
          <w:rFonts w:ascii="Palatino Linotype" w:hAnsi="Palatino Linotype"/>
          <w:b/>
          <w:bCs/>
          <w:color w:val="auto"/>
          <w:sz w:val="22"/>
          <w:szCs w:val="22"/>
        </w:rPr>
        <w:t>I. Presentación de la solicitud de información</w:t>
      </w:r>
      <w:bookmarkEnd w:id="3"/>
    </w:p>
    <w:p w14:paraId="29405365" w14:textId="77777777" w:rsidR="00F616CD" w:rsidRDefault="00F616CD" w:rsidP="008860AA">
      <w:pPr>
        <w:pBdr>
          <w:top w:val="nil"/>
          <w:left w:val="nil"/>
          <w:bottom w:val="nil"/>
          <w:right w:val="nil"/>
          <w:between w:val="nil"/>
        </w:pBdr>
        <w:tabs>
          <w:tab w:val="left" w:pos="567"/>
        </w:tabs>
        <w:spacing w:line="360" w:lineRule="auto"/>
        <w:contextualSpacing/>
        <w:jc w:val="both"/>
        <w:rPr>
          <w:rFonts w:ascii="Palatino Linotype" w:eastAsia="Palatino Linotype" w:hAnsi="Palatino Linotype" w:cs="Palatino Linotype"/>
          <w:color w:val="000000"/>
        </w:rPr>
      </w:pPr>
    </w:p>
    <w:p w14:paraId="23CC0E1A" w14:textId="77777777" w:rsidR="00F616CD" w:rsidRDefault="00F616CD" w:rsidP="008860AA">
      <w:pPr>
        <w:pBdr>
          <w:top w:val="nil"/>
          <w:left w:val="nil"/>
          <w:bottom w:val="nil"/>
          <w:right w:val="nil"/>
          <w:between w:val="nil"/>
        </w:pBdr>
        <w:tabs>
          <w:tab w:val="left" w:pos="567"/>
        </w:tabs>
        <w:spacing w:line="360" w:lineRule="auto"/>
        <w:contextualSpacing/>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Con fecha veintinueve de octubre de dos mil veinticinco, el Particular presentó una solicitud de acceso a la información pública, a través del Sistema de Acceso a la Información Mexiquense, en lo sucesivo el SAIMEX, ante el Ayuntamiento de Toluca, mediante la cual requirió lo siguiente:</w:t>
      </w:r>
    </w:p>
    <w:p w14:paraId="6645CF10" w14:textId="77777777" w:rsidR="00F616CD" w:rsidRDefault="00F616CD" w:rsidP="008860AA">
      <w:pPr>
        <w:pBdr>
          <w:top w:val="nil"/>
          <w:left w:val="nil"/>
          <w:bottom w:val="nil"/>
          <w:right w:val="nil"/>
          <w:between w:val="nil"/>
        </w:pBdr>
        <w:tabs>
          <w:tab w:val="left" w:pos="567"/>
        </w:tabs>
        <w:spacing w:line="360" w:lineRule="auto"/>
        <w:contextualSpacing/>
        <w:jc w:val="both"/>
        <w:rPr>
          <w:rFonts w:ascii="Palatino Linotype" w:eastAsia="Palatino Linotype" w:hAnsi="Palatino Linotype" w:cs="Palatino Linotype"/>
          <w:b/>
          <w:color w:val="000000"/>
        </w:rPr>
      </w:pPr>
    </w:p>
    <w:p w14:paraId="1F258DEE" w14:textId="77777777" w:rsidR="00F616CD" w:rsidRDefault="00F616CD" w:rsidP="008860AA">
      <w:pPr>
        <w:tabs>
          <w:tab w:val="left" w:pos="4667"/>
        </w:tabs>
        <w:spacing w:line="360" w:lineRule="auto"/>
        <w:ind w:left="567" w:right="567"/>
        <w:contextualSpacing/>
        <w:jc w:val="both"/>
        <w:rPr>
          <w:rFonts w:ascii="Palatino Linotype" w:eastAsia="Palatino Linotype" w:hAnsi="Palatino Linotype" w:cs="Palatino Linotype"/>
          <w:b/>
          <w:i/>
        </w:rPr>
      </w:pPr>
      <w:r>
        <w:rPr>
          <w:rFonts w:ascii="Palatino Linotype" w:eastAsia="Palatino Linotype" w:hAnsi="Palatino Linotype" w:cs="Palatino Linotype"/>
          <w:b/>
          <w:i/>
        </w:rPr>
        <w:t>“DESCRIPCIÓN CLARA Y PRECISA DE LA INFORMACIÓN SOLICITADA</w:t>
      </w:r>
    </w:p>
    <w:p w14:paraId="7EC29343" w14:textId="77777777" w:rsidR="00F616CD" w:rsidRDefault="00F616CD" w:rsidP="008860AA">
      <w:pPr>
        <w:spacing w:line="360" w:lineRule="auto"/>
        <w:ind w:left="567" w:right="567"/>
        <w:contextualSpacing/>
        <w:jc w:val="both"/>
        <w:rPr>
          <w:rFonts w:ascii="Palatino Linotype" w:eastAsia="Palatino Linotype" w:hAnsi="Palatino Linotype" w:cs="Palatino Linotype"/>
          <w:i/>
        </w:rPr>
      </w:pPr>
      <w:r w:rsidRPr="00F616CD">
        <w:rPr>
          <w:rFonts w:ascii="Palatino Linotype" w:eastAsia="Palatino Linotype" w:hAnsi="Palatino Linotype" w:cs="Palatino Linotype"/>
          <w:i/>
        </w:rPr>
        <w:t>El recursos financieros fueron recibidos por el FONDEN (Fondo de desastres naturales) ¿Cuándo, cómo y para qué obras fueron solicitados? -Cómo fueron aplicados dichos recursos, definir obra, importe y fecha en que fueron aplicados? -Mostrar la evidencia de los daños ocasionados, así como de la aplicación de los recursos en cada una de las obras." Todos de 2025</w:t>
      </w:r>
      <w:r>
        <w:rPr>
          <w:rFonts w:ascii="Palatino Linotype" w:eastAsia="Palatino Linotype" w:hAnsi="Palatino Linotype" w:cs="Palatino Linotype"/>
          <w:i/>
        </w:rPr>
        <w:t xml:space="preserve">.” </w:t>
      </w:r>
    </w:p>
    <w:p w14:paraId="09986D33" w14:textId="77777777" w:rsidR="00F616CD" w:rsidRPr="00CA747C" w:rsidRDefault="00F616CD" w:rsidP="008860AA">
      <w:pPr>
        <w:spacing w:line="360" w:lineRule="auto"/>
        <w:ind w:left="567" w:right="567"/>
        <w:contextualSpacing/>
        <w:jc w:val="both"/>
        <w:rPr>
          <w:rFonts w:ascii="Palatino Linotype" w:eastAsia="Palatino Linotype" w:hAnsi="Palatino Linotype" w:cs="Palatino Linotype"/>
          <w:i/>
        </w:rPr>
      </w:pPr>
      <w:r>
        <w:rPr>
          <w:rFonts w:ascii="Palatino Linotype" w:eastAsia="Palatino Linotype" w:hAnsi="Palatino Linotype" w:cs="Palatino Linotype"/>
          <w:i/>
        </w:rPr>
        <w:t>(Sic).</w:t>
      </w:r>
    </w:p>
    <w:p w14:paraId="37A1FABF" w14:textId="77777777" w:rsidR="00F616CD" w:rsidRDefault="00F616CD" w:rsidP="008860AA">
      <w:pPr>
        <w:pBdr>
          <w:top w:val="nil"/>
          <w:left w:val="nil"/>
          <w:bottom w:val="nil"/>
          <w:right w:val="nil"/>
          <w:between w:val="nil"/>
        </w:pBdr>
        <w:tabs>
          <w:tab w:val="left" w:pos="567"/>
        </w:tabs>
        <w:spacing w:line="360" w:lineRule="auto"/>
        <w:ind w:right="567"/>
        <w:contextualSpacing/>
        <w:jc w:val="both"/>
        <w:rPr>
          <w:rFonts w:ascii="Palatino Linotype" w:eastAsia="Palatino Linotype" w:hAnsi="Palatino Linotype" w:cs="Palatino Linotype"/>
          <w:b/>
          <w:i/>
          <w:color w:val="000000"/>
        </w:rPr>
      </w:pPr>
    </w:p>
    <w:p w14:paraId="5C1D3439" w14:textId="77777777" w:rsidR="00F616CD" w:rsidRDefault="00F616CD" w:rsidP="008860AA">
      <w:pPr>
        <w:tabs>
          <w:tab w:val="left" w:pos="4667"/>
        </w:tabs>
        <w:spacing w:line="360" w:lineRule="auto"/>
        <w:ind w:left="567" w:right="567"/>
        <w:contextualSpacing/>
        <w:jc w:val="both"/>
        <w:rPr>
          <w:rFonts w:ascii="Palatino Linotype" w:eastAsia="Palatino Linotype" w:hAnsi="Palatino Linotype" w:cs="Palatino Linotype"/>
          <w:i/>
        </w:rPr>
      </w:pPr>
      <w:r>
        <w:rPr>
          <w:rFonts w:ascii="Palatino Linotype" w:eastAsia="Palatino Linotype" w:hAnsi="Palatino Linotype" w:cs="Palatino Linotype"/>
          <w:b/>
          <w:i/>
        </w:rPr>
        <w:t xml:space="preserve">Modalidad de Entrega: </w:t>
      </w:r>
      <w:r>
        <w:rPr>
          <w:rFonts w:ascii="Palatino Linotype" w:eastAsia="Palatino Linotype" w:hAnsi="Palatino Linotype" w:cs="Palatino Linotype"/>
          <w:i/>
        </w:rPr>
        <w:t>A través de SAIMEX.</w:t>
      </w:r>
    </w:p>
    <w:p w14:paraId="67694971" w14:textId="77777777" w:rsidR="00F616CD" w:rsidRDefault="00F616CD" w:rsidP="008860AA">
      <w:pPr>
        <w:spacing w:line="360" w:lineRule="auto"/>
        <w:contextualSpacing/>
      </w:pPr>
      <w:bookmarkStart w:id="4" w:name="_Hlk216887448"/>
    </w:p>
    <w:p w14:paraId="4D3372FB" w14:textId="77777777" w:rsidR="00F616CD" w:rsidRPr="00633419" w:rsidRDefault="00F616CD" w:rsidP="008860AA">
      <w:pPr>
        <w:pStyle w:val="Ttulo2"/>
        <w:spacing w:before="0" w:after="0" w:line="360" w:lineRule="auto"/>
        <w:contextualSpacing/>
        <w:rPr>
          <w:rFonts w:ascii="Palatino Linotype" w:eastAsia="Palatino Linotype" w:hAnsi="Palatino Linotype"/>
          <w:b/>
          <w:bCs/>
          <w:color w:val="auto"/>
          <w:sz w:val="22"/>
          <w:szCs w:val="22"/>
        </w:rPr>
      </w:pPr>
      <w:bookmarkStart w:id="5" w:name="_heading=h.270ugglvhyo" w:colFirst="0" w:colLast="0"/>
      <w:bookmarkStart w:id="6" w:name="_Toc223020254"/>
      <w:bookmarkEnd w:id="5"/>
      <w:r w:rsidRPr="00633419">
        <w:rPr>
          <w:rFonts w:ascii="Palatino Linotype" w:eastAsia="Palatino Linotype" w:hAnsi="Palatino Linotype"/>
          <w:b/>
          <w:bCs/>
          <w:color w:val="auto"/>
          <w:sz w:val="22"/>
          <w:szCs w:val="22"/>
        </w:rPr>
        <w:lastRenderedPageBreak/>
        <w:t>II. Respuesta del Sujeto Obligado</w:t>
      </w:r>
      <w:bookmarkEnd w:id="6"/>
    </w:p>
    <w:p w14:paraId="49CED57C" w14:textId="77777777" w:rsidR="00F616CD" w:rsidRDefault="00F616CD" w:rsidP="008860AA">
      <w:pPr>
        <w:tabs>
          <w:tab w:val="left" w:pos="4667"/>
        </w:tabs>
        <w:spacing w:line="360" w:lineRule="auto"/>
        <w:contextualSpacing/>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w:t>
      </w:r>
    </w:p>
    <w:p w14:paraId="1EE0C8C5" w14:textId="77777777" w:rsidR="00F616CD" w:rsidRDefault="00F616CD" w:rsidP="008860AA">
      <w:pPr>
        <w:tabs>
          <w:tab w:val="left" w:pos="4667"/>
        </w:tabs>
        <w:spacing w:line="360" w:lineRule="auto"/>
        <w:contextualSpacing/>
        <w:jc w:val="both"/>
        <w:rPr>
          <w:rFonts w:ascii="Palatino Linotype" w:eastAsia="Palatino Linotype" w:hAnsi="Palatino Linotype" w:cs="Palatino Linotype"/>
          <w:sz w:val="22"/>
          <w:szCs w:val="22"/>
        </w:rPr>
      </w:pPr>
      <w:r w:rsidRPr="00CA747C">
        <w:rPr>
          <w:rFonts w:ascii="Palatino Linotype" w:eastAsia="Palatino Linotype" w:hAnsi="Palatino Linotype" w:cs="Palatino Linotype"/>
          <w:sz w:val="22"/>
          <w:szCs w:val="22"/>
        </w:rPr>
        <w:t xml:space="preserve">Con fecha </w:t>
      </w:r>
      <w:r>
        <w:rPr>
          <w:rFonts w:ascii="Palatino Linotype" w:eastAsia="Palatino Linotype" w:hAnsi="Palatino Linotype" w:cs="Palatino Linotype"/>
          <w:sz w:val="22"/>
          <w:szCs w:val="22"/>
        </w:rPr>
        <w:t xml:space="preserve">diecinueve de noviembre </w:t>
      </w:r>
      <w:r w:rsidRPr="00CA747C">
        <w:rPr>
          <w:rFonts w:ascii="Palatino Linotype" w:eastAsia="Palatino Linotype" w:hAnsi="Palatino Linotype" w:cs="Palatino Linotype"/>
          <w:sz w:val="22"/>
          <w:szCs w:val="22"/>
        </w:rPr>
        <w:t>de dos mil veinticinco, el Sujeto Obligado dio respuesta a la solicitud de acceso a la información a través del Sistema de Acceso a la Información Mexiquense (SAIMEX),</w:t>
      </w:r>
      <w:r>
        <w:rPr>
          <w:rFonts w:ascii="Palatino Linotype" w:eastAsia="Palatino Linotype" w:hAnsi="Palatino Linotype" w:cs="Palatino Linotype"/>
          <w:sz w:val="22"/>
          <w:szCs w:val="22"/>
        </w:rPr>
        <w:t xml:space="preserve"> </w:t>
      </w:r>
      <w:r w:rsidRPr="00CA747C">
        <w:rPr>
          <w:rFonts w:ascii="Palatino Linotype" w:eastAsia="Palatino Linotype" w:hAnsi="Palatino Linotype" w:cs="Palatino Linotype"/>
          <w:sz w:val="22"/>
          <w:szCs w:val="22"/>
        </w:rPr>
        <w:t>mediante</w:t>
      </w:r>
      <w:r>
        <w:rPr>
          <w:rFonts w:ascii="Palatino Linotype" w:eastAsia="Palatino Linotype" w:hAnsi="Palatino Linotype" w:cs="Palatino Linotype"/>
          <w:sz w:val="22"/>
          <w:szCs w:val="22"/>
        </w:rPr>
        <w:t xml:space="preserve"> la digitalización de los documentos siguientes:</w:t>
      </w:r>
      <w:r w:rsidRPr="00CA747C">
        <w:rPr>
          <w:rFonts w:ascii="Palatino Linotype" w:eastAsia="Palatino Linotype" w:hAnsi="Palatino Linotype" w:cs="Palatino Linotype"/>
          <w:sz w:val="22"/>
          <w:szCs w:val="22"/>
        </w:rPr>
        <w:t xml:space="preserve"> </w:t>
      </w:r>
    </w:p>
    <w:p w14:paraId="3082F56D" w14:textId="77777777" w:rsidR="00F616CD" w:rsidRDefault="00F616CD" w:rsidP="008860AA">
      <w:pPr>
        <w:tabs>
          <w:tab w:val="left" w:pos="4667"/>
        </w:tabs>
        <w:spacing w:line="360" w:lineRule="auto"/>
        <w:contextualSpacing/>
        <w:jc w:val="both"/>
        <w:rPr>
          <w:rFonts w:ascii="Palatino Linotype" w:eastAsia="Palatino Linotype" w:hAnsi="Palatino Linotype" w:cs="Palatino Linotype"/>
          <w:sz w:val="22"/>
          <w:szCs w:val="22"/>
        </w:rPr>
      </w:pPr>
    </w:p>
    <w:p w14:paraId="2B0E117E" w14:textId="77777777" w:rsidR="00F616CD" w:rsidRPr="004C5EC4" w:rsidRDefault="00F616CD" w:rsidP="008860AA">
      <w:pPr>
        <w:tabs>
          <w:tab w:val="left" w:pos="4667"/>
        </w:tabs>
        <w:spacing w:line="360" w:lineRule="auto"/>
        <w:contextualSpacing/>
        <w:jc w:val="both"/>
        <w:rPr>
          <w:rFonts w:ascii="Palatino Linotype" w:eastAsia="Palatino Linotype" w:hAnsi="Palatino Linotype" w:cs="Palatino Linotype"/>
          <w:sz w:val="22"/>
          <w:szCs w:val="22"/>
        </w:rPr>
      </w:pPr>
      <w:r w:rsidRPr="004C5EC4">
        <w:rPr>
          <w:rFonts w:ascii="Palatino Linotype" w:eastAsia="Palatino Linotype" w:hAnsi="Palatino Linotype" w:cs="Palatino Linotype"/>
          <w:sz w:val="22"/>
          <w:szCs w:val="22"/>
        </w:rPr>
        <w:t>i)</w:t>
      </w:r>
      <w:r>
        <w:rPr>
          <w:rFonts w:ascii="Palatino Linotype" w:eastAsia="Palatino Linotype" w:hAnsi="Palatino Linotype" w:cs="Palatino Linotype"/>
          <w:sz w:val="22"/>
          <w:szCs w:val="22"/>
        </w:rPr>
        <w:t xml:space="preserve"> </w:t>
      </w:r>
      <w:r w:rsidRPr="004C5EC4">
        <w:rPr>
          <w:rFonts w:ascii="Palatino Linotype" w:eastAsia="Palatino Linotype" w:hAnsi="Palatino Linotype" w:cs="Palatino Linotype"/>
          <w:sz w:val="22"/>
          <w:szCs w:val="22"/>
        </w:rPr>
        <w:t>Oficio</w:t>
      </w:r>
      <w:r>
        <w:rPr>
          <w:rFonts w:ascii="Palatino Linotype" w:eastAsia="Palatino Linotype" w:hAnsi="Palatino Linotype" w:cs="Palatino Linotype"/>
          <w:sz w:val="22"/>
          <w:szCs w:val="22"/>
        </w:rPr>
        <w:t xml:space="preserve"> </w:t>
      </w:r>
      <w:r w:rsidRPr="004C5EC4">
        <w:rPr>
          <w:rFonts w:ascii="Palatino Linotype" w:eastAsia="Palatino Linotype" w:hAnsi="Palatino Linotype" w:cs="Palatino Linotype"/>
          <w:sz w:val="22"/>
          <w:szCs w:val="22"/>
        </w:rPr>
        <w:t>número</w:t>
      </w:r>
      <w:r>
        <w:rPr>
          <w:rFonts w:ascii="Palatino Linotype" w:eastAsia="Palatino Linotype" w:hAnsi="Palatino Linotype" w:cs="Palatino Linotype"/>
          <w:sz w:val="22"/>
          <w:szCs w:val="22"/>
        </w:rPr>
        <w:t xml:space="preserve"> 210010000/3289/2025</w:t>
      </w:r>
      <w:r w:rsidRPr="004C5EC4">
        <w:rPr>
          <w:rFonts w:ascii="Palatino Linotype" w:eastAsia="Palatino Linotype" w:hAnsi="Palatino Linotype" w:cs="Palatino Linotype"/>
          <w:sz w:val="22"/>
          <w:szCs w:val="22"/>
        </w:rPr>
        <w:t xml:space="preserve">, del </w:t>
      </w:r>
      <w:r>
        <w:rPr>
          <w:rFonts w:ascii="Palatino Linotype" w:eastAsia="Palatino Linotype" w:hAnsi="Palatino Linotype" w:cs="Palatino Linotype"/>
          <w:sz w:val="22"/>
          <w:szCs w:val="22"/>
        </w:rPr>
        <w:t>diez</w:t>
      </w:r>
      <w:r w:rsidRPr="004C5EC4">
        <w:rPr>
          <w:rFonts w:ascii="Palatino Linotype" w:eastAsia="Palatino Linotype" w:hAnsi="Palatino Linotype" w:cs="Palatino Linotype"/>
          <w:sz w:val="22"/>
          <w:szCs w:val="22"/>
        </w:rPr>
        <w:t xml:space="preserve"> de noviembre de dos mil veinticinco, suscrito por </w:t>
      </w:r>
      <w:r>
        <w:rPr>
          <w:rFonts w:ascii="Palatino Linotype" w:eastAsia="Palatino Linotype" w:hAnsi="Palatino Linotype" w:cs="Palatino Linotype"/>
          <w:sz w:val="22"/>
          <w:szCs w:val="22"/>
        </w:rPr>
        <w:t>e</w:t>
      </w:r>
      <w:r w:rsidRPr="004C5EC4">
        <w:rPr>
          <w:rFonts w:ascii="Palatino Linotype" w:eastAsia="Palatino Linotype" w:hAnsi="Palatino Linotype" w:cs="Palatino Linotype"/>
          <w:sz w:val="22"/>
          <w:szCs w:val="22"/>
        </w:rPr>
        <w:t>l</w:t>
      </w:r>
      <w:r>
        <w:rPr>
          <w:rFonts w:ascii="Palatino Linotype" w:eastAsia="Palatino Linotype" w:hAnsi="Palatino Linotype" w:cs="Palatino Linotype"/>
          <w:sz w:val="22"/>
          <w:szCs w:val="22"/>
        </w:rPr>
        <w:t xml:space="preserve"> Director General de Obras Públicas, dirigido al</w:t>
      </w:r>
      <w:r w:rsidRPr="004C5EC4">
        <w:rPr>
          <w:rFonts w:ascii="Palatino Linotype" w:eastAsia="Palatino Linotype" w:hAnsi="Palatino Linotype" w:cs="Palatino Linotype"/>
          <w:sz w:val="22"/>
          <w:szCs w:val="22"/>
        </w:rPr>
        <w:t xml:space="preserve"> Titular de la Unidad de Transparencia,</w:t>
      </w:r>
      <w:r>
        <w:rPr>
          <w:rFonts w:ascii="Palatino Linotype" w:eastAsia="Palatino Linotype" w:hAnsi="Palatino Linotype" w:cs="Palatino Linotype"/>
          <w:sz w:val="22"/>
          <w:szCs w:val="22"/>
        </w:rPr>
        <w:t xml:space="preserve"> </w:t>
      </w:r>
      <w:r w:rsidRPr="004C5EC4">
        <w:rPr>
          <w:rFonts w:ascii="Palatino Linotype" w:eastAsia="Palatino Linotype" w:hAnsi="Palatino Linotype" w:cs="Palatino Linotype"/>
          <w:sz w:val="22"/>
          <w:szCs w:val="22"/>
        </w:rPr>
        <w:t>a través del cual</w:t>
      </w:r>
      <w:r>
        <w:rPr>
          <w:rFonts w:ascii="Palatino Linotype" w:eastAsia="Palatino Linotype" w:hAnsi="Palatino Linotype" w:cs="Palatino Linotype"/>
          <w:sz w:val="22"/>
          <w:szCs w:val="22"/>
        </w:rPr>
        <w:t xml:space="preserve"> manifiesta y expone esencialmente lo siguiente:</w:t>
      </w:r>
    </w:p>
    <w:p w14:paraId="55C1DFC5" w14:textId="77777777" w:rsidR="00F616CD" w:rsidRDefault="00F616CD" w:rsidP="008860AA">
      <w:pPr>
        <w:spacing w:line="360" w:lineRule="auto"/>
        <w:contextualSpacing/>
        <w:rPr>
          <w:rFonts w:eastAsia="Palatino Linotype"/>
        </w:rPr>
      </w:pPr>
    </w:p>
    <w:p w14:paraId="09B26FF9" w14:textId="77777777" w:rsidR="00F616CD" w:rsidRDefault="00F616CD" w:rsidP="008860AA">
      <w:pPr>
        <w:spacing w:line="360" w:lineRule="auto"/>
        <w:ind w:left="567" w:right="567"/>
        <w:contextualSpacing/>
        <w:jc w:val="both"/>
        <w:rPr>
          <w:rFonts w:ascii="Palatino Linotype" w:eastAsia="Palatino Linotype" w:hAnsi="Palatino Linotype"/>
          <w:i/>
          <w:iCs/>
        </w:rPr>
      </w:pPr>
      <w:r w:rsidRPr="00A12A75">
        <w:rPr>
          <w:rFonts w:ascii="Palatino Linotype" w:eastAsia="Palatino Linotype" w:hAnsi="Palatino Linotype"/>
          <w:i/>
          <w:iCs/>
        </w:rPr>
        <w:t>“…</w:t>
      </w:r>
    </w:p>
    <w:p w14:paraId="1D7E4A0C" w14:textId="77777777" w:rsidR="00F616CD" w:rsidRPr="00A12A75" w:rsidRDefault="00F616CD" w:rsidP="008860AA">
      <w:pPr>
        <w:spacing w:line="360" w:lineRule="auto"/>
        <w:ind w:left="567" w:right="567"/>
        <w:contextualSpacing/>
        <w:jc w:val="both"/>
        <w:rPr>
          <w:rFonts w:ascii="Palatino Linotype" w:eastAsia="Palatino Linotype" w:hAnsi="Palatino Linotype"/>
          <w:i/>
          <w:iCs/>
        </w:rPr>
      </w:pPr>
      <w:r>
        <w:rPr>
          <w:rFonts w:ascii="Palatino Linotype" w:eastAsia="Palatino Linotype" w:hAnsi="Palatino Linotype"/>
          <w:i/>
          <w:iCs/>
        </w:rPr>
        <w:t>…se llevó acabo la búsqueda exhaustiva y razonable</w:t>
      </w:r>
      <w:r w:rsidR="001D79BB">
        <w:rPr>
          <w:rFonts w:ascii="Palatino Linotype" w:eastAsia="Palatino Linotype" w:hAnsi="Palatino Linotype"/>
          <w:i/>
          <w:iCs/>
        </w:rPr>
        <w:t xml:space="preserve"> del soporte documental que incluya </w:t>
      </w:r>
      <w:r>
        <w:rPr>
          <w:rFonts w:ascii="Palatino Linotype" w:eastAsia="Palatino Linotype" w:hAnsi="Palatino Linotype"/>
          <w:i/>
          <w:iCs/>
        </w:rPr>
        <w:t>información objeto de la solicitud</w:t>
      </w:r>
      <w:r w:rsidR="001D79BB">
        <w:rPr>
          <w:rFonts w:ascii="Palatino Linotype" w:eastAsia="Palatino Linotype" w:hAnsi="Palatino Linotype"/>
          <w:i/>
          <w:iCs/>
        </w:rPr>
        <w:t>, en los archivos que se encuentran bajo resguardo y custodia de la Dirección de Obras Públicas, búsqueda de la que se concluyó que a la fecha de la solicitud no se ha generado, ni administra expresión documental que contenga información… debido a que no se dispone de la mencionada fuente de financiamiento para la contratación de obra pública en presente año fiscal.</w:t>
      </w:r>
    </w:p>
    <w:p w14:paraId="10EB76BE" w14:textId="77777777" w:rsidR="00F616CD" w:rsidRPr="00A12A75" w:rsidRDefault="00F616CD" w:rsidP="008860AA">
      <w:pPr>
        <w:spacing w:line="360" w:lineRule="auto"/>
        <w:ind w:left="567" w:right="567"/>
        <w:contextualSpacing/>
        <w:jc w:val="both"/>
        <w:rPr>
          <w:rFonts w:ascii="Palatino Linotype" w:eastAsia="Palatino Linotype" w:hAnsi="Palatino Linotype"/>
          <w:i/>
          <w:iCs/>
        </w:rPr>
      </w:pPr>
      <w:r w:rsidRPr="00A12A75">
        <w:rPr>
          <w:rFonts w:ascii="Palatino Linotype" w:eastAsia="Palatino Linotype" w:hAnsi="Palatino Linotype"/>
          <w:i/>
          <w:iCs/>
        </w:rPr>
        <w:t>…”</w:t>
      </w:r>
    </w:p>
    <w:p w14:paraId="34371C55" w14:textId="77777777" w:rsidR="00F616CD" w:rsidRDefault="00F616CD" w:rsidP="008860AA">
      <w:pPr>
        <w:spacing w:line="360" w:lineRule="auto"/>
        <w:contextualSpacing/>
        <w:jc w:val="both"/>
        <w:rPr>
          <w:rFonts w:eastAsia="Palatino Linotype"/>
        </w:rPr>
      </w:pPr>
    </w:p>
    <w:p w14:paraId="4146C364" w14:textId="77777777" w:rsidR="001D79BB" w:rsidRPr="004C5EC4" w:rsidRDefault="001D79BB" w:rsidP="008860AA">
      <w:pPr>
        <w:tabs>
          <w:tab w:val="left" w:pos="4667"/>
        </w:tabs>
        <w:spacing w:line="360" w:lineRule="auto"/>
        <w:contextualSpacing/>
        <w:jc w:val="both"/>
        <w:rPr>
          <w:rFonts w:ascii="Palatino Linotype" w:eastAsia="Palatino Linotype" w:hAnsi="Palatino Linotype" w:cs="Palatino Linotype"/>
          <w:sz w:val="22"/>
          <w:szCs w:val="22"/>
        </w:rPr>
      </w:pPr>
      <w:r w:rsidRPr="004C5EC4">
        <w:rPr>
          <w:rFonts w:ascii="Palatino Linotype" w:eastAsia="Palatino Linotype" w:hAnsi="Palatino Linotype" w:cs="Palatino Linotype"/>
          <w:sz w:val="22"/>
          <w:szCs w:val="22"/>
        </w:rPr>
        <w:t>i</w:t>
      </w:r>
      <w:r>
        <w:rPr>
          <w:rFonts w:ascii="Palatino Linotype" w:eastAsia="Palatino Linotype" w:hAnsi="Palatino Linotype" w:cs="Palatino Linotype"/>
          <w:sz w:val="22"/>
          <w:szCs w:val="22"/>
        </w:rPr>
        <w:t>i</w:t>
      </w:r>
      <w:r w:rsidRPr="004C5EC4">
        <w:rPr>
          <w:rFonts w:ascii="Palatino Linotype" w:eastAsia="Palatino Linotype" w:hAnsi="Palatino Linotype" w:cs="Palatino Linotype"/>
          <w:sz w:val="22"/>
          <w:szCs w:val="22"/>
        </w:rPr>
        <w:t>)</w:t>
      </w:r>
      <w:r>
        <w:rPr>
          <w:rFonts w:ascii="Palatino Linotype" w:eastAsia="Palatino Linotype" w:hAnsi="Palatino Linotype" w:cs="Palatino Linotype"/>
          <w:sz w:val="22"/>
          <w:szCs w:val="22"/>
        </w:rPr>
        <w:t xml:space="preserve"> </w:t>
      </w:r>
      <w:r w:rsidRPr="004C5EC4">
        <w:rPr>
          <w:rFonts w:ascii="Palatino Linotype" w:eastAsia="Palatino Linotype" w:hAnsi="Palatino Linotype" w:cs="Palatino Linotype"/>
          <w:sz w:val="22"/>
          <w:szCs w:val="22"/>
        </w:rPr>
        <w:t>Oficio</w:t>
      </w:r>
      <w:r>
        <w:rPr>
          <w:rFonts w:ascii="Palatino Linotype" w:eastAsia="Palatino Linotype" w:hAnsi="Palatino Linotype" w:cs="Palatino Linotype"/>
          <w:sz w:val="22"/>
          <w:szCs w:val="22"/>
        </w:rPr>
        <w:t xml:space="preserve"> </w:t>
      </w:r>
      <w:r w:rsidRPr="004C5EC4">
        <w:rPr>
          <w:rFonts w:ascii="Palatino Linotype" w:eastAsia="Palatino Linotype" w:hAnsi="Palatino Linotype" w:cs="Palatino Linotype"/>
          <w:sz w:val="22"/>
          <w:szCs w:val="22"/>
        </w:rPr>
        <w:t>número</w:t>
      </w:r>
      <w:r>
        <w:rPr>
          <w:rFonts w:ascii="Palatino Linotype" w:eastAsia="Palatino Linotype" w:hAnsi="Palatino Linotype" w:cs="Palatino Linotype"/>
          <w:sz w:val="22"/>
          <w:szCs w:val="22"/>
        </w:rPr>
        <w:t xml:space="preserve"> 202010000/3711/2025</w:t>
      </w:r>
      <w:r w:rsidRPr="004C5EC4">
        <w:rPr>
          <w:rFonts w:ascii="Palatino Linotype" w:eastAsia="Palatino Linotype" w:hAnsi="Palatino Linotype" w:cs="Palatino Linotype"/>
          <w:sz w:val="22"/>
          <w:szCs w:val="22"/>
        </w:rPr>
        <w:t xml:space="preserve">, del </w:t>
      </w:r>
      <w:r>
        <w:rPr>
          <w:rFonts w:ascii="Palatino Linotype" w:eastAsia="Palatino Linotype" w:hAnsi="Palatino Linotype" w:cs="Palatino Linotype"/>
          <w:sz w:val="22"/>
          <w:szCs w:val="22"/>
        </w:rPr>
        <w:t>cinco</w:t>
      </w:r>
      <w:r w:rsidRPr="004C5EC4">
        <w:rPr>
          <w:rFonts w:ascii="Palatino Linotype" w:eastAsia="Palatino Linotype" w:hAnsi="Palatino Linotype" w:cs="Palatino Linotype"/>
          <w:sz w:val="22"/>
          <w:szCs w:val="22"/>
        </w:rPr>
        <w:t xml:space="preserve"> de noviembre de dos mil veinticinco, suscrito por </w:t>
      </w:r>
      <w:r>
        <w:rPr>
          <w:rFonts w:ascii="Palatino Linotype" w:eastAsia="Palatino Linotype" w:hAnsi="Palatino Linotype" w:cs="Palatino Linotype"/>
          <w:sz w:val="22"/>
          <w:szCs w:val="22"/>
        </w:rPr>
        <w:t>e</w:t>
      </w:r>
      <w:r w:rsidRPr="004C5EC4">
        <w:rPr>
          <w:rFonts w:ascii="Palatino Linotype" w:eastAsia="Palatino Linotype" w:hAnsi="Palatino Linotype" w:cs="Palatino Linotype"/>
          <w:sz w:val="22"/>
          <w:szCs w:val="22"/>
        </w:rPr>
        <w:t>l</w:t>
      </w:r>
      <w:r>
        <w:rPr>
          <w:rFonts w:ascii="Palatino Linotype" w:eastAsia="Palatino Linotype" w:hAnsi="Palatino Linotype" w:cs="Palatino Linotype"/>
          <w:sz w:val="22"/>
          <w:szCs w:val="22"/>
        </w:rPr>
        <w:t xml:space="preserve"> Tesorero Municipal, dirigido al</w:t>
      </w:r>
      <w:r w:rsidRPr="004C5EC4">
        <w:rPr>
          <w:rFonts w:ascii="Palatino Linotype" w:eastAsia="Palatino Linotype" w:hAnsi="Palatino Linotype" w:cs="Palatino Linotype"/>
          <w:sz w:val="22"/>
          <w:szCs w:val="22"/>
        </w:rPr>
        <w:t xml:space="preserve"> Titular de la Unidad de Transparencia,</w:t>
      </w:r>
      <w:r>
        <w:rPr>
          <w:rFonts w:ascii="Palatino Linotype" w:eastAsia="Palatino Linotype" w:hAnsi="Palatino Linotype" w:cs="Palatino Linotype"/>
          <w:sz w:val="22"/>
          <w:szCs w:val="22"/>
        </w:rPr>
        <w:t xml:space="preserve"> </w:t>
      </w:r>
      <w:r w:rsidRPr="004C5EC4">
        <w:rPr>
          <w:rFonts w:ascii="Palatino Linotype" w:eastAsia="Palatino Linotype" w:hAnsi="Palatino Linotype" w:cs="Palatino Linotype"/>
          <w:sz w:val="22"/>
          <w:szCs w:val="22"/>
        </w:rPr>
        <w:t>a través del cual</w:t>
      </w:r>
      <w:r>
        <w:rPr>
          <w:rFonts w:ascii="Palatino Linotype" w:eastAsia="Palatino Linotype" w:hAnsi="Palatino Linotype" w:cs="Palatino Linotype"/>
          <w:sz w:val="22"/>
          <w:szCs w:val="22"/>
        </w:rPr>
        <w:t xml:space="preserve"> manifiesta y expone esencialmente lo siguiente:</w:t>
      </w:r>
    </w:p>
    <w:p w14:paraId="52C2BD5A" w14:textId="77777777" w:rsidR="001D79BB" w:rsidRDefault="001D79BB" w:rsidP="008860AA">
      <w:pPr>
        <w:spacing w:line="360" w:lineRule="auto"/>
        <w:contextualSpacing/>
        <w:rPr>
          <w:rFonts w:eastAsia="Palatino Linotype"/>
        </w:rPr>
      </w:pPr>
    </w:p>
    <w:p w14:paraId="13E7005D" w14:textId="77777777" w:rsidR="001D79BB" w:rsidRPr="004971AD" w:rsidRDefault="004971AD" w:rsidP="008860AA">
      <w:pPr>
        <w:spacing w:line="360" w:lineRule="auto"/>
        <w:ind w:left="567" w:right="567"/>
        <w:contextualSpacing/>
        <w:jc w:val="both"/>
        <w:rPr>
          <w:rFonts w:ascii="Palatino Linotype" w:eastAsia="Palatino Linotype" w:hAnsi="Palatino Linotype"/>
          <w:i/>
          <w:iCs/>
        </w:rPr>
      </w:pPr>
      <w:r>
        <w:rPr>
          <w:rFonts w:ascii="Palatino Linotype" w:eastAsia="Palatino Linotype" w:hAnsi="Palatino Linotype"/>
          <w:i/>
          <w:iCs/>
        </w:rPr>
        <w:t>“</w:t>
      </w:r>
      <w:r w:rsidR="001D79BB">
        <w:rPr>
          <w:rFonts w:ascii="Palatino Linotype" w:eastAsia="Palatino Linotype" w:hAnsi="Palatino Linotype"/>
          <w:i/>
          <w:iCs/>
        </w:rPr>
        <w:t xml:space="preserve">…de acuerdo a las atribuciones que corresponden a esta unidad administrativa, me permto informarle, que, después de realizar una búsqueda exhaustiva dentro de los archivos que obran en esta Tesorería Municipal, no se encontró documental alguno que </w:t>
      </w:r>
      <w:r>
        <w:rPr>
          <w:rFonts w:ascii="Palatino Linotype" w:eastAsia="Palatino Linotype" w:hAnsi="Palatino Linotype"/>
          <w:i/>
          <w:iCs/>
        </w:rPr>
        <w:t>dé</w:t>
      </w:r>
      <w:r w:rsidR="001D79BB">
        <w:rPr>
          <w:rFonts w:ascii="Palatino Linotype" w:eastAsia="Palatino Linotype" w:hAnsi="Palatino Linotype"/>
          <w:i/>
          <w:iCs/>
        </w:rPr>
        <w:t xml:space="preserve"> cuenta de “FONDEN”</w:t>
      </w:r>
      <w:r>
        <w:rPr>
          <w:rFonts w:ascii="Palatino Linotype" w:eastAsia="Palatino Linotype" w:hAnsi="Palatino Linotype"/>
          <w:i/>
          <w:iCs/>
        </w:rPr>
        <w:t>…”</w:t>
      </w:r>
    </w:p>
    <w:bookmarkEnd w:id="4"/>
    <w:p w14:paraId="20059B05" w14:textId="77777777" w:rsidR="00F616CD" w:rsidRPr="00AB032E" w:rsidRDefault="00F616CD" w:rsidP="008860AA">
      <w:pPr>
        <w:tabs>
          <w:tab w:val="left" w:pos="4667"/>
        </w:tabs>
        <w:spacing w:line="360" w:lineRule="auto"/>
        <w:contextualSpacing/>
        <w:jc w:val="both"/>
        <w:rPr>
          <w:rFonts w:ascii="Palatino Linotype" w:eastAsia="Palatino Linotype" w:hAnsi="Palatino Linotype" w:cs="Palatino Linotype"/>
          <w:sz w:val="22"/>
          <w:szCs w:val="22"/>
        </w:rPr>
      </w:pPr>
    </w:p>
    <w:p w14:paraId="1218E13E" w14:textId="77777777" w:rsidR="00F616CD" w:rsidRPr="00633419" w:rsidRDefault="00F616CD" w:rsidP="008860AA">
      <w:pPr>
        <w:pStyle w:val="Ttulo2"/>
        <w:spacing w:before="0" w:after="0" w:line="360" w:lineRule="auto"/>
        <w:contextualSpacing/>
        <w:rPr>
          <w:rFonts w:ascii="Palatino Linotype" w:hAnsi="Palatino Linotype"/>
          <w:b/>
          <w:bCs/>
          <w:color w:val="auto"/>
          <w:sz w:val="22"/>
          <w:szCs w:val="22"/>
        </w:rPr>
      </w:pPr>
      <w:bookmarkStart w:id="7" w:name="_Toc223020255"/>
      <w:r w:rsidRPr="00633419">
        <w:rPr>
          <w:rFonts w:ascii="Palatino Linotype" w:hAnsi="Palatino Linotype"/>
          <w:b/>
          <w:bCs/>
          <w:color w:val="auto"/>
          <w:sz w:val="22"/>
          <w:szCs w:val="22"/>
        </w:rPr>
        <w:lastRenderedPageBreak/>
        <w:t>III. Interposición del Recurso de Revisión</w:t>
      </w:r>
      <w:bookmarkEnd w:id="7"/>
    </w:p>
    <w:p w14:paraId="5F85B381" w14:textId="77777777" w:rsidR="00F616CD" w:rsidRDefault="00F616CD" w:rsidP="008860AA">
      <w:pPr>
        <w:spacing w:line="360" w:lineRule="auto"/>
        <w:contextualSpacing/>
        <w:jc w:val="both"/>
        <w:rPr>
          <w:rFonts w:ascii="Palatino Linotype" w:eastAsia="Palatino Linotype" w:hAnsi="Palatino Linotype" w:cs="Palatino Linotype"/>
          <w:sz w:val="22"/>
          <w:szCs w:val="22"/>
        </w:rPr>
      </w:pPr>
    </w:p>
    <w:p w14:paraId="27444D9B" w14:textId="77777777" w:rsidR="00F616CD" w:rsidRDefault="00F616CD" w:rsidP="008860AA">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Con fecha </w:t>
      </w:r>
      <w:r w:rsidR="004971AD">
        <w:rPr>
          <w:rFonts w:ascii="Palatino Linotype" w:eastAsia="Palatino Linotype" w:hAnsi="Palatino Linotype" w:cs="Palatino Linotype"/>
          <w:sz w:val="22"/>
          <w:szCs w:val="22"/>
        </w:rPr>
        <w:t>diez de diciembre</w:t>
      </w:r>
      <w:r>
        <w:rPr>
          <w:rFonts w:ascii="Palatino Linotype" w:eastAsia="Palatino Linotype" w:hAnsi="Palatino Linotype" w:cs="Palatino Linotype"/>
          <w:sz w:val="22"/>
          <w:szCs w:val="22"/>
        </w:rPr>
        <w:t xml:space="preserve"> de dos mil veinticinco, se recibió en este Instituto, a través del SAIMEX, el Recurso de Revisión interpuesto por la parte Recurrente, en contra de la respuesta del Ayuntamiento de Toluca,</w:t>
      </w:r>
      <w:r>
        <w:rPr>
          <w:rFonts w:ascii="Palatino Linotype" w:eastAsia="Palatino Linotype" w:hAnsi="Palatino Linotype" w:cs="Palatino Linotype"/>
          <w:b/>
          <w:bCs/>
          <w:sz w:val="22"/>
          <w:szCs w:val="22"/>
        </w:rPr>
        <w:t xml:space="preserve"> </w:t>
      </w:r>
      <w:r>
        <w:rPr>
          <w:rFonts w:ascii="Palatino Linotype" w:eastAsia="Palatino Linotype" w:hAnsi="Palatino Linotype" w:cs="Palatino Linotype"/>
          <w:sz w:val="22"/>
          <w:szCs w:val="22"/>
        </w:rPr>
        <w:t>en los siguientes términos:</w:t>
      </w:r>
    </w:p>
    <w:p w14:paraId="026202D0" w14:textId="77777777" w:rsidR="00F616CD" w:rsidRDefault="00F616CD" w:rsidP="008860AA">
      <w:pPr>
        <w:spacing w:line="360" w:lineRule="auto"/>
        <w:contextualSpacing/>
        <w:jc w:val="both"/>
        <w:rPr>
          <w:rFonts w:ascii="Palatino Linotype" w:eastAsia="Palatino Linotype" w:hAnsi="Palatino Linotype" w:cs="Palatino Linotype"/>
          <w:b/>
          <w:sz w:val="22"/>
          <w:szCs w:val="22"/>
        </w:rPr>
      </w:pPr>
    </w:p>
    <w:p w14:paraId="05128E54" w14:textId="77777777" w:rsidR="00F616CD" w:rsidRPr="004C5EC4" w:rsidRDefault="00F616CD" w:rsidP="008860AA">
      <w:pPr>
        <w:spacing w:line="360" w:lineRule="auto"/>
        <w:ind w:left="567" w:right="567"/>
        <w:contextualSpacing/>
        <w:jc w:val="both"/>
        <w:rPr>
          <w:rFonts w:ascii="Palatino Linotype" w:eastAsia="Palatino Linotype" w:hAnsi="Palatino Linotype" w:cs="Palatino Linotype"/>
          <w:i/>
        </w:rPr>
      </w:pPr>
      <w:r w:rsidRPr="004C5EC4">
        <w:rPr>
          <w:rFonts w:ascii="Palatino Linotype" w:eastAsia="Palatino Linotype" w:hAnsi="Palatino Linotype" w:cs="Palatino Linotype"/>
          <w:b/>
          <w:i/>
        </w:rPr>
        <w:t>ACTO IMPUGNADO</w:t>
      </w:r>
    </w:p>
    <w:p w14:paraId="33EAD8CD" w14:textId="77777777" w:rsidR="00F616CD" w:rsidRPr="008860AA" w:rsidRDefault="00F616CD" w:rsidP="008860AA">
      <w:pPr>
        <w:spacing w:line="360" w:lineRule="auto"/>
        <w:ind w:left="567" w:right="567"/>
        <w:contextualSpacing/>
        <w:jc w:val="both"/>
        <w:rPr>
          <w:rFonts w:ascii="Palatino Linotype" w:eastAsia="Palatino Linotype" w:hAnsi="Palatino Linotype" w:cs="Palatino Linotype"/>
          <w:i/>
        </w:rPr>
      </w:pPr>
      <w:r w:rsidRPr="004C5EC4">
        <w:rPr>
          <w:rFonts w:ascii="Palatino Linotype" w:eastAsia="Palatino Linotype" w:hAnsi="Palatino Linotype" w:cs="Palatino Linotype"/>
          <w:i/>
        </w:rPr>
        <w:t>“</w:t>
      </w:r>
      <w:r w:rsidR="004971AD" w:rsidRPr="004971AD">
        <w:rPr>
          <w:rFonts w:ascii="Palatino Linotype" w:hAnsi="Palatino Linotype"/>
          <w:i/>
        </w:rPr>
        <w:t>No cumplen con el derecho de saber niega la información</w:t>
      </w:r>
      <w:r w:rsidRPr="004C5EC4">
        <w:rPr>
          <w:rFonts w:ascii="Palatino Linotype" w:eastAsia="Palatino Linotype" w:hAnsi="Palatino Linotype" w:cs="Palatino Linotype"/>
          <w:i/>
          <w:color w:val="000000"/>
        </w:rPr>
        <w:t>.</w:t>
      </w:r>
      <w:r w:rsidRPr="004C5EC4">
        <w:rPr>
          <w:rFonts w:ascii="Palatino Linotype" w:eastAsia="Palatino Linotype" w:hAnsi="Palatino Linotype" w:cs="Palatino Linotype"/>
          <w:i/>
        </w:rPr>
        <w:t>” (Sic)</w:t>
      </w:r>
    </w:p>
    <w:p w14:paraId="538C085A" w14:textId="77777777" w:rsidR="00F616CD" w:rsidRPr="004C5EC4" w:rsidRDefault="00F616CD" w:rsidP="008860AA">
      <w:pPr>
        <w:spacing w:line="360" w:lineRule="auto"/>
        <w:ind w:left="567" w:right="567"/>
        <w:contextualSpacing/>
        <w:jc w:val="both"/>
        <w:rPr>
          <w:rFonts w:ascii="Palatino Linotype" w:eastAsia="Palatino Linotype" w:hAnsi="Palatino Linotype" w:cs="Palatino Linotype"/>
          <w:i/>
        </w:rPr>
      </w:pPr>
    </w:p>
    <w:p w14:paraId="3E29581F" w14:textId="77777777" w:rsidR="00F616CD" w:rsidRPr="004C5EC4" w:rsidRDefault="00F616CD" w:rsidP="008860AA">
      <w:pPr>
        <w:spacing w:line="360" w:lineRule="auto"/>
        <w:ind w:left="567" w:right="567"/>
        <w:contextualSpacing/>
        <w:jc w:val="both"/>
        <w:rPr>
          <w:rFonts w:ascii="Palatino Linotype" w:eastAsia="Palatino Linotype" w:hAnsi="Palatino Linotype" w:cs="Palatino Linotype"/>
          <w:b/>
          <w:i/>
        </w:rPr>
      </w:pPr>
      <w:r w:rsidRPr="004C5EC4">
        <w:rPr>
          <w:rFonts w:ascii="Palatino Linotype" w:eastAsia="Palatino Linotype" w:hAnsi="Palatino Linotype" w:cs="Palatino Linotype"/>
          <w:b/>
          <w:i/>
        </w:rPr>
        <w:t>RAZONES O MOTIVOS DE LA INCONFORMIDAD</w:t>
      </w:r>
    </w:p>
    <w:p w14:paraId="53268350" w14:textId="77777777" w:rsidR="00F616CD" w:rsidRDefault="00F616CD" w:rsidP="008860AA">
      <w:pPr>
        <w:spacing w:line="360" w:lineRule="auto"/>
        <w:ind w:left="567" w:right="567"/>
        <w:contextualSpacing/>
        <w:jc w:val="both"/>
        <w:rPr>
          <w:rFonts w:ascii="Palatino Linotype" w:eastAsia="Palatino Linotype" w:hAnsi="Palatino Linotype" w:cs="Palatino Linotype"/>
          <w:i/>
        </w:rPr>
      </w:pPr>
      <w:r w:rsidRPr="004C5EC4">
        <w:rPr>
          <w:rFonts w:ascii="Palatino Linotype" w:eastAsia="Palatino Linotype" w:hAnsi="Palatino Linotype" w:cs="Palatino Linotype"/>
          <w:i/>
          <w:color w:val="000000"/>
        </w:rPr>
        <w:t>“</w:t>
      </w:r>
      <w:r w:rsidR="004971AD" w:rsidRPr="004971AD">
        <w:rPr>
          <w:rFonts w:ascii="Palatino Linotype" w:eastAsia="Palatino Linotype" w:hAnsi="Palatino Linotype" w:cs="Palatino Linotype"/>
          <w:i/>
          <w:color w:val="000000"/>
        </w:rPr>
        <w:t>No cumplen con el derecho de saber niega la información</w:t>
      </w:r>
      <w:r w:rsidRPr="004C5EC4">
        <w:rPr>
          <w:rFonts w:ascii="Palatino Linotype" w:eastAsia="Palatino Linotype" w:hAnsi="Palatino Linotype" w:cs="Palatino Linotype"/>
          <w:i/>
          <w:color w:val="000000"/>
        </w:rPr>
        <w:t>.</w:t>
      </w:r>
      <w:r w:rsidR="008860AA">
        <w:rPr>
          <w:rFonts w:ascii="Palatino Linotype" w:eastAsia="Palatino Linotype" w:hAnsi="Palatino Linotype" w:cs="Palatino Linotype"/>
          <w:i/>
        </w:rPr>
        <w:t xml:space="preserve">” </w:t>
      </w:r>
      <w:r>
        <w:rPr>
          <w:rFonts w:ascii="Palatino Linotype" w:eastAsia="Palatino Linotype" w:hAnsi="Palatino Linotype" w:cs="Palatino Linotype"/>
          <w:i/>
        </w:rPr>
        <w:t>(Sic)</w:t>
      </w:r>
    </w:p>
    <w:p w14:paraId="07887D0A" w14:textId="77777777" w:rsidR="00F616CD" w:rsidRDefault="00F616CD" w:rsidP="008860AA">
      <w:pPr>
        <w:spacing w:line="360" w:lineRule="auto"/>
        <w:ind w:left="567" w:right="567"/>
        <w:contextualSpacing/>
        <w:jc w:val="both"/>
        <w:rPr>
          <w:rFonts w:ascii="Palatino Linotype" w:eastAsia="Palatino Linotype" w:hAnsi="Palatino Linotype" w:cs="Palatino Linotype"/>
          <w:i/>
        </w:rPr>
      </w:pPr>
    </w:p>
    <w:p w14:paraId="1A31AE78" w14:textId="77777777" w:rsidR="00F616CD" w:rsidRPr="00633419" w:rsidRDefault="00F616CD" w:rsidP="008860AA">
      <w:pPr>
        <w:pStyle w:val="Ttulo2"/>
        <w:spacing w:before="0" w:after="0" w:line="360" w:lineRule="auto"/>
        <w:contextualSpacing/>
        <w:rPr>
          <w:rFonts w:ascii="Palatino Linotype" w:hAnsi="Palatino Linotype"/>
          <w:b/>
          <w:bCs/>
          <w:color w:val="auto"/>
          <w:sz w:val="22"/>
          <w:szCs w:val="22"/>
        </w:rPr>
      </w:pPr>
      <w:bookmarkStart w:id="8" w:name="_Toc223020256"/>
      <w:r w:rsidRPr="00633419">
        <w:rPr>
          <w:rFonts w:ascii="Palatino Linotype" w:hAnsi="Palatino Linotype"/>
          <w:b/>
          <w:bCs/>
          <w:color w:val="auto"/>
          <w:sz w:val="22"/>
          <w:szCs w:val="22"/>
        </w:rPr>
        <w:t>IV. Trámite del Recurso de Revisión ante este Instituto</w:t>
      </w:r>
      <w:bookmarkEnd w:id="8"/>
    </w:p>
    <w:p w14:paraId="7EFEF028" w14:textId="77777777" w:rsidR="00F616CD" w:rsidRDefault="00F616CD" w:rsidP="008860AA">
      <w:pPr>
        <w:spacing w:line="360" w:lineRule="auto"/>
        <w:contextualSpacing/>
        <w:jc w:val="both"/>
        <w:rPr>
          <w:rFonts w:ascii="Palatino Linotype" w:eastAsia="Palatino Linotype" w:hAnsi="Palatino Linotype" w:cs="Palatino Linotype"/>
          <w:b/>
          <w:sz w:val="22"/>
          <w:szCs w:val="22"/>
        </w:rPr>
      </w:pPr>
    </w:p>
    <w:p w14:paraId="15502213" w14:textId="77777777" w:rsidR="00F616CD" w:rsidRDefault="00F616CD" w:rsidP="008860AA">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b/>
          <w:sz w:val="22"/>
          <w:szCs w:val="22"/>
        </w:rPr>
        <w:t xml:space="preserve">a) Turno del Recurso de Revisión. </w:t>
      </w:r>
      <w:r>
        <w:rPr>
          <w:rFonts w:ascii="Palatino Linotype" w:eastAsia="Palatino Linotype" w:hAnsi="Palatino Linotype" w:cs="Palatino Linotype"/>
          <w:sz w:val="22"/>
          <w:szCs w:val="22"/>
        </w:rPr>
        <w:t xml:space="preserve">El </w:t>
      </w:r>
      <w:r w:rsidR="004971AD">
        <w:rPr>
          <w:rFonts w:ascii="Palatino Linotype" w:eastAsia="Palatino Linotype" w:hAnsi="Palatino Linotype" w:cs="Palatino Linotype"/>
          <w:sz w:val="22"/>
          <w:szCs w:val="22"/>
        </w:rPr>
        <w:t>diez</w:t>
      </w:r>
      <w:r>
        <w:rPr>
          <w:rFonts w:ascii="Palatino Linotype" w:eastAsia="Palatino Linotype" w:hAnsi="Palatino Linotype" w:cs="Palatino Linotype"/>
          <w:sz w:val="22"/>
          <w:szCs w:val="22"/>
        </w:rPr>
        <w:t xml:space="preserve"> de diciembre de dos mil veinticinco, el SAIMEX, asignó el número de expediente </w:t>
      </w:r>
      <w:r w:rsidR="004971AD">
        <w:rPr>
          <w:rFonts w:ascii="Palatino Linotype" w:eastAsia="Palatino Linotype" w:hAnsi="Palatino Linotype" w:cs="Palatino Linotype"/>
          <w:b/>
          <w:sz w:val="22"/>
          <w:szCs w:val="22"/>
        </w:rPr>
        <w:t>01411</w:t>
      </w:r>
      <w:r>
        <w:rPr>
          <w:rFonts w:ascii="Palatino Linotype" w:eastAsia="Palatino Linotype" w:hAnsi="Palatino Linotype" w:cs="Palatino Linotype"/>
          <w:b/>
          <w:sz w:val="22"/>
          <w:szCs w:val="22"/>
        </w:rPr>
        <w:t>1/INFOEM/IP/RR/2025</w:t>
      </w:r>
      <w:r>
        <w:rPr>
          <w:rFonts w:ascii="Palatino Linotype" w:eastAsia="Palatino Linotype" w:hAnsi="Palatino Linotype" w:cs="Palatino Linotype"/>
          <w:sz w:val="22"/>
          <w:szCs w:val="22"/>
        </w:rPr>
        <w:t xml:space="preserve"> al medio de impugnación que nos ocupa, con base en el sistema aprobado por el Pleno de este Organismo Garante y lo turnó al Comisionado </w:t>
      </w:r>
      <w:r>
        <w:rPr>
          <w:rFonts w:ascii="Palatino Linotype" w:eastAsia="Palatino Linotype" w:hAnsi="Palatino Linotype" w:cs="Palatino Linotype"/>
          <w:b/>
          <w:sz w:val="22"/>
          <w:szCs w:val="22"/>
        </w:rPr>
        <w:t>Luis Gustavo Parra Noriega</w:t>
      </w:r>
      <w:r>
        <w:rPr>
          <w:rFonts w:ascii="Palatino Linotype" w:eastAsia="Palatino Linotype" w:hAnsi="Palatino Linotype" w:cs="Palatino Linotype"/>
          <w:sz w:val="22"/>
          <w:szCs w:val="22"/>
        </w:rPr>
        <w:t>, para los efectos del artículo 185, fracción I, de la Ley de Transparencia y Acceso a la Información Pública del Estado de México y Municipios.</w:t>
      </w:r>
    </w:p>
    <w:p w14:paraId="3E37E9FA" w14:textId="77777777" w:rsidR="00F616CD" w:rsidRDefault="00F616CD" w:rsidP="008860AA">
      <w:pPr>
        <w:spacing w:line="360" w:lineRule="auto"/>
        <w:contextualSpacing/>
        <w:jc w:val="both"/>
        <w:rPr>
          <w:rFonts w:ascii="Palatino Linotype" w:eastAsia="Palatino Linotype" w:hAnsi="Palatino Linotype" w:cs="Palatino Linotype"/>
          <w:b/>
          <w:sz w:val="22"/>
          <w:szCs w:val="22"/>
        </w:rPr>
      </w:pPr>
    </w:p>
    <w:p w14:paraId="0217E2B5" w14:textId="77777777" w:rsidR="00F616CD" w:rsidRDefault="00F616CD" w:rsidP="008860AA">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b/>
          <w:sz w:val="22"/>
          <w:szCs w:val="22"/>
        </w:rPr>
        <w:t xml:space="preserve">b) Admisión del Recurso de Revisión. </w:t>
      </w:r>
      <w:r>
        <w:rPr>
          <w:rFonts w:ascii="Palatino Linotype" w:eastAsia="Palatino Linotype" w:hAnsi="Palatino Linotype" w:cs="Palatino Linotype"/>
          <w:sz w:val="22"/>
          <w:szCs w:val="22"/>
        </w:rPr>
        <w:t xml:space="preserve">El </w:t>
      </w:r>
      <w:r w:rsidR="004971AD">
        <w:rPr>
          <w:rFonts w:ascii="Palatino Linotype" w:eastAsia="Palatino Linotype" w:hAnsi="Palatino Linotype" w:cs="Palatino Linotype"/>
          <w:sz w:val="22"/>
          <w:szCs w:val="22"/>
        </w:rPr>
        <w:t>quince</w:t>
      </w:r>
      <w:r>
        <w:rPr>
          <w:rFonts w:ascii="Palatino Linotype" w:eastAsia="Palatino Linotype" w:hAnsi="Palatino Linotype" w:cs="Palatino Linotype"/>
          <w:sz w:val="22"/>
          <w:szCs w:val="22"/>
        </w:rPr>
        <w:t xml:space="preserve"> de diciembre de dos mil veinticinco, se acordó la admisión del Recurso de Revisión, interpuesto por la Recurrente, en contra del Sujeto Obligado, en términos del artículo 185, fracciones I y II, de la Ley de Transparencia y Acceso a la Información Pública del Estado de México y Municipios, el cual fue notificado a las partes el </w:t>
      </w:r>
      <w:r w:rsidR="004971AD">
        <w:rPr>
          <w:rFonts w:ascii="Palatino Linotype" w:eastAsia="Palatino Linotype" w:hAnsi="Palatino Linotype" w:cs="Palatino Linotype"/>
          <w:sz w:val="22"/>
          <w:szCs w:val="22"/>
        </w:rPr>
        <w:t>dieciséis de dicho mes y año</w:t>
      </w:r>
      <w:r>
        <w:rPr>
          <w:rFonts w:ascii="Palatino Linotype" w:eastAsia="Palatino Linotype" w:hAnsi="Palatino Linotype" w:cs="Palatino Linotype"/>
          <w:sz w:val="22"/>
          <w:szCs w:val="22"/>
        </w:rPr>
        <w:t xml:space="preserve">, a través del SAIMEX, en el que se les otorgó un </w:t>
      </w:r>
      <w:r>
        <w:rPr>
          <w:rFonts w:ascii="Palatino Linotype" w:eastAsia="Palatino Linotype" w:hAnsi="Palatino Linotype" w:cs="Palatino Linotype"/>
          <w:sz w:val="22"/>
          <w:szCs w:val="22"/>
        </w:rPr>
        <w:lastRenderedPageBreak/>
        <w:t>plazo de siete días hábiles posteriores a la misma, para que manifestaran lo que a su derecho conviniera y formularan alegatos.</w:t>
      </w:r>
    </w:p>
    <w:p w14:paraId="6960E6C9" w14:textId="77777777" w:rsidR="00F616CD" w:rsidRDefault="00F616CD" w:rsidP="008860AA">
      <w:pPr>
        <w:spacing w:line="360" w:lineRule="auto"/>
        <w:contextualSpacing/>
        <w:jc w:val="both"/>
        <w:rPr>
          <w:rFonts w:ascii="Palatino Linotype" w:eastAsia="Palatino Linotype" w:hAnsi="Palatino Linotype" w:cs="Palatino Linotype"/>
          <w:sz w:val="22"/>
          <w:szCs w:val="22"/>
        </w:rPr>
      </w:pPr>
    </w:p>
    <w:p w14:paraId="45828D3B" w14:textId="77777777" w:rsidR="00F616CD" w:rsidRDefault="00F616CD" w:rsidP="008860AA">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b/>
          <w:sz w:val="22"/>
          <w:szCs w:val="22"/>
        </w:rPr>
        <w:t xml:space="preserve">c) Informe Justificado. </w:t>
      </w:r>
      <w:r w:rsidR="004971AD">
        <w:rPr>
          <w:rFonts w:ascii="Palatino Linotype" w:eastAsia="Palatino Linotype" w:hAnsi="Palatino Linotype" w:cs="Palatino Linotype"/>
          <w:sz w:val="22"/>
          <w:szCs w:val="22"/>
        </w:rPr>
        <w:t xml:space="preserve">El siete, </w:t>
      </w:r>
      <w:r>
        <w:rPr>
          <w:rFonts w:ascii="Palatino Linotype" w:eastAsia="Palatino Linotype" w:hAnsi="Palatino Linotype" w:cs="Palatino Linotype"/>
          <w:sz w:val="22"/>
          <w:szCs w:val="22"/>
        </w:rPr>
        <w:t>nueve</w:t>
      </w:r>
      <w:r w:rsidR="004971AD">
        <w:rPr>
          <w:rFonts w:ascii="Palatino Linotype" w:eastAsia="Palatino Linotype" w:hAnsi="Palatino Linotype" w:cs="Palatino Linotype"/>
          <w:sz w:val="22"/>
          <w:szCs w:val="22"/>
        </w:rPr>
        <w:t xml:space="preserve"> y trece</w:t>
      </w:r>
      <w:r>
        <w:rPr>
          <w:rFonts w:ascii="Palatino Linotype" w:eastAsia="Palatino Linotype" w:hAnsi="Palatino Linotype" w:cs="Palatino Linotype"/>
          <w:sz w:val="22"/>
          <w:szCs w:val="22"/>
        </w:rPr>
        <w:t xml:space="preserve"> de enero de dos mil veintiséis, se recibió, a través del SAIMEX, el informe justificado</w:t>
      </w:r>
      <w:r>
        <w:rPr>
          <w:rFonts w:ascii="Palatino Linotype" w:eastAsia="Palatino Linotype" w:hAnsi="Palatino Linotype" w:cs="Palatino Linotype"/>
          <w:color w:val="0D0D0D"/>
          <w:sz w:val="22"/>
          <w:szCs w:val="22"/>
        </w:rPr>
        <w:t xml:space="preserve"> </w:t>
      </w:r>
      <w:r>
        <w:rPr>
          <w:rFonts w:ascii="Palatino Linotype" w:eastAsia="Palatino Linotype" w:hAnsi="Palatino Linotype" w:cs="Palatino Linotype"/>
          <w:sz w:val="22"/>
          <w:szCs w:val="22"/>
        </w:rPr>
        <w:t>por medio de la digitalización de los documentos siguientes:</w:t>
      </w:r>
    </w:p>
    <w:p w14:paraId="3C70E39B" w14:textId="77777777" w:rsidR="00F616CD" w:rsidRDefault="00F616CD" w:rsidP="008860AA">
      <w:pPr>
        <w:spacing w:line="360" w:lineRule="auto"/>
        <w:contextualSpacing/>
        <w:jc w:val="both"/>
        <w:rPr>
          <w:rFonts w:ascii="Palatino Linotype" w:eastAsia="Palatino Linotype" w:hAnsi="Palatino Linotype" w:cs="Palatino Linotype"/>
          <w:sz w:val="22"/>
          <w:szCs w:val="22"/>
        </w:rPr>
      </w:pPr>
    </w:p>
    <w:p w14:paraId="51D87C9C" w14:textId="77777777" w:rsidR="00F616CD" w:rsidRDefault="00F616CD" w:rsidP="008860AA">
      <w:pPr>
        <w:spacing w:line="360" w:lineRule="auto"/>
        <w:contextualSpacing/>
        <w:jc w:val="both"/>
        <w:rPr>
          <w:rFonts w:ascii="Palatino Linotype" w:eastAsia="Palatino Linotype" w:hAnsi="Palatino Linotype" w:cs="Palatino Linotype"/>
          <w:sz w:val="22"/>
          <w:szCs w:val="22"/>
        </w:rPr>
      </w:pPr>
      <w:r w:rsidRPr="00F3590C">
        <w:rPr>
          <w:rFonts w:ascii="Palatino Linotype" w:eastAsia="Palatino Linotype" w:hAnsi="Palatino Linotype" w:cs="Palatino Linotype"/>
          <w:sz w:val="22"/>
          <w:szCs w:val="22"/>
        </w:rPr>
        <w:t>i)</w:t>
      </w:r>
      <w:r>
        <w:rPr>
          <w:rFonts w:ascii="Palatino Linotype" w:eastAsia="Palatino Linotype" w:hAnsi="Palatino Linotype" w:cs="Palatino Linotype"/>
          <w:sz w:val="22"/>
          <w:szCs w:val="22"/>
        </w:rPr>
        <w:t xml:space="preserve"> </w:t>
      </w:r>
      <w:r w:rsidRPr="00F3590C">
        <w:rPr>
          <w:rFonts w:ascii="Palatino Linotype" w:eastAsia="Palatino Linotype" w:hAnsi="Palatino Linotype" w:cs="Palatino Linotype"/>
          <w:sz w:val="22"/>
          <w:szCs w:val="22"/>
        </w:rPr>
        <w:t>Oficio sin número de fecha de su presentación, suscrito por el Titular de la Unidad de Transparencia, dirigido al Comisionado Ponente, a través del cual manifiesta y expone que la</w:t>
      </w:r>
      <w:r>
        <w:rPr>
          <w:rFonts w:ascii="Palatino Linotype" w:eastAsia="Palatino Linotype" w:hAnsi="Palatino Linotype" w:cs="Palatino Linotype"/>
          <w:sz w:val="22"/>
          <w:szCs w:val="22"/>
        </w:rPr>
        <w:t xml:space="preserve"> </w:t>
      </w:r>
      <w:r w:rsidR="004971AD">
        <w:rPr>
          <w:rFonts w:ascii="Palatino Linotype" w:eastAsia="Palatino Linotype" w:hAnsi="Palatino Linotype" w:cs="Palatino Linotype"/>
          <w:sz w:val="22"/>
          <w:szCs w:val="22"/>
        </w:rPr>
        <w:t>Tesorería Municipal y la Dirección General de Obras Públicas</w:t>
      </w:r>
      <w:r>
        <w:rPr>
          <w:rFonts w:ascii="Palatino Linotype" w:eastAsia="Palatino Linotype" w:hAnsi="Palatino Linotype" w:cs="Palatino Linotype"/>
          <w:sz w:val="22"/>
          <w:szCs w:val="22"/>
        </w:rPr>
        <w:t xml:space="preserve"> </w:t>
      </w:r>
      <w:r w:rsidRPr="00F3590C">
        <w:rPr>
          <w:rFonts w:ascii="Palatino Linotype" w:eastAsia="Palatino Linotype" w:hAnsi="Palatino Linotype" w:cs="Palatino Linotype"/>
          <w:sz w:val="22"/>
          <w:szCs w:val="22"/>
        </w:rPr>
        <w:t>ratifica</w:t>
      </w:r>
      <w:r>
        <w:rPr>
          <w:rFonts w:ascii="Palatino Linotype" w:eastAsia="Palatino Linotype" w:hAnsi="Palatino Linotype" w:cs="Palatino Linotype"/>
          <w:sz w:val="22"/>
          <w:szCs w:val="22"/>
        </w:rPr>
        <w:t>n</w:t>
      </w:r>
      <w:r w:rsidRPr="00F3590C">
        <w:rPr>
          <w:rFonts w:ascii="Palatino Linotype" w:eastAsia="Palatino Linotype" w:hAnsi="Palatino Linotype" w:cs="Palatino Linotype"/>
          <w:sz w:val="22"/>
          <w:szCs w:val="22"/>
        </w:rPr>
        <w:t xml:space="preserve"> su respuesta inicial.</w:t>
      </w:r>
    </w:p>
    <w:p w14:paraId="79315B90" w14:textId="77777777" w:rsidR="00F616CD" w:rsidRDefault="00F616CD" w:rsidP="008860AA">
      <w:pPr>
        <w:spacing w:line="360" w:lineRule="auto"/>
        <w:contextualSpacing/>
        <w:jc w:val="both"/>
        <w:rPr>
          <w:rFonts w:ascii="Palatino Linotype" w:eastAsia="Palatino Linotype" w:hAnsi="Palatino Linotype" w:cs="Palatino Linotype"/>
          <w:sz w:val="22"/>
          <w:szCs w:val="22"/>
        </w:rPr>
      </w:pPr>
    </w:p>
    <w:p w14:paraId="75929CEB" w14:textId="77777777" w:rsidR="004971AD" w:rsidRPr="004C5EC4" w:rsidRDefault="004971AD" w:rsidP="008860AA">
      <w:pPr>
        <w:tabs>
          <w:tab w:val="left" w:pos="4667"/>
        </w:tabs>
        <w:spacing w:line="360" w:lineRule="auto"/>
        <w:contextualSpacing/>
        <w:jc w:val="both"/>
        <w:rPr>
          <w:rFonts w:ascii="Palatino Linotype" w:eastAsia="Palatino Linotype" w:hAnsi="Palatino Linotype" w:cs="Palatino Linotype"/>
          <w:sz w:val="22"/>
          <w:szCs w:val="22"/>
        </w:rPr>
      </w:pPr>
      <w:r w:rsidRPr="004C5EC4">
        <w:rPr>
          <w:rFonts w:ascii="Palatino Linotype" w:eastAsia="Palatino Linotype" w:hAnsi="Palatino Linotype" w:cs="Palatino Linotype"/>
          <w:sz w:val="22"/>
          <w:szCs w:val="22"/>
        </w:rPr>
        <w:t>i</w:t>
      </w:r>
      <w:r>
        <w:rPr>
          <w:rFonts w:ascii="Palatino Linotype" w:eastAsia="Palatino Linotype" w:hAnsi="Palatino Linotype" w:cs="Palatino Linotype"/>
          <w:sz w:val="22"/>
          <w:szCs w:val="22"/>
        </w:rPr>
        <w:t>i</w:t>
      </w:r>
      <w:r w:rsidRPr="004C5EC4">
        <w:rPr>
          <w:rFonts w:ascii="Palatino Linotype" w:eastAsia="Palatino Linotype" w:hAnsi="Palatino Linotype" w:cs="Palatino Linotype"/>
          <w:sz w:val="22"/>
          <w:szCs w:val="22"/>
        </w:rPr>
        <w:t>)</w:t>
      </w:r>
      <w:r>
        <w:rPr>
          <w:rFonts w:ascii="Palatino Linotype" w:eastAsia="Palatino Linotype" w:hAnsi="Palatino Linotype" w:cs="Palatino Linotype"/>
          <w:sz w:val="22"/>
          <w:szCs w:val="22"/>
        </w:rPr>
        <w:t xml:space="preserve"> </w:t>
      </w:r>
      <w:r w:rsidRPr="004C5EC4">
        <w:rPr>
          <w:rFonts w:ascii="Palatino Linotype" w:eastAsia="Palatino Linotype" w:hAnsi="Palatino Linotype" w:cs="Palatino Linotype"/>
          <w:sz w:val="22"/>
          <w:szCs w:val="22"/>
        </w:rPr>
        <w:t>Oficio</w:t>
      </w:r>
      <w:r>
        <w:rPr>
          <w:rFonts w:ascii="Palatino Linotype" w:eastAsia="Palatino Linotype" w:hAnsi="Palatino Linotype" w:cs="Palatino Linotype"/>
          <w:sz w:val="22"/>
          <w:szCs w:val="22"/>
        </w:rPr>
        <w:t xml:space="preserve"> </w:t>
      </w:r>
      <w:r w:rsidRPr="004C5EC4">
        <w:rPr>
          <w:rFonts w:ascii="Palatino Linotype" w:eastAsia="Palatino Linotype" w:hAnsi="Palatino Linotype" w:cs="Palatino Linotype"/>
          <w:sz w:val="22"/>
          <w:szCs w:val="22"/>
        </w:rPr>
        <w:t>número</w:t>
      </w:r>
      <w:r>
        <w:rPr>
          <w:rFonts w:ascii="Palatino Linotype" w:eastAsia="Palatino Linotype" w:hAnsi="Palatino Linotype" w:cs="Palatino Linotype"/>
          <w:sz w:val="22"/>
          <w:szCs w:val="22"/>
        </w:rPr>
        <w:t xml:space="preserve"> 210010000/0005/2025</w:t>
      </w:r>
      <w:r w:rsidRPr="004C5EC4">
        <w:rPr>
          <w:rFonts w:ascii="Palatino Linotype" w:eastAsia="Palatino Linotype" w:hAnsi="Palatino Linotype" w:cs="Palatino Linotype"/>
          <w:sz w:val="22"/>
          <w:szCs w:val="22"/>
        </w:rPr>
        <w:t xml:space="preserve">, del </w:t>
      </w:r>
      <w:r>
        <w:rPr>
          <w:rFonts w:ascii="Palatino Linotype" w:eastAsia="Palatino Linotype" w:hAnsi="Palatino Linotype" w:cs="Palatino Linotype"/>
          <w:sz w:val="22"/>
          <w:szCs w:val="22"/>
        </w:rPr>
        <w:t>siete de enero de dos mil veintiséis</w:t>
      </w:r>
      <w:r w:rsidRPr="004C5EC4">
        <w:rPr>
          <w:rFonts w:ascii="Palatino Linotype" w:eastAsia="Palatino Linotype" w:hAnsi="Palatino Linotype" w:cs="Palatino Linotype"/>
          <w:sz w:val="22"/>
          <w:szCs w:val="22"/>
        </w:rPr>
        <w:t xml:space="preserve">, suscrito por </w:t>
      </w:r>
      <w:r>
        <w:rPr>
          <w:rFonts w:ascii="Palatino Linotype" w:eastAsia="Palatino Linotype" w:hAnsi="Palatino Linotype" w:cs="Palatino Linotype"/>
          <w:sz w:val="22"/>
          <w:szCs w:val="22"/>
        </w:rPr>
        <w:t>e</w:t>
      </w:r>
      <w:r w:rsidRPr="004C5EC4">
        <w:rPr>
          <w:rFonts w:ascii="Palatino Linotype" w:eastAsia="Palatino Linotype" w:hAnsi="Palatino Linotype" w:cs="Palatino Linotype"/>
          <w:sz w:val="22"/>
          <w:szCs w:val="22"/>
        </w:rPr>
        <w:t>l</w:t>
      </w:r>
      <w:r>
        <w:rPr>
          <w:rFonts w:ascii="Palatino Linotype" w:eastAsia="Palatino Linotype" w:hAnsi="Palatino Linotype" w:cs="Palatino Linotype"/>
          <w:sz w:val="22"/>
          <w:szCs w:val="22"/>
        </w:rPr>
        <w:t xml:space="preserve"> Director General de Obras Públicas, dirigido al</w:t>
      </w:r>
      <w:r w:rsidRPr="004C5EC4">
        <w:rPr>
          <w:rFonts w:ascii="Palatino Linotype" w:eastAsia="Palatino Linotype" w:hAnsi="Palatino Linotype" w:cs="Palatino Linotype"/>
          <w:sz w:val="22"/>
          <w:szCs w:val="22"/>
        </w:rPr>
        <w:t xml:space="preserve"> Titular de la Unidad de Transparencia,</w:t>
      </w:r>
      <w:r>
        <w:rPr>
          <w:rFonts w:ascii="Palatino Linotype" w:eastAsia="Palatino Linotype" w:hAnsi="Palatino Linotype" w:cs="Palatino Linotype"/>
          <w:sz w:val="22"/>
          <w:szCs w:val="22"/>
        </w:rPr>
        <w:t xml:space="preserve"> </w:t>
      </w:r>
      <w:r w:rsidRPr="004C5EC4">
        <w:rPr>
          <w:rFonts w:ascii="Palatino Linotype" w:eastAsia="Palatino Linotype" w:hAnsi="Palatino Linotype" w:cs="Palatino Linotype"/>
          <w:sz w:val="22"/>
          <w:szCs w:val="22"/>
        </w:rPr>
        <w:t>a través del cual</w:t>
      </w:r>
      <w:r>
        <w:rPr>
          <w:rFonts w:ascii="Palatino Linotype" w:eastAsia="Palatino Linotype" w:hAnsi="Palatino Linotype" w:cs="Palatino Linotype"/>
          <w:sz w:val="22"/>
          <w:szCs w:val="22"/>
        </w:rPr>
        <w:t xml:space="preserve"> </w:t>
      </w:r>
      <w:r w:rsidR="008860AA">
        <w:rPr>
          <w:rFonts w:ascii="Palatino Linotype" w:eastAsia="Palatino Linotype" w:hAnsi="Palatino Linotype" w:cs="Palatino Linotype"/>
          <w:sz w:val="22"/>
          <w:szCs w:val="22"/>
        </w:rPr>
        <w:t>esencialmente ratifica su respuesta inicial.</w:t>
      </w:r>
    </w:p>
    <w:p w14:paraId="149ADC15" w14:textId="77777777" w:rsidR="004971AD" w:rsidRDefault="004971AD" w:rsidP="008860AA">
      <w:pPr>
        <w:spacing w:line="360" w:lineRule="auto"/>
        <w:contextualSpacing/>
        <w:jc w:val="both"/>
        <w:rPr>
          <w:rFonts w:eastAsia="Palatino Linotype"/>
        </w:rPr>
      </w:pPr>
    </w:p>
    <w:p w14:paraId="13F9DD16" w14:textId="77777777" w:rsidR="00F616CD" w:rsidRDefault="004971AD" w:rsidP="008860AA">
      <w:pPr>
        <w:tabs>
          <w:tab w:val="left" w:pos="4667"/>
        </w:tabs>
        <w:spacing w:line="360" w:lineRule="auto"/>
        <w:contextualSpacing/>
        <w:jc w:val="both"/>
        <w:rPr>
          <w:rFonts w:ascii="Palatino Linotype" w:eastAsia="Palatino Linotype" w:hAnsi="Palatino Linotype" w:cs="Palatino Linotype"/>
          <w:sz w:val="22"/>
          <w:szCs w:val="22"/>
        </w:rPr>
      </w:pPr>
      <w:r w:rsidRPr="004C5EC4">
        <w:rPr>
          <w:rFonts w:ascii="Palatino Linotype" w:eastAsia="Palatino Linotype" w:hAnsi="Palatino Linotype" w:cs="Palatino Linotype"/>
          <w:sz w:val="22"/>
          <w:szCs w:val="22"/>
        </w:rPr>
        <w:t>i</w:t>
      </w:r>
      <w:r>
        <w:rPr>
          <w:rFonts w:ascii="Palatino Linotype" w:eastAsia="Palatino Linotype" w:hAnsi="Palatino Linotype" w:cs="Palatino Linotype"/>
          <w:sz w:val="22"/>
          <w:szCs w:val="22"/>
        </w:rPr>
        <w:t>i</w:t>
      </w:r>
      <w:r w:rsidRPr="004C5EC4">
        <w:rPr>
          <w:rFonts w:ascii="Palatino Linotype" w:eastAsia="Palatino Linotype" w:hAnsi="Palatino Linotype" w:cs="Palatino Linotype"/>
          <w:sz w:val="22"/>
          <w:szCs w:val="22"/>
        </w:rPr>
        <w:t>)</w:t>
      </w:r>
      <w:r>
        <w:rPr>
          <w:rFonts w:ascii="Palatino Linotype" w:eastAsia="Palatino Linotype" w:hAnsi="Palatino Linotype" w:cs="Palatino Linotype"/>
          <w:sz w:val="22"/>
          <w:szCs w:val="22"/>
        </w:rPr>
        <w:t xml:space="preserve"> </w:t>
      </w:r>
      <w:r w:rsidRPr="004C5EC4">
        <w:rPr>
          <w:rFonts w:ascii="Palatino Linotype" w:eastAsia="Palatino Linotype" w:hAnsi="Palatino Linotype" w:cs="Palatino Linotype"/>
          <w:sz w:val="22"/>
          <w:szCs w:val="22"/>
        </w:rPr>
        <w:t>Oficio</w:t>
      </w:r>
      <w:r>
        <w:rPr>
          <w:rFonts w:ascii="Palatino Linotype" w:eastAsia="Palatino Linotype" w:hAnsi="Palatino Linotype" w:cs="Palatino Linotype"/>
          <w:sz w:val="22"/>
          <w:szCs w:val="22"/>
        </w:rPr>
        <w:t xml:space="preserve"> </w:t>
      </w:r>
      <w:r w:rsidRPr="004C5EC4">
        <w:rPr>
          <w:rFonts w:ascii="Palatino Linotype" w:eastAsia="Palatino Linotype" w:hAnsi="Palatino Linotype" w:cs="Palatino Linotype"/>
          <w:sz w:val="22"/>
          <w:szCs w:val="22"/>
        </w:rPr>
        <w:t>número</w:t>
      </w:r>
      <w:r w:rsidR="008860AA">
        <w:rPr>
          <w:rFonts w:ascii="Palatino Linotype" w:eastAsia="Palatino Linotype" w:hAnsi="Palatino Linotype" w:cs="Palatino Linotype"/>
          <w:sz w:val="22"/>
          <w:szCs w:val="22"/>
        </w:rPr>
        <w:t xml:space="preserve"> 202010000/4118</w:t>
      </w:r>
      <w:r>
        <w:rPr>
          <w:rFonts w:ascii="Palatino Linotype" w:eastAsia="Palatino Linotype" w:hAnsi="Palatino Linotype" w:cs="Palatino Linotype"/>
          <w:sz w:val="22"/>
          <w:szCs w:val="22"/>
        </w:rPr>
        <w:t>/2025</w:t>
      </w:r>
      <w:r w:rsidRPr="004C5EC4">
        <w:rPr>
          <w:rFonts w:ascii="Palatino Linotype" w:eastAsia="Palatino Linotype" w:hAnsi="Palatino Linotype" w:cs="Palatino Linotype"/>
          <w:sz w:val="22"/>
          <w:szCs w:val="22"/>
        </w:rPr>
        <w:t xml:space="preserve">, del </w:t>
      </w:r>
      <w:r w:rsidR="008860AA">
        <w:rPr>
          <w:rFonts w:ascii="Palatino Linotype" w:eastAsia="Palatino Linotype" w:hAnsi="Palatino Linotype" w:cs="Palatino Linotype"/>
          <w:sz w:val="22"/>
          <w:szCs w:val="22"/>
        </w:rPr>
        <w:t>veintidós de diciembre</w:t>
      </w:r>
      <w:r w:rsidRPr="004C5EC4">
        <w:rPr>
          <w:rFonts w:ascii="Palatino Linotype" w:eastAsia="Palatino Linotype" w:hAnsi="Palatino Linotype" w:cs="Palatino Linotype"/>
          <w:sz w:val="22"/>
          <w:szCs w:val="22"/>
        </w:rPr>
        <w:t xml:space="preserve"> de dos mil veinticinco, suscrito por </w:t>
      </w:r>
      <w:r>
        <w:rPr>
          <w:rFonts w:ascii="Palatino Linotype" w:eastAsia="Palatino Linotype" w:hAnsi="Palatino Linotype" w:cs="Palatino Linotype"/>
          <w:sz w:val="22"/>
          <w:szCs w:val="22"/>
        </w:rPr>
        <w:t>e</w:t>
      </w:r>
      <w:r w:rsidRPr="004C5EC4">
        <w:rPr>
          <w:rFonts w:ascii="Palatino Linotype" w:eastAsia="Palatino Linotype" w:hAnsi="Palatino Linotype" w:cs="Palatino Linotype"/>
          <w:sz w:val="22"/>
          <w:szCs w:val="22"/>
        </w:rPr>
        <w:t>l</w:t>
      </w:r>
      <w:r>
        <w:rPr>
          <w:rFonts w:ascii="Palatino Linotype" w:eastAsia="Palatino Linotype" w:hAnsi="Palatino Linotype" w:cs="Palatino Linotype"/>
          <w:sz w:val="22"/>
          <w:szCs w:val="22"/>
        </w:rPr>
        <w:t xml:space="preserve"> Tesorero Municipal, dirigido al</w:t>
      </w:r>
      <w:r w:rsidRPr="004C5EC4">
        <w:rPr>
          <w:rFonts w:ascii="Palatino Linotype" w:eastAsia="Palatino Linotype" w:hAnsi="Palatino Linotype" w:cs="Palatino Linotype"/>
          <w:sz w:val="22"/>
          <w:szCs w:val="22"/>
        </w:rPr>
        <w:t xml:space="preserve"> Titular de la Unidad de Transparencia,</w:t>
      </w:r>
      <w:r>
        <w:rPr>
          <w:rFonts w:ascii="Palatino Linotype" w:eastAsia="Palatino Linotype" w:hAnsi="Palatino Linotype" w:cs="Palatino Linotype"/>
          <w:sz w:val="22"/>
          <w:szCs w:val="22"/>
        </w:rPr>
        <w:t xml:space="preserve"> </w:t>
      </w:r>
      <w:r w:rsidRPr="004C5EC4">
        <w:rPr>
          <w:rFonts w:ascii="Palatino Linotype" w:eastAsia="Palatino Linotype" w:hAnsi="Palatino Linotype" w:cs="Palatino Linotype"/>
          <w:sz w:val="22"/>
          <w:szCs w:val="22"/>
        </w:rPr>
        <w:t>a través del cual</w:t>
      </w:r>
      <w:r>
        <w:rPr>
          <w:rFonts w:ascii="Palatino Linotype" w:eastAsia="Palatino Linotype" w:hAnsi="Palatino Linotype" w:cs="Palatino Linotype"/>
          <w:sz w:val="22"/>
          <w:szCs w:val="22"/>
        </w:rPr>
        <w:t xml:space="preserve"> </w:t>
      </w:r>
      <w:r w:rsidR="008860AA">
        <w:rPr>
          <w:rFonts w:ascii="Palatino Linotype" w:eastAsia="Palatino Linotype" w:hAnsi="Palatino Linotype" w:cs="Palatino Linotype"/>
          <w:sz w:val="22"/>
          <w:szCs w:val="22"/>
        </w:rPr>
        <w:t>esencialmente ratifica su respuesta inicial.</w:t>
      </w:r>
    </w:p>
    <w:p w14:paraId="73A34518" w14:textId="77777777" w:rsidR="008860AA" w:rsidRPr="008860AA" w:rsidRDefault="008860AA" w:rsidP="008860AA">
      <w:pPr>
        <w:tabs>
          <w:tab w:val="left" w:pos="4667"/>
        </w:tabs>
        <w:spacing w:line="360" w:lineRule="auto"/>
        <w:contextualSpacing/>
        <w:jc w:val="both"/>
        <w:rPr>
          <w:rFonts w:ascii="Palatino Linotype" w:eastAsia="Palatino Linotype" w:hAnsi="Palatino Linotype" w:cs="Palatino Linotype"/>
          <w:sz w:val="22"/>
          <w:szCs w:val="22"/>
        </w:rPr>
      </w:pPr>
    </w:p>
    <w:p w14:paraId="599E9B16" w14:textId="77777777" w:rsidR="00F616CD" w:rsidRDefault="00F616CD" w:rsidP="008860AA">
      <w:pPr>
        <w:spacing w:line="360" w:lineRule="auto"/>
        <w:contextualSpacing/>
        <w:jc w:val="both"/>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sz w:val="22"/>
          <w:szCs w:val="22"/>
        </w:rPr>
        <w:t xml:space="preserve">d) Vista del informe justificado. </w:t>
      </w:r>
      <w:r>
        <w:rPr>
          <w:rFonts w:ascii="Palatino Linotype" w:eastAsia="Palatino Linotype" w:hAnsi="Palatino Linotype" w:cs="Palatino Linotype"/>
          <w:sz w:val="22"/>
          <w:szCs w:val="22"/>
        </w:rPr>
        <w:t xml:space="preserve">El dieciocho de febrero de dos mil veintiséis, se dictó acuerdo mediante el cual se puso a la vista del Particular, el Informe Justificado entregado por el Sujeto Obligado, el cual fue notificado, a través del SAIMEX, el mismo día. </w:t>
      </w:r>
    </w:p>
    <w:p w14:paraId="34B06E17" w14:textId="77777777" w:rsidR="00F616CD" w:rsidRDefault="00F616CD" w:rsidP="008860AA">
      <w:pPr>
        <w:spacing w:line="360" w:lineRule="auto"/>
        <w:contextualSpacing/>
        <w:jc w:val="both"/>
        <w:rPr>
          <w:rFonts w:ascii="Palatino Linotype" w:eastAsia="Palatino Linotype" w:hAnsi="Palatino Linotype" w:cs="Palatino Linotype"/>
          <w:b/>
          <w:sz w:val="22"/>
          <w:szCs w:val="22"/>
        </w:rPr>
      </w:pPr>
    </w:p>
    <w:p w14:paraId="6F7C2CB0" w14:textId="77777777" w:rsidR="00F616CD" w:rsidRDefault="00F616CD" w:rsidP="008860AA">
      <w:pPr>
        <w:spacing w:line="360" w:lineRule="auto"/>
        <w:contextualSpacing/>
        <w:jc w:val="both"/>
        <w:rPr>
          <w:rFonts w:ascii="Palatino Linotype" w:eastAsia="Palatino Linotype" w:hAnsi="Palatino Linotype" w:cs="Palatino Linotype"/>
          <w:b/>
          <w:sz w:val="22"/>
          <w:szCs w:val="22"/>
        </w:rPr>
      </w:pPr>
      <w:bookmarkStart w:id="9" w:name="_heading=h.9qpj1ejz85lp" w:colFirst="0" w:colLast="0"/>
      <w:bookmarkEnd w:id="9"/>
      <w:r>
        <w:rPr>
          <w:rFonts w:ascii="Palatino Linotype" w:eastAsia="Palatino Linotype" w:hAnsi="Palatino Linotype" w:cs="Palatino Linotype"/>
          <w:b/>
          <w:sz w:val="22"/>
          <w:szCs w:val="22"/>
        </w:rPr>
        <w:t xml:space="preserve">e) Ampliación de plazo para resolver. </w:t>
      </w:r>
      <w:r>
        <w:rPr>
          <w:rFonts w:ascii="Palatino Linotype" w:eastAsia="Palatino Linotype" w:hAnsi="Palatino Linotype" w:cs="Palatino Linotype"/>
          <w:sz w:val="22"/>
          <w:szCs w:val="22"/>
        </w:rPr>
        <w:t xml:space="preserve">El dieciocho de febrero de dos mil veintiséis, el Comisionado Ponente, con fundamento en lo dispuesto por el artículo 181, párrafo tercero, de la Ley de Transparencia y Acceso a la Información Pública del Estado de México y </w:t>
      </w:r>
      <w:r>
        <w:rPr>
          <w:rFonts w:ascii="Palatino Linotype" w:eastAsia="Palatino Linotype" w:hAnsi="Palatino Linotype" w:cs="Palatino Linotype"/>
          <w:sz w:val="22"/>
          <w:szCs w:val="22"/>
        </w:rPr>
        <w:lastRenderedPageBreak/>
        <w:t>Municipios, acordó ampliar por un periodo de quince días hábiles, el plazo para resolver el Recurso de Revisión que nos ocupa; acto que fue notificado a las partes, mediante el Sistema de Acceso a la Información Mexiquense (SAIMEX), el mismo día.</w:t>
      </w:r>
    </w:p>
    <w:p w14:paraId="09CB4EF5" w14:textId="77777777" w:rsidR="00F616CD" w:rsidRDefault="00F616CD" w:rsidP="008860AA">
      <w:pPr>
        <w:spacing w:line="360" w:lineRule="auto"/>
        <w:contextualSpacing/>
        <w:jc w:val="both"/>
        <w:rPr>
          <w:rFonts w:ascii="Palatino Linotype" w:eastAsia="Palatino Linotype" w:hAnsi="Palatino Linotype" w:cs="Palatino Linotype"/>
          <w:b/>
          <w:sz w:val="22"/>
          <w:szCs w:val="22"/>
        </w:rPr>
      </w:pPr>
    </w:p>
    <w:p w14:paraId="57A0B996" w14:textId="77777777" w:rsidR="00F616CD" w:rsidRDefault="00F616CD" w:rsidP="008860AA">
      <w:pPr>
        <w:spacing w:line="360" w:lineRule="auto"/>
        <w:contextualSpacing/>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f) Cierre de instrucción.</w:t>
      </w:r>
      <w:r>
        <w:rPr>
          <w:rFonts w:ascii="Palatino Linotype" w:eastAsia="Palatino Linotype" w:hAnsi="Palatino Linotype" w:cs="Palatino Linotype"/>
          <w:sz w:val="22"/>
          <w:szCs w:val="22"/>
        </w:rPr>
        <w:t xml:space="preserve"> El veinticuatro de febrero de dos mil veintiséis,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mediante el SAIMEX, el mismo día.</w:t>
      </w:r>
    </w:p>
    <w:p w14:paraId="4BFC8C41" w14:textId="77777777" w:rsidR="00F616CD" w:rsidRDefault="00F616CD" w:rsidP="008860AA">
      <w:pPr>
        <w:spacing w:line="360" w:lineRule="auto"/>
        <w:contextualSpacing/>
        <w:jc w:val="both"/>
        <w:rPr>
          <w:rFonts w:ascii="Palatino Linotype" w:eastAsia="Palatino Linotype" w:hAnsi="Palatino Linotype" w:cs="Palatino Linotype"/>
          <w:b/>
          <w:sz w:val="22"/>
          <w:szCs w:val="22"/>
        </w:rPr>
      </w:pPr>
    </w:p>
    <w:p w14:paraId="329D6E82" w14:textId="77777777" w:rsidR="00F616CD" w:rsidRDefault="00F616CD" w:rsidP="008860AA">
      <w:pPr>
        <w:spacing w:line="360" w:lineRule="auto"/>
        <w:contextualSpacing/>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En razón de que fue debidamente sustanciado el expediente electrónico y no existe diligencia pendiente de desahogo, se emite la resolución que conforme a Derecho proceda, de acuerdo a los siguientes: </w:t>
      </w:r>
    </w:p>
    <w:p w14:paraId="5CA54359" w14:textId="77777777" w:rsidR="00F616CD" w:rsidRDefault="00F616CD" w:rsidP="008860AA">
      <w:pPr>
        <w:spacing w:line="360" w:lineRule="auto"/>
        <w:contextualSpacing/>
      </w:pPr>
    </w:p>
    <w:p w14:paraId="4B158A2B" w14:textId="77777777" w:rsidR="00F616CD" w:rsidRDefault="00F616CD" w:rsidP="008860AA">
      <w:pPr>
        <w:spacing w:line="360" w:lineRule="auto"/>
        <w:contextualSpacing/>
      </w:pPr>
    </w:p>
    <w:p w14:paraId="14626F7C" w14:textId="77777777" w:rsidR="00F616CD" w:rsidRDefault="00F616CD" w:rsidP="008860AA">
      <w:pPr>
        <w:pStyle w:val="Ttulo1"/>
        <w:spacing w:before="0" w:after="0" w:line="360" w:lineRule="auto"/>
        <w:contextualSpacing/>
        <w:jc w:val="center"/>
        <w:rPr>
          <w:rFonts w:ascii="Palatino Linotype" w:eastAsia="Palatino Linotype" w:hAnsi="Palatino Linotype" w:cs="Palatino Linotype"/>
          <w:b/>
          <w:color w:val="000000"/>
          <w:sz w:val="22"/>
          <w:szCs w:val="22"/>
        </w:rPr>
      </w:pPr>
      <w:bookmarkStart w:id="10" w:name="_Toc223020257"/>
      <w:r>
        <w:rPr>
          <w:rFonts w:ascii="Palatino Linotype" w:eastAsia="Palatino Linotype" w:hAnsi="Palatino Linotype" w:cs="Palatino Linotype"/>
          <w:b/>
          <w:color w:val="000000"/>
          <w:sz w:val="22"/>
          <w:szCs w:val="22"/>
        </w:rPr>
        <w:t>C O N S I D E R A N D O S</w:t>
      </w:r>
      <w:bookmarkEnd w:id="10"/>
    </w:p>
    <w:p w14:paraId="1F5BB60D" w14:textId="77777777" w:rsidR="00F616CD" w:rsidRDefault="00F616CD" w:rsidP="008860AA">
      <w:pPr>
        <w:spacing w:line="360" w:lineRule="auto"/>
        <w:contextualSpacing/>
      </w:pPr>
    </w:p>
    <w:p w14:paraId="1C63C793" w14:textId="77777777" w:rsidR="00F616CD" w:rsidRDefault="00F616CD" w:rsidP="008860AA">
      <w:pPr>
        <w:pStyle w:val="Ttulo2"/>
        <w:spacing w:before="0" w:after="0" w:line="360" w:lineRule="auto"/>
        <w:contextualSpacing/>
        <w:rPr>
          <w:rFonts w:ascii="Palatino Linotype" w:eastAsia="Palatino Linotype" w:hAnsi="Palatino Linotype" w:cs="Palatino Linotype"/>
          <w:b/>
          <w:color w:val="000000"/>
          <w:sz w:val="22"/>
          <w:szCs w:val="22"/>
        </w:rPr>
      </w:pPr>
      <w:bookmarkStart w:id="11" w:name="_Toc223020258"/>
      <w:r>
        <w:rPr>
          <w:rFonts w:ascii="Palatino Linotype" w:eastAsia="Palatino Linotype" w:hAnsi="Palatino Linotype" w:cs="Palatino Linotype"/>
          <w:b/>
          <w:color w:val="000000"/>
          <w:sz w:val="22"/>
          <w:szCs w:val="22"/>
        </w:rPr>
        <w:t>PRIMERO. Competencia</w:t>
      </w:r>
      <w:bookmarkEnd w:id="11"/>
    </w:p>
    <w:p w14:paraId="3AEC0461" w14:textId="77777777" w:rsidR="00F616CD" w:rsidRDefault="00F616CD" w:rsidP="008860AA">
      <w:pPr>
        <w:spacing w:line="360" w:lineRule="auto"/>
        <w:contextualSpacing/>
      </w:pPr>
    </w:p>
    <w:p w14:paraId="03DB01BA" w14:textId="5EB62F70" w:rsidR="00F616CD" w:rsidRDefault="00497B3B" w:rsidP="008860AA">
      <w:pPr>
        <w:spacing w:line="360" w:lineRule="auto"/>
        <w:contextualSpacing/>
        <w:jc w:val="both"/>
        <w:rPr>
          <w:rFonts w:ascii="Palatino Linotype" w:eastAsia="Palatino Linotype" w:hAnsi="Palatino Linotype" w:cs="Palatino Linotype"/>
          <w:sz w:val="22"/>
          <w:szCs w:val="22"/>
        </w:rPr>
      </w:pPr>
      <w:r w:rsidRPr="00497B3B">
        <w:rPr>
          <w:rFonts w:ascii="Palatino Linotype" w:eastAsia="Palatino Linotype" w:hAnsi="Palatino Linotype" w:cs="Palatino Linotype"/>
          <w:sz w:val="22"/>
          <w:szCs w:val="22"/>
        </w:rPr>
        <w:t xml:space="preserve">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w:t>
      </w:r>
      <w:r w:rsidRPr="00497B3B">
        <w:rPr>
          <w:rFonts w:ascii="Palatino Linotype" w:eastAsia="Palatino Linotype" w:hAnsi="Palatino Linotype" w:cs="Palatino Linotype"/>
          <w:sz w:val="22"/>
          <w:szCs w:val="22"/>
        </w:rPr>
        <w:lastRenderedPageBreak/>
        <w:t>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4E1E4618" w14:textId="77777777" w:rsidR="00497B3B" w:rsidRDefault="00497B3B" w:rsidP="008860AA">
      <w:pPr>
        <w:spacing w:line="360" w:lineRule="auto"/>
        <w:contextualSpacing/>
        <w:jc w:val="both"/>
        <w:rPr>
          <w:rFonts w:ascii="Palatino Linotype" w:eastAsia="Palatino Linotype" w:hAnsi="Palatino Linotype" w:cs="Palatino Linotype"/>
          <w:color w:val="000000"/>
          <w:sz w:val="22"/>
          <w:szCs w:val="22"/>
        </w:rPr>
      </w:pPr>
    </w:p>
    <w:p w14:paraId="03DDDCF1" w14:textId="77777777" w:rsidR="00F616CD" w:rsidRDefault="00F616CD" w:rsidP="008860AA">
      <w:pPr>
        <w:pStyle w:val="Ttulo2"/>
        <w:spacing w:before="0" w:after="0" w:line="360" w:lineRule="auto"/>
        <w:contextualSpacing/>
        <w:rPr>
          <w:rFonts w:ascii="Palatino Linotype" w:eastAsia="Palatino Linotype" w:hAnsi="Palatino Linotype" w:cs="Palatino Linotype"/>
          <w:b/>
          <w:color w:val="000000"/>
          <w:sz w:val="22"/>
          <w:szCs w:val="22"/>
        </w:rPr>
      </w:pPr>
      <w:bookmarkStart w:id="12" w:name="_Toc223020259"/>
      <w:r>
        <w:rPr>
          <w:rFonts w:ascii="Palatino Linotype" w:eastAsia="Palatino Linotype" w:hAnsi="Palatino Linotype" w:cs="Palatino Linotype"/>
          <w:b/>
          <w:color w:val="000000"/>
          <w:sz w:val="22"/>
          <w:szCs w:val="22"/>
        </w:rPr>
        <w:t>SEGUNDO. Causales de improcedencia y sobreseimiento</w:t>
      </w:r>
      <w:bookmarkEnd w:id="12"/>
    </w:p>
    <w:p w14:paraId="7171CF02" w14:textId="77777777" w:rsidR="00F616CD" w:rsidRDefault="00F616CD" w:rsidP="008860AA">
      <w:pPr>
        <w:spacing w:line="360" w:lineRule="auto"/>
        <w:contextualSpacing/>
        <w:jc w:val="both"/>
        <w:rPr>
          <w:rFonts w:ascii="Palatino Linotype" w:eastAsia="Palatino Linotype" w:hAnsi="Palatino Linotype" w:cs="Palatino Linotype"/>
          <w:b/>
          <w:sz w:val="22"/>
          <w:szCs w:val="22"/>
        </w:rPr>
      </w:pPr>
    </w:p>
    <w:p w14:paraId="361F682D" w14:textId="77777777" w:rsidR="00F616CD" w:rsidRDefault="00F616CD" w:rsidP="008860AA">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De las constancias que forma parte del Recurso de Revisión que se analiza, se advierte que previo al estudio del fondo de la </w:t>
      </w:r>
      <w:r>
        <w:rPr>
          <w:rFonts w:ascii="Palatino Linotype" w:eastAsia="Palatino Linotype" w:hAnsi="Palatino Linotype" w:cs="Palatino Linotype"/>
          <w:i/>
          <w:sz w:val="22"/>
          <w:szCs w:val="22"/>
        </w:rPr>
        <w:t>litis</w:t>
      </w:r>
      <w:r>
        <w:rPr>
          <w:rFonts w:ascii="Palatino Linotype" w:eastAsia="Palatino Linotype" w:hAnsi="Palatino Linotype" w:cs="Palatino Linotype"/>
          <w:sz w:val="22"/>
          <w:szCs w:val="22"/>
        </w:rPr>
        <w:t>, es necesario estudiar las causales de improcedencia y sobreseimiento que se adviertan, para determinar lo que en Derecho proceda.</w:t>
      </w:r>
    </w:p>
    <w:p w14:paraId="6DEC6847" w14:textId="77777777" w:rsidR="00F616CD" w:rsidRDefault="00F616CD" w:rsidP="008860AA">
      <w:pPr>
        <w:spacing w:line="360" w:lineRule="auto"/>
        <w:contextualSpacing/>
        <w:jc w:val="both"/>
        <w:rPr>
          <w:rFonts w:ascii="Palatino Linotype" w:eastAsia="Palatino Linotype" w:hAnsi="Palatino Linotype" w:cs="Palatino Linotype"/>
          <w:b/>
          <w:color w:val="000000"/>
          <w:sz w:val="22"/>
          <w:szCs w:val="22"/>
        </w:rPr>
      </w:pPr>
    </w:p>
    <w:p w14:paraId="21695525" w14:textId="77777777" w:rsidR="00F616CD" w:rsidRDefault="00F616CD" w:rsidP="008860AA">
      <w:pPr>
        <w:spacing w:line="360" w:lineRule="auto"/>
        <w:contextualSpacing/>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Causales de improcedencia</w:t>
      </w:r>
    </w:p>
    <w:p w14:paraId="60F42EE7" w14:textId="77777777" w:rsidR="00F616CD" w:rsidRDefault="00F616CD" w:rsidP="008860AA">
      <w:pPr>
        <w:spacing w:line="360" w:lineRule="auto"/>
        <w:contextualSpacing/>
        <w:jc w:val="both"/>
        <w:rPr>
          <w:rFonts w:ascii="Palatino Linotype" w:eastAsia="Palatino Linotype" w:hAnsi="Palatino Linotype" w:cs="Palatino Linotype"/>
          <w:sz w:val="22"/>
          <w:szCs w:val="22"/>
        </w:rPr>
      </w:pPr>
    </w:p>
    <w:p w14:paraId="12B8322E" w14:textId="77777777" w:rsidR="00F616CD" w:rsidRDefault="00F616CD" w:rsidP="008860AA">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3F69D585" w14:textId="77777777" w:rsidR="00F616CD" w:rsidRDefault="00F616CD" w:rsidP="008860AA">
      <w:pPr>
        <w:spacing w:line="360" w:lineRule="auto"/>
        <w:contextualSpacing/>
        <w:jc w:val="both"/>
        <w:rPr>
          <w:rFonts w:ascii="Palatino Linotype" w:eastAsia="Palatino Linotype" w:hAnsi="Palatino Linotype" w:cs="Palatino Linotype"/>
          <w:sz w:val="22"/>
          <w:szCs w:val="22"/>
        </w:rPr>
      </w:pPr>
    </w:p>
    <w:p w14:paraId="5A311BBE" w14:textId="77777777" w:rsidR="00F616CD" w:rsidRDefault="00F616CD" w:rsidP="008860AA">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En el presente caso, no se actualiza ninguna de las causales de improcedencia establecidas en el ordenamiento jurídico previamente señalado, toda vez que: el recurso fue presentado dentro del plazo establecido en el artículo 178 de la Ley la materia; además, que este Instituto no tiene conocimiento de que se encuentre en trámite algún medio de defensa presentado </w:t>
      </w:r>
      <w:r>
        <w:rPr>
          <w:rFonts w:ascii="Palatino Linotype" w:eastAsia="Palatino Linotype" w:hAnsi="Palatino Linotype" w:cs="Palatino Linotype"/>
          <w:sz w:val="22"/>
          <w:szCs w:val="22"/>
        </w:rPr>
        <w:lastRenderedPageBreak/>
        <w:t>por la Recurrente ante otra instancia; no existió prevención alguna; la veracidad de la respuesta no formó parte del agravio; ni se realizó una consulta o ampliación a los alcances del requerimiento informativo.</w:t>
      </w:r>
    </w:p>
    <w:p w14:paraId="29022C5B" w14:textId="77777777" w:rsidR="00F616CD" w:rsidRDefault="00F616CD" w:rsidP="008860AA">
      <w:pPr>
        <w:spacing w:line="360" w:lineRule="auto"/>
        <w:contextualSpacing/>
        <w:jc w:val="both"/>
        <w:rPr>
          <w:rFonts w:ascii="Palatino Linotype" w:eastAsia="Palatino Linotype" w:hAnsi="Palatino Linotype" w:cs="Palatino Linotype"/>
          <w:sz w:val="22"/>
          <w:szCs w:val="22"/>
        </w:rPr>
      </w:pPr>
    </w:p>
    <w:p w14:paraId="536C5ADA" w14:textId="77777777" w:rsidR="00F616CD" w:rsidRDefault="00F616CD" w:rsidP="008860AA">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Asimismo, se actualiza la causal de procedencia del Recurso de Revisión establecid</w:t>
      </w:r>
      <w:r w:rsidR="008860AA">
        <w:rPr>
          <w:rFonts w:ascii="Palatino Linotype" w:eastAsia="Palatino Linotype" w:hAnsi="Palatino Linotype" w:cs="Palatino Linotype"/>
          <w:sz w:val="22"/>
          <w:szCs w:val="22"/>
        </w:rPr>
        <w:t>a en el artículo 179, fracción I</w:t>
      </w:r>
      <w:r>
        <w:rPr>
          <w:rFonts w:ascii="Palatino Linotype" w:eastAsia="Palatino Linotype" w:hAnsi="Palatino Linotype" w:cs="Palatino Linotype"/>
          <w:sz w:val="22"/>
          <w:szCs w:val="22"/>
        </w:rPr>
        <w:t xml:space="preserve">, de la Ley de Transparencia y Acceso a la Información Pública del Estado de México y Municipios, referente a la </w:t>
      </w:r>
      <w:r w:rsidR="008860AA">
        <w:rPr>
          <w:rFonts w:ascii="Palatino Linotype" w:eastAsia="Palatino Linotype" w:hAnsi="Palatino Linotype" w:cs="Palatino Linotype"/>
          <w:sz w:val="22"/>
          <w:szCs w:val="22"/>
        </w:rPr>
        <w:t>negativa de la</w:t>
      </w:r>
      <w:r>
        <w:rPr>
          <w:rFonts w:ascii="Palatino Linotype" w:eastAsia="Palatino Linotype" w:hAnsi="Palatino Linotype" w:cs="Palatino Linotype"/>
          <w:sz w:val="22"/>
          <w:szCs w:val="22"/>
        </w:rPr>
        <w:t xml:space="preserve"> información </w:t>
      </w:r>
      <w:r w:rsidR="008860AA">
        <w:rPr>
          <w:rFonts w:ascii="Palatino Linotype" w:eastAsia="Palatino Linotype" w:hAnsi="Palatino Linotype" w:cs="Palatino Linotype"/>
          <w:sz w:val="22"/>
          <w:szCs w:val="22"/>
        </w:rPr>
        <w:t>solicitada.</w:t>
      </w:r>
    </w:p>
    <w:p w14:paraId="7EE63515" w14:textId="77777777" w:rsidR="00F616CD" w:rsidRDefault="00F616CD" w:rsidP="008860AA">
      <w:pPr>
        <w:spacing w:line="360" w:lineRule="auto"/>
        <w:contextualSpacing/>
        <w:jc w:val="both"/>
        <w:rPr>
          <w:rFonts w:ascii="Palatino Linotype" w:eastAsia="Palatino Linotype" w:hAnsi="Palatino Linotype" w:cs="Palatino Linotype"/>
          <w:sz w:val="22"/>
          <w:szCs w:val="22"/>
        </w:rPr>
      </w:pPr>
    </w:p>
    <w:p w14:paraId="608F694D" w14:textId="77777777" w:rsidR="00F616CD" w:rsidRDefault="00F616CD" w:rsidP="008860AA">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b/>
          <w:sz w:val="22"/>
          <w:szCs w:val="22"/>
        </w:rPr>
        <w:t>Causales de sobreseimiento</w:t>
      </w:r>
    </w:p>
    <w:p w14:paraId="78C7A6C8" w14:textId="77777777" w:rsidR="00F616CD" w:rsidRDefault="00F616CD" w:rsidP="008860AA">
      <w:pPr>
        <w:spacing w:line="360" w:lineRule="auto"/>
        <w:contextualSpacing/>
        <w:jc w:val="both"/>
        <w:rPr>
          <w:rFonts w:ascii="Palatino Linotype" w:eastAsia="Palatino Linotype" w:hAnsi="Palatino Linotype" w:cs="Palatino Linotype"/>
          <w:sz w:val="22"/>
          <w:szCs w:val="22"/>
        </w:rPr>
      </w:pPr>
    </w:p>
    <w:p w14:paraId="1E563182" w14:textId="77777777" w:rsidR="00F616CD" w:rsidRDefault="00F616CD" w:rsidP="008860AA">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Por ser de previo y especial pronunciamiento, este Instituto analiza si se actualiza alguna causal de sobreseimiento.</w:t>
      </w:r>
    </w:p>
    <w:p w14:paraId="6BB5FC99" w14:textId="77777777" w:rsidR="00F616CD" w:rsidRDefault="00F616CD" w:rsidP="008860AA">
      <w:pPr>
        <w:spacing w:line="360" w:lineRule="auto"/>
        <w:contextualSpacing/>
        <w:jc w:val="both"/>
        <w:rPr>
          <w:rFonts w:ascii="Palatino Linotype" w:eastAsia="Palatino Linotype" w:hAnsi="Palatino Linotype" w:cs="Palatino Linotype"/>
          <w:sz w:val="22"/>
          <w:szCs w:val="22"/>
        </w:rPr>
      </w:pPr>
    </w:p>
    <w:p w14:paraId="3FA87883" w14:textId="77777777" w:rsidR="00F616CD" w:rsidRDefault="00F616CD" w:rsidP="008860AA">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el Recurrente se haya desistido del recurso, haya fallecido, sobreviniera alguna causal de improcedencia, que el Sujeto Obligado hubiese modificado o revocado el acto impugnado o bien, haya quedado sin materia.</w:t>
      </w:r>
    </w:p>
    <w:p w14:paraId="3D24080A" w14:textId="77777777" w:rsidR="00F616CD" w:rsidRDefault="00F616CD" w:rsidP="008860AA">
      <w:pPr>
        <w:spacing w:line="360" w:lineRule="auto"/>
        <w:contextualSpacing/>
        <w:jc w:val="both"/>
        <w:rPr>
          <w:rFonts w:ascii="Palatino Linotype" w:eastAsia="Palatino Linotype" w:hAnsi="Palatino Linotype" w:cs="Palatino Linotype"/>
          <w:sz w:val="22"/>
          <w:szCs w:val="22"/>
        </w:rPr>
      </w:pPr>
    </w:p>
    <w:p w14:paraId="2A55484B" w14:textId="77777777" w:rsidR="00F616CD" w:rsidRDefault="00F616CD" w:rsidP="008860AA">
      <w:pPr>
        <w:tabs>
          <w:tab w:val="left" w:pos="4962"/>
        </w:tabs>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Por tales motivos, se considera procedente entrar al fondo del presente asunto. </w:t>
      </w:r>
    </w:p>
    <w:p w14:paraId="24C324DD" w14:textId="77777777" w:rsidR="00F616CD" w:rsidRDefault="00F616CD" w:rsidP="008860AA">
      <w:pPr>
        <w:tabs>
          <w:tab w:val="left" w:pos="4962"/>
        </w:tabs>
        <w:spacing w:line="360" w:lineRule="auto"/>
        <w:contextualSpacing/>
        <w:jc w:val="both"/>
        <w:rPr>
          <w:rFonts w:ascii="Palatino Linotype" w:eastAsia="Palatino Linotype" w:hAnsi="Palatino Linotype" w:cs="Palatino Linotype"/>
          <w:sz w:val="22"/>
          <w:szCs w:val="22"/>
        </w:rPr>
      </w:pPr>
      <w:bookmarkStart w:id="13" w:name="_Hlk216880022"/>
    </w:p>
    <w:p w14:paraId="6D69EDED" w14:textId="77777777" w:rsidR="00F616CD" w:rsidRDefault="00F616CD" w:rsidP="008860AA">
      <w:pPr>
        <w:pStyle w:val="Ttulo2"/>
        <w:spacing w:before="0" w:after="0" w:line="360" w:lineRule="auto"/>
        <w:contextualSpacing/>
        <w:rPr>
          <w:rFonts w:ascii="Palatino Linotype" w:eastAsia="Palatino Linotype" w:hAnsi="Palatino Linotype" w:cs="Palatino Linotype"/>
          <w:b/>
          <w:color w:val="000000"/>
          <w:sz w:val="22"/>
          <w:szCs w:val="22"/>
        </w:rPr>
      </w:pPr>
      <w:bookmarkStart w:id="14" w:name="_Toc223020260"/>
      <w:r>
        <w:rPr>
          <w:rFonts w:ascii="Palatino Linotype" w:eastAsia="Palatino Linotype" w:hAnsi="Palatino Linotype" w:cs="Palatino Linotype"/>
          <w:b/>
          <w:color w:val="000000"/>
          <w:sz w:val="22"/>
          <w:szCs w:val="22"/>
        </w:rPr>
        <w:t>TERCERO. Determinación de la Controversia</w:t>
      </w:r>
      <w:bookmarkEnd w:id="14"/>
    </w:p>
    <w:p w14:paraId="13D98D6B" w14:textId="77777777" w:rsidR="00F616CD" w:rsidRDefault="00F616CD" w:rsidP="008860AA">
      <w:pPr>
        <w:spacing w:line="360" w:lineRule="auto"/>
        <w:contextualSpacing/>
        <w:jc w:val="both"/>
        <w:rPr>
          <w:rFonts w:ascii="Palatino Linotype" w:eastAsia="Palatino Linotype" w:hAnsi="Palatino Linotype" w:cs="Palatino Linotype"/>
          <w:sz w:val="22"/>
          <w:szCs w:val="22"/>
        </w:rPr>
      </w:pPr>
    </w:p>
    <w:p w14:paraId="1C130024" w14:textId="77777777" w:rsidR="00F616CD" w:rsidRDefault="00F616CD" w:rsidP="008860AA">
      <w:pPr>
        <w:spacing w:line="360" w:lineRule="auto"/>
        <w:contextualSpacing/>
        <w:jc w:val="both"/>
        <w:rPr>
          <w:rFonts w:ascii="Palatino Linotype" w:hAnsi="Palatino Linotype" w:cs="Tahoma"/>
          <w:sz w:val="22"/>
          <w:szCs w:val="22"/>
        </w:rPr>
      </w:pPr>
      <w:r w:rsidRPr="0017161F">
        <w:rPr>
          <w:rFonts w:ascii="Palatino Linotype" w:eastAsia="Calibri" w:hAnsi="Palatino Linotype" w:cs="Tahoma"/>
          <w:iCs/>
          <w:sz w:val="22"/>
          <w:szCs w:val="22"/>
          <w:lang w:val="es-ES" w:eastAsia="es-ES_tradnl"/>
        </w:rPr>
        <w:lastRenderedPageBreak/>
        <w:t xml:space="preserve">Una vez realizado el estudio de las constancias que integran el expediente en que se actúa, se desprende </w:t>
      </w:r>
      <w:r w:rsidRPr="0017161F">
        <w:rPr>
          <w:rFonts w:ascii="Palatino Linotype" w:hAnsi="Palatino Linotype" w:cs="Tahoma"/>
          <w:sz w:val="22"/>
          <w:szCs w:val="22"/>
        </w:rPr>
        <w:t>que el Particular requirió</w:t>
      </w:r>
      <w:r>
        <w:rPr>
          <w:rFonts w:ascii="Palatino Linotype" w:hAnsi="Palatino Linotype" w:cs="Tahoma"/>
          <w:sz w:val="22"/>
          <w:szCs w:val="22"/>
        </w:rPr>
        <w:t xml:space="preserve"> </w:t>
      </w:r>
      <w:r w:rsidR="008860AA">
        <w:rPr>
          <w:rFonts w:ascii="Palatino Linotype" w:hAnsi="Palatino Linotype" w:cs="Tahoma"/>
          <w:sz w:val="22"/>
          <w:szCs w:val="22"/>
        </w:rPr>
        <w:t xml:space="preserve">respecto del Fondo Nacional de Desastres Naturales (FONDEN), </w:t>
      </w:r>
      <w:r>
        <w:rPr>
          <w:rFonts w:ascii="Palatino Linotype" w:hAnsi="Palatino Linotype" w:cs="Tahoma"/>
          <w:sz w:val="22"/>
          <w:szCs w:val="22"/>
        </w:rPr>
        <w:t xml:space="preserve">al </w:t>
      </w:r>
      <w:r w:rsidR="008860AA">
        <w:rPr>
          <w:rFonts w:ascii="Palatino Linotype" w:hAnsi="Palatino Linotype" w:cs="Tahoma"/>
          <w:sz w:val="22"/>
          <w:szCs w:val="22"/>
        </w:rPr>
        <w:t>veintinueve de octubre</w:t>
      </w:r>
      <w:r>
        <w:rPr>
          <w:rFonts w:ascii="Palatino Linotype" w:hAnsi="Palatino Linotype" w:cs="Tahoma"/>
          <w:sz w:val="22"/>
          <w:szCs w:val="22"/>
        </w:rPr>
        <w:t xml:space="preserve"> de dos mil veinticinco, los documentos que dieran cuenta de lo siguiente:</w:t>
      </w:r>
    </w:p>
    <w:p w14:paraId="1FF91662" w14:textId="77777777" w:rsidR="008860AA" w:rsidRDefault="008860AA" w:rsidP="008860AA">
      <w:pPr>
        <w:spacing w:line="360" w:lineRule="auto"/>
        <w:contextualSpacing/>
        <w:jc w:val="both"/>
        <w:rPr>
          <w:rFonts w:ascii="Palatino Linotype" w:hAnsi="Palatino Linotype" w:cs="Tahoma"/>
          <w:sz w:val="22"/>
          <w:szCs w:val="22"/>
        </w:rPr>
      </w:pPr>
    </w:p>
    <w:p w14:paraId="31DC7502" w14:textId="77777777" w:rsidR="008860AA" w:rsidRDefault="008860AA" w:rsidP="008860AA">
      <w:pPr>
        <w:pStyle w:val="Prrafodelista"/>
        <w:numPr>
          <w:ilvl w:val="0"/>
          <w:numId w:val="10"/>
        </w:numPr>
        <w:spacing w:line="360" w:lineRule="auto"/>
        <w:jc w:val="both"/>
        <w:rPr>
          <w:rFonts w:ascii="Palatino Linotype" w:hAnsi="Palatino Linotype" w:cs="Tahoma"/>
          <w:sz w:val="22"/>
          <w:szCs w:val="22"/>
        </w:rPr>
      </w:pPr>
      <w:r>
        <w:rPr>
          <w:rFonts w:ascii="Palatino Linotype" w:hAnsi="Palatino Linotype" w:cs="Tahoma"/>
          <w:sz w:val="22"/>
          <w:szCs w:val="22"/>
        </w:rPr>
        <w:t>Recursos financieros recibidos;</w:t>
      </w:r>
    </w:p>
    <w:p w14:paraId="7181AB89" w14:textId="77777777" w:rsidR="008860AA" w:rsidRDefault="008860AA" w:rsidP="008860AA">
      <w:pPr>
        <w:pStyle w:val="Prrafodelista"/>
        <w:numPr>
          <w:ilvl w:val="0"/>
          <w:numId w:val="10"/>
        </w:numPr>
        <w:spacing w:line="360" w:lineRule="auto"/>
        <w:jc w:val="both"/>
        <w:rPr>
          <w:rFonts w:ascii="Palatino Linotype" w:hAnsi="Palatino Linotype" w:cs="Tahoma"/>
          <w:sz w:val="22"/>
          <w:szCs w:val="22"/>
        </w:rPr>
      </w:pPr>
      <w:r>
        <w:rPr>
          <w:rFonts w:ascii="Palatino Linotype" w:hAnsi="Palatino Linotype" w:cs="Tahoma"/>
          <w:sz w:val="22"/>
          <w:szCs w:val="22"/>
        </w:rPr>
        <w:t>Obras realizadas;</w:t>
      </w:r>
    </w:p>
    <w:p w14:paraId="169E907F" w14:textId="77777777" w:rsidR="008860AA" w:rsidRDefault="008860AA" w:rsidP="008860AA">
      <w:pPr>
        <w:pStyle w:val="Prrafodelista"/>
        <w:numPr>
          <w:ilvl w:val="0"/>
          <w:numId w:val="10"/>
        </w:numPr>
        <w:spacing w:line="360" w:lineRule="auto"/>
        <w:jc w:val="both"/>
        <w:rPr>
          <w:rFonts w:ascii="Palatino Linotype" w:hAnsi="Palatino Linotype" w:cs="Tahoma"/>
          <w:sz w:val="22"/>
          <w:szCs w:val="22"/>
        </w:rPr>
      </w:pPr>
      <w:r>
        <w:rPr>
          <w:rFonts w:ascii="Palatino Linotype" w:hAnsi="Palatino Linotype" w:cs="Tahoma"/>
          <w:sz w:val="22"/>
          <w:szCs w:val="22"/>
        </w:rPr>
        <w:t>Recursos ejercidos (importe, y fecha); y</w:t>
      </w:r>
    </w:p>
    <w:p w14:paraId="5C1A1700" w14:textId="77777777" w:rsidR="008860AA" w:rsidRPr="008860AA" w:rsidRDefault="008860AA" w:rsidP="008860AA">
      <w:pPr>
        <w:pStyle w:val="Prrafodelista"/>
        <w:numPr>
          <w:ilvl w:val="0"/>
          <w:numId w:val="10"/>
        </w:numPr>
        <w:spacing w:line="360" w:lineRule="auto"/>
        <w:jc w:val="both"/>
        <w:rPr>
          <w:rFonts w:ascii="Palatino Linotype" w:hAnsi="Palatino Linotype" w:cs="Tahoma"/>
          <w:sz w:val="22"/>
          <w:szCs w:val="22"/>
        </w:rPr>
      </w:pPr>
      <w:r>
        <w:rPr>
          <w:rFonts w:ascii="Palatino Linotype" w:hAnsi="Palatino Linotype" w:cs="Tahoma"/>
          <w:sz w:val="22"/>
          <w:szCs w:val="22"/>
        </w:rPr>
        <w:t>Evidencia de los daños ocasionados.</w:t>
      </w:r>
    </w:p>
    <w:p w14:paraId="6FF1440C" w14:textId="77777777" w:rsidR="00F616CD" w:rsidRDefault="00F616CD" w:rsidP="008860AA">
      <w:pPr>
        <w:spacing w:line="360" w:lineRule="auto"/>
        <w:contextualSpacing/>
        <w:jc w:val="both"/>
        <w:rPr>
          <w:rFonts w:ascii="Palatino Linotype" w:eastAsia="Palatino Linotype" w:hAnsi="Palatino Linotype" w:cs="Palatino Linotype"/>
          <w:sz w:val="22"/>
          <w:szCs w:val="22"/>
        </w:rPr>
      </w:pPr>
    </w:p>
    <w:p w14:paraId="15CC7387" w14:textId="77777777" w:rsidR="00F616CD" w:rsidRDefault="00F616CD" w:rsidP="008860AA">
      <w:pPr>
        <w:autoSpaceDE w:val="0"/>
        <w:autoSpaceDN w:val="0"/>
        <w:adjustRightInd w:val="0"/>
        <w:spacing w:line="360" w:lineRule="auto"/>
        <w:contextualSpacing/>
        <w:jc w:val="both"/>
        <w:rPr>
          <w:rFonts w:ascii="Palatino Linotype" w:eastAsia="Calibri" w:hAnsi="Palatino Linotype" w:cs="Tahoma"/>
          <w:sz w:val="22"/>
          <w:szCs w:val="22"/>
        </w:rPr>
      </w:pPr>
      <w:r w:rsidRPr="0017161F">
        <w:rPr>
          <w:rFonts w:ascii="Palatino Linotype" w:hAnsi="Palatino Linotype" w:cs="Tahoma"/>
          <w:sz w:val="22"/>
          <w:szCs w:val="22"/>
          <w:lang w:val="es-ES"/>
        </w:rPr>
        <w:t xml:space="preserve">En respuesta, el Sujeto Obligado </w:t>
      </w:r>
      <w:r>
        <w:rPr>
          <w:rFonts w:ascii="Palatino Linotype" w:hAnsi="Palatino Linotype" w:cs="Tahoma"/>
          <w:sz w:val="22"/>
          <w:szCs w:val="22"/>
          <w:lang w:val="es-ES"/>
        </w:rPr>
        <w:t xml:space="preserve">a través de la </w:t>
      </w:r>
      <w:r w:rsidR="008860AA">
        <w:rPr>
          <w:rFonts w:ascii="Palatino Linotype" w:hAnsi="Palatino Linotype" w:cs="Tahoma"/>
          <w:sz w:val="22"/>
          <w:szCs w:val="22"/>
          <w:lang w:val="es-ES"/>
        </w:rPr>
        <w:t xml:space="preserve">Tesorería Municipal y la </w:t>
      </w:r>
      <w:r>
        <w:rPr>
          <w:rFonts w:ascii="Palatino Linotype" w:hAnsi="Palatino Linotype" w:cs="Tahoma"/>
          <w:sz w:val="22"/>
          <w:szCs w:val="22"/>
          <w:lang w:val="es-ES"/>
        </w:rPr>
        <w:t xml:space="preserve">Dirección General de </w:t>
      </w:r>
      <w:r w:rsidR="008860AA">
        <w:rPr>
          <w:rFonts w:ascii="Palatino Linotype" w:hAnsi="Palatino Linotype" w:cs="Tahoma"/>
          <w:sz w:val="22"/>
          <w:szCs w:val="22"/>
          <w:lang w:val="es-ES"/>
        </w:rPr>
        <w:t>Obras Públicas señalaron que después de realizar una búsqueda exhaustiva y razonable de la información no habían localizado documentos que dieran cuenta de lo solicitado</w:t>
      </w:r>
      <w:r w:rsidRPr="0017161F">
        <w:rPr>
          <w:rFonts w:ascii="Palatino Linotype" w:eastAsia="Calibri" w:hAnsi="Palatino Linotype" w:cs="Tahoma"/>
          <w:color w:val="000000"/>
          <w:sz w:val="22"/>
          <w:szCs w:val="22"/>
          <w:lang w:val="es-ES"/>
        </w:rPr>
        <w:t>;</w:t>
      </w:r>
      <w:r w:rsidRPr="0017161F">
        <w:rPr>
          <w:rFonts w:ascii="Palatino Linotype" w:hAnsi="Palatino Linotype" w:cs="Tahoma"/>
          <w:sz w:val="22"/>
          <w:szCs w:val="22"/>
          <w:lang w:val="es-ES"/>
        </w:rPr>
        <w:t xml:space="preserve"> </w:t>
      </w:r>
      <w:r>
        <w:rPr>
          <w:rFonts w:ascii="Palatino Linotype" w:hAnsi="Palatino Linotype" w:cs="Tahoma"/>
          <w:sz w:val="22"/>
          <w:szCs w:val="22"/>
          <w:lang w:val="es-ES"/>
        </w:rPr>
        <w:t>A</w:t>
      </w:r>
      <w:r w:rsidRPr="0017161F">
        <w:rPr>
          <w:rFonts w:ascii="Palatino Linotype" w:hAnsi="Palatino Linotype" w:cs="Tahoma"/>
          <w:sz w:val="22"/>
          <w:szCs w:val="22"/>
          <w:lang w:val="es-ES"/>
        </w:rPr>
        <w:t xml:space="preserve">nte dicha circunstancia, </w:t>
      </w:r>
      <w:r>
        <w:rPr>
          <w:rFonts w:ascii="Palatino Linotype" w:hAnsi="Palatino Linotype" w:cs="Tahoma"/>
          <w:sz w:val="22"/>
          <w:szCs w:val="22"/>
          <w:lang w:val="es-ES"/>
        </w:rPr>
        <w:t>e</w:t>
      </w:r>
      <w:r w:rsidRPr="0017161F">
        <w:rPr>
          <w:rFonts w:ascii="Palatino Linotype" w:hAnsi="Palatino Linotype" w:cs="Tahoma"/>
          <w:sz w:val="22"/>
          <w:szCs w:val="22"/>
          <w:lang w:val="es-ES"/>
        </w:rPr>
        <w:t>l Particular</w:t>
      </w:r>
      <w:r>
        <w:rPr>
          <w:rFonts w:ascii="Palatino Linotype" w:hAnsi="Palatino Linotype" w:cs="Tahoma"/>
          <w:sz w:val="22"/>
          <w:szCs w:val="22"/>
          <w:lang w:val="es-ES"/>
        </w:rPr>
        <w:t xml:space="preserve"> </w:t>
      </w:r>
      <w:r w:rsidRPr="0017161F">
        <w:rPr>
          <w:rFonts w:ascii="Palatino Linotype" w:hAnsi="Palatino Linotype" w:cs="Tahoma"/>
          <w:sz w:val="22"/>
          <w:szCs w:val="22"/>
          <w:lang w:val="es-ES"/>
        </w:rPr>
        <w:t xml:space="preserve">se agravió con la </w:t>
      </w:r>
      <w:r w:rsidR="00B97A4F">
        <w:rPr>
          <w:rFonts w:ascii="Palatino Linotype" w:hAnsi="Palatino Linotype" w:cs="Tahoma"/>
          <w:sz w:val="22"/>
          <w:szCs w:val="22"/>
        </w:rPr>
        <w:t>negativa d</w:t>
      </w:r>
      <w:r>
        <w:rPr>
          <w:rFonts w:ascii="Palatino Linotype" w:hAnsi="Palatino Linotype" w:cs="Tahoma"/>
          <w:sz w:val="22"/>
          <w:szCs w:val="22"/>
        </w:rPr>
        <w:t>e</w:t>
      </w:r>
      <w:r w:rsidR="00B97A4F">
        <w:rPr>
          <w:rFonts w:ascii="Palatino Linotype" w:hAnsi="Palatino Linotype" w:cs="Tahoma"/>
          <w:sz w:val="22"/>
          <w:szCs w:val="22"/>
        </w:rPr>
        <w:t xml:space="preserve"> la</w:t>
      </w:r>
      <w:r>
        <w:rPr>
          <w:rFonts w:ascii="Palatino Linotype" w:hAnsi="Palatino Linotype" w:cs="Tahoma"/>
          <w:sz w:val="22"/>
          <w:szCs w:val="22"/>
        </w:rPr>
        <w:t xml:space="preserve"> información; </w:t>
      </w:r>
      <w:r>
        <w:rPr>
          <w:rFonts w:ascii="Palatino Linotype" w:hAnsi="Palatino Linotype" w:cs="Tahoma"/>
          <w:sz w:val="22"/>
          <w:szCs w:val="22"/>
          <w:lang w:val="es-ES"/>
        </w:rPr>
        <w:t xml:space="preserve">circunstancia que </w:t>
      </w:r>
      <w:r w:rsidRPr="0017161F">
        <w:rPr>
          <w:rFonts w:ascii="Palatino Linotype" w:eastAsia="Calibri" w:hAnsi="Palatino Linotype" w:cs="Tahoma"/>
          <w:sz w:val="22"/>
          <w:szCs w:val="22"/>
        </w:rPr>
        <w:t>actualiza la causal de procedencia prevista en la fracci</w:t>
      </w:r>
      <w:r>
        <w:rPr>
          <w:rFonts w:ascii="Palatino Linotype" w:eastAsia="Calibri" w:hAnsi="Palatino Linotype" w:cs="Tahoma"/>
          <w:sz w:val="22"/>
          <w:szCs w:val="22"/>
        </w:rPr>
        <w:t>ón</w:t>
      </w:r>
      <w:r w:rsidRPr="0017161F">
        <w:rPr>
          <w:rFonts w:ascii="Palatino Linotype" w:eastAsia="Calibri" w:hAnsi="Palatino Linotype" w:cs="Tahoma"/>
          <w:sz w:val="22"/>
          <w:szCs w:val="22"/>
        </w:rPr>
        <w:t xml:space="preserve"> </w:t>
      </w:r>
      <w:r w:rsidR="00B97A4F">
        <w:rPr>
          <w:rFonts w:ascii="Palatino Linotype" w:eastAsia="Calibri" w:hAnsi="Palatino Linotype" w:cs="Tahoma"/>
          <w:sz w:val="22"/>
          <w:szCs w:val="22"/>
        </w:rPr>
        <w:t>I</w:t>
      </w:r>
      <w:r w:rsidRPr="0017161F">
        <w:rPr>
          <w:rFonts w:ascii="Palatino Linotype" w:eastAsia="Calibri" w:hAnsi="Palatino Linotype" w:cs="Tahoma"/>
          <w:sz w:val="22"/>
          <w:szCs w:val="22"/>
        </w:rPr>
        <w:t xml:space="preserve">, del artículo 179 de la Ley de Transparencia y Acceso a la Información Pública del Estado de México y Municipios. </w:t>
      </w:r>
    </w:p>
    <w:p w14:paraId="5F78BC8F" w14:textId="77777777" w:rsidR="00F616CD" w:rsidRDefault="00F616CD" w:rsidP="008860AA">
      <w:pPr>
        <w:spacing w:line="360" w:lineRule="auto"/>
        <w:contextualSpacing/>
        <w:jc w:val="both"/>
        <w:rPr>
          <w:rFonts w:ascii="Palatino Linotype" w:eastAsia="Palatino Linotype" w:hAnsi="Palatino Linotype" w:cs="Palatino Linotype"/>
          <w:sz w:val="22"/>
          <w:szCs w:val="22"/>
        </w:rPr>
      </w:pPr>
    </w:p>
    <w:p w14:paraId="35E6B4D5" w14:textId="77777777" w:rsidR="00F616CD" w:rsidRDefault="00F616CD" w:rsidP="008860AA">
      <w:pPr>
        <w:spacing w:line="360" w:lineRule="auto"/>
        <w:contextualSpacing/>
        <w:jc w:val="both"/>
        <w:rPr>
          <w:rFonts w:ascii="Palatino Linotype" w:eastAsia="Palatino Linotype" w:hAnsi="Palatino Linotype" w:cs="Palatino Linotype"/>
          <w:b/>
          <w:sz w:val="22"/>
          <w:szCs w:val="22"/>
        </w:rPr>
      </w:pPr>
      <w:r>
        <w:rPr>
          <w:rFonts w:ascii="Palatino Linotype" w:eastAsia="Palatino Linotype" w:hAnsi="Palatino Linotype" w:cs="Palatino Linotype"/>
          <w:sz w:val="22"/>
          <w:szCs w:val="22"/>
        </w:rPr>
        <w:t xml:space="preserve">Lo anterior, se desprende de las documentales que obran en el expediente de referencia, materia de la presente resolución, consistentes en la solicitud de acceso a la información, la respuesta, el escrito recursal, y el informe justificado instrumentales que se toman en cuenta a efecto de resolver el presente medio de impugnación, conforme a lo dispuesto por el artículo 185, fracción IV, de la Ley de Transparencia y Acceso a la Información Pública del Estado de México y Municipios. </w:t>
      </w:r>
      <w:r>
        <w:rPr>
          <w:rFonts w:ascii="Palatino Linotype" w:eastAsia="Palatino Linotype" w:hAnsi="Palatino Linotype" w:cs="Palatino Linotype"/>
          <w:b/>
          <w:sz w:val="22"/>
          <w:szCs w:val="22"/>
        </w:rPr>
        <w:t>Cabe señalar que el Particular fue omiso en realizar manifestaciones o alegatos.</w:t>
      </w:r>
    </w:p>
    <w:p w14:paraId="6EB42505" w14:textId="77777777" w:rsidR="00F616CD" w:rsidRDefault="00F616CD" w:rsidP="008860AA">
      <w:pPr>
        <w:spacing w:line="360" w:lineRule="auto"/>
        <w:contextualSpacing/>
        <w:jc w:val="both"/>
        <w:rPr>
          <w:rFonts w:ascii="Palatino Linotype" w:eastAsia="Palatino Linotype" w:hAnsi="Palatino Linotype" w:cs="Palatino Linotype"/>
          <w:color w:val="000000"/>
          <w:sz w:val="22"/>
          <w:szCs w:val="22"/>
        </w:rPr>
      </w:pPr>
    </w:p>
    <w:p w14:paraId="0FFD2243" w14:textId="77777777" w:rsidR="00F616CD" w:rsidRDefault="00F616CD" w:rsidP="008860AA">
      <w:pPr>
        <w:pStyle w:val="Ttulo2"/>
        <w:spacing w:before="0" w:after="0" w:line="360" w:lineRule="auto"/>
        <w:contextualSpacing/>
        <w:jc w:val="both"/>
        <w:rPr>
          <w:rFonts w:ascii="Palatino Linotype" w:eastAsia="Palatino Linotype" w:hAnsi="Palatino Linotype" w:cs="Palatino Linotype"/>
          <w:b/>
          <w:color w:val="000000"/>
          <w:sz w:val="22"/>
          <w:szCs w:val="22"/>
        </w:rPr>
      </w:pPr>
      <w:bookmarkStart w:id="15" w:name="_Toc223020261"/>
      <w:r>
        <w:rPr>
          <w:rFonts w:ascii="Palatino Linotype" w:eastAsia="Palatino Linotype" w:hAnsi="Palatino Linotype" w:cs="Palatino Linotype"/>
          <w:b/>
          <w:color w:val="000000"/>
          <w:sz w:val="22"/>
          <w:szCs w:val="22"/>
        </w:rPr>
        <w:lastRenderedPageBreak/>
        <w:t>CUARTO. Marco normativo aplicable en materia de transparencia y acceso a la información pública</w:t>
      </w:r>
      <w:bookmarkEnd w:id="15"/>
    </w:p>
    <w:p w14:paraId="7D18181D" w14:textId="77777777" w:rsidR="00F616CD" w:rsidRDefault="00F616CD" w:rsidP="008860AA">
      <w:pPr>
        <w:widowControl w:val="0"/>
        <w:spacing w:line="360" w:lineRule="auto"/>
        <w:contextualSpacing/>
        <w:jc w:val="both"/>
        <w:rPr>
          <w:rFonts w:ascii="Palatino Linotype" w:eastAsia="Palatino Linotype" w:hAnsi="Palatino Linotype" w:cs="Palatino Linotype"/>
          <w:sz w:val="22"/>
          <w:szCs w:val="22"/>
        </w:rPr>
      </w:pPr>
    </w:p>
    <w:p w14:paraId="2061FE15" w14:textId="77777777" w:rsidR="00F616CD" w:rsidRDefault="00F616CD" w:rsidP="008860AA">
      <w:pPr>
        <w:widowControl w:val="0"/>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6A5D34AF" w14:textId="77777777" w:rsidR="00F616CD" w:rsidRDefault="00F616CD" w:rsidP="008860AA">
      <w:pPr>
        <w:widowControl w:val="0"/>
        <w:spacing w:line="360" w:lineRule="auto"/>
        <w:contextualSpacing/>
        <w:jc w:val="both"/>
        <w:rPr>
          <w:rFonts w:ascii="Palatino Linotype" w:eastAsia="Palatino Linotype" w:hAnsi="Palatino Linotype" w:cs="Palatino Linotype"/>
          <w:sz w:val="22"/>
          <w:szCs w:val="22"/>
        </w:rPr>
      </w:pPr>
    </w:p>
    <w:p w14:paraId="14BAFB3D" w14:textId="77777777" w:rsidR="00F616CD" w:rsidRDefault="00F616CD" w:rsidP="008860AA">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Por su parte, en materia local, el artículo 5°, fracción I de la Constitución Política del Estado Libre y Soberano de México, es coincidente con la Constitución Política de los Estados Unidos Mexicanos,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64450895" w14:textId="77777777" w:rsidR="00F616CD" w:rsidRDefault="00F616CD" w:rsidP="008860AA">
      <w:pPr>
        <w:widowControl w:val="0"/>
        <w:spacing w:line="360" w:lineRule="auto"/>
        <w:contextualSpacing/>
        <w:jc w:val="both"/>
        <w:rPr>
          <w:rFonts w:ascii="Palatino Linotype" w:eastAsia="Palatino Linotype" w:hAnsi="Palatino Linotype" w:cs="Palatino Linotype"/>
          <w:sz w:val="22"/>
          <w:szCs w:val="22"/>
        </w:rPr>
      </w:pPr>
    </w:p>
    <w:p w14:paraId="47672986" w14:textId="77777777" w:rsidR="00F616CD" w:rsidRDefault="00F616CD" w:rsidP="008860AA">
      <w:pPr>
        <w:widowControl w:val="0"/>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Por su parte, la Ley de Transparencia y Acceso a la Información Pública del Estado de México y Municipios (Reglamentaria del artículo 5° de la Constitución Local), establece lo siguiente:</w:t>
      </w:r>
    </w:p>
    <w:p w14:paraId="5BB0DB03" w14:textId="77777777" w:rsidR="00F616CD" w:rsidRDefault="00F616CD" w:rsidP="008860AA">
      <w:pPr>
        <w:widowControl w:val="0"/>
        <w:spacing w:line="360" w:lineRule="auto"/>
        <w:contextualSpacing/>
        <w:jc w:val="both"/>
        <w:rPr>
          <w:rFonts w:ascii="Palatino Linotype" w:eastAsia="Palatino Linotype" w:hAnsi="Palatino Linotype" w:cs="Palatino Linotype"/>
          <w:sz w:val="22"/>
          <w:szCs w:val="22"/>
        </w:rPr>
      </w:pPr>
    </w:p>
    <w:p w14:paraId="2ACEDA0F" w14:textId="77777777" w:rsidR="00F616CD" w:rsidRDefault="00F616CD" w:rsidP="008860AA">
      <w:pPr>
        <w:widowControl w:val="0"/>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El artículo 12, que, quienes generen, recopilen, administren, manejen, procesen, archiven o conserven información pública serán responsables de la misma.</w:t>
      </w:r>
    </w:p>
    <w:p w14:paraId="5C902E5D" w14:textId="77777777" w:rsidR="00F616CD" w:rsidRDefault="00F616CD" w:rsidP="008860AA">
      <w:pPr>
        <w:widowControl w:val="0"/>
        <w:spacing w:line="360" w:lineRule="auto"/>
        <w:contextualSpacing/>
        <w:jc w:val="both"/>
        <w:rPr>
          <w:rFonts w:ascii="Palatino Linotype" w:eastAsia="Palatino Linotype" w:hAnsi="Palatino Linotype" w:cs="Palatino Linotype"/>
          <w:sz w:val="22"/>
          <w:szCs w:val="22"/>
        </w:rPr>
      </w:pPr>
    </w:p>
    <w:p w14:paraId="224F997A" w14:textId="77777777" w:rsidR="00F616CD" w:rsidRDefault="00F616CD" w:rsidP="008860AA">
      <w:pPr>
        <w:widowControl w:val="0"/>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El artículo 18, que, los Sujetos Obligados deberán documentar todo acto que derive del ejercicio de sus facultades, competencias o funciones, considerando desde su origen la eventual publicidad y reutilización de la información que generen.</w:t>
      </w:r>
    </w:p>
    <w:p w14:paraId="62BFA22D" w14:textId="77777777" w:rsidR="00F616CD" w:rsidRDefault="00F616CD" w:rsidP="008860AA">
      <w:pPr>
        <w:widowControl w:val="0"/>
        <w:spacing w:line="360" w:lineRule="auto"/>
        <w:contextualSpacing/>
        <w:jc w:val="both"/>
        <w:rPr>
          <w:rFonts w:ascii="Palatino Linotype" w:eastAsia="Palatino Linotype" w:hAnsi="Palatino Linotype" w:cs="Palatino Linotype"/>
          <w:sz w:val="22"/>
          <w:szCs w:val="22"/>
        </w:rPr>
      </w:pPr>
    </w:p>
    <w:p w14:paraId="6CBD95C6" w14:textId="77777777" w:rsidR="00F616CD" w:rsidRDefault="00F616CD" w:rsidP="008860AA">
      <w:pPr>
        <w:widowControl w:val="0"/>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El artículo 19, que, se presume que la información debe existir si se refiere a las facultades, </w:t>
      </w:r>
      <w:r>
        <w:rPr>
          <w:rFonts w:ascii="Palatino Linotype" w:eastAsia="Palatino Linotype" w:hAnsi="Palatino Linotype" w:cs="Palatino Linotype"/>
          <w:sz w:val="22"/>
          <w:szCs w:val="22"/>
        </w:rPr>
        <w:lastRenderedPageBreak/>
        <w:t>competencias y funciones que los ordenamientos jurídicos aplicables otorgan a los sujetos obligados y en caso de que dichas facultades no se hayan ejercido, se deberá motivar la respuesta en función de las causas que motivaron tal circunstancia.</w:t>
      </w:r>
    </w:p>
    <w:p w14:paraId="4027CFAE" w14:textId="77777777" w:rsidR="00F616CD" w:rsidRDefault="00F616CD" w:rsidP="008860AA">
      <w:pPr>
        <w:widowControl w:val="0"/>
        <w:spacing w:line="360" w:lineRule="auto"/>
        <w:contextualSpacing/>
        <w:jc w:val="both"/>
        <w:rPr>
          <w:rFonts w:ascii="Palatino Linotype" w:eastAsia="Palatino Linotype" w:hAnsi="Palatino Linotype" w:cs="Palatino Linotype"/>
          <w:sz w:val="22"/>
          <w:szCs w:val="22"/>
        </w:rPr>
      </w:pPr>
    </w:p>
    <w:p w14:paraId="52571EB3" w14:textId="77777777" w:rsidR="00F616CD" w:rsidRDefault="00F616CD" w:rsidP="008860AA">
      <w:pPr>
        <w:pStyle w:val="Ttulo2"/>
        <w:spacing w:before="0" w:after="0" w:line="360" w:lineRule="auto"/>
        <w:contextualSpacing/>
        <w:rPr>
          <w:rFonts w:ascii="Palatino Linotype" w:eastAsia="Palatino Linotype" w:hAnsi="Palatino Linotype" w:cs="Palatino Linotype"/>
          <w:b/>
          <w:color w:val="000000"/>
          <w:sz w:val="22"/>
          <w:szCs w:val="22"/>
        </w:rPr>
      </w:pPr>
      <w:bookmarkStart w:id="16" w:name="_Toc223020262"/>
      <w:r>
        <w:rPr>
          <w:rFonts w:ascii="Palatino Linotype" w:eastAsia="Palatino Linotype" w:hAnsi="Palatino Linotype" w:cs="Palatino Linotype"/>
          <w:b/>
          <w:color w:val="000000"/>
          <w:sz w:val="22"/>
          <w:szCs w:val="22"/>
        </w:rPr>
        <w:t>QUINTO. Estudio de Fondo</w:t>
      </w:r>
      <w:bookmarkEnd w:id="16"/>
    </w:p>
    <w:p w14:paraId="7341A6B8" w14:textId="77777777" w:rsidR="00F616CD" w:rsidRDefault="00F616CD" w:rsidP="008860AA">
      <w:pPr>
        <w:spacing w:line="360" w:lineRule="auto"/>
        <w:contextualSpacing/>
        <w:jc w:val="both"/>
        <w:rPr>
          <w:rFonts w:ascii="Palatino Linotype" w:eastAsia="Palatino Linotype" w:hAnsi="Palatino Linotype" w:cs="Palatino Linotype"/>
          <w:b/>
          <w:sz w:val="22"/>
          <w:szCs w:val="22"/>
        </w:rPr>
      </w:pPr>
    </w:p>
    <w:p w14:paraId="38A5DE0D" w14:textId="77777777" w:rsidR="00F616CD" w:rsidRDefault="00F616CD" w:rsidP="008860AA">
      <w:pPr>
        <w:widowControl w:val="0"/>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Expuestas las posturas de las partes, se procede a realizar el análisis del agravio hecho valer por el ahora Recurrente, concerniente a la </w:t>
      </w:r>
      <w:r w:rsidR="00AD0CE4">
        <w:rPr>
          <w:rFonts w:ascii="Palatino Linotype" w:eastAsia="Palatino Linotype" w:hAnsi="Palatino Linotype" w:cs="Palatino Linotype"/>
          <w:sz w:val="22"/>
          <w:szCs w:val="22"/>
        </w:rPr>
        <w:t xml:space="preserve">negativa </w:t>
      </w:r>
      <w:r>
        <w:rPr>
          <w:rFonts w:ascii="Palatino Linotype" w:eastAsia="Palatino Linotype" w:hAnsi="Palatino Linotype" w:cs="Palatino Linotype"/>
          <w:sz w:val="22"/>
          <w:szCs w:val="22"/>
        </w:rPr>
        <w:t xml:space="preserve">de </w:t>
      </w:r>
      <w:r w:rsidR="00AD0CE4">
        <w:rPr>
          <w:rFonts w:ascii="Palatino Linotype" w:eastAsia="Palatino Linotype" w:hAnsi="Palatino Linotype" w:cs="Palatino Linotype"/>
          <w:sz w:val="22"/>
          <w:szCs w:val="22"/>
        </w:rPr>
        <w:t xml:space="preserve">la </w:t>
      </w:r>
      <w:r>
        <w:rPr>
          <w:rFonts w:ascii="Palatino Linotype" w:eastAsia="Palatino Linotype" w:hAnsi="Palatino Linotype" w:cs="Palatino Linotype"/>
          <w:sz w:val="22"/>
          <w:szCs w:val="22"/>
        </w:rPr>
        <w:t xml:space="preserve">información </w:t>
      </w:r>
      <w:r w:rsidR="00AD0CE4">
        <w:rPr>
          <w:rFonts w:ascii="Palatino Linotype" w:eastAsia="Palatino Linotype" w:hAnsi="Palatino Linotype" w:cs="Palatino Linotype"/>
          <w:sz w:val="22"/>
          <w:szCs w:val="22"/>
        </w:rPr>
        <w:t>solicitada</w:t>
      </w:r>
      <w:r>
        <w:rPr>
          <w:rFonts w:ascii="Palatino Linotype" w:eastAsia="Palatino Linotype" w:hAnsi="Palatino Linotype" w:cs="Palatino Linotype"/>
          <w:sz w:val="22"/>
          <w:szCs w:val="22"/>
        </w:rPr>
        <w:t>, por lo que en principio resulta necesario contextualizar la solicitud de información.</w:t>
      </w:r>
    </w:p>
    <w:p w14:paraId="4E446047" w14:textId="77777777" w:rsidR="00B97A4F" w:rsidRDefault="00B97A4F" w:rsidP="008860AA">
      <w:pPr>
        <w:widowControl w:val="0"/>
        <w:spacing w:line="360" w:lineRule="auto"/>
        <w:contextualSpacing/>
        <w:jc w:val="both"/>
        <w:rPr>
          <w:rFonts w:ascii="Palatino Linotype" w:eastAsia="Palatino Linotype" w:hAnsi="Palatino Linotype" w:cs="Palatino Linotype"/>
          <w:sz w:val="22"/>
          <w:szCs w:val="22"/>
        </w:rPr>
      </w:pPr>
    </w:p>
    <w:p w14:paraId="302E6F8B" w14:textId="77777777" w:rsidR="00B97A4F" w:rsidRPr="007B50F7" w:rsidRDefault="00B97A4F" w:rsidP="00B97A4F">
      <w:pPr>
        <w:spacing w:line="360" w:lineRule="auto"/>
        <w:contextualSpacing/>
        <w:jc w:val="both"/>
        <w:rPr>
          <w:rFonts w:ascii="Palatino Linotype" w:eastAsia="Palatino Linotype" w:hAnsi="Palatino Linotype" w:cs="Palatino Linotype"/>
          <w:sz w:val="22"/>
          <w:szCs w:val="22"/>
        </w:rPr>
      </w:pPr>
      <w:r w:rsidRPr="007B50F7">
        <w:rPr>
          <w:rFonts w:ascii="Palatino Linotype" w:eastAsia="Palatino Linotype" w:hAnsi="Palatino Linotype" w:cs="Palatino Linotype"/>
          <w:sz w:val="22"/>
          <w:szCs w:val="22"/>
        </w:rPr>
        <w:t>Sobre el tema, la Guía Técnica 7 Elaboración y Ejercicio de Presupuesto de Egresos del Instituto Nacional para el Federalismo y el Desarrollo Municipal, establece que el Presupuesto de Egresos constituye el programa anual de gastos del municipio, que permite al Ayuntamiento:</w:t>
      </w:r>
    </w:p>
    <w:p w14:paraId="0079E29E" w14:textId="77777777" w:rsidR="00B97A4F" w:rsidRPr="007B50F7" w:rsidRDefault="00B97A4F" w:rsidP="00B97A4F">
      <w:pPr>
        <w:spacing w:line="360" w:lineRule="auto"/>
        <w:contextualSpacing/>
        <w:jc w:val="both"/>
        <w:rPr>
          <w:rFonts w:ascii="Palatino Linotype" w:eastAsia="Palatino Linotype" w:hAnsi="Palatino Linotype" w:cs="Palatino Linotype"/>
          <w:b/>
          <w:sz w:val="22"/>
          <w:szCs w:val="22"/>
        </w:rPr>
      </w:pPr>
      <w:r w:rsidRPr="007B50F7">
        <w:rPr>
          <w:rFonts w:ascii="Palatino Linotype" w:eastAsia="Palatino Linotype" w:hAnsi="Palatino Linotype" w:cs="Palatino Linotype"/>
          <w:b/>
          <w:sz w:val="22"/>
          <w:szCs w:val="22"/>
        </w:rPr>
        <w:t xml:space="preserve"> </w:t>
      </w:r>
    </w:p>
    <w:p w14:paraId="5EF786F0" w14:textId="77777777" w:rsidR="00B97A4F" w:rsidRPr="007B50F7" w:rsidRDefault="00B97A4F" w:rsidP="00B97A4F">
      <w:pPr>
        <w:numPr>
          <w:ilvl w:val="0"/>
          <w:numId w:val="11"/>
        </w:numPr>
        <w:spacing w:line="360" w:lineRule="auto"/>
        <w:contextualSpacing/>
        <w:jc w:val="both"/>
        <w:rPr>
          <w:rFonts w:ascii="Palatino Linotype" w:eastAsia="Palatino Linotype" w:hAnsi="Palatino Linotype" w:cs="Palatino Linotype"/>
          <w:sz w:val="22"/>
          <w:szCs w:val="22"/>
        </w:rPr>
      </w:pPr>
      <w:r w:rsidRPr="007B50F7">
        <w:rPr>
          <w:rFonts w:ascii="Palatino Linotype" w:eastAsia="Palatino Linotype" w:hAnsi="Palatino Linotype" w:cs="Palatino Linotype"/>
          <w:sz w:val="22"/>
          <w:szCs w:val="22"/>
        </w:rPr>
        <w:t>Prever los recursos financieros necesarios para la administración municipal;</w:t>
      </w:r>
    </w:p>
    <w:p w14:paraId="5900803A" w14:textId="77777777" w:rsidR="00B97A4F" w:rsidRPr="007B50F7" w:rsidRDefault="00B97A4F" w:rsidP="00B97A4F">
      <w:pPr>
        <w:numPr>
          <w:ilvl w:val="0"/>
          <w:numId w:val="11"/>
        </w:numPr>
        <w:spacing w:line="360" w:lineRule="auto"/>
        <w:contextualSpacing/>
        <w:jc w:val="both"/>
        <w:rPr>
          <w:rFonts w:ascii="Palatino Linotype" w:eastAsia="Palatino Linotype" w:hAnsi="Palatino Linotype" w:cs="Palatino Linotype"/>
          <w:sz w:val="22"/>
          <w:szCs w:val="22"/>
        </w:rPr>
      </w:pPr>
      <w:r w:rsidRPr="007B50F7">
        <w:rPr>
          <w:rFonts w:ascii="Palatino Linotype" w:eastAsia="Palatino Linotype" w:hAnsi="Palatino Linotype" w:cs="Palatino Linotype"/>
          <w:sz w:val="22"/>
          <w:szCs w:val="22"/>
        </w:rPr>
        <w:t>Llevar el control estricto de los gastos de la administración municipal, y</w:t>
      </w:r>
    </w:p>
    <w:p w14:paraId="03440A9D" w14:textId="77777777" w:rsidR="00B97A4F" w:rsidRPr="007B50F7" w:rsidRDefault="00B97A4F" w:rsidP="00B97A4F">
      <w:pPr>
        <w:numPr>
          <w:ilvl w:val="0"/>
          <w:numId w:val="11"/>
        </w:numPr>
        <w:spacing w:line="360" w:lineRule="auto"/>
        <w:contextualSpacing/>
        <w:jc w:val="both"/>
        <w:rPr>
          <w:rFonts w:ascii="Palatino Linotype" w:eastAsia="Palatino Linotype" w:hAnsi="Palatino Linotype" w:cs="Palatino Linotype"/>
          <w:sz w:val="22"/>
          <w:szCs w:val="22"/>
        </w:rPr>
      </w:pPr>
      <w:r w:rsidRPr="007B50F7">
        <w:rPr>
          <w:rFonts w:ascii="Palatino Linotype" w:eastAsia="Palatino Linotype" w:hAnsi="Palatino Linotype" w:cs="Palatino Linotype"/>
          <w:sz w:val="22"/>
          <w:szCs w:val="22"/>
        </w:rPr>
        <w:t>Manejar adecuada y honestamente los fondos financieros del municipio.</w:t>
      </w:r>
    </w:p>
    <w:p w14:paraId="6457DED5" w14:textId="77777777" w:rsidR="00B97A4F" w:rsidRPr="007B50F7" w:rsidRDefault="00B97A4F" w:rsidP="00B97A4F">
      <w:pPr>
        <w:spacing w:line="360" w:lineRule="auto"/>
        <w:contextualSpacing/>
        <w:jc w:val="both"/>
        <w:rPr>
          <w:rFonts w:ascii="Palatino Linotype" w:eastAsia="Palatino Linotype" w:hAnsi="Palatino Linotype" w:cs="Palatino Linotype"/>
          <w:sz w:val="22"/>
          <w:szCs w:val="22"/>
        </w:rPr>
      </w:pPr>
      <w:r w:rsidRPr="007B50F7">
        <w:rPr>
          <w:rFonts w:ascii="Palatino Linotype" w:eastAsia="Palatino Linotype" w:hAnsi="Palatino Linotype" w:cs="Palatino Linotype"/>
          <w:sz w:val="22"/>
          <w:szCs w:val="22"/>
        </w:rPr>
        <w:t xml:space="preserve"> </w:t>
      </w:r>
    </w:p>
    <w:p w14:paraId="1A0C7B42" w14:textId="77777777" w:rsidR="00B97A4F" w:rsidRPr="007B50F7" w:rsidRDefault="00B97A4F" w:rsidP="00B97A4F">
      <w:pPr>
        <w:spacing w:line="360" w:lineRule="auto"/>
        <w:contextualSpacing/>
        <w:jc w:val="both"/>
        <w:rPr>
          <w:rFonts w:ascii="Palatino Linotype" w:eastAsia="Palatino Linotype" w:hAnsi="Palatino Linotype" w:cs="Palatino Linotype"/>
          <w:sz w:val="22"/>
          <w:szCs w:val="22"/>
        </w:rPr>
      </w:pPr>
      <w:r w:rsidRPr="007B50F7">
        <w:rPr>
          <w:rFonts w:ascii="Palatino Linotype" w:eastAsia="Palatino Linotype" w:hAnsi="Palatino Linotype" w:cs="Palatino Linotype"/>
          <w:sz w:val="22"/>
          <w:szCs w:val="22"/>
        </w:rPr>
        <w:t xml:space="preserve">Además, precisa que dicho documento debe ser elaborado tomando en cuenta el monto disponible de los ingresos del Ayuntamiento; en ese sentido, el artículo 285 del Código Financiero del Estado de México y Municipios, precisa que el Ayuntamiento es el encargado de aprobar el Presupuesto de Egresos del Municipio. </w:t>
      </w:r>
    </w:p>
    <w:p w14:paraId="6BE15057" w14:textId="77777777" w:rsidR="00B97A4F" w:rsidRPr="007B50F7" w:rsidRDefault="00B97A4F" w:rsidP="00B97A4F">
      <w:pPr>
        <w:spacing w:line="360" w:lineRule="auto"/>
        <w:contextualSpacing/>
        <w:jc w:val="both"/>
        <w:rPr>
          <w:rFonts w:ascii="Palatino Linotype" w:eastAsia="Palatino Linotype" w:hAnsi="Palatino Linotype" w:cs="Palatino Linotype"/>
          <w:sz w:val="22"/>
          <w:szCs w:val="22"/>
        </w:rPr>
      </w:pPr>
      <w:r w:rsidRPr="007B50F7">
        <w:rPr>
          <w:rFonts w:ascii="Palatino Linotype" w:eastAsia="Palatino Linotype" w:hAnsi="Palatino Linotype" w:cs="Palatino Linotype"/>
          <w:sz w:val="22"/>
          <w:szCs w:val="22"/>
        </w:rPr>
        <w:t xml:space="preserve"> </w:t>
      </w:r>
    </w:p>
    <w:p w14:paraId="3DD410BE" w14:textId="77777777" w:rsidR="00B97A4F" w:rsidRPr="007B50F7" w:rsidRDefault="00B97A4F" w:rsidP="00B97A4F">
      <w:pPr>
        <w:spacing w:line="360" w:lineRule="auto"/>
        <w:contextualSpacing/>
        <w:jc w:val="both"/>
        <w:rPr>
          <w:rFonts w:ascii="Palatino Linotype" w:eastAsia="Palatino Linotype" w:hAnsi="Palatino Linotype" w:cs="Palatino Linotype"/>
          <w:b/>
          <w:sz w:val="22"/>
          <w:szCs w:val="22"/>
        </w:rPr>
      </w:pPr>
      <w:r w:rsidRPr="007B50F7">
        <w:rPr>
          <w:rFonts w:ascii="Palatino Linotype" w:eastAsia="Palatino Linotype" w:hAnsi="Palatino Linotype" w:cs="Palatino Linotype"/>
          <w:sz w:val="22"/>
          <w:szCs w:val="22"/>
        </w:rPr>
        <w:t xml:space="preserve">En ese sentido, el artículo 31, fracción XIX, de la Ley Orgánica Municipal del Estado de México, establece que los </w:t>
      </w:r>
      <w:r w:rsidRPr="007B50F7">
        <w:rPr>
          <w:rFonts w:ascii="Palatino Linotype" w:eastAsia="Palatino Linotype" w:hAnsi="Palatino Linotype" w:cs="Palatino Linotype"/>
          <w:b/>
          <w:sz w:val="22"/>
          <w:szCs w:val="22"/>
        </w:rPr>
        <w:t xml:space="preserve">Ayuntamientos serán los encargados de aprobar anualmente, el </w:t>
      </w:r>
      <w:r w:rsidRPr="007B50F7">
        <w:rPr>
          <w:rFonts w:ascii="Palatino Linotype" w:eastAsia="Palatino Linotype" w:hAnsi="Palatino Linotype" w:cs="Palatino Linotype"/>
          <w:b/>
          <w:sz w:val="22"/>
          <w:szCs w:val="22"/>
        </w:rPr>
        <w:lastRenderedPageBreak/>
        <w:t xml:space="preserve">Presupuesto de Egresos, en base a los ingresos presupuestados para el ejercicio de corresponda. </w:t>
      </w:r>
    </w:p>
    <w:p w14:paraId="0B931BAC" w14:textId="77777777" w:rsidR="00B97A4F" w:rsidRPr="007B50F7" w:rsidRDefault="00B97A4F" w:rsidP="00B97A4F">
      <w:pPr>
        <w:spacing w:line="360" w:lineRule="auto"/>
        <w:contextualSpacing/>
        <w:jc w:val="both"/>
        <w:rPr>
          <w:rFonts w:ascii="Palatino Linotype" w:eastAsia="Palatino Linotype" w:hAnsi="Palatino Linotype" w:cs="Palatino Linotype"/>
          <w:b/>
          <w:sz w:val="22"/>
          <w:szCs w:val="22"/>
        </w:rPr>
      </w:pPr>
      <w:r w:rsidRPr="007B50F7">
        <w:rPr>
          <w:rFonts w:ascii="Palatino Linotype" w:eastAsia="Palatino Linotype" w:hAnsi="Palatino Linotype" w:cs="Palatino Linotype"/>
          <w:b/>
          <w:sz w:val="22"/>
          <w:szCs w:val="22"/>
        </w:rPr>
        <w:t xml:space="preserve"> </w:t>
      </w:r>
    </w:p>
    <w:p w14:paraId="25995660" w14:textId="77777777" w:rsidR="00B97A4F" w:rsidRPr="007B50F7" w:rsidRDefault="00B97A4F" w:rsidP="00B97A4F">
      <w:pPr>
        <w:spacing w:line="360" w:lineRule="auto"/>
        <w:contextualSpacing/>
        <w:jc w:val="both"/>
        <w:rPr>
          <w:rFonts w:ascii="Palatino Linotype" w:eastAsia="Palatino Linotype" w:hAnsi="Palatino Linotype" w:cs="Palatino Linotype"/>
          <w:b/>
          <w:sz w:val="22"/>
          <w:szCs w:val="22"/>
        </w:rPr>
      </w:pPr>
      <w:r w:rsidRPr="007B50F7">
        <w:rPr>
          <w:rFonts w:ascii="Palatino Linotype" w:eastAsia="Palatino Linotype" w:hAnsi="Palatino Linotype" w:cs="Palatino Linotype"/>
          <w:sz w:val="22"/>
          <w:szCs w:val="22"/>
        </w:rPr>
        <w:t>En ese orden de ideas, de conformidad con el artículo 100 y 101, fracción II, de dicho ordenamiento jurídico, el Presupuesto de Egresos, deberá contener las previsiones de gasto público y se conformará, entre otras cosas, por la</w:t>
      </w:r>
      <w:r w:rsidRPr="007B50F7">
        <w:rPr>
          <w:rFonts w:ascii="Palatino Linotype" w:eastAsia="Palatino Linotype" w:hAnsi="Palatino Linotype" w:cs="Palatino Linotype"/>
          <w:b/>
          <w:sz w:val="22"/>
          <w:szCs w:val="22"/>
        </w:rPr>
        <w:t xml:space="preserve"> estimación de los ingresos y gastos del ejercicio fiscal calendarizados.</w:t>
      </w:r>
    </w:p>
    <w:p w14:paraId="06935FE5" w14:textId="77777777" w:rsidR="00B97A4F" w:rsidRPr="007B50F7" w:rsidRDefault="00B97A4F" w:rsidP="00B97A4F">
      <w:pPr>
        <w:spacing w:line="360" w:lineRule="auto"/>
        <w:contextualSpacing/>
        <w:jc w:val="both"/>
        <w:rPr>
          <w:rFonts w:ascii="Palatino Linotype" w:eastAsia="Palatino Linotype" w:hAnsi="Palatino Linotype" w:cs="Palatino Linotype"/>
          <w:b/>
          <w:sz w:val="22"/>
          <w:szCs w:val="22"/>
        </w:rPr>
      </w:pPr>
      <w:r w:rsidRPr="007B50F7">
        <w:rPr>
          <w:rFonts w:ascii="Palatino Linotype" w:eastAsia="Palatino Linotype" w:hAnsi="Palatino Linotype" w:cs="Palatino Linotype"/>
          <w:b/>
          <w:sz w:val="22"/>
          <w:szCs w:val="22"/>
        </w:rPr>
        <w:t xml:space="preserve"> </w:t>
      </w:r>
    </w:p>
    <w:p w14:paraId="5ED27E73" w14:textId="77777777" w:rsidR="00B97A4F" w:rsidRPr="007B50F7" w:rsidRDefault="00B97A4F" w:rsidP="00B97A4F">
      <w:pPr>
        <w:spacing w:line="360" w:lineRule="auto"/>
        <w:contextualSpacing/>
        <w:jc w:val="both"/>
        <w:rPr>
          <w:rFonts w:ascii="Palatino Linotype" w:eastAsia="Palatino Linotype" w:hAnsi="Palatino Linotype" w:cs="Palatino Linotype"/>
          <w:sz w:val="22"/>
          <w:szCs w:val="22"/>
        </w:rPr>
      </w:pPr>
      <w:r w:rsidRPr="007B50F7">
        <w:rPr>
          <w:rFonts w:ascii="Palatino Linotype" w:eastAsia="Palatino Linotype" w:hAnsi="Palatino Linotype" w:cs="Palatino Linotype"/>
          <w:sz w:val="22"/>
          <w:szCs w:val="22"/>
        </w:rPr>
        <w:t>Así, el Manual para la Planeación, Programación y Presupuesto de Egresos Municipal para l</w:t>
      </w:r>
      <w:r>
        <w:rPr>
          <w:rFonts w:ascii="Palatino Linotype" w:eastAsia="Palatino Linotype" w:hAnsi="Palatino Linotype" w:cs="Palatino Linotype"/>
          <w:sz w:val="22"/>
          <w:szCs w:val="22"/>
        </w:rPr>
        <w:t>os</w:t>
      </w:r>
      <w:r w:rsidRPr="007B50F7">
        <w:rPr>
          <w:rFonts w:ascii="Palatino Linotype" w:eastAsia="Palatino Linotype" w:hAnsi="Palatino Linotype" w:cs="Palatino Linotype"/>
          <w:sz w:val="22"/>
          <w:szCs w:val="22"/>
        </w:rPr>
        <w:t xml:space="preserve"> ejercicio</w:t>
      </w:r>
      <w:r>
        <w:rPr>
          <w:rFonts w:ascii="Palatino Linotype" w:eastAsia="Palatino Linotype" w:hAnsi="Palatino Linotype" w:cs="Palatino Linotype"/>
          <w:sz w:val="22"/>
          <w:szCs w:val="22"/>
        </w:rPr>
        <w:t>s</w:t>
      </w:r>
      <w:r w:rsidRPr="007B50F7">
        <w:rPr>
          <w:rFonts w:ascii="Palatino Linotype" w:eastAsia="Palatino Linotype" w:hAnsi="Palatino Linotype" w:cs="Palatino Linotype"/>
          <w:sz w:val="22"/>
          <w:szCs w:val="22"/>
        </w:rPr>
        <w:t xml:space="preserve"> fiscal</w:t>
      </w:r>
      <w:r>
        <w:rPr>
          <w:rFonts w:ascii="Palatino Linotype" w:eastAsia="Palatino Linotype" w:hAnsi="Palatino Linotype" w:cs="Palatino Linotype"/>
          <w:sz w:val="22"/>
          <w:szCs w:val="22"/>
        </w:rPr>
        <w:t>es</w:t>
      </w:r>
      <w:r w:rsidRPr="007B50F7">
        <w:rPr>
          <w:rFonts w:ascii="Palatino Linotype" w:eastAsia="Palatino Linotype" w:hAnsi="Palatino Linotype" w:cs="Palatino Linotype"/>
          <w:sz w:val="22"/>
          <w:szCs w:val="22"/>
        </w:rPr>
        <w:t xml:space="preserve"> dos mil </w:t>
      </w:r>
      <w:r>
        <w:rPr>
          <w:rFonts w:ascii="Palatino Linotype" w:eastAsia="Palatino Linotype" w:hAnsi="Palatino Linotype" w:cs="Palatino Linotype"/>
          <w:sz w:val="22"/>
          <w:szCs w:val="22"/>
        </w:rPr>
        <w:t>veintidós y dos mil veintitrés</w:t>
      </w:r>
      <w:r w:rsidRPr="007B50F7">
        <w:rPr>
          <w:rFonts w:ascii="Palatino Linotype" w:eastAsia="Palatino Linotype" w:hAnsi="Palatino Linotype" w:cs="Palatino Linotype"/>
          <w:sz w:val="22"/>
          <w:szCs w:val="22"/>
        </w:rPr>
        <w:t>, establece que el Presupuesto es la estimación financiera anticipada de los ingresos y egresos del gobierno, necesarios para cumplir con los objetivos establecidos; además, que el mismo involucra planes, políticas, programas, proyectos, estrategias y objetivos del municipio.</w:t>
      </w:r>
    </w:p>
    <w:p w14:paraId="4C49ECB3" w14:textId="77777777" w:rsidR="00B97A4F" w:rsidRPr="007B50F7" w:rsidRDefault="00B97A4F" w:rsidP="00B97A4F">
      <w:pPr>
        <w:spacing w:line="360" w:lineRule="auto"/>
        <w:contextualSpacing/>
        <w:jc w:val="both"/>
        <w:rPr>
          <w:rFonts w:ascii="Palatino Linotype" w:eastAsia="Palatino Linotype" w:hAnsi="Palatino Linotype" w:cs="Palatino Linotype"/>
          <w:sz w:val="22"/>
          <w:szCs w:val="22"/>
        </w:rPr>
      </w:pPr>
    </w:p>
    <w:p w14:paraId="4B0A7095" w14:textId="77777777" w:rsidR="00453D21" w:rsidRPr="00657DAA" w:rsidRDefault="00453D21" w:rsidP="00453D21">
      <w:pPr>
        <w:spacing w:line="360" w:lineRule="auto"/>
        <w:ind w:right="-28"/>
        <w:jc w:val="both"/>
        <w:rPr>
          <w:rFonts w:ascii="Palatino Linotype" w:eastAsia="Palatino Linotype" w:hAnsi="Palatino Linotype" w:cs="Palatino Linotype"/>
          <w:sz w:val="22"/>
          <w:szCs w:val="22"/>
        </w:rPr>
      </w:pPr>
      <w:r w:rsidRPr="00657DAA">
        <w:rPr>
          <w:rFonts w:ascii="Palatino Linotype" w:eastAsia="Palatino Linotype" w:hAnsi="Palatino Linotype" w:cs="Palatino Linotype"/>
          <w:sz w:val="22"/>
          <w:szCs w:val="22"/>
        </w:rPr>
        <w:t xml:space="preserve">De acuerdo con lo anterior, se logra vislumbrar que la pretensión del ahora Recurrente es obtener los documentos donde consten los </w:t>
      </w:r>
      <w:r>
        <w:rPr>
          <w:rFonts w:ascii="Palatino Linotype" w:eastAsia="Palatino Linotype" w:hAnsi="Palatino Linotype" w:cs="Palatino Linotype"/>
          <w:sz w:val="22"/>
          <w:szCs w:val="22"/>
        </w:rPr>
        <w:t xml:space="preserve">recursos recibidos por el Fondo de Desastres Naturales (FONDEN), las obras en las que se implementó, así como los </w:t>
      </w:r>
      <w:r w:rsidRPr="00657DAA">
        <w:rPr>
          <w:rFonts w:ascii="Palatino Linotype" w:eastAsia="Palatino Linotype" w:hAnsi="Palatino Linotype" w:cs="Palatino Linotype"/>
          <w:sz w:val="22"/>
          <w:szCs w:val="22"/>
        </w:rPr>
        <w:t>montos de gastos</w:t>
      </w:r>
      <w:r>
        <w:rPr>
          <w:rFonts w:ascii="Palatino Linotype" w:eastAsia="Palatino Linotype" w:hAnsi="Palatino Linotype" w:cs="Palatino Linotype"/>
          <w:sz w:val="22"/>
          <w:szCs w:val="22"/>
        </w:rPr>
        <w:t xml:space="preserve"> ejercidos</w:t>
      </w:r>
      <w:r w:rsidRPr="00657DAA">
        <w:rPr>
          <w:rFonts w:ascii="Palatino Linotype" w:eastAsia="Palatino Linotype" w:hAnsi="Palatino Linotype" w:cs="Palatino Linotype"/>
          <w:sz w:val="22"/>
          <w:szCs w:val="22"/>
        </w:rPr>
        <w:t xml:space="preserve"> </w:t>
      </w:r>
      <w:r>
        <w:rPr>
          <w:rFonts w:ascii="Palatino Linotype" w:eastAsia="Palatino Linotype" w:hAnsi="Palatino Linotype" w:cs="Palatino Linotype"/>
          <w:sz w:val="22"/>
          <w:szCs w:val="22"/>
        </w:rPr>
        <w:t>del primero de enero al veintinueve de octubre de dos mil veinticinco</w:t>
      </w:r>
      <w:r w:rsidRPr="00657DAA">
        <w:rPr>
          <w:rFonts w:ascii="Palatino Linotype" w:eastAsia="Palatino Linotype" w:hAnsi="Palatino Linotype" w:cs="Palatino Linotype"/>
          <w:sz w:val="22"/>
          <w:szCs w:val="22"/>
        </w:rPr>
        <w:t xml:space="preserve">. </w:t>
      </w:r>
    </w:p>
    <w:p w14:paraId="6A8DF0FF" w14:textId="77777777" w:rsidR="00453D21" w:rsidRDefault="00453D21" w:rsidP="008860AA">
      <w:pPr>
        <w:spacing w:line="360" w:lineRule="auto"/>
        <w:contextualSpacing/>
        <w:jc w:val="both"/>
        <w:rPr>
          <w:rFonts w:ascii="Palatino Linotype" w:eastAsia="Palatino Linotype" w:hAnsi="Palatino Linotype" w:cs="Palatino Linotype"/>
          <w:sz w:val="22"/>
          <w:szCs w:val="22"/>
        </w:rPr>
      </w:pPr>
    </w:p>
    <w:p w14:paraId="626363EA" w14:textId="77777777" w:rsidR="00F616CD" w:rsidRDefault="00F616CD" w:rsidP="008860AA">
      <w:pPr>
        <w:spacing w:line="360" w:lineRule="auto"/>
        <w:contextualSpacing/>
        <w:jc w:val="both"/>
        <w:rPr>
          <w:rFonts w:ascii="Palatino Linotype" w:eastAsia="Palatino Linotype" w:hAnsi="Palatino Linotype" w:cs="Palatino Linotype"/>
          <w:b/>
          <w:sz w:val="22"/>
          <w:szCs w:val="22"/>
        </w:rPr>
      </w:pPr>
      <w:r>
        <w:rPr>
          <w:rFonts w:ascii="Palatino Linotype" w:eastAsia="Palatino Linotype" w:hAnsi="Palatino Linotype" w:cs="Palatino Linotype"/>
          <w:sz w:val="22"/>
          <w:szCs w:val="22"/>
        </w:rPr>
        <w:t xml:space="preserve">Así, previo al análisis de los puntos de la solicitud y las respuestas  proporcionadas, se logró vislumbrar que el Sujeto Obligado turnó la solicitud de información a la Tesorería </w:t>
      </w:r>
      <w:r w:rsidR="00453D21">
        <w:rPr>
          <w:rFonts w:ascii="Palatino Linotype" w:eastAsia="Palatino Linotype" w:hAnsi="Palatino Linotype" w:cs="Palatino Linotype"/>
          <w:sz w:val="22"/>
          <w:szCs w:val="22"/>
        </w:rPr>
        <w:t>Municipal</w:t>
      </w:r>
      <w:r>
        <w:rPr>
          <w:rFonts w:ascii="Palatino Linotype" w:eastAsia="Palatino Linotype" w:hAnsi="Palatino Linotype" w:cs="Palatino Linotype"/>
          <w:sz w:val="22"/>
          <w:szCs w:val="22"/>
        </w:rPr>
        <w:t xml:space="preserve">, así como a la Dirección General de </w:t>
      </w:r>
      <w:r w:rsidR="00453D21">
        <w:rPr>
          <w:rFonts w:ascii="Palatino Linotype" w:eastAsia="Palatino Linotype" w:hAnsi="Palatino Linotype" w:cs="Palatino Linotype"/>
          <w:sz w:val="22"/>
          <w:szCs w:val="22"/>
        </w:rPr>
        <w:t>Obras Púbicas</w:t>
      </w:r>
      <w:r>
        <w:rPr>
          <w:rFonts w:ascii="Palatino Linotype" w:eastAsia="Palatino Linotype" w:hAnsi="Palatino Linotype" w:cs="Palatino Linotype"/>
          <w:sz w:val="22"/>
          <w:szCs w:val="22"/>
        </w:rPr>
        <w:t xml:space="preserve">, por lo que resulta necesario hacer referencia al procedimiento de búsqueda que deben seguir los Sujetos Obligados para localizar la información, el cual se encuentra previsto en el artículo 162 de la Ley de Transparencia y Acceso a la Información Pública del Estado de México y Municipios, el cual establece que las Unidades de Transparencia garantizarán que las solicitudes de acceso a la </w:t>
      </w:r>
      <w:r>
        <w:rPr>
          <w:rFonts w:ascii="Palatino Linotype" w:eastAsia="Palatino Linotype" w:hAnsi="Palatino Linotype" w:cs="Palatino Linotype"/>
          <w:sz w:val="22"/>
          <w:szCs w:val="22"/>
        </w:rPr>
        <w:lastRenderedPageBreak/>
        <w:t>información se turnen a todas las áreas competentes que cuenten con la información o deban tenerla -de acuerdo a las facultades, competencias y funciones-, con el objeto de que dichas áreas realicen una búsqueda exhaustiva y razonable de la información requerida.</w:t>
      </w:r>
    </w:p>
    <w:p w14:paraId="19FCFCD3" w14:textId="77777777" w:rsidR="00F616CD" w:rsidRDefault="00F616CD" w:rsidP="008860AA">
      <w:pPr>
        <w:widowControl w:val="0"/>
        <w:spacing w:line="360" w:lineRule="auto"/>
        <w:contextualSpacing/>
        <w:jc w:val="both"/>
        <w:rPr>
          <w:rFonts w:ascii="Palatino Linotype" w:eastAsia="Palatino Linotype" w:hAnsi="Palatino Linotype" w:cs="Palatino Linotype"/>
          <w:sz w:val="22"/>
          <w:szCs w:val="22"/>
        </w:rPr>
      </w:pPr>
    </w:p>
    <w:p w14:paraId="197BE4F3" w14:textId="77777777" w:rsidR="00AD0CE4" w:rsidRDefault="00F616CD" w:rsidP="00453D21">
      <w:pPr>
        <w:spacing w:line="360" w:lineRule="auto"/>
        <w:ind w:right="-28"/>
        <w:contextualSpacing/>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Así, resulta necesario traer al estudio los artículos </w:t>
      </w:r>
      <w:r w:rsidR="00453D21">
        <w:rPr>
          <w:rFonts w:ascii="Palatino Linotype" w:eastAsia="Palatino Linotype" w:hAnsi="Palatino Linotype" w:cs="Palatino Linotype"/>
          <w:sz w:val="22"/>
          <w:szCs w:val="22"/>
        </w:rPr>
        <w:t>89 y 90 Fracción I numeral</w:t>
      </w:r>
      <w:r>
        <w:rPr>
          <w:rFonts w:ascii="Palatino Linotype" w:eastAsia="Palatino Linotype" w:hAnsi="Palatino Linotype" w:cs="Palatino Linotype"/>
          <w:sz w:val="22"/>
          <w:szCs w:val="22"/>
        </w:rPr>
        <w:t xml:space="preserve"> 2</w:t>
      </w:r>
      <w:r w:rsidR="00453D21">
        <w:rPr>
          <w:rFonts w:ascii="Palatino Linotype" w:eastAsia="Palatino Linotype" w:hAnsi="Palatino Linotype" w:cs="Palatino Linotype"/>
          <w:sz w:val="22"/>
          <w:szCs w:val="22"/>
        </w:rPr>
        <w:t xml:space="preserve"> </w:t>
      </w:r>
      <w:r>
        <w:rPr>
          <w:rFonts w:ascii="Palatino Linotype" w:eastAsia="Palatino Linotype" w:hAnsi="Palatino Linotype" w:cs="Palatino Linotype"/>
          <w:sz w:val="22"/>
          <w:szCs w:val="22"/>
        </w:rPr>
        <w:t>del Bando Municipal de Toluca, dos mil veinticinco</w:t>
      </w:r>
      <w:r>
        <w:rPr>
          <w:rFonts w:ascii="Palatino Linotype" w:eastAsia="Palatino Linotype" w:hAnsi="Palatino Linotype" w:cs="Palatino Linotype"/>
          <w:color w:val="000000"/>
          <w:sz w:val="22"/>
          <w:szCs w:val="22"/>
        </w:rPr>
        <w:t>, en relación con los artículos 3.1, 3.2 fracci</w:t>
      </w:r>
      <w:r w:rsidR="00453D21">
        <w:rPr>
          <w:rFonts w:ascii="Palatino Linotype" w:eastAsia="Palatino Linotype" w:hAnsi="Palatino Linotype" w:cs="Palatino Linotype"/>
          <w:color w:val="000000"/>
          <w:sz w:val="22"/>
          <w:szCs w:val="22"/>
        </w:rPr>
        <w:t>ón I numeral</w:t>
      </w:r>
      <w:r>
        <w:rPr>
          <w:rFonts w:ascii="Palatino Linotype" w:eastAsia="Palatino Linotype" w:hAnsi="Palatino Linotype" w:cs="Palatino Linotype"/>
          <w:color w:val="000000"/>
          <w:sz w:val="22"/>
          <w:szCs w:val="22"/>
        </w:rPr>
        <w:t xml:space="preserve"> </w:t>
      </w:r>
      <w:r w:rsidR="00453D21">
        <w:rPr>
          <w:rFonts w:ascii="Palatino Linotype" w:eastAsia="Palatino Linotype" w:hAnsi="Palatino Linotype" w:cs="Palatino Linotype"/>
          <w:color w:val="000000"/>
          <w:sz w:val="22"/>
          <w:szCs w:val="22"/>
        </w:rPr>
        <w:t xml:space="preserve">2, artículos </w:t>
      </w:r>
      <w:r w:rsidR="00453D21">
        <w:rPr>
          <w:rFonts w:ascii="Palatino Linotype" w:eastAsia="Palatino Linotype" w:hAnsi="Palatino Linotype" w:cs="Palatino Linotype"/>
          <w:sz w:val="22"/>
          <w:szCs w:val="22"/>
        </w:rPr>
        <w:t>3.19, 3.20 y 3.2</w:t>
      </w:r>
      <w:r>
        <w:rPr>
          <w:rFonts w:ascii="Palatino Linotype" w:eastAsia="Palatino Linotype" w:hAnsi="Palatino Linotype" w:cs="Palatino Linotype"/>
          <w:sz w:val="22"/>
          <w:szCs w:val="22"/>
        </w:rPr>
        <w:t>1 del Reglamento Orgánico Municipal de Toluca</w:t>
      </w:r>
      <w:r>
        <w:rPr>
          <w:rFonts w:ascii="Palatino Linotype" w:eastAsia="Palatino Linotype" w:hAnsi="Palatino Linotype" w:cs="Palatino Linotype"/>
          <w:color w:val="000000"/>
          <w:sz w:val="22"/>
          <w:szCs w:val="22"/>
        </w:rPr>
        <w:t>,  los cuales establecen, que el Sujeto Obligado para el ejercicio de sus funciones contará con diversas unidades administrativas para el ejercicio d</w:t>
      </w:r>
      <w:r w:rsidR="00AD0CE4">
        <w:rPr>
          <w:rFonts w:ascii="Palatino Linotype" w:eastAsia="Palatino Linotype" w:hAnsi="Palatino Linotype" w:cs="Palatino Linotype"/>
          <w:color w:val="000000"/>
          <w:sz w:val="22"/>
          <w:szCs w:val="22"/>
        </w:rPr>
        <w:t>e sus atribuciones, entre otras:</w:t>
      </w:r>
    </w:p>
    <w:p w14:paraId="410AFDE4" w14:textId="77777777" w:rsidR="00AD0CE4" w:rsidRDefault="00AD0CE4" w:rsidP="00453D21">
      <w:pPr>
        <w:spacing w:line="360" w:lineRule="auto"/>
        <w:ind w:right="-28"/>
        <w:contextualSpacing/>
        <w:jc w:val="both"/>
        <w:rPr>
          <w:rFonts w:ascii="Palatino Linotype" w:eastAsia="Palatino Linotype" w:hAnsi="Palatino Linotype" w:cs="Palatino Linotype"/>
          <w:color w:val="000000"/>
          <w:sz w:val="22"/>
          <w:szCs w:val="22"/>
        </w:rPr>
      </w:pPr>
    </w:p>
    <w:p w14:paraId="5DBAF5D5" w14:textId="77777777" w:rsidR="00AD0CE4" w:rsidRDefault="00F616CD" w:rsidP="00AD0CE4">
      <w:pPr>
        <w:pStyle w:val="Prrafodelista"/>
        <w:numPr>
          <w:ilvl w:val="0"/>
          <w:numId w:val="13"/>
        </w:numPr>
        <w:spacing w:line="360" w:lineRule="auto"/>
        <w:ind w:right="-28"/>
        <w:jc w:val="both"/>
        <w:rPr>
          <w:rFonts w:ascii="Palatino Linotype" w:eastAsia="Palatino Linotype" w:hAnsi="Palatino Linotype" w:cs="Palatino Linotype"/>
          <w:color w:val="000000"/>
          <w:sz w:val="22"/>
          <w:szCs w:val="22"/>
        </w:rPr>
      </w:pPr>
      <w:r w:rsidRPr="00AD0CE4">
        <w:rPr>
          <w:rFonts w:ascii="Palatino Linotype" w:eastAsia="Palatino Linotype" w:hAnsi="Palatino Linotype" w:cs="Palatino Linotype"/>
          <w:b/>
          <w:color w:val="000000"/>
          <w:sz w:val="22"/>
          <w:szCs w:val="22"/>
        </w:rPr>
        <w:t>Tesorería Municipal:</w:t>
      </w:r>
      <w:r w:rsidRPr="00AD0CE4">
        <w:rPr>
          <w:rFonts w:ascii="Palatino Linotype" w:eastAsia="Palatino Linotype" w:hAnsi="Palatino Linotype" w:cs="Palatino Linotype"/>
          <w:color w:val="000000"/>
          <w:sz w:val="22"/>
          <w:szCs w:val="22"/>
        </w:rPr>
        <w:t xml:space="preserve"> Encargada de la consecución de diversas atribuciones entre otras: Proponer al Ayuntamiento los presupuestos de ingresos y egresos los cuales deberán ser elaborados y etiquetados con perspectiva de género, informar de su ejercicio y sugerir las modificaciones, en caso necesario; Autorizar y verificar la reasignación de recursos presupuestarios a otros programas sociales prioritarios mediante el dictamen correspondiente, en conjunto con la </w:t>
      </w:r>
      <w:r w:rsidR="00453D21" w:rsidRPr="00AD0CE4">
        <w:rPr>
          <w:rFonts w:ascii="Palatino Linotype" w:eastAsia="Palatino Linotype" w:hAnsi="Palatino Linotype" w:cs="Palatino Linotype"/>
          <w:color w:val="000000"/>
          <w:sz w:val="22"/>
          <w:szCs w:val="22"/>
        </w:rPr>
        <w:t>Dirección de Ingresos se encarga de diversas funciones entre otras las siguientes:</w:t>
      </w:r>
    </w:p>
    <w:p w14:paraId="6875DCB2" w14:textId="77777777" w:rsidR="00453D21" w:rsidRPr="00AD0CE4" w:rsidRDefault="00453D21" w:rsidP="00AD0CE4">
      <w:pPr>
        <w:pStyle w:val="Prrafodelista"/>
        <w:numPr>
          <w:ilvl w:val="0"/>
          <w:numId w:val="10"/>
        </w:numPr>
        <w:spacing w:line="360" w:lineRule="auto"/>
        <w:ind w:right="-28"/>
        <w:jc w:val="both"/>
        <w:rPr>
          <w:rFonts w:ascii="Palatino Linotype" w:eastAsia="Palatino Linotype" w:hAnsi="Palatino Linotype" w:cs="Palatino Linotype"/>
          <w:color w:val="000000"/>
          <w:sz w:val="22"/>
          <w:szCs w:val="22"/>
        </w:rPr>
      </w:pPr>
      <w:r w:rsidRPr="00AD0CE4">
        <w:rPr>
          <w:rFonts w:ascii="Palatino Linotype" w:eastAsia="Palatino Linotype" w:hAnsi="Palatino Linotype" w:cs="Palatino Linotype"/>
          <w:color w:val="000000"/>
          <w:sz w:val="22"/>
          <w:szCs w:val="22"/>
        </w:rPr>
        <w:t>Recaudar los ingresos públicos municipales por los distintos conceptos que señala la Ley de Ingresos de los Municipios del Estado de México aplicable para el ejercicio fiscal correspondiente;</w:t>
      </w:r>
    </w:p>
    <w:p w14:paraId="0CA07D39" w14:textId="77777777" w:rsidR="00453D21" w:rsidRDefault="00453D21" w:rsidP="00453D21">
      <w:pPr>
        <w:pStyle w:val="Prrafodelista"/>
        <w:numPr>
          <w:ilvl w:val="0"/>
          <w:numId w:val="10"/>
        </w:numPr>
        <w:spacing w:line="360" w:lineRule="auto"/>
        <w:ind w:right="-28"/>
        <w:jc w:val="both"/>
        <w:rPr>
          <w:rFonts w:ascii="Palatino Linotype" w:eastAsia="Palatino Linotype" w:hAnsi="Palatino Linotype" w:cs="Palatino Linotype"/>
          <w:color w:val="000000"/>
          <w:sz w:val="22"/>
          <w:szCs w:val="22"/>
        </w:rPr>
      </w:pPr>
      <w:r w:rsidRPr="00453D21">
        <w:rPr>
          <w:rFonts w:ascii="Palatino Linotype" w:eastAsia="Palatino Linotype" w:hAnsi="Palatino Linotype" w:cs="Palatino Linotype"/>
          <w:color w:val="000000"/>
          <w:sz w:val="22"/>
          <w:szCs w:val="22"/>
        </w:rPr>
        <w:t>Controlar, supervisar y reportar la cifra de ingresos recaudada en el municipio, obtenidos obligaciones hacendarias, aprovechamientos y demás ingresos municipales;</w:t>
      </w:r>
    </w:p>
    <w:p w14:paraId="03F09E0C" w14:textId="77777777" w:rsidR="00453D21" w:rsidRDefault="00453D21" w:rsidP="00453D21">
      <w:pPr>
        <w:pStyle w:val="Prrafodelista"/>
        <w:numPr>
          <w:ilvl w:val="0"/>
          <w:numId w:val="10"/>
        </w:numPr>
        <w:spacing w:line="360" w:lineRule="auto"/>
        <w:ind w:right="-28"/>
        <w:jc w:val="both"/>
        <w:rPr>
          <w:rFonts w:ascii="Palatino Linotype" w:eastAsia="Palatino Linotype" w:hAnsi="Palatino Linotype" w:cs="Palatino Linotype"/>
          <w:color w:val="000000"/>
          <w:sz w:val="22"/>
          <w:szCs w:val="22"/>
        </w:rPr>
      </w:pPr>
      <w:r w:rsidRPr="00453D21">
        <w:rPr>
          <w:rFonts w:ascii="Palatino Linotype" w:eastAsia="Palatino Linotype" w:hAnsi="Palatino Linotype" w:cs="Palatino Linotype"/>
          <w:color w:val="000000"/>
          <w:sz w:val="22"/>
          <w:szCs w:val="22"/>
        </w:rPr>
        <w:t>Planificar y ejecutar el programa de fiscalización, así como la evaluación de sus resultados;</w:t>
      </w:r>
      <w:r>
        <w:rPr>
          <w:rFonts w:ascii="Palatino Linotype" w:eastAsia="Palatino Linotype" w:hAnsi="Palatino Linotype" w:cs="Palatino Linotype"/>
          <w:color w:val="000000"/>
          <w:sz w:val="22"/>
          <w:szCs w:val="22"/>
        </w:rPr>
        <w:t xml:space="preserve"> y</w:t>
      </w:r>
    </w:p>
    <w:p w14:paraId="40EBD786" w14:textId="77777777" w:rsidR="00453D21" w:rsidRPr="00453D21" w:rsidRDefault="00453D21" w:rsidP="00453D21">
      <w:pPr>
        <w:pStyle w:val="Prrafodelista"/>
        <w:numPr>
          <w:ilvl w:val="0"/>
          <w:numId w:val="10"/>
        </w:numPr>
        <w:spacing w:line="360" w:lineRule="auto"/>
        <w:ind w:right="-28"/>
        <w:jc w:val="both"/>
        <w:rPr>
          <w:rFonts w:ascii="Palatino Linotype" w:eastAsia="Palatino Linotype" w:hAnsi="Palatino Linotype" w:cs="Palatino Linotype"/>
          <w:color w:val="000000"/>
          <w:sz w:val="22"/>
          <w:szCs w:val="22"/>
        </w:rPr>
      </w:pPr>
      <w:r w:rsidRPr="00453D21">
        <w:rPr>
          <w:rFonts w:ascii="Palatino Linotype" w:eastAsia="Palatino Linotype" w:hAnsi="Palatino Linotype" w:cs="Palatino Linotype"/>
          <w:color w:val="000000"/>
          <w:sz w:val="22"/>
          <w:szCs w:val="22"/>
        </w:rPr>
        <w:lastRenderedPageBreak/>
        <w:t>Proponer el presupuesto anual de ingresos, una vez aprobado el programa general de reca</w:t>
      </w:r>
      <w:r>
        <w:rPr>
          <w:rFonts w:ascii="Palatino Linotype" w:eastAsia="Palatino Linotype" w:hAnsi="Palatino Linotype" w:cs="Palatino Linotype"/>
          <w:color w:val="000000"/>
          <w:sz w:val="22"/>
          <w:szCs w:val="22"/>
        </w:rPr>
        <w:t>udación de ingresos tributarios.</w:t>
      </w:r>
    </w:p>
    <w:p w14:paraId="32B80D1E" w14:textId="77777777" w:rsidR="00F616CD" w:rsidRPr="00EC44FF" w:rsidRDefault="00F616CD" w:rsidP="008860AA">
      <w:pPr>
        <w:pBdr>
          <w:top w:val="nil"/>
          <w:left w:val="nil"/>
          <w:bottom w:val="nil"/>
          <w:right w:val="nil"/>
          <w:between w:val="nil"/>
        </w:pBdr>
        <w:spacing w:line="360" w:lineRule="auto"/>
        <w:ind w:right="-28"/>
        <w:contextualSpacing/>
        <w:jc w:val="both"/>
        <w:rPr>
          <w:rFonts w:ascii="Palatino Linotype" w:eastAsia="Palatino Linotype" w:hAnsi="Palatino Linotype" w:cs="Palatino Linotype"/>
          <w:color w:val="000000"/>
          <w:sz w:val="22"/>
          <w:szCs w:val="22"/>
        </w:rPr>
      </w:pPr>
    </w:p>
    <w:p w14:paraId="59DBFEC8" w14:textId="77777777" w:rsidR="00F616CD" w:rsidRDefault="00F616CD" w:rsidP="008860AA">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Conforme a lo anterior se logra observar que el Ayuntamiento </w:t>
      </w:r>
      <w:r w:rsidR="00453D21">
        <w:rPr>
          <w:rFonts w:ascii="Palatino Linotype" w:eastAsia="Palatino Linotype" w:hAnsi="Palatino Linotype" w:cs="Palatino Linotype"/>
          <w:sz w:val="22"/>
          <w:szCs w:val="22"/>
        </w:rPr>
        <w:t>de Toluca, turnó la solicitud al área competente</w:t>
      </w:r>
      <w:r>
        <w:rPr>
          <w:rFonts w:ascii="Palatino Linotype" w:eastAsia="Palatino Linotype" w:hAnsi="Palatino Linotype" w:cs="Palatino Linotype"/>
          <w:sz w:val="22"/>
          <w:szCs w:val="22"/>
        </w:rPr>
        <w:t xml:space="preserve"> para conocer sobre lo peticionado, por lo que se considera que cumplió con el procedimiento de búsqueda previamente establecido en el artículo 162 de la Ley de la materia.</w:t>
      </w:r>
    </w:p>
    <w:p w14:paraId="67CA120D" w14:textId="77777777" w:rsidR="00F616CD" w:rsidRDefault="00F616CD" w:rsidP="008860AA">
      <w:pPr>
        <w:spacing w:line="360" w:lineRule="auto"/>
        <w:contextualSpacing/>
        <w:jc w:val="both"/>
        <w:rPr>
          <w:rFonts w:ascii="Palatino Linotype" w:eastAsia="Palatino Linotype" w:hAnsi="Palatino Linotype" w:cs="Palatino Linotype"/>
          <w:sz w:val="22"/>
          <w:szCs w:val="22"/>
        </w:rPr>
      </w:pPr>
    </w:p>
    <w:bookmarkEnd w:id="13"/>
    <w:p w14:paraId="4E235CEE" w14:textId="77777777" w:rsidR="001817CB" w:rsidRPr="00AD0CE4" w:rsidRDefault="001817CB" w:rsidP="001817CB">
      <w:pPr>
        <w:spacing w:line="360" w:lineRule="auto"/>
        <w:ind w:right="-28"/>
        <w:contextualSpacing/>
        <w:jc w:val="both"/>
        <w:rPr>
          <w:rFonts w:ascii="Palatino Linotype" w:hAnsi="Palatino Linotype"/>
          <w:sz w:val="22"/>
          <w:szCs w:val="22"/>
        </w:rPr>
      </w:pPr>
      <w:r w:rsidRPr="00657DAA">
        <w:rPr>
          <w:rFonts w:ascii="Palatino Linotype" w:hAnsi="Palatino Linotype"/>
          <w:sz w:val="22"/>
          <w:szCs w:val="22"/>
        </w:rPr>
        <w:t>Ah</w:t>
      </w:r>
      <w:r>
        <w:rPr>
          <w:rFonts w:ascii="Palatino Linotype" w:hAnsi="Palatino Linotype"/>
          <w:sz w:val="22"/>
          <w:szCs w:val="22"/>
        </w:rPr>
        <w:t>ora bien,</w:t>
      </w:r>
      <w:r w:rsidRPr="00657DAA">
        <w:rPr>
          <w:rFonts w:ascii="Palatino Linotype" w:hAnsi="Palatino Linotype"/>
          <w:sz w:val="22"/>
          <w:szCs w:val="22"/>
        </w:rPr>
        <w:t xml:space="preserve"> en respuesta, </w:t>
      </w:r>
      <w:r>
        <w:rPr>
          <w:rFonts w:ascii="Palatino Linotype" w:hAnsi="Palatino Linotype"/>
          <w:sz w:val="22"/>
          <w:szCs w:val="22"/>
        </w:rPr>
        <w:t>dicha área indicó</w:t>
      </w:r>
      <w:r w:rsidRPr="00657DAA">
        <w:rPr>
          <w:rFonts w:ascii="Palatino Linotype" w:hAnsi="Palatino Linotype"/>
          <w:sz w:val="22"/>
          <w:szCs w:val="22"/>
        </w:rPr>
        <w:t xml:space="preserve"> que no contaban con documentos que dieran cuenta de lo solicitado</w:t>
      </w:r>
      <w:r>
        <w:rPr>
          <w:rFonts w:ascii="Palatino Linotype" w:hAnsi="Palatino Linotype"/>
          <w:sz w:val="22"/>
          <w:szCs w:val="22"/>
        </w:rPr>
        <w:t xml:space="preserve"> relacionado con el FONDEN, </w:t>
      </w:r>
      <w:r w:rsidRPr="00657DAA">
        <w:rPr>
          <w:rFonts w:ascii="Palatino Linotype" w:hAnsi="Palatino Linotype"/>
          <w:sz w:val="22"/>
          <w:szCs w:val="22"/>
        </w:rPr>
        <w:t xml:space="preserve">por lo que, con </w:t>
      </w:r>
      <w:r>
        <w:rPr>
          <w:rFonts w:ascii="Palatino Linotype" w:hAnsi="Palatino Linotype"/>
          <w:sz w:val="22"/>
          <w:szCs w:val="22"/>
        </w:rPr>
        <w:t>dichas manifestaciones aludió</w:t>
      </w:r>
      <w:r w:rsidRPr="00657DAA">
        <w:rPr>
          <w:rFonts w:ascii="Palatino Linotype" w:hAnsi="Palatino Linotype"/>
          <w:sz w:val="22"/>
          <w:szCs w:val="22"/>
        </w:rPr>
        <w:t xml:space="preserve"> a que la información era inexistente. </w:t>
      </w:r>
      <w:r w:rsidRPr="00657DAA">
        <w:rPr>
          <w:rFonts w:ascii="Palatino Linotype" w:eastAsia="Palatino Linotype" w:hAnsi="Palatino Linotype" w:cs="Palatino Linotype"/>
          <w:iCs/>
          <w:sz w:val="22"/>
          <w:szCs w:val="22"/>
        </w:rPr>
        <w:t xml:space="preserve">Sobre </w:t>
      </w:r>
      <w:r w:rsidRPr="00657DAA">
        <w:rPr>
          <w:rFonts w:ascii="Palatino Linotype" w:eastAsia="Palatino Linotype" w:hAnsi="Palatino Linotype" w:cs="Palatino Linotype"/>
          <w:sz w:val="22"/>
          <w:szCs w:val="22"/>
        </w:rPr>
        <w:t xml:space="preserve">el tema, el criterio orientados SO/014/2017, emitido por el Instituto Nacional de Transparencia, Acceso a la Información Pública y Protección de Datos Personales en el Estado de México y Municipios, el cual precisa que la inexistencia de la información, es una cuestión de hecho que se le atribuye a la misma, cuando ésta no se encuentra en los archivos del sujeto obligado. </w:t>
      </w:r>
    </w:p>
    <w:p w14:paraId="3DB0F8FE" w14:textId="77777777" w:rsidR="001817CB" w:rsidRPr="00657DAA" w:rsidRDefault="001817CB" w:rsidP="001817CB">
      <w:pPr>
        <w:spacing w:line="360" w:lineRule="auto"/>
        <w:ind w:right="-28"/>
        <w:contextualSpacing/>
        <w:jc w:val="both"/>
        <w:rPr>
          <w:rFonts w:ascii="Palatino Linotype" w:eastAsia="Palatino Linotype" w:hAnsi="Palatino Linotype" w:cs="Palatino Linotype"/>
          <w:sz w:val="22"/>
          <w:szCs w:val="22"/>
        </w:rPr>
      </w:pPr>
      <w:r w:rsidRPr="00657DAA">
        <w:rPr>
          <w:rFonts w:ascii="Palatino Linotype" w:eastAsia="Palatino Linotype" w:hAnsi="Palatino Linotype" w:cs="Palatino Linotype"/>
          <w:sz w:val="22"/>
          <w:szCs w:val="22"/>
        </w:rPr>
        <w:t xml:space="preserve"> </w:t>
      </w:r>
    </w:p>
    <w:p w14:paraId="494CFCA4" w14:textId="77777777" w:rsidR="001817CB" w:rsidRPr="00657DAA" w:rsidRDefault="001817CB" w:rsidP="001817CB">
      <w:pPr>
        <w:spacing w:line="360" w:lineRule="auto"/>
        <w:ind w:right="-28"/>
        <w:contextualSpacing/>
        <w:jc w:val="both"/>
        <w:rPr>
          <w:rFonts w:ascii="Palatino Linotype" w:eastAsia="Palatino Linotype" w:hAnsi="Palatino Linotype" w:cs="Palatino Linotype"/>
          <w:sz w:val="22"/>
          <w:szCs w:val="22"/>
        </w:rPr>
      </w:pPr>
      <w:r w:rsidRPr="00657DAA">
        <w:rPr>
          <w:rFonts w:ascii="Palatino Linotype" w:eastAsia="Palatino Linotype" w:hAnsi="Palatino Linotype" w:cs="Palatino Linotype"/>
          <w:sz w:val="22"/>
          <w:szCs w:val="22"/>
        </w:rPr>
        <w:t xml:space="preserve">En ese orden de ideas, según Trujillo, Humberto (2019), en el “Diccionario de Transparencia y Acceso a la Información Pública” (p. 171), la inexistencia de la información, es cuando la información requerida no se encuentra en los archivos públicos, reservados o clasificados, de los sujetos obligados. </w:t>
      </w:r>
    </w:p>
    <w:p w14:paraId="29850DA6" w14:textId="77777777" w:rsidR="001817CB" w:rsidRPr="00657DAA" w:rsidRDefault="001817CB" w:rsidP="001817CB">
      <w:pPr>
        <w:spacing w:line="360" w:lineRule="auto"/>
        <w:ind w:right="-28"/>
        <w:contextualSpacing/>
        <w:jc w:val="both"/>
        <w:rPr>
          <w:rFonts w:ascii="Palatino Linotype" w:eastAsia="Palatino Linotype" w:hAnsi="Palatino Linotype" w:cs="Palatino Linotype"/>
          <w:b/>
          <w:bCs/>
          <w:iCs/>
          <w:sz w:val="22"/>
          <w:szCs w:val="22"/>
        </w:rPr>
      </w:pPr>
      <w:r w:rsidRPr="00657DAA">
        <w:rPr>
          <w:rFonts w:ascii="Palatino Linotype" w:eastAsia="Palatino Linotype" w:hAnsi="Palatino Linotype" w:cs="Palatino Linotype"/>
          <w:b/>
          <w:bCs/>
          <w:iCs/>
          <w:sz w:val="22"/>
          <w:szCs w:val="22"/>
        </w:rPr>
        <w:t xml:space="preserve"> </w:t>
      </w:r>
    </w:p>
    <w:p w14:paraId="70696C9F" w14:textId="77777777" w:rsidR="001817CB" w:rsidRPr="00657DAA" w:rsidRDefault="001817CB" w:rsidP="001817CB">
      <w:pPr>
        <w:spacing w:line="360" w:lineRule="auto"/>
        <w:ind w:right="-28"/>
        <w:contextualSpacing/>
        <w:jc w:val="both"/>
        <w:rPr>
          <w:rFonts w:ascii="Palatino Linotype" w:eastAsia="Palatino Linotype" w:hAnsi="Palatino Linotype" w:cs="Palatino Linotype"/>
          <w:sz w:val="22"/>
          <w:szCs w:val="22"/>
        </w:rPr>
      </w:pPr>
      <w:r w:rsidRPr="00657DAA">
        <w:rPr>
          <w:rFonts w:ascii="Palatino Linotype" w:eastAsia="Palatino Linotype" w:hAnsi="Palatino Linotype" w:cs="Palatino Linotype"/>
          <w:sz w:val="22"/>
          <w:szCs w:val="22"/>
        </w:rPr>
        <w:t xml:space="preserve">Conforme a lo anterior, la </w:t>
      </w:r>
      <w:r w:rsidRPr="00657DAA">
        <w:rPr>
          <w:rFonts w:ascii="Palatino Linotype" w:eastAsia="Palatino Linotype" w:hAnsi="Palatino Linotype" w:cs="Palatino Linotype"/>
          <w:b/>
          <w:sz w:val="22"/>
          <w:szCs w:val="22"/>
        </w:rPr>
        <w:t>inexistencia</w:t>
      </w:r>
      <w:r w:rsidRPr="00657DAA">
        <w:rPr>
          <w:rFonts w:ascii="Palatino Linotype" w:eastAsia="Palatino Linotype" w:hAnsi="Palatino Linotype" w:cs="Palatino Linotype"/>
          <w:sz w:val="22"/>
          <w:szCs w:val="22"/>
        </w:rPr>
        <w:t xml:space="preserve"> presupone la competencia del sujeto obligado para conocer de la información, pero por alguna circunstancia, la documentación solicitada no obra en sus archivos; sin embargo, para poder acreditar dicha circunstancia, se considera que los Sujetos Obligados, </w:t>
      </w:r>
      <w:r w:rsidRPr="00657DAA">
        <w:rPr>
          <w:rFonts w:ascii="Palatino Linotype" w:eastAsia="Palatino Linotype" w:hAnsi="Palatino Linotype" w:cs="Palatino Linotype"/>
          <w:b/>
          <w:bCs/>
          <w:sz w:val="22"/>
          <w:szCs w:val="22"/>
        </w:rPr>
        <w:t>primero deben realizar una indagación en todos los archivos de las áreas con funciones para conocer de lo peticionado.</w:t>
      </w:r>
    </w:p>
    <w:p w14:paraId="17790F5E" w14:textId="77777777" w:rsidR="001817CB" w:rsidRPr="00657DAA" w:rsidRDefault="001817CB" w:rsidP="001817CB">
      <w:pPr>
        <w:spacing w:line="360" w:lineRule="auto"/>
        <w:ind w:right="-28"/>
        <w:contextualSpacing/>
        <w:jc w:val="both"/>
        <w:rPr>
          <w:rFonts w:ascii="Palatino Linotype" w:eastAsia="Palatino Linotype" w:hAnsi="Palatino Linotype" w:cs="Palatino Linotype"/>
          <w:bCs/>
          <w:iCs/>
          <w:sz w:val="22"/>
          <w:szCs w:val="22"/>
        </w:rPr>
      </w:pPr>
      <w:r w:rsidRPr="00657DAA">
        <w:rPr>
          <w:rFonts w:ascii="Palatino Linotype" w:eastAsia="Palatino Linotype" w:hAnsi="Palatino Linotype" w:cs="Palatino Linotype"/>
          <w:bCs/>
          <w:iCs/>
          <w:sz w:val="22"/>
          <w:szCs w:val="22"/>
        </w:rPr>
        <w:lastRenderedPageBreak/>
        <w:t xml:space="preserve"> </w:t>
      </w:r>
    </w:p>
    <w:p w14:paraId="1A4F4984" w14:textId="77777777" w:rsidR="001817CB" w:rsidRPr="00657DAA" w:rsidRDefault="001817CB" w:rsidP="001817CB">
      <w:pPr>
        <w:spacing w:line="360" w:lineRule="auto"/>
        <w:ind w:right="-28"/>
        <w:contextualSpacing/>
        <w:jc w:val="both"/>
        <w:rPr>
          <w:rFonts w:ascii="Palatino Linotype" w:eastAsia="Palatino Linotype" w:hAnsi="Palatino Linotype" w:cs="Palatino Linotype"/>
          <w:b/>
          <w:bCs/>
          <w:sz w:val="22"/>
          <w:szCs w:val="22"/>
        </w:rPr>
      </w:pPr>
      <w:r w:rsidRPr="00657DAA">
        <w:rPr>
          <w:rFonts w:ascii="Palatino Linotype" w:eastAsia="Palatino Linotype" w:hAnsi="Palatino Linotype" w:cs="Palatino Linotype"/>
          <w:bCs/>
          <w:sz w:val="22"/>
          <w:szCs w:val="22"/>
        </w:rPr>
        <w:t xml:space="preserve">En ese sentido, según Jarquín, Soledad (2019), en el “Diccionario de Transparencia y Acceso a la Información Pública” (p. 68), </w:t>
      </w:r>
      <w:r w:rsidRPr="00657DAA">
        <w:rPr>
          <w:rFonts w:ascii="Palatino Linotype" w:eastAsia="Palatino Linotype" w:hAnsi="Palatino Linotype" w:cs="Palatino Linotype"/>
          <w:b/>
          <w:bCs/>
          <w:sz w:val="22"/>
          <w:szCs w:val="22"/>
        </w:rPr>
        <w:t>la búsqueda exhaustiva</w:t>
      </w:r>
      <w:r w:rsidRPr="00657DAA">
        <w:rPr>
          <w:rFonts w:ascii="Palatino Linotype" w:eastAsia="Palatino Linotype" w:hAnsi="Palatino Linotype" w:cs="Palatino Linotype"/>
          <w:bCs/>
          <w:sz w:val="22"/>
          <w:szCs w:val="22"/>
        </w:rPr>
        <w:t xml:space="preserve"> es la obligación del área administrativa del Sujeto Obligado que cuenta o puede contar con la información requerida, la cual consiste en localizar toda aquella que atienda la solicitud, </w:t>
      </w:r>
      <w:r w:rsidRPr="00657DAA">
        <w:rPr>
          <w:rFonts w:ascii="Palatino Linotype" w:eastAsia="Palatino Linotype" w:hAnsi="Palatino Linotype" w:cs="Palatino Linotype"/>
          <w:b/>
          <w:bCs/>
          <w:sz w:val="22"/>
          <w:szCs w:val="22"/>
        </w:rPr>
        <w:t xml:space="preserve">hasta agotar por completo las posibilidades de indagación. </w:t>
      </w:r>
      <w:r w:rsidRPr="00657DAA">
        <w:rPr>
          <w:rFonts w:ascii="Palatino Linotype" w:eastAsia="Palatino Linotype" w:hAnsi="Palatino Linotype" w:cs="Palatino Linotype"/>
          <w:bCs/>
          <w:sz w:val="22"/>
          <w:szCs w:val="22"/>
        </w:rPr>
        <w:t xml:space="preserve">Además, según Calero, Natalia (2016), en la “Ley General de Transparencia y Acceso a la Información Pública Comentada” (p. 408), para que exista una búsqueda exhaustiva y razonable, se debe hacer una </w:t>
      </w:r>
      <w:r w:rsidRPr="00657DAA">
        <w:rPr>
          <w:rFonts w:ascii="Palatino Linotype" w:eastAsia="Palatino Linotype" w:hAnsi="Palatino Linotype" w:cs="Palatino Linotype"/>
          <w:b/>
          <w:bCs/>
          <w:sz w:val="22"/>
          <w:szCs w:val="22"/>
        </w:rPr>
        <w:t xml:space="preserve">indagación consiente y minuciosa en sus archivos físicos y electrónicos. </w:t>
      </w:r>
    </w:p>
    <w:p w14:paraId="6EC4018D" w14:textId="77777777" w:rsidR="001817CB" w:rsidRPr="00657DAA" w:rsidRDefault="001817CB" w:rsidP="001817CB">
      <w:pPr>
        <w:spacing w:line="360" w:lineRule="auto"/>
        <w:ind w:right="-28"/>
        <w:contextualSpacing/>
        <w:jc w:val="both"/>
        <w:rPr>
          <w:rFonts w:ascii="Palatino Linotype" w:eastAsia="Palatino Linotype" w:hAnsi="Palatino Linotype" w:cs="Palatino Linotype"/>
          <w:b/>
          <w:bCs/>
          <w:sz w:val="22"/>
          <w:szCs w:val="22"/>
        </w:rPr>
      </w:pPr>
      <w:r w:rsidRPr="00657DAA">
        <w:rPr>
          <w:rFonts w:ascii="Palatino Linotype" w:eastAsia="Palatino Linotype" w:hAnsi="Palatino Linotype" w:cs="Palatino Linotype"/>
          <w:b/>
          <w:bCs/>
          <w:sz w:val="22"/>
          <w:szCs w:val="22"/>
        </w:rPr>
        <w:t xml:space="preserve"> </w:t>
      </w:r>
    </w:p>
    <w:p w14:paraId="707C6BB1" w14:textId="77777777" w:rsidR="001817CB" w:rsidRPr="00657DAA" w:rsidRDefault="001817CB" w:rsidP="001817CB">
      <w:pPr>
        <w:spacing w:line="360" w:lineRule="auto"/>
        <w:ind w:right="-28"/>
        <w:contextualSpacing/>
        <w:jc w:val="both"/>
        <w:rPr>
          <w:rFonts w:ascii="Palatino Linotype" w:eastAsia="Palatino Linotype" w:hAnsi="Palatino Linotype" w:cs="Palatino Linotype"/>
          <w:sz w:val="22"/>
          <w:szCs w:val="22"/>
        </w:rPr>
      </w:pPr>
      <w:r w:rsidRPr="00657DAA">
        <w:rPr>
          <w:rFonts w:ascii="Palatino Linotype" w:eastAsia="Palatino Linotype" w:hAnsi="Palatino Linotype" w:cs="Palatino Linotype"/>
          <w:sz w:val="22"/>
          <w:szCs w:val="22"/>
        </w:rPr>
        <w:t>Conforme a lo anterior, para poder acreditar el carácter exhaustivo de la búsqueda realizada por los Sujetos Obligados, se deben motivar las razones por las que se buscó la información en determinadas áreas, los criterios de búsqueda utilizados y demás circunstancias que fueron tomadas en cuenta.</w:t>
      </w:r>
    </w:p>
    <w:p w14:paraId="703C4DAC" w14:textId="77777777" w:rsidR="001817CB" w:rsidRPr="00657DAA" w:rsidRDefault="001817CB" w:rsidP="001817CB">
      <w:pPr>
        <w:spacing w:line="360" w:lineRule="auto"/>
        <w:ind w:right="-28"/>
        <w:contextualSpacing/>
        <w:jc w:val="both"/>
        <w:rPr>
          <w:rFonts w:ascii="Palatino Linotype" w:eastAsia="Palatino Linotype" w:hAnsi="Palatino Linotype" w:cs="Palatino Linotype"/>
          <w:sz w:val="22"/>
          <w:szCs w:val="22"/>
        </w:rPr>
      </w:pPr>
    </w:p>
    <w:p w14:paraId="547CC0BC" w14:textId="77777777" w:rsidR="001817CB" w:rsidRDefault="001817CB" w:rsidP="00AD0CE4">
      <w:pPr>
        <w:spacing w:line="360" w:lineRule="auto"/>
        <w:ind w:right="-28"/>
        <w:contextualSpacing/>
        <w:jc w:val="both"/>
        <w:rPr>
          <w:rFonts w:ascii="Palatino Linotype" w:eastAsia="Palatino Linotype" w:hAnsi="Palatino Linotype" w:cs="Palatino Linotype"/>
          <w:sz w:val="22"/>
          <w:szCs w:val="22"/>
        </w:rPr>
      </w:pPr>
      <w:r w:rsidRPr="00657DAA">
        <w:rPr>
          <w:rFonts w:ascii="Palatino Linotype" w:eastAsia="Palatino Linotype" w:hAnsi="Palatino Linotype" w:cs="Palatino Linotype"/>
          <w:sz w:val="22"/>
          <w:szCs w:val="22"/>
        </w:rPr>
        <w:t xml:space="preserve">Ahora bien,  en respuesta la Tesorería Municipal, encargada del control y ejercicio del gasto del Ayuntamiento, precisó desde su respuesta, que después de haber realizado una búsqueda exhaustiva y razonable en sus archivos durante </w:t>
      </w:r>
      <w:r>
        <w:rPr>
          <w:rFonts w:ascii="Palatino Linotype" w:eastAsia="Palatino Linotype" w:hAnsi="Palatino Linotype" w:cs="Palatino Linotype"/>
          <w:sz w:val="22"/>
          <w:szCs w:val="22"/>
        </w:rPr>
        <w:t>el ejercicio fiscal</w:t>
      </w:r>
      <w:r w:rsidRPr="00657DAA">
        <w:rPr>
          <w:rFonts w:ascii="Palatino Linotype" w:eastAsia="Palatino Linotype" w:hAnsi="Palatino Linotype" w:cs="Palatino Linotype"/>
          <w:sz w:val="22"/>
          <w:szCs w:val="22"/>
        </w:rPr>
        <w:t xml:space="preserve"> </w:t>
      </w:r>
      <w:r>
        <w:rPr>
          <w:rFonts w:ascii="Palatino Linotype" w:eastAsia="Palatino Linotype" w:hAnsi="Palatino Linotype" w:cs="Palatino Linotype"/>
          <w:sz w:val="22"/>
          <w:szCs w:val="22"/>
        </w:rPr>
        <w:t>dos mil veinticinco</w:t>
      </w:r>
      <w:r w:rsidRPr="00657DAA">
        <w:rPr>
          <w:rFonts w:ascii="Palatino Linotype" w:eastAsia="Palatino Linotype" w:hAnsi="Palatino Linotype" w:cs="Palatino Linotype"/>
          <w:sz w:val="22"/>
          <w:szCs w:val="22"/>
        </w:rPr>
        <w:t>, no había localizado documentos que dieran cuenta</w:t>
      </w:r>
      <w:r>
        <w:rPr>
          <w:rFonts w:ascii="Palatino Linotype" w:eastAsia="Palatino Linotype" w:hAnsi="Palatino Linotype" w:cs="Palatino Linotype"/>
          <w:sz w:val="22"/>
          <w:szCs w:val="22"/>
        </w:rPr>
        <w:t xml:space="preserve"> de los recursos solicitados relacionados con el Fondo Nacional de Desastres Naturales (FONDEN)</w:t>
      </w:r>
      <w:r w:rsidRPr="00657DAA">
        <w:rPr>
          <w:rFonts w:ascii="Palatino Linotype" w:eastAsia="Palatino Linotype" w:hAnsi="Palatino Linotype" w:cs="Palatino Linotype"/>
          <w:sz w:val="22"/>
          <w:szCs w:val="22"/>
        </w:rPr>
        <w:t>.</w:t>
      </w:r>
      <w:r w:rsidR="00AD0CE4">
        <w:rPr>
          <w:rFonts w:ascii="Palatino Linotype" w:eastAsia="Palatino Linotype" w:hAnsi="Palatino Linotype" w:cs="Palatino Linotype"/>
          <w:sz w:val="22"/>
          <w:szCs w:val="22"/>
        </w:rPr>
        <w:t xml:space="preserve"> </w:t>
      </w:r>
    </w:p>
    <w:p w14:paraId="50FAD2DF" w14:textId="77777777" w:rsidR="00AD0CE4" w:rsidRPr="00AD0CE4" w:rsidRDefault="00AD0CE4" w:rsidP="00AD0CE4">
      <w:pPr>
        <w:spacing w:line="360" w:lineRule="auto"/>
        <w:ind w:right="-28"/>
        <w:contextualSpacing/>
        <w:jc w:val="both"/>
        <w:rPr>
          <w:rFonts w:ascii="Palatino Linotype" w:eastAsia="Palatino Linotype" w:hAnsi="Palatino Linotype" w:cs="Palatino Linotype"/>
          <w:sz w:val="22"/>
          <w:szCs w:val="22"/>
        </w:rPr>
      </w:pPr>
    </w:p>
    <w:p w14:paraId="4178A867" w14:textId="77777777" w:rsidR="001817CB" w:rsidRPr="00657DAA" w:rsidRDefault="001817CB" w:rsidP="001817CB">
      <w:pPr>
        <w:spacing w:line="360" w:lineRule="auto"/>
        <w:contextualSpacing/>
        <w:jc w:val="both"/>
        <w:rPr>
          <w:rFonts w:ascii="Palatino Linotype" w:hAnsi="Palatino Linotype" w:cs="Tahoma"/>
          <w:bCs/>
          <w:iCs/>
          <w:sz w:val="22"/>
          <w:szCs w:val="22"/>
        </w:rPr>
      </w:pPr>
      <w:r w:rsidRPr="00657DAA">
        <w:rPr>
          <w:rFonts w:ascii="Palatino Linotype" w:hAnsi="Palatino Linotype" w:cs="Tahoma"/>
          <w:bCs/>
          <w:iCs/>
          <w:sz w:val="22"/>
          <w:szCs w:val="22"/>
        </w:rPr>
        <w:t xml:space="preserve">Conforme </w:t>
      </w:r>
      <w:r>
        <w:rPr>
          <w:rFonts w:ascii="Palatino Linotype" w:hAnsi="Palatino Linotype" w:cs="Tahoma"/>
          <w:bCs/>
          <w:iCs/>
          <w:sz w:val="22"/>
          <w:szCs w:val="22"/>
        </w:rPr>
        <w:t>a lo anterior, se colige que el área administrativa competente indicó</w:t>
      </w:r>
      <w:r w:rsidRPr="00657DAA">
        <w:rPr>
          <w:rFonts w:ascii="Palatino Linotype" w:hAnsi="Palatino Linotype" w:cs="Tahoma"/>
          <w:bCs/>
          <w:iCs/>
          <w:sz w:val="22"/>
          <w:szCs w:val="22"/>
        </w:rPr>
        <w:t xml:space="preserve"> que, al haber realizado el procedimiento de búsqueda exhaustivo y razonable en sus archivos, no habían localizado expresión documental que diera cuenta de lo peticionado</w:t>
      </w:r>
      <w:r w:rsidRPr="00657DAA">
        <w:rPr>
          <w:rFonts w:ascii="Palatino Linotype" w:eastAsia="Palatino Linotype" w:hAnsi="Palatino Linotype" w:cs="Palatino Linotype"/>
          <w:sz w:val="22"/>
          <w:szCs w:val="22"/>
        </w:rPr>
        <w:t>, por lo que en ejercicio de sus funciones</w:t>
      </w:r>
      <w:r>
        <w:rPr>
          <w:rFonts w:ascii="Palatino Linotype" w:eastAsia="Palatino Linotype" w:hAnsi="Palatino Linotype" w:cs="Palatino Linotype"/>
          <w:sz w:val="22"/>
          <w:szCs w:val="22"/>
        </w:rPr>
        <w:t xml:space="preserve"> informó</w:t>
      </w:r>
      <w:r w:rsidRPr="00657DAA">
        <w:rPr>
          <w:rFonts w:ascii="Palatino Linotype" w:eastAsia="Palatino Linotype" w:hAnsi="Palatino Linotype" w:cs="Palatino Linotype"/>
          <w:sz w:val="22"/>
          <w:szCs w:val="22"/>
        </w:rPr>
        <w:t xml:space="preserve"> desde su respuesta, que no contaban con información o expresión </w:t>
      </w:r>
      <w:r w:rsidRPr="00657DAA">
        <w:rPr>
          <w:rFonts w:ascii="Palatino Linotype" w:eastAsia="Palatino Linotype" w:hAnsi="Palatino Linotype" w:cs="Palatino Linotype"/>
          <w:sz w:val="22"/>
          <w:szCs w:val="22"/>
        </w:rPr>
        <w:lastRenderedPageBreak/>
        <w:t>documental que diera cuenta de l</w:t>
      </w:r>
      <w:r>
        <w:rPr>
          <w:rFonts w:ascii="Palatino Linotype" w:eastAsia="Palatino Linotype" w:hAnsi="Palatino Linotype" w:cs="Palatino Linotype"/>
          <w:sz w:val="22"/>
          <w:szCs w:val="22"/>
        </w:rPr>
        <w:t>os recursos solicitados y ejercidos en el ejercicio fiscal requerido</w:t>
      </w:r>
      <w:r w:rsidRPr="00657DAA">
        <w:rPr>
          <w:rFonts w:ascii="Palatino Linotype" w:eastAsia="Palatino Linotype" w:hAnsi="Palatino Linotype" w:cs="Palatino Linotype"/>
          <w:sz w:val="22"/>
          <w:szCs w:val="22"/>
        </w:rPr>
        <w:t>.</w:t>
      </w:r>
    </w:p>
    <w:p w14:paraId="4CE146C4" w14:textId="77777777" w:rsidR="001817CB" w:rsidRPr="00657DAA" w:rsidRDefault="001817CB" w:rsidP="001817CB">
      <w:pPr>
        <w:spacing w:line="360" w:lineRule="auto"/>
        <w:ind w:right="-28"/>
        <w:contextualSpacing/>
        <w:jc w:val="both"/>
        <w:rPr>
          <w:rFonts w:ascii="Palatino Linotype" w:eastAsia="Palatino Linotype" w:hAnsi="Palatino Linotype" w:cs="Palatino Linotype"/>
          <w:sz w:val="22"/>
          <w:szCs w:val="22"/>
        </w:rPr>
      </w:pPr>
    </w:p>
    <w:p w14:paraId="7964B4C0" w14:textId="77777777" w:rsidR="001817CB" w:rsidRDefault="001817CB" w:rsidP="001817CB">
      <w:pPr>
        <w:spacing w:line="360" w:lineRule="auto"/>
        <w:ind w:right="-28"/>
        <w:contextualSpacing/>
        <w:jc w:val="both"/>
        <w:rPr>
          <w:rFonts w:ascii="Palatino Linotype" w:eastAsia="Palatino Linotype" w:hAnsi="Palatino Linotype" w:cs="Palatino Linotype"/>
          <w:sz w:val="22"/>
          <w:szCs w:val="22"/>
        </w:rPr>
      </w:pPr>
      <w:r w:rsidRPr="00657DAA">
        <w:rPr>
          <w:rFonts w:ascii="Palatino Linotype" w:eastAsia="Palatino Linotype" w:hAnsi="Palatino Linotype" w:cs="Palatino Linotype"/>
          <w:sz w:val="22"/>
          <w:szCs w:val="22"/>
        </w:rPr>
        <w:t xml:space="preserve">Así, este Organismo Garante, considera procedente validar la respuesta emitida por el Ayuntamiento de Toluca, en virtud de que desde su respuesta, </w:t>
      </w:r>
      <w:r>
        <w:rPr>
          <w:rFonts w:ascii="Palatino Linotype" w:eastAsia="Palatino Linotype" w:hAnsi="Palatino Linotype" w:cs="Palatino Linotype"/>
          <w:sz w:val="22"/>
          <w:szCs w:val="22"/>
        </w:rPr>
        <w:t>la</w:t>
      </w:r>
      <w:r w:rsidRPr="00657DAA">
        <w:rPr>
          <w:rFonts w:ascii="Palatino Linotype" w:eastAsia="Palatino Linotype" w:hAnsi="Palatino Linotype" w:cs="Palatino Linotype"/>
          <w:sz w:val="22"/>
          <w:szCs w:val="22"/>
        </w:rPr>
        <w:t xml:space="preserve"> </w:t>
      </w:r>
      <w:r>
        <w:rPr>
          <w:rFonts w:ascii="Palatino Linotype" w:eastAsia="Palatino Linotype" w:hAnsi="Palatino Linotype" w:cs="Palatino Linotype"/>
          <w:sz w:val="22"/>
          <w:szCs w:val="22"/>
        </w:rPr>
        <w:t>Tesorería Municipal informó</w:t>
      </w:r>
      <w:r w:rsidRPr="00657DAA">
        <w:rPr>
          <w:rFonts w:ascii="Palatino Linotype" w:eastAsia="Palatino Linotype" w:hAnsi="Palatino Linotype" w:cs="Palatino Linotype"/>
          <w:sz w:val="22"/>
          <w:szCs w:val="22"/>
        </w:rPr>
        <w:t xml:space="preserve"> que no contaban con expresión documental que diera cuenta de lo peticionado.</w:t>
      </w:r>
    </w:p>
    <w:p w14:paraId="27772B01" w14:textId="77777777" w:rsidR="001817CB" w:rsidRDefault="001817CB" w:rsidP="001817CB">
      <w:pPr>
        <w:spacing w:line="360" w:lineRule="auto"/>
        <w:ind w:right="-28"/>
        <w:contextualSpacing/>
        <w:jc w:val="both"/>
        <w:rPr>
          <w:rFonts w:ascii="Palatino Linotype" w:eastAsia="Palatino Linotype" w:hAnsi="Palatino Linotype" w:cs="Palatino Linotype"/>
          <w:sz w:val="22"/>
          <w:szCs w:val="22"/>
        </w:rPr>
      </w:pPr>
    </w:p>
    <w:p w14:paraId="21B98594" w14:textId="77777777" w:rsidR="001817CB" w:rsidRPr="00657DAA" w:rsidRDefault="001817CB" w:rsidP="001817CB">
      <w:pPr>
        <w:spacing w:line="360" w:lineRule="auto"/>
        <w:ind w:right="-28"/>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Lo anterior, toma sustento</w:t>
      </w:r>
      <w:r w:rsidR="00B36008">
        <w:rPr>
          <w:rFonts w:ascii="Palatino Linotype" w:eastAsia="Palatino Linotype" w:hAnsi="Palatino Linotype" w:cs="Palatino Linotype"/>
          <w:sz w:val="22"/>
          <w:szCs w:val="22"/>
        </w:rPr>
        <w:t xml:space="preserve"> con diversas notas periodísticas, así como</w:t>
      </w:r>
      <w:r>
        <w:rPr>
          <w:rFonts w:ascii="Palatino Linotype" w:eastAsia="Palatino Linotype" w:hAnsi="Palatino Linotype" w:cs="Palatino Linotype"/>
          <w:sz w:val="22"/>
          <w:szCs w:val="22"/>
        </w:rPr>
        <w:t xml:space="preserve"> </w:t>
      </w:r>
      <w:r w:rsidR="00B36008">
        <w:rPr>
          <w:rFonts w:ascii="Palatino Linotype" w:eastAsia="Palatino Linotype" w:hAnsi="Palatino Linotype" w:cs="Palatino Linotype"/>
          <w:sz w:val="22"/>
          <w:szCs w:val="22"/>
        </w:rPr>
        <w:t xml:space="preserve">la nota informativa número 7410 del seis de noviembre de dos mil veinte, visible en el siguiente enlace </w:t>
      </w:r>
      <w:hyperlink r:id="rId7" w:history="1">
        <w:r w:rsidR="00B36008" w:rsidRPr="00390EEF">
          <w:rPr>
            <w:rStyle w:val="Hipervnculo"/>
            <w:rFonts w:ascii="Palatino Linotype" w:eastAsia="Palatino Linotype" w:hAnsi="Palatino Linotype" w:cs="Palatino Linotype"/>
            <w:sz w:val="22"/>
            <w:szCs w:val="22"/>
          </w:rPr>
          <w:t>https://www5.diputados.gob.mx/index.php/esl/Comunicacion/Agencia-de-Noticias/2020/Noviembre/06/7410-Publica-DOF-decreto-que-extingue-109-fideicomisos-entra-en-vigor-manana-sabado?ref=opinion51.com</w:t>
        </w:r>
      </w:hyperlink>
      <w:r w:rsidR="00B36008">
        <w:rPr>
          <w:rFonts w:ascii="Palatino Linotype" w:eastAsia="Palatino Linotype" w:hAnsi="Palatino Linotype" w:cs="Palatino Linotype"/>
          <w:sz w:val="22"/>
          <w:szCs w:val="22"/>
        </w:rPr>
        <w:t>, emitida por la cámara de diputados  de la LXV legislatura, por la que se informa la extinción de ciento nueve fondos y fideicomisos públicos entre otros el Fideicomiso Fondo de Desastres Naturales que se deberá concretar a más tardar el treinta de junio de dos mil veintiuno.</w:t>
      </w:r>
    </w:p>
    <w:p w14:paraId="65464BCA" w14:textId="77777777" w:rsidR="001817CB" w:rsidRPr="00657DAA" w:rsidRDefault="001817CB" w:rsidP="001817CB">
      <w:pPr>
        <w:spacing w:line="360" w:lineRule="auto"/>
        <w:ind w:right="-28"/>
        <w:contextualSpacing/>
        <w:jc w:val="both"/>
        <w:rPr>
          <w:rFonts w:ascii="Palatino Linotype" w:eastAsia="Palatino Linotype" w:hAnsi="Palatino Linotype" w:cs="Palatino Linotype"/>
          <w:sz w:val="22"/>
          <w:szCs w:val="22"/>
        </w:rPr>
      </w:pPr>
    </w:p>
    <w:p w14:paraId="54D67A18" w14:textId="77777777" w:rsidR="001817CB" w:rsidRPr="00657DAA" w:rsidRDefault="001817CB" w:rsidP="001817CB">
      <w:pPr>
        <w:spacing w:line="360" w:lineRule="auto"/>
        <w:ind w:right="-28"/>
        <w:contextualSpacing/>
        <w:jc w:val="both"/>
        <w:rPr>
          <w:rFonts w:ascii="Palatino Linotype" w:eastAsia="Palatino Linotype" w:hAnsi="Palatino Linotype" w:cs="Palatino Linotype"/>
          <w:sz w:val="22"/>
          <w:szCs w:val="22"/>
        </w:rPr>
      </w:pPr>
      <w:r w:rsidRPr="00657DAA">
        <w:rPr>
          <w:rFonts w:ascii="Palatino Linotype" w:eastAsia="Palatino Linotype" w:hAnsi="Palatino Linotype" w:cs="Palatino Linotype"/>
          <w:sz w:val="22"/>
          <w:szCs w:val="22"/>
        </w:rPr>
        <w:t>Además, este Instituto, realizó una búsqueda en la página oficial del Sujeto Obligado, así como en el porta</w:t>
      </w:r>
      <w:r w:rsidR="00AB0AA2">
        <w:rPr>
          <w:rFonts w:ascii="Palatino Linotype" w:eastAsia="Palatino Linotype" w:hAnsi="Palatino Linotype" w:cs="Palatino Linotype"/>
          <w:sz w:val="22"/>
          <w:szCs w:val="22"/>
        </w:rPr>
        <w:t>l de información (IPOMEX) en el ejercicio fiscal dos mil veinticinco</w:t>
      </w:r>
      <w:r w:rsidRPr="00657DAA">
        <w:rPr>
          <w:rFonts w:ascii="Palatino Linotype" w:eastAsia="Palatino Linotype" w:hAnsi="Palatino Linotype" w:cs="Palatino Linotype"/>
          <w:sz w:val="22"/>
          <w:szCs w:val="22"/>
        </w:rPr>
        <w:t xml:space="preserve">, en los apartados de información contable </w:t>
      </w:r>
      <w:r w:rsidR="00AB0AA2">
        <w:rPr>
          <w:rFonts w:ascii="Palatino Linotype" w:eastAsia="Palatino Linotype" w:hAnsi="Palatino Linotype" w:cs="Palatino Linotype"/>
          <w:sz w:val="22"/>
          <w:szCs w:val="22"/>
        </w:rPr>
        <w:t xml:space="preserve">“Presupuesto de Ingresos Detallado” </w:t>
      </w:r>
      <w:r w:rsidRPr="00657DAA">
        <w:rPr>
          <w:rFonts w:ascii="Palatino Linotype" w:eastAsia="Palatino Linotype" w:hAnsi="Palatino Linotype" w:cs="Palatino Linotype"/>
          <w:sz w:val="22"/>
          <w:szCs w:val="22"/>
        </w:rPr>
        <w:t>y no se logró localizar una partida presupuestal específica, o</w:t>
      </w:r>
      <w:r w:rsidR="00AB0AA2">
        <w:rPr>
          <w:rFonts w:ascii="Palatino Linotype" w:eastAsia="Palatino Linotype" w:hAnsi="Palatino Linotype" w:cs="Palatino Linotype"/>
          <w:sz w:val="22"/>
          <w:szCs w:val="22"/>
        </w:rPr>
        <w:t xml:space="preserve"> asignación de recursos relacionados</w:t>
      </w:r>
      <w:r w:rsidRPr="00657DAA">
        <w:rPr>
          <w:rFonts w:ascii="Palatino Linotype" w:eastAsia="Palatino Linotype" w:hAnsi="Palatino Linotype" w:cs="Palatino Linotype"/>
          <w:sz w:val="22"/>
          <w:szCs w:val="22"/>
        </w:rPr>
        <w:t xml:space="preserve"> con </w:t>
      </w:r>
      <w:r w:rsidR="00AB0AA2">
        <w:rPr>
          <w:rFonts w:ascii="Palatino Linotype" w:eastAsia="Palatino Linotype" w:hAnsi="Palatino Linotype" w:cs="Palatino Linotype"/>
          <w:sz w:val="22"/>
          <w:szCs w:val="22"/>
        </w:rPr>
        <w:t>fondos de desastres naturales en la temporalidad solicitada</w:t>
      </w:r>
      <w:r w:rsidRPr="00657DAA">
        <w:rPr>
          <w:rFonts w:ascii="Palatino Linotype" w:eastAsia="Palatino Linotype" w:hAnsi="Palatino Linotype" w:cs="Palatino Linotype"/>
          <w:sz w:val="22"/>
          <w:szCs w:val="22"/>
        </w:rPr>
        <w:t>.</w:t>
      </w:r>
    </w:p>
    <w:p w14:paraId="4316D245" w14:textId="77777777" w:rsidR="001817CB" w:rsidRPr="00657DAA" w:rsidRDefault="001817CB" w:rsidP="001817CB">
      <w:pPr>
        <w:spacing w:line="360" w:lineRule="auto"/>
        <w:ind w:right="-28"/>
        <w:contextualSpacing/>
        <w:jc w:val="both"/>
        <w:rPr>
          <w:rFonts w:ascii="Palatino Linotype" w:eastAsia="Palatino Linotype" w:hAnsi="Palatino Linotype" w:cs="Palatino Linotype"/>
          <w:sz w:val="22"/>
          <w:szCs w:val="22"/>
        </w:rPr>
      </w:pPr>
    </w:p>
    <w:p w14:paraId="5D8D7BF4" w14:textId="77777777" w:rsidR="001817CB" w:rsidRPr="00657DAA" w:rsidRDefault="001817CB" w:rsidP="001817CB">
      <w:pPr>
        <w:spacing w:line="360" w:lineRule="auto"/>
        <w:ind w:right="-28"/>
        <w:contextualSpacing/>
        <w:jc w:val="both"/>
        <w:rPr>
          <w:rFonts w:ascii="Palatino Linotype" w:eastAsia="Palatino Linotype" w:hAnsi="Palatino Linotype" w:cs="Palatino Linotype"/>
          <w:sz w:val="22"/>
          <w:szCs w:val="22"/>
        </w:rPr>
      </w:pPr>
      <w:r w:rsidRPr="00657DAA">
        <w:rPr>
          <w:rFonts w:ascii="Palatino Linotype" w:eastAsia="Palatino Linotype" w:hAnsi="Palatino Linotype" w:cs="Palatino Linotype"/>
          <w:sz w:val="22"/>
          <w:szCs w:val="22"/>
        </w:rPr>
        <w:t>Por lo expuesto, se considera que desde su respuesta el Sujeto Obligado a través de las unidades administrativas competentes, atendieron correctamente la solicitud de información</w:t>
      </w:r>
      <w:r w:rsidRPr="00657DAA">
        <w:rPr>
          <w:rFonts w:ascii="Palatino Linotype" w:hAnsi="Palatino Linotype" w:cs="Tahoma"/>
          <w:bCs/>
          <w:iCs/>
          <w:sz w:val="22"/>
          <w:szCs w:val="22"/>
        </w:rPr>
        <w:t>, por lo que resulta inatendible su inconformidad</w:t>
      </w:r>
      <w:r w:rsidRPr="00657DAA">
        <w:rPr>
          <w:rFonts w:ascii="Palatino Linotype" w:eastAsia="Palatino Linotype" w:hAnsi="Palatino Linotype" w:cs="Palatino Linotype"/>
          <w:color w:val="000000"/>
          <w:sz w:val="22"/>
          <w:szCs w:val="22"/>
        </w:rPr>
        <w:t xml:space="preserve">, lo cual da como resultado que el agravio sea </w:t>
      </w:r>
      <w:r w:rsidRPr="00657DAA">
        <w:rPr>
          <w:rFonts w:ascii="Palatino Linotype" w:eastAsia="Palatino Linotype" w:hAnsi="Palatino Linotype" w:cs="Palatino Linotype"/>
          <w:b/>
          <w:color w:val="000000"/>
          <w:sz w:val="22"/>
          <w:szCs w:val="22"/>
        </w:rPr>
        <w:t>INFUNDADO.</w:t>
      </w:r>
    </w:p>
    <w:p w14:paraId="17D92625" w14:textId="77777777" w:rsidR="001817CB" w:rsidRPr="00657DAA" w:rsidRDefault="001817CB" w:rsidP="001817CB">
      <w:pPr>
        <w:spacing w:line="360" w:lineRule="auto"/>
        <w:jc w:val="both"/>
        <w:rPr>
          <w:rFonts w:ascii="Palatino Linotype" w:hAnsi="Palatino Linotype" w:cs="Tahoma"/>
          <w:iCs/>
          <w:sz w:val="22"/>
          <w:szCs w:val="22"/>
        </w:rPr>
      </w:pPr>
    </w:p>
    <w:p w14:paraId="00991F81" w14:textId="77777777" w:rsidR="001817CB" w:rsidRPr="00657DAA" w:rsidRDefault="001817CB" w:rsidP="001817CB">
      <w:pPr>
        <w:pStyle w:val="Ttulo2"/>
        <w:spacing w:before="0" w:after="0" w:line="360" w:lineRule="auto"/>
        <w:jc w:val="both"/>
        <w:rPr>
          <w:rFonts w:ascii="Palatino Linotype" w:eastAsia="Calibri" w:hAnsi="Palatino Linotype"/>
          <w:b/>
          <w:color w:val="000000" w:themeColor="text1"/>
          <w:sz w:val="22"/>
          <w:szCs w:val="22"/>
        </w:rPr>
      </w:pPr>
      <w:bookmarkStart w:id="17" w:name="_Toc198655086"/>
      <w:bookmarkStart w:id="18" w:name="_Toc199275414"/>
      <w:bookmarkStart w:id="19" w:name="_Toc200034550"/>
      <w:bookmarkStart w:id="20" w:name="_Toc223020263"/>
      <w:r w:rsidRPr="00657DAA">
        <w:rPr>
          <w:rFonts w:ascii="Palatino Linotype" w:eastAsia="Calibri" w:hAnsi="Palatino Linotype"/>
          <w:b/>
          <w:color w:val="000000" w:themeColor="text1"/>
          <w:sz w:val="22"/>
          <w:szCs w:val="22"/>
        </w:rPr>
        <w:t>SEXTO. Decisión</w:t>
      </w:r>
      <w:bookmarkEnd w:id="17"/>
      <w:bookmarkEnd w:id="18"/>
      <w:bookmarkEnd w:id="19"/>
      <w:bookmarkEnd w:id="20"/>
    </w:p>
    <w:p w14:paraId="0D5A44F9" w14:textId="77777777" w:rsidR="001817CB" w:rsidRPr="00657DAA" w:rsidRDefault="001817CB" w:rsidP="001817CB">
      <w:pPr>
        <w:spacing w:line="360" w:lineRule="auto"/>
        <w:contextualSpacing/>
        <w:jc w:val="both"/>
        <w:rPr>
          <w:rFonts w:ascii="Palatino Linotype" w:eastAsia="Calibri" w:hAnsi="Palatino Linotype" w:cs="Tahoma"/>
          <w:b/>
          <w:sz w:val="22"/>
          <w:szCs w:val="22"/>
        </w:rPr>
      </w:pPr>
    </w:p>
    <w:p w14:paraId="5B14C545" w14:textId="77777777" w:rsidR="001817CB" w:rsidRPr="00657DAA" w:rsidRDefault="001817CB" w:rsidP="001817CB">
      <w:pPr>
        <w:spacing w:line="360" w:lineRule="auto"/>
        <w:contextualSpacing/>
        <w:jc w:val="both"/>
        <w:rPr>
          <w:rFonts w:ascii="Palatino Linotype" w:eastAsia="Palatino Linotype" w:hAnsi="Palatino Linotype" w:cs="Tahoma"/>
          <w:color w:val="000000"/>
          <w:sz w:val="22"/>
          <w:szCs w:val="22"/>
        </w:rPr>
      </w:pPr>
      <w:r w:rsidRPr="00657DAA">
        <w:rPr>
          <w:rFonts w:ascii="Palatino Linotype" w:eastAsia="Palatino Linotype" w:hAnsi="Palatino Linotype" w:cs="Tahoma"/>
          <w:color w:val="000000"/>
          <w:sz w:val="22"/>
          <w:szCs w:val="22"/>
        </w:rPr>
        <w:t xml:space="preserve">Con fundamento en el artículo 186, fracción II, de la Ley de Transparencia y Acceso a la Información Pública del Estado de México y Municipios, este Instituto considera procedente </w:t>
      </w:r>
      <w:r w:rsidRPr="00657DAA">
        <w:rPr>
          <w:rFonts w:ascii="Palatino Linotype" w:eastAsia="Palatino Linotype" w:hAnsi="Palatino Linotype" w:cs="Tahoma"/>
          <w:b/>
          <w:color w:val="000000"/>
          <w:sz w:val="22"/>
          <w:szCs w:val="22"/>
        </w:rPr>
        <w:t xml:space="preserve">CONFIRMAR </w:t>
      </w:r>
      <w:r w:rsidRPr="00657DAA">
        <w:rPr>
          <w:rFonts w:ascii="Palatino Linotype" w:eastAsia="Palatino Linotype" w:hAnsi="Palatino Linotype" w:cs="Tahoma"/>
          <w:color w:val="000000"/>
          <w:sz w:val="22"/>
          <w:szCs w:val="22"/>
        </w:rPr>
        <w:t xml:space="preserve">la respuesta otorgada por el Sujeto Obligado. </w:t>
      </w:r>
    </w:p>
    <w:p w14:paraId="46E0D1FA" w14:textId="77777777" w:rsidR="001817CB" w:rsidRPr="00657DAA" w:rsidRDefault="001817CB" w:rsidP="001817CB">
      <w:pPr>
        <w:spacing w:line="360" w:lineRule="auto"/>
        <w:jc w:val="both"/>
        <w:rPr>
          <w:rFonts w:ascii="Palatino Linotype" w:hAnsi="Palatino Linotype" w:cs="Tahoma"/>
          <w:bCs/>
          <w:iCs/>
          <w:sz w:val="22"/>
          <w:szCs w:val="22"/>
          <w:lang w:val="es-ES"/>
        </w:rPr>
      </w:pPr>
    </w:p>
    <w:p w14:paraId="39E4472D" w14:textId="77777777" w:rsidR="001817CB" w:rsidRPr="00657DAA" w:rsidRDefault="001817CB" w:rsidP="001817CB">
      <w:pPr>
        <w:spacing w:line="360" w:lineRule="auto"/>
        <w:jc w:val="both"/>
        <w:rPr>
          <w:rFonts w:ascii="Palatino Linotype" w:hAnsi="Palatino Linotype" w:cs="Tahoma"/>
          <w:b/>
          <w:bCs/>
          <w:iCs/>
          <w:sz w:val="22"/>
          <w:szCs w:val="22"/>
          <w:lang w:val="es-ES"/>
        </w:rPr>
      </w:pPr>
      <w:r w:rsidRPr="00657DAA">
        <w:rPr>
          <w:rFonts w:ascii="Palatino Linotype" w:hAnsi="Palatino Linotype" w:cs="Tahoma"/>
          <w:b/>
          <w:bCs/>
          <w:iCs/>
          <w:sz w:val="22"/>
          <w:szCs w:val="22"/>
          <w:lang w:val="es-ES"/>
        </w:rPr>
        <w:t>Términos de la Resolución para conocimiento del Particular</w:t>
      </w:r>
    </w:p>
    <w:p w14:paraId="058B5DA5" w14:textId="77777777" w:rsidR="001817CB" w:rsidRPr="00657DAA" w:rsidRDefault="001817CB" w:rsidP="001817CB">
      <w:pPr>
        <w:spacing w:line="360" w:lineRule="auto"/>
        <w:jc w:val="both"/>
        <w:rPr>
          <w:rFonts w:ascii="Palatino Linotype" w:hAnsi="Palatino Linotype" w:cs="Tahoma"/>
          <w:b/>
          <w:bCs/>
          <w:iCs/>
          <w:sz w:val="22"/>
          <w:szCs w:val="22"/>
          <w:lang w:val="es-ES"/>
        </w:rPr>
      </w:pPr>
    </w:p>
    <w:p w14:paraId="4E9443AE" w14:textId="77777777" w:rsidR="001817CB" w:rsidRPr="00AD0CE4" w:rsidRDefault="001817CB" w:rsidP="001817CB">
      <w:pPr>
        <w:widowControl w:val="0"/>
        <w:spacing w:line="360" w:lineRule="auto"/>
        <w:contextualSpacing/>
        <w:jc w:val="both"/>
        <w:rPr>
          <w:rFonts w:ascii="Palatino Linotype" w:eastAsia="Calibri" w:hAnsi="Palatino Linotype" w:cs="Tahoma"/>
          <w:bCs/>
          <w:iCs/>
          <w:color w:val="000000"/>
          <w:sz w:val="22"/>
          <w:szCs w:val="22"/>
        </w:rPr>
      </w:pPr>
      <w:r w:rsidRPr="00657DAA">
        <w:rPr>
          <w:rFonts w:ascii="Palatino Linotype" w:eastAsia="Calibri" w:hAnsi="Palatino Linotype" w:cs="Tahoma"/>
          <w:bCs/>
          <w:iCs/>
          <w:color w:val="000000"/>
          <w:sz w:val="22"/>
          <w:szCs w:val="22"/>
        </w:rPr>
        <w:t xml:space="preserve">Se le hace del conocimiento al Particular, que, en el presente caso, no se le da la razón, pues desde respuesta el Sujeto Obligado informó que no contaba con expresión documental que diera cuenta de la información solicitada. </w:t>
      </w:r>
      <w:r w:rsidRPr="00657DAA">
        <w:rPr>
          <w:rFonts w:ascii="Palatino Linotype" w:eastAsia="Calibri" w:hAnsi="Palatino Linotype" w:cs="Tahoma"/>
          <w:sz w:val="22"/>
          <w:szCs w:val="22"/>
        </w:rPr>
        <w:t xml:space="preserve">Finalmente, se le hace de su conocimiento que la labor del Instituto, es apoyar a la población a acceder a la información pública y garantizar la protección de sus datos personales. </w:t>
      </w:r>
    </w:p>
    <w:p w14:paraId="28F541A7" w14:textId="77777777" w:rsidR="001817CB" w:rsidRPr="00657DAA" w:rsidRDefault="001817CB" w:rsidP="001817CB">
      <w:pPr>
        <w:widowControl w:val="0"/>
        <w:spacing w:line="360" w:lineRule="auto"/>
        <w:contextualSpacing/>
        <w:jc w:val="both"/>
        <w:rPr>
          <w:rFonts w:ascii="Palatino Linotype" w:eastAsia="Calibri" w:hAnsi="Palatino Linotype" w:cs="Tahoma"/>
          <w:bCs/>
          <w:iCs/>
          <w:color w:val="000000"/>
          <w:sz w:val="22"/>
          <w:szCs w:val="22"/>
          <w:lang w:val="es-ES_tradnl"/>
        </w:rPr>
      </w:pPr>
    </w:p>
    <w:p w14:paraId="63E47C88" w14:textId="77777777" w:rsidR="001817CB" w:rsidRPr="00657DAA" w:rsidRDefault="001817CB" w:rsidP="001817CB">
      <w:pPr>
        <w:spacing w:line="360" w:lineRule="auto"/>
        <w:jc w:val="both"/>
        <w:rPr>
          <w:rFonts w:ascii="Palatino Linotype" w:hAnsi="Palatino Linotype" w:cs="Tahoma"/>
          <w:bCs/>
          <w:iCs/>
          <w:sz w:val="22"/>
          <w:szCs w:val="22"/>
        </w:rPr>
      </w:pPr>
      <w:r w:rsidRPr="00657DAA">
        <w:rPr>
          <w:rFonts w:ascii="Palatino Linotype" w:hAnsi="Palatino Linotype" w:cs="Tahoma"/>
          <w:bCs/>
          <w:iCs/>
          <w:sz w:val="22"/>
          <w:szCs w:val="22"/>
        </w:rPr>
        <w:t>Por lo expuesto y fundado, este Pleno:</w:t>
      </w:r>
    </w:p>
    <w:p w14:paraId="4F8A5794" w14:textId="77777777" w:rsidR="001817CB" w:rsidRPr="00657DAA" w:rsidRDefault="001817CB" w:rsidP="001817CB">
      <w:pPr>
        <w:spacing w:line="360" w:lineRule="auto"/>
        <w:jc w:val="both"/>
        <w:rPr>
          <w:rFonts w:ascii="Palatino Linotype" w:hAnsi="Palatino Linotype" w:cs="Tahoma"/>
          <w:bCs/>
          <w:iCs/>
          <w:sz w:val="22"/>
          <w:szCs w:val="22"/>
        </w:rPr>
      </w:pPr>
    </w:p>
    <w:p w14:paraId="094EB15F" w14:textId="77777777" w:rsidR="001817CB" w:rsidRPr="00657DAA" w:rsidRDefault="001817CB" w:rsidP="001817CB">
      <w:pPr>
        <w:pStyle w:val="Ttulo1"/>
        <w:spacing w:before="0" w:after="0" w:line="360" w:lineRule="auto"/>
        <w:jc w:val="center"/>
        <w:rPr>
          <w:rFonts w:ascii="Palatino Linotype" w:eastAsia="Calibri" w:hAnsi="Palatino Linotype"/>
          <w:b/>
          <w:color w:val="000000" w:themeColor="text1"/>
          <w:sz w:val="22"/>
          <w:szCs w:val="22"/>
        </w:rPr>
      </w:pPr>
      <w:bookmarkStart w:id="21" w:name="_Toc198655087"/>
      <w:bookmarkStart w:id="22" w:name="_Toc199275415"/>
      <w:bookmarkStart w:id="23" w:name="_Toc200034551"/>
      <w:bookmarkStart w:id="24" w:name="_Toc223020264"/>
      <w:r w:rsidRPr="00657DAA">
        <w:rPr>
          <w:rFonts w:ascii="Palatino Linotype" w:eastAsia="Calibri" w:hAnsi="Palatino Linotype"/>
          <w:b/>
          <w:color w:val="000000" w:themeColor="text1"/>
          <w:sz w:val="22"/>
          <w:szCs w:val="22"/>
        </w:rPr>
        <w:t>R E S U E L V E</w:t>
      </w:r>
      <w:bookmarkEnd w:id="21"/>
      <w:bookmarkEnd w:id="22"/>
      <w:bookmarkEnd w:id="23"/>
      <w:bookmarkEnd w:id="24"/>
    </w:p>
    <w:p w14:paraId="2AF72C81" w14:textId="77777777" w:rsidR="001817CB" w:rsidRPr="00657DAA" w:rsidRDefault="001817CB" w:rsidP="001817CB">
      <w:pPr>
        <w:spacing w:line="360" w:lineRule="auto"/>
        <w:ind w:right="-91"/>
        <w:contextualSpacing/>
        <w:jc w:val="both"/>
        <w:rPr>
          <w:rFonts w:ascii="Palatino Linotype" w:eastAsia="Calibri" w:hAnsi="Palatino Linotype" w:cs="Tahoma"/>
          <w:b/>
          <w:bCs/>
          <w:sz w:val="22"/>
          <w:szCs w:val="22"/>
        </w:rPr>
      </w:pPr>
    </w:p>
    <w:p w14:paraId="67732408" w14:textId="77777777" w:rsidR="001817CB" w:rsidRPr="00657DAA" w:rsidRDefault="001817CB" w:rsidP="001817CB">
      <w:pPr>
        <w:spacing w:line="360" w:lineRule="auto"/>
        <w:contextualSpacing/>
        <w:jc w:val="both"/>
        <w:rPr>
          <w:rFonts w:ascii="Palatino Linotype" w:eastAsia="Calibri" w:hAnsi="Palatino Linotype" w:cs="Tahoma"/>
          <w:iCs/>
          <w:color w:val="000000"/>
          <w:sz w:val="22"/>
          <w:szCs w:val="22"/>
        </w:rPr>
      </w:pPr>
      <w:r w:rsidRPr="00657DAA">
        <w:rPr>
          <w:rFonts w:ascii="Palatino Linotype" w:eastAsia="Calibri" w:hAnsi="Palatino Linotype" w:cs="Tahoma"/>
          <w:b/>
          <w:iCs/>
          <w:color w:val="000000"/>
          <w:sz w:val="22"/>
          <w:szCs w:val="22"/>
        </w:rPr>
        <w:t>PRIMERO.</w:t>
      </w:r>
      <w:r w:rsidRPr="00657DAA">
        <w:rPr>
          <w:rFonts w:ascii="Palatino Linotype" w:eastAsia="Calibri" w:hAnsi="Palatino Linotype" w:cs="Tahoma"/>
          <w:bCs/>
          <w:iCs/>
          <w:color w:val="000000"/>
          <w:sz w:val="22"/>
          <w:szCs w:val="22"/>
        </w:rPr>
        <w:t xml:space="preserve"> Se </w:t>
      </w:r>
      <w:r w:rsidRPr="00657DAA">
        <w:rPr>
          <w:rFonts w:ascii="Palatino Linotype" w:eastAsia="Calibri" w:hAnsi="Palatino Linotype" w:cs="Tahoma"/>
          <w:b/>
          <w:bCs/>
          <w:iCs/>
          <w:color w:val="000000"/>
          <w:sz w:val="22"/>
          <w:szCs w:val="22"/>
        </w:rPr>
        <w:t xml:space="preserve">CONFIRMA </w:t>
      </w:r>
      <w:r w:rsidRPr="00657DAA">
        <w:rPr>
          <w:rFonts w:ascii="Palatino Linotype" w:eastAsia="Calibri" w:hAnsi="Palatino Linotype" w:cs="Tahoma"/>
          <w:iCs/>
          <w:color w:val="000000"/>
          <w:sz w:val="22"/>
          <w:szCs w:val="22"/>
        </w:rPr>
        <w:t xml:space="preserve">la respuesta entregada por el Sujeto Obligado a la solicitud de acceso a la información </w:t>
      </w:r>
      <w:r w:rsidRPr="00657DAA">
        <w:rPr>
          <w:rFonts w:ascii="Palatino Linotype" w:eastAsia="Palatino Linotype" w:hAnsi="Palatino Linotype" w:cs="Tahoma"/>
          <w:color w:val="0D0D0D"/>
          <w:sz w:val="22"/>
          <w:szCs w:val="22"/>
        </w:rPr>
        <w:t>con número de folio</w:t>
      </w:r>
      <w:r w:rsidRPr="00657DAA">
        <w:rPr>
          <w:rFonts w:ascii="Palatino Linotype" w:eastAsia="Palatino Linotype" w:hAnsi="Palatino Linotype" w:cs="Palatino Linotype"/>
          <w:b/>
          <w:bCs/>
          <w:color w:val="FF0000"/>
          <w:sz w:val="22"/>
          <w:szCs w:val="22"/>
        </w:rPr>
        <w:t> </w:t>
      </w:r>
      <w:r w:rsidR="00AB0AA2">
        <w:rPr>
          <w:rFonts w:ascii="Palatino Linotype" w:eastAsia="Calibri" w:hAnsi="Palatino Linotype"/>
          <w:sz w:val="22"/>
          <w:szCs w:val="22"/>
        </w:rPr>
        <w:t>05505</w:t>
      </w:r>
      <w:r w:rsidRPr="00657DAA">
        <w:rPr>
          <w:rFonts w:ascii="Palatino Linotype" w:eastAsia="Calibri" w:hAnsi="Palatino Linotype"/>
          <w:sz w:val="22"/>
          <w:szCs w:val="22"/>
        </w:rPr>
        <w:t>/TOLUCA/IP/2025</w:t>
      </w:r>
      <w:r w:rsidRPr="00657DAA">
        <w:rPr>
          <w:rFonts w:ascii="Palatino Linotype" w:eastAsia="Palatino Linotype" w:hAnsi="Palatino Linotype" w:cs="Tahoma"/>
          <w:color w:val="0D0D0D"/>
          <w:sz w:val="22"/>
          <w:szCs w:val="22"/>
        </w:rPr>
        <w:t>,</w:t>
      </w:r>
      <w:r w:rsidRPr="00657DAA">
        <w:rPr>
          <w:rFonts w:ascii="Palatino Linotype" w:eastAsia="Palatino Linotype" w:hAnsi="Palatino Linotype" w:cs="Tahoma"/>
          <w:bCs/>
          <w:color w:val="0D0D0D"/>
          <w:sz w:val="22"/>
          <w:szCs w:val="22"/>
        </w:rPr>
        <w:t xml:space="preserve"> </w:t>
      </w:r>
      <w:r w:rsidRPr="00657DAA">
        <w:rPr>
          <w:rFonts w:ascii="Palatino Linotype" w:eastAsia="Calibri" w:hAnsi="Palatino Linotype" w:cs="Tahoma"/>
          <w:bCs/>
          <w:iCs/>
          <w:color w:val="000000"/>
          <w:sz w:val="22"/>
          <w:szCs w:val="22"/>
        </w:rPr>
        <w:t xml:space="preserve">por resultar </w:t>
      </w:r>
      <w:r w:rsidRPr="00657DAA">
        <w:rPr>
          <w:rFonts w:ascii="Palatino Linotype" w:eastAsia="Calibri" w:hAnsi="Palatino Linotype" w:cs="Tahoma"/>
          <w:b/>
          <w:bCs/>
          <w:iCs/>
          <w:color w:val="000000"/>
          <w:sz w:val="22"/>
          <w:szCs w:val="22"/>
        </w:rPr>
        <w:t>INFUNDADAS</w:t>
      </w:r>
      <w:r w:rsidRPr="00657DAA">
        <w:rPr>
          <w:rFonts w:ascii="Palatino Linotype" w:eastAsia="Calibri" w:hAnsi="Palatino Linotype" w:cs="Tahoma"/>
          <w:bCs/>
          <w:iCs/>
          <w:color w:val="000000"/>
          <w:sz w:val="22"/>
          <w:szCs w:val="22"/>
        </w:rPr>
        <w:t xml:space="preserve"> las razones o motivos de inconformidad hechas valer por la persona Recurrente, en términos de los Considerandos </w:t>
      </w:r>
      <w:r w:rsidRPr="00657DAA">
        <w:rPr>
          <w:rFonts w:ascii="Palatino Linotype" w:eastAsia="Calibri" w:hAnsi="Palatino Linotype" w:cs="Tahoma"/>
          <w:iCs/>
          <w:color w:val="000000"/>
          <w:sz w:val="22"/>
          <w:szCs w:val="22"/>
        </w:rPr>
        <w:t>QUINTO y SEXTO de esta Resolución.</w:t>
      </w:r>
    </w:p>
    <w:p w14:paraId="473A3893" w14:textId="77777777" w:rsidR="001817CB" w:rsidRPr="00657DAA" w:rsidRDefault="001817CB" w:rsidP="001817CB">
      <w:pPr>
        <w:spacing w:line="360" w:lineRule="auto"/>
        <w:jc w:val="both"/>
        <w:rPr>
          <w:rFonts w:ascii="Palatino Linotype" w:eastAsia="Calibri" w:hAnsi="Palatino Linotype" w:cs="Tahoma"/>
          <w:b/>
          <w:bCs/>
          <w:iCs/>
          <w:sz w:val="22"/>
          <w:szCs w:val="22"/>
        </w:rPr>
      </w:pPr>
    </w:p>
    <w:p w14:paraId="1F9927EF" w14:textId="77777777" w:rsidR="001817CB" w:rsidRPr="00657DAA" w:rsidRDefault="001817CB" w:rsidP="001817CB">
      <w:pPr>
        <w:spacing w:line="360" w:lineRule="auto"/>
        <w:jc w:val="both"/>
        <w:rPr>
          <w:rFonts w:ascii="Palatino Linotype" w:eastAsia="Calibri" w:hAnsi="Palatino Linotype" w:cs="Tahoma"/>
          <w:b/>
          <w:bCs/>
          <w:iCs/>
          <w:sz w:val="22"/>
          <w:szCs w:val="22"/>
        </w:rPr>
      </w:pPr>
      <w:r w:rsidRPr="00657DAA">
        <w:rPr>
          <w:rFonts w:ascii="Palatino Linotype" w:eastAsia="Calibri" w:hAnsi="Palatino Linotype" w:cs="Tahoma"/>
          <w:b/>
          <w:bCs/>
          <w:iCs/>
          <w:sz w:val="22"/>
          <w:szCs w:val="22"/>
        </w:rPr>
        <w:t xml:space="preserve">SEGUNDO. NOTIFÍQUESE POR SAIMEX </w:t>
      </w:r>
      <w:r w:rsidRPr="00657DAA">
        <w:rPr>
          <w:rFonts w:ascii="Palatino Linotype" w:eastAsia="Calibri" w:hAnsi="Palatino Linotype" w:cs="Tahoma"/>
          <w:iCs/>
          <w:sz w:val="22"/>
          <w:szCs w:val="22"/>
        </w:rPr>
        <w:t>la presente Resolución, al Titular de la Unidad de Transparencia del Sujeto Obligado.</w:t>
      </w:r>
    </w:p>
    <w:p w14:paraId="519DCF12" w14:textId="77777777" w:rsidR="001817CB" w:rsidRPr="00657DAA" w:rsidRDefault="001817CB" w:rsidP="001817CB">
      <w:pPr>
        <w:spacing w:line="360" w:lineRule="auto"/>
        <w:jc w:val="both"/>
        <w:rPr>
          <w:rFonts w:ascii="Palatino Linotype" w:eastAsia="Calibri" w:hAnsi="Palatino Linotype" w:cs="Tahoma"/>
          <w:b/>
          <w:bCs/>
          <w:i/>
          <w:iCs/>
          <w:sz w:val="22"/>
          <w:szCs w:val="22"/>
        </w:rPr>
      </w:pPr>
    </w:p>
    <w:p w14:paraId="2E1DB7D0" w14:textId="77777777" w:rsidR="001817CB" w:rsidRPr="00657DAA" w:rsidRDefault="001817CB" w:rsidP="001817CB">
      <w:pPr>
        <w:spacing w:line="360" w:lineRule="auto"/>
        <w:jc w:val="both"/>
        <w:rPr>
          <w:rFonts w:ascii="Palatino Linotype" w:eastAsia="Calibri" w:hAnsi="Palatino Linotype" w:cs="Tahoma"/>
          <w:b/>
          <w:bCs/>
          <w:iCs/>
          <w:sz w:val="22"/>
          <w:szCs w:val="22"/>
        </w:rPr>
      </w:pPr>
      <w:r w:rsidRPr="00657DAA">
        <w:rPr>
          <w:rFonts w:ascii="Palatino Linotype" w:eastAsia="Calibri" w:hAnsi="Palatino Linotype" w:cs="Tahoma"/>
          <w:b/>
          <w:bCs/>
          <w:iCs/>
          <w:sz w:val="22"/>
          <w:szCs w:val="22"/>
        </w:rPr>
        <w:t xml:space="preserve">TERCERO. NOTIFÍQUESE POR SAIMEX </w:t>
      </w:r>
      <w:r w:rsidRPr="00657DAA">
        <w:rPr>
          <w:rFonts w:ascii="Palatino Linotype" w:eastAsia="Calibri" w:hAnsi="Palatino Linotype" w:cs="Tahoma"/>
          <w:iCs/>
          <w:sz w:val="22"/>
          <w:szCs w:val="22"/>
        </w:rPr>
        <w:t>a la persona Recurrente, la presente Resolución</w:t>
      </w:r>
      <w:r w:rsidRPr="00657DAA">
        <w:rPr>
          <w:rFonts w:ascii="Palatino Linotype" w:eastAsia="Calibri" w:hAnsi="Palatino Linotype" w:cs="Tahoma"/>
          <w:color w:val="000000"/>
          <w:sz w:val="22"/>
          <w:szCs w:val="22"/>
          <w:lang w:val="es-ES"/>
        </w:rPr>
        <w:t>,</w:t>
      </w:r>
      <w:r w:rsidRPr="00657DAA">
        <w:rPr>
          <w:rFonts w:ascii="Palatino Linotype" w:eastAsia="Calibri" w:hAnsi="Palatino Linotype" w:cs="Tahoma"/>
          <w:iCs/>
          <w:sz w:val="22"/>
          <w:szCs w:val="22"/>
        </w:rPr>
        <w:t xml:space="preserve">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45216AF9" w14:textId="77777777" w:rsidR="001817CB" w:rsidRPr="00657DAA" w:rsidRDefault="001817CB" w:rsidP="001817CB">
      <w:pPr>
        <w:spacing w:line="360" w:lineRule="auto"/>
        <w:contextualSpacing/>
        <w:jc w:val="both"/>
        <w:rPr>
          <w:rFonts w:ascii="Palatino Linotype" w:eastAsia="Palatino Linotype" w:hAnsi="Palatino Linotype" w:cs="Arial"/>
          <w:b/>
          <w:bCs/>
          <w:color w:val="000000"/>
          <w:sz w:val="22"/>
          <w:szCs w:val="22"/>
        </w:rPr>
      </w:pPr>
    </w:p>
    <w:p w14:paraId="2E11A614" w14:textId="77777777" w:rsidR="001817CB" w:rsidRPr="006558F3" w:rsidRDefault="001817CB" w:rsidP="001817CB">
      <w:pPr>
        <w:spacing w:line="360" w:lineRule="auto"/>
        <w:contextualSpacing/>
        <w:jc w:val="both"/>
        <w:rPr>
          <w:rFonts w:ascii="Palatino Linotype" w:eastAsia="Calibri" w:hAnsi="Palatino Linotype" w:cs="Tahoma"/>
          <w:bCs/>
          <w:color w:val="000000"/>
          <w:sz w:val="22"/>
          <w:szCs w:val="22"/>
        </w:rPr>
      </w:pPr>
      <w:r w:rsidRPr="00657DAA">
        <w:rPr>
          <w:rFonts w:ascii="Palatino Linotype" w:eastAsia="Calibri" w:hAnsi="Palatino Linotype" w:cs="Tahoma"/>
          <w:bCs/>
          <w:color w:val="000000"/>
          <w:sz w:val="22"/>
          <w:szCs w:val="22"/>
        </w:rPr>
        <w:t>ASÍ LO RESUELVE, POR </w:t>
      </w:r>
      <w:r w:rsidRPr="00657DAA">
        <w:rPr>
          <w:rFonts w:ascii="Palatino Linotype" w:eastAsia="Calibri" w:hAnsi="Palatino Linotype" w:cs="Tahoma"/>
          <w:b/>
          <w:bCs/>
          <w:color w:val="000000"/>
          <w:sz w:val="22"/>
          <w:szCs w:val="22"/>
        </w:rPr>
        <w:t>UNANIMIDAD</w:t>
      </w:r>
      <w:r w:rsidRPr="00657DAA">
        <w:rPr>
          <w:rFonts w:ascii="Palatino Linotype" w:eastAsia="Calibri" w:hAnsi="Palatino Linotype" w:cs="Tahoma"/>
          <w:bCs/>
          <w:color w:val="000000"/>
          <w:sz w:val="22"/>
          <w:szCs w:val="22"/>
        </w:rPr>
        <w:t>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w:t>
      </w:r>
      <w:r w:rsidR="00AB0AA2">
        <w:rPr>
          <w:rFonts w:ascii="Palatino Linotype" w:eastAsia="Calibri" w:hAnsi="Palatino Linotype" w:cs="Tahoma"/>
          <w:bCs/>
          <w:color w:val="000000"/>
          <w:sz w:val="22"/>
          <w:szCs w:val="22"/>
        </w:rPr>
        <w:t xml:space="preserve"> GUADALUPE RAMÍREZ PEÑA, EN LA SÉPTIMA</w:t>
      </w:r>
      <w:r w:rsidRPr="00657DAA">
        <w:rPr>
          <w:rFonts w:ascii="Palatino Linotype" w:eastAsia="Calibri" w:hAnsi="Palatino Linotype" w:cs="Tahoma"/>
          <w:bCs/>
          <w:color w:val="000000"/>
          <w:sz w:val="22"/>
          <w:szCs w:val="22"/>
        </w:rPr>
        <w:t xml:space="preserve"> SESIÓN ORDINARIA, CELEBRADA EL </w:t>
      </w:r>
      <w:r w:rsidR="00AB0AA2">
        <w:rPr>
          <w:rFonts w:ascii="Palatino Linotype" w:eastAsia="Calibri" w:hAnsi="Palatino Linotype" w:cs="Tahoma"/>
          <w:bCs/>
          <w:color w:val="000000"/>
          <w:sz w:val="22"/>
          <w:szCs w:val="22"/>
        </w:rPr>
        <w:t>VEINTICINCO DE FEBRERO DE DOS MIL VEINTISÉIS</w:t>
      </w:r>
      <w:r w:rsidRPr="00657DAA">
        <w:rPr>
          <w:rFonts w:ascii="Palatino Linotype" w:eastAsia="Calibri" w:hAnsi="Palatino Linotype" w:cs="Tahoma"/>
          <w:bCs/>
          <w:color w:val="000000"/>
          <w:sz w:val="22"/>
          <w:szCs w:val="22"/>
        </w:rPr>
        <w:t>, ANTE EL SECRETARIO TÉCNICO DEL PLENO, ALEXIS TAPIA RAMÍREZ.</w:t>
      </w:r>
    </w:p>
    <w:p w14:paraId="761D1C03" w14:textId="77777777" w:rsidR="00F616CD" w:rsidRDefault="00F616CD" w:rsidP="008860AA">
      <w:pPr>
        <w:spacing w:line="360" w:lineRule="auto"/>
        <w:contextualSpacing/>
        <w:rPr>
          <w:rFonts w:ascii="Palatino Linotype" w:eastAsia="Palatino Linotype" w:hAnsi="Palatino Linotype" w:cs="Palatino Linotype"/>
        </w:rPr>
      </w:pPr>
    </w:p>
    <w:p w14:paraId="55C89B9F" w14:textId="77777777" w:rsidR="00F616CD" w:rsidRDefault="00F616CD" w:rsidP="008860AA">
      <w:pPr>
        <w:spacing w:line="360" w:lineRule="auto"/>
        <w:contextualSpacing/>
        <w:rPr>
          <w:rFonts w:ascii="Palatino Linotype" w:eastAsia="Palatino Linotype" w:hAnsi="Palatino Linotype" w:cs="Palatino Linotype"/>
        </w:rPr>
      </w:pPr>
    </w:p>
    <w:p w14:paraId="0C06F869" w14:textId="77777777" w:rsidR="00F616CD" w:rsidRDefault="00F616CD" w:rsidP="008860AA">
      <w:pPr>
        <w:spacing w:line="360" w:lineRule="auto"/>
        <w:contextualSpacing/>
        <w:rPr>
          <w:rFonts w:ascii="Palatino Linotype" w:eastAsia="Palatino Linotype" w:hAnsi="Palatino Linotype" w:cs="Palatino Linotype"/>
        </w:rPr>
      </w:pPr>
    </w:p>
    <w:p w14:paraId="027478DD" w14:textId="77777777" w:rsidR="00F616CD" w:rsidRDefault="00F616CD" w:rsidP="008860AA">
      <w:pPr>
        <w:spacing w:line="360" w:lineRule="auto"/>
        <w:contextualSpacing/>
        <w:rPr>
          <w:rFonts w:ascii="Palatino Linotype" w:eastAsia="Palatino Linotype" w:hAnsi="Palatino Linotype" w:cs="Palatino Linotype"/>
        </w:rPr>
      </w:pPr>
    </w:p>
    <w:p w14:paraId="494D69E9" w14:textId="77777777" w:rsidR="00F616CD" w:rsidRDefault="00F616CD" w:rsidP="008860AA">
      <w:pPr>
        <w:spacing w:line="360" w:lineRule="auto"/>
        <w:contextualSpacing/>
        <w:rPr>
          <w:rFonts w:ascii="Palatino Linotype" w:eastAsia="Palatino Linotype" w:hAnsi="Palatino Linotype" w:cs="Palatino Linotype"/>
        </w:rPr>
      </w:pPr>
    </w:p>
    <w:p w14:paraId="39E4EF42" w14:textId="77777777" w:rsidR="00F616CD" w:rsidRDefault="00F616CD" w:rsidP="008860AA">
      <w:pPr>
        <w:spacing w:line="360" w:lineRule="auto"/>
        <w:contextualSpacing/>
        <w:rPr>
          <w:rFonts w:ascii="Palatino Linotype" w:eastAsia="Palatino Linotype" w:hAnsi="Palatino Linotype" w:cs="Palatino Linotype"/>
        </w:rPr>
      </w:pPr>
    </w:p>
    <w:p w14:paraId="1EBB78C4" w14:textId="77777777" w:rsidR="00F616CD" w:rsidRDefault="00F616CD" w:rsidP="008860AA">
      <w:pPr>
        <w:spacing w:line="360" w:lineRule="auto"/>
        <w:contextualSpacing/>
        <w:rPr>
          <w:rFonts w:ascii="Palatino Linotype" w:eastAsia="Palatino Linotype" w:hAnsi="Palatino Linotype" w:cs="Palatino Linotype"/>
        </w:rPr>
      </w:pPr>
    </w:p>
    <w:p w14:paraId="1914BD1D" w14:textId="77777777" w:rsidR="00F616CD" w:rsidRDefault="00F616CD" w:rsidP="008860AA">
      <w:pPr>
        <w:spacing w:line="360" w:lineRule="auto"/>
        <w:contextualSpacing/>
        <w:rPr>
          <w:rFonts w:ascii="Palatino Linotype" w:eastAsia="Palatino Linotype" w:hAnsi="Palatino Linotype" w:cs="Palatino Linotype"/>
        </w:rPr>
      </w:pPr>
    </w:p>
    <w:p w14:paraId="4BA7C711" w14:textId="77777777" w:rsidR="00F616CD" w:rsidRDefault="00F616CD" w:rsidP="008860AA">
      <w:pPr>
        <w:spacing w:line="360" w:lineRule="auto"/>
        <w:contextualSpacing/>
        <w:rPr>
          <w:rFonts w:ascii="Palatino Linotype" w:eastAsia="Palatino Linotype" w:hAnsi="Palatino Linotype" w:cs="Palatino Linotype"/>
        </w:rPr>
      </w:pPr>
    </w:p>
    <w:p w14:paraId="7E8CC697" w14:textId="77777777" w:rsidR="00F616CD" w:rsidRDefault="00F616CD" w:rsidP="008860AA">
      <w:pPr>
        <w:spacing w:line="360" w:lineRule="auto"/>
        <w:contextualSpacing/>
        <w:rPr>
          <w:rFonts w:ascii="Palatino Linotype" w:eastAsia="Palatino Linotype" w:hAnsi="Palatino Linotype" w:cs="Palatino Linotype"/>
        </w:rPr>
      </w:pPr>
    </w:p>
    <w:p w14:paraId="79AB92E0" w14:textId="77777777" w:rsidR="00F616CD" w:rsidRDefault="00F616CD" w:rsidP="008860AA">
      <w:pPr>
        <w:spacing w:line="360" w:lineRule="auto"/>
        <w:contextualSpacing/>
        <w:rPr>
          <w:rFonts w:ascii="Palatino Linotype" w:eastAsia="Palatino Linotype" w:hAnsi="Palatino Linotype" w:cs="Palatino Linotype"/>
        </w:rPr>
      </w:pPr>
    </w:p>
    <w:p w14:paraId="462E9DAD" w14:textId="77777777" w:rsidR="00F616CD" w:rsidRDefault="00F616CD" w:rsidP="008860AA">
      <w:pPr>
        <w:spacing w:line="360" w:lineRule="auto"/>
        <w:contextualSpacing/>
        <w:rPr>
          <w:rFonts w:ascii="Palatino Linotype" w:eastAsia="Palatino Linotype" w:hAnsi="Palatino Linotype" w:cs="Palatino Linotype"/>
        </w:rPr>
      </w:pPr>
    </w:p>
    <w:p w14:paraId="0563CAE5" w14:textId="77777777" w:rsidR="00F616CD" w:rsidRDefault="00F616CD" w:rsidP="008860AA">
      <w:pPr>
        <w:spacing w:line="360" w:lineRule="auto"/>
        <w:contextualSpacing/>
        <w:rPr>
          <w:rFonts w:ascii="Palatino Linotype" w:eastAsia="Palatino Linotype" w:hAnsi="Palatino Linotype" w:cs="Palatino Linotype"/>
        </w:rPr>
      </w:pPr>
    </w:p>
    <w:p w14:paraId="606B6CE2" w14:textId="77777777" w:rsidR="00F616CD" w:rsidRDefault="00F616CD" w:rsidP="008860AA">
      <w:pPr>
        <w:spacing w:line="360" w:lineRule="auto"/>
        <w:contextualSpacing/>
        <w:rPr>
          <w:rFonts w:ascii="Palatino Linotype" w:eastAsia="Palatino Linotype" w:hAnsi="Palatino Linotype" w:cs="Palatino Linotype"/>
        </w:rPr>
      </w:pPr>
    </w:p>
    <w:p w14:paraId="143D1510" w14:textId="77777777" w:rsidR="00F616CD" w:rsidRDefault="00F616CD" w:rsidP="008860AA">
      <w:pPr>
        <w:spacing w:line="360" w:lineRule="auto"/>
        <w:contextualSpacing/>
      </w:pPr>
    </w:p>
    <w:p w14:paraId="065DBD10" w14:textId="77777777" w:rsidR="00F616CD" w:rsidRDefault="00F616CD" w:rsidP="008860AA">
      <w:pPr>
        <w:spacing w:line="360" w:lineRule="auto"/>
        <w:contextualSpacing/>
      </w:pPr>
    </w:p>
    <w:p w14:paraId="552AD5C5" w14:textId="77777777" w:rsidR="00F616CD" w:rsidRDefault="00F616CD" w:rsidP="008860AA">
      <w:pPr>
        <w:spacing w:line="360" w:lineRule="auto"/>
        <w:contextualSpacing/>
      </w:pPr>
    </w:p>
    <w:p w14:paraId="6757C0EE" w14:textId="77777777" w:rsidR="00F616CD" w:rsidRDefault="00F616CD" w:rsidP="008860AA">
      <w:pPr>
        <w:spacing w:line="360" w:lineRule="auto"/>
        <w:contextualSpacing/>
      </w:pPr>
    </w:p>
    <w:p w14:paraId="2C91468D" w14:textId="77777777" w:rsidR="00F616CD" w:rsidRDefault="00F616CD" w:rsidP="008860AA">
      <w:pPr>
        <w:spacing w:line="360" w:lineRule="auto"/>
        <w:contextualSpacing/>
      </w:pPr>
    </w:p>
    <w:p w14:paraId="5C4C4BC3" w14:textId="77777777" w:rsidR="00F616CD" w:rsidRDefault="00F616CD" w:rsidP="008860AA">
      <w:pPr>
        <w:spacing w:line="360" w:lineRule="auto"/>
        <w:contextualSpacing/>
      </w:pPr>
    </w:p>
    <w:p w14:paraId="76036F0C" w14:textId="77777777" w:rsidR="00F616CD" w:rsidRDefault="00F616CD" w:rsidP="008860AA">
      <w:pPr>
        <w:spacing w:line="360" w:lineRule="auto"/>
        <w:contextualSpacing/>
      </w:pPr>
    </w:p>
    <w:p w14:paraId="7CC81F2F" w14:textId="77777777" w:rsidR="00F616CD" w:rsidRDefault="00F616CD" w:rsidP="008860AA">
      <w:pPr>
        <w:spacing w:line="360" w:lineRule="auto"/>
        <w:contextualSpacing/>
      </w:pPr>
    </w:p>
    <w:p w14:paraId="246149C8" w14:textId="77777777" w:rsidR="00F616CD" w:rsidRDefault="00F616CD" w:rsidP="008860AA">
      <w:pPr>
        <w:spacing w:line="360" w:lineRule="auto"/>
        <w:contextualSpacing/>
      </w:pPr>
    </w:p>
    <w:p w14:paraId="4358534D" w14:textId="77777777" w:rsidR="00F616CD" w:rsidRDefault="00F616CD" w:rsidP="008860AA">
      <w:pPr>
        <w:spacing w:line="360" w:lineRule="auto"/>
        <w:contextualSpacing/>
      </w:pPr>
    </w:p>
    <w:p w14:paraId="2E807C0D" w14:textId="77777777" w:rsidR="00F616CD" w:rsidRDefault="00F616CD" w:rsidP="008860AA">
      <w:pPr>
        <w:spacing w:line="360" w:lineRule="auto"/>
        <w:contextualSpacing/>
      </w:pPr>
    </w:p>
    <w:p w14:paraId="1223D8B7" w14:textId="77777777" w:rsidR="00F616CD" w:rsidRDefault="00F616CD" w:rsidP="008860AA">
      <w:pPr>
        <w:spacing w:line="360" w:lineRule="auto"/>
        <w:contextualSpacing/>
      </w:pPr>
    </w:p>
    <w:p w14:paraId="043D9DBB" w14:textId="77777777" w:rsidR="00F616CD" w:rsidRDefault="00F616CD" w:rsidP="008860AA">
      <w:pPr>
        <w:spacing w:line="360" w:lineRule="auto"/>
        <w:contextualSpacing/>
      </w:pPr>
    </w:p>
    <w:p w14:paraId="4AD8B9B8" w14:textId="77777777" w:rsidR="00F616CD" w:rsidRDefault="00F616CD" w:rsidP="008860AA">
      <w:pPr>
        <w:spacing w:line="360" w:lineRule="auto"/>
        <w:contextualSpacing/>
      </w:pPr>
    </w:p>
    <w:p w14:paraId="775996D1" w14:textId="77777777" w:rsidR="00F616CD" w:rsidRDefault="00F616CD" w:rsidP="008860AA">
      <w:pPr>
        <w:spacing w:line="360" w:lineRule="auto"/>
        <w:contextualSpacing/>
      </w:pPr>
    </w:p>
    <w:p w14:paraId="42FBBB00" w14:textId="77777777" w:rsidR="00F616CD" w:rsidRDefault="00F616CD" w:rsidP="008860AA">
      <w:pPr>
        <w:spacing w:line="360" w:lineRule="auto"/>
        <w:contextualSpacing/>
      </w:pPr>
    </w:p>
    <w:bookmarkEnd w:id="0"/>
    <w:p w14:paraId="4E41B834" w14:textId="77777777" w:rsidR="00F616CD" w:rsidRDefault="00F616CD" w:rsidP="008860AA">
      <w:pPr>
        <w:spacing w:line="360" w:lineRule="auto"/>
        <w:contextualSpacing/>
      </w:pPr>
    </w:p>
    <w:p w14:paraId="4A448E7D" w14:textId="77777777" w:rsidR="00F616CD" w:rsidRDefault="00F616CD" w:rsidP="008860AA">
      <w:pPr>
        <w:spacing w:line="360" w:lineRule="auto"/>
        <w:contextualSpacing/>
      </w:pPr>
    </w:p>
    <w:p w14:paraId="431B24F5" w14:textId="77777777" w:rsidR="00F616CD" w:rsidRDefault="00F616CD" w:rsidP="008860AA">
      <w:pPr>
        <w:spacing w:line="360" w:lineRule="auto"/>
        <w:contextualSpacing/>
      </w:pPr>
    </w:p>
    <w:p w14:paraId="036592CA" w14:textId="77777777" w:rsidR="00F616CD" w:rsidRDefault="00F616CD" w:rsidP="008860AA">
      <w:pPr>
        <w:spacing w:line="360" w:lineRule="auto"/>
        <w:contextualSpacing/>
      </w:pPr>
    </w:p>
    <w:p w14:paraId="6ABD034E" w14:textId="77777777" w:rsidR="0000236F" w:rsidRDefault="0000236F" w:rsidP="008860AA">
      <w:pPr>
        <w:spacing w:line="360" w:lineRule="auto"/>
        <w:contextualSpacing/>
      </w:pPr>
    </w:p>
    <w:sectPr w:rsidR="0000236F" w:rsidSect="00F616CD">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69B54" w14:textId="77777777" w:rsidR="00456155" w:rsidRDefault="00456155" w:rsidP="00F616CD">
      <w:r>
        <w:separator/>
      </w:r>
    </w:p>
  </w:endnote>
  <w:endnote w:type="continuationSeparator" w:id="0">
    <w:p w14:paraId="1376C2EE" w14:textId="77777777" w:rsidR="00456155" w:rsidRDefault="00456155" w:rsidP="00F61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56AEB" w14:textId="77777777" w:rsidR="001817CB" w:rsidRDefault="001817CB">
    <w:pPr>
      <w:pBdr>
        <w:top w:val="nil"/>
        <w:left w:val="nil"/>
        <w:bottom w:val="nil"/>
        <w:right w:val="nil"/>
        <w:between w:val="nil"/>
      </w:pBdr>
      <w:tabs>
        <w:tab w:val="center" w:pos="4419"/>
        <w:tab w:val="right" w:pos="8838"/>
      </w:tabs>
      <w:jc w:val="right"/>
      <w:rPr>
        <w:color w:val="000000"/>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PAGE</w:instrText>
    </w:r>
    <w:r>
      <w:rPr>
        <w:rFonts w:ascii="Palatino Linotype" w:eastAsia="Palatino Linotype" w:hAnsi="Palatino Linotype" w:cs="Palatino Linotype"/>
        <w:b/>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NUMPAGES</w:instrText>
    </w:r>
    <w:r>
      <w:rPr>
        <w:rFonts w:ascii="Palatino Linotype" w:eastAsia="Palatino Linotype" w:hAnsi="Palatino Linotype" w:cs="Palatino Linotype"/>
        <w:b/>
        <w:color w:val="000000"/>
        <w:sz w:val="22"/>
        <w:szCs w:val="22"/>
      </w:rPr>
      <w:fldChar w:fldCharType="separate"/>
    </w:r>
    <w:r>
      <w:rPr>
        <w:rFonts w:ascii="Palatino Linotype" w:eastAsia="Palatino Linotype" w:hAnsi="Palatino Linotype" w:cs="Palatino Linotype"/>
        <w:b/>
        <w:noProof/>
        <w:color w:val="000000"/>
        <w:sz w:val="22"/>
        <w:szCs w:val="22"/>
      </w:rPr>
      <w:t>80</w:t>
    </w:r>
    <w:r>
      <w:rPr>
        <w:rFonts w:ascii="Palatino Linotype" w:eastAsia="Palatino Linotype" w:hAnsi="Palatino Linotype" w:cs="Palatino Linotype"/>
        <w:b/>
        <w:color w:val="000000"/>
        <w:sz w:val="22"/>
        <w:szCs w:val="22"/>
      </w:rPr>
      <w:fldChar w:fldCharType="end"/>
    </w:r>
  </w:p>
  <w:p w14:paraId="03136D27" w14:textId="77777777" w:rsidR="001817CB" w:rsidRDefault="001817C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1DFD1" w14:textId="77777777" w:rsidR="001817CB" w:rsidRDefault="001817CB">
    <w:pPr>
      <w:pBdr>
        <w:top w:val="nil"/>
        <w:left w:val="nil"/>
        <w:bottom w:val="nil"/>
        <w:right w:val="nil"/>
        <w:between w:val="nil"/>
      </w:pBdr>
      <w:tabs>
        <w:tab w:val="center" w:pos="4419"/>
        <w:tab w:val="right" w:pos="8838"/>
      </w:tabs>
      <w:jc w:val="right"/>
      <w:rPr>
        <w:color w:val="000000"/>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PAGE</w:instrText>
    </w:r>
    <w:r>
      <w:rPr>
        <w:rFonts w:ascii="Palatino Linotype" w:eastAsia="Palatino Linotype" w:hAnsi="Palatino Linotype" w:cs="Palatino Linotype"/>
        <w:b/>
        <w:color w:val="000000"/>
        <w:sz w:val="22"/>
        <w:szCs w:val="22"/>
      </w:rPr>
      <w:fldChar w:fldCharType="separate"/>
    </w:r>
    <w:r w:rsidR="00AD0CE4">
      <w:rPr>
        <w:rFonts w:ascii="Palatino Linotype" w:eastAsia="Palatino Linotype" w:hAnsi="Palatino Linotype" w:cs="Palatino Linotype"/>
        <w:b/>
        <w:noProof/>
        <w:color w:val="000000"/>
        <w:sz w:val="22"/>
        <w:szCs w:val="22"/>
      </w:rPr>
      <w:t>19</w:t>
    </w:r>
    <w:r>
      <w:rPr>
        <w:rFonts w:ascii="Palatino Linotype" w:eastAsia="Palatino Linotype" w:hAnsi="Palatino Linotype" w:cs="Palatino Linotype"/>
        <w:b/>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NUMPAGES</w:instrText>
    </w:r>
    <w:r>
      <w:rPr>
        <w:rFonts w:ascii="Palatino Linotype" w:eastAsia="Palatino Linotype" w:hAnsi="Palatino Linotype" w:cs="Palatino Linotype"/>
        <w:b/>
        <w:color w:val="000000"/>
        <w:sz w:val="22"/>
        <w:szCs w:val="22"/>
      </w:rPr>
      <w:fldChar w:fldCharType="separate"/>
    </w:r>
    <w:r w:rsidR="00AD0CE4">
      <w:rPr>
        <w:rFonts w:ascii="Palatino Linotype" w:eastAsia="Palatino Linotype" w:hAnsi="Palatino Linotype" w:cs="Palatino Linotype"/>
        <w:b/>
        <w:noProof/>
        <w:color w:val="000000"/>
        <w:sz w:val="22"/>
        <w:szCs w:val="22"/>
      </w:rPr>
      <w:t>19</w:t>
    </w:r>
    <w:r>
      <w:rPr>
        <w:rFonts w:ascii="Palatino Linotype" w:eastAsia="Palatino Linotype" w:hAnsi="Palatino Linotype" w:cs="Palatino Linotype"/>
        <w:b/>
        <w:color w:val="000000"/>
        <w:sz w:val="22"/>
        <w:szCs w:val="22"/>
      </w:rPr>
      <w:fldChar w:fldCharType="end"/>
    </w:r>
  </w:p>
  <w:p w14:paraId="02A43BA8" w14:textId="77777777" w:rsidR="001817CB" w:rsidRDefault="001817CB">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5240F" w14:textId="77777777" w:rsidR="001817CB" w:rsidRDefault="001817CB">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PAGE</w:instrText>
    </w:r>
    <w:r>
      <w:rPr>
        <w:rFonts w:ascii="Palatino Linotype" w:eastAsia="Palatino Linotype" w:hAnsi="Palatino Linotype" w:cs="Palatino Linotype"/>
        <w:b/>
        <w:color w:val="000000"/>
        <w:sz w:val="22"/>
        <w:szCs w:val="22"/>
      </w:rPr>
      <w:fldChar w:fldCharType="separate"/>
    </w:r>
    <w:r w:rsidR="00AD0CE4">
      <w:rPr>
        <w:rFonts w:ascii="Palatino Linotype" w:eastAsia="Palatino Linotype" w:hAnsi="Palatino Linotype" w:cs="Palatino Linotype"/>
        <w:b/>
        <w:noProof/>
        <w:color w:val="000000"/>
        <w:sz w:val="22"/>
        <w:szCs w:val="22"/>
      </w:rPr>
      <w:t>1</w:t>
    </w:r>
    <w:r>
      <w:rPr>
        <w:rFonts w:ascii="Palatino Linotype" w:eastAsia="Palatino Linotype" w:hAnsi="Palatino Linotype" w:cs="Palatino Linotype"/>
        <w:b/>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NUMPAGES</w:instrText>
    </w:r>
    <w:r>
      <w:rPr>
        <w:rFonts w:ascii="Palatino Linotype" w:eastAsia="Palatino Linotype" w:hAnsi="Palatino Linotype" w:cs="Palatino Linotype"/>
        <w:b/>
        <w:color w:val="000000"/>
        <w:sz w:val="22"/>
        <w:szCs w:val="22"/>
      </w:rPr>
      <w:fldChar w:fldCharType="separate"/>
    </w:r>
    <w:r w:rsidR="00AD0CE4">
      <w:rPr>
        <w:rFonts w:ascii="Palatino Linotype" w:eastAsia="Palatino Linotype" w:hAnsi="Palatino Linotype" w:cs="Palatino Linotype"/>
        <w:b/>
        <w:noProof/>
        <w:color w:val="000000"/>
        <w:sz w:val="22"/>
        <w:szCs w:val="22"/>
      </w:rPr>
      <w:t>19</w:t>
    </w:r>
    <w:r>
      <w:rPr>
        <w:rFonts w:ascii="Palatino Linotype" w:eastAsia="Palatino Linotype" w:hAnsi="Palatino Linotype" w:cs="Palatino Linotype"/>
        <w:b/>
        <w:color w:val="000000"/>
        <w:sz w:val="22"/>
        <w:szCs w:val="22"/>
      </w:rPr>
      <w:fldChar w:fldCharType="end"/>
    </w:r>
  </w:p>
  <w:p w14:paraId="10E52CEB" w14:textId="77777777" w:rsidR="001817CB" w:rsidRDefault="001817C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724B0" w14:textId="77777777" w:rsidR="00456155" w:rsidRDefault="00456155" w:rsidP="00F616CD">
      <w:r>
        <w:separator/>
      </w:r>
    </w:p>
  </w:footnote>
  <w:footnote w:type="continuationSeparator" w:id="0">
    <w:p w14:paraId="1DC7DB28" w14:textId="77777777" w:rsidR="00456155" w:rsidRDefault="00456155" w:rsidP="00F61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40E08" w14:textId="77777777" w:rsidR="001817CB" w:rsidRDefault="001817CB">
    <w:pPr>
      <w:widowControl w:val="0"/>
      <w:pBdr>
        <w:top w:val="nil"/>
        <w:left w:val="nil"/>
        <w:bottom w:val="nil"/>
        <w:right w:val="nil"/>
        <w:between w:val="nil"/>
      </w:pBdr>
      <w:spacing w:line="276" w:lineRule="auto"/>
    </w:pPr>
  </w:p>
  <w:tbl>
    <w:tblPr>
      <w:tblW w:w="9705" w:type="dxa"/>
      <w:tblLayout w:type="fixed"/>
      <w:tblLook w:val="0400" w:firstRow="0" w:lastRow="0" w:firstColumn="0" w:lastColumn="0" w:noHBand="0" w:noVBand="1"/>
    </w:tblPr>
    <w:tblGrid>
      <w:gridCol w:w="2972"/>
      <w:gridCol w:w="6733"/>
    </w:tblGrid>
    <w:tr w:rsidR="001817CB" w14:paraId="7AEE0101" w14:textId="77777777">
      <w:trPr>
        <w:trHeight w:val="1435"/>
      </w:trPr>
      <w:tc>
        <w:tcPr>
          <w:tcW w:w="2972" w:type="dxa"/>
        </w:tcPr>
        <w:p w14:paraId="0E5B1EDA" w14:textId="77777777" w:rsidR="001817CB" w:rsidRDefault="001817CB">
          <w:pPr>
            <w:tabs>
              <w:tab w:val="right" w:pos="4273"/>
            </w:tabs>
            <w:spacing w:line="256" w:lineRule="auto"/>
            <w:rPr>
              <w:rFonts w:ascii="Garamond" w:eastAsia="Garamond" w:hAnsi="Garamond" w:cs="Garamond"/>
              <w:sz w:val="22"/>
              <w:szCs w:val="22"/>
            </w:rPr>
          </w:pPr>
        </w:p>
      </w:tc>
      <w:tc>
        <w:tcPr>
          <w:tcW w:w="6733" w:type="dxa"/>
        </w:tcPr>
        <w:p w14:paraId="58BB51C8" w14:textId="77777777" w:rsidR="001817CB" w:rsidRDefault="001817CB">
          <w:pPr>
            <w:widowControl w:val="0"/>
            <w:pBdr>
              <w:top w:val="nil"/>
              <w:left w:val="nil"/>
              <w:bottom w:val="nil"/>
              <w:right w:val="nil"/>
              <w:between w:val="nil"/>
            </w:pBdr>
            <w:spacing w:line="276" w:lineRule="auto"/>
            <w:rPr>
              <w:rFonts w:ascii="Garamond" w:eastAsia="Garamond" w:hAnsi="Garamond" w:cs="Garamond"/>
              <w:sz w:val="22"/>
              <w:szCs w:val="22"/>
            </w:rPr>
          </w:pPr>
        </w:p>
        <w:tbl>
          <w:tblPr>
            <w:tblW w:w="5535" w:type="dxa"/>
            <w:tblInd w:w="322" w:type="dxa"/>
            <w:tblBorders>
              <w:top w:val="nil"/>
              <w:left w:val="nil"/>
              <w:bottom w:val="nil"/>
              <w:right w:val="nil"/>
              <w:insideH w:val="nil"/>
              <w:insideV w:val="nil"/>
            </w:tblBorders>
            <w:tblLayout w:type="fixed"/>
            <w:tblLook w:val="0400" w:firstRow="0" w:lastRow="0" w:firstColumn="0" w:lastColumn="0" w:noHBand="0" w:noVBand="1"/>
          </w:tblPr>
          <w:tblGrid>
            <w:gridCol w:w="2447"/>
            <w:gridCol w:w="3088"/>
          </w:tblGrid>
          <w:tr w:rsidR="001817CB" w14:paraId="4A6AC671" w14:textId="77777777">
            <w:trPr>
              <w:trHeight w:val="144"/>
            </w:trPr>
            <w:tc>
              <w:tcPr>
                <w:tcW w:w="2447" w:type="dxa"/>
              </w:tcPr>
              <w:p w14:paraId="253D5587" w14:textId="77777777" w:rsidR="001817CB" w:rsidRDefault="001817CB">
                <w:pPr>
                  <w:tabs>
                    <w:tab w:val="right" w:pos="8838"/>
                  </w:tabs>
                  <w:ind w:left="-69"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088" w:type="dxa"/>
              </w:tcPr>
              <w:p w14:paraId="3D06D6CA" w14:textId="77777777" w:rsidR="001817CB" w:rsidRDefault="001817CB">
                <w:pPr>
                  <w:tabs>
                    <w:tab w:val="right" w:pos="8838"/>
                  </w:tabs>
                  <w:ind w:left="-7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02946/INFOEM/IP/RR/2021</w:t>
                </w:r>
              </w:p>
            </w:tc>
          </w:tr>
          <w:tr w:rsidR="001817CB" w14:paraId="5E73D825" w14:textId="77777777">
            <w:trPr>
              <w:trHeight w:val="283"/>
            </w:trPr>
            <w:tc>
              <w:tcPr>
                <w:tcW w:w="2447" w:type="dxa"/>
              </w:tcPr>
              <w:p w14:paraId="7D4BCCB1" w14:textId="77777777" w:rsidR="001817CB" w:rsidRDefault="001817CB">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088" w:type="dxa"/>
              </w:tcPr>
              <w:p w14:paraId="5FF894DD" w14:textId="77777777" w:rsidR="001817CB" w:rsidRDefault="001817CB">
                <w:pPr>
                  <w:tabs>
                    <w:tab w:val="left" w:pos="2834"/>
                    <w:tab w:val="right" w:pos="8838"/>
                  </w:tabs>
                  <w:ind w:left="-74" w:right="-105"/>
                  <w:jc w:val="both"/>
                  <w:rPr>
                    <w:rFonts w:ascii="Palatino Linotype" w:eastAsia="Palatino Linotype" w:hAnsi="Palatino Linotype" w:cs="Palatino Linotype"/>
                    <w:b/>
                    <w:sz w:val="22"/>
                    <w:szCs w:val="22"/>
                  </w:rPr>
                </w:pPr>
                <w:r>
                  <w:rPr>
                    <w:rFonts w:ascii="Palatino Linotype" w:eastAsia="Palatino Linotype" w:hAnsi="Palatino Linotype" w:cs="Palatino Linotype"/>
                    <w:sz w:val="22"/>
                    <w:szCs w:val="22"/>
                  </w:rPr>
                  <w:t>Ayuntamiento de San Antonio la Isla</w:t>
                </w:r>
              </w:p>
            </w:tc>
          </w:tr>
          <w:tr w:rsidR="001817CB" w14:paraId="107C68D5" w14:textId="77777777">
            <w:trPr>
              <w:trHeight w:val="283"/>
            </w:trPr>
            <w:tc>
              <w:tcPr>
                <w:tcW w:w="2447" w:type="dxa"/>
              </w:tcPr>
              <w:p w14:paraId="1D37F8EE" w14:textId="77777777" w:rsidR="001817CB" w:rsidRDefault="001817CB">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088" w:type="dxa"/>
              </w:tcPr>
              <w:p w14:paraId="0755951C" w14:textId="77777777" w:rsidR="001817CB" w:rsidRDefault="001817CB">
                <w:pPr>
                  <w:tabs>
                    <w:tab w:val="right" w:pos="8838"/>
                  </w:tabs>
                  <w:ind w:left="-7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Luis Gustavo Parra Noriega</w:t>
                </w:r>
              </w:p>
              <w:p w14:paraId="7946140E" w14:textId="77777777" w:rsidR="001817CB" w:rsidRDefault="001817CB">
                <w:pPr>
                  <w:tabs>
                    <w:tab w:val="right" w:pos="8838"/>
                  </w:tabs>
                  <w:ind w:left="-74" w:right="-105"/>
                  <w:jc w:val="both"/>
                  <w:rPr>
                    <w:rFonts w:ascii="Palatino Linotype" w:eastAsia="Palatino Linotype" w:hAnsi="Palatino Linotype" w:cs="Palatino Linotype"/>
                    <w:b/>
                    <w:sz w:val="22"/>
                    <w:szCs w:val="22"/>
                  </w:rPr>
                </w:pPr>
              </w:p>
            </w:tc>
          </w:tr>
        </w:tbl>
        <w:p w14:paraId="0FCE5DB7" w14:textId="77777777" w:rsidR="001817CB" w:rsidRDefault="001817CB">
          <w:pPr>
            <w:tabs>
              <w:tab w:val="right" w:pos="8838"/>
            </w:tabs>
            <w:spacing w:line="256" w:lineRule="auto"/>
            <w:ind w:left="-28"/>
            <w:jc w:val="both"/>
            <w:rPr>
              <w:rFonts w:ascii="Arial" w:eastAsia="Arial" w:hAnsi="Arial" w:cs="Arial"/>
              <w:b/>
              <w:sz w:val="22"/>
              <w:szCs w:val="22"/>
            </w:rPr>
          </w:pPr>
        </w:p>
      </w:tc>
    </w:tr>
  </w:tbl>
  <w:p w14:paraId="17A9872A" w14:textId="77777777" w:rsidR="001817CB" w:rsidRDefault="001817CB">
    <w:pPr>
      <w:pBdr>
        <w:top w:val="nil"/>
        <w:left w:val="nil"/>
        <w:bottom w:val="nil"/>
        <w:right w:val="nil"/>
        <w:between w:val="nil"/>
      </w:pBdr>
      <w:tabs>
        <w:tab w:val="center" w:pos="4419"/>
        <w:tab w:val="right" w:pos="8838"/>
      </w:tabs>
      <w:rPr>
        <w:color w:val="000000"/>
      </w:rPr>
    </w:pPr>
    <w:r>
      <w:rPr>
        <w:rFonts w:ascii="Garamond" w:eastAsia="Garamond" w:hAnsi="Garamond" w:cs="Garamond"/>
        <w:noProof/>
        <w:color w:val="000000"/>
        <w:sz w:val="22"/>
        <w:szCs w:val="22"/>
      </w:rPr>
      <w:drawing>
        <wp:anchor distT="0" distB="0" distL="0" distR="0" simplePos="0" relativeHeight="251656704" behindDoc="1" locked="0" layoutInCell="1" hidden="0" allowOverlap="1" wp14:anchorId="71895D07" wp14:editId="3DC2D944">
          <wp:simplePos x="0" y="0"/>
          <wp:positionH relativeFrom="margin">
            <wp:posOffset>-1381124</wp:posOffset>
          </wp:positionH>
          <wp:positionV relativeFrom="margin">
            <wp:posOffset>-1611629</wp:posOffset>
          </wp:positionV>
          <wp:extent cx="5612130" cy="7308215"/>
          <wp:effectExtent l="0" t="0" r="0" b="0"/>
          <wp:wrapNone/>
          <wp:docPr id="205032824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612130" cy="730821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4A158" w14:textId="77777777" w:rsidR="001817CB" w:rsidRDefault="001817CB">
    <w:pPr>
      <w:widowControl w:val="0"/>
      <w:pBdr>
        <w:top w:val="nil"/>
        <w:left w:val="nil"/>
        <w:bottom w:val="nil"/>
        <w:right w:val="nil"/>
        <w:between w:val="nil"/>
      </w:pBdr>
      <w:spacing w:line="276" w:lineRule="auto"/>
      <w:rPr>
        <w:color w:val="000000"/>
      </w:rPr>
    </w:pPr>
  </w:p>
  <w:tbl>
    <w:tblPr>
      <w:tblW w:w="9356" w:type="dxa"/>
      <w:tblLayout w:type="fixed"/>
      <w:tblLook w:val="0400" w:firstRow="0" w:lastRow="0" w:firstColumn="0" w:lastColumn="0" w:noHBand="0" w:noVBand="1"/>
    </w:tblPr>
    <w:tblGrid>
      <w:gridCol w:w="1985"/>
      <w:gridCol w:w="7371"/>
    </w:tblGrid>
    <w:tr w:rsidR="001817CB" w14:paraId="0D6FCCDE" w14:textId="77777777">
      <w:trPr>
        <w:trHeight w:val="1435"/>
      </w:trPr>
      <w:tc>
        <w:tcPr>
          <w:tcW w:w="1985" w:type="dxa"/>
        </w:tcPr>
        <w:p w14:paraId="045E890F" w14:textId="77777777" w:rsidR="001817CB" w:rsidRDefault="001817CB">
          <w:pPr>
            <w:tabs>
              <w:tab w:val="right" w:pos="4273"/>
            </w:tabs>
            <w:spacing w:line="256" w:lineRule="auto"/>
            <w:rPr>
              <w:rFonts w:ascii="Garamond" w:eastAsia="Garamond" w:hAnsi="Garamond" w:cs="Garamond"/>
              <w:sz w:val="22"/>
              <w:szCs w:val="22"/>
            </w:rPr>
          </w:pPr>
        </w:p>
      </w:tc>
      <w:tc>
        <w:tcPr>
          <w:tcW w:w="7371" w:type="dxa"/>
        </w:tcPr>
        <w:p w14:paraId="39BCC0FE" w14:textId="77777777" w:rsidR="001817CB" w:rsidRDefault="001817CB">
          <w:pPr>
            <w:rPr>
              <w:sz w:val="28"/>
              <w:szCs w:val="28"/>
            </w:rPr>
          </w:pPr>
        </w:p>
        <w:tbl>
          <w:tblPr>
            <w:tblW w:w="8072" w:type="dxa"/>
            <w:tblInd w:w="1161" w:type="dxa"/>
            <w:tblBorders>
              <w:top w:val="nil"/>
              <w:left w:val="nil"/>
              <w:bottom w:val="nil"/>
              <w:right w:val="nil"/>
              <w:insideH w:val="nil"/>
              <w:insideV w:val="nil"/>
            </w:tblBorders>
            <w:tblLayout w:type="fixed"/>
            <w:tblLook w:val="0400" w:firstRow="0" w:lastRow="0" w:firstColumn="0" w:lastColumn="0" w:noHBand="0" w:noVBand="1"/>
          </w:tblPr>
          <w:tblGrid>
            <w:gridCol w:w="2841"/>
            <w:gridCol w:w="2835"/>
            <w:gridCol w:w="2396"/>
          </w:tblGrid>
          <w:tr w:rsidR="001817CB" w14:paraId="7F8C9DE8" w14:textId="77777777">
            <w:trPr>
              <w:trHeight w:val="194"/>
            </w:trPr>
            <w:tc>
              <w:tcPr>
                <w:tcW w:w="2841" w:type="dxa"/>
              </w:tcPr>
              <w:p w14:paraId="1944A120" w14:textId="77777777" w:rsidR="001817CB" w:rsidRDefault="001817CB">
                <w:pPr>
                  <w:tabs>
                    <w:tab w:val="right" w:pos="8838"/>
                  </w:tabs>
                  <w:ind w:left="-11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Recurso de Revisión:</w:t>
                </w:r>
              </w:p>
            </w:tc>
            <w:tc>
              <w:tcPr>
                <w:tcW w:w="2835" w:type="dxa"/>
              </w:tcPr>
              <w:p w14:paraId="78E5FBB9" w14:textId="77777777" w:rsidR="001817CB" w:rsidRDefault="001817CB">
                <w:pPr>
                  <w:tabs>
                    <w:tab w:val="right" w:pos="8838"/>
                  </w:tabs>
                  <w:ind w:left="-11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014111/INFOEM/IP/RR/2025</w:t>
                </w:r>
              </w:p>
            </w:tc>
            <w:tc>
              <w:tcPr>
                <w:tcW w:w="2396" w:type="dxa"/>
              </w:tcPr>
              <w:p w14:paraId="29F6E3C4" w14:textId="77777777" w:rsidR="001817CB" w:rsidRDefault="001817CB">
                <w:pPr>
                  <w:tabs>
                    <w:tab w:val="right" w:pos="8838"/>
                  </w:tabs>
                  <w:ind w:left="-114" w:right="-105"/>
                  <w:jc w:val="both"/>
                  <w:rPr>
                    <w:rFonts w:ascii="Palatino Linotype" w:eastAsia="Palatino Linotype" w:hAnsi="Palatino Linotype" w:cs="Palatino Linotype"/>
                    <w:sz w:val="22"/>
                    <w:szCs w:val="22"/>
                  </w:rPr>
                </w:pPr>
              </w:p>
            </w:tc>
          </w:tr>
          <w:tr w:rsidR="001817CB" w14:paraId="27D8DD62" w14:textId="77777777">
            <w:trPr>
              <w:trHeight w:val="88"/>
            </w:trPr>
            <w:tc>
              <w:tcPr>
                <w:tcW w:w="2841" w:type="dxa"/>
              </w:tcPr>
              <w:p w14:paraId="5092C6F7" w14:textId="77777777" w:rsidR="001817CB" w:rsidRDefault="001817CB">
                <w:pPr>
                  <w:tabs>
                    <w:tab w:val="right" w:pos="8838"/>
                  </w:tabs>
                  <w:ind w:left="-11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Sujeto Obligado:</w:t>
                </w:r>
              </w:p>
            </w:tc>
            <w:tc>
              <w:tcPr>
                <w:tcW w:w="2835" w:type="dxa"/>
              </w:tcPr>
              <w:p w14:paraId="29E7CAF9" w14:textId="77777777" w:rsidR="001817CB" w:rsidRDefault="001817CB">
                <w:pPr>
                  <w:tabs>
                    <w:tab w:val="left" w:pos="2834"/>
                    <w:tab w:val="right" w:pos="8838"/>
                  </w:tabs>
                  <w:ind w:left="-114"/>
                  <w:jc w:val="both"/>
                  <w:rPr>
                    <w:rFonts w:ascii="Palatino Linotype" w:eastAsia="Palatino Linotype" w:hAnsi="Palatino Linotype" w:cs="Palatino Linotype"/>
                    <w:b/>
                    <w:sz w:val="32"/>
                    <w:szCs w:val="32"/>
                  </w:rPr>
                </w:pPr>
                <w:r>
                  <w:rPr>
                    <w:rFonts w:ascii="Palatino Linotype" w:eastAsia="Palatino Linotype" w:hAnsi="Palatino Linotype" w:cs="Palatino Linotype"/>
                    <w:sz w:val="22"/>
                    <w:szCs w:val="22"/>
                  </w:rPr>
                  <w:t>Ayuntamiento de Toluca</w:t>
                </w:r>
              </w:p>
            </w:tc>
            <w:tc>
              <w:tcPr>
                <w:tcW w:w="2396" w:type="dxa"/>
              </w:tcPr>
              <w:p w14:paraId="3C6272BF" w14:textId="77777777" w:rsidR="001817CB" w:rsidRDefault="001817CB">
                <w:pPr>
                  <w:tabs>
                    <w:tab w:val="left" w:pos="2834"/>
                    <w:tab w:val="right" w:pos="8838"/>
                  </w:tabs>
                  <w:ind w:left="-114"/>
                  <w:jc w:val="both"/>
                  <w:rPr>
                    <w:rFonts w:ascii="Palatino Linotype" w:eastAsia="Palatino Linotype" w:hAnsi="Palatino Linotype" w:cs="Palatino Linotype"/>
                    <w:sz w:val="22"/>
                    <w:szCs w:val="22"/>
                  </w:rPr>
                </w:pPr>
              </w:p>
            </w:tc>
          </w:tr>
          <w:tr w:rsidR="001817CB" w14:paraId="5B108844" w14:textId="77777777">
            <w:trPr>
              <w:trHeight w:val="383"/>
            </w:trPr>
            <w:tc>
              <w:tcPr>
                <w:tcW w:w="2841" w:type="dxa"/>
              </w:tcPr>
              <w:p w14:paraId="45B1C3D4" w14:textId="77777777" w:rsidR="001817CB" w:rsidRDefault="001817CB">
                <w:pPr>
                  <w:tabs>
                    <w:tab w:val="right" w:pos="8838"/>
                  </w:tabs>
                  <w:ind w:left="-11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Comisionado Ponente:</w:t>
                </w:r>
              </w:p>
            </w:tc>
            <w:tc>
              <w:tcPr>
                <w:tcW w:w="2835" w:type="dxa"/>
              </w:tcPr>
              <w:p w14:paraId="4FB283F1" w14:textId="77777777" w:rsidR="001817CB" w:rsidRDefault="001817CB">
                <w:pPr>
                  <w:tabs>
                    <w:tab w:val="right" w:pos="8838"/>
                  </w:tabs>
                  <w:ind w:left="-11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Luis Gustavo Parra Noriega</w:t>
                </w:r>
              </w:p>
            </w:tc>
            <w:tc>
              <w:tcPr>
                <w:tcW w:w="2396" w:type="dxa"/>
              </w:tcPr>
              <w:p w14:paraId="0E7C8BEC" w14:textId="77777777" w:rsidR="001817CB" w:rsidRDefault="001817CB">
                <w:pPr>
                  <w:tabs>
                    <w:tab w:val="right" w:pos="8838"/>
                  </w:tabs>
                  <w:ind w:left="-114" w:right="-105"/>
                  <w:jc w:val="both"/>
                  <w:rPr>
                    <w:rFonts w:ascii="Palatino Linotype" w:eastAsia="Palatino Linotype" w:hAnsi="Palatino Linotype" w:cs="Palatino Linotype"/>
                    <w:sz w:val="22"/>
                    <w:szCs w:val="22"/>
                  </w:rPr>
                </w:pPr>
              </w:p>
            </w:tc>
          </w:tr>
        </w:tbl>
        <w:p w14:paraId="24488700" w14:textId="77777777" w:rsidR="001817CB" w:rsidRDefault="001817CB">
          <w:pPr>
            <w:tabs>
              <w:tab w:val="right" w:pos="8838"/>
            </w:tabs>
            <w:spacing w:line="256" w:lineRule="auto"/>
            <w:ind w:left="-28"/>
            <w:jc w:val="both"/>
            <w:rPr>
              <w:rFonts w:ascii="Arial" w:eastAsia="Arial" w:hAnsi="Arial" w:cs="Arial"/>
              <w:b/>
              <w:sz w:val="22"/>
              <w:szCs w:val="22"/>
            </w:rPr>
          </w:pPr>
        </w:p>
      </w:tc>
    </w:tr>
  </w:tbl>
  <w:p w14:paraId="1513072A" w14:textId="77777777" w:rsidR="001817CB" w:rsidRDefault="001817CB">
    <w:pPr>
      <w:pBdr>
        <w:top w:val="nil"/>
        <w:left w:val="nil"/>
        <w:bottom w:val="nil"/>
        <w:right w:val="nil"/>
        <w:between w:val="nil"/>
      </w:pBdr>
      <w:tabs>
        <w:tab w:val="center" w:pos="4419"/>
        <w:tab w:val="right" w:pos="8838"/>
      </w:tabs>
      <w:rPr>
        <w:color w:val="000000"/>
      </w:rPr>
    </w:pPr>
    <w:r>
      <w:rPr>
        <w:rFonts w:ascii="Garamond" w:eastAsia="Garamond" w:hAnsi="Garamond" w:cs="Garamond"/>
        <w:noProof/>
        <w:color w:val="000000"/>
        <w:sz w:val="22"/>
        <w:szCs w:val="22"/>
      </w:rPr>
      <w:drawing>
        <wp:anchor distT="0" distB="0" distL="0" distR="0" simplePos="0" relativeHeight="251657728" behindDoc="1" locked="0" layoutInCell="1" hidden="0" allowOverlap="1" wp14:anchorId="7715EC21" wp14:editId="1F109372">
          <wp:simplePos x="0" y="0"/>
          <wp:positionH relativeFrom="margin">
            <wp:posOffset>-1153159</wp:posOffset>
          </wp:positionH>
          <wp:positionV relativeFrom="margin">
            <wp:posOffset>-1539239</wp:posOffset>
          </wp:positionV>
          <wp:extent cx="7835900" cy="10203815"/>
          <wp:effectExtent l="0" t="0" r="0" b="0"/>
          <wp:wrapNone/>
          <wp:docPr id="205032824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835900" cy="1020381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F1DF5" w14:textId="77777777" w:rsidR="001817CB" w:rsidRDefault="001817CB">
    <w:pPr>
      <w:widowControl w:val="0"/>
      <w:pBdr>
        <w:top w:val="nil"/>
        <w:left w:val="nil"/>
        <w:bottom w:val="nil"/>
        <w:right w:val="nil"/>
        <w:between w:val="nil"/>
      </w:pBdr>
      <w:spacing w:line="276" w:lineRule="auto"/>
      <w:rPr>
        <w:color w:val="000000"/>
      </w:rPr>
    </w:pPr>
  </w:p>
  <w:tbl>
    <w:tblPr>
      <w:tblW w:w="9214" w:type="dxa"/>
      <w:tblLayout w:type="fixed"/>
      <w:tblLook w:val="0400" w:firstRow="0" w:lastRow="0" w:firstColumn="0" w:lastColumn="0" w:noHBand="0" w:noVBand="1"/>
    </w:tblPr>
    <w:tblGrid>
      <w:gridCol w:w="1560"/>
      <w:gridCol w:w="7654"/>
    </w:tblGrid>
    <w:tr w:rsidR="001817CB" w14:paraId="556D3B88" w14:textId="77777777">
      <w:trPr>
        <w:trHeight w:val="1435"/>
      </w:trPr>
      <w:tc>
        <w:tcPr>
          <w:tcW w:w="1560" w:type="dxa"/>
        </w:tcPr>
        <w:p w14:paraId="1ABD3F4F" w14:textId="77777777" w:rsidR="001817CB" w:rsidRDefault="001817CB">
          <w:pPr>
            <w:tabs>
              <w:tab w:val="right" w:pos="4273"/>
            </w:tabs>
            <w:spacing w:line="256" w:lineRule="auto"/>
            <w:rPr>
              <w:rFonts w:ascii="Garamond" w:eastAsia="Garamond" w:hAnsi="Garamond" w:cs="Garamond"/>
              <w:sz w:val="22"/>
              <w:szCs w:val="22"/>
            </w:rPr>
          </w:pPr>
        </w:p>
      </w:tc>
      <w:tc>
        <w:tcPr>
          <w:tcW w:w="7654" w:type="dxa"/>
        </w:tcPr>
        <w:tbl>
          <w:tblPr>
            <w:tblW w:w="7111" w:type="dxa"/>
            <w:tblInd w:w="607" w:type="dxa"/>
            <w:tblBorders>
              <w:top w:val="nil"/>
              <w:left w:val="nil"/>
              <w:bottom w:val="nil"/>
              <w:right w:val="nil"/>
              <w:insideH w:val="nil"/>
              <w:insideV w:val="nil"/>
            </w:tblBorders>
            <w:tblLayout w:type="fixed"/>
            <w:tblLook w:val="0400" w:firstRow="0" w:lastRow="0" w:firstColumn="0" w:lastColumn="0" w:noHBand="0" w:noVBand="1"/>
          </w:tblPr>
          <w:tblGrid>
            <w:gridCol w:w="3817"/>
            <w:gridCol w:w="2835"/>
            <w:gridCol w:w="459"/>
          </w:tblGrid>
          <w:tr w:rsidR="001817CB" w14:paraId="646A8C17" w14:textId="77777777" w:rsidTr="00F616CD">
            <w:trPr>
              <w:gridAfter w:val="1"/>
              <w:wAfter w:w="459" w:type="dxa"/>
              <w:trHeight w:val="132"/>
            </w:trPr>
            <w:tc>
              <w:tcPr>
                <w:tcW w:w="3817" w:type="dxa"/>
              </w:tcPr>
              <w:p w14:paraId="6932848D" w14:textId="77777777" w:rsidR="001817CB" w:rsidRDefault="001817CB">
                <w:pPr>
                  <w:tabs>
                    <w:tab w:val="right" w:pos="8838"/>
                  </w:tabs>
                  <w:ind w:left="-69"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Recurso de Revisión:</w:t>
                </w:r>
              </w:p>
            </w:tc>
            <w:tc>
              <w:tcPr>
                <w:tcW w:w="2835" w:type="dxa"/>
              </w:tcPr>
              <w:p w14:paraId="521400AB" w14:textId="77777777" w:rsidR="001817CB" w:rsidRDefault="001817CB">
                <w:pPr>
                  <w:tabs>
                    <w:tab w:val="right" w:pos="8838"/>
                  </w:tabs>
                  <w:ind w:left="-7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014111/INFOEM/IP/RR/2025 </w:t>
                </w:r>
              </w:p>
            </w:tc>
          </w:tr>
          <w:tr w:rsidR="001817CB" w14:paraId="276F9E7A" w14:textId="77777777" w:rsidTr="00F616CD">
            <w:trPr>
              <w:gridAfter w:val="1"/>
              <w:wAfter w:w="459" w:type="dxa"/>
              <w:trHeight w:val="132"/>
            </w:trPr>
            <w:tc>
              <w:tcPr>
                <w:tcW w:w="3817" w:type="dxa"/>
              </w:tcPr>
              <w:p w14:paraId="668D44BD" w14:textId="77777777" w:rsidR="001817CB" w:rsidRDefault="001817CB">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Recurrente:</w:t>
                </w:r>
              </w:p>
            </w:tc>
            <w:tc>
              <w:tcPr>
                <w:tcW w:w="2835" w:type="dxa"/>
              </w:tcPr>
              <w:p w14:paraId="54930690" w14:textId="77777777" w:rsidR="001817CB" w:rsidRDefault="001817CB">
                <w:pPr>
                  <w:tabs>
                    <w:tab w:val="left" w:pos="3122"/>
                    <w:tab w:val="right" w:pos="8838"/>
                  </w:tabs>
                  <w:ind w:left="-74" w:right="-105"/>
                  <w:jc w:val="both"/>
                  <w:rPr>
                    <w:rFonts w:ascii="Palatino Linotype" w:eastAsia="Palatino Linotype" w:hAnsi="Palatino Linotype" w:cs="Palatino Linotype"/>
                    <w:sz w:val="22"/>
                    <w:szCs w:val="22"/>
                  </w:rPr>
                </w:pPr>
              </w:p>
            </w:tc>
          </w:tr>
          <w:tr w:rsidR="001817CB" w14:paraId="3BBC76A6" w14:textId="77777777" w:rsidTr="00F616CD">
            <w:trPr>
              <w:gridAfter w:val="1"/>
              <w:wAfter w:w="459" w:type="dxa"/>
              <w:trHeight w:val="261"/>
            </w:trPr>
            <w:tc>
              <w:tcPr>
                <w:tcW w:w="3817" w:type="dxa"/>
              </w:tcPr>
              <w:p w14:paraId="001F71D6" w14:textId="77777777" w:rsidR="001817CB" w:rsidRDefault="001817CB">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Sujeto Obligado:</w:t>
                </w:r>
              </w:p>
            </w:tc>
            <w:tc>
              <w:tcPr>
                <w:tcW w:w="2835" w:type="dxa"/>
              </w:tcPr>
              <w:p w14:paraId="515EC51B" w14:textId="77777777" w:rsidR="001817CB" w:rsidRDefault="001817CB">
                <w:pPr>
                  <w:tabs>
                    <w:tab w:val="left" w:pos="2834"/>
                    <w:tab w:val="right" w:pos="8838"/>
                  </w:tabs>
                  <w:ind w:left="-74"/>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Ayuntamiento de Toluca </w:t>
                </w:r>
              </w:p>
            </w:tc>
          </w:tr>
          <w:tr w:rsidR="001817CB" w14:paraId="052EA7DB" w14:textId="77777777" w:rsidTr="00F616CD">
            <w:trPr>
              <w:trHeight w:val="261"/>
            </w:trPr>
            <w:tc>
              <w:tcPr>
                <w:tcW w:w="3817" w:type="dxa"/>
              </w:tcPr>
              <w:p w14:paraId="48209E5D" w14:textId="77777777" w:rsidR="001817CB" w:rsidRDefault="001817CB">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Comisionado Ponente:</w:t>
                </w:r>
              </w:p>
            </w:tc>
            <w:tc>
              <w:tcPr>
                <w:tcW w:w="3294" w:type="dxa"/>
                <w:gridSpan w:val="2"/>
              </w:tcPr>
              <w:p w14:paraId="26682A62" w14:textId="77777777" w:rsidR="001817CB" w:rsidRDefault="001817CB">
                <w:pPr>
                  <w:tabs>
                    <w:tab w:val="right" w:pos="8838"/>
                  </w:tabs>
                  <w:ind w:left="-7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Luis Gustavo Parra Noriega</w:t>
                </w:r>
              </w:p>
            </w:tc>
          </w:tr>
        </w:tbl>
        <w:p w14:paraId="69EA1D26" w14:textId="77777777" w:rsidR="001817CB" w:rsidRDefault="001817CB">
          <w:pPr>
            <w:tabs>
              <w:tab w:val="right" w:pos="8838"/>
            </w:tabs>
            <w:spacing w:line="256" w:lineRule="auto"/>
            <w:ind w:left="-28"/>
            <w:jc w:val="both"/>
            <w:rPr>
              <w:rFonts w:ascii="Arial" w:eastAsia="Arial" w:hAnsi="Arial" w:cs="Arial"/>
              <w:b/>
              <w:sz w:val="22"/>
              <w:szCs w:val="22"/>
            </w:rPr>
          </w:pPr>
        </w:p>
      </w:tc>
    </w:tr>
  </w:tbl>
  <w:p w14:paraId="5A91AC7E" w14:textId="77777777" w:rsidR="001817CB" w:rsidRDefault="00000000">
    <w:pPr>
      <w:pBdr>
        <w:top w:val="nil"/>
        <w:left w:val="nil"/>
        <w:bottom w:val="nil"/>
        <w:right w:val="nil"/>
        <w:between w:val="nil"/>
      </w:pBdr>
      <w:tabs>
        <w:tab w:val="center" w:pos="4419"/>
        <w:tab w:val="right" w:pos="8838"/>
      </w:tabs>
      <w:rPr>
        <w:color w:val="000000"/>
      </w:rPr>
    </w:pPr>
    <w:r>
      <w:rPr>
        <w:rFonts w:ascii="Garamond" w:eastAsia="Garamond" w:hAnsi="Garamond" w:cs="Garamond"/>
        <w:color w:val="000000"/>
        <w:sz w:val="22"/>
        <w:szCs w:val="22"/>
      </w:rPr>
      <w:pict w14:anchorId="59F52D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margin-left:-85.8pt;margin-top:-134.85pt;width:663.5pt;height:12in;z-index:-251657728;mso-wrap-edited:f;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7F97"/>
    <w:multiLevelType w:val="hybridMultilevel"/>
    <w:tmpl w:val="CBA633F4"/>
    <w:lvl w:ilvl="0" w:tplc="71A2B792">
      <w:start w:val="2"/>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EB310C1"/>
    <w:multiLevelType w:val="multilevel"/>
    <w:tmpl w:val="EB46A3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DA203DB"/>
    <w:multiLevelType w:val="hybridMultilevel"/>
    <w:tmpl w:val="FD52FF8A"/>
    <w:lvl w:ilvl="0" w:tplc="2500E424">
      <w:start w:val="5"/>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A3745D7"/>
    <w:multiLevelType w:val="multilevel"/>
    <w:tmpl w:val="14A691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5473003"/>
    <w:multiLevelType w:val="multilevel"/>
    <w:tmpl w:val="240A1DC0"/>
    <w:lvl w:ilvl="0">
      <w:start w:val="1"/>
      <w:numFmt w:val="decimal"/>
      <w:lvlText w:val="%1."/>
      <w:lvlJc w:val="left"/>
      <w:pPr>
        <w:ind w:left="1636" w:hanging="360"/>
      </w:pPr>
      <w:rPr>
        <w:rFonts w:ascii="Times New Roman" w:hAnsi="Times New Roman" w:cs="Times New Roman" w:hint="default"/>
        <w:b w:val="0"/>
        <w:bCs/>
      </w:rPr>
    </w:lvl>
    <w:lvl w:ilvl="1">
      <w:start w:val="1"/>
      <w:numFmt w:val="lowerLetter"/>
      <w:lvlText w:val="%2."/>
      <w:lvlJc w:val="left"/>
      <w:pPr>
        <w:ind w:left="2160" w:hanging="360"/>
      </w:pPr>
      <w:rPr>
        <w:rFonts w:ascii="Times New Roman" w:hAnsi="Times New Roman" w:cs="Times New Roman" w:hint="default"/>
      </w:rPr>
    </w:lvl>
    <w:lvl w:ilvl="2">
      <w:start w:val="1"/>
      <w:numFmt w:val="lowerRoman"/>
      <w:lvlText w:val="%3."/>
      <w:lvlJc w:val="right"/>
      <w:pPr>
        <w:ind w:left="2880" w:hanging="180"/>
      </w:pPr>
      <w:rPr>
        <w:rFonts w:ascii="Times New Roman" w:hAnsi="Times New Roman" w:cs="Times New Roman" w:hint="default"/>
      </w:rPr>
    </w:lvl>
    <w:lvl w:ilvl="3">
      <w:start w:val="1"/>
      <w:numFmt w:val="decimal"/>
      <w:lvlText w:val="%4."/>
      <w:lvlJc w:val="left"/>
      <w:pPr>
        <w:ind w:left="3600" w:hanging="360"/>
      </w:pPr>
      <w:rPr>
        <w:rFonts w:ascii="Times New Roman" w:hAnsi="Times New Roman" w:cs="Times New Roman" w:hint="default"/>
      </w:rPr>
    </w:lvl>
    <w:lvl w:ilvl="4">
      <w:start w:val="1"/>
      <w:numFmt w:val="lowerLetter"/>
      <w:lvlText w:val="%5."/>
      <w:lvlJc w:val="left"/>
      <w:pPr>
        <w:ind w:left="4320" w:hanging="360"/>
      </w:pPr>
      <w:rPr>
        <w:rFonts w:ascii="Times New Roman" w:hAnsi="Times New Roman" w:cs="Times New Roman" w:hint="default"/>
      </w:rPr>
    </w:lvl>
    <w:lvl w:ilvl="5">
      <w:start w:val="1"/>
      <w:numFmt w:val="lowerRoman"/>
      <w:lvlText w:val="%6."/>
      <w:lvlJc w:val="right"/>
      <w:pPr>
        <w:ind w:left="5040" w:hanging="180"/>
      </w:pPr>
      <w:rPr>
        <w:rFonts w:ascii="Times New Roman" w:hAnsi="Times New Roman" w:cs="Times New Roman" w:hint="default"/>
      </w:rPr>
    </w:lvl>
    <w:lvl w:ilvl="6">
      <w:start w:val="1"/>
      <w:numFmt w:val="decimal"/>
      <w:lvlText w:val="%7."/>
      <w:lvlJc w:val="left"/>
      <w:pPr>
        <w:ind w:left="5760" w:hanging="360"/>
      </w:pPr>
      <w:rPr>
        <w:rFonts w:ascii="Times New Roman" w:hAnsi="Times New Roman" w:cs="Times New Roman" w:hint="default"/>
      </w:rPr>
    </w:lvl>
    <w:lvl w:ilvl="7">
      <w:start w:val="1"/>
      <w:numFmt w:val="lowerLetter"/>
      <w:lvlText w:val="%8."/>
      <w:lvlJc w:val="left"/>
      <w:pPr>
        <w:ind w:left="6480" w:hanging="360"/>
      </w:pPr>
      <w:rPr>
        <w:rFonts w:ascii="Times New Roman" w:hAnsi="Times New Roman" w:cs="Times New Roman" w:hint="default"/>
      </w:rPr>
    </w:lvl>
    <w:lvl w:ilvl="8">
      <w:start w:val="1"/>
      <w:numFmt w:val="lowerRoman"/>
      <w:lvlText w:val="%9."/>
      <w:lvlJc w:val="right"/>
      <w:pPr>
        <w:ind w:left="7200" w:hanging="180"/>
      </w:pPr>
      <w:rPr>
        <w:rFonts w:ascii="Times New Roman" w:hAnsi="Times New Roman" w:cs="Times New Roman" w:hint="default"/>
      </w:rPr>
    </w:lvl>
  </w:abstractNum>
  <w:abstractNum w:abstractNumId="5" w15:restartNumberingAfterBreak="0">
    <w:nsid w:val="45A50C2A"/>
    <w:multiLevelType w:val="hybridMultilevel"/>
    <w:tmpl w:val="B7689E60"/>
    <w:lvl w:ilvl="0" w:tplc="DE4226B0">
      <w:start w:val="7"/>
      <w:numFmt w:val="bullet"/>
      <w:lvlText w:val="-"/>
      <w:lvlJc w:val="left"/>
      <w:pPr>
        <w:ind w:left="720" w:hanging="360"/>
      </w:pPr>
      <w:rPr>
        <w:rFonts w:ascii="Palatino Linotype" w:eastAsia="Times New Roman"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64629E3"/>
    <w:multiLevelType w:val="multilevel"/>
    <w:tmpl w:val="41AA89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D5D7420"/>
    <w:multiLevelType w:val="hybridMultilevel"/>
    <w:tmpl w:val="7AC0B2E4"/>
    <w:lvl w:ilvl="0" w:tplc="71A2B792">
      <w:start w:val="2"/>
      <w:numFmt w:val="bullet"/>
      <w:lvlText w:val="-"/>
      <w:lvlJc w:val="left"/>
      <w:pPr>
        <w:ind w:left="1080" w:hanging="360"/>
      </w:pPr>
      <w:rPr>
        <w:rFonts w:ascii="Palatino Linotype" w:eastAsia="Times New Roman" w:hAnsi="Palatino Linotype" w:cs="Tahoma"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5EA3591B"/>
    <w:multiLevelType w:val="hybridMultilevel"/>
    <w:tmpl w:val="3E14F700"/>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F563743"/>
    <w:multiLevelType w:val="hybridMultilevel"/>
    <w:tmpl w:val="97E4830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11D6E64"/>
    <w:multiLevelType w:val="hybridMultilevel"/>
    <w:tmpl w:val="60FAB03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15:restartNumberingAfterBreak="0">
    <w:nsid w:val="76F14980"/>
    <w:multiLevelType w:val="multilevel"/>
    <w:tmpl w:val="FC9475D6"/>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12" w15:restartNumberingAfterBreak="0">
    <w:nsid w:val="7C9A034B"/>
    <w:multiLevelType w:val="hybridMultilevel"/>
    <w:tmpl w:val="33084262"/>
    <w:lvl w:ilvl="0" w:tplc="080A0001">
      <w:start w:val="1"/>
      <w:numFmt w:val="bullet"/>
      <w:lvlText w:val=""/>
      <w:lvlJc w:val="left"/>
      <w:pPr>
        <w:ind w:left="720"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36664382">
    <w:abstractNumId w:val="3"/>
  </w:num>
  <w:num w:numId="2" w16cid:durableId="246886847">
    <w:abstractNumId w:val="9"/>
  </w:num>
  <w:num w:numId="3" w16cid:durableId="225189126">
    <w:abstractNumId w:val="12"/>
  </w:num>
  <w:num w:numId="4" w16cid:durableId="912816639">
    <w:abstractNumId w:val="6"/>
  </w:num>
  <w:num w:numId="5" w16cid:durableId="560752651">
    <w:abstractNumId w:val="5"/>
  </w:num>
  <w:num w:numId="6" w16cid:durableId="1262950604">
    <w:abstractNumId w:val="1"/>
  </w:num>
  <w:num w:numId="7" w16cid:durableId="14115383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6689191">
    <w:abstractNumId w:val="8"/>
  </w:num>
  <w:num w:numId="9" w16cid:durableId="1997033079">
    <w:abstractNumId w:val="2"/>
  </w:num>
  <w:num w:numId="10" w16cid:durableId="1599291297">
    <w:abstractNumId w:val="0"/>
  </w:num>
  <w:num w:numId="11" w16cid:durableId="1436630233">
    <w:abstractNumId w:val="11"/>
  </w:num>
  <w:num w:numId="12" w16cid:durableId="2129004842">
    <w:abstractNumId w:val="7"/>
  </w:num>
  <w:num w:numId="13" w16cid:durableId="9748752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6CD"/>
    <w:rsid w:val="0000236F"/>
    <w:rsid w:val="00073FAC"/>
    <w:rsid w:val="000872A4"/>
    <w:rsid w:val="001817CB"/>
    <w:rsid w:val="001D79BB"/>
    <w:rsid w:val="002D3D7A"/>
    <w:rsid w:val="00385FE5"/>
    <w:rsid w:val="003E4579"/>
    <w:rsid w:val="00453D21"/>
    <w:rsid w:val="00456155"/>
    <w:rsid w:val="004971AD"/>
    <w:rsid w:val="00497B3B"/>
    <w:rsid w:val="005B642C"/>
    <w:rsid w:val="00697F04"/>
    <w:rsid w:val="008860AA"/>
    <w:rsid w:val="009F7F55"/>
    <w:rsid w:val="00AB0AA2"/>
    <w:rsid w:val="00AD0CE4"/>
    <w:rsid w:val="00B36008"/>
    <w:rsid w:val="00B40CDC"/>
    <w:rsid w:val="00B97A4F"/>
    <w:rsid w:val="00DE48AE"/>
    <w:rsid w:val="00E56052"/>
    <w:rsid w:val="00F616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AE5F4"/>
  <w15:chartTrackingRefBased/>
  <w15:docId w15:val="{1D65D52C-F6F2-4468-B2E5-D76299D21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616CD"/>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F616C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unhideWhenUsed/>
    <w:qFormat/>
    <w:rsid w:val="00F616C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616CD"/>
    <w:rPr>
      <w:rFonts w:asciiTheme="majorHAnsi" w:eastAsiaTheme="majorEastAsia" w:hAnsiTheme="majorHAnsi" w:cstheme="majorBidi"/>
      <w:color w:val="2E74B5" w:themeColor="accent1" w:themeShade="BF"/>
      <w:sz w:val="40"/>
      <w:szCs w:val="40"/>
      <w:lang w:eastAsia="es-MX"/>
    </w:rPr>
  </w:style>
  <w:style w:type="character" w:customStyle="1" w:styleId="Ttulo2Car">
    <w:name w:val="Título 2 Car"/>
    <w:basedOn w:val="Fuentedeprrafopredeter"/>
    <w:link w:val="Ttulo2"/>
    <w:uiPriority w:val="9"/>
    <w:rsid w:val="00F616CD"/>
    <w:rPr>
      <w:rFonts w:asciiTheme="majorHAnsi" w:eastAsiaTheme="majorEastAsia" w:hAnsiTheme="majorHAnsi" w:cstheme="majorBidi"/>
      <w:color w:val="2E74B5" w:themeColor="accent1" w:themeShade="BF"/>
      <w:sz w:val="32"/>
      <w:szCs w:val="32"/>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616CD"/>
    <w:pPr>
      <w:ind w:left="720"/>
      <w:contextualSpacing/>
    </w:pPr>
  </w:style>
  <w:style w:type="character" w:styleId="Hipervnculo">
    <w:name w:val="Hyperlink"/>
    <w:aliases w:val="Hipervínculo1,Hipervínculo11,Hipervínculo12,Hipervínculo13,Hipervínculo14,Hipervínculo15"/>
    <w:basedOn w:val="Fuentedeprrafopredeter"/>
    <w:uiPriority w:val="99"/>
    <w:unhideWhenUsed/>
    <w:qFormat/>
    <w:rsid w:val="00F616CD"/>
    <w:rPr>
      <w:color w:val="0563C1" w:themeColor="hyperlink"/>
      <w:u w:val="single"/>
    </w:rPr>
  </w:style>
  <w:style w:type="paragraph" w:styleId="TtuloTDC">
    <w:name w:val="TOC Heading"/>
    <w:basedOn w:val="Ttulo1"/>
    <w:next w:val="Normal"/>
    <w:uiPriority w:val="39"/>
    <w:unhideWhenUsed/>
    <w:qFormat/>
    <w:rsid w:val="00F616CD"/>
    <w:pPr>
      <w:spacing w:before="240" w:after="0"/>
      <w:outlineLvl w:val="9"/>
    </w:pPr>
    <w:rPr>
      <w:sz w:val="32"/>
      <w:szCs w:val="32"/>
    </w:rPr>
  </w:style>
  <w:style w:type="paragraph" w:styleId="TDC1">
    <w:name w:val="toc 1"/>
    <w:basedOn w:val="Normal"/>
    <w:next w:val="Normal"/>
    <w:autoRedefine/>
    <w:uiPriority w:val="39"/>
    <w:unhideWhenUsed/>
    <w:rsid w:val="00F616CD"/>
    <w:pPr>
      <w:spacing w:after="100" w:line="254" w:lineRule="auto"/>
      <w:jc w:val="both"/>
    </w:pPr>
    <w:rPr>
      <w:rFonts w:ascii="Palatino Linotype" w:eastAsia="Palatino Linotype" w:hAnsi="Palatino Linotype" w:cs="Palatino Linotype"/>
      <w:color w:val="000000" w:themeColor="text1"/>
      <w:sz w:val="22"/>
      <w:szCs w:val="22"/>
    </w:rPr>
  </w:style>
  <w:style w:type="paragraph" w:styleId="TDC2">
    <w:name w:val="toc 2"/>
    <w:basedOn w:val="Normal"/>
    <w:next w:val="Normal"/>
    <w:autoRedefine/>
    <w:uiPriority w:val="39"/>
    <w:unhideWhenUsed/>
    <w:rsid w:val="00F616CD"/>
    <w:pPr>
      <w:spacing w:after="100" w:line="254" w:lineRule="auto"/>
      <w:ind w:left="220"/>
      <w:jc w:val="both"/>
    </w:pPr>
    <w:rPr>
      <w:rFonts w:ascii="Palatino Linotype" w:eastAsia="Palatino Linotype" w:hAnsi="Palatino Linotype" w:cs="Palatino Linotype"/>
      <w:color w:val="000000" w:themeColor="text1"/>
      <w:sz w:val="22"/>
      <w:szCs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F616CD"/>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5.diputados.gob.mx/index.php/esl/Comunicacion/Agencia-de-Noticias/2020/Noviembre/06/7410-Publica-DOF-decreto-que-extingue-109-fideicomisos-entra-en-vigor-manana-sabado?ref=opinion51.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4186</Words>
  <Characters>22511</Characters>
  <Application>Microsoft Office Word</Application>
  <DocSecurity>0</DocSecurity>
  <Lines>494</Lines>
  <Paragraphs>116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INFOEM500</dc:creator>
  <cp:keywords/>
  <dc:description/>
  <cp:lastModifiedBy>Office</cp:lastModifiedBy>
  <cp:revision>2</cp:revision>
  <dcterms:created xsi:type="dcterms:W3CDTF">2026-02-27T04:02:00Z</dcterms:created>
  <dcterms:modified xsi:type="dcterms:W3CDTF">2026-02-27T04:02:00Z</dcterms:modified>
</cp:coreProperties>
</file>