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bookmarkStart w:id="0" w:name="_GoBack"/>
      <w:bookmarkEnd w:id="0"/>
      <w:r w:rsidRPr="0013549C">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13549C">
        <w:rPr>
          <w:rFonts w:ascii="Palatino Linotype" w:eastAsia="Palatino Linotype" w:hAnsi="Palatino Linotype" w:cs="Palatino Linotype"/>
          <w:b/>
          <w:color w:val="000000"/>
        </w:rPr>
        <w:t xml:space="preserve">de fecha </w:t>
      </w:r>
      <w:r w:rsidRPr="0013549C">
        <w:rPr>
          <w:rFonts w:ascii="Palatino Linotype" w:eastAsia="Palatino Linotype" w:hAnsi="Palatino Linotype" w:cs="Palatino Linotype"/>
          <w:b/>
          <w:bCs/>
          <w:color w:val="000000"/>
        </w:rPr>
        <w:t>dieciocho</w:t>
      </w:r>
      <w:r w:rsidR="0013549C" w:rsidRPr="0013549C">
        <w:rPr>
          <w:rFonts w:ascii="Palatino Linotype" w:eastAsia="Palatino Linotype" w:hAnsi="Palatino Linotype" w:cs="Palatino Linotype"/>
          <w:b/>
          <w:bCs/>
          <w:color w:val="000000"/>
        </w:rPr>
        <w:t xml:space="preserve"> (18)</w:t>
      </w:r>
      <w:r w:rsidRPr="0013549C">
        <w:rPr>
          <w:rFonts w:ascii="Palatino Linotype" w:eastAsia="Palatino Linotype" w:hAnsi="Palatino Linotype" w:cs="Palatino Linotype"/>
          <w:b/>
          <w:bCs/>
          <w:color w:val="000000"/>
        </w:rPr>
        <w:t xml:space="preserve"> de febrero de dos mil veintiséis</w:t>
      </w:r>
      <w:r w:rsidRPr="0013549C">
        <w:rPr>
          <w:rFonts w:ascii="Palatino Linotype" w:eastAsia="Palatino Linotype" w:hAnsi="Palatino Linotype" w:cs="Palatino Linotype"/>
          <w:b/>
          <w:color w:val="000000"/>
        </w:rPr>
        <w:t>.</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13549C">
        <w:rPr>
          <w:rFonts w:ascii="Palatino Linotype" w:eastAsia="Palatino Linotype" w:hAnsi="Palatino Linotype" w:cs="Palatino Linotype"/>
          <w:b/>
          <w:color w:val="000000"/>
        </w:rPr>
        <w:t>VISTO</w:t>
      </w:r>
      <w:r w:rsidRPr="0013549C">
        <w:rPr>
          <w:rFonts w:ascii="Palatino Linotype" w:eastAsia="Palatino Linotype" w:hAnsi="Palatino Linotype" w:cs="Palatino Linotype"/>
          <w:color w:val="000000"/>
        </w:rPr>
        <w:t xml:space="preserve"> el expediente electrónico formado con motivo del Recursos de Revisión </w:t>
      </w:r>
      <w:r w:rsidRPr="0013549C">
        <w:rPr>
          <w:rFonts w:ascii="Palatino Linotype" w:eastAsia="Palatino Linotype" w:hAnsi="Palatino Linotype" w:cs="Palatino Linotype"/>
          <w:b/>
          <w:bCs/>
          <w:color w:val="000000"/>
        </w:rPr>
        <w:t xml:space="preserve">11618/INFOEM/IP/RR/2025 </w:t>
      </w:r>
      <w:r w:rsidRPr="0013549C">
        <w:rPr>
          <w:rFonts w:ascii="Palatino Linotype" w:eastAsia="Palatino Linotype" w:hAnsi="Palatino Linotype" w:cs="Palatino Linotype"/>
          <w:color w:val="000000"/>
        </w:rPr>
        <w:t xml:space="preserve">promovido por </w:t>
      </w:r>
      <w:r w:rsidRPr="0013549C">
        <w:rPr>
          <w:rFonts w:ascii="Palatino Linotype" w:eastAsia="Palatino Linotype" w:hAnsi="Palatino Linotype" w:cs="Palatino Linotype"/>
          <w:b/>
          <w:bCs/>
        </w:rPr>
        <w:t>una persona que no proporciona datos de identificación</w:t>
      </w:r>
      <w:r w:rsidRPr="0013549C">
        <w:rPr>
          <w:rFonts w:ascii="Palatino Linotype" w:eastAsia="Palatino Linotype" w:hAnsi="Palatino Linotype" w:cs="Palatino Linotype"/>
          <w:color w:val="000000"/>
        </w:rPr>
        <w:t xml:space="preserve">, a través del Sistema de Acceso a la Información Mexiquense </w:t>
      </w:r>
      <w:r w:rsidRPr="0013549C">
        <w:rPr>
          <w:rFonts w:ascii="Palatino Linotype" w:eastAsia="Palatino Linotype" w:hAnsi="Palatino Linotype" w:cs="Palatino Linotype"/>
          <w:b/>
          <w:color w:val="000000"/>
        </w:rPr>
        <w:t>(SAIMEX),</w:t>
      </w:r>
      <w:r w:rsidRPr="0013549C">
        <w:rPr>
          <w:rFonts w:ascii="Palatino Linotype" w:eastAsia="Palatino Linotype" w:hAnsi="Palatino Linotype" w:cs="Palatino Linotype"/>
          <w:color w:val="000000"/>
        </w:rPr>
        <w:t xml:space="preserve"> a quien en lo sucesivo se le identificará como </w:t>
      </w:r>
      <w:r w:rsidRPr="0013549C">
        <w:rPr>
          <w:rFonts w:ascii="Palatino Linotype" w:eastAsia="Palatino Linotype" w:hAnsi="Palatino Linotype" w:cs="Palatino Linotype"/>
          <w:b/>
          <w:bCs/>
          <w:color w:val="000000"/>
        </w:rPr>
        <w:t>EL RECURRENTE</w:t>
      </w:r>
      <w:r w:rsidRPr="0013549C">
        <w:rPr>
          <w:rFonts w:ascii="Palatino Linotype" w:eastAsia="Palatino Linotype" w:hAnsi="Palatino Linotype" w:cs="Palatino Linotype"/>
          <w:color w:val="000000"/>
        </w:rPr>
        <w:t xml:space="preserve">, en contra de la respuesta del </w:t>
      </w:r>
      <w:r w:rsidRPr="0013549C">
        <w:rPr>
          <w:rFonts w:ascii="Palatino Linotype" w:eastAsia="Palatino Linotype" w:hAnsi="Palatino Linotype" w:cs="Palatino Linotype"/>
          <w:b/>
          <w:bCs/>
          <w:color w:val="000000"/>
        </w:rPr>
        <w:t>Sistema Municipal para el Desarrollo Integral de la Familia Municipio</w:t>
      </w:r>
      <w:r w:rsidR="00783387" w:rsidRPr="0013549C">
        <w:rPr>
          <w:rFonts w:ascii="Palatino Linotype" w:eastAsia="Palatino Linotype" w:hAnsi="Palatino Linotype" w:cs="Palatino Linotype"/>
          <w:b/>
          <w:bCs/>
          <w:color w:val="000000"/>
        </w:rPr>
        <w:t xml:space="preserve"> de Atenco</w:t>
      </w:r>
      <w:r w:rsidRPr="0013549C">
        <w:rPr>
          <w:rFonts w:ascii="Palatino Linotype" w:eastAsia="Palatino Linotype" w:hAnsi="Palatino Linotype" w:cs="Palatino Linotype"/>
          <w:color w:val="000000"/>
        </w:rPr>
        <w:t xml:space="preserve">, en </w:t>
      </w:r>
      <w:r w:rsidRPr="0013549C">
        <w:rPr>
          <w:rFonts w:ascii="Palatino Linotype" w:eastAsia="Palatino Linotype" w:hAnsi="Palatino Linotype" w:cs="Palatino Linotype"/>
        </w:rPr>
        <w:t>adelante</w:t>
      </w:r>
      <w:r w:rsidRPr="0013549C">
        <w:rPr>
          <w:rFonts w:ascii="Palatino Linotype" w:eastAsia="Palatino Linotype" w:hAnsi="Palatino Linotype" w:cs="Palatino Linotype"/>
          <w:color w:val="000000"/>
        </w:rPr>
        <w:t xml:space="preserve"> </w:t>
      </w:r>
      <w:r w:rsidRPr="0013549C">
        <w:rPr>
          <w:rFonts w:ascii="Palatino Linotype" w:eastAsia="Palatino Linotype" w:hAnsi="Palatino Linotype" w:cs="Palatino Linotype"/>
          <w:b/>
          <w:bCs/>
          <w:color w:val="000000"/>
        </w:rPr>
        <w:t>EL SUJETO OBLIGADO</w:t>
      </w:r>
      <w:r w:rsidRPr="0013549C">
        <w:rPr>
          <w:rFonts w:ascii="Palatino Linotype" w:eastAsia="Palatino Linotype" w:hAnsi="Palatino Linotype" w:cs="Palatino Linotype"/>
          <w:color w:val="000000"/>
        </w:rPr>
        <w:t>, se procede a dictar la presente resolución, con base en los siguientes:</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36770" w:rsidRPr="0013549C" w:rsidRDefault="00F36770" w:rsidP="00F36770">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13549C">
        <w:rPr>
          <w:rFonts w:ascii="Palatino Linotype" w:eastAsia="Palatino Linotype" w:hAnsi="Palatino Linotype" w:cs="Palatino Linotype"/>
          <w:b/>
          <w:bCs/>
          <w:color w:val="000000"/>
        </w:rPr>
        <w:t>A N T E C E D E N T E S</w:t>
      </w:r>
    </w:p>
    <w:p w:rsidR="00F36770" w:rsidRPr="0013549C" w:rsidRDefault="00F36770" w:rsidP="00F36770">
      <w:pPr>
        <w:spacing w:line="360" w:lineRule="auto"/>
        <w:ind w:right="-787"/>
        <w:rPr>
          <w:rFonts w:ascii="Palatino Linotype" w:eastAsia="Palatino Linotype" w:hAnsi="Palatino Linotype" w:cs="Palatino Linotype"/>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El </w:t>
      </w:r>
      <w:r w:rsidRPr="0013549C">
        <w:rPr>
          <w:rFonts w:ascii="Palatino Linotype" w:eastAsia="Palatino Linotype" w:hAnsi="Palatino Linotype" w:cs="Palatino Linotype"/>
          <w:b/>
          <w:bCs/>
          <w:color w:val="000000"/>
        </w:rPr>
        <w:t xml:space="preserve">once de septiembre de dos mil veinticinco, </w:t>
      </w:r>
      <w:r w:rsidRPr="0013549C">
        <w:rPr>
          <w:rFonts w:ascii="Palatino Linotype" w:eastAsia="Palatino Linotype" w:hAnsi="Palatino Linotype" w:cs="Palatino Linotype"/>
          <w:color w:val="000000"/>
        </w:rPr>
        <w:t xml:space="preserve">se presentó ante el </w:t>
      </w:r>
      <w:r w:rsidRPr="0013549C">
        <w:rPr>
          <w:rFonts w:ascii="Palatino Linotype" w:eastAsia="Palatino Linotype" w:hAnsi="Palatino Linotype" w:cs="Palatino Linotype"/>
          <w:b/>
          <w:bCs/>
          <w:color w:val="000000"/>
        </w:rPr>
        <w:t>SUJETO OBLIGADO</w:t>
      </w:r>
      <w:r w:rsidRPr="0013549C">
        <w:rPr>
          <w:rFonts w:ascii="Palatino Linotype" w:eastAsia="Palatino Linotype" w:hAnsi="Palatino Linotype" w:cs="Palatino Linotype"/>
          <w:color w:val="000000"/>
        </w:rPr>
        <w:t xml:space="preserve"> vía </w:t>
      </w:r>
      <w:r w:rsidRPr="0013549C">
        <w:rPr>
          <w:rFonts w:ascii="Palatino Linotype" w:eastAsia="Palatino Linotype" w:hAnsi="Palatino Linotype" w:cs="Palatino Linotype"/>
          <w:b/>
          <w:bCs/>
          <w:color w:val="000000"/>
        </w:rPr>
        <w:t>SAIMEX</w:t>
      </w:r>
      <w:r w:rsidRPr="0013549C">
        <w:rPr>
          <w:rFonts w:ascii="Palatino Linotype" w:eastAsia="Palatino Linotype" w:hAnsi="Palatino Linotype" w:cs="Palatino Linotype"/>
          <w:color w:val="000000"/>
        </w:rPr>
        <w:t xml:space="preserve">, la solicitud de información pública registrada con el número </w:t>
      </w:r>
      <w:r w:rsidRPr="0013549C">
        <w:rPr>
          <w:rFonts w:ascii="Palatino Linotype" w:eastAsia="Palatino Linotype" w:hAnsi="Palatino Linotype" w:cs="Palatino Linotype"/>
          <w:b/>
          <w:bCs/>
          <w:color w:val="000000"/>
        </w:rPr>
        <w:t xml:space="preserve">00022/DIFATENCO/IP/2025, </w:t>
      </w:r>
      <w:r w:rsidRPr="0013549C">
        <w:rPr>
          <w:rFonts w:ascii="Palatino Linotype" w:eastAsia="Palatino Linotype" w:hAnsi="Palatino Linotype" w:cs="Palatino Linotype"/>
        </w:rPr>
        <w:t xml:space="preserve">en la que </w:t>
      </w:r>
      <w:r w:rsidRPr="0013549C">
        <w:rPr>
          <w:rFonts w:ascii="Palatino Linotype" w:eastAsia="Palatino Linotype" w:hAnsi="Palatino Linotype" w:cs="Palatino Linotype"/>
          <w:color w:val="000000"/>
        </w:rPr>
        <w:t>se solicitó la siguiente información:</w:t>
      </w:r>
    </w:p>
    <w:p w:rsidR="00F36770" w:rsidRPr="0013549C" w:rsidRDefault="00F36770" w:rsidP="00F36770">
      <w:pPr>
        <w:ind w:right="-787"/>
        <w:jc w:val="both"/>
        <w:rPr>
          <w:rFonts w:ascii="Palatino Linotype" w:eastAsia="Palatino Linotype" w:hAnsi="Palatino Linotype" w:cs="Palatino Linotype"/>
          <w:i/>
          <w:iCs/>
        </w:rPr>
      </w:pPr>
    </w:p>
    <w:p w:rsidR="00F36770" w:rsidRPr="0013549C" w:rsidRDefault="00F36770" w:rsidP="00F36770">
      <w:pPr>
        <w:pBdr>
          <w:top w:val="nil"/>
          <w:left w:val="nil"/>
          <w:bottom w:val="nil"/>
          <w:right w:val="nil"/>
          <w:between w:val="nil"/>
        </w:pBdr>
        <w:ind w:left="1701" w:right="277"/>
        <w:jc w:val="both"/>
        <w:rPr>
          <w:rFonts w:ascii="Palatino Linotype" w:eastAsia="Palatino Linotype" w:hAnsi="Palatino Linotype" w:cs="Palatino Linotype"/>
          <w:i/>
          <w:iCs/>
          <w:color w:val="000000"/>
        </w:rPr>
      </w:pPr>
      <w:r w:rsidRPr="0013549C">
        <w:rPr>
          <w:rFonts w:ascii="Palatino Linotype" w:eastAsia="Palatino Linotype" w:hAnsi="Palatino Linotype" w:cs="Palatino Linotype"/>
          <w:i/>
          <w:iCs/>
          <w:color w:val="000000"/>
        </w:rPr>
        <w:t>“solicito la certifiicacion de competencia laboral de la los tesoreros que laboraron y laboran en el sistema municipal dif de atenco de las administraciones 2019-2021, 2022-2024 y 2025-2027.”</w:t>
      </w:r>
    </w:p>
    <w:p w:rsidR="00F36770" w:rsidRDefault="00F36770" w:rsidP="00F36770">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rsidR="0013549C" w:rsidRPr="0013549C" w:rsidRDefault="0013549C" w:rsidP="00F36770">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rsidR="00F36770" w:rsidRPr="0013549C" w:rsidRDefault="00F36770" w:rsidP="001354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b/>
          <w:bCs/>
          <w:color w:val="000000"/>
        </w:rPr>
        <w:t>Modalidad de entrega</w:t>
      </w:r>
      <w:r w:rsidRPr="0013549C">
        <w:rPr>
          <w:rFonts w:ascii="Palatino Linotype" w:eastAsia="Palatino Linotype" w:hAnsi="Palatino Linotype" w:cs="Palatino Linotype"/>
          <w:color w:val="000000"/>
        </w:rPr>
        <w:t>: Sistema de Acceso a la Información</w:t>
      </w: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El </w:t>
      </w:r>
      <w:r w:rsidRPr="0013549C">
        <w:rPr>
          <w:rFonts w:ascii="Palatino Linotype" w:eastAsia="Palatino Linotype" w:hAnsi="Palatino Linotype" w:cs="Palatino Linotype"/>
          <w:b/>
          <w:bCs/>
          <w:color w:val="000000"/>
        </w:rPr>
        <w:t xml:space="preserve">veintitrés de septiembre de dos mil veinticinco, </w:t>
      </w:r>
      <w:r w:rsidRPr="0013549C">
        <w:rPr>
          <w:rFonts w:ascii="Palatino Linotype" w:eastAsia="Palatino Linotype" w:hAnsi="Palatino Linotype" w:cs="Palatino Linotype"/>
          <w:color w:val="000000"/>
        </w:rPr>
        <w:t xml:space="preserve">el </w:t>
      </w:r>
      <w:r w:rsidRPr="0013549C">
        <w:rPr>
          <w:rFonts w:ascii="Palatino Linotype" w:eastAsia="Palatino Linotype" w:hAnsi="Palatino Linotype" w:cs="Palatino Linotype"/>
          <w:b/>
          <w:bCs/>
          <w:color w:val="000000"/>
        </w:rPr>
        <w:t xml:space="preserve">SUJETO OBLIGADO </w:t>
      </w:r>
      <w:r w:rsidRPr="0013549C">
        <w:rPr>
          <w:rFonts w:ascii="Palatino Linotype" w:eastAsia="Palatino Linotype" w:hAnsi="Palatino Linotype" w:cs="Palatino Linotype"/>
        </w:rPr>
        <w:t xml:space="preserve">realizó los </w:t>
      </w:r>
      <w:r w:rsidRPr="0013549C">
        <w:rPr>
          <w:rFonts w:ascii="Palatino Linotype" w:eastAsia="Palatino Linotype" w:hAnsi="Palatino Linotype" w:cs="Palatino Linotype"/>
          <w:color w:val="000000"/>
        </w:rPr>
        <w:t xml:space="preserve"> requerimientos para que fuera atendida la solicitud de información </w:t>
      </w:r>
      <w:r w:rsidRPr="0013549C">
        <w:rPr>
          <w:rFonts w:ascii="Palatino Linotype" w:eastAsia="Palatino Linotype" w:hAnsi="Palatino Linotype" w:cs="Palatino Linotype"/>
          <w:b/>
          <w:bCs/>
          <w:color w:val="000000"/>
        </w:rPr>
        <w:t xml:space="preserve">00022/DIFATENCO/IP/2025. </w:t>
      </w:r>
    </w:p>
    <w:p w:rsidR="00F36770" w:rsidRPr="0013549C" w:rsidRDefault="00F36770" w:rsidP="00F36770">
      <w:pPr>
        <w:pBdr>
          <w:top w:val="nil"/>
          <w:left w:val="nil"/>
          <w:bottom w:val="nil"/>
          <w:right w:val="nil"/>
          <w:between w:val="nil"/>
        </w:pBdr>
        <w:ind w:right="277"/>
        <w:jc w:val="both"/>
        <w:rPr>
          <w:rFonts w:ascii="Palatino Linotype" w:eastAsia="Palatino Linotype" w:hAnsi="Palatino Linotype" w:cs="Palatino Linotype"/>
          <w:i/>
          <w:iCs/>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Seguidamente el </w:t>
      </w:r>
      <w:r w:rsidRPr="0013549C">
        <w:rPr>
          <w:rFonts w:ascii="Palatino Linotype" w:eastAsia="Palatino Linotype" w:hAnsi="Palatino Linotype" w:cs="Palatino Linotype"/>
          <w:b/>
          <w:bCs/>
          <w:color w:val="000000"/>
        </w:rPr>
        <w:t xml:space="preserve">seis de octubre de dos mil veinticinco, </w:t>
      </w:r>
      <w:r w:rsidRPr="0013549C">
        <w:rPr>
          <w:rFonts w:ascii="Palatino Linotype" w:eastAsia="Palatino Linotype" w:hAnsi="Palatino Linotype" w:cs="Palatino Linotype"/>
          <w:color w:val="000000"/>
        </w:rPr>
        <w:t xml:space="preserve">el </w:t>
      </w:r>
      <w:r w:rsidRPr="0013549C">
        <w:rPr>
          <w:rFonts w:ascii="Palatino Linotype" w:eastAsia="Palatino Linotype" w:hAnsi="Palatino Linotype" w:cs="Palatino Linotype"/>
          <w:b/>
          <w:bCs/>
          <w:color w:val="000000"/>
        </w:rPr>
        <w:t xml:space="preserve">SUJETO OBLIGADO </w:t>
      </w:r>
      <w:r w:rsidRPr="0013549C">
        <w:rPr>
          <w:rFonts w:ascii="Palatino Linotype" w:eastAsia="Palatino Linotype" w:hAnsi="Palatino Linotype" w:cs="Palatino Linotype"/>
          <w:color w:val="000000"/>
        </w:rPr>
        <w:t xml:space="preserve">respondió mediante un archivo electrónico en formato pdf, cuyo contenido grosso modo es el siguiente. </w:t>
      </w:r>
    </w:p>
    <w:p w:rsidR="00F36770" w:rsidRPr="0013549C" w:rsidRDefault="00F36770" w:rsidP="004906E7">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b/>
          <w:i/>
          <w:color w:val="000000"/>
        </w:rPr>
        <w:t xml:space="preserve">a.pdf: </w:t>
      </w:r>
      <w:r w:rsidRPr="0013549C">
        <w:rPr>
          <w:rFonts w:ascii="Palatino Linotype" w:eastAsia="Palatino Linotype" w:hAnsi="Palatino Linotype" w:cs="Palatino Linotype"/>
          <w:i/>
          <w:color w:val="000000"/>
        </w:rPr>
        <w:t>documento que contiene el oficio de la Coordinadora de Recursos Humanos y Control Patrimonial, mediante el cual informa que en sus archivos no se localizó información de certificaciones del periodo 2019 -2021</w:t>
      </w:r>
      <w:r w:rsidR="00770B54" w:rsidRPr="0013549C">
        <w:rPr>
          <w:rFonts w:ascii="Palatino Linotype" w:eastAsia="Palatino Linotype" w:hAnsi="Palatino Linotype" w:cs="Palatino Linotype"/>
          <w:i/>
          <w:color w:val="000000"/>
        </w:rPr>
        <w:t xml:space="preserve">. </w:t>
      </w:r>
    </w:p>
    <w:p w:rsidR="00770B54" w:rsidRPr="0013549C" w:rsidRDefault="00770B54" w:rsidP="004906E7">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En respuesta refiere que solo cuentan con los certificados de competencia laboral del periodo 2022-2024 y de la actual administración.</w:t>
      </w:r>
    </w:p>
    <w:p w:rsidR="00770B54" w:rsidRPr="0013549C" w:rsidRDefault="00770B54" w:rsidP="004906E7">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El documento contiene un oficio del Instituto Hacendario del Estado de México, mediante el cual se hace constar que el certificado “Administrar la Tesorería Municipal, tiene validez hasta el 17 de febrero de dos mil veintiséis. </w:t>
      </w:r>
    </w:p>
    <w:p w:rsidR="00770B54" w:rsidRPr="0013549C" w:rsidRDefault="00770B54" w:rsidP="004906E7">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Finalmente el documento contiene el nombramiento de la Tesorera del 2022-2024. </w:t>
      </w:r>
    </w:p>
    <w:p w:rsidR="00770B54" w:rsidRPr="0013549C" w:rsidRDefault="00770B54" w:rsidP="00F36770">
      <w:pPr>
        <w:pBdr>
          <w:top w:val="nil"/>
          <w:left w:val="nil"/>
          <w:bottom w:val="nil"/>
          <w:right w:val="nil"/>
          <w:between w:val="nil"/>
        </w:pBdr>
        <w:ind w:left="1134" w:right="277"/>
        <w:rPr>
          <w:rFonts w:ascii="Palatino Linotype" w:eastAsia="Palatino Linotype" w:hAnsi="Palatino Linotype" w:cs="Palatino Linotype"/>
          <w:i/>
          <w:color w:val="000000"/>
        </w:rPr>
      </w:pPr>
    </w:p>
    <w:p w:rsidR="00F36770"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la respuesta proporcionada el entonces </w:t>
      </w:r>
      <w:r w:rsidRPr="0013549C">
        <w:rPr>
          <w:rFonts w:ascii="Palatino Linotype" w:eastAsia="Palatino Linotype" w:hAnsi="Palatino Linotype" w:cs="Palatino Linotype"/>
          <w:b/>
          <w:bCs/>
          <w:color w:val="000000"/>
        </w:rPr>
        <w:t xml:space="preserve">SOLICITANTE </w:t>
      </w:r>
      <w:r w:rsidRPr="0013549C">
        <w:rPr>
          <w:rFonts w:ascii="Palatino Linotype" w:eastAsia="Palatino Linotype" w:hAnsi="Palatino Linotype" w:cs="Palatino Linotype"/>
          <w:color w:val="000000"/>
        </w:rPr>
        <w:t xml:space="preserve">interpuso el recurso de revisión el </w:t>
      </w:r>
      <w:r w:rsidR="00113841" w:rsidRPr="0013549C">
        <w:rPr>
          <w:rFonts w:ascii="Palatino Linotype" w:eastAsia="Palatino Linotype" w:hAnsi="Palatino Linotype" w:cs="Palatino Linotype"/>
          <w:b/>
          <w:bCs/>
          <w:color w:val="000000"/>
        </w:rPr>
        <w:t xml:space="preserve">siete de octubre </w:t>
      </w:r>
      <w:r w:rsidRPr="0013549C">
        <w:rPr>
          <w:rFonts w:ascii="Palatino Linotype" w:eastAsia="Palatino Linotype" w:hAnsi="Palatino Linotype" w:cs="Palatino Linotype"/>
          <w:b/>
          <w:bCs/>
          <w:color w:val="000000"/>
        </w:rPr>
        <w:t>de dos mil veinticinco</w:t>
      </w:r>
      <w:r w:rsidRPr="0013549C">
        <w:rPr>
          <w:rFonts w:ascii="Palatino Linotype" w:eastAsia="Palatino Linotype" w:hAnsi="Palatino Linotype" w:cs="Palatino Linotype"/>
          <w:color w:val="000000"/>
        </w:rPr>
        <w:t>, señalando las siguientes razones o motivos de inconformidad:</w:t>
      </w:r>
    </w:p>
    <w:p w:rsidR="0013549C" w:rsidRPr="0013549C" w:rsidRDefault="0013549C" w:rsidP="0013549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36770" w:rsidRPr="0013549C" w:rsidRDefault="0013549C" w:rsidP="0013549C">
      <w:pPr>
        <w:numPr>
          <w:ilvl w:val="0"/>
          <w:numId w:val="8"/>
        </w:numPr>
        <w:pBdr>
          <w:top w:val="nil"/>
          <w:left w:val="nil"/>
          <w:bottom w:val="nil"/>
          <w:right w:val="nil"/>
          <w:between w:val="nil"/>
        </w:pBdr>
        <w:ind w:left="0" w:right="277" w:firstLine="0"/>
        <w:jc w:val="both"/>
        <w:rPr>
          <w:rFonts w:ascii="Palatino Linotype" w:eastAsia="Palatino Linotype" w:hAnsi="Palatino Linotype" w:cs="Palatino Linotype"/>
          <w:color w:val="000000"/>
        </w:rPr>
      </w:pPr>
      <w:bookmarkStart w:id="2" w:name="_heading=h.1fob9te" w:colFirst="0" w:colLast="0"/>
      <w:bookmarkEnd w:id="2"/>
      <w:r w:rsidRPr="0013549C">
        <w:rPr>
          <w:rFonts w:ascii="Palatino Linotype" w:eastAsia="Palatino Linotype" w:hAnsi="Palatino Linotype" w:cs="Palatino Linotype"/>
          <w:b/>
          <w:bCs/>
          <w:color w:val="000000"/>
        </w:rPr>
        <w:t>ACTO IMPUGNADO</w:t>
      </w:r>
      <w:r w:rsidR="00F36770" w:rsidRPr="0013549C">
        <w:rPr>
          <w:rFonts w:ascii="Palatino Linotype" w:eastAsia="Palatino Linotype" w:hAnsi="Palatino Linotype" w:cs="Palatino Linotype"/>
          <w:b/>
          <w:bCs/>
          <w:color w:val="000000"/>
        </w:rPr>
        <w:t xml:space="preserve">: </w:t>
      </w:r>
      <w:r w:rsidR="00F36770" w:rsidRPr="0013549C">
        <w:rPr>
          <w:rFonts w:ascii="Palatino Linotype" w:eastAsia="Palatino Linotype" w:hAnsi="Palatino Linotype" w:cs="Palatino Linotype"/>
          <w:i/>
          <w:iCs/>
          <w:color w:val="000000"/>
        </w:rPr>
        <w:t>“</w:t>
      </w:r>
      <w:r w:rsidR="00113841" w:rsidRPr="0013549C">
        <w:rPr>
          <w:rFonts w:ascii="Palatino Linotype" w:eastAsia="Palatino Linotype" w:hAnsi="Palatino Linotype" w:cs="Palatino Linotype"/>
          <w:i/>
          <w:iCs/>
          <w:color w:val="000000"/>
        </w:rPr>
        <w:t>no entregan la informacion solicitada</w:t>
      </w:r>
      <w:r w:rsidR="00F36770" w:rsidRPr="0013549C">
        <w:rPr>
          <w:rFonts w:ascii="Palatino Linotype" w:eastAsia="Palatino Linotype" w:hAnsi="Palatino Linotype" w:cs="Palatino Linotype"/>
          <w:i/>
          <w:iCs/>
          <w:color w:val="000000"/>
        </w:rPr>
        <w:t>.”</w:t>
      </w:r>
    </w:p>
    <w:p w:rsidR="00F36770" w:rsidRPr="0013549C" w:rsidRDefault="00F36770" w:rsidP="0013549C">
      <w:pPr>
        <w:pBdr>
          <w:top w:val="nil"/>
          <w:left w:val="nil"/>
          <w:bottom w:val="nil"/>
          <w:right w:val="nil"/>
          <w:between w:val="nil"/>
        </w:pBdr>
        <w:ind w:right="277"/>
        <w:jc w:val="both"/>
        <w:rPr>
          <w:rFonts w:ascii="Palatino Linotype" w:eastAsia="Palatino Linotype" w:hAnsi="Palatino Linotype" w:cs="Palatino Linotype"/>
          <w:color w:val="000000"/>
        </w:rPr>
      </w:pPr>
    </w:p>
    <w:p w:rsidR="00F36770" w:rsidRPr="0013549C" w:rsidRDefault="0013549C" w:rsidP="0013549C">
      <w:pPr>
        <w:numPr>
          <w:ilvl w:val="0"/>
          <w:numId w:val="8"/>
        </w:numPr>
        <w:pBdr>
          <w:top w:val="nil"/>
          <w:left w:val="nil"/>
          <w:bottom w:val="nil"/>
          <w:right w:val="nil"/>
          <w:between w:val="nil"/>
        </w:pBdr>
        <w:ind w:left="0" w:right="277" w:firstLine="0"/>
        <w:jc w:val="both"/>
        <w:rPr>
          <w:rFonts w:ascii="Palatino Linotype" w:eastAsia="Palatino Linotype" w:hAnsi="Palatino Linotype" w:cs="Palatino Linotype"/>
          <w:color w:val="000000"/>
        </w:rPr>
      </w:pPr>
      <w:bookmarkStart w:id="3" w:name="_heading=h.3znysh7" w:colFirst="0" w:colLast="0"/>
      <w:bookmarkEnd w:id="3"/>
      <w:r w:rsidRPr="0013549C">
        <w:rPr>
          <w:rFonts w:ascii="Palatino Linotype" w:eastAsia="Palatino Linotype" w:hAnsi="Palatino Linotype" w:cs="Palatino Linotype"/>
          <w:b/>
          <w:bCs/>
          <w:color w:val="000000"/>
        </w:rPr>
        <w:t>RAZONES O MOTIVOS DE INCONFORMIDAD</w:t>
      </w:r>
      <w:r w:rsidR="00F36770" w:rsidRPr="0013549C">
        <w:rPr>
          <w:rFonts w:ascii="Palatino Linotype" w:eastAsia="Palatino Linotype" w:hAnsi="Palatino Linotype" w:cs="Palatino Linotype"/>
          <w:b/>
          <w:bCs/>
          <w:color w:val="000000"/>
        </w:rPr>
        <w:t xml:space="preserve">: </w:t>
      </w:r>
      <w:r w:rsidR="00F36770" w:rsidRPr="0013549C">
        <w:rPr>
          <w:rFonts w:ascii="Palatino Linotype" w:eastAsia="Palatino Linotype" w:hAnsi="Palatino Linotype" w:cs="Palatino Linotype"/>
          <w:i/>
          <w:iCs/>
          <w:color w:val="000000"/>
        </w:rPr>
        <w:t>“</w:t>
      </w:r>
      <w:r w:rsidR="00113841" w:rsidRPr="0013549C">
        <w:rPr>
          <w:rFonts w:ascii="Palatino Linotype" w:eastAsia="Palatino Linotype" w:hAnsi="Palatino Linotype" w:cs="Palatino Linotype"/>
          <w:i/>
          <w:iCs/>
          <w:color w:val="000000"/>
        </w:rPr>
        <w:t>no entregan la informacion solicitada</w:t>
      </w:r>
      <w:r w:rsidR="00F36770" w:rsidRPr="0013549C">
        <w:rPr>
          <w:rFonts w:ascii="Palatino Linotype" w:eastAsia="Palatino Linotype" w:hAnsi="Palatino Linotype" w:cs="Palatino Linotype"/>
          <w:i/>
          <w:iCs/>
          <w:color w:val="000000"/>
        </w:rPr>
        <w:t>.”</w:t>
      </w:r>
    </w:p>
    <w:p w:rsidR="00F36770" w:rsidRDefault="00F36770" w:rsidP="0013549C">
      <w:pPr>
        <w:ind w:right="-787"/>
        <w:jc w:val="both"/>
        <w:rPr>
          <w:rFonts w:ascii="Palatino Linotype" w:eastAsia="Palatino Linotype" w:hAnsi="Palatino Linotype" w:cs="Palatino Linotype"/>
          <w:b/>
          <w:bCs/>
          <w:i/>
          <w:iCs/>
          <w:color w:val="000000"/>
        </w:rPr>
      </w:pPr>
    </w:p>
    <w:p w:rsidR="0013549C" w:rsidRPr="0013549C" w:rsidRDefault="0013549C" w:rsidP="0013549C">
      <w:pPr>
        <w:ind w:right="-787"/>
        <w:jc w:val="both"/>
        <w:rPr>
          <w:rFonts w:ascii="Palatino Linotype" w:eastAsia="Palatino Linotype" w:hAnsi="Palatino Linotype" w:cs="Palatino Linotype"/>
          <w:b/>
          <w:bCs/>
          <w:i/>
          <w:iCs/>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Consecutivamente</w:t>
      </w:r>
      <w:r w:rsidRPr="0013549C">
        <w:rPr>
          <w:rFonts w:ascii="Palatino Linotype" w:eastAsia="Palatino Linotype" w:hAnsi="Palatino Linotype" w:cs="Palatino Linotype"/>
          <w:i/>
          <w:iCs/>
          <w:color w:val="000000"/>
        </w:rPr>
        <w:t xml:space="preserve">, </w:t>
      </w:r>
      <w:r w:rsidRPr="0013549C">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13549C">
        <w:rPr>
          <w:rFonts w:ascii="Palatino Linotype" w:eastAsia="Palatino Linotype" w:hAnsi="Palatino Linotype" w:cs="Palatino Linotype"/>
          <w:b/>
          <w:bCs/>
          <w:color w:val="000000"/>
        </w:rPr>
        <w:t>Comisionada</w:t>
      </w:r>
      <w:r w:rsidRPr="0013549C">
        <w:rPr>
          <w:rFonts w:ascii="Palatino Linotype" w:eastAsia="Palatino Linotype" w:hAnsi="Palatino Linotype" w:cs="Palatino Linotype"/>
          <w:color w:val="000000"/>
        </w:rPr>
        <w:t xml:space="preserve"> </w:t>
      </w:r>
      <w:r w:rsidRPr="0013549C">
        <w:rPr>
          <w:rFonts w:ascii="Palatino Linotype" w:eastAsia="Palatino Linotype" w:hAnsi="Palatino Linotype" w:cs="Palatino Linotype"/>
          <w:b/>
          <w:bCs/>
          <w:color w:val="000000"/>
        </w:rPr>
        <w:t>María del Rosario Mejía Ayala</w:t>
      </w:r>
      <w:r w:rsidRPr="0013549C">
        <w:rPr>
          <w:rFonts w:ascii="Palatino Linotype" w:eastAsia="Palatino Linotype" w:hAnsi="Palatino Linotype" w:cs="Palatino Linotype"/>
          <w:color w:val="000000"/>
        </w:rPr>
        <w:t>,</w:t>
      </w:r>
      <w:r w:rsidR="00C815A9">
        <w:rPr>
          <w:rFonts w:ascii="Palatino Linotype" w:eastAsia="Palatino Linotype" w:hAnsi="Palatino Linotype" w:cs="Palatino Linotype"/>
          <w:b/>
          <w:bCs/>
          <w:color w:val="000000"/>
        </w:rPr>
        <w:t xml:space="preserve"> para</w:t>
      </w:r>
      <w:r w:rsidRPr="0013549C">
        <w:rPr>
          <w:rFonts w:ascii="Palatino Linotype" w:eastAsia="Palatino Linotype" w:hAnsi="Palatino Linotype" w:cs="Palatino Linotype"/>
          <w:color w:val="000000"/>
        </w:rPr>
        <w:t xml:space="preserve"> su análisis.</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36770" w:rsidRPr="0013549C" w:rsidRDefault="0013549C"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F36770" w:rsidRPr="0013549C">
        <w:rPr>
          <w:rFonts w:ascii="Palatino Linotype" w:eastAsia="Palatino Linotype" w:hAnsi="Palatino Linotype" w:cs="Palatino Linotype"/>
          <w:color w:val="000000"/>
        </w:rPr>
        <w:t xml:space="preserve">onente con fundamento en lo dispuesto por el artículo 185 fracción II de la ley de la materia, a través del </w:t>
      </w:r>
      <w:r w:rsidR="00F36770" w:rsidRPr="0013549C">
        <w:rPr>
          <w:rFonts w:ascii="Palatino Linotype" w:eastAsia="Palatino Linotype" w:hAnsi="Palatino Linotype" w:cs="Palatino Linotype"/>
          <w:b/>
          <w:bCs/>
          <w:color w:val="000000"/>
        </w:rPr>
        <w:t xml:space="preserve">acuerdo de admisión </w:t>
      </w:r>
      <w:r w:rsidR="00F36770" w:rsidRPr="0013549C">
        <w:rPr>
          <w:rFonts w:ascii="Palatino Linotype" w:eastAsia="Palatino Linotype" w:hAnsi="Palatino Linotype" w:cs="Palatino Linotype"/>
          <w:color w:val="000000"/>
        </w:rPr>
        <w:t xml:space="preserve">del </w:t>
      </w:r>
      <w:r w:rsidR="00113841" w:rsidRPr="0013549C">
        <w:rPr>
          <w:rFonts w:ascii="Palatino Linotype" w:eastAsia="Palatino Linotype" w:hAnsi="Palatino Linotype" w:cs="Palatino Linotype"/>
          <w:b/>
          <w:bCs/>
          <w:color w:val="000000"/>
        </w:rPr>
        <w:t xml:space="preserve">trece de octubre </w:t>
      </w:r>
      <w:r w:rsidR="00F36770" w:rsidRPr="0013549C">
        <w:rPr>
          <w:rFonts w:ascii="Palatino Linotype" w:eastAsia="Palatino Linotype" w:hAnsi="Palatino Linotype" w:cs="Palatino Linotype"/>
          <w:b/>
          <w:bCs/>
          <w:color w:val="000000"/>
        </w:rPr>
        <w:t xml:space="preserve">de dos mil veinticinco, </w:t>
      </w:r>
      <w:r w:rsidR="00F36770" w:rsidRPr="0013549C">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F36770" w:rsidRPr="0013549C">
        <w:rPr>
          <w:rFonts w:ascii="Palatino Linotype" w:eastAsia="Palatino Linotype" w:hAnsi="Palatino Linotype" w:cs="Palatino Linotype"/>
        </w:rPr>
        <w:t>manifestara</w:t>
      </w:r>
      <w:r w:rsidR="00F36770" w:rsidRPr="0013549C">
        <w:rPr>
          <w:rFonts w:ascii="Palatino Linotype" w:eastAsia="Palatino Linotype" w:hAnsi="Palatino Linotype" w:cs="Palatino Linotype"/>
          <w:color w:val="000000"/>
        </w:rPr>
        <w:t xml:space="preserve"> lo que a su derecho conviniera, </w:t>
      </w:r>
      <w:r w:rsidR="00F36770" w:rsidRPr="0013549C">
        <w:rPr>
          <w:rFonts w:ascii="Palatino Linotype" w:eastAsia="Palatino Linotype" w:hAnsi="Palatino Linotype" w:cs="Palatino Linotype"/>
        </w:rPr>
        <w:t>ofreciera</w:t>
      </w:r>
      <w:r w:rsidR="00F36770" w:rsidRPr="0013549C">
        <w:rPr>
          <w:rFonts w:ascii="Palatino Linotype" w:eastAsia="Palatino Linotype" w:hAnsi="Palatino Linotype" w:cs="Palatino Linotype"/>
          <w:color w:val="000000"/>
        </w:rPr>
        <w:t xml:space="preserve"> pruebas y alegatos según corresponda al caso concreto, de esta forma para que el </w:t>
      </w:r>
      <w:r w:rsidR="00F36770" w:rsidRPr="0013549C">
        <w:rPr>
          <w:rFonts w:ascii="Palatino Linotype" w:eastAsia="Palatino Linotype" w:hAnsi="Palatino Linotype" w:cs="Palatino Linotype"/>
          <w:b/>
          <w:bCs/>
          <w:color w:val="000000"/>
        </w:rPr>
        <w:t xml:space="preserve">SUJETO OBLIGADO </w:t>
      </w:r>
      <w:r w:rsidR="00F36770" w:rsidRPr="0013549C">
        <w:rPr>
          <w:rFonts w:ascii="Palatino Linotype" w:eastAsia="Palatino Linotype" w:hAnsi="Palatino Linotype" w:cs="Palatino Linotype"/>
        </w:rPr>
        <w:t>presentará</w:t>
      </w:r>
      <w:r w:rsidR="00F36770" w:rsidRPr="0013549C">
        <w:rPr>
          <w:rFonts w:ascii="Palatino Linotype" w:eastAsia="Palatino Linotype" w:hAnsi="Palatino Linotype" w:cs="Palatino Linotype"/>
          <w:color w:val="000000"/>
        </w:rPr>
        <w:t xml:space="preserve"> el Informe Justificado procedente.</w:t>
      </w:r>
    </w:p>
    <w:p w:rsidR="00F36770" w:rsidRPr="0013549C" w:rsidRDefault="00F36770" w:rsidP="00F36770">
      <w:pPr>
        <w:pBdr>
          <w:top w:val="nil"/>
          <w:left w:val="nil"/>
          <w:bottom w:val="nil"/>
          <w:right w:val="nil"/>
          <w:between w:val="nil"/>
        </w:pBdr>
        <w:ind w:left="708" w:right="-787"/>
        <w:rPr>
          <w:rFonts w:ascii="Palatino Linotype" w:eastAsia="Palatino Linotype" w:hAnsi="Palatino Linotype" w:cs="Palatino Linotype"/>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En esa línea, tal y como se observa en el expediente electrónico </w:t>
      </w:r>
      <w:r w:rsidRPr="0013549C">
        <w:rPr>
          <w:rFonts w:ascii="Palatino Linotype" w:eastAsia="Palatino Linotype" w:hAnsi="Palatino Linotype" w:cs="Palatino Linotype"/>
          <w:b/>
          <w:bCs/>
          <w:color w:val="000000"/>
        </w:rPr>
        <w:t xml:space="preserve">SUJETO OBLIGADO </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sidRPr="0013549C">
        <w:rPr>
          <w:rFonts w:ascii="Palatino Linotype" w:eastAsia="Palatino Linotype" w:hAnsi="Palatino Linotype" w:cs="Palatino Linotype"/>
          <w:color w:val="000000"/>
        </w:rPr>
        <w:t xml:space="preserve">Y el </w:t>
      </w:r>
      <w:r w:rsidRPr="0013549C">
        <w:rPr>
          <w:rFonts w:ascii="Palatino Linotype" w:eastAsia="Palatino Linotype" w:hAnsi="Palatino Linotype" w:cs="Palatino Linotype"/>
          <w:b/>
          <w:bCs/>
          <w:color w:val="000000"/>
        </w:rPr>
        <w:t xml:space="preserve">RECURRENTE </w:t>
      </w:r>
      <w:r w:rsidRPr="0013549C">
        <w:rPr>
          <w:rFonts w:ascii="Palatino Linotype" w:eastAsia="Palatino Linotype" w:hAnsi="Palatino Linotype" w:cs="Palatino Linotype"/>
        </w:rPr>
        <w:t>dejó de realizar manifestaciones</w:t>
      </w:r>
      <w:r w:rsidRPr="0013549C">
        <w:rPr>
          <w:rFonts w:ascii="Palatino Linotype" w:eastAsia="Palatino Linotype" w:hAnsi="Palatino Linotype" w:cs="Palatino Linotype"/>
          <w:color w:val="000000"/>
        </w:rPr>
        <w:t xml:space="preserve"> que a su derecho conviniera y asistiera, respectivamente.  </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13549C">
        <w:rPr>
          <w:rFonts w:ascii="Palatino Linotype" w:eastAsia="Palatino Linotype" w:hAnsi="Palatino Linotype" w:cs="Palatino Linotype"/>
          <w:color w:val="000000"/>
        </w:rPr>
        <w:t xml:space="preserve">El </w:t>
      </w:r>
      <w:r w:rsidR="00113841" w:rsidRPr="0013549C">
        <w:rPr>
          <w:rFonts w:ascii="Palatino Linotype" w:eastAsia="Palatino Linotype" w:hAnsi="Palatino Linotype" w:cs="Palatino Linotype"/>
          <w:b/>
          <w:bCs/>
          <w:color w:val="000000"/>
        </w:rPr>
        <w:t xml:space="preserve">doce de febrero </w:t>
      </w:r>
      <w:r w:rsidRPr="0013549C">
        <w:rPr>
          <w:rFonts w:ascii="Palatino Linotype" w:eastAsia="Palatino Linotype" w:hAnsi="Palatino Linotype" w:cs="Palatino Linotype"/>
          <w:b/>
          <w:bCs/>
          <w:color w:val="000000"/>
        </w:rPr>
        <w:t xml:space="preserve"> de dos mil veintiséis</w:t>
      </w:r>
      <w:r w:rsidRPr="0013549C">
        <w:rPr>
          <w:rFonts w:ascii="Palatino Linotype" w:eastAsia="Palatino Linotype" w:hAnsi="Palatino Linotype" w:cs="Palatino Linotype"/>
          <w:color w:val="000000"/>
        </w:rPr>
        <w:t xml:space="preserve">, la Comisionada Ponente notificó el </w:t>
      </w:r>
      <w:r w:rsidRPr="0013549C">
        <w:rPr>
          <w:rFonts w:ascii="Palatino Linotype" w:eastAsia="Palatino Linotype" w:hAnsi="Palatino Linotype" w:cs="Palatino Linotype"/>
          <w:b/>
          <w:bCs/>
          <w:color w:val="000000"/>
        </w:rPr>
        <w:t>acuerdo de ampliación</w:t>
      </w:r>
      <w:r w:rsidRPr="0013549C">
        <w:rPr>
          <w:rFonts w:ascii="Palatino Linotype" w:eastAsia="Palatino Linotype" w:hAnsi="Palatino Linotype" w:cs="Palatino Linotype"/>
          <w:color w:val="000000"/>
        </w:rPr>
        <w:t xml:space="preserve"> de plazo para emitir resolución</w:t>
      </w:r>
      <w:r w:rsidR="0013549C">
        <w:rPr>
          <w:rFonts w:ascii="Palatino Linotype" w:eastAsia="Palatino Linotype" w:hAnsi="Palatino Linotype" w:cs="Palatino Linotype"/>
          <w:color w:val="000000"/>
        </w:rPr>
        <w:t>.</w:t>
      </w:r>
    </w:p>
    <w:p w:rsidR="0013549C" w:rsidRPr="0013549C" w:rsidRDefault="0013549C" w:rsidP="0013549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F36770" w:rsidRPr="0013549C" w:rsidRDefault="0013549C"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4" w:name="_heading=h.2et92p0" w:colFirst="0" w:colLast="0"/>
      <w:bookmarkEnd w:id="4"/>
      <w:r>
        <w:rPr>
          <w:rFonts w:ascii="Palatino Linotype" w:eastAsia="Palatino Linotype" w:hAnsi="Palatino Linotype" w:cs="Palatino Linotype"/>
          <w:color w:val="000000"/>
        </w:rPr>
        <w:t>Finalmente, la Comisionada p</w:t>
      </w:r>
      <w:r w:rsidR="00F36770" w:rsidRPr="0013549C">
        <w:rPr>
          <w:rFonts w:ascii="Palatino Linotype" w:eastAsia="Palatino Linotype" w:hAnsi="Palatino Linotype" w:cs="Palatino Linotype"/>
          <w:color w:val="000000"/>
        </w:rPr>
        <w:t>onente mediante acuerdo de fecha</w:t>
      </w:r>
      <w:r w:rsidR="00F36770" w:rsidRPr="0013549C">
        <w:rPr>
          <w:rFonts w:ascii="Palatino Linotype" w:eastAsia="Palatino Linotype" w:hAnsi="Palatino Linotype" w:cs="Palatino Linotype"/>
          <w:b/>
          <w:bCs/>
          <w:color w:val="000000"/>
        </w:rPr>
        <w:t xml:space="preserve"> </w:t>
      </w:r>
      <w:r w:rsidR="00F36770" w:rsidRPr="0013549C">
        <w:rPr>
          <w:rFonts w:ascii="Palatino Linotype" w:eastAsia="Palatino Linotype" w:hAnsi="Palatino Linotype" w:cs="Palatino Linotype"/>
          <w:b/>
          <w:bCs/>
          <w:color w:val="000000"/>
          <w:highlight w:val="white"/>
        </w:rPr>
        <w:t xml:space="preserve"> </w:t>
      </w:r>
      <w:r w:rsidR="00113841" w:rsidRPr="0013549C">
        <w:rPr>
          <w:rFonts w:ascii="Palatino Linotype" w:eastAsia="Palatino Linotype" w:hAnsi="Palatino Linotype" w:cs="Palatino Linotype"/>
          <w:b/>
          <w:bCs/>
          <w:color w:val="000000"/>
          <w:highlight w:val="white"/>
        </w:rPr>
        <w:t xml:space="preserve">doce de febrero </w:t>
      </w:r>
      <w:r w:rsidR="00F36770" w:rsidRPr="0013549C">
        <w:rPr>
          <w:rFonts w:ascii="Palatino Linotype" w:eastAsia="Palatino Linotype" w:hAnsi="Palatino Linotype" w:cs="Palatino Linotype"/>
          <w:b/>
          <w:bCs/>
          <w:color w:val="000000"/>
          <w:highlight w:val="white"/>
        </w:rPr>
        <w:t>de dos mil veintiséis</w:t>
      </w:r>
      <w:r w:rsidR="00F36770" w:rsidRPr="0013549C">
        <w:rPr>
          <w:rFonts w:ascii="Palatino Linotype" w:eastAsia="Palatino Linotype" w:hAnsi="Palatino Linotype" w:cs="Palatino Linotype"/>
          <w:color w:val="000000"/>
          <w:highlight w:val="white"/>
        </w:rPr>
        <w:t>, decretó el cierre de instrucción d</w:t>
      </w:r>
      <w:r w:rsidR="00F36770" w:rsidRPr="0013549C">
        <w:rPr>
          <w:rFonts w:ascii="Palatino Linotype" w:eastAsia="Palatino Linotype" w:hAnsi="Palatino Linotype" w:cs="Palatino Linotype"/>
          <w:color w:val="000000"/>
        </w:rPr>
        <w:t>e los expedientes, por lo que no habiendo más que hacer constar, y</w:t>
      </w:r>
      <w:bookmarkStart w:id="5" w:name="_heading=h.162m1m3fkzl6" w:colFirst="0" w:colLast="0"/>
      <w:bookmarkEnd w:id="5"/>
      <w:r>
        <w:rPr>
          <w:rFonts w:ascii="Palatino Linotype" w:eastAsia="Palatino Linotype" w:hAnsi="Palatino Linotype" w:cs="Palatino Linotype"/>
          <w:color w:val="000000"/>
        </w:rPr>
        <w:t xml:space="preserve"> ------------------------------------------------------------------------------------------</w:t>
      </w:r>
    </w:p>
    <w:p w:rsidR="00F36770" w:rsidRDefault="00F36770" w:rsidP="00F36770">
      <w:pPr>
        <w:spacing w:line="360" w:lineRule="auto"/>
        <w:ind w:right="-787"/>
        <w:rPr>
          <w:rFonts w:ascii="Palatino Linotype" w:eastAsia="Palatino Linotype" w:hAnsi="Palatino Linotype" w:cs="Palatino Linotype"/>
          <w:b/>
          <w:bCs/>
          <w:color w:val="000000"/>
        </w:rPr>
      </w:pPr>
    </w:p>
    <w:p w:rsidR="0013549C" w:rsidRPr="0013549C" w:rsidRDefault="0013549C" w:rsidP="00F36770">
      <w:pPr>
        <w:spacing w:line="360" w:lineRule="auto"/>
        <w:ind w:right="-787"/>
        <w:rPr>
          <w:rFonts w:ascii="Palatino Linotype" w:eastAsia="Palatino Linotype" w:hAnsi="Palatino Linotype" w:cs="Palatino Linotype"/>
          <w:b/>
          <w:bCs/>
          <w:color w:val="000000"/>
        </w:rPr>
      </w:pPr>
    </w:p>
    <w:p w:rsidR="00F36770" w:rsidRDefault="00F36770" w:rsidP="00F36770">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13549C">
        <w:rPr>
          <w:rFonts w:ascii="Palatino Linotype" w:eastAsia="Palatino Linotype" w:hAnsi="Palatino Linotype" w:cs="Palatino Linotype"/>
          <w:b/>
          <w:bCs/>
          <w:color w:val="000000"/>
        </w:rPr>
        <w:lastRenderedPageBreak/>
        <w:t xml:space="preserve">C O N S I D E R A N D O </w:t>
      </w:r>
    </w:p>
    <w:p w:rsidR="0013549C" w:rsidRPr="0013549C" w:rsidRDefault="0013549C" w:rsidP="00F36770">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F36770" w:rsidRPr="0013549C" w:rsidRDefault="00F36770" w:rsidP="00F36770">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tyjcwt" w:colFirst="0" w:colLast="0"/>
      <w:bookmarkEnd w:id="6"/>
      <w:r w:rsidRPr="0013549C">
        <w:rPr>
          <w:rFonts w:ascii="Palatino Linotype" w:eastAsia="Palatino Linotype" w:hAnsi="Palatino Linotype" w:cs="Palatino Linotype"/>
          <w:b/>
          <w:bCs/>
          <w:color w:val="000000"/>
          <w:sz w:val="24"/>
          <w:szCs w:val="24"/>
        </w:rPr>
        <w:t>PRIMERO. De la competencia</w:t>
      </w: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13549C">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36770" w:rsidRPr="0013549C" w:rsidRDefault="00F36770" w:rsidP="00F36770">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p>
    <w:p w:rsidR="00F36770" w:rsidRPr="0013549C" w:rsidRDefault="00F36770" w:rsidP="00F36770">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8" w:name="_heading=h.1t3h5sf" w:colFirst="0" w:colLast="0"/>
      <w:bookmarkEnd w:id="8"/>
      <w:r w:rsidRPr="0013549C">
        <w:rPr>
          <w:rFonts w:ascii="Palatino Linotype" w:eastAsia="Palatino Linotype" w:hAnsi="Palatino Linotype" w:cs="Palatino Linotype"/>
          <w:b/>
          <w:bCs/>
          <w:color w:val="000000"/>
        </w:rPr>
        <w:t>SEGUNDO. De la oportunidad y procedencia.</w:t>
      </w: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13549C">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13549C">
        <w:rPr>
          <w:rFonts w:ascii="Palatino Linotype" w:eastAsia="Palatino Linotype" w:hAnsi="Palatino Linotype" w:cs="Palatino Linotype"/>
          <w:b/>
          <w:bCs/>
          <w:color w:val="000000"/>
        </w:rPr>
        <w:t xml:space="preserve">el </w:t>
      </w:r>
      <w:r w:rsidR="00113841" w:rsidRPr="0013549C">
        <w:rPr>
          <w:rFonts w:ascii="Palatino Linotype" w:eastAsia="Palatino Linotype" w:hAnsi="Palatino Linotype" w:cs="Palatino Linotype"/>
          <w:b/>
          <w:bCs/>
          <w:color w:val="000000"/>
        </w:rPr>
        <w:t>seis de octubre</w:t>
      </w:r>
      <w:r w:rsidRPr="0013549C">
        <w:rPr>
          <w:rFonts w:ascii="Palatino Linotype" w:eastAsia="Palatino Linotype" w:hAnsi="Palatino Linotype" w:cs="Palatino Linotype"/>
          <w:b/>
          <w:bCs/>
          <w:color w:val="000000"/>
        </w:rPr>
        <w:t xml:space="preserve"> dos mil veinticinco</w:t>
      </w:r>
      <w:r w:rsidRPr="0013549C">
        <w:rPr>
          <w:rFonts w:ascii="Palatino Linotype" w:eastAsia="Palatino Linotype" w:hAnsi="Palatino Linotype" w:cs="Palatino Linotype"/>
          <w:color w:val="000000"/>
        </w:rPr>
        <w:t xml:space="preserve">, de tal forma que el plazo para interponer el recurso de revisión transcurrió del </w:t>
      </w:r>
      <w:r w:rsidR="00113841" w:rsidRPr="0013549C">
        <w:rPr>
          <w:rFonts w:ascii="Palatino Linotype" w:eastAsia="Palatino Linotype" w:hAnsi="Palatino Linotype" w:cs="Palatino Linotype"/>
          <w:b/>
          <w:bCs/>
          <w:color w:val="000000"/>
        </w:rPr>
        <w:t>siete al veintisiete de octubre</w:t>
      </w:r>
      <w:r w:rsidRPr="0013549C">
        <w:rPr>
          <w:rFonts w:ascii="Palatino Linotype" w:eastAsia="Palatino Linotype" w:hAnsi="Palatino Linotype" w:cs="Palatino Linotype"/>
          <w:b/>
          <w:bCs/>
          <w:color w:val="000000"/>
        </w:rPr>
        <w:t xml:space="preserve"> de dos mil veinticinco</w:t>
      </w:r>
      <w:r w:rsidRPr="0013549C">
        <w:rPr>
          <w:rFonts w:ascii="Palatino Linotype" w:eastAsia="Palatino Linotype" w:hAnsi="Palatino Linotype" w:cs="Palatino Linotype"/>
          <w:color w:val="000000"/>
        </w:rPr>
        <w:t xml:space="preserve">; en consecuencia, el ahora </w:t>
      </w:r>
      <w:r w:rsidRPr="0013549C">
        <w:rPr>
          <w:rFonts w:ascii="Palatino Linotype" w:eastAsia="Palatino Linotype" w:hAnsi="Palatino Linotype" w:cs="Palatino Linotype"/>
          <w:b/>
          <w:bCs/>
          <w:color w:val="000000"/>
        </w:rPr>
        <w:t>RECURRENTE</w:t>
      </w:r>
      <w:r w:rsidRPr="0013549C">
        <w:rPr>
          <w:rFonts w:ascii="Palatino Linotype" w:eastAsia="Palatino Linotype" w:hAnsi="Palatino Linotype" w:cs="Palatino Linotype"/>
          <w:color w:val="000000"/>
        </w:rPr>
        <w:t xml:space="preserve"> presentó su inconformidad el </w:t>
      </w:r>
      <w:r w:rsidR="00113841" w:rsidRPr="0013549C">
        <w:rPr>
          <w:rFonts w:ascii="Palatino Linotype" w:eastAsia="Palatino Linotype" w:hAnsi="Palatino Linotype" w:cs="Palatino Linotype"/>
          <w:b/>
          <w:bCs/>
          <w:color w:val="000000"/>
        </w:rPr>
        <w:t xml:space="preserve">siete de octubre </w:t>
      </w:r>
      <w:r w:rsidRPr="0013549C">
        <w:rPr>
          <w:rFonts w:ascii="Palatino Linotype" w:eastAsia="Palatino Linotype" w:hAnsi="Palatino Linotype" w:cs="Palatino Linotype"/>
          <w:b/>
          <w:bCs/>
          <w:color w:val="000000"/>
        </w:rPr>
        <w:t>de dos mil veinticinco</w:t>
      </w:r>
      <w:r w:rsidRPr="0013549C">
        <w:rPr>
          <w:rFonts w:ascii="Palatino Linotype" w:eastAsia="Palatino Linotype" w:hAnsi="Palatino Linotype" w:cs="Palatino Linotype"/>
          <w:color w:val="000000"/>
        </w:rPr>
        <w:t>; por lo que la interposición se encuentra dentro del lapso legalmente establecido para tal efecto.</w:t>
      </w:r>
    </w:p>
    <w:p w:rsidR="00D924C0" w:rsidRPr="0013549C" w:rsidRDefault="00D924C0" w:rsidP="00D924C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D924C0" w:rsidRPr="0013549C" w:rsidRDefault="00D924C0" w:rsidP="00D924C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Por </w:t>
      </w:r>
      <w:r w:rsidRPr="0013549C">
        <w:rPr>
          <w:rFonts w:ascii="Palatino Linotype" w:eastAsia="Palatino Linotype" w:hAnsi="Palatino Linotype" w:cs="Palatino Linotype"/>
        </w:rPr>
        <w:t>otro</w:t>
      </w:r>
      <w:r w:rsidRPr="0013549C">
        <w:rPr>
          <w:rFonts w:ascii="Palatino Linotype" w:eastAsia="Palatino Linotype" w:hAnsi="Palatino Linotype" w:cs="Palatino Linotype"/>
          <w:color w:val="000000"/>
        </w:rPr>
        <w:t xml:space="preserve">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r w:rsidRPr="0013549C">
        <w:rPr>
          <w:rFonts w:ascii="Palatino Linotype" w:eastAsia="Palatino Linotype" w:hAnsi="Palatino Linotype" w:cs="Palatino Linotype"/>
          <w:b/>
          <w:i/>
        </w:rPr>
        <w:t>Las solicitudes anónimas</w:t>
      </w:r>
      <w:r w:rsidRPr="0013549C">
        <w:rPr>
          <w:rFonts w:ascii="Palatino Linotype" w:eastAsia="Palatino Linotype" w:hAnsi="Palatino Linotype" w:cs="Palatino Linotype"/>
          <w:i/>
        </w:rPr>
        <w:t xml:space="preserve">, con nombre incompleto o seudónimo </w:t>
      </w:r>
      <w:r w:rsidRPr="0013549C">
        <w:rPr>
          <w:rFonts w:ascii="Palatino Linotype" w:eastAsia="Palatino Linotype" w:hAnsi="Palatino Linotype" w:cs="Palatino Linotype"/>
          <w:b/>
          <w:i/>
        </w:rPr>
        <w:t>serán procedentes para su trámite por parte del sujeto obligado ante quien se presente</w:t>
      </w:r>
      <w:r w:rsidRPr="0013549C">
        <w:rPr>
          <w:rFonts w:ascii="Palatino Linotype" w:eastAsia="Palatino Linotype" w:hAnsi="Palatino Linotype" w:cs="Palatino Linotype"/>
          <w:i/>
        </w:rPr>
        <w:t>. No podrá requerirse información adicional con motivo del nombre proporcionado por el solicitante."</w:t>
      </w:r>
    </w:p>
    <w:p w:rsidR="00D924C0" w:rsidRDefault="00D924C0" w:rsidP="00D924C0">
      <w:pPr>
        <w:ind w:left="1134" w:right="900"/>
        <w:jc w:val="both"/>
        <w:rPr>
          <w:rFonts w:ascii="Palatino Linotype" w:eastAsia="Palatino Linotype" w:hAnsi="Palatino Linotype" w:cs="Palatino Linotype"/>
          <w:i/>
        </w:rPr>
      </w:pPr>
    </w:p>
    <w:p w:rsidR="0013549C" w:rsidRPr="0013549C" w:rsidRDefault="0013549C" w:rsidP="00D924C0">
      <w:pPr>
        <w:ind w:left="1134" w:right="900"/>
        <w:jc w:val="both"/>
        <w:rPr>
          <w:rFonts w:ascii="Palatino Linotype" w:eastAsia="Palatino Linotype" w:hAnsi="Palatino Linotype" w:cs="Palatino Linotype"/>
          <w:i/>
        </w:rPr>
      </w:pPr>
    </w:p>
    <w:p w:rsidR="00D924C0" w:rsidRPr="0013549C" w:rsidRDefault="00D924C0" w:rsidP="00D924C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r w:rsidRPr="0013549C">
        <w:rPr>
          <w:rFonts w:ascii="Palatino Linotype" w:eastAsia="Palatino Linotype" w:hAnsi="Palatino Linotype" w:cs="Palatino Linotype"/>
          <w:b/>
          <w:i/>
        </w:rPr>
        <w:t>Artículo 6.-</w:t>
      </w:r>
      <w:r w:rsidRPr="0013549C">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Para efectos de lo dispuesto en el presente artículo se observará lo siguiente:</w:t>
      </w:r>
    </w:p>
    <w:p w:rsidR="00D924C0" w:rsidRPr="0013549C" w:rsidRDefault="00D924C0" w:rsidP="00D924C0">
      <w:pPr>
        <w:ind w:left="1134" w:right="900"/>
        <w:jc w:val="both"/>
        <w:rPr>
          <w:rFonts w:ascii="Palatino Linotype" w:eastAsia="Palatino Linotype" w:hAnsi="Palatino Linotype" w:cs="Palatino Linotype"/>
          <w:i/>
        </w:rPr>
      </w:pP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D924C0" w:rsidRPr="0013549C" w:rsidRDefault="00D924C0" w:rsidP="00D924C0">
      <w:pPr>
        <w:ind w:left="1134" w:right="900"/>
        <w:jc w:val="both"/>
        <w:rPr>
          <w:rFonts w:ascii="Palatino Linotype" w:eastAsia="Palatino Linotype" w:hAnsi="Palatino Linotype" w:cs="Palatino Linotype"/>
          <w:i/>
        </w:rPr>
      </w:pP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r w:rsidRPr="0013549C">
        <w:rPr>
          <w:rFonts w:ascii="Palatino Linotype" w:eastAsia="Palatino Linotype" w:hAnsi="Palatino Linotype" w:cs="Palatino Linotype"/>
        </w:rPr>
        <w:t>(Sic)</w:t>
      </w:r>
    </w:p>
    <w:p w:rsidR="00D924C0" w:rsidRPr="0013549C" w:rsidRDefault="00D924C0" w:rsidP="00D924C0">
      <w:pPr>
        <w:spacing w:line="360" w:lineRule="auto"/>
        <w:ind w:left="567" w:right="474"/>
        <w:jc w:val="both"/>
        <w:rPr>
          <w:rFonts w:ascii="Palatino Linotype" w:eastAsia="Palatino Linotype" w:hAnsi="Palatino Linotype" w:cs="Palatino Linotype"/>
          <w:i/>
        </w:rPr>
      </w:pPr>
    </w:p>
    <w:p w:rsidR="00D924C0" w:rsidRPr="0013549C" w:rsidRDefault="00D924C0" w:rsidP="00D924C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Así </w:t>
      </w:r>
      <w:r w:rsidRPr="0013549C">
        <w:rPr>
          <w:rFonts w:ascii="Palatino Linotype" w:eastAsia="Palatino Linotype" w:hAnsi="Palatino Linotype" w:cs="Palatino Linotype"/>
        </w:rPr>
        <w:t>como</w:t>
      </w:r>
      <w:r w:rsidRPr="0013549C">
        <w:rPr>
          <w:rFonts w:ascii="Palatino Linotype" w:eastAsia="Palatino Linotype" w:hAnsi="Palatino Linotype" w:cs="Palatino Linotype"/>
          <w:color w:val="000000"/>
        </w:rPr>
        <w:t xml:space="preserve"> el artículo 5 fracción III, párrafo vigésimo noveno, trigésimo y trigésimo primero, de la Constitución Política del Estado Libre y Soberano de México, que determina lo siguiente:</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r w:rsidRPr="0013549C">
        <w:rPr>
          <w:rFonts w:ascii="Palatino Linotype" w:eastAsia="Palatino Linotype" w:hAnsi="Palatino Linotype" w:cs="Palatino Linotype"/>
          <w:b/>
          <w:i/>
        </w:rPr>
        <w:t>Artículo 5.-</w:t>
      </w:r>
      <w:r w:rsidRPr="0013549C">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w:t>
      </w:r>
      <w:r w:rsidRPr="0013549C">
        <w:rPr>
          <w:rFonts w:ascii="Palatino Linotype" w:eastAsia="Palatino Linotype" w:hAnsi="Palatino Linotype" w:cs="Palatino Linotype"/>
          <w:i/>
        </w:rPr>
        <w:lastRenderedPageBreak/>
        <w:t xml:space="preserve">responsable de garantizar el cumplimiento del derecho de transparencia, acceso a la información pública y a la protección de datos personales en posesión de los sujetos obligados en los términos que establezca la ley.” </w:t>
      </w:r>
      <w:r w:rsidRPr="0013549C">
        <w:rPr>
          <w:rFonts w:ascii="Palatino Linotype" w:eastAsia="Palatino Linotype" w:hAnsi="Palatino Linotype" w:cs="Palatino Linotype"/>
        </w:rPr>
        <w:t>(Sic)</w:t>
      </w:r>
    </w:p>
    <w:p w:rsidR="00D924C0" w:rsidRPr="0013549C" w:rsidRDefault="00D924C0" w:rsidP="00D924C0">
      <w:pPr>
        <w:spacing w:line="360" w:lineRule="auto"/>
        <w:ind w:left="426" w:right="476"/>
        <w:jc w:val="both"/>
        <w:rPr>
          <w:rFonts w:ascii="Palatino Linotype" w:eastAsia="Palatino Linotype" w:hAnsi="Palatino Linotype" w:cs="Palatino Linotype"/>
          <w:i/>
        </w:rPr>
      </w:pPr>
    </w:p>
    <w:p w:rsidR="00D924C0" w:rsidRPr="0013549C" w:rsidRDefault="00D924C0" w:rsidP="00D924C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Por otra parte, del contenido del artículo 1 de la Constitución Política de los </w:t>
      </w:r>
      <w:r w:rsidRPr="0013549C">
        <w:rPr>
          <w:rFonts w:ascii="Palatino Linotype" w:eastAsia="Palatino Linotype" w:hAnsi="Palatino Linotype" w:cs="Palatino Linotype"/>
        </w:rPr>
        <w:t>Estados</w:t>
      </w:r>
      <w:r w:rsidRPr="0013549C">
        <w:rPr>
          <w:rFonts w:ascii="Palatino Linotype" w:eastAsia="Palatino Linotype" w:hAnsi="Palatino Linotype" w:cs="Palatino Linotype"/>
          <w:color w:val="000000"/>
        </w:rPr>
        <w:t xml:space="preserve"> Unidos mexicanos, se destaca lo siguiente:</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w:t>
      </w:r>
      <w:r w:rsidRPr="0013549C">
        <w:rPr>
          <w:rFonts w:ascii="Palatino Linotype" w:eastAsia="Palatino Linotype" w:hAnsi="Palatino Linotype" w:cs="Palatino Linotype"/>
          <w:b/>
          <w:i/>
        </w:rPr>
        <w:t>Artículo 1</w:t>
      </w:r>
      <w:r w:rsidRPr="0013549C">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rsidR="00D924C0" w:rsidRPr="0013549C" w:rsidRDefault="00D924C0" w:rsidP="00D924C0">
      <w:pPr>
        <w:ind w:left="1134" w:right="900"/>
        <w:jc w:val="both"/>
        <w:rPr>
          <w:rFonts w:ascii="Palatino Linotype" w:eastAsia="Palatino Linotype" w:hAnsi="Palatino Linotype" w:cs="Palatino Linotype"/>
          <w:i/>
        </w:rPr>
      </w:pPr>
      <w:r w:rsidRPr="0013549C">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D924C0" w:rsidRDefault="00D924C0" w:rsidP="00D924C0">
      <w:pPr>
        <w:ind w:left="426" w:right="474"/>
        <w:jc w:val="both"/>
        <w:rPr>
          <w:rFonts w:ascii="Palatino Linotype" w:eastAsia="Palatino Linotype" w:hAnsi="Palatino Linotype" w:cs="Palatino Linotype"/>
          <w:i/>
        </w:rPr>
      </w:pPr>
    </w:p>
    <w:p w:rsidR="0013549C" w:rsidRPr="0013549C" w:rsidRDefault="0013549C" w:rsidP="00D924C0">
      <w:pPr>
        <w:ind w:left="426" w:right="474"/>
        <w:jc w:val="both"/>
        <w:rPr>
          <w:rFonts w:ascii="Palatino Linotype" w:eastAsia="Palatino Linotype" w:hAnsi="Palatino Linotype" w:cs="Palatino Linotype"/>
          <w:i/>
        </w:rPr>
      </w:pPr>
    </w:p>
    <w:p w:rsidR="00D924C0" w:rsidRPr="0013549C" w:rsidRDefault="00D924C0" w:rsidP="00D924C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13549C">
        <w:rPr>
          <w:rFonts w:ascii="Palatino Linotype" w:eastAsia="Palatino Linotype" w:hAnsi="Palatino Linotype" w:cs="Palatino Linotype"/>
          <w:i/>
        </w:rPr>
        <w:t>derecho fundamental exime a quien lo ejerce</w:t>
      </w:r>
      <w:r w:rsidRPr="0013549C">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113841" w:rsidRPr="0013549C" w:rsidRDefault="00D924C0" w:rsidP="00D924C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lastRenderedPageBreak/>
        <w:t xml:space="preserve">n consecuencia, dado lo expuesto y fundado con anterioridad, se estima que el requisito relativo al nombre del </w:t>
      </w:r>
      <w:r w:rsidRPr="0013549C">
        <w:rPr>
          <w:rFonts w:ascii="Palatino Linotype" w:eastAsia="Palatino Linotype" w:hAnsi="Palatino Linotype" w:cs="Palatino Linotype"/>
          <w:b/>
        </w:rPr>
        <w:t>RECURRENTE</w:t>
      </w:r>
      <w:r w:rsidRPr="0013549C">
        <w:rPr>
          <w:rFonts w:ascii="Palatino Linotype" w:eastAsia="Palatino Linotype" w:hAnsi="Palatino Linotype" w:cs="Palatino Linotype"/>
        </w:rPr>
        <w:t xml:space="preserve"> no constituye un presupuesto indispensable de procedencia del Recurso de Revisión, en términos de los artículos 25 de la </w:t>
      </w:r>
      <w:r w:rsidRPr="0013549C">
        <w:rPr>
          <w:rFonts w:ascii="Palatino Linotype" w:eastAsia="Palatino Linotype" w:hAnsi="Palatino Linotype" w:cs="Palatino Linotype"/>
          <w:color w:val="000000"/>
        </w:rPr>
        <w:t>Convención</w:t>
      </w:r>
      <w:r w:rsidRPr="0013549C">
        <w:rPr>
          <w:rFonts w:ascii="Palatino Linotype" w:eastAsia="Palatino Linotype" w:hAnsi="Palatino Linotype" w:cs="Palatino Linotype"/>
        </w:rPr>
        <w:t xml:space="preserve">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F36770" w:rsidRPr="0013549C" w:rsidRDefault="00F36770" w:rsidP="00F36770">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36770" w:rsidRPr="0013549C" w:rsidRDefault="00F36770" w:rsidP="00F36770">
      <w:pPr>
        <w:pStyle w:val="Ttulo1"/>
        <w:spacing w:before="0" w:line="360" w:lineRule="auto"/>
        <w:ind w:right="-787"/>
        <w:rPr>
          <w:rFonts w:ascii="Palatino Linotype" w:eastAsia="Palatino Linotype" w:hAnsi="Palatino Linotype" w:cs="Palatino Linotype"/>
          <w:b/>
          <w:bCs/>
          <w:color w:val="000000"/>
          <w:sz w:val="24"/>
          <w:szCs w:val="24"/>
        </w:rPr>
      </w:pPr>
      <w:bookmarkStart w:id="10" w:name="_heading=h.2s8eyo1" w:colFirst="0" w:colLast="0"/>
      <w:bookmarkEnd w:id="10"/>
      <w:r w:rsidRPr="0013549C">
        <w:rPr>
          <w:rFonts w:ascii="Palatino Linotype" w:eastAsia="Palatino Linotype" w:hAnsi="Palatino Linotype" w:cs="Palatino Linotype"/>
          <w:b/>
          <w:bCs/>
          <w:color w:val="000000"/>
          <w:sz w:val="24"/>
          <w:szCs w:val="24"/>
        </w:rPr>
        <w:t xml:space="preserve">TERCERO. Del planteamiento de la </w:t>
      </w:r>
      <w:r w:rsidRPr="0013549C">
        <w:rPr>
          <w:rFonts w:ascii="Palatino Linotype" w:eastAsia="Palatino Linotype" w:hAnsi="Palatino Linotype" w:cs="Palatino Linotype"/>
          <w:b/>
          <w:bCs/>
          <w:i/>
          <w:iCs/>
          <w:color w:val="000000"/>
          <w:sz w:val="24"/>
          <w:szCs w:val="24"/>
        </w:rPr>
        <w:t>Litis</w:t>
      </w:r>
      <w:r w:rsidRPr="0013549C">
        <w:rPr>
          <w:rFonts w:ascii="Palatino Linotype" w:eastAsia="Palatino Linotype" w:hAnsi="Palatino Linotype" w:cs="Palatino Linotype"/>
          <w:b/>
          <w:bCs/>
          <w:color w:val="000000"/>
          <w:sz w:val="24"/>
          <w:szCs w:val="24"/>
        </w:rPr>
        <w:t>.</w:t>
      </w: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13549C">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F36770" w:rsidRPr="0013549C" w:rsidRDefault="0013549C" w:rsidP="00F36770">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w:t>
      </w:r>
      <w:r w:rsidR="00C04B49" w:rsidRPr="0013549C">
        <w:rPr>
          <w:rFonts w:ascii="Palatino Linotype" w:eastAsia="Palatino Linotype" w:hAnsi="Palatino Linotype" w:cs="Palatino Linotype"/>
          <w:b/>
          <w:bCs/>
          <w:i/>
          <w:iCs/>
          <w:color w:val="000000"/>
        </w:rPr>
        <w:t xml:space="preserve"> Certificaciones de los Tesoreros Municipales del DIF, de las administraciones 2019-2021, 2022-2024 y 2025-2027</w:t>
      </w:r>
    </w:p>
    <w:p w:rsidR="00F36770" w:rsidRDefault="00F36770" w:rsidP="00F36770">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rsidR="0013549C" w:rsidRPr="0013549C" w:rsidRDefault="0013549C" w:rsidP="00F36770">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En respuesta, el </w:t>
      </w:r>
      <w:r w:rsidRPr="0013549C">
        <w:rPr>
          <w:rFonts w:ascii="Palatino Linotype" w:eastAsia="Palatino Linotype" w:hAnsi="Palatino Linotype" w:cs="Palatino Linotype"/>
          <w:b/>
          <w:bCs/>
          <w:color w:val="000000"/>
        </w:rPr>
        <w:t xml:space="preserve">SUJETO OBLIGADO </w:t>
      </w:r>
      <w:r w:rsidRPr="0013549C">
        <w:rPr>
          <w:rFonts w:ascii="Palatino Linotype" w:eastAsia="Palatino Linotype" w:hAnsi="Palatino Linotype" w:cs="Palatino Linotype"/>
        </w:rPr>
        <w:t>entregó</w:t>
      </w:r>
      <w:r w:rsidRPr="0013549C">
        <w:rPr>
          <w:rFonts w:ascii="Palatino Linotype" w:eastAsia="Palatino Linotype" w:hAnsi="Palatino Linotype" w:cs="Palatino Linotype"/>
          <w:color w:val="000000"/>
        </w:rPr>
        <w:t xml:space="preserve"> la información descrita en el párrafo tres de la presente resolución. </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En dichas condiciones, la </w:t>
      </w:r>
      <w:r w:rsidRPr="0013549C">
        <w:rPr>
          <w:rFonts w:ascii="Palatino Linotype" w:eastAsia="Palatino Linotype" w:hAnsi="Palatino Linotype" w:cs="Palatino Linotype"/>
          <w:i/>
          <w:iCs/>
          <w:color w:val="000000"/>
        </w:rPr>
        <w:t>Litis</w:t>
      </w:r>
      <w:r w:rsidRPr="0013549C">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13549C">
        <w:rPr>
          <w:rFonts w:ascii="Palatino Linotype" w:eastAsia="Palatino Linotype" w:hAnsi="Palatino Linotype" w:cs="Palatino Linotype"/>
          <w:b/>
          <w:bCs/>
          <w:color w:val="000000"/>
        </w:rPr>
        <w:t xml:space="preserve">fracción I </w:t>
      </w:r>
      <w:r w:rsidRPr="0013549C">
        <w:rPr>
          <w:rFonts w:ascii="Palatino Linotype" w:eastAsia="Palatino Linotype" w:hAnsi="Palatino Linotype" w:cs="Palatino Linotype"/>
          <w:color w:val="000000"/>
        </w:rPr>
        <w:t>de la Ley</w:t>
      </w:r>
      <w:r w:rsidRPr="0013549C">
        <w:rPr>
          <w:rFonts w:ascii="Palatino Linotype" w:eastAsia="Palatino Linotype" w:hAnsi="Palatino Linotype" w:cs="Palatino Linotype"/>
          <w:b/>
          <w:bCs/>
          <w:color w:val="000000"/>
        </w:rPr>
        <w:t xml:space="preserve"> de Transparencia y Acceso a la Información Pública del Estado de </w:t>
      </w:r>
      <w:r w:rsidRPr="0013549C">
        <w:rPr>
          <w:rFonts w:ascii="Palatino Linotype" w:eastAsia="Palatino Linotype" w:hAnsi="Palatino Linotype" w:cs="Palatino Linotype"/>
          <w:color w:val="000000"/>
        </w:rPr>
        <w:t>México</w:t>
      </w:r>
      <w:r w:rsidRPr="0013549C">
        <w:rPr>
          <w:rFonts w:ascii="Palatino Linotype" w:eastAsia="Palatino Linotype" w:hAnsi="Palatino Linotype" w:cs="Palatino Linotype"/>
          <w:b/>
          <w:bCs/>
          <w:color w:val="000000"/>
        </w:rPr>
        <w:t xml:space="preserve"> y Municipios</w:t>
      </w:r>
      <w:r w:rsidRPr="0013549C">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13549C">
        <w:rPr>
          <w:rFonts w:ascii="Palatino Linotype" w:eastAsia="Palatino Linotype" w:hAnsi="Palatino Linotype" w:cs="Palatino Linotype"/>
          <w:b/>
          <w:bCs/>
          <w:color w:val="000000"/>
        </w:rPr>
        <w:t xml:space="preserve">EL RECURRENTE </w:t>
      </w:r>
      <w:r w:rsidRPr="0013549C">
        <w:rPr>
          <w:rFonts w:ascii="Palatino Linotype" w:eastAsia="Palatino Linotype" w:hAnsi="Palatino Linotype" w:cs="Palatino Linotype"/>
          <w:color w:val="000000"/>
        </w:rPr>
        <w:t>al momento de interponer su inconformidad.</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modo tal que el presente recurso de revisión se </w:t>
      </w:r>
      <w:r w:rsidRPr="0013549C">
        <w:rPr>
          <w:rFonts w:ascii="Palatino Linotype" w:eastAsia="Palatino Linotype" w:hAnsi="Palatino Linotype" w:cs="Palatino Linotype"/>
        </w:rPr>
        <w:t>abocara</w:t>
      </w:r>
      <w:r w:rsidRPr="0013549C">
        <w:rPr>
          <w:rFonts w:ascii="Palatino Linotype" w:eastAsia="Palatino Linotype" w:hAnsi="Palatino Linotype" w:cs="Palatino Linotype"/>
          <w:color w:val="000000"/>
        </w:rPr>
        <w:t xml:space="preserve"> en determinar si el </w:t>
      </w:r>
      <w:r w:rsidRPr="0013549C">
        <w:rPr>
          <w:rFonts w:ascii="Palatino Linotype" w:eastAsia="Palatino Linotype" w:hAnsi="Palatino Linotype" w:cs="Palatino Linotype"/>
          <w:b/>
          <w:bCs/>
          <w:color w:val="000000"/>
        </w:rPr>
        <w:t>SUJETO OBLIGADO</w:t>
      </w:r>
      <w:r w:rsidRPr="0013549C">
        <w:rPr>
          <w:rFonts w:ascii="Palatino Linotype" w:eastAsia="Palatino Linotype" w:hAnsi="Palatino Linotype" w:cs="Palatino Linotype"/>
          <w:color w:val="000000"/>
        </w:rPr>
        <w:t xml:space="preserve"> con su respuesta ciertamente actualiza la causal de procedencia</w:t>
      </w:r>
      <w:r w:rsidRPr="0013549C">
        <w:rPr>
          <w:rFonts w:ascii="Palatino Linotype" w:eastAsia="Palatino Linotype" w:hAnsi="Palatino Linotype" w:cs="Palatino Linotype"/>
          <w:b/>
          <w:bCs/>
          <w:color w:val="000000"/>
        </w:rPr>
        <w:t xml:space="preserve"> </w:t>
      </w:r>
      <w:r w:rsidRPr="0013549C">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F36770" w:rsidRPr="0013549C" w:rsidRDefault="00F36770" w:rsidP="00F36770">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rsidR="00F36770" w:rsidRPr="0013549C" w:rsidRDefault="00F36770" w:rsidP="00F36770">
      <w:pPr>
        <w:keepNext/>
        <w:keepLines/>
        <w:spacing w:line="360" w:lineRule="auto"/>
        <w:ind w:right="-787"/>
        <w:rPr>
          <w:rFonts w:ascii="Palatino Linotype" w:eastAsia="Palatino Linotype" w:hAnsi="Palatino Linotype" w:cs="Palatino Linotype"/>
          <w:b/>
          <w:bCs/>
          <w:color w:val="000000"/>
        </w:rPr>
      </w:pPr>
      <w:r w:rsidRPr="0013549C">
        <w:rPr>
          <w:rFonts w:ascii="Palatino Linotype" w:eastAsia="Palatino Linotype" w:hAnsi="Palatino Linotype" w:cs="Palatino Linotype"/>
          <w:b/>
          <w:bCs/>
          <w:color w:val="000000"/>
        </w:rPr>
        <w:t>CUARTO. Del estudio y resolución del estudio.</w:t>
      </w:r>
    </w:p>
    <w:p w:rsidR="00F36770" w:rsidRPr="0013549C" w:rsidRDefault="00F36770" w:rsidP="00F36770">
      <w:pPr>
        <w:keepNext/>
        <w:keepLines/>
        <w:numPr>
          <w:ilvl w:val="0"/>
          <w:numId w:val="6"/>
        </w:numPr>
        <w:spacing w:after="240" w:line="360" w:lineRule="auto"/>
        <w:ind w:left="786" w:right="-787"/>
        <w:rPr>
          <w:rFonts w:ascii="Palatino Linotype" w:eastAsia="Palatino Linotype" w:hAnsi="Palatino Linotype" w:cs="Palatino Linotype"/>
          <w:b/>
          <w:bCs/>
          <w:color w:val="000000"/>
        </w:rPr>
      </w:pPr>
      <w:bookmarkStart w:id="11" w:name="_heading=h.17dp8vu" w:colFirst="0" w:colLast="0"/>
      <w:bookmarkEnd w:id="11"/>
      <w:r w:rsidRPr="0013549C">
        <w:rPr>
          <w:rFonts w:ascii="Palatino Linotype" w:eastAsia="Palatino Linotype" w:hAnsi="Palatino Linotype" w:cs="Palatino Linotype"/>
          <w:b/>
          <w:bCs/>
          <w:color w:val="000000"/>
        </w:rPr>
        <w:t>Del derecho de acceso a la información.</w:t>
      </w: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F36770" w:rsidRPr="0013549C" w:rsidRDefault="00F36770" w:rsidP="00F36770">
      <w:pPr>
        <w:numPr>
          <w:ilvl w:val="0"/>
          <w:numId w:val="5"/>
        </w:numPr>
        <w:spacing w:before="240"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lastRenderedPageBreak/>
        <w:t xml:space="preserve">Definiendo el Derecho de Acceso a la Información Pública como: </w:t>
      </w:r>
      <w:r w:rsidRPr="0013549C">
        <w:rPr>
          <w:rFonts w:ascii="Palatino Linotype" w:eastAsia="Palatino Linotype" w:hAnsi="Palatino Linotype" w:cs="Palatino Linotype"/>
          <w:i/>
          <w:iCs/>
          <w:color w:val="000000"/>
        </w:rPr>
        <w:t>La igualdad de oportunidades para recibir, buscar e impartir información</w:t>
      </w:r>
      <w:r w:rsidRPr="0013549C">
        <w:rPr>
          <w:rFonts w:ascii="Palatino Linotype" w:eastAsia="Palatino Linotype" w:hAnsi="Palatino Linotype" w:cs="Palatino Linotype"/>
          <w:i/>
          <w:iCs/>
          <w:vertAlign w:val="superscript"/>
        </w:rPr>
        <w:footnoteReference w:id="1"/>
      </w:r>
      <w:r w:rsidRPr="0013549C">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3549C">
        <w:rPr>
          <w:rFonts w:ascii="Palatino Linotype" w:eastAsia="Palatino Linotype" w:hAnsi="Palatino Linotype" w:cs="Palatino Linotype"/>
          <w:i/>
          <w:iCs/>
          <w:vertAlign w:val="superscript"/>
        </w:rPr>
        <w:footnoteReference w:id="2"/>
      </w:r>
      <w:r w:rsidRPr="0013549C">
        <w:rPr>
          <w:rFonts w:ascii="Palatino Linotype" w:eastAsia="Palatino Linotype" w:hAnsi="Palatino Linotype" w:cs="Palatino Linotype"/>
          <w:color w:val="000000"/>
        </w:rPr>
        <w:t>que se constituye como una herramienta fundamental para ejercer</w:t>
      </w:r>
      <w:r w:rsidRPr="0013549C">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13549C">
        <w:rPr>
          <w:rFonts w:ascii="Palatino Linotype" w:eastAsia="Palatino Linotype" w:hAnsi="Palatino Linotype" w:cs="Palatino Linotype"/>
          <w:i/>
          <w:iCs/>
          <w:vertAlign w:val="superscript"/>
        </w:rPr>
        <w:footnoteReference w:id="3"/>
      </w:r>
      <w:r w:rsidRPr="0013549C">
        <w:rPr>
          <w:rFonts w:ascii="Palatino Linotype" w:eastAsia="Palatino Linotype" w:hAnsi="Palatino Linotype" w:cs="Palatino Linotype"/>
          <w:color w:val="000000"/>
        </w:rPr>
        <w:t>fomentando</w:t>
      </w:r>
      <w:r w:rsidRPr="0013549C">
        <w:rPr>
          <w:rFonts w:ascii="Palatino Linotype" w:eastAsia="Palatino Linotype" w:hAnsi="Palatino Linotype" w:cs="Palatino Linotype"/>
          <w:i/>
          <w:iCs/>
          <w:color w:val="000000"/>
        </w:rPr>
        <w:t xml:space="preserve"> la transparencia de las actividades estatales y </w:t>
      </w:r>
      <w:r w:rsidRPr="0013549C">
        <w:rPr>
          <w:rFonts w:ascii="Palatino Linotype" w:eastAsia="Palatino Linotype" w:hAnsi="Palatino Linotype" w:cs="Palatino Linotype"/>
          <w:color w:val="000000"/>
        </w:rPr>
        <w:t>promoviendo</w:t>
      </w:r>
      <w:r w:rsidRPr="0013549C">
        <w:rPr>
          <w:rFonts w:ascii="Palatino Linotype" w:eastAsia="Palatino Linotype" w:hAnsi="Palatino Linotype" w:cs="Palatino Linotype"/>
          <w:i/>
          <w:iCs/>
          <w:color w:val="000000"/>
        </w:rPr>
        <w:t xml:space="preserve"> la responsabilidad de los funcionarios sobre su gestión pública,</w:t>
      </w:r>
      <w:r w:rsidRPr="0013549C">
        <w:rPr>
          <w:rFonts w:ascii="Palatino Linotype" w:eastAsia="Palatino Linotype" w:hAnsi="Palatino Linotype" w:cs="Palatino Linotype"/>
          <w:i/>
          <w:iCs/>
          <w:vertAlign w:val="superscript"/>
        </w:rPr>
        <w:footnoteReference w:id="4"/>
      </w:r>
      <w:r w:rsidRPr="0013549C">
        <w:rPr>
          <w:rFonts w:ascii="Palatino Linotype" w:eastAsia="Palatino Linotype" w:hAnsi="Palatino Linotype" w:cs="Palatino Linotype"/>
          <w:color w:val="000000"/>
        </w:rPr>
        <w:t>que permite</w:t>
      </w:r>
      <w:r w:rsidRPr="0013549C">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F36770" w:rsidRPr="0013549C" w:rsidRDefault="00F36770" w:rsidP="00F36770">
      <w:pPr>
        <w:ind w:left="1134" w:right="-79"/>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w:t>
      </w:r>
      <w:r w:rsidRPr="0013549C">
        <w:rPr>
          <w:rFonts w:ascii="Palatino Linotype" w:eastAsia="Palatino Linotype" w:hAnsi="Palatino Linotype" w:cs="Palatino Linotype"/>
          <w:b/>
          <w:bCs/>
          <w:i/>
          <w:iCs/>
        </w:rPr>
        <w:t>Artículo 1.-</w:t>
      </w:r>
      <w:r w:rsidRPr="0013549C">
        <w:rPr>
          <w:rFonts w:ascii="Palatino Linotype" w:eastAsia="Palatino Linotype" w:hAnsi="Palatino Linotype" w:cs="Palatino Linotype"/>
          <w:i/>
          <w:iCs/>
        </w:rPr>
        <w:t xml:space="preserve"> </w:t>
      </w:r>
    </w:p>
    <w:p w:rsidR="00F36770" w:rsidRPr="0013549C" w:rsidRDefault="00F36770" w:rsidP="00F36770">
      <w:pPr>
        <w:ind w:left="1134" w:right="-79"/>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w:t>
      </w:r>
    </w:p>
    <w:p w:rsidR="00F36770" w:rsidRPr="0013549C" w:rsidRDefault="00F36770" w:rsidP="00F36770">
      <w:pPr>
        <w:ind w:left="1134" w:right="-79"/>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Todas las</w:t>
      </w:r>
      <w:r w:rsidRPr="0013549C">
        <w:rPr>
          <w:rFonts w:ascii="Palatino Linotype" w:eastAsia="Palatino Linotype" w:hAnsi="Palatino Linotype" w:cs="Palatino Linotype"/>
        </w:rPr>
        <w:t xml:space="preserve"> </w:t>
      </w:r>
      <w:r w:rsidRPr="0013549C">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36770" w:rsidRPr="0013549C" w:rsidRDefault="00F36770" w:rsidP="00F36770">
      <w:pPr>
        <w:ind w:left="1134" w:right="-79"/>
        <w:jc w:val="both"/>
        <w:rPr>
          <w:rFonts w:ascii="Palatino Linotype" w:eastAsia="Palatino Linotype" w:hAnsi="Palatino Linotype" w:cs="Palatino Linotype"/>
        </w:rPr>
      </w:pPr>
      <w:r w:rsidRPr="0013549C">
        <w:rPr>
          <w:rFonts w:ascii="Palatino Linotype" w:eastAsia="Palatino Linotype" w:hAnsi="Palatino Linotype" w:cs="Palatino Linotype"/>
          <w:i/>
          <w:iCs/>
        </w:rPr>
        <w:lastRenderedPageBreak/>
        <w:t>(…)</w:t>
      </w:r>
      <w:r w:rsidRPr="0013549C">
        <w:rPr>
          <w:rFonts w:ascii="Palatino Linotype" w:eastAsia="Palatino Linotype" w:hAnsi="Palatino Linotype" w:cs="Palatino Linotype"/>
        </w:rPr>
        <w:t>”.</w:t>
      </w:r>
    </w:p>
    <w:p w:rsidR="00F36770" w:rsidRPr="0013549C" w:rsidRDefault="00F36770" w:rsidP="00F36770">
      <w:pPr>
        <w:ind w:right="-787"/>
        <w:jc w:val="both"/>
        <w:rPr>
          <w:rFonts w:ascii="Palatino Linotype" w:eastAsia="Palatino Linotype" w:hAnsi="Palatino Linotype" w:cs="Palatino Linotype"/>
          <w:b/>
          <w:bCs/>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36770" w:rsidRPr="0013549C" w:rsidRDefault="00F36770" w:rsidP="00F36770">
      <w:pPr>
        <w:spacing w:after="240"/>
        <w:ind w:left="1134" w:right="-220"/>
        <w:jc w:val="both"/>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Constitución Política de los Estados Unidos Mexicanos</w:t>
      </w:r>
    </w:p>
    <w:p w:rsidR="00F36770" w:rsidRPr="0013549C" w:rsidRDefault="00F36770" w:rsidP="00F36770">
      <w:pPr>
        <w:spacing w:before="240" w:after="240"/>
        <w:ind w:left="1134" w:right="-220"/>
        <w:jc w:val="both"/>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“Artículo 6.</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Para efectos de lo dispuesto en el presente artículo se observará lo siguiente:</w:t>
      </w:r>
    </w:p>
    <w:p w:rsidR="00F36770" w:rsidRPr="0013549C" w:rsidRDefault="00F36770" w:rsidP="00F36770">
      <w:pPr>
        <w:spacing w:before="240" w:after="240"/>
        <w:ind w:left="1134" w:right="-220"/>
        <w:jc w:val="both"/>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A</w:t>
      </w:r>
      <w:r w:rsidRPr="0013549C">
        <w:rPr>
          <w:rFonts w:ascii="Palatino Linotype" w:eastAsia="Palatino Linotype" w:hAnsi="Palatino Linotype" w:cs="Palatino Linotype"/>
          <w:i/>
          <w:iCs/>
        </w:rPr>
        <w:t xml:space="preserve">. </w:t>
      </w:r>
      <w:r w:rsidRPr="0013549C">
        <w:rPr>
          <w:rFonts w:ascii="Palatino Linotype" w:eastAsia="Palatino Linotype" w:hAnsi="Palatino Linotype" w:cs="Palatino Linotype"/>
          <w:b/>
          <w:bCs/>
          <w:i/>
          <w:iCs/>
        </w:rPr>
        <w:t>Para el ejercicio del derecho de acceso a la información</w:t>
      </w:r>
      <w:r w:rsidRPr="0013549C">
        <w:rPr>
          <w:rFonts w:ascii="Palatino Linotype" w:eastAsia="Palatino Linotype" w:hAnsi="Palatino Linotype" w:cs="Palatino Linotype"/>
          <w:i/>
          <w:iCs/>
        </w:rPr>
        <w:t xml:space="preserve">, la Federación y </w:t>
      </w:r>
      <w:r w:rsidRPr="0013549C">
        <w:rPr>
          <w:rFonts w:ascii="Palatino Linotype" w:eastAsia="Palatino Linotype" w:hAnsi="Palatino Linotype" w:cs="Palatino Linotype"/>
          <w:b/>
          <w:bCs/>
          <w:i/>
          <w:iCs/>
        </w:rPr>
        <w:t>las entidades federativas, en el ámbito de sus respectivas competencias, se regirán por los siguientes principios y bases:</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b/>
          <w:bCs/>
          <w:i/>
          <w:iCs/>
        </w:rPr>
        <w:t xml:space="preserve">I. </w:t>
      </w:r>
      <w:r w:rsidRPr="0013549C">
        <w:rPr>
          <w:rFonts w:ascii="Palatino Linotype" w:eastAsia="Palatino Linotype" w:hAnsi="Palatino Linotype" w:cs="Palatino Linotype"/>
          <w:b/>
          <w:bCs/>
          <w:i/>
          <w:iCs/>
        </w:rPr>
        <w:tab/>
        <w:t>Toda la información en posesión de cualquier</w:t>
      </w:r>
      <w:r w:rsidRPr="0013549C">
        <w:rPr>
          <w:rFonts w:ascii="Palatino Linotype" w:eastAsia="Palatino Linotype" w:hAnsi="Palatino Linotype" w:cs="Palatino Linotype"/>
          <w:i/>
          <w:iCs/>
        </w:rPr>
        <w:t xml:space="preserve"> </w:t>
      </w:r>
      <w:r w:rsidRPr="0013549C">
        <w:rPr>
          <w:rFonts w:ascii="Palatino Linotype" w:eastAsia="Palatino Linotype" w:hAnsi="Palatino Linotype" w:cs="Palatino Linotype"/>
          <w:b/>
          <w:bCs/>
          <w:i/>
          <w:iCs/>
        </w:rPr>
        <w:t>autoridad</w:t>
      </w:r>
      <w:r w:rsidRPr="0013549C">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3549C">
        <w:rPr>
          <w:rFonts w:ascii="Palatino Linotype" w:eastAsia="Palatino Linotype" w:hAnsi="Palatino Linotype" w:cs="Palatino Linotype"/>
          <w:b/>
          <w:bCs/>
          <w:i/>
          <w:iCs/>
        </w:rPr>
        <w:t>municipal</w:t>
      </w:r>
      <w:r w:rsidRPr="0013549C">
        <w:rPr>
          <w:rFonts w:ascii="Palatino Linotype" w:eastAsia="Palatino Linotype" w:hAnsi="Palatino Linotype" w:cs="Palatino Linotype"/>
          <w:i/>
          <w:iCs/>
        </w:rPr>
        <w:t xml:space="preserve">, </w:t>
      </w:r>
      <w:r w:rsidRPr="0013549C">
        <w:rPr>
          <w:rFonts w:ascii="Palatino Linotype" w:eastAsia="Palatino Linotype" w:hAnsi="Palatino Linotype" w:cs="Palatino Linotype"/>
          <w:b/>
          <w:bCs/>
          <w:i/>
          <w:iCs/>
        </w:rPr>
        <w:t>es pública</w:t>
      </w:r>
      <w:r w:rsidRPr="0013549C">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13549C">
        <w:rPr>
          <w:rFonts w:ascii="Palatino Linotype" w:eastAsia="Palatino Linotype" w:hAnsi="Palatino Linotype" w:cs="Palatino Linotype"/>
          <w:b/>
          <w:bCs/>
          <w:i/>
          <w:iCs/>
        </w:rPr>
        <w:t xml:space="preserve">En la interpretación de este derecho deberá prevalecer el </w:t>
      </w:r>
      <w:r w:rsidRPr="0013549C">
        <w:rPr>
          <w:rFonts w:ascii="Palatino Linotype" w:eastAsia="Palatino Linotype" w:hAnsi="Palatino Linotype" w:cs="Palatino Linotype"/>
          <w:b/>
          <w:bCs/>
          <w:i/>
          <w:iCs/>
        </w:rPr>
        <w:lastRenderedPageBreak/>
        <w:t>principio de máxima publicidad. Los sujetos obligados deberán documentar todo acto que derive del ejercicio de sus facultades, competencias o funciones</w:t>
      </w:r>
      <w:r w:rsidRPr="0013549C">
        <w:rPr>
          <w:rFonts w:ascii="Palatino Linotype" w:eastAsia="Palatino Linotype" w:hAnsi="Palatino Linotype" w:cs="Palatino Linotype"/>
          <w:i/>
          <w:iCs/>
        </w:rPr>
        <w:t>, la ley determinará los supuestos específicos bajo los cuales procederá la declaración de inexistencia de la información.”</w:t>
      </w:r>
    </w:p>
    <w:p w:rsidR="00F36770" w:rsidRPr="0013549C" w:rsidRDefault="00F36770" w:rsidP="00F36770">
      <w:pPr>
        <w:pBdr>
          <w:top w:val="nil"/>
          <w:left w:val="nil"/>
          <w:bottom w:val="nil"/>
          <w:right w:val="nil"/>
          <w:between w:val="nil"/>
        </w:pBdr>
        <w:tabs>
          <w:tab w:val="left" w:pos="567"/>
        </w:tabs>
        <w:spacing w:before="240" w:after="240"/>
        <w:ind w:left="1134" w:right="-220"/>
        <w:jc w:val="both"/>
        <w:rPr>
          <w:rFonts w:ascii="Palatino Linotype" w:eastAsia="Palatino Linotype" w:hAnsi="Palatino Linotype" w:cs="Palatino Linotype"/>
          <w:b/>
          <w:bCs/>
          <w:i/>
          <w:iCs/>
          <w:color w:val="000000"/>
        </w:rPr>
      </w:pPr>
    </w:p>
    <w:p w:rsidR="00F36770" w:rsidRPr="0013549C" w:rsidRDefault="00F36770" w:rsidP="00F36770">
      <w:pPr>
        <w:spacing w:before="240" w:after="240"/>
        <w:ind w:left="1134" w:right="-220"/>
        <w:jc w:val="both"/>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Constitución Política del Estado Libre y Soberano de México</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b/>
          <w:bCs/>
          <w:i/>
          <w:iCs/>
        </w:rPr>
        <w:t>“Artículo 5</w:t>
      </w:r>
      <w:r w:rsidRPr="0013549C">
        <w:rPr>
          <w:rFonts w:ascii="Palatino Linotype" w:eastAsia="Palatino Linotype" w:hAnsi="Palatino Linotype" w:cs="Palatino Linotype"/>
          <w:i/>
          <w:iCs/>
        </w:rPr>
        <w:t xml:space="preserve">.- </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13549C">
        <w:rPr>
          <w:rFonts w:ascii="Palatino Linotype" w:eastAsia="Palatino Linotype" w:hAnsi="Palatino Linotype" w:cs="Palatino Linotype"/>
          <w:i/>
          <w:iCs/>
        </w:rPr>
        <w:t>.</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b/>
          <w:bCs/>
          <w:i/>
          <w:iCs/>
        </w:rPr>
        <w:t>Este derecho se regirá por los principios y bases siguientes</w:t>
      </w:r>
      <w:r w:rsidRPr="0013549C">
        <w:rPr>
          <w:rFonts w:ascii="Palatino Linotype" w:eastAsia="Palatino Linotype" w:hAnsi="Palatino Linotype" w:cs="Palatino Linotype"/>
          <w:i/>
          <w:iCs/>
        </w:rPr>
        <w:t>:</w:t>
      </w:r>
    </w:p>
    <w:p w:rsidR="00F36770" w:rsidRPr="0013549C" w:rsidRDefault="00F36770" w:rsidP="00F36770">
      <w:pPr>
        <w:spacing w:before="240" w:after="240"/>
        <w:ind w:left="1134" w:right="-220"/>
        <w:jc w:val="both"/>
        <w:rPr>
          <w:rFonts w:ascii="Palatino Linotype" w:eastAsia="Palatino Linotype" w:hAnsi="Palatino Linotype" w:cs="Palatino Linotype"/>
          <w:i/>
          <w:iCs/>
        </w:rPr>
      </w:pPr>
      <w:r w:rsidRPr="0013549C">
        <w:rPr>
          <w:rFonts w:ascii="Palatino Linotype" w:eastAsia="Palatino Linotype" w:hAnsi="Palatino Linotype" w:cs="Palatino Linotype"/>
          <w:b/>
          <w:bCs/>
          <w:i/>
          <w:iCs/>
        </w:rPr>
        <w:t>I. Toda la información en posesión de cualquier autoridad, entidad, órgano y organismos de los</w:t>
      </w:r>
      <w:r w:rsidRPr="0013549C">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13549C">
        <w:rPr>
          <w:rFonts w:ascii="Palatino Linotype" w:eastAsia="Palatino Linotype" w:hAnsi="Palatino Linotype" w:cs="Palatino Linotype"/>
          <w:b/>
          <w:bCs/>
          <w:i/>
          <w:iCs/>
        </w:rPr>
        <w:t>municipales</w:t>
      </w:r>
      <w:r w:rsidRPr="0013549C">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3549C">
        <w:rPr>
          <w:rFonts w:ascii="Palatino Linotype" w:eastAsia="Palatino Linotype" w:hAnsi="Palatino Linotype" w:cs="Palatino Linotype"/>
          <w:b/>
          <w:bCs/>
          <w:i/>
          <w:iCs/>
        </w:rPr>
        <w:t>es pública</w:t>
      </w:r>
      <w:r w:rsidRPr="0013549C">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13549C">
        <w:rPr>
          <w:rFonts w:ascii="Palatino Linotype" w:eastAsia="Palatino Linotype" w:hAnsi="Palatino Linotype" w:cs="Palatino Linotype"/>
          <w:b/>
          <w:bCs/>
          <w:i/>
          <w:iCs/>
        </w:rPr>
        <w:t>En la interpretación de este derecho deberá prevalecer el principio de máxima publicidad</w:t>
      </w:r>
      <w:r w:rsidRPr="0013549C">
        <w:rPr>
          <w:rFonts w:ascii="Palatino Linotype" w:eastAsia="Palatino Linotype" w:hAnsi="Palatino Linotype" w:cs="Palatino Linotype"/>
          <w:i/>
          <w:iCs/>
        </w:rPr>
        <w:t xml:space="preserve">. </w:t>
      </w:r>
      <w:r w:rsidRPr="0013549C">
        <w:rPr>
          <w:rFonts w:ascii="Palatino Linotype" w:eastAsia="Palatino Linotype" w:hAnsi="Palatino Linotype" w:cs="Palatino Linotype"/>
          <w:b/>
          <w:bCs/>
          <w:i/>
          <w:iCs/>
        </w:rPr>
        <w:t>Los sujetos obligados deberán documentar todo acto que derive del ejercicio de sus facultades, competencias o funciones</w:t>
      </w:r>
      <w:r w:rsidRPr="0013549C">
        <w:rPr>
          <w:rFonts w:ascii="Palatino Linotype" w:eastAsia="Palatino Linotype" w:hAnsi="Palatino Linotype" w:cs="Palatino Linotype"/>
          <w:i/>
          <w:iCs/>
        </w:rPr>
        <w:t>, la ley determinará los supuestos específicos bajo los cuales procederá la declaración de inexistencia de la información.”</w:t>
      </w:r>
    </w:p>
    <w:p w:rsidR="00F36770" w:rsidRPr="0013549C" w:rsidRDefault="00F36770" w:rsidP="00F36770">
      <w:pPr>
        <w:numPr>
          <w:ilvl w:val="0"/>
          <w:numId w:val="5"/>
        </w:numPr>
        <w:spacing w:before="240"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13549C">
        <w:rPr>
          <w:rFonts w:ascii="Palatino Linotype" w:eastAsia="Palatino Linotype" w:hAnsi="Palatino Linotype" w:cs="Palatino Linotype"/>
          <w:i/>
          <w:iCs/>
        </w:rPr>
        <w:t>por los principios de simplicidad, rapidez gratuidad del procedimiento, auxilio y orientación a los particulares</w:t>
      </w:r>
      <w:r w:rsidRPr="0013549C">
        <w:rPr>
          <w:rFonts w:ascii="Palatino Linotype" w:eastAsia="Palatino Linotype" w:hAnsi="Palatino Linotype" w:cs="Palatino Linotype"/>
        </w:rPr>
        <w:t>, contemplando el derecho de las personas con discapacidad y hablantes de lengua indígena.</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El Derecho de Acceso a la Información se garantiza y respeta oportunamente, y según lo que dispone la Ley, las </w:t>
      </w:r>
      <w:r w:rsidRPr="0013549C">
        <w:rPr>
          <w:rFonts w:ascii="Palatino Linotype" w:eastAsia="Palatino Linotype" w:hAnsi="Palatino Linotype" w:cs="Palatino Linotype"/>
          <w:i/>
          <w:iCs/>
        </w:rPr>
        <w:t>solicitudes de acceso a la información</w:t>
      </w:r>
      <w:r w:rsidRPr="0013549C">
        <w:rPr>
          <w:rFonts w:ascii="Palatino Linotype" w:eastAsia="Palatino Linotype" w:hAnsi="Palatino Linotype" w:cs="Palatino Linotype"/>
        </w:rPr>
        <w:t>.</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bookmarkStart w:id="12" w:name="_heading=h.3rdcrjn" w:colFirst="0" w:colLast="0"/>
      <w:bookmarkEnd w:id="12"/>
      <w:r w:rsidRPr="0013549C">
        <w:rPr>
          <w:rFonts w:ascii="Palatino Linotype" w:eastAsia="Palatino Linotype" w:hAnsi="Palatino Linotype" w:cs="Palatino Linotype"/>
        </w:rPr>
        <w:t xml:space="preserve">Así entonces, se procede analizar, en primer lugar, si el </w:t>
      </w:r>
      <w:r w:rsidRPr="0013549C">
        <w:rPr>
          <w:rFonts w:ascii="Palatino Linotype" w:eastAsia="Palatino Linotype" w:hAnsi="Palatino Linotype" w:cs="Palatino Linotype"/>
          <w:b/>
          <w:bCs/>
        </w:rPr>
        <w:t>SUJETO OBLIGADO</w:t>
      </w:r>
      <w:r w:rsidRPr="0013549C">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13549C" w:rsidP="00F36770">
      <w:pPr>
        <w:pStyle w:val="Ttulo1"/>
        <w:spacing w:before="0" w:after="240" w:line="360" w:lineRule="auto"/>
        <w:ind w:right="-787"/>
        <w:rPr>
          <w:rFonts w:ascii="Palatino Linotype" w:eastAsia="Palatino Linotype" w:hAnsi="Palatino Linotype" w:cs="Palatino Linotype"/>
          <w:b/>
          <w:bCs/>
          <w:color w:val="000000"/>
          <w:sz w:val="24"/>
          <w:szCs w:val="24"/>
        </w:rPr>
      </w:pPr>
      <w:bookmarkStart w:id="13" w:name="_heading=h.26in1rg" w:colFirst="0" w:colLast="0"/>
      <w:bookmarkEnd w:id="13"/>
      <w:r>
        <w:rPr>
          <w:rFonts w:ascii="Palatino Linotype" w:eastAsia="Palatino Linotype" w:hAnsi="Palatino Linotype" w:cs="Palatino Linotype"/>
          <w:b/>
          <w:bCs/>
          <w:color w:val="000000"/>
          <w:sz w:val="24"/>
          <w:szCs w:val="24"/>
        </w:rPr>
        <w:t xml:space="preserve">II. </w:t>
      </w:r>
      <w:r w:rsidR="00F36770" w:rsidRPr="0013549C">
        <w:rPr>
          <w:rFonts w:ascii="Palatino Linotype" w:eastAsia="Palatino Linotype" w:hAnsi="Palatino Linotype" w:cs="Palatino Linotype"/>
          <w:b/>
          <w:bCs/>
          <w:color w:val="000000"/>
          <w:sz w:val="24"/>
          <w:szCs w:val="24"/>
        </w:rPr>
        <w:t>De la información solicitada y la respuesta del SUJETO OBLIGADO</w:t>
      </w: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t xml:space="preserve">Acotada la </w:t>
      </w:r>
      <w:r w:rsidRPr="0013549C">
        <w:rPr>
          <w:rFonts w:ascii="Palatino Linotype" w:eastAsia="Palatino Linotype" w:hAnsi="Palatino Linotype" w:cs="Palatino Linotype"/>
          <w:i/>
          <w:iCs/>
          <w:color w:val="000000"/>
        </w:rPr>
        <w:t>Litis</w:t>
      </w:r>
      <w:r w:rsidRPr="0013549C">
        <w:rPr>
          <w:rFonts w:ascii="Palatino Linotype" w:eastAsia="Palatino Linotype" w:hAnsi="Palatino Linotype" w:cs="Palatino Linotype"/>
          <w:color w:val="000000"/>
        </w:rPr>
        <w:t xml:space="preserve"> del presente asunto se debe de analizar mediante el siguiente cuadro si el </w:t>
      </w:r>
      <w:r w:rsidRPr="0013549C">
        <w:rPr>
          <w:rFonts w:ascii="Palatino Linotype" w:eastAsia="Palatino Linotype" w:hAnsi="Palatino Linotype" w:cs="Palatino Linotype"/>
          <w:b/>
          <w:bCs/>
          <w:color w:val="000000"/>
        </w:rPr>
        <w:t xml:space="preserve">SUJETO OBLIGADO </w:t>
      </w:r>
      <w:r w:rsidRPr="0013549C">
        <w:rPr>
          <w:rFonts w:ascii="Palatino Linotype" w:eastAsia="Palatino Linotype" w:hAnsi="Palatino Linotype" w:cs="Palatino Linotype"/>
          <w:color w:val="000000"/>
        </w:rPr>
        <w:t xml:space="preserve">con la información remitida en la etapa de manifestaciones colma el derecho de acceso a la información del </w:t>
      </w:r>
      <w:r w:rsidRPr="0013549C">
        <w:rPr>
          <w:rFonts w:ascii="Palatino Linotype" w:eastAsia="Palatino Linotype" w:hAnsi="Palatino Linotype" w:cs="Palatino Linotype"/>
          <w:b/>
          <w:bCs/>
          <w:color w:val="000000"/>
        </w:rPr>
        <w:t xml:space="preserve">RECURRENTE. </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pBdr>
          <w:top w:val="nil"/>
          <w:left w:val="nil"/>
          <w:bottom w:val="nil"/>
          <w:right w:val="nil"/>
          <w:between w:val="nil"/>
        </w:pBdr>
        <w:ind w:left="360" w:right="-787"/>
        <w:jc w:val="both"/>
        <w:rPr>
          <w:rFonts w:ascii="Palatino Linotype" w:eastAsia="Palatino Linotype" w:hAnsi="Palatino Linotype" w:cs="Palatino Linotype"/>
          <w:b/>
          <w:bCs/>
          <w:i/>
          <w:iCs/>
          <w:color w:val="000000"/>
        </w:rPr>
      </w:pPr>
      <w:r w:rsidRPr="0013549C">
        <w:rPr>
          <w:rFonts w:ascii="Palatino Linotype" w:eastAsia="Palatino Linotype" w:hAnsi="Palatino Linotype" w:cs="Palatino Linotype"/>
          <w:b/>
          <w:bCs/>
          <w:i/>
          <w:iCs/>
          <w:color w:val="000000"/>
        </w:rPr>
        <w:t xml:space="preserve">De la obra del tanque de abastecimiento de agua potable denominada la “bola” </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693"/>
        <w:gridCol w:w="2099"/>
        <w:gridCol w:w="2579"/>
      </w:tblGrid>
      <w:tr w:rsidR="00F36770" w:rsidRPr="0013549C" w:rsidTr="0013549C">
        <w:trPr>
          <w:jc w:val="center"/>
        </w:trPr>
        <w:tc>
          <w:tcPr>
            <w:tcW w:w="2547" w:type="dxa"/>
          </w:tcPr>
          <w:p w:rsidR="00F36770" w:rsidRPr="0013549C" w:rsidRDefault="00F36770" w:rsidP="0013549C">
            <w:pPr>
              <w:jc w:val="center"/>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Información solicitada</w:t>
            </w:r>
          </w:p>
        </w:tc>
        <w:tc>
          <w:tcPr>
            <w:tcW w:w="2693" w:type="dxa"/>
          </w:tcPr>
          <w:p w:rsidR="00F36770" w:rsidRPr="0013549C" w:rsidRDefault="00F36770" w:rsidP="0013549C">
            <w:pPr>
              <w:jc w:val="center"/>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Respuesta inicial</w:t>
            </w:r>
          </w:p>
        </w:tc>
        <w:tc>
          <w:tcPr>
            <w:tcW w:w="2099" w:type="dxa"/>
          </w:tcPr>
          <w:p w:rsidR="00F36770" w:rsidRPr="0013549C" w:rsidRDefault="00F36770" w:rsidP="0013549C">
            <w:pPr>
              <w:jc w:val="center"/>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manifestaciones</w:t>
            </w:r>
          </w:p>
        </w:tc>
        <w:tc>
          <w:tcPr>
            <w:tcW w:w="2579" w:type="dxa"/>
          </w:tcPr>
          <w:p w:rsidR="00F36770" w:rsidRPr="0013549C" w:rsidRDefault="00F36770" w:rsidP="0013549C">
            <w:pPr>
              <w:jc w:val="center"/>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Colma</w:t>
            </w:r>
          </w:p>
        </w:tc>
      </w:tr>
      <w:tr w:rsidR="00F36770" w:rsidRPr="0013549C" w:rsidTr="0013549C">
        <w:trPr>
          <w:jc w:val="center"/>
        </w:trPr>
        <w:tc>
          <w:tcPr>
            <w:tcW w:w="2547" w:type="dxa"/>
          </w:tcPr>
          <w:p w:rsidR="00356B6F" w:rsidRPr="0013549C" w:rsidRDefault="00F36770" w:rsidP="00356B6F">
            <w:pPr>
              <w:pBdr>
                <w:top w:val="nil"/>
                <w:left w:val="nil"/>
                <w:bottom w:val="nil"/>
                <w:right w:val="nil"/>
                <w:between w:val="nil"/>
              </w:pBdr>
              <w:jc w:val="both"/>
              <w:rPr>
                <w:rFonts w:ascii="Palatino Linotype" w:eastAsia="Palatino Linotype" w:hAnsi="Palatino Linotype" w:cs="Palatino Linotype"/>
                <w:b/>
                <w:bCs/>
                <w:i/>
                <w:iCs/>
              </w:rPr>
            </w:pPr>
            <w:r w:rsidRPr="0013549C">
              <w:rPr>
                <w:rFonts w:ascii="Palatino Linotype" w:eastAsia="Palatino Linotype" w:hAnsi="Palatino Linotype" w:cs="Palatino Linotype"/>
                <w:b/>
                <w:bCs/>
                <w:i/>
                <w:iCs/>
              </w:rPr>
              <w:t xml:space="preserve">1.- </w:t>
            </w:r>
            <w:r w:rsidR="00356B6F" w:rsidRPr="0013549C">
              <w:rPr>
                <w:rFonts w:ascii="Palatino Linotype" w:eastAsia="Palatino Linotype" w:hAnsi="Palatino Linotype" w:cs="Palatino Linotype"/>
                <w:b/>
                <w:bCs/>
                <w:i/>
                <w:iCs/>
              </w:rPr>
              <w:t xml:space="preserve">Certificaciones de los Tesoreros Municipales del DIF, </w:t>
            </w:r>
            <w:r w:rsidR="00356B6F" w:rsidRPr="0013549C">
              <w:rPr>
                <w:rFonts w:ascii="Palatino Linotype" w:eastAsia="Palatino Linotype" w:hAnsi="Palatino Linotype" w:cs="Palatino Linotype"/>
                <w:b/>
                <w:bCs/>
                <w:i/>
                <w:iCs/>
              </w:rPr>
              <w:lastRenderedPageBreak/>
              <w:t>de las administraciones 2019-2021, 2022-2024 y 2025-2027</w:t>
            </w:r>
          </w:p>
          <w:p w:rsidR="00F36770" w:rsidRPr="0013549C" w:rsidRDefault="00F36770" w:rsidP="00356B6F">
            <w:pPr>
              <w:pBdr>
                <w:top w:val="nil"/>
                <w:left w:val="nil"/>
                <w:bottom w:val="nil"/>
                <w:right w:val="nil"/>
                <w:between w:val="nil"/>
              </w:pBdr>
              <w:jc w:val="both"/>
              <w:rPr>
                <w:rFonts w:ascii="Palatino Linotype" w:eastAsia="Palatino Linotype" w:hAnsi="Palatino Linotype" w:cs="Palatino Linotype"/>
                <w:b/>
                <w:bCs/>
                <w:i/>
                <w:iCs/>
              </w:rPr>
            </w:pPr>
          </w:p>
        </w:tc>
        <w:tc>
          <w:tcPr>
            <w:tcW w:w="2693" w:type="dxa"/>
          </w:tcPr>
          <w:p w:rsidR="00356B6F" w:rsidRPr="0013549C" w:rsidRDefault="00356B6F" w:rsidP="00356B6F">
            <w:pPr>
              <w:jc w:val="both"/>
              <w:rPr>
                <w:rFonts w:ascii="Palatino Linotype" w:eastAsia="Palatino Linotype" w:hAnsi="Palatino Linotype" w:cs="Palatino Linotype"/>
                <w:i/>
                <w:iCs/>
              </w:rPr>
            </w:pPr>
            <w:r w:rsidRPr="0013549C">
              <w:rPr>
                <w:rFonts w:ascii="Palatino Linotype" w:eastAsia="Palatino Linotype" w:hAnsi="Palatino Linotype" w:cs="Palatino Linotype"/>
                <w:b/>
                <w:i/>
                <w:iCs/>
              </w:rPr>
              <w:lastRenderedPageBreak/>
              <w:t xml:space="preserve">a.pdf: </w:t>
            </w:r>
            <w:r w:rsidRPr="0013549C">
              <w:rPr>
                <w:rFonts w:ascii="Palatino Linotype" w:eastAsia="Palatino Linotype" w:hAnsi="Palatino Linotype" w:cs="Palatino Linotype"/>
                <w:i/>
                <w:iCs/>
              </w:rPr>
              <w:t xml:space="preserve">documento que contiene el oficio de la Coordinadora de </w:t>
            </w:r>
            <w:r w:rsidRPr="0013549C">
              <w:rPr>
                <w:rFonts w:ascii="Palatino Linotype" w:eastAsia="Palatino Linotype" w:hAnsi="Palatino Linotype" w:cs="Palatino Linotype"/>
                <w:i/>
                <w:iCs/>
              </w:rPr>
              <w:lastRenderedPageBreak/>
              <w:t xml:space="preserve">Recursos Humanos y Control Patrimonial, mediante el cual informa que en sus archivos no se localizó información de certificaciones del periodo 2019 -2021. </w:t>
            </w:r>
          </w:p>
          <w:p w:rsidR="00356B6F" w:rsidRPr="0013549C" w:rsidRDefault="00356B6F" w:rsidP="00356B6F">
            <w:pPr>
              <w:jc w:val="both"/>
              <w:rPr>
                <w:rFonts w:ascii="Palatino Linotype" w:eastAsia="Palatino Linotype" w:hAnsi="Palatino Linotype" w:cs="Palatino Linotype"/>
                <w:b/>
                <w:i/>
                <w:iCs/>
              </w:rPr>
            </w:pPr>
            <w:r w:rsidRPr="0013549C">
              <w:rPr>
                <w:rFonts w:ascii="Palatino Linotype" w:eastAsia="Palatino Linotype" w:hAnsi="Palatino Linotype" w:cs="Palatino Linotype"/>
                <w:b/>
                <w:i/>
                <w:iCs/>
              </w:rPr>
              <w:t>En respuesta refiere que solo cuentan con los certificados de competencia laboral del periodo 2022-2024 y de la actual administración.</w:t>
            </w:r>
          </w:p>
          <w:p w:rsidR="00356B6F" w:rsidRPr="0013549C" w:rsidRDefault="00356B6F" w:rsidP="00356B6F">
            <w:pPr>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 xml:space="preserve">El documento contiene un oficio del Instituto Hacendario del Estado de México, mediante el cual se hace constar que el certificado “Administrar la Tesorería Municipal, tiene validez hasta el 17 de febrero de dos mil veintiséis. </w:t>
            </w:r>
          </w:p>
          <w:p w:rsidR="00356B6F" w:rsidRPr="0013549C" w:rsidRDefault="00356B6F" w:rsidP="00356B6F">
            <w:pPr>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t xml:space="preserve">Finalmente el documento contiene el nombramiento de la Tesorera del 2022-2024. </w:t>
            </w:r>
          </w:p>
          <w:p w:rsidR="00F36770" w:rsidRPr="0013549C" w:rsidRDefault="00F36770" w:rsidP="00F36770">
            <w:pPr>
              <w:jc w:val="both"/>
              <w:rPr>
                <w:rFonts w:ascii="Palatino Linotype" w:eastAsia="Palatino Linotype" w:hAnsi="Palatino Linotype" w:cs="Palatino Linotype"/>
                <w:i/>
                <w:iCs/>
              </w:rPr>
            </w:pPr>
          </w:p>
        </w:tc>
        <w:tc>
          <w:tcPr>
            <w:tcW w:w="2099" w:type="dxa"/>
          </w:tcPr>
          <w:p w:rsidR="00F36770" w:rsidRPr="0013549C" w:rsidRDefault="00F36770" w:rsidP="00F36770">
            <w:pPr>
              <w:pBdr>
                <w:top w:val="nil"/>
                <w:left w:val="nil"/>
                <w:bottom w:val="nil"/>
                <w:right w:val="nil"/>
                <w:between w:val="nil"/>
              </w:pBdr>
              <w:jc w:val="both"/>
              <w:rPr>
                <w:rFonts w:ascii="Palatino Linotype" w:eastAsia="Palatino Linotype" w:hAnsi="Palatino Linotype" w:cs="Palatino Linotype"/>
                <w:i/>
                <w:iCs/>
              </w:rPr>
            </w:pPr>
            <w:r w:rsidRPr="0013549C">
              <w:rPr>
                <w:rFonts w:ascii="Palatino Linotype" w:eastAsia="Palatino Linotype" w:hAnsi="Palatino Linotype" w:cs="Palatino Linotype"/>
                <w:i/>
                <w:iCs/>
              </w:rPr>
              <w:lastRenderedPageBreak/>
              <w:t>no hay pronunciamiento</w:t>
            </w:r>
          </w:p>
        </w:tc>
        <w:tc>
          <w:tcPr>
            <w:tcW w:w="2579" w:type="dxa"/>
          </w:tcPr>
          <w:p w:rsidR="00356B6F" w:rsidRPr="0013549C" w:rsidRDefault="00356B6F" w:rsidP="00F36770">
            <w:pPr>
              <w:jc w:val="both"/>
              <w:rPr>
                <w:rFonts w:ascii="Palatino Linotype" w:eastAsia="Palatino Linotype" w:hAnsi="Palatino Linotype" w:cs="Palatino Linotype"/>
                <w:b/>
                <w:i/>
                <w:iCs/>
              </w:rPr>
            </w:pPr>
            <w:r w:rsidRPr="0013549C">
              <w:rPr>
                <w:rFonts w:ascii="Palatino Linotype" w:eastAsia="Palatino Linotype" w:hAnsi="Palatino Linotype" w:cs="Palatino Linotype"/>
                <w:b/>
                <w:i/>
                <w:iCs/>
              </w:rPr>
              <w:t xml:space="preserve">No colma, toda vez que las certificaciones de </w:t>
            </w:r>
            <w:r w:rsidR="0013549C">
              <w:rPr>
                <w:rFonts w:ascii="Palatino Linotype" w:eastAsia="Palatino Linotype" w:hAnsi="Palatino Linotype" w:cs="Palatino Linotype"/>
                <w:b/>
                <w:i/>
                <w:iCs/>
              </w:rPr>
              <w:t xml:space="preserve">las </w:t>
            </w:r>
            <w:r w:rsidR="0013549C">
              <w:rPr>
                <w:rFonts w:ascii="Palatino Linotype" w:eastAsia="Palatino Linotype" w:hAnsi="Palatino Linotype" w:cs="Palatino Linotype"/>
                <w:b/>
                <w:i/>
                <w:iCs/>
              </w:rPr>
              <w:lastRenderedPageBreak/>
              <w:t>administraciones</w:t>
            </w:r>
            <w:r w:rsidRPr="0013549C">
              <w:rPr>
                <w:rFonts w:ascii="Palatino Linotype" w:eastAsia="Palatino Linotype" w:hAnsi="Palatino Linotype" w:cs="Palatino Linotype"/>
                <w:b/>
                <w:i/>
                <w:iCs/>
              </w:rPr>
              <w:t xml:space="preserve"> 2022-2024 y 2025-2027, no fueron entregadas y respecto de la administración 2019-2021, no se entrega el Acuerdo de Inexistencia del Comité de Transparencia que sustente las razones por las cuales la información no se encuentra en los archivos del SUJETO OBLIGADO. </w:t>
            </w:r>
          </w:p>
        </w:tc>
      </w:tr>
    </w:tbl>
    <w:p w:rsidR="00F36770" w:rsidRDefault="00F36770" w:rsidP="00F36770">
      <w:pPr>
        <w:spacing w:line="360" w:lineRule="auto"/>
        <w:ind w:right="-787"/>
        <w:jc w:val="both"/>
        <w:rPr>
          <w:rFonts w:ascii="Palatino Linotype" w:eastAsia="Palatino Linotype" w:hAnsi="Palatino Linotype" w:cs="Palatino Linotype"/>
        </w:rPr>
      </w:pPr>
    </w:p>
    <w:p w:rsidR="0013549C" w:rsidRPr="0013549C" w:rsidRDefault="0013549C"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lo anterior, se tiene que el </w:t>
      </w:r>
      <w:r w:rsidRPr="0013549C">
        <w:rPr>
          <w:rFonts w:ascii="Palatino Linotype" w:eastAsia="Palatino Linotype" w:hAnsi="Palatino Linotype" w:cs="Palatino Linotype"/>
          <w:b/>
          <w:bCs/>
          <w:color w:val="000000"/>
        </w:rPr>
        <w:t xml:space="preserve">SUJETO OBLIGADO </w:t>
      </w:r>
      <w:r w:rsidRPr="0013549C">
        <w:rPr>
          <w:rFonts w:ascii="Palatino Linotype" w:eastAsia="Palatino Linotype" w:hAnsi="Palatino Linotype" w:cs="Palatino Linotype"/>
          <w:color w:val="000000"/>
        </w:rPr>
        <w:t xml:space="preserve">no </w:t>
      </w:r>
      <w:r w:rsidRPr="0013549C">
        <w:rPr>
          <w:rFonts w:ascii="Palatino Linotype" w:eastAsia="Palatino Linotype" w:hAnsi="Palatino Linotype" w:cs="Palatino Linotype"/>
        </w:rPr>
        <w:t>colmó</w:t>
      </w:r>
      <w:r w:rsidRPr="0013549C">
        <w:rPr>
          <w:rFonts w:ascii="Palatino Linotype" w:eastAsia="Palatino Linotype" w:hAnsi="Palatino Linotype" w:cs="Palatino Linotype"/>
          <w:color w:val="000000"/>
        </w:rPr>
        <w:t xml:space="preserve"> el derecho de acceso a la información del </w:t>
      </w:r>
      <w:r w:rsidRPr="0013549C">
        <w:rPr>
          <w:rFonts w:ascii="Palatino Linotype" w:eastAsia="Palatino Linotype" w:hAnsi="Palatino Linotype" w:cs="Palatino Linotype"/>
          <w:b/>
          <w:bCs/>
          <w:color w:val="000000"/>
        </w:rPr>
        <w:t xml:space="preserve">RECURRENTE, </w:t>
      </w:r>
      <w:r w:rsidRPr="0013549C">
        <w:rPr>
          <w:rFonts w:ascii="Palatino Linotype" w:eastAsia="Palatino Linotype" w:hAnsi="Palatino Linotype" w:cs="Palatino Linotype"/>
          <w:color w:val="000000"/>
        </w:rPr>
        <w:t xml:space="preserve">toda vez que </w:t>
      </w:r>
      <w:r w:rsidR="00356B6F" w:rsidRPr="0013549C">
        <w:rPr>
          <w:rFonts w:ascii="Palatino Linotype" w:eastAsia="Palatino Linotype" w:hAnsi="Palatino Linotype" w:cs="Palatino Linotype"/>
          <w:color w:val="000000"/>
        </w:rPr>
        <w:t xml:space="preserve">no fue entregada la información solicitada </w:t>
      </w:r>
      <w:r w:rsidR="00356B6F" w:rsidRPr="0013549C">
        <w:rPr>
          <w:rFonts w:ascii="Palatino Linotype" w:eastAsia="Palatino Linotype" w:hAnsi="Palatino Linotype" w:cs="Palatino Linotype"/>
          <w:color w:val="000000"/>
        </w:rPr>
        <w:lastRenderedPageBreak/>
        <w:t xml:space="preserve">respecto de las administraciones 2022-2024 y 2025-2027, mientras que para la administración 2019-2021 no se entregó el Acuerdo de Inexistencia. </w:t>
      </w:r>
    </w:p>
    <w:p w:rsidR="00F36770" w:rsidRPr="0013549C" w:rsidRDefault="00F36770" w:rsidP="00F3677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1347A8"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En esa línea, </w:t>
      </w:r>
      <w:r w:rsidR="001347A8" w:rsidRPr="0013549C">
        <w:rPr>
          <w:rFonts w:ascii="Palatino Linotype" w:eastAsia="Palatino Linotype" w:hAnsi="Palatino Linotype" w:cs="Palatino Linotype"/>
          <w:color w:val="000000"/>
        </w:rPr>
        <w:t xml:space="preserve">se tiene que de acuerdo con el Manual General de Organización del Sistema Municipal Para el Desarrollo Integral de la Familia de Atenco, se integra por la Dirección de Administración y Tesorería, quien tiene las siguientes funciones. </w:t>
      </w:r>
    </w:p>
    <w:p w:rsidR="001347A8" w:rsidRPr="0013549C" w:rsidRDefault="002233D0" w:rsidP="002233D0">
      <w:pPr>
        <w:pStyle w:val="Prrafodelista"/>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3.2. DIRECCIÓN DE ADMINISTRACIÓN Y TESORERIA</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b/>
          <w:i/>
          <w:color w:val="000000"/>
        </w:rPr>
        <w:t>OBJETIVO</w:t>
      </w:r>
      <w:r w:rsidRPr="0013549C">
        <w:rPr>
          <w:rFonts w:ascii="Palatino Linotype" w:eastAsia="Palatino Linotype" w:hAnsi="Palatino Linotype" w:cs="Palatino Linotype"/>
          <w:i/>
          <w:color w:val="000000"/>
        </w:rPr>
        <w:t xml:space="preserve">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Promover y supervisar el desempeño de las actividades relacionadas con el manejo de los recursos humanos, materiales y financieros del Sistema Municipal DIF de San Mateo Atenco, procurando el óptimo aprovechamiento de los recursos asignados, conforme a los lineamientos, normas y disposiciones legales aplicables vigentes.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b/>
          <w:i/>
          <w:color w:val="000000"/>
        </w:rPr>
        <w:t>FUNCIONES:</w:t>
      </w:r>
      <w:r w:rsidRPr="0013549C">
        <w:rPr>
          <w:rFonts w:ascii="Palatino Linotype" w:eastAsia="Palatino Linotype" w:hAnsi="Palatino Linotype" w:cs="Palatino Linotype"/>
          <w:i/>
          <w:color w:val="000000"/>
        </w:rPr>
        <w:t xml:space="preserve">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 Presidir y apoyar el funcionamiento del Comité de Adquisiciones y Servicios del Organismo, de acuerdo con la normatividad aplicable;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 Participar en los diferentes consejos, órganos colegiados, comités o grupos de trabajo internos, en los que por disposición legal sea parte, o porque se lo haya instruido el Presidente o la Directora General;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 Proveer, en términos de la normatividad aplicable, los bienes y servicios para el desarrollo de las actividades del Organismo;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 Supervisar los procedimientos de adquisición y arrendamiento de bienes y contratación de servicios, que requiera el Organismo, de acuerdo con la normatividad aplicable;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5. Gestionar ante las dependencias correspondientes los recursos financieros del Organismo, de acuerdo con los lineamientos establecidos y previa autorización del Directora General;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6. Promover a la Directora General estrategias financieras para cumplir con las metas institucionales, incluyendo acciones que le permitan allegarse de recursos provenientes de financiamiento;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7. Administrar los recursos financieros del Organismo, estableciendo mecanismos para la captación y control de los ingresos destinados al </w:t>
      </w:r>
      <w:r w:rsidRPr="0013549C">
        <w:rPr>
          <w:rFonts w:ascii="Palatino Linotype" w:eastAsia="Palatino Linotype" w:hAnsi="Palatino Linotype" w:cs="Palatino Linotype"/>
          <w:i/>
          <w:color w:val="000000"/>
        </w:rPr>
        <w:lastRenderedPageBreak/>
        <w:t xml:space="preserve">cumplimiento de las obligaciones de carácter económico del DIF San Mateo Atenco; </w:t>
      </w:r>
    </w:p>
    <w:p w:rsidR="002233D0" w:rsidRPr="0013549C" w:rsidRDefault="002233D0" w:rsidP="002233D0">
      <w:pPr>
        <w:pStyle w:val="Prrafodelista"/>
        <w:ind w:left="1134" w:right="277"/>
        <w:jc w:val="both"/>
        <w:rPr>
          <w:i/>
        </w:rPr>
      </w:pPr>
      <w:r w:rsidRPr="0013549C">
        <w:rPr>
          <w:rFonts w:ascii="Palatino Linotype" w:eastAsia="Palatino Linotype" w:hAnsi="Palatino Linotype" w:cs="Palatino Linotype"/>
          <w:i/>
          <w:color w:val="000000"/>
        </w:rPr>
        <w:t>8. Asegurarse de contar con un Sistema, que registre de manera armónica, delimitada y específica las operaciones presupuestarias y contables derivadas de la gestión del Sistema, así como otros flujos económicos;</w:t>
      </w:r>
      <w:r w:rsidRPr="0013549C">
        <w:rPr>
          <w:i/>
        </w:rPr>
        <w:t xml:space="preserve">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9. Suscribir en coordinación con el Directora General, los contratos y demás documentos relativos a la apertura de cuentas bancarias del Organismo;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10. Programar y avalar las erogaciones o pagos con cargo al presupuesto de egresos del Organismo;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11. Articular el proyecto del presupuesto de ingresos y egresos del Organismo, tomando en cuenta los objetivos y requerimientos programáticos de sus unidades administrativas;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12. Programar y coordinar el manejo de los recursos financieros, así como la integración de los Presupuestos con orientación programática de las unidades administrativas del Organismo;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13. Operar y controlar el ejercicio del presupuesto de las unidades administrativas y vigilar su aplicación;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14. Formular los estados financieros del Organismo, así como los registros e informes contables y presupuestales y su presentación en tiempo y forma a las instancias correspondientes;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15. Supervisar el registro y control de los bienes muebles e inmuebles del Organismo;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16. Dar seguimiento a los informes y pliego de observaciones realizadas por las auditorías internas y externas, realizadas por las autoridades competentes, en temas relacionados con la Dirección de Administración y Tesorería;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17. Elaborar el proyecto de presupuesto de ingresos y egresos anual con orientación programática;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18. Proponer la asignación del presupuesto de egresos a los programas que integran el organismo y someterlo a la autorización de las instancias respectivas;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19. Analizar el comportamiento del ejercicio presupuestal y detectar las desviaciones que se hayan suscitado para promover y realizar los traspasos presupuestales que correspondan, previa autorización;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20. Resguardar los ingresos propios que se reciben diariamente por concepto de servicios otorgados por las diferentes coordinaciones y depositarlo en las cuentas bancarias;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lastRenderedPageBreak/>
        <w:t>21. Registrar el flujo de efectivo del Sistema, efectuando cortes de caja diarios;</w:t>
      </w:r>
      <w:r w:rsidRPr="0013549C">
        <w:rPr>
          <w:i/>
        </w:rPr>
        <w:t xml:space="preserve"> </w:t>
      </w:r>
      <w:r w:rsidRPr="0013549C">
        <w:rPr>
          <w:rFonts w:ascii="Palatino Linotype" w:eastAsia="Palatino Linotype" w:hAnsi="Palatino Linotype" w:cs="Palatino Linotype"/>
          <w:i/>
          <w:color w:val="000000"/>
        </w:rPr>
        <w:t xml:space="preserve">22. Administrar las cuentas bancarias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23. Controlar la guardia y custodia de los cheques propiedad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24. Controlar el fondo fijo de caja conforme a los lineamientos establecidos;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25. Elaborar los estados financieros y presupuestales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26. Verificar el cumplimiento de las normas y procedimientos a que debe sujetarse la contabilidad del organismo con apego a las medidas de control interno establecidas;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27. Realizar el correcto registro de los asientos contable-presupuestal que se deriven de las operaciones financieras realizadas por las diversas áreas que comprenden el Sistema, de acuerdo a la Ley General de Contabilidad Gubernamental y demás normatividad aplicable;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28. Realizar la adecuada integración contable de los activos propiedad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29. Dar cumplimiento en tiempo y forma a las obligaciones fiscales a cargo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30. Integrar y mantener el archivo y resguardo de la documentación original soporte de los registros contables así como de los estados financieros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31. Integrar el proyecto de presupuesto de ingresos y egresos definitivo del Sistema, para su aprobación ante la Junta de Gobierno y entregar al Órgano Superior de Fiscalización, así como su publicación;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32. Llevar el control de los registros contable-presupuestal, de los ingresos, egresos, activo y pasivo para elaborar en forma oportuna, los estados financieros y entregarlos al Órgano Superior de Fiscalización del Gobierno del Estado de México, de acuerdo a los lineamientos aplicables;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33. Formular y compilar las normas, políticas y procedimientos de la administración de los recursos humanos, materiales y financieros del Sistema, estableciendo los criterios de oportunidad, eficiencia y economía, así como el suministro de éstos;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34. Conducir condiciones laborales entre el personal y las autoridades del Sistema, conforme a los ordenamientos legales aplicables en materia de trabajo; 35. Controlar el registro asistencia, incapacidades, vacaciones, días no laborables y demás incidencias de los servidores públicos del Organismo;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lastRenderedPageBreak/>
        <w:t xml:space="preserve">36. Controlar los nombramientos, reconocimientos, renuncias, licencias, cambios de adscripción y promociones, previa autorización de la Dirección General;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37. Promover las sanciones administrativas y económicas a que se hagan acreedores los servidores públicos del Organismo, que deriven de resoluciones judiciales, administrativas o económicas, de conformidad con las disposiciones legales y administrativas correspondientes;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38. Regular la adquisición de los recursos materiales, su almacenamiento, inventarios y suministro, así como la prestación de los servicios de mantenimiento preventivo y correctivo de los bienes propios del Sistema que así lo requieran;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39. Proponer la ejecución de las políticas, normas y procedimientos establecidos en materia de personal para el pago de sueldos y prestaciones, selección, contratación, estímulos, sanciones, permisos, licencias, control de nómina, actualización de plantilla de personal, capacitación, así como lo referente a la organización y procedimientos administrativos, de acuerdo a la normatividad establecida y llevar su seguimiento; </w:t>
      </w:r>
    </w:p>
    <w:p w:rsidR="002233D0" w:rsidRPr="0013549C" w:rsidRDefault="002233D0" w:rsidP="002233D0">
      <w:pPr>
        <w:pStyle w:val="Prrafodelista"/>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40. Tramitar y registrar los movimientos del personal del Sistema (altas, bajas, cambios de adscripción, permisos, licencias, vacaciones, promociones, etc.) así como dirigir y controlar la actualización de los registros y controles de asistencia y puntualidad del personal; </w:t>
      </w:r>
    </w:p>
    <w:p w:rsidR="002233D0" w:rsidRPr="0013549C" w:rsidRDefault="002233D0" w:rsidP="002233D0">
      <w:pPr>
        <w:pStyle w:val="Prrafodelista"/>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41. Realizar la reubicación, movimientos de alta o baja del personal, previa autorización de la Dirección General;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42. Promover la capacitación continua para el desarrollo profesional de los servidores públicos, contribuyendo al desarrollo integral de sus funciones; </w:t>
      </w:r>
    </w:p>
    <w:p w:rsidR="002233D0" w:rsidRPr="0013549C" w:rsidRDefault="002233D0" w:rsidP="002233D0">
      <w:pPr>
        <w:pStyle w:val="Prrafodelista"/>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43. Integrar y actualizar permanentemente los expedientes del personal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44. Elaborar el Programa Anual de Adquisiciones y Servicios conforme a las normas y procedimientos vigentes;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45. Realizar investigaciones de mercado, con la finalidad de obtener los mejores precios para los procedimientos adquisitivos de bienes y contratación de servicios Coordinar, dirigir, supervisar, ejecutar y controlar las acciones relacionadas con el Programa Anual de Adquisiciones;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46. Atender las requisiciones de bienes o servicios de las diversas áreas del Sistema, previa autorización de la Dirección de Administración y Tesorería, </w:t>
      </w:r>
      <w:r w:rsidRPr="0013549C">
        <w:rPr>
          <w:rFonts w:ascii="Palatino Linotype" w:eastAsia="Palatino Linotype" w:hAnsi="Palatino Linotype" w:cs="Palatino Linotype"/>
          <w:i/>
          <w:color w:val="000000"/>
        </w:rPr>
        <w:lastRenderedPageBreak/>
        <w:t xml:space="preserve">conforme a las normas y procedimientos vigentes incluyendo la calidad de los bienes adquiridos;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47. Ejecutar la celebración de concursos y elaboración de contratos para la adquisición de bienes o contratación de servicios necesarios para el desarrollo y cumplimiento de los objetivos del Sistema;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48. Integrar y actualizar la información que se registra en el sistema correspondiente al inventario de los bienes muebles e inmuebles propiedad del Organismo y establecer mecanismos de vigilancia para su conservación, mantenimiento y procesos de almacenamiento;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49. Integrar el levantamiento del inventario de bienes muebles e inmuebles del Organismo, dos veces al año;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50. Elaborar y desarrollar un programa anual de mantenimiento preventivo, para realizar revisiones periódicas a los equipos eléctricos y electrónicos, instalaciones eléctricas, hidráulicas, gas, sanitarias y de servicios generales. 51. Llevar a cabo las acciones necesarias para prevenir daños y fallas mayores de las instalaciones y equipos de los inmuebles.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52. Suministrar los servicios generales a las áreas del Sistema, incluyendo la supervisión y control del parque vehicular (en cuanto a su asignación, mantenimiento y trámites), intendencia, vigilancia, mensajería, servicios básicos, etcétera;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53. Llevar un registro preciso de las entradas y salidas de los almacenes, así como las existencias de los insumos;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54. Designar a un responsable para atender los requerimientos de las áreas en la realización de jornadas y eventos, el cual mantendrá en óptimas condiciones el material para dichos eventos; y </w:t>
      </w:r>
    </w:p>
    <w:p w:rsidR="002233D0" w:rsidRPr="0013549C" w:rsidRDefault="002233D0" w:rsidP="002233D0">
      <w:pPr>
        <w:pStyle w:val="Prrafodelista"/>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55. Desarrollar las demás funciones inherentes al área de su competencia.</w:t>
      </w:r>
    </w:p>
    <w:p w:rsidR="002233D0" w:rsidRDefault="002233D0" w:rsidP="002233D0">
      <w:pPr>
        <w:pStyle w:val="Prrafodelista"/>
        <w:ind w:left="1134" w:right="277"/>
        <w:jc w:val="both"/>
        <w:rPr>
          <w:rFonts w:ascii="Palatino Linotype" w:eastAsia="Palatino Linotype" w:hAnsi="Palatino Linotype" w:cs="Palatino Linotype"/>
          <w:i/>
          <w:color w:val="000000"/>
        </w:rPr>
      </w:pPr>
    </w:p>
    <w:p w:rsidR="0013549C" w:rsidRDefault="0013549C" w:rsidP="002233D0">
      <w:pPr>
        <w:pStyle w:val="Prrafodelista"/>
        <w:ind w:left="1134" w:right="277"/>
        <w:jc w:val="both"/>
        <w:rPr>
          <w:rFonts w:ascii="Palatino Linotype" w:eastAsia="Palatino Linotype" w:hAnsi="Palatino Linotype" w:cs="Palatino Linotype"/>
          <w:i/>
          <w:color w:val="000000"/>
        </w:rPr>
      </w:pPr>
    </w:p>
    <w:p w:rsidR="0013549C" w:rsidRPr="0013549C" w:rsidRDefault="0013549C" w:rsidP="002233D0">
      <w:pPr>
        <w:pStyle w:val="Prrafodelista"/>
        <w:ind w:left="1134" w:right="277"/>
        <w:jc w:val="both"/>
        <w:rPr>
          <w:rFonts w:ascii="Palatino Linotype" w:eastAsia="Palatino Linotype" w:hAnsi="Palatino Linotype" w:cs="Palatino Linotype"/>
          <w:i/>
          <w:color w:val="000000"/>
        </w:rPr>
      </w:pPr>
    </w:p>
    <w:p w:rsidR="002233D0" w:rsidRPr="0013549C" w:rsidRDefault="002233D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lo anterior, se tiene que la Dirección de Administración y Tesorería es el área habilitada del </w:t>
      </w:r>
      <w:r w:rsidRPr="0013549C">
        <w:rPr>
          <w:rFonts w:ascii="Palatino Linotype" w:eastAsia="Palatino Linotype" w:hAnsi="Palatino Linotype" w:cs="Palatino Linotype"/>
          <w:b/>
          <w:color w:val="000000"/>
        </w:rPr>
        <w:t xml:space="preserve">SUJETO OBLIGADO, </w:t>
      </w:r>
      <w:r w:rsidRPr="0013549C">
        <w:rPr>
          <w:rFonts w:ascii="Palatino Linotype" w:eastAsia="Palatino Linotype" w:hAnsi="Palatino Linotype" w:cs="Palatino Linotype"/>
          <w:color w:val="000000"/>
        </w:rPr>
        <w:t xml:space="preserve">misma que dio atención por medio de la Coordinación de Recursos Humanos. </w:t>
      </w:r>
    </w:p>
    <w:p w:rsidR="002233D0" w:rsidRPr="0013549C" w:rsidRDefault="002233D0" w:rsidP="002233D0">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233D0" w:rsidRPr="0013549C" w:rsidRDefault="002233D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Ahora bien, </w:t>
      </w:r>
      <w:r w:rsidR="009149F2" w:rsidRPr="0013549C">
        <w:rPr>
          <w:rFonts w:ascii="Palatino Linotype" w:eastAsia="Palatino Linotype" w:hAnsi="Palatino Linotype" w:cs="Palatino Linotype"/>
          <w:color w:val="000000"/>
        </w:rPr>
        <w:t xml:space="preserve">mediante respuesta la Coordinación de Recursos Humanos, informó que adjuntaba las certificaciones de las Tesoreras </w:t>
      </w:r>
      <w:r w:rsidR="004E1BC2" w:rsidRPr="0013549C">
        <w:rPr>
          <w:rFonts w:ascii="Palatino Linotype" w:eastAsia="Palatino Linotype" w:hAnsi="Palatino Linotype" w:cs="Palatino Linotype"/>
          <w:color w:val="000000"/>
        </w:rPr>
        <w:t xml:space="preserve">del Sistema Municipal Para el Desarrollo Integral </w:t>
      </w:r>
      <w:r w:rsidR="009149F2" w:rsidRPr="0013549C">
        <w:rPr>
          <w:rFonts w:ascii="Palatino Linotype" w:eastAsia="Palatino Linotype" w:hAnsi="Palatino Linotype" w:cs="Palatino Linotype"/>
          <w:color w:val="000000"/>
        </w:rPr>
        <w:t xml:space="preserve">de los periodos 2022-2024 y 2025-2027, sin embargo los documentos no fueron entregados, situación por la cual para colmar el derecho de acceso a la información del </w:t>
      </w:r>
      <w:r w:rsidR="009149F2" w:rsidRPr="0013549C">
        <w:rPr>
          <w:rFonts w:ascii="Palatino Linotype" w:eastAsia="Palatino Linotype" w:hAnsi="Palatino Linotype" w:cs="Palatino Linotype"/>
          <w:b/>
          <w:color w:val="000000"/>
        </w:rPr>
        <w:t xml:space="preserve">RECURRENTE, </w:t>
      </w:r>
      <w:r w:rsidR="009149F2" w:rsidRPr="0013549C">
        <w:rPr>
          <w:rFonts w:ascii="Palatino Linotype" w:eastAsia="Palatino Linotype" w:hAnsi="Palatino Linotype" w:cs="Palatino Linotype"/>
          <w:color w:val="000000"/>
        </w:rPr>
        <w:t xml:space="preserve">el </w:t>
      </w:r>
      <w:r w:rsidR="009149F2" w:rsidRPr="0013549C">
        <w:rPr>
          <w:rFonts w:ascii="Palatino Linotype" w:eastAsia="Palatino Linotype" w:hAnsi="Palatino Linotype" w:cs="Palatino Linotype"/>
          <w:b/>
          <w:color w:val="000000"/>
        </w:rPr>
        <w:t xml:space="preserve">SUJETO OBLIGADO </w:t>
      </w:r>
      <w:r w:rsidR="009149F2" w:rsidRPr="0013549C">
        <w:rPr>
          <w:rFonts w:ascii="Palatino Linotype" w:eastAsia="Palatino Linotype" w:hAnsi="Palatino Linotype" w:cs="Palatino Linotype"/>
          <w:color w:val="000000"/>
        </w:rPr>
        <w:t xml:space="preserve">deberá de entregar  </w:t>
      </w:r>
    </w:p>
    <w:p w:rsidR="002233D0" w:rsidRPr="0013549C" w:rsidRDefault="002233D0" w:rsidP="002233D0">
      <w:pPr>
        <w:pStyle w:val="Prrafodelista"/>
        <w:rPr>
          <w:rFonts w:ascii="Palatino Linotype" w:eastAsia="Palatino Linotype" w:hAnsi="Palatino Linotype" w:cs="Palatino Linotype"/>
          <w:color w:val="000000"/>
        </w:rPr>
      </w:pPr>
    </w:p>
    <w:p w:rsidR="004E1BC2" w:rsidRPr="0013549C" w:rsidRDefault="0016386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los certificados de competencia laboral que entregue el </w:t>
      </w:r>
      <w:r w:rsidRPr="0013549C">
        <w:rPr>
          <w:rFonts w:ascii="Palatino Linotype" w:eastAsia="Palatino Linotype" w:hAnsi="Palatino Linotype" w:cs="Palatino Linotype"/>
          <w:b/>
          <w:color w:val="000000"/>
        </w:rPr>
        <w:t xml:space="preserve">SUJETO OBLIGADO </w:t>
      </w:r>
      <w:r w:rsidRPr="0013549C">
        <w:rPr>
          <w:rFonts w:ascii="Palatino Linotype" w:eastAsia="Palatino Linotype" w:hAnsi="Palatino Linotype" w:cs="Palatino Linotype"/>
          <w:color w:val="000000"/>
        </w:rPr>
        <w:t xml:space="preserve">pudiera ser el caso que de manera enunciativa más no limitativa contengan los siguientes datos personales, mismo que deberán de ser clasificados de acuerdo a lo regulado por el artículo 143 fracción I de la Ley de Transparencia y Acceso a la Información Pública del Estado de México y Municipios. </w:t>
      </w:r>
    </w:p>
    <w:p w:rsidR="00163860" w:rsidRPr="0013549C" w:rsidRDefault="00163860" w:rsidP="00163860">
      <w:pPr>
        <w:pStyle w:val="Prrafodelista"/>
        <w:rPr>
          <w:rFonts w:ascii="Palatino Linotype" w:eastAsia="Palatino Linotype" w:hAnsi="Palatino Linotype" w:cs="Palatino Linotype"/>
          <w:color w:val="000000"/>
        </w:rPr>
      </w:pPr>
    </w:p>
    <w:p w:rsidR="00163860" w:rsidRPr="0013549C" w:rsidRDefault="00163860" w:rsidP="00163860">
      <w:pPr>
        <w:spacing w:line="360" w:lineRule="auto"/>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b/>
          <w:color w:val="000000"/>
        </w:rPr>
        <w:t>Registro Federal de Contribuyentes</w:t>
      </w:r>
      <w:r w:rsidRPr="0013549C">
        <w:rPr>
          <w:rFonts w:ascii="Palatino Linotype" w:eastAsia="Palatino Linotype" w:hAnsi="Palatino Linotype" w:cs="Palatino Linotype"/>
          <w:color w:val="000000"/>
        </w:rPr>
        <w:t xml:space="preserve"> (RFC)</w:t>
      </w: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rPr>
        <w:t>Lo</w:t>
      </w:r>
      <w:r w:rsidRPr="0013549C">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rsidR="00163860" w:rsidRPr="0013549C" w:rsidRDefault="00163860" w:rsidP="00163860">
      <w:pPr>
        <w:ind w:left="1134" w:right="900"/>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w:t>
      </w:r>
      <w:r w:rsidRPr="0013549C">
        <w:rPr>
          <w:rFonts w:ascii="Palatino Linotype" w:eastAsia="Palatino Linotype" w:hAnsi="Palatino Linotype" w:cs="Palatino Linotype"/>
          <w:b/>
          <w:i/>
          <w:color w:val="000000"/>
        </w:rPr>
        <w:t>Registro Federal de Contribuyentes (RFC) de personas físicas</w:t>
      </w:r>
      <w:r w:rsidRPr="0013549C">
        <w:rPr>
          <w:rFonts w:ascii="Palatino Linotype" w:eastAsia="Palatino Linotype" w:hAnsi="Palatino Linotype" w:cs="Palatino Linotype"/>
          <w:i/>
          <w:color w:val="000000"/>
        </w:rPr>
        <w:t>. El RFC es una clave de carácter fiscal, única e irrepetible, que permite identificar al titular, su edad y fecha de nacimiento, por lo que es un dato personal de carácter confidencial.”</w:t>
      </w:r>
    </w:p>
    <w:p w:rsidR="00163860" w:rsidRPr="0013549C" w:rsidRDefault="00163860" w:rsidP="00163860">
      <w:pPr>
        <w:ind w:left="1134" w:right="900"/>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tal suerte, el Registro Federal de Contribuyentes de los servidores públicos no guarda relación con la transparencia de los recursos públicos, así como tampoco con el desempeño laboral que pueda tener una persona, por lo que constituye un dato personal </w:t>
      </w:r>
      <w:r w:rsidRPr="0013549C">
        <w:rPr>
          <w:rFonts w:ascii="Palatino Linotype" w:eastAsia="Palatino Linotype" w:hAnsi="Palatino Linotype" w:cs="Palatino Linotype"/>
          <w:color w:val="000000"/>
        </w:rPr>
        <w:lastRenderedPageBreak/>
        <w:t>confidencial al actualizar el supuesto normativo del artículo 143, fracción I de la Ley de Transparencia y Acceso a la Información Pública del Estado de México y Municipios.</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spacing w:line="360" w:lineRule="auto"/>
        <w:jc w:val="both"/>
        <w:rPr>
          <w:rFonts w:ascii="Palatino Linotype" w:eastAsia="Palatino Linotype" w:hAnsi="Palatino Linotype" w:cs="Palatino Linotype"/>
          <w:b/>
          <w:color w:val="000000"/>
        </w:rPr>
      </w:pPr>
      <w:r w:rsidRPr="0013549C">
        <w:rPr>
          <w:rFonts w:ascii="Palatino Linotype" w:eastAsia="Palatino Linotype" w:hAnsi="Palatino Linotype" w:cs="Palatino Linotype"/>
          <w:b/>
          <w:color w:val="000000"/>
        </w:rPr>
        <w:t>Clave única de Registro de Población –CURP-.</w:t>
      </w: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Acorde con lo anterior, el artículo 22 del Reglamento Interior de la Secretaría de </w:t>
      </w:r>
      <w:r w:rsidRPr="0013549C">
        <w:rPr>
          <w:rFonts w:ascii="Palatino Linotype" w:eastAsia="Palatino Linotype" w:hAnsi="Palatino Linotype" w:cs="Palatino Linotype"/>
        </w:rPr>
        <w:t>Gobernación</w:t>
      </w:r>
      <w:r w:rsidRPr="0013549C">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163860" w:rsidRPr="0013549C" w:rsidRDefault="00163860" w:rsidP="00163860">
      <w:pPr>
        <w:spacing w:line="360" w:lineRule="auto"/>
        <w:jc w:val="both"/>
        <w:rPr>
          <w:rFonts w:ascii="Palatino Linotype" w:eastAsia="Palatino Linotype" w:hAnsi="Palatino Linotype" w:cs="Palatino Linotype"/>
          <w:b/>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conformidad con lo precisado por la propia Secretaría de Gobernación en la dirección </w:t>
      </w:r>
      <w:hyperlink r:id="rId7">
        <w:r w:rsidRPr="0013549C">
          <w:rPr>
            <w:rFonts w:ascii="Palatino Linotype" w:eastAsia="Palatino Linotype" w:hAnsi="Palatino Linotype" w:cs="Palatino Linotype"/>
            <w:color w:val="0563C1"/>
            <w:u w:val="single"/>
          </w:rPr>
          <w:t>https://consultas.curp.gob.mx/CurpSP/html/informacionecurpPS.html</w:t>
        </w:r>
      </w:hyperlink>
      <w:r w:rsidRPr="0013549C">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13549C">
        <w:rPr>
          <w:rFonts w:ascii="Palatino Linotype" w:eastAsia="Palatino Linotype" w:hAnsi="Palatino Linotype" w:cs="Palatino Linotype"/>
          <w:b/>
          <w:color w:val="000000"/>
        </w:rPr>
        <w:t xml:space="preserve">se generan a partir de los datos contenidos en el documento probatorio de la identidad del </w:t>
      </w:r>
      <w:r w:rsidRPr="0013549C">
        <w:rPr>
          <w:rFonts w:ascii="Palatino Linotype" w:eastAsia="Palatino Linotype" w:hAnsi="Palatino Linotype" w:cs="Palatino Linotype"/>
          <w:b/>
          <w:color w:val="000000"/>
        </w:rPr>
        <w:lastRenderedPageBreak/>
        <w:t xml:space="preserve">interesado </w:t>
      </w:r>
      <w:r w:rsidRPr="0013549C">
        <w:rPr>
          <w:rFonts w:ascii="Palatino Linotype" w:eastAsia="Palatino Linotype" w:hAnsi="Palatino Linotype" w:cs="Palatino Linotype"/>
          <w:color w:val="000000"/>
        </w:rPr>
        <w:t>(acta de nacimiento, carta de naturalización o documento migratorio) de la siguiente forma:</w:t>
      </w:r>
    </w:p>
    <w:p w:rsidR="00163860" w:rsidRPr="0013549C" w:rsidRDefault="00163860" w:rsidP="00163860">
      <w:pPr>
        <w:spacing w:line="360" w:lineRule="auto"/>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 • El primero y segundo apellidos, así como al nombre de pila.</w:t>
      </w:r>
    </w:p>
    <w:p w:rsidR="00163860" w:rsidRPr="0013549C" w:rsidRDefault="00163860" w:rsidP="00163860">
      <w:pPr>
        <w:spacing w:line="360" w:lineRule="auto"/>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 • La fecha de nacimiento.</w:t>
      </w:r>
    </w:p>
    <w:p w:rsidR="00163860" w:rsidRPr="0013549C" w:rsidRDefault="00163860" w:rsidP="00163860">
      <w:pPr>
        <w:spacing w:line="360" w:lineRule="auto"/>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 • El sexo.</w:t>
      </w:r>
    </w:p>
    <w:p w:rsidR="00163860" w:rsidRPr="0013549C" w:rsidRDefault="00163860" w:rsidP="00163860">
      <w:pPr>
        <w:spacing w:line="360" w:lineRule="auto"/>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 • La entidad federativa de nacimiento.</w:t>
      </w:r>
    </w:p>
    <w:p w:rsidR="00163860" w:rsidRPr="0013549C" w:rsidRDefault="00163860" w:rsidP="00163860">
      <w:pPr>
        <w:spacing w:line="360" w:lineRule="auto"/>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Los dos últimos elementos de la CURP evitan la duplicidad de la Clave y garantizan su correcta integración.</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rPr>
        <w:t>Como</w:t>
      </w:r>
      <w:r w:rsidRPr="0013549C">
        <w:rPr>
          <w:rFonts w:ascii="Palatino Linotype" w:eastAsia="Palatino Linotype" w:hAnsi="Palatino Linotype" w:cs="Palatino Linotype"/>
          <w:color w:val="000000"/>
        </w:rPr>
        <w:t xml:space="preserve">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163860" w:rsidRPr="0013549C" w:rsidRDefault="00163860" w:rsidP="00163860">
      <w:pPr>
        <w:spacing w:line="360" w:lineRule="auto"/>
        <w:jc w:val="both"/>
        <w:rPr>
          <w:rFonts w:ascii="Palatino Linotype" w:eastAsia="Palatino Linotype" w:hAnsi="Palatino Linotype" w:cs="Palatino Linotype"/>
          <w:color w:val="000000"/>
        </w:rPr>
      </w:pPr>
    </w:p>
    <w:p w:rsidR="00163860" w:rsidRPr="0013549C" w:rsidRDefault="00163860" w:rsidP="0016386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rPr>
        <w:t>Resulta</w:t>
      </w:r>
      <w:r w:rsidRPr="0013549C">
        <w:rPr>
          <w:rFonts w:ascii="Palatino Linotype" w:eastAsia="Palatino Linotype" w:hAnsi="Palatino Linotype" w:cs="Palatino Linotype"/>
          <w:color w:val="000000"/>
        </w:rPr>
        <w:t xml:space="preserve"> aplicable en la especie, como argumento orientador, el Criterio 3/10, emitido por el INAI, vigente a la fecha de la solicitud de información.</w:t>
      </w:r>
    </w:p>
    <w:p w:rsidR="00163860" w:rsidRPr="0013549C" w:rsidRDefault="00163860" w:rsidP="00163860">
      <w:pPr>
        <w:ind w:left="1134" w:right="900"/>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b/>
          <w:i/>
          <w:color w:val="000000"/>
        </w:rPr>
        <w:t xml:space="preserve">Clave Única de Registro de Población (CURP) es un dato personal confidencial. </w:t>
      </w:r>
      <w:r w:rsidRPr="0013549C">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w:t>
      </w:r>
      <w:r w:rsidRPr="0013549C">
        <w:rPr>
          <w:rFonts w:ascii="Palatino Linotype" w:eastAsia="Palatino Linotype" w:hAnsi="Palatino Linotype" w:cs="Palatino Linotype"/>
          <w:i/>
          <w:color w:val="000000"/>
        </w:rPr>
        <w:lastRenderedPageBreak/>
        <w:t xml:space="preserve">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163860" w:rsidRPr="0013549C" w:rsidRDefault="00163860" w:rsidP="00163860">
      <w:pPr>
        <w:ind w:left="1134" w:right="900"/>
        <w:jc w:val="both"/>
        <w:rPr>
          <w:rFonts w:ascii="Palatino Linotype" w:eastAsia="Palatino Linotype" w:hAnsi="Palatino Linotype" w:cs="Palatino Linotype"/>
          <w:color w:val="000000"/>
        </w:rPr>
      </w:pPr>
    </w:p>
    <w:p w:rsidR="00F36770" w:rsidRPr="0013549C" w:rsidRDefault="00163860" w:rsidP="00962091">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rPr>
        <w:t>De</w:t>
      </w:r>
      <w:r w:rsidRPr="0013549C">
        <w:rPr>
          <w:rFonts w:ascii="Palatino Linotype" w:eastAsia="Palatino Linotype" w:hAnsi="Palatino Linotype" w:cs="Palatino Linotype"/>
          <w:color w:val="000000"/>
        </w:rPr>
        <w:t xml:space="preserve"> acuerdo con lo anterior, se la clave CURP, es un dato personal confidencial, en términos del artículo 143, fracción I, de la Ley de Transparencia y Acceso a la Información Pública del Estado de México y Municipios.</w:t>
      </w:r>
    </w:p>
    <w:p w:rsidR="00F36770" w:rsidRPr="0013549C" w:rsidRDefault="00F36770" w:rsidP="00F36770">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p>
    <w:p w:rsidR="00962091" w:rsidRPr="0013549C" w:rsidRDefault="00962091"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Ahora bien, por cuanto hace al certificado de competencia laboral del Tesorero del Sistema Municipal Para el Desarrollo Integral de la Familia de Atenco, la Coordinación de Recursos Humanos, informo que no contaba con la información, situación por la cual se hace el siguiente </w:t>
      </w:r>
      <w:r w:rsidR="00292B5B" w:rsidRPr="0013549C">
        <w:rPr>
          <w:rFonts w:ascii="Palatino Linotype" w:eastAsia="Palatino Linotype" w:hAnsi="Palatino Linotype" w:cs="Palatino Linotype"/>
          <w:color w:val="000000"/>
        </w:rPr>
        <w:t>análisis</w:t>
      </w:r>
      <w:r w:rsidRPr="0013549C">
        <w:rPr>
          <w:rFonts w:ascii="Palatino Linotype" w:eastAsia="Palatino Linotype" w:hAnsi="Palatino Linotype" w:cs="Palatino Linotype"/>
          <w:color w:val="000000"/>
        </w:rPr>
        <w:t xml:space="preserve">. </w:t>
      </w:r>
    </w:p>
    <w:p w:rsidR="00962091" w:rsidRPr="0013549C" w:rsidRDefault="00962091" w:rsidP="00962091">
      <w:pPr>
        <w:pStyle w:val="Prrafodelista"/>
        <w:rPr>
          <w:rFonts w:ascii="Palatino Linotype" w:eastAsia="Palatino Linotype" w:hAnsi="Palatino Linotype" w:cs="Palatino Linotype"/>
          <w:color w:val="000000"/>
        </w:rPr>
      </w:pPr>
    </w:p>
    <w:p w:rsidR="00962091" w:rsidRPr="0013549C" w:rsidRDefault="00962091"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En esa línea, de conformidad con el artículo 15 Ter de la Ley Que Crea los Organismos Públicos Descentralizados de Asistencia Social, de Carácter Municipal, Denominados “Sistemas Municipales Para El Desarrollo Integral de la Familia, los Tesoreros deben de cumplir con los siguientes requisitos. </w:t>
      </w:r>
    </w:p>
    <w:p w:rsidR="00962091" w:rsidRPr="0013549C" w:rsidRDefault="00962091" w:rsidP="00962091">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Artículo 15 Ter.- Para ocupar el cargo de Tesorero del organismo, o equivalentes, se deberán satisfacer los siguientes requisitos: </w:t>
      </w:r>
    </w:p>
    <w:p w:rsidR="00962091" w:rsidRPr="0013549C" w:rsidRDefault="00962091" w:rsidP="00962091">
      <w:pPr>
        <w:pStyle w:val="Prrafodelista"/>
        <w:numPr>
          <w:ilvl w:val="0"/>
          <w:numId w:val="11"/>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Ser ciudadano del Estado en pleno uso de sus derechos. </w:t>
      </w:r>
    </w:p>
    <w:p w:rsidR="00962091" w:rsidRPr="0013549C" w:rsidRDefault="00962091" w:rsidP="00962091">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II. No estar inhabilitado para desempeñar cargo, empleo, o comisión pública. </w:t>
      </w:r>
    </w:p>
    <w:p w:rsidR="00962091" w:rsidRPr="0013549C" w:rsidRDefault="00962091" w:rsidP="00962091">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III. No haber sido condenado en proceso penal, por delito intencional que amerite pena privativa de libertad. </w:t>
      </w:r>
    </w:p>
    <w:p w:rsidR="00962091" w:rsidRPr="0013549C" w:rsidRDefault="00962091" w:rsidP="00962091">
      <w:pPr>
        <w:pStyle w:val="Prrafodelista"/>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IV. Acreditar ante el Titular del organismo o ante el Consejo Directivo, cuando sea el caso, el tener los conocimientos suficientes para poder desempeñar el cargo, contar con título profesional en las áreas económicas o contable-administrativas con experiencia mínima de un </w:t>
      </w:r>
      <w:r w:rsidRPr="0013549C">
        <w:rPr>
          <w:rFonts w:ascii="Palatino Linotype" w:eastAsia="Palatino Linotype" w:hAnsi="Palatino Linotype" w:cs="Palatino Linotype"/>
          <w:b/>
          <w:i/>
          <w:color w:val="000000"/>
        </w:rPr>
        <w:lastRenderedPageBreak/>
        <w:t xml:space="preserve">año en la materia y con la certificación de competencia laboral específica, correspondiente al puesto, expedida por el Instituto Hacendario del Estado de México o cualquier autoridad competente. El requisito de la certificación de competencia laboral, deberá acreditarse dentro de los seis meses siguientes a la fecha en que inicie funciones. </w:t>
      </w:r>
    </w:p>
    <w:p w:rsidR="00962091" w:rsidRPr="0013549C" w:rsidRDefault="00962091" w:rsidP="00962091">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V. Caucionar el manejo de los fondos del organismo en términos de ley. </w:t>
      </w:r>
    </w:p>
    <w:p w:rsidR="00962091" w:rsidRPr="0013549C" w:rsidRDefault="00962091" w:rsidP="00962091">
      <w:pPr>
        <w:pStyle w:val="Prrafodelista"/>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VI. Cumplir con otros requisitos que señalen las leyes, o acuerde el Consejo Directivo.</w:t>
      </w:r>
    </w:p>
    <w:p w:rsidR="00962091" w:rsidRDefault="00962091" w:rsidP="00962091">
      <w:pPr>
        <w:pStyle w:val="Prrafodelista"/>
        <w:rPr>
          <w:rFonts w:ascii="Palatino Linotype" w:eastAsia="Palatino Linotype" w:hAnsi="Palatino Linotype" w:cs="Palatino Linotype"/>
          <w:color w:val="000000"/>
        </w:rPr>
      </w:pPr>
    </w:p>
    <w:p w:rsidR="0013549C" w:rsidRPr="0013549C" w:rsidRDefault="0013549C" w:rsidP="00962091">
      <w:pPr>
        <w:pStyle w:val="Prrafodelista"/>
        <w:rPr>
          <w:rFonts w:ascii="Palatino Linotype" w:eastAsia="Palatino Linotype" w:hAnsi="Palatino Linotype" w:cs="Palatino Linotype"/>
          <w:color w:val="000000"/>
        </w:rPr>
      </w:pPr>
    </w:p>
    <w:p w:rsidR="00726BC6" w:rsidRPr="0013549C" w:rsidRDefault="00962091" w:rsidP="00726BC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lo anterior, se tiene que el Tesorero del Sistema Municipal Para el Desarrollo Integral de la Familia del Municipio de Atenco, si debe de cumplir el requisito de contar con el Certificado de Competencia Laboral, situación por la cual el </w:t>
      </w:r>
      <w:r w:rsidRPr="0013549C">
        <w:rPr>
          <w:rFonts w:ascii="Palatino Linotype" w:eastAsia="Palatino Linotype" w:hAnsi="Palatino Linotype" w:cs="Palatino Linotype"/>
          <w:b/>
          <w:color w:val="000000"/>
        </w:rPr>
        <w:t xml:space="preserve">SUJETO OBLIGADO </w:t>
      </w:r>
      <w:r w:rsidRPr="0013549C">
        <w:rPr>
          <w:rFonts w:ascii="Palatino Linotype" w:eastAsia="Palatino Linotype" w:hAnsi="Palatino Linotype" w:cs="Palatino Linotype"/>
          <w:color w:val="000000"/>
        </w:rPr>
        <w:t xml:space="preserve">debe de sustentar </w:t>
      </w:r>
      <w:r w:rsidR="00726BC6" w:rsidRPr="0013549C">
        <w:rPr>
          <w:rFonts w:ascii="Palatino Linotype" w:eastAsia="Palatino Linotype" w:hAnsi="Palatino Linotype" w:cs="Palatino Linotype"/>
          <w:color w:val="000000"/>
        </w:rPr>
        <w:t xml:space="preserve">mediante un Acuerdo de Inexistencia aprobado por el Comité de Transparencia, las razones por las cuales la información no se encuentra en sus archivos, situación por la cual se hace el siguiente </w:t>
      </w:r>
      <w:r w:rsidR="00292B5B" w:rsidRPr="0013549C">
        <w:rPr>
          <w:rFonts w:ascii="Palatino Linotype" w:eastAsia="Palatino Linotype" w:hAnsi="Palatino Linotype" w:cs="Palatino Linotype"/>
          <w:color w:val="000000"/>
        </w:rPr>
        <w:t>análisis</w:t>
      </w:r>
      <w:r w:rsidR="00726BC6" w:rsidRPr="0013549C">
        <w:rPr>
          <w:rFonts w:ascii="Palatino Linotype" w:eastAsia="Palatino Linotype" w:hAnsi="Palatino Linotype" w:cs="Palatino Linotype"/>
          <w:color w:val="000000"/>
        </w:rPr>
        <w:t xml:space="preserve">. </w:t>
      </w:r>
    </w:p>
    <w:p w:rsidR="00726BC6" w:rsidRPr="0013549C" w:rsidRDefault="00726BC6" w:rsidP="00726BC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E90458" w:rsidRPr="0013549C" w:rsidRDefault="00E90458" w:rsidP="00E90458">
      <w:pPr>
        <w:numPr>
          <w:ilvl w:val="0"/>
          <w:numId w:val="5"/>
        </w:numPr>
        <w:pBdr>
          <w:top w:val="nil"/>
          <w:left w:val="nil"/>
          <w:bottom w:val="nil"/>
          <w:right w:val="nil"/>
          <w:between w:val="nil"/>
        </w:pBdr>
        <w:spacing w:line="360" w:lineRule="auto"/>
        <w:ind w:left="0" w:right="-787" w:firstLine="0"/>
        <w:jc w:val="both"/>
      </w:pPr>
      <w:r w:rsidRPr="0013549C">
        <w:rPr>
          <w:rFonts w:ascii="Palatino Linotype" w:eastAsia="Palatino Linotype" w:hAnsi="Palatino Linotype" w:cs="Palatino Linotype"/>
        </w:rPr>
        <w:t xml:space="preserve">De conformidad con la Ley de Transparencia y Acceso a la Información Pública del Estado de México y Municipios, el Acuerdo de Inexistencia tiene su regulación de conformidad con lo siguiente. </w:t>
      </w:r>
    </w:p>
    <w:p w:rsidR="00E90458" w:rsidRPr="0013549C" w:rsidRDefault="00E90458" w:rsidP="00E90458">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Artículo 19.</w:t>
      </w:r>
      <w:r w:rsidRPr="0013549C">
        <w:rPr>
          <w:rFonts w:ascii="Palatino Linotype" w:eastAsia="Palatino Linotype" w:hAnsi="Palatino Linotype" w:cs="Palatino Linotype"/>
          <w:i/>
        </w:rPr>
        <w:t xml:space="preserve"> Se presume que la información debe existir si se refiere a las facultades, competencias y funciones que los ordenamientos jurídicos aplicables otorgan a los sujetos obligados. </w:t>
      </w:r>
    </w:p>
    <w:p w:rsidR="00E90458" w:rsidRPr="0013549C" w:rsidRDefault="00E90458" w:rsidP="00E90458">
      <w:pPr>
        <w:ind w:left="1134" w:right="277"/>
        <w:jc w:val="both"/>
        <w:rPr>
          <w:i/>
        </w:rPr>
      </w:pPr>
      <w:r w:rsidRPr="0013549C">
        <w:rPr>
          <w:rFonts w:ascii="Palatino Linotype" w:eastAsia="Palatino Linotype" w:hAnsi="Palatino Linotype" w:cs="Palatino Linotype"/>
          <w:i/>
        </w:rPr>
        <w:t>En los casos en que ciertas facultades, competencias o funciones no se hayan ejercido, se debe motivar la respuesta en función de las causas que motiven tal circunstancia.</w:t>
      </w:r>
      <w:r w:rsidRPr="0013549C">
        <w:rPr>
          <w:i/>
        </w:rPr>
        <w:t xml:space="preserve"> </w:t>
      </w:r>
    </w:p>
    <w:p w:rsidR="00E90458" w:rsidRPr="0013549C" w:rsidRDefault="00E90458" w:rsidP="00E90458">
      <w:pPr>
        <w:ind w:left="1134" w:right="277"/>
        <w:jc w:val="both"/>
      </w:pPr>
      <w:r w:rsidRPr="0013549C">
        <w:rPr>
          <w:rFonts w:ascii="Palatino Linotype" w:eastAsia="Palatino Linotype" w:hAnsi="Palatino Linotype" w:cs="Palatino Linotype"/>
          <w:b/>
          <w:i/>
        </w:rPr>
        <w:t xml:space="preserve">Si el sujeto obligado, en el ejercicio de sus atribuciones, debía generar, poseer o administrar la información, pero ésta no se encuentra, el Comité de transparencia deberá emitir un acuerdo de inexistencia, debidamente </w:t>
      </w:r>
      <w:r w:rsidRPr="0013549C">
        <w:rPr>
          <w:rFonts w:ascii="Palatino Linotype" w:eastAsia="Palatino Linotype" w:hAnsi="Palatino Linotype" w:cs="Palatino Linotype"/>
          <w:b/>
          <w:i/>
        </w:rPr>
        <w:lastRenderedPageBreak/>
        <w:t>fundado y motivado, en el que detalle las razones del por qué no obra en sus archivos.</w:t>
      </w:r>
      <w:r w:rsidRPr="0013549C">
        <w:t xml:space="preserve"> </w:t>
      </w:r>
    </w:p>
    <w:p w:rsidR="00E90458" w:rsidRPr="0013549C" w:rsidRDefault="00E90458" w:rsidP="00E90458">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Artículo 49.</w:t>
      </w:r>
      <w:r w:rsidRPr="0013549C">
        <w:rPr>
          <w:rFonts w:ascii="Palatino Linotype" w:eastAsia="Palatino Linotype" w:hAnsi="Palatino Linotype" w:cs="Palatino Linotype"/>
          <w:i/>
        </w:rPr>
        <w:t xml:space="preserve"> Los Comités de Transparencia tendrán las siguientes atribuciones: </w:t>
      </w:r>
    </w:p>
    <w:p w:rsidR="00E90458" w:rsidRPr="0013549C" w:rsidRDefault="00E90458" w:rsidP="00E90458">
      <w:pPr>
        <w:numPr>
          <w:ilvl w:val="0"/>
          <w:numId w:val="12"/>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Instituir, coordinar y supervisar en términos de las disposiciones aplicables, las acciones, medidas y procedimientos que coadyuven a asegurar una mayor eficacia en la gestión y atención de las solicitudes en materia de acceso a la información;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II. Confirmar, modificar o revocar las determinaciones que en materia de ampliación del plazo de respuesta, clasificación de la información y declaración de inexistencia o de incompetencia realicen los titulares de las áreas de los sujetos obligados;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III. 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IV. Establecer políticas para facilitar la obtención y entrega de información en las solicitudes que permita el adecuado ejercicio del derecho de acceso a la información;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V. Promover la capacitación y actualización de los servidores públicos o integrantes adscritos a las unidades de transparencia;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VI. Establecer programas de capacitación en materia de transparencia, acceso a la información, accesibilidad y protección de datos personales, para todos los servidores públicos o integrantes del sujeto obligado;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VII. Solicitar y autorizar la ampliación del plazo de reserva de la información a que se refiere esta Ley;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VIII. Aprobar, modificar o revocar la clasificación de la información;</w:t>
      </w:r>
      <w:r w:rsidRPr="0013549C">
        <w:rPr>
          <w:color w:val="000000"/>
        </w:rPr>
        <w:t xml:space="preserve">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IX. Supervisar la aplicación de los lineamientos en materia de acceso a la información pública para el manejo, mantenimiento y seguridad de los datos personales, así como de los criterios de clasificación expedidos por el Instituto;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X. Elaborar un programa para facilitar la sistematización y actualización de la información, mismo que deberá remitirse al Instituto dentro de los primeros veinte días de cada año;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XI. Recabar y enviar al Instituto, de conformidad con los lineamientos que éste expida, los datos necesarios para la elaboración del informe anual;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lastRenderedPageBreak/>
        <w:t xml:space="preserve">XII. Emitir las resoluciones que correspondan para la atención de las solicitudes de información;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XIII. Dictaminar las declaratorias de inexistencia de la información que les remitan las unidades administrativas y resolver en consecuencia;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XIV. Supervisar el registro y actualización de las solicitudes de acceso a la información, así como sus trámites, costos y resultados;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XV. Fomentar la cultura de transparencia;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XVI. Supervisar el cumplimiento de criterios y lineamientos en materia de información clasificada;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XVII. Vigilar el cumplimiento de las resoluciones y recomendaciones que emita el Instituto; y </w:t>
      </w:r>
    </w:p>
    <w:p w:rsidR="00E90458" w:rsidRPr="0013549C" w:rsidRDefault="00E90458" w:rsidP="00E90458">
      <w:pPr>
        <w:pBdr>
          <w:top w:val="nil"/>
          <w:left w:val="nil"/>
          <w:bottom w:val="nil"/>
          <w:right w:val="nil"/>
          <w:between w:val="nil"/>
        </w:pBdr>
        <w:ind w:left="1134" w:right="277"/>
        <w:jc w:val="both"/>
        <w:rPr>
          <w:color w:val="000000"/>
        </w:rPr>
      </w:pPr>
      <w:r w:rsidRPr="0013549C">
        <w:rPr>
          <w:rFonts w:ascii="Palatino Linotype" w:eastAsia="Palatino Linotype" w:hAnsi="Palatino Linotype" w:cs="Palatino Linotype"/>
          <w:i/>
          <w:color w:val="000000"/>
        </w:rPr>
        <w:t>XVIII. Las demás que se desprendan de la presente Ley y las disposiciones jurídicas aplicables, que faciliten el acceso a la información.</w:t>
      </w:r>
      <w:r w:rsidRPr="0013549C">
        <w:rPr>
          <w:color w:val="000000"/>
        </w:rPr>
        <w:t xml:space="preserve">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b/>
          <w:i/>
          <w:color w:val="000000"/>
        </w:rPr>
        <w:t>Artículo 169.</w:t>
      </w:r>
      <w:r w:rsidRPr="0013549C">
        <w:rPr>
          <w:rFonts w:ascii="Palatino Linotype" w:eastAsia="Palatino Linotype" w:hAnsi="Palatino Linotype" w:cs="Palatino Linotype"/>
          <w:i/>
          <w:color w:val="000000"/>
        </w:rPr>
        <w:t xml:space="preserve"> Cuando la información no se encuentre en los archivos del sujeto obligado, el Comité de Transparencia: </w:t>
      </w:r>
    </w:p>
    <w:p w:rsidR="00E90458" w:rsidRPr="0013549C" w:rsidRDefault="00E90458" w:rsidP="00E90458">
      <w:pPr>
        <w:numPr>
          <w:ilvl w:val="0"/>
          <w:numId w:val="13"/>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Analizará el caso y tomará las medidas necesarias para localizar la información;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II. Expedirá una resolución que confirme la inexistencia del documento;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i/>
          <w:color w:val="000000"/>
        </w:rPr>
        <w:t xml:space="preserve">IV. Notificará al órgano interno de control o equivalente del sujeto obligado quien, en su caso, deberá iniciar el procedimiento de responsabilidad administrativa que corresponda.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 xml:space="preserve">La Unidad de Transparencia deberá notificarlo al solicitante por escrito, en un plazo que no exceda de quince días hábiles contados a partir del día siguiente a la presentación de la solicitud. </w:t>
      </w:r>
    </w:p>
    <w:p w:rsidR="00E90458" w:rsidRPr="0013549C" w:rsidRDefault="00E90458" w:rsidP="00E90458">
      <w:pPr>
        <w:pBdr>
          <w:top w:val="nil"/>
          <w:left w:val="nil"/>
          <w:bottom w:val="nil"/>
          <w:right w:val="nil"/>
          <w:between w:val="nil"/>
        </w:pBdr>
        <w:ind w:left="1134" w:right="277"/>
        <w:jc w:val="both"/>
        <w:rPr>
          <w:color w:val="000000"/>
        </w:rPr>
      </w:pPr>
      <w:r w:rsidRPr="0013549C">
        <w:rPr>
          <w:rFonts w:ascii="Palatino Linotype" w:eastAsia="Palatino Linotype" w:hAnsi="Palatino Linotype" w:cs="Palatino Linotype"/>
          <w:i/>
          <w:color w:val="000000"/>
        </w:rPr>
        <w:t>Este plazo podrá ampliarse hasta por otros siete días hábiles, siempre que existan razones para ello, debiendo notificarse por escrito al solicitante.</w:t>
      </w:r>
      <w:r w:rsidRPr="0013549C">
        <w:rPr>
          <w:color w:val="000000"/>
        </w:rPr>
        <w:t xml:space="preserve"> </w:t>
      </w:r>
    </w:p>
    <w:p w:rsidR="00E90458" w:rsidRPr="0013549C" w:rsidRDefault="00E90458" w:rsidP="00E90458">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13549C">
        <w:rPr>
          <w:rFonts w:ascii="Palatino Linotype" w:eastAsia="Palatino Linotype" w:hAnsi="Palatino Linotype" w:cs="Palatino Linotype"/>
          <w:b/>
          <w:i/>
          <w:color w:val="000000"/>
        </w:rPr>
        <w:t>Artículo 170.</w:t>
      </w:r>
      <w:r w:rsidRPr="0013549C">
        <w:rPr>
          <w:rFonts w:ascii="Palatino Linotype" w:eastAsia="Palatino Linotype" w:hAnsi="Palatino Linotype" w:cs="Palatino Linotype"/>
          <w:i/>
          <w:color w:val="000000"/>
        </w:rPr>
        <w:t xml:space="preserve"> La resolución del Comité de Transparencia que confirme la inexistencia de la información solicitada contendrá los elementos mínimos que </w:t>
      </w:r>
      <w:r w:rsidRPr="0013549C">
        <w:rPr>
          <w:rFonts w:ascii="Palatino Linotype" w:eastAsia="Palatino Linotype" w:hAnsi="Palatino Linotype" w:cs="Palatino Linotype"/>
          <w:i/>
          <w:color w:val="000000"/>
        </w:rPr>
        <w:lastRenderedPageBreak/>
        <w:t>permitan al solicitante tener la certeza de que se utilizó un criterio de búsqueda exhaustivo, además de señalar las circunstancias de tiempo, modo y lugar que generaron la existencia en cuestión y señalará al servidor público responsable de contar con la misma.</w:t>
      </w:r>
    </w:p>
    <w:p w:rsidR="00E90458" w:rsidRPr="0013549C" w:rsidRDefault="00E90458" w:rsidP="00E90458">
      <w:pPr>
        <w:ind w:left="1134" w:right="277"/>
        <w:jc w:val="both"/>
        <w:rPr>
          <w:rFonts w:ascii="Palatino Linotype" w:eastAsia="Palatino Linotype" w:hAnsi="Palatino Linotype" w:cs="Palatino Linotype"/>
        </w:rPr>
      </w:pPr>
    </w:p>
    <w:p w:rsidR="00E90458" w:rsidRPr="0013549C" w:rsidRDefault="00E90458" w:rsidP="00E90458">
      <w:pPr>
        <w:numPr>
          <w:ilvl w:val="0"/>
          <w:numId w:val="5"/>
        </w:numPr>
        <w:pBdr>
          <w:top w:val="nil"/>
          <w:left w:val="nil"/>
          <w:bottom w:val="nil"/>
          <w:right w:val="nil"/>
          <w:between w:val="nil"/>
        </w:pBdr>
        <w:spacing w:line="360" w:lineRule="auto"/>
        <w:ind w:left="0" w:right="-787" w:firstLine="0"/>
        <w:jc w:val="both"/>
      </w:pPr>
      <w:r w:rsidRPr="0013549C">
        <w:rPr>
          <w:rFonts w:ascii="Palatino Linotype" w:eastAsia="Palatino Linotype" w:hAnsi="Palatino Linotype" w:cs="Palatino Linotype"/>
        </w:rPr>
        <w:t xml:space="preserve">De todo lo expuesto con anterioridad, se observa que cuando los sujetos obligados tengan la obligación de contar con la información solicitada pero dentro de sus archivos no se encuentre después de una búsqueda exhaustiva y razonable, deberán de entregar el Acuerdo de Inexistencia, mediante el cual el Comité de </w:t>
      </w:r>
      <w:r w:rsidRPr="0013549C">
        <w:rPr>
          <w:rFonts w:ascii="Palatino Linotype" w:eastAsia="Palatino Linotype" w:hAnsi="Palatino Linotype" w:cs="Palatino Linotype"/>
          <w:color w:val="000000"/>
        </w:rPr>
        <w:t>Transparencia</w:t>
      </w:r>
      <w:r w:rsidRPr="0013549C">
        <w:rPr>
          <w:rFonts w:ascii="Palatino Linotype" w:eastAsia="Palatino Linotype" w:hAnsi="Palatino Linotype" w:cs="Palatino Linotype"/>
        </w:rPr>
        <w:t xml:space="preserve"> de manera fundada y motivada expongan las razones por la cuales la información solicitada no se encuentra en los archivos del </w:t>
      </w:r>
      <w:r w:rsidR="00972C36" w:rsidRPr="0013549C">
        <w:rPr>
          <w:rFonts w:ascii="Palatino Linotype" w:eastAsia="Palatino Linotype" w:hAnsi="Palatino Linotype" w:cs="Palatino Linotype"/>
          <w:b/>
        </w:rPr>
        <w:t xml:space="preserve">SUJETO OBLIGADO, </w:t>
      </w:r>
      <w:r w:rsidR="00972C36" w:rsidRPr="0013549C">
        <w:rPr>
          <w:rFonts w:ascii="Palatino Linotype" w:eastAsia="Palatino Linotype" w:hAnsi="Palatino Linotype" w:cs="Palatino Linotype"/>
        </w:rPr>
        <w:t xml:space="preserve">situación por la cual se analiza lo siguiente. </w:t>
      </w:r>
    </w:p>
    <w:p w:rsidR="00972C36" w:rsidRPr="0013549C" w:rsidRDefault="00972C36" w:rsidP="00972C36">
      <w:pPr>
        <w:pBdr>
          <w:top w:val="nil"/>
          <w:left w:val="nil"/>
          <w:bottom w:val="nil"/>
          <w:right w:val="nil"/>
          <w:between w:val="nil"/>
        </w:pBdr>
        <w:spacing w:line="360" w:lineRule="auto"/>
        <w:ind w:right="-787"/>
        <w:jc w:val="both"/>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Ahora bien, se tiene que el </w:t>
      </w:r>
      <w:r w:rsidRPr="0013549C">
        <w:rPr>
          <w:rFonts w:ascii="Palatino Linotype" w:eastAsia="Palatino Linotype" w:hAnsi="Palatino Linotype" w:cs="Palatino Linotype"/>
          <w:b/>
          <w:color w:val="000000"/>
        </w:rPr>
        <w:t xml:space="preserve">RECURRENTE </w:t>
      </w:r>
      <w:r w:rsidRPr="0013549C">
        <w:rPr>
          <w:rFonts w:ascii="Palatino Linotype" w:eastAsia="Palatino Linotype" w:hAnsi="Palatino Linotype" w:cs="Palatino Linotype"/>
          <w:color w:val="000000"/>
        </w:rPr>
        <w:t>solicito el certificado de competencia laboral del Tesorero</w:t>
      </w:r>
      <w:r w:rsidR="002923B3" w:rsidRPr="0013549C">
        <w:rPr>
          <w:rFonts w:ascii="Palatino Linotype" w:eastAsia="Palatino Linotype" w:hAnsi="Palatino Linotype" w:cs="Palatino Linotype"/>
          <w:color w:val="000000"/>
        </w:rPr>
        <w:t xml:space="preserve"> del Sistema Municipal Para el Desarrollo Integral de la Familia del Municipio de Atenco </w:t>
      </w:r>
      <w:r w:rsidRPr="0013549C">
        <w:rPr>
          <w:rFonts w:ascii="Palatino Linotype" w:eastAsia="Palatino Linotype" w:hAnsi="Palatino Linotype" w:cs="Palatino Linotype"/>
          <w:color w:val="000000"/>
        </w:rPr>
        <w:t xml:space="preserve">de la Administración 2019-2021, situación por la cual se debe de analizar que el área habilitada informo que en sus archivos no se encuentra la información, situación por la cual al haber transcurrido seis años de haber poseído la información pudo haber causado baja documental. </w:t>
      </w:r>
    </w:p>
    <w:p w:rsidR="00972C36" w:rsidRPr="0013549C" w:rsidRDefault="00972C36" w:rsidP="00972C36">
      <w:pPr>
        <w:pBdr>
          <w:top w:val="nil"/>
          <w:left w:val="nil"/>
          <w:bottom w:val="nil"/>
          <w:right w:val="nil"/>
          <w:between w:val="nil"/>
        </w:pBdr>
        <w:ind w:left="720"/>
        <w:rPr>
          <w:rFonts w:ascii="Palatino Linotype" w:eastAsia="Palatino Linotype" w:hAnsi="Palatino Linotype" w:cs="Palatino Linotype"/>
          <w:color w:val="000000"/>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De lo </w:t>
      </w:r>
      <w:r w:rsidRPr="0013549C">
        <w:rPr>
          <w:rFonts w:ascii="Palatino Linotype" w:eastAsia="Palatino Linotype" w:hAnsi="Palatino Linotype" w:cs="Palatino Linotype"/>
          <w:color w:val="000000"/>
        </w:rPr>
        <w:t>anterior</w:t>
      </w:r>
      <w:r w:rsidRPr="0013549C">
        <w:rPr>
          <w:rFonts w:ascii="Palatino Linotype" w:eastAsia="Palatino Linotype" w:hAnsi="Palatino Linotype" w:cs="Palatino Linotype"/>
        </w:rPr>
        <w:t xml:space="preserve">,  es importante referir el estudio de la baja documental que considera la </w:t>
      </w:r>
      <w:r w:rsidRPr="0013549C">
        <w:rPr>
          <w:rFonts w:ascii="Palatino Linotype" w:eastAsia="Palatino Linotype" w:hAnsi="Palatino Linotype" w:cs="Palatino Linotype"/>
          <w:b/>
        </w:rPr>
        <w:t xml:space="preserve">LEY DE ARCHIVOS Y ADMINISTRACIÓN DE DOCUMENTOS DEL ESTADO DE MÉXICO Y MUNICIPIOS, en su artículo 1 ° </w:t>
      </w:r>
      <w:r w:rsidRPr="0013549C">
        <w:rPr>
          <w:rFonts w:ascii="Palatino Linotype" w:eastAsia="Palatino Linotype" w:hAnsi="Palatino Linotype" w:cs="Palatino Linotype"/>
        </w:rPr>
        <w:t xml:space="preserve">tiene como objeto </w:t>
      </w:r>
      <w:r w:rsidRPr="0013549C">
        <w:rPr>
          <w:rFonts w:ascii="Palatino Linotype" w:eastAsia="Palatino Linotype" w:hAnsi="Palatino Linotype" w:cs="Palatino Linotype"/>
          <w:i/>
        </w:rPr>
        <w:t xml:space="preserve">“Artículo 1. La presente Ley es de orden público y de observancia general en el Estado de México, y tiene por objeto establecer la organización, conservación, administración y preservación homogénea de los Archivos en posesión de cualquier autoridad, entidad, órgano y organismo de los poderes Legislativo, Ejecutivo y Judicial, órganos autónomos, partidos políticos, fideicomisos y fondos públicos, así como de cualquier persona </w:t>
      </w:r>
      <w:r w:rsidRPr="0013549C">
        <w:rPr>
          <w:rFonts w:ascii="Palatino Linotype" w:eastAsia="Palatino Linotype" w:hAnsi="Palatino Linotype" w:cs="Palatino Linotype"/>
          <w:i/>
        </w:rPr>
        <w:lastRenderedPageBreak/>
        <w:t xml:space="preserve">física, jurídica colectiva o sindicato que reciba y ejerza recursos públicos o realice actos de autoridad del Estado de México y municipios. Así como determinar las bases de organización y funcionamiento del Sistema Estatal de Archivos y </w:t>
      </w:r>
      <w:r w:rsidRPr="0013549C">
        <w:rPr>
          <w:rFonts w:ascii="Palatino Linotype" w:eastAsia="Palatino Linotype" w:hAnsi="Palatino Linotype" w:cs="Palatino Linotype"/>
          <w:b/>
          <w:i/>
        </w:rPr>
        <w:t>fomentar el resguardo, difusión y acceso público</w:t>
      </w:r>
      <w:r w:rsidRPr="0013549C">
        <w:rPr>
          <w:rFonts w:ascii="Palatino Linotype" w:eastAsia="Palatino Linotype" w:hAnsi="Palatino Linotype" w:cs="Palatino Linotype"/>
          <w:i/>
        </w:rPr>
        <w:t xml:space="preserve"> de Archivos privados de relevancia histórica, social, cultural, científica y técnica estatal…” </w:t>
      </w:r>
    </w:p>
    <w:p w:rsidR="00972C36" w:rsidRPr="0013549C" w:rsidRDefault="00972C36" w:rsidP="00972C36">
      <w:pPr>
        <w:spacing w:line="360" w:lineRule="auto"/>
        <w:ind w:right="-787"/>
        <w:jc w:val="both"/>
        <w:rPr>
          <w:rFonts w:ascii="Palatino Linotype" w:eastAsia="Palatino Linotype" w:hAnsi="Palatino Linotype" w:cs="Palatino Linotype"/>
          <w:i/>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Así mismo, la normativa citada con antelación, considera en su artículo cuarto los siguientes hechos que son de relevancia para el estudio del presente recurso: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V. Archivo de Concentración</w:t>
      </w:r>
      <w:r w:rsidRPr="0013549C">
        <w:rPr>
          <w:rFonts w:ascii="Palatino Linotype" w:eastAsia="Palatino Linotype" w:hAnsi="Palatino Linotype" w:cs="Palatino Linotype"/>
          <w:i/>
        </w:rPr>
        <w:t xml:space="preserve">: Al integrado por documentos transferidos desde las áreas o unidades productoras, cuyo uso y consulta es esporádica y que permanecen en él, hasta su Disposición Documental;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VI. </w:t>
      </w:r>
      <w:r w:rsidRPr="0013549C">
        <w:rPr>
          <w:rFonts w:ascii="Palatino Linotype" w:eastAsia="Palatino Linotype" w:hAnsi="Palatino Linotype" w:cs="Palatino Linotype"/>
          <w:b/>
          <w:i/>
        </w:rPr>
        <w:t>Archivo de Trámite</w:t>
      </w:r>
      <w:r w:rsidRPr="0013549C">
        <w:rPr>
          <w:rFonts w:ascii="Palatino Linotype" w:eastAsia="Palatino Linotype" w:hAnsi="Palatino Linotype" w:cs="Palatino Linotype"/>
          <w:i/>
        </w:rPr>
        <w:t xml:space="preserve">: Al integrado por Documentos de Archivo de uso cotidiano y necesario para el ejercicio de las atribuciones y funciones de los Sujetos Obligados;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VII</w:t>
      </w:r>
      <w:r w:rsidRPr="0013549C">
        <w:rPr>
          <w:rFonts w:ascii="Palatino Linotype" w:eastAsia="Palatino Linotype" w:hAnsi="Palatino Linotype" w:cs="Palatino Linotype"/>
          <w:b/>
          <w:i/>
        </w:rPr>
        <w:t>. Archivo General:</w:t>
      </w:r>
      <w:r w:rsidRPr="0013549C">
        <w:rPr>
          <w:rFonts w:ascii="Palatino Linotype" w:eastAsia="Palatino Linotype" w:hAnsi="Palatino Linotype" w:cs="Palatino Linotype"/>
          <w:i/>
        </w:rPr>
        <w:t xml:space="preserve"> Al Archivo General de la Nación</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VIII. Archivo General del Estado:</w:t>
      </w:r>
      <w:r w:rsidRPr="0013549C">
        <w:rPr>
          <w:rFonts w:ascii="Palatino Linotype" w:eastAsia="Palatino Linotype" w:hAnsi="Palatino Linotype" w:cs="Palatino Linotype"/>
          <w:i/>
        </w:rPr>
        <w:t xml:space="preserve"> Al Archivo General del Estado de México;</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 </w:t>
      </w:r>
      <w:r w:rsidRPr="0013549C">
        <w:rPr>
          <w:rFonts w:ascii="Palatino Linotype" w:eastAsia="Palatino Linotype" w:hAnsi="Palatino Linotype" w:cs="Palatino Linotype"/>
          <w:b/>
          <w:i/>
        </w:rPr>
        <w:t>IX. Archivo Histórico:</w:t>
      </w:r>
      <w:r w:rsidRPr="0013549C">
        <w:rPr>
          <w:rFonts w:ascii="Palatino Linotype" w:eastAsia="Palatino Linotype" w:hAnsi="Palatino Linotype" w:cs="Palatino Linotype"/>
          <w:i/>
        </w:rPr>
        <w:t xml:space="preserve"> Al integrado por documentos de conservación permanente y de relevancia para la memoria estatal o municipal de carácter público;</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XIII. </w:t>
      </w:r>
      <w:r w:rsidRPr="0013549C">
        <w:rPr>
          <w:rFonts w:ascii="Palatino Linotype" w:eastAsia="Palatino Linotype" w:hAnsi="Palatino Linotype" w:cs="Palatino Linotype"/>
          <w:b/>
          <w:i/>
        </w:rPr>
        <w:t>Baja Documental:</w:t>
      </w:r>
      <w:r w:rsidRPr="0013549C">
        <w:rPr>
          <w:rFonts w:ascii="Palatino Linotype" w:eastAsia="Palatino Linotype" w:hAnsi="Palatino Linotype" w:cs="Palatino Linotype"/>
          <w:i/>
        </w:rPr>
        <w:t xml:space="preserve"> A la eliminación de aquella documentación que haya prescrito su vigencia, valores documentales y, en su caso, plazos de conservación; y que no posea valores históricos, de acuerdo con la Ley y las disposiciones jurídicas aplicables;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XIV</w:t>
      </w:r>
      <w:r w:rsidRPr="0013549C">
        <w:rPr>
          <w:rFonts w:ascii="Palatino Linotype" w:eastAsia="Palatino Linotype" w:hAnsi="Palatino Linotype" w:cs="Palatino Linotype"/>
          <w:b/>
          <w:i/>
        </w:rPr>
        <w:t>. Catálogo de Disposición Documental:</w:t>
      </w:r>
      <w:r w:rsidRPr="0013549C">
        <w:rPr>
          <w:rFonts w:ascii="Palatino Linotype" w:eastAsia="Palatino Linotype" w:hAnsi="Palatino Linotype" w:cs="Palatino Linotype"/>
          <w:i/>
        </w:rPr>
        <w:t xml:space="preserve"> Al registro general y sistemático que establece los valores documentales, la Vigencia Documental, los plazos de conservación y la Disposición Documental;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XV. Ciclo Vital:</w:t>
      </w:r>
      <w:r w:rsidRPr="0013549C">
        <w:rPr>
          <w:rFonts w:ascii="Palatino Linotype" w:eastAsia="Palatino Linotype" w:hAnsi="Palatino Linotype" w:cs="Palatino Linotype"/>
          <w:i/>
        </w:rPr>
        <w:t xml:space="preserve"> A las etapas por las que atraviesan los Documentos de Archivo desde su producción o recepción hasta su Baja Documental o Transferencia a un Archivo Histórico;”</w:t>
      </w:r>
    </w:p>
    <w:p w:rsidR="00972C36" w:rsidRPr="0013549C" w:rsidRDefault="00972C36" w:rsidP="00972C36">
      <w:pPr>
        <w:ind w:right="-787"/>
        <w:rPr>
          <w:rFonts w:ascii="Palatino Linotype" w:eastAsia="Palatino Linotype" w:hAnsi="Palatino Linotype" w:cs="Palatino Linotype"/>
          <w:i/>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Es </w:t>
      </w:r>
      <w:r w:rsidRPr="0013549C">
        <w:rPr>
          <w:rFonts w:ascii="Palatino Linotype" w:eastAsia="Palatino Linotype" w:hAnsi="Palatino Linotype" w:cs="Palatino Linotype"/>
          <w:color w:val="000000"/>
        </w:rPr>
        <w:t>necesario</w:t>
      </w:r>
      <w:r w:rsidRPr="0013549C">
        <w:rPr>
          <w:rFonts w:ascii="Palatino Linotype" w:eastAsia="Palatino Linotype" w:hAnsi="Palatino Linotype" w:cs="Palatino Linotype"/>
        </w:rPr>
        <w:t xml:space="preserve"> precisar que la LEY DE ARCHIVOS Y ADMINISTRACIÓN DE DOCUMENTOS DEL ESTADO DE MÉXICO Y MUNICIPIOS, en su artículo 10° refiere que </w:t>
      </w:r>
      <w:r w:rsidRPr="0013549C">
        <w:rPr>
          <w:rFonts w:ascii="Palatino Linotype" w:eastAsia="Palatino Linotype" w:hAnsi="Palatino Linotype" w:cs="Palatino Linotype"/>
        </w:rPr>
        <w:lastRenderedPageBreak/>
        <w:t xml:space="preserve">los sujetos obligados son responsables de organizar y conservar sus Archivos; de la operación de su Sistema Institucional; del cumplimiento de lo dispuesto por esta Ley; así como por las determinaciones que emita el Consejo Estatal, según corresponda; y deberán garantizar que no se sustraigan, dañen o eliminen Documentos de Archivo y la información a su cargo. </w:t>
      </w:r>
    </w:p>
    <w:p w:rsidR="00972C36" w:rsidRPr="0013549C" w:rsidRDefault="00972C36" w:rsidP="00972C36">
      <w:pPr>
        <w:spacing w:line="360" w:lineRule="auto"/>
        <w:ind w:right="-787"/>
        <w:jc w:val="both"/>
        <w:rPr>
          <w:rFonts w:ascii="Palatino Linotype" w:eastAsia="Palatino Linotype" w:hAnsi="Palatino Linotype" w:cs="Palatino Linotype"/>
          <w:i/>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Por su parte, la ley de  la materia en el ámbito estatal en su artículo 3°, fracción XLI refiere que el sujeto obligado es :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Sujetos obligados:</w:t>
      </w:r>
      <w:r w:rsidRPr="0013549C">
        <w:rPr>
          <w:rFonts w:ascii="Palatino Linotype" w:eastAsia="Palatino Linotype" w:hAnsi="Palatino Linotype" w:cs="Palatino Linotype"/>
          <w:i/>
        </w:rPr>
        <w:t xml:space="preserve"> 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jurídico colectiva o sindicato que reciba y ejerza recursos públicos o realice actos de autoridad en el ámbito estatal y municipal, que deba cumplir con las obligaciones previstas en la presente Ley;</w:t>
      </w:r>
    </w:p>
    <w:p w:rsidR="00972C36" w:rsidRPr="0013549C" w:rsidRDefault="00972C36" w:rsidP="00972C36">
      <w:pPr>
        <w:spacing w:line="360" w:lineRule="auto"/>
        <w:ind w:right="-787"/>
        <w:rPr>
          <w:rFonts w:ascii="Palatino Linotype" w:eastAsia="Palatino Linotype" w:hAnsi="Palatino Linotype" w:cs="Palatino Linotype"/>
          <w:i/>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t>Ahora</w:t>
      </w:r>
      <w:r w:rsidRPr="0013549C">
        <w:rPr>
          <w:rFonts w:ascii="Palatino Linotype" w:eastAsia="Palatino Linotype" w:hAnsi="Palatino Linotype" w:cs="Palatino Linotype"/>
        </w:rPr>
        <w:t xml:space="preserve"> bien, el artículo 31 ° de la LEY DE ARCHIVOS Y ADMINISTRACIÓN DE </w:t>
      </w:r>
      <w:r w:rsidRPr="0013549C">
        <w:rPr>
          <w:rFonts w:ascii="Palatino Linotype" w:eastAsia="Palatino Linotype" w:hAnsi="Palatino Linotype" w:cs="Palatino Linotype"/>
          <w:color w:val="000000"/>
        </w:rPr>
        <w:t>DOCUMENTOS</w:t>
      </w:r>
      <w:r w:rsidRPr="0013549C">
        <w:rPr>
          <w:rFonts w:ascii="Palatino Linotype" w:eastAsia="Palatino Linotype" w:hAnsi="Palatino Linotype" w:cs="Palatino Linotype"/>
        </w:rPr>
        <w:t xml:space="preserve"> DEL ESTADO DE MÉXICO Y MUNICIPIOS, establece que Cada Sujeto Obligado debe contar con un Archivo de Concentración, que tendrá las siguientes funciones: </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Asegurar y describir los Fondos Documentales bajo su resguardo, así como la consulta de los Expedientes; </w:t>
      </w:r>
    </w:p>
    <w:p w:rsidR="00972C36" w:rsidRPr="0013549C" w:rsidRDefault="00972C36" w:rsidP="00972C36">
      <w:pPr>
        <w:numPr>
          <w:ilvl w:val="0"/>
          <w:numId w:val="17"/>
        </w:numPr>
        <w:ind w:left="1134" w:right="277" w:firstLine="0"/>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Recibir las Transferencias Primarias y brindar servicios de préstamo y consulta a las unidades o áreas administrativas productoras de la documentación que resguarda; </w:t>
      </w:r>
    </w:p>
    <w:p w:rsidR="00972C36" w:rsidRPr="0013549C" w:rsidRDefault="00972C36" w:rsidP="00972C36">
      <w:pPr>
        <w:numPr>
          <w:ilvl w:val="0"/>
          <w:numId w:val="17"/>
        </w:numPr>
        <w:ind w:left="1134" w:right="277" w:firstLine="0"/>
        <w:jc w:val="both"/>
        <w:rPr>
          <w:rFonts w:ascii="Palatino Linotype" w:eastAsia="Palatino Linotype" w:hAnsi="Palatino Linotype" w:cs="Palatino Linotype"/>
          <w:b/>
          <w:i/>
        </w:rPr>
      </w:pPr>
      <w:r w:rsidRPr="0013549C">
        <w:rPr>
          <w:rFonts w:ascii="Palatino Linotype" w:eastAsia="Palatino Linotype" w:hAnsi="Palatino Linotype" w:cs="Palatino Linotype"/>
          <w:b/>
          <w:i/>
        </w:rPr>
        <w:t xml:space="preserve">Conservar los Expedientes hasta cumplir su Vigencia Documental de acuerdo con lo establecido en el Catálogo de Disposición Documental; </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Colaborar con el Área Coordinadora de Archivos en la elaboración de los Instrumentos de Control Archivístico previstos en esta Ley y en sus disposiciones reglamentarias;</w:t>
      </w:r>
      <w:r w:rsidRPr="0013549C">
        <w:t xml:space="preserve"> </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lastRenderedPageBreak/>
        <w:t xml:space="preserve">Participar con el Área Coordinadora de Archivos en la elaboración de los criterios de Valoración y Disposición Documental; </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b/>
          <w:i/>
        </w:rPr>
      </w:pPr>
      <w:r w:rsidRPr="0013549C">
        <w:rPr>
          <w:rFonts w:ascii="Palatino Linotype" w:eastAsia="Palatino Linotype" w:hAnsi="Palatino Linotype" w:cs="Palatino Linotype"/>
          <w:i/>
        </w:rPr>
        <w:t xml:space="preserve"> </w:t>
      </w:r>
      <w:r w:rsidRPr="0013549C">
        <w:rPr>
          <w:rFonts w:ascii="Palatino Linotype" w:eastAsia="Palatino Linotype" w:hAnsi="Palatino Linotype" w:cs="Palatino Linotype"/>
          <w:b/>
          <w:i/>
        </w:rPr>
        <w:t xml:space="preserve">Promover la Baja Documental de los Expedientes que integran las Series documentales que hayan cumplido su Vigencia Documental y, en su caso, plazos de conservación y que no posean valores históricos, conforme a las disposiciones jurídicas aplicables; </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Identificar los Expedientes que integran las Series documentales que hayan cumplido su Vigencia Documental y que cuenten con valores históricos, y que serán transferidos a los Archivos Históricos de los Sujetos Obligados, según corresponda;</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 Integrar a sus respectivos Expedientes, el registro de los procesos de Disposición Documental, incluyendo dictámenes, actas e inventarios;</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Realizar la Transferencia Secundaria de las Series documentales que hayan cumplido su Vigencia Documental y posean valores evidenciales, testimoniales e informativos al Archivo Histórico del Sujeto Obligado, o al Archivo General del Estado según corresponda, y</w:t>
      </w:r>
    </w:p>
    <w:p w:rsidR="00972C36" w:rsidRPr="0013549C" w:rsidRDefault="00972C36" w:rsidP="00972C36">
      <w:pPr>
        <w:numPr>
          <w:ilvl w:val="0"/>
          <w:numId w:val="17"/>
        </w:numPr>
        <w:ind w:left="1134" w:right="277" w:firstLine="60"/>
        <w:jc w:val="both"/>
        <w:rPr>
          <w:rFonts w:ascii="Palatino Linotype" w:eastAsia="Palatino Linotype" w:hAnsi="Palatino Linotype" w:cs="Palatino Linotype"/>
          <w:i/>
        </w:rPr>
      </w:pPr>
      <w:r w:rsidRPr="0013549C">
        <w:rPr>
          <w:rFonts w:ascii="Palatino Linotype" w:eastAsia="Palatino Linotype" w:hAnsi="Palatino Linotype" w:cs="Palatino Linotype"/>
          <w:i/>
        </w:rPr>
        <w:t xml:space="preserve"> Las que establezca el Consejo Estatal, y las disposiciones jurídicas aplicables.</w:t>
      </w:r>
    </w:p>
    <w:p w:rsidR="00972C36" w:rsidRPr="0013549C" w:rsidRDefault="00972C36" w:rsidP="00972C36">
      <w:pPr>
        <w:ind w:right="-787"/>
        <w:rPr>
          <w:rFonts w:ascii="Palatino Linotype" w:eastAsia="Palatino Linotype" w:hAnsi="Palatino Linotype" w:cs="Palatino Linotype"/>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En ese sentido, se tienen que tomar en cuenta los Criterios Técnicos de las dependencias y Organismos Auxiliares de la Administración Pública Estatal Para la Elaboración, Actualización, Registro y Validación del Catálogo de Disposición Documental, mismo que refiere en su artículo 8 la vigencia y plazos de conservación documental de la siguiente manera. </w:t>
      </w:r>
    </w:p>
    <w:p w:rsidR="00972C36" w:rsidRPr="0013549C" w:rsidRDefault="00972C36" w:rsidP="00972C36">
      <w:pPr>
        <w:tabs>
          <w:tab w:val="left" w:pos="851"/>
        </w:tabs>
        <w:ind w:left="1134" w:right="277"/>
        <w:jc w:val="both"/>
        <w:rPr>
          <w:i/>
        </w:rPr>
      </w:pPr>
      <w:r w:rsidRPr="0013549C">
        <w:rPr>
          <w:rFonts w:ascii="Palatino Linotype" w:eastAsia="Palatino Linotype" w:hAnsi="Palatino Linotype" w:cs="Palatino Linotype"/>
          <w:b/>
          <w:i/>
          <w:color w:val="000000"/>
        </w:rPr>
        <w:t>Artículo 8.</w:t>
      </w:r>
      <w:r w:rsidRPr="0013549C">
        <w:rPr>
          <w:rFonts w:ascii="Palatino Linotype" w:eastAsia="Palatino Linotype" w:hAnsi="Palatino Linotype" w:cs="Palatino Linotype"/>
          <w:i/>
          <w:color w:val="000000"/>
        </w:rPr>
        <w:t xml:space="preserve"> Para el establecimiento de las vigencias documentales, los plazos de conservación y la disposición final de las series, las dependencias y organismos deberán contemplar el marco normativo bajo el cual se produjeron las series y considerar los periodos de guarda y custodia siguientes:</w:t>
      </w:r>
      <w:r w:rsidRPr="0013549C">
        <w:rPr>
          <w:i/>
        </w:rPr>
        <w:t xml:space="preserve"> </w:t>
      </w:r>
    </w:p>
    <w:p w:rsidR="00972C36" w:rsidRPr="0013549C" w:rsidRDefault="00972C36" w:rsidP="00972C36">
      <w:pPr>
        <w:numPr>
          <w:ilvl w:val="0"/>
          <w:numId w:val="16"/>
        </w:numPr>
        <w:tabs>
          <w:tab w:val="left" w:pos="851"/>
        </w:tabs>
        <w:ind w:left="1134" w:right="277" w:firstLine="0"/>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lastRenderedPageBreak/>
        <w:t xml:space="preserve">2 años como mínimo para expedientes de asuntos concluidos en los archivos de trámite de las unidades administrativas, periodo que se computará a partir del día siguiente a la fecha del documento con el que se dé por concluido el asunto que motivó la integración de cada expediente; </w:t>
      </w:r>
    </w:p>
    <w:p w:rsidR="00972C36" w:rsidRPr="0013549C" w:rsidRDefault="00972C36" w:rsidP="00972C36">
      <w:pPr>
        <w:tabs>
          <w:tab w:val="left" w:pos="851"/>
        </w:tabs>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II. 6 años para expedientes de series documentales con valor documental administrativo; </w:t>
      </w:r>
    </w:p>
    <w:p w:rsidR="00972C36" w:rsidRPr="0013549C" w:rsidRDefault="00972C36" w:rsidP="00972C36">
      <w:pPr>
        <w:tabs>
          <w:tab w:val="left" w:pos="851"/>
        </w:tabs>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III. 6 años como mínimo para expedientes de series documentales con valor documental fiscal-contable; </w:t>
      </w:r>
    </w:p>
    <w:p w:rsidR="00972C36" w:rsidRPr="0013549C" w:rsidRDefault="00972C36" w:rsidP="00972C36">
      <w:pPr>
        <w:tabs>
          <w:tab w:val="left" w:pos="851"/>
        </w:tabs>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IV. 12 años para expedientes de series documentales con valor documental jurídico-legal; </w:t>
      </w:r>
    </w:p>
    <w:p w:rsidR="00972C36" w:rsidRPr="0013549C" w:rsidRDefault="00972C36" w:rsidP="00972C36">
      <w:pPr>
        <w:tabs>
          <w:tab w:val="left" w:pos="851"/>
        </w:tabs>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 xml:space="preserve">V. Cuando en la legislación se establezca un tiempo superior al señalado en las fracciones anteriores, se considerará éste para establecer los plazos de conservación de las series. </w:t>
      </w:r>
    </w:p>
    <w:p w:rsidR="00972C36" w:rsidRPr="0013549C" w:rsidRDefault="00972C36" w:rsidP="00972C36">
      <w:pPr>
        <w:tabs>
          <w:tab w:val="left" w:pos="851"/>
        </w:tabs>
        <w:ind w:left="1134" w:right="277"/>
        <w:jc w:val="both"/>
        <w:rPr>
          <w:rFonts w:ascii="Palatino Linotype" w:eastAsia="Palatino Linotype" w:hAnsi="Palatino Linotype" w:cs="Palatino Linotype"/>
          <w:i/>
          <w:color w:val="000000"/>
        </w:rPr>
      </w:pPr>
      <w:r w:rsidRPr="0013549C">
        <w:rPr>
          <w:rFonts w:ascii="Palatino Linotype" w:eastAsia="Palatino Linotype" w:hAnsi="Palatino Linotype" w:cs="Palatino Linotype"/>
          <w:i/>
          <w:color w:val="000000"/>
        </w:rPr>
        <w:t>VI. Los plazos de conservación relativos al archivo contable gubernamental se determinarán atendiendo lo señalado en el Código Financiero del Estado de México y Municipios y en las disposiciones establecidas al respecto por la Secretaría de Finanzas del Gobierno del Estado de México y la Secretaría de Hacienda y Crédito Público.</w:t>
      </w:r>
    </w:p>
    <w:p w:rsidR="00972C36" w:rsidRPr="0013549C" w:rsidRDefault="00972C36" w:rsidP="00972C36">
      <w:pPr>
        <w:tabs>
          <w:tab w:val="left" w:pos="851"/>
        </w:tabs>
        <w:ind w:left="1134" w:right="-787"/>
        <w:jc w:val="both"/>
        <w:rPr>
          <w:rFonts w:ascii="Palatino Linotype" w:eastAsia="Palatino Linotype" w:hAnsi="Palatino Linotype" w:cs="Palatino Linotype"/>
          <w:i/>
          <w:color w:val="000000"/>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rPr>
        <w:t>Sirve</w:t>
      </w:r>
      <w:r w:rsidRPr="0013549C">
        <w:rPr>
          <w:rFonts w:ascii="Palatino Linotype" w:eastAsia="Palatino Linotype" w:hAnsi="Palatino Linotype" w:cs="Palatino Linotype"/>
          <w:color w:val="000000"/>
        </w:rPr>
        <w:t xml:space="preserve"> de apoyo el criterio 14-09 que emite el Instituto Nacional de </w:t>
      </w:r>
      <w:r w:rsidRPr="0013549C">
        <w:rPr>
          <w:rFonts w:ascii="Palatino Linotype" w:eastAsia="Palatino Linotype" w:hAnsi="Palatino Linotype" w:cs="Palatino Linotype"/>
        </w:rPr>
        <w:t>Transparencia</w:t>
      </w:r>
      <w:r w:rsidRPr="0013549C">
        <w:rPr>
          <w:rFonts w:ascii="Palatino Linotype" w:eastAsia="Palatino Linotype" w:hAnsi="Palatino Linotype" w:cs="Palatino Linotype"/>
          <w:color w:val="000000"/>
        </w:rPr>
        <w:t>, Acceso a la Información y Protección de Datos Personales, vigente a la fecha de la solicitud de información,  que a la letra dice:</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b/>
          <w:i/>
        </w:rPr>
        <w:t>Baja documental</w:t>
      </w:r>
      <w:r w:rsidRPr="0013549C">
        <w:rPr>
          <w:rFonts w:ascii="Palatino Linotype" w:eastAsia="Palatino Linotype" w:hAnsi="Palatino Linotype" w:cs="Palatino Linotype"/>
          <w:i/>
        </w:rPr>
        <w:t xml:space="preserve">.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w:t>
      </w:r>
      <w:r w:rsidRPr="0013549C">
        <w:rPr>
          <w:rFonts w:ascii="Palatino Linotype" w:eastAsia="Palatino Linotype" w:hAnsi="Palatino Linotype" w:cs="Palatino Linotype"/>
          <w:i/>
        </w:rPr>
        <w:lastRenderedPageBreak/>
        <w:t>todos aquellos casos en los que la normatividad en materia archivística prevea que la misma debe existir.</w:t>
      </w:r>
    </w:p>
    <w:p w:rsidR="00972C36" w:rsidRPr="0013549C" w:rsidRDefault="00972C36" w:rsidP="00972C36">
      <w:pPr>
        <w:ind w:left="1134" w:right="277"/>
        <w:jc w:val="both"/>
        <w:rPr>
          <w:rFonts w:ascii="Palatino Linotype" w:eastAsia="Palatino Linotype" w:hAnsi="Palatino Linotype" w:cs="Palatino Linotype"/>
          <w:i/>
        </w:rPr>
      </w:pP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Expedientes:</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4650/07 Instituto de Seguridad y Servicios Sociales de los Trabajadores del</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Estado – Alonso Lujambio Irazábal</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0908/08 Instituto Mexicano del Seguro Social – Alonso Lujambio Irazábal</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4961/08 Instituto Mexicano del Seguro Social – Alonso Gómez-Robledo V.</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0820/09  Secretaría de Agricultura, Ganadería, Desarrollo Rural, Pesca y</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Alimentación – Jacqueline Peschard Mariscal</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3928/09 Administración Federal de Servicios Educativos en el Distrito Federal –</w:t>
      </w:r>
    </w:p>
    <w:p w:rsidR="00972C36" w:rsidRPr="0013549C" w:rsidRDefault="00972C36" w:rsidP="00972C36">
      <w:pPr>
        <w:ind w:left="1134" w:right="277"/>
        <w:jc w:val="both"/>
        <w:rPr>
          <w:rFonts w:ascii="Palatino Linotype" w:eastAsia="Palatino Linotype" w:hAnsi="Palatino Linotype" w:cs="Palatino Linotype"/>
          <w:i/>
        </w:rPr>
      </w:pPr>
      <w:r w:rsidRPr="0013549C">
        <w:rPr>
          <w:rFonts w:ascii="Palatino Linotype" w:eastAsia="Palatino Linotype" w:hAnsi="Palatino Linotype" w:cs="Palatino Linotype"/>
          <w:i/>
        </w:rPr>
        <w:t>María Marván Laborde</w:t>
      </w:r>
    </w:p>
    <w:p w:rsidR="00972C36" w:rsidRPr="0013549C" w:rsidRDefault="00972C36" w:rsidP="00972C36">
      <w:pPr>
        <w:pBdr>
          <w:top w:val="nil"/>
          <w:left w:val="nil"/>
          <w:bottom w:val="nil"/>
          <w:right w:val="nil"/>
          <w:between w:val="nil"/>
        </w:pBdr>
        <w:ind w:left="1134" w:right="277"/>
        <w:rPr>
          <w:rFonts w:ascii="Palatino Linotype" w:eastAsia="Palatino Linotype" w:hAnsi="Palatino Linotype" w:cs="Palatino Linotype"/>
          <w:color w:val="000000"/>
        </w:rPr>
      </w:pPr>
    </w:p>
    <w:p w:rsidR="00972C36" w:rsidRPr="0013549C" w:rsidRDefault="00972C36" w:rsidP="00972C36">
      <w:pPr>
        <w:ind w:left="1134" w:right="277"/>
        <w:jc w:val="both"/>
        <w:rPr>
          <w:rFonts w:ascii="Palatino Linotype" w:eastAsia="Palatino Linotype" w:hAnsi="Palatino Linotype" w:cs="Palatino Linotype"/>
        </w:rPr>
      </w:pPr>
    </w:p>
    <w:p w:rsidR="00972C36" w:rsidRPr="0013549C" w:rsidRDefault="00972C36" w:rsidP="00972C36">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t xml:space="preserve">De lo anterior, toda vez que ha transcurrido el tiempo de la conservación de archivos que, es que es que pudiera ser que el </w:t>
      </w:r>
      <w:r w:rsidRPr="0013549C">
        <w:rPr>
          <w:rFonts w:ascii="Palatino Linotype" w:eastAsia="Palatino Linotype" w:hAnsi="Palatino Linotype" w:cs="Palatino Linotype"/>
          <w:b/>
          <w:color w:val="000000"/>
        </w:rPr>
        <w:t xml:space="preserve">SUJETO OBLIGADO </w:t>
      </w:r>
      <w:r w:rsidRPr="0013549C">
        <w:rPr>
          <w:rFonts w:ascii="Palatino Linotype" w:eastAsia="Palatino Linotype" w:hAnsi="Palatino Linotype" w:cs="Palatino Linotype"/>
          <w:color w:val="000000"/>
        </w:rPr>
        <w:t xml:space="preserve">no cuente con los documentos que contenga la información </w:t>
      </w:r>
      <w:r w:rsidRPr="0013549C">
        <w:rPr>
          <w:rFonts w:ascii="Palatino Linotype" w:eastAsia="Palatino Linotype" w:hAnsi="Palatino Linotype" w:cs="Palatino Linotype"/>
          <w:b/>
          <w:color w:val="000000"/>
        </w:rPr>
        <w:t>del certificado de competencia laboral del Tesorero del Sistema Municipal Para el Desarrollo Integral de la Familia del Municipio de Atenco</w:t>
      </w:r>
      <w:r w:rsidRPr="0013549C">
        <w:rPr>
          <w:rFonts w:ascii="Palatino Linotype" w:eastAsia="Palatino Linotype" w:hAnsi="Palatino Linotype" w:cs="Palatino Linotype"/>
          <w:color w:val="000000"/>
        </w:rPr>
        <w:t xml:space="preserve">, situación por la el </w:t>
      </w:r>
      <w:r w:rsidRPr="0013549C">
        <w:rPr>
          <w:rFonts w:ascii="Palatino Linotype" w:eastAsia="Palatino Linotype" w:hAnsi="Palatino Linotype" w:cs="Palatino Linotype"/>
          <w:b/>
          <w:color w:val="000000"/>
        </w:rPr>
        <w:t xml:space="preserve">SUJETO OBLIGADO </w:t>
      </w:r>
      <w:r w:rsidRPr="0013549C">
        <w:rPr>
          <w:rFonts w:ascii="Palatino Linotype" w:eastAsia="Palatino Linotype" w:hAnsi="Palatino Linotype" w:cs="Palatino Linotype"/>
          <w:color w:val="000000"/>
        </w:rPr>
        <w:t xml:space="preserve">deberá de emitir el Acuerdo de Inexistencia en términos de </w:t>
      </w:r>
      <w:r w:rsidRPr="0013549C">
        <w:rPr>
          <w:rFonts w:ascii="Palatino Linotype" w:eastAsia="Palatino Linotype" w:hAnsi="Palatino Linotype" w:cs="Palatino Linotype"/>
        </w:rPr>
        <w:t>los artículos 49, fracciones II y XIII, 169 y 170 de la Ley de Transparencia y Acceso a la Información Pública del Estado de México y Municipios que al respecto emita su Comité de Transparencia, acompañado del acta de baja documental.</w:t>
      </w:r>
    </w:p>
    <w:p w:rsidR="00972C36" w:rsidRPr="0013549C" w:rsidRDefault="00972C36" w:rsidP="00972C36">
      <w:pPr>
        <w:pBdr>
          <w:top w:val="nil"/>
          <w:left w:val="nil"/>
          <w:bottom w:val="nil"/>
          <w:right w:val="nil"/>
          <w:between w:val="nil"/>
        </w:pBdr>
        <w:spacing w:line="360" w:lineRule="auto"/>
        <w:ind w:right="-787"/>
        <w:jc w:val="both"/>
      </w:pPr>
    </w:p>
    <w:p w:rsidR="00E90458" w:rsidRPr="0013549C" w:rsidRDefault="00E90458" w:rsidP="00E90458">
      <w:pPr>
        <w:rPr>
          <w:rFonts w:ascii="Palatino Linotype" w:eastAsia="Palatino Linotype" w:hAnsi="Palatino Linotype" w:cs="Palatino Linotype"/>
          <w:color w:val="000000"/>
        </w:rPr>
      </w:pPr>
    </w:p>
    <w:p w:rsidR="00F36770" w:rsidRPr="0013549C" w:rsidRDefault="00F36770" w:rsidP="00F36770">
      <w:pPr>
        <w:keepNext/>
        <w:keepLines/>
        <w:spacing w:after="160" w:line="360" w:lineRule="auto"/>
        <w:ind w:right="-787"/>
        <w:rPr>
          <w:rFonts w:ascii="Palatino Linotype" w:eastAsia="Palatino Linotype" w:hAnsi="Palatino Linotype" w:cs="Palatino Linotype"/>
          <w:b/>
          <w:bCs/>
          <w:color w:val="000000"/>
        </w:rPr>
      </w:pPr>
      <w:r w:rsidRPr="0013549C">
        <w:rPr>
          <w:rFonts w:ascii="Palatino Linotype" w:eastAsia="Palatino Linotype" w:hAnsi="Palatino Linotype" w:cs="Palatino Linotype"/>
          <w:b/>
          <w:bCs/>
          <w:color w:val="000000"/>
        </w:rPr>
        <w:lastRenderedPageBreak/>
        <w:t>QUINTO. De la versión pública.</w:t>
      </w:r>
    </w:p>
    <w:p w:rsidR="00F36770" w:rsidRPr="0013549C" w:rsidRDefault="00F36770" w:rsidP="00F36770">
      <w:pPr>
        <w:keepNext/>
        <w:keepLines/>
        <w:numPr>
          <w:ilvl w:val="0"/>
          <w:numId w:val="7"/>
        </w:numPr>
        <w:tabs>
          <w:tab w:val="left" w:pos="284"/>
        </w:tabs>
        <w:spacing w:after="160" w:line="360" w:lineRule="auto"/>
        <w:ind w:left="0" w:right="-787" w:firstLine="0"/>
        <w:rPr>
          <w:rFonts w:ascii="Palatino Linotype" w:eastAsia="Palatino Linotype" w:hAnsi="Palatino Linotype" w:cs="Palatino Linotype"/>
          <w:b/>
          <w:bCs/>
          <w:color w:val="000000"/>
        </w:rPr>
      </w:pPr>
      <w:r w:rsidRPr="0013549C">
        <w:rPr>
          <w:rFonts w:ascii="Palatino Linotype" w:eastAsia="Palatino Linotype" w:hAnsi="Palatino Linotype" w:cs="Palatino Linotype"/>
          <w:b/>
          <w:bCs/>
          <w:color w:val="000000"/>
        </w:rPr>
        <w:t xml:space="preserve">Nociones generales. </w:t>
      </w:r>
    </w:p>
    <w:p w:rsidR="00F36770" w:rsidRPr="0013549C" w:rsidRDefault="00F36770" w:rsidP="00F36770">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Debe destacarse, que debido a la información solicitada por el </w:t>
      </w:r>
      <w:r w:rsidRPr="0013549C">
        <w:rPr>
          <w:rFonts w:ascii="Palatino Linotype" w:eastAsia="Palatino Linotype" w:hAnsi="Palatino Linotype" w:cs="Palatino Linotype"/>
          <w:b/>
          <w:bCs/>
          <w:color w:val="000000"/>
        </w:rPr>
        <w:t xml:space="preserve">RECURRENTE, pueden obrar </w:t>
      </w:r>
      <w:r w:rsidRPr="0013549C">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13549C">
        <w:rPr>
          <w:rFonts w:ascii="Palatino Linotype" w:eastAsia="Palatino Linotype" w:hAnsi="Palatino Linotype" w:cs="Palatino Linotype"/>
          <w:b/>
          <w:bCs/>
          <w:color w:val="000000"/>
        </w:rPr>
        <w:t xml:space="preserve">SUJETO OBLIGADO </w:t>
      </w:r>
      <w:r w:rsidRPr="0013549C">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36770" w:rsidRPr="0013549C" w:rsidRDefault="00F36770" w:rsidP="00F36770">
      <w:pPr>
        <w:tabs>
          <w:tab w:val="left" w:pos="0"/>
          <w:tab w:val="left" w:pos="284"/>
        </w:tabs>
        <w:spacing w:line="360" w:lineRule="auto"/>
        <w:ind w:right="-787"/>
        <w:jc w:val="both"/>
        <w:rPr>
          <w:rFonts w:ascii="Palatino Linotype" w:eastAsia="Palatino Linotype" w:hAnsi="Palatino Linotype" w:cs="Palatino Linotype"/>
          <w:highlight w:val="yellow"/>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No pasa desapercibido para este Órgano Garante que los sujetos obligados</w:t>
      </w:r>
      <w:r w:rsidRPr="0013549C">
        <w:rPr>
          <w:rFonts w:ascii="Palatino Linotype" w:eastAsia="Palatino Linotype" w:hAnsi="Palatino Linotype" w:cs="Palatino Linotype"/>
          <w:b/>
          <w:bCs/>
          <w:color w:val="000000"/>
        </w:rPr>
        <w:t xml:space="preserve"> </w:t>
      </w:r>
      <w:r w:rsidRPr="0013549C">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36770" w:rsidRPr="0013549C" w:rsidRDefault="00F36770" w:rsidP="00F36770">
      <w:pPr>
        <w:tabs>
          <w:tab w:val="left" w:pos="284"/>
        </w:tabs>
        <w:spacing w:after="160" w:line="360" w:lineRule="auto"/>
        <w:ind w:right="-787"/>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255"/>
      </w:tblGrid>
      <w:tr w:rsidR="00F36770" w:rsidRPr="0013549C" w:rsidTr="0013549C">
        <w:tc>
          <w:tcPr>
            <w:tcW w:w="2805" w:type="dxa"/>
          </w:tcPr>
          <w:p w:rsidR="00F36770" w:rsidRPr="0013549C" w:rsidRDefault="00F36770" w:rsidP="00F36770">
            <w:pPr>
              <w:tabs>
                <w:tab w:val="left" w:pos="284"/>
              </w:tabs>
              <w:spacing w:line="360" w:lineRule="auto"/>
              <w:ind w:right="35"/>
              <w:rPr>
                <w:rFonts w:ascii="Palatino Linotype" w:eastAsia="Palatino Linotype" w:hAnsi="Palatino Linotype" w:cs="Palatino Linotype"/>
              </w:rPr>
            </w:pPr>
            <w:r w:rsidRPr="0013549C">
              <w:rPr>
                <w:rFonts w:ascii="Palatino Linotype" w:eastAsia="Palatino Linotype" w:hAnsi="Palatino Linotype" w:cs="Palatino Linotype"/>
              </w:rPr>
              <w:t>a) Requisitos previos.</w:t>
            </w:r>
          </w:p>
        </w:tc>
        <w:tc>
          <w:tcPr>
            <w:tcW w:w="7255" w:type="dxa"/>
          </w:tcPr>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13549C">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3549C">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36770" w:rsidRPr="0013549C" w:rsidTr="0013549C">
        <w:tc>
          <w:tcPr>
            <w:tcW w:w="2805" w:type="dxa"/>
          </w:tcPr>
          <w:p w:rsidR="00F36770" w:rsidRPr="0013549C" w:rsidRDefault="00F36770" w:rsidP="00F36770">
            <w:pPr>
              <w:tabs>
                <w:tab w:val="left" w:pos="284"/>
              </w:tabs>
              <w:spacing w:line="360" w:lineRule="auto"/>
              <w:ind w:right="35"/>
              <w:rPr>
                <w:rFonts w:ascii="Palatino Linotype" w:eastAsia="Palatino Linotype" w:hAnsi="Palatino Linotype" w:cs="Palatino Linotype"/>
              </w:rPr>
            </w:pPr>
            <w:r w:rsidRPr="0013549C">
              <w:rPr>
                <w:rFonts w:ascii="Palatino Linotype" w:eastAsia="Palatino Linotype" w:hAnsi="Palatino Linotype" w:cs="Palatino Linotype"/>
              </w:rPr>
              <w:lastRenderedPageBreak/>
              <w:t>b) Supuestos de clasificación.</w:t>
            </w:r>
          </w:p>
        </w:tc>
        <w:tc>
          <w:tcPr>
            <w:tcW w:w="7255" w:type="dxa"/>
          </w:tcPr>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lastRenderedPageBreak/>
              <w:t xml:space="preserve">El </w:t>
            </w:r>
            <w:r w:rsidRPr="0013549C">
              <w:rPr>
                <w:rFonts w:ascii="Palatino Linotype" w:eastAsia="Palatino Linotype" w:hAnsi="Palatino Linotype" w:cs="Palatino Linotype"/>
                <w:b/>
                <w:bCs/>
                <w:color w:val="000000"/>
              </w:rPr>
              <w:t>Sujeto Obligado</w:t>
            </w:r>
            <w:r w:rsidRPr="0013549C">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36770" w:rsidRPr="0013549C" w:rsidTr="0013549C">
        <w:tc>
          <w:tcPr>
            <w:tcW w:w="2805" w:type="dxa"/>
          </w:tcPr>
          <w:p w:rsidR="00F36770" w:rsidRPr="0013549C" w:rsidRDefault="00F36770" w:rsidP="00F36770">
            <w:pPr>
              <w:tabs>
                <w:tab w:val="left" w:pos="284"/>
              </w:tabs>
              <w:spacing w:line="360" w:lineRule="auto"/>
              <w:ind w:right="35"/>
              <w:rPr>
                <w:rFonts w:ascii="Palatino Linotype" w:eastAsia="Palatino Linotype" w:hAnsi="Palatino Linotype" w:cs="Palatino Linotype"/>
              </w:rPr>
            </w:pPr>
            <w:r w:rsidRPr="0013549C">
              <w:rPr>
                <w:rFonts w:ascii="Palatino Linotype" w:eastAsia="Palatino Linotype" w:hAnsi="Palatino Linotype" w:cs="Palatino Linotype"/>
              </w:rPr>
              <w:lastRenderedPageBreak/>
              <w:t>c) Formalidades para emitir el acuerdo de clasificación.</w:t>
            </w:r>
          </w:p>
        </w:tc>
        <w:tc>
          <w:tcPr>
            <w:tcW w:w="7255" w:type="dxa"/>
          </w:tcPr>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Es necesario que </w:t>
            </w:r>
            <w:r w:rsidRPr="0013549C">
              <w:rPr>
                <w:rFonts w:ascii="Palatino Linotype" w:eastAsia="Palatino Linotype" w:hAnsi="Palatino Linotype" w:cs="Palatino Linotype"/>
                <w:b/>
                <w:bCs/>
                <w:color w:val="000000"/>
                <w:u w:val="single"/>
              </w:rPr>
              <w:t>el acto reúna con los requisitos elementales</w:t>
            </w:r>
            <w:r w:rsidRPr="0013549C">
              <w:rPr>
                <w:rFonts w:ascii="Palatino Linotype" w:eastAsia="Palatino Linotype" w:hAnsi="Palatino Linotype" w:cs="Palatino Linotype"/>
                <w:color w:val="000000"/>
              </w:rPr>
              <w:t>, entre ellos, que la autoridad que va a emitir el acto de autoridad sea la legalmente facultada para ello.</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13549C">
              <w:rPr>
                <w:rFonts w:ascii="Palatino Linotype" w:eastAsia="Palatino Linotype" w:hAnsi="Palatino Linotype" w:cs="Palatino Linotype"/>
              </w:rPr>
              <w:t>El área</w:t>
            </w:r>
            <w:r w:rsidRPr="0013549C">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36770" w:rsidRPr="0013549C" w:rsidTr="0013549C">
        <w:tc>
          <w:tcPr>
            <w:tcW w:w="2805" w:type="dxa"/>
          </w:tcPr>
          <w:p w:rsidR="00F36770" w:rsidRPr="0013549C" w:rsidRDefault="00F36770" w:rsidP="00F36770">
            <w:pPr>
              <w:tabs>
                <w:tab w:val="left" w:pos="284"/>
              </w:tabs>
              <w:spacing w:line="360" w:lineRule="auto"/>
              <w:ind w:right="35"/>
              <w:rPr>
                <w:rFonts w:ascii="Palatino Linotype" w:eastAsia="Palatino Linotype" w:hAnsi="Palatino Linotype" w:cs="Palatino Linotype"/>
              </w:rPr>
            </w:pP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rPr>
            </w:pPr>
            <w:r w:rsidRPr="0013549C">
              <w:rPr>
                <w:rFonts w:ascii="Palatino Linotype" w:eastAsia="Palatino Linotype" w:hAnsi="Palatino Linotype" w:cs="Palatino Linotype"/>
                <w:color w:val="000000"/>
              </w:rPr>
              <w:lastRenderedPageBreak/>
              <w:t xml:space="preserve">d) Requisitos de fondo del acuerdo de clasificación. </w:t>
            </w:r>
          </w:p>
        </w:tc>
        <w:tc>
          <w:tcPr>
            <w:tcW w:w="7255" w:type="dxa"/>
          </w:tcPr>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acreditar la estricta correspondencia entre un elemento y otro. </w:t>
            </w:r>
            <w:r w:rsidRPr="0013549C">
              <w:rPr>
                <w:rFonts w:ascii="Palatino Linotype" w:eastAsia="Palatino Linotype" w:hAnsi="Palatino Linotype" w:cs="Palatino Linotype"/>
                <w:color w:val="000000"/>
              </w:rPr>
              <w:lastRenderedPageBreak/>
              <w:t xml:space="preserve">Ahora, en esta parte del procedimiento, que se desahoga en sede del Comité de Transparencia, la ley señala que la carga de la prueba, para justificar las restricciones, corresponde a los </w:t>
            </w:r>
            <w:r w:rsidRPr="0013549C">
              <w:rPr>
                <w:rFonts w:ascii="Palatino Linotype" w:eastAsia="Palatino Linotype" w:hAnsi="Palatino Linotype" w:cs="Palatino Linotype"/>
                <w:b/>
                <w:bCs/>
                <w:color w:val="000000"/>
              </w:rPr>
              <w:t>Sujetos Obligados</w:t>
            </w:r>
            <w:r w:rsidRPr="0013549C">
              <w:rPr>
                <w:rFonts w:ascii="Palatino Linotype" w:eastAsia="Palatino Linotype" w:hAnsi="Palatino Linotype" w:cs="Palatino Linotype"/>
                <w:color w:val="000000"/>
              </w:rPr>
              <w:t xml:space="preserve">, por lo que deberán fundar y motivar debidamente la clasificación. </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De lo anterior, se desprende que para una correcta </w:t>
            </w:r>
            <w:r w:rsidRPr="0013549C">
              <w:rPr>
                <w:rFonts w:ascii="Palatino Linotype" w:eastAsia="Palatino Linotype" w:hAnsi="Palatino Linotype" w:cs="Palatino Linotype"/>
                <w:b/>
                <w:bCs/>
                <w:color w:val="000000"/>
              </w:rPr>
              <w:t>clasificación total o parcial</w:t>
            </w:r>
            <w:r w:rsidRPr="0013549C">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lastRenderedPageBreak/>
              <w:t xml:space="preserve">Ahora bien, </w:t>
            </w:r>
            <w:r w:rsidRPr="0013549C">
              <w:rPr>
                <w:rFonts w:ascii="Palatino Linotype" w:eastAsia="Palatino Linotype" w:hAnsi="Palatino Linotype" w:cs="Palatino Linotype"/>
                <w:b/>
                <w:bCs/>
                <w:color w:val="000000"/>
                <w:u w:val="single"/>
              </w:rPr>
              <w:t>para cada caso además de fundar y motivar</w:t>
            </w:r>
            <w:r w:rsidRPr="0013549C">
              <w:rPr>
                <w:rFonts w:ascii="Palatino Linotype" w:eastAsia="Palatino Linotype" w:hAnsi="Palatino Linotype" w:cs="Palatino Linotype"/>
                <w:color w:val="000000"/>
              </w:rPr>
              <w:t xml:space="preserve">, se debe identificar con claridad </w:t>
            </w:r>
            <w:r w:rsidRPr="0013549C">
              <w:rPr>
                <w:rFonts w:ascii="Palatino Linotype" w:eastAsia="Palatino Linotype" w:hAnsi="Palatino Linotype" w:cs="Palatino Linotype"/>
              </w:rPr>
              <w:t>qué</w:t>
            </w:r>
            <w:r w:rsidRPr="0013549C">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36770" w:rsidRPr="0013549C" w:rsidTr="0013549C">
        <w:tc>
          <w:tcPr>
            <w:tcW w:w="2805" w:type="dxa"/>
          </w:tcPr>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rPr>
            </w:pPr>
            <w:r w:rsidRPr="0013549C">
              <w:rPr>
                <w:rFonts w:ascii="Palatino Linotype" w:eastAsia="Palatino Linotype" w:hAnsi="Palatino Linotype" w:cs="Palatino Linotype"/>
              </w:rPr>
              <w:lastRenderedPageBreak/>
              <w:t xml:space="preserve">e) Condiciones especiales de la clasificación de la información como confidencial. </w:t>
            </w:r>
          </w:p>
        </w:tc>
        <w:tc>
          <w:tcPr>
            <w:tcW w:w="7255" w:type="dxa"/>
          </w:tcPr>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36770" w:rsidRPr="0013549C" w:rsidRDefault="00F36770" w:rsidP="00F36770">
            <w:pPr>
              <w:tabs>
                <w:tab w:val="left" w:pos="284"/>
              </w:tabs>
              <w:spacing w:line="360" w:lineRule="auto"/>
              <w:ind w:right="35"/>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36770" w:rsidRPr="0013549C" w:rsidRDefault="00F36770" w:rsidP="00F36770">
            <w:pPr>
              <w:tabs>
                <w:tab w:val="left" w:pos="284"/>
              </w:tabs>
              <w:spacing w:line="360" w:lineRule="auto"/>
              <w:ind w:right="35"/>
              <w:rPr>
                <w:rFonts w:ascii="Palatino Linotype" w:eastAsia="Palatino Linotype" w:hAnsi="Palatino Linotype" w:cs="Palatino Linotype"/>
              </w:rPr>
            </w:pPr>
            <w:r w:rsidRPr="0013549C">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36770" w:rsidRPr="0013549C" w:rsidRDefault="00F36770" w:rsidP="00F36770">
      <w:pPr>
        <w:tabs>
          <w:tab w:val="left" w:pos="284"/>
        </w:tabs>
        <w:spacing w:line="360" w:lineRule="auto"/>
        <w:ind w:right="-787"/>
        <w:jc w:val="both"/>
        <w:rPr>
          <w:rFonts w:ascii="Palatino Linotype" w:eastAsia="Palatino Linotype" w:hAnsi="Palatino Linotype" w:cs="Palatino Linotype"/>
          <w:color w:val="000000"/>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rPr>
      </w:pPr>
      <w:r w:rsidRPr="0013549C">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w:t>
      </w:r>
    </w:p>
    <w:p w:rsidR="00F36770" w:rsidRPr="0013549C" w:rsidRDefault="00F36770" w:rsidP="00F36770">
      <w:pPr>
        <w:spacing w:line="360" w:lineRule="auto"/>
        <w:ind w:right="-787"/>
        <w:jc w:val="both"/>
        <w:rPr>
          <w:rFonts w:ascii="Palatino Linotype" w:eastAsia="Palatino Linotype" w:hAnsi="Palatino Linotype" w:cs="Palatino Linotype"/>
          <w:color w:val="000000"/>
        </w:rPr>
      </w:pPr>
    </w:p>
    <w:p w:rsidR="00F36770" w:rsidRPr="0013549C" w:rsidRDefault="00F36770" w:rsidP="00F36770">
      <w:pPr>
        <w:numPr>
          <w:ilvl w:val="0"/>
          <w:numId w:val="5"/>
        </w:numPr>
        <w:spacing w:line="360" w:lineRule="auto"/>
        <w:ind w:left="0" w:right="-787" w:firstLine="0"/>
        <w:jc w:val="both"/>
        <w:rPr>
          <w:rFonts w:ascii="Palatino Linotype" w:eastAsia="Palatino Linotype" w:hAnsi="Palatino Linotype" w:cs="Palatino Linotype"/>
          <w:color w:val="000000"/>
        </w:rPr>
      </w:pPr>
      <w:r w:rsidRPr="0013549C">
        <w:rPr>
          <w:rFonts w:ascii="Palatino Linotype" w:eastAsia="Palatino Linotype" w:hAnsi="Palatino Linotype" w:cs="Palatino Linotype"/>
        </w:rPr>
        <w:t>Por lo anteriormente expuesto, este Órgano Garante considera fundadas las razones o motivos de inconformidad que plantea el</w:t>
      </w:r>
      <w:r w:rsidRPr="0013549C">
        <w:rPr>
          <w:rFonts w:ascii="Palatino Linotype" w:eastAsia="Palatino Linotype" w:hAnsi="Palatino Linotype" w:cs="Palatino Linotype"/>
          <w:b/>
          <w:bCs/>
        </w:rPr>
        <w:t xml:space="preserve"> RECURRENTE</w:t>
      </w:r>
      <w:r w:rsidRPr="0013549C">
        <w:rPr>
          <w:rFonts w:ascii="Palatino Linotype" w:eastAsia="Palatino Linotype" w:hAnsi="Palatino Linotype" w:cs="Palatino Linotype"/>
        </w:rPr>
        <w:t xml:space="preserve">, determinando </w:t>
      </w:r>
      <w:r w:rsidRPr="0013549C">
        <w:rPr>
          <w:rFonts w:ascii="Palatino Linotype" w:eastAsia="Palatino Linotype" w:hAnsi="Palatino Linotype" w:cs="Palatino Linotype"/>
          <w:b/>
          <w:bCs/>
          <w:smallCaps/>
        </w:rPr>
        <w:t xml:space="preserve">REVOCAR </w:t>
      </w:r>
      <w:r w:rsidRPr="0013549C">
        <w:rPr>
          <w:rFonts w:ascii="Palatino Linotype" w:eastAsia="Palatino Linotype" w:hAnsi="Palatino Linotype" w:cs="Palatino Linotype"/>
        </w:rPr>
        <w:t xml:space="preserve">la respuesta del </w:t>
      </w:r>
      <w:r w:rsidRPr="0013549C">
        <w:rPr>
          <w:rFonts w:ascii="Palatino Linotype" w:eastAsia="Palatino Linotype" w:hAnsi="Palatino Linotype" w:cs="Palatino Linotype"/>
          <w:b/>
          <w:bCs/>
        </w:rPr>
        <w:t>SUJETO OBLIGADO</w:t>
      </w:r>
      <w:r w:rsidRPr="0013549C">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13549C">
        <w:rPr>
          <w:rFonts w:ascii="Palatino Linotype" w:eastAsia="Palatino Linotype" w:hAnsi="Palatino Linotype" w:cs="Palatino Linotype"/>
          <w:color w:val="000000"/>
        </w:rPr>
        <w:t xml:space="preserve">este </w:t>
      </w:r>
      <w:r w:rsidRPr="0013549C">
        <w:rPr>
          <w:rFonts w:ascii="Palatino Linotype" w:eastAsia="Palatino Linotype" w:hAnsi="Palatino Linotype" w:cs="Palatino Linotype"/>
          <w:b/>
          <w:bCs/>
          <w:color w:val="000000"/>
        </w:rPr>
        <w:t>ÓRGANO GARANTE</w:t>
      </w:r>
      <w:r w:rsidRPr="0013549C">
        <w:rPr>
          <w:rFonts w:ascii="Palatino Linotype" w:eastAsia="Palatino Linotype" w:hAnsi="Palatino Linotype" w:cs="Palatino Linotype"/>
          <w:color w:val="000000"/>
        </w:rPr>
        <w:t xml:space="preserve"> emite los siguientes.</w:t>
      </w:r>
    </w:p>
    <w:p w:rsidR="00F36770" w:rsidRPr="0013549C" w:rsidRDefault="00F36770" w:rsidP="00F36770">
      <w:pPr>
        <w:pBdr>
          <w:top w:val="nil"/>
          <w:left w:val="nil"/>
          <w:bottom w:val="nil"/>
          <w:right w:val="nil"/>
          <w:between w:val="nil"/>
        </w:pBdr>
        <w:ind w:left="720" w:right="-787"/>
        <w:rPr>
          <w:rFonts w:ascii="Palatino Linotype" w:eastAsia="Palatino Linotype" w:hAnsi="Palatino Linotype" w:cs="Palatino Linotype"/>
          <w:color w:val="000000"/>
        </w:rPr>
      </w:pPr>
    </w:p>
    <w:p w:rsidR="00F36770" w:rsidRPr="0013549C" w:rsidRDefault="00F36770" w:rsidP="00F36770">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F36770" w:rsidRPr="0013549C" w:rsidRDefault="00F36770" w:rsidP="00F36770">
      <w:pPr>
        <w:pStyle w:val="Ttulo1"/>
        <w:spacing w:before="0" w:line="360" w:lineRule="auto"/>
        <w:ind w:right="-787"/>
        <w:jc w:val="center"/>
        <w:rPr>
          <w:rFonts w:ascii="Palatino Linotype" w:eastAsia="Palatino Linotype" w:hAnsi="Palatino Linotype" w:cs="Palatino Linotype"/>
          <w:b/>
          <w:bCs/>
          <w:color w:val="000000"/>
          <w:sz w:val="24"/>
          <w:szCs w:val="24"/>
        </w:rPr>
      </w:pPr>
      <w:r w:rsidRPr="0013549C">
        <w:rPr>
          <w:rFonts w:ascii="Palatino Linotype" w:eastAsia="Palatino Linotype" w:hAnsi="Palatino Linotype" w:cs="Palatino Linotype"/>
          <w:b/>
          <w:bCs/>
          <w:color w:val="000000"/>
          <w:sz w:val="24"/>
          <w:szCs w:val="24"/>
        </w:rPr>
        <w:t>R E S O L U T I V O S</w:t>
      </w:r>
    </w:p>
    <w:p w:rsidR="00F36770" w:rsidRPr="0013549C" w:rsidRDefault="00F36770" w:rsidP="00F36770">
      <w:pPr>
        <w:spacing w:line="360" w:lineRule="auto"/>
        <w:ind w:right="-787"/>
        <w:rPr>
          <w:rFonts w:ascii="Palatino Linotype" w:eastAsia="Palatino Linotype" w:hAnsi="Palatino Linotype" w:cs="Palatino Linotype"/>
        </w:rPr>
      </w:pPr>
    </w:p>
    <w:p w:rsidR="00F36770" w:rsidRPr="0013549C" w:rsidRDefault="00F36770" w:rsidP="00F36770">
      <w:pPr>
        <w:spacing w:line="360" w:lineRule="auto"/>
        <w:ind w:right="-787"/>
        <w:jc w:val="both"/>
        <w:rPr>
          <w:rFonts w:ascii="Palatino Linotype" w:eastAsia="Palatino Linotype" w:hAnsi="Palatino Linotype" w:cs="Palatino Linotype"/>
        </w:rPr>
      </w:pPr>
      <w:r w:rsidRPr="0013549C">
        <w:rPr>
          <w:rFonts w:ascii="Palatino Linotype" w:eastAsia="Palatino Linotype" w:hAnsi="Palatino Linotype" w:cs="Palatino Linotype"/>
          <w:b/>
          <w:bCs/>
        </w:rPr>
        <w:t>PRIMERO</w:t>
      </w:r>
      <w:r w:rsidRPr="0013549C">
        <w:rPr>
          <w:rFonts w:ascii="Palatino Linotype" w:eastAsia="Palatino Linotype" w:hAnsi="Palatino Linotype" w:cs="Palatino Linotype"/>
        </w:rPr>
        <w:t xml:space="preserve">. Resultan fundadas las razones o motivos de inconformidad hechos valer en los Recursos de Revisión </w:t>
      </w:r>
      <w:r w:rsidR="002A013D" w:rsidRPr="0013549C">
        <w:rPr>
          <w:rFonts w:ascii="Palatino Linotype" w:eastAsia="Palatino Linotype" w:hAnsi="Palatino Linotype" w:cs="Palatino Linotype"/>
          <w:b/>
          <w:bCs/>
        </w:rPr>
        <w:t>11618</w:t>
      </w:r>
      <w:r w:rsidRPr="0013549C">
        <w:rPr>
          <w:rFonts w:ascii="Palatino Linotype" w:eastAsia="Palatino Linotype" w:hAnsi="Palatino Linotype" w:cs="Palatino Linotype"/>
          <w:b/>
          <w:bCs/>
        </w:rPr>
        <w:t xml:space="preserve">/INFOEM/IP/RR/2025, </w:t>
      </w:r>
      <w:r w:rsidRPr="0013549C">
        <w:rPr>
          <w:rFonts w:ascii="Palatino Linotype" w:eastAsia="Palatino Linotype" w:hAnsi="Palatino Linotype" w:cs="Palatino Linotype"/>
        </w:rPr>
        <w:t xml:space="preserve">en términos del Considerando </w:t>
      </w:r>
      <w:r w:rsidRPr="0013549C">
        <w:rPr>
          <w:rFonts w:ascii="Palatino Linotype" w:eastAsia="Palatino Linotype" w:hAnsi="Palatino Linotype" w:cs="Palatino Linotype"/>
          <w:b/>
          <w:bCs/>
        </w:rPr>
        <w:t xml:space="preserve">Cuarto y Quinto </w:t>
      </w:r>
      <w:r w:rsidRPr="0013549C">
        <w:rPr>
          <w:rFonts w:ascii="Palatino Linotype" w:eastAsia="Palatino Linotype" w:hAnsi="Palatino Linotype" w:cs="Palatino Linotype"/>
        </w:rPr>
        <w:t xml:space="preserve">de la presente resolución. </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13549C">
        <w:rPr>
          <w:rFonts w:ascii="Palatino Linotype" w:eastAsia="Palatino Linotype" w:hAnsi="Palatino Linotype" w:cs="Palatino Linotype"/>
          <w:b/>
          <w:bCs/>
        </w:rPr>
        <w:t xml:space="preserve">SEGUNDO. </w:t>
      </w:r>
      <w:r w:rsidRPr="0013549C">
        <w:rPr>
          <w:rFonts w:ascii="Palatino Linotype" w:eastAsia="Palatino Linotype" w:hAnsi="Palatino Linotype" w:cs="Palatino Linotype"/>
          <w:color w:val="000000"/>
        </w:rPr>
        <w:t xml:space="preserve">Se </w:t>
      </w:r>
      <w:r w:rsidRPr="0013549C">
        <w:rPr>
          <w:rFonts w:ascii="Palatino Linotype" w:eastAsia="Palatino Linotype" w:hAnsi="Palatino Linotype" w:cs="Palatino Linotype"/>
          <w:b/>
          <w:bCs/>
          <w:color w:val="000000"/>
        </w:rPr>
        <w:t xml:space="preserve">REVOCA </w:t>
      </w:r>
      <w:r w:rsidRPr="0013549C">
        <w:rPr>
          <w:rFonts w:ascii="Palatino Linotype" w:eastAsia="Palatino Linotype" w:hAnsi="Palatino Linotype" w:cs="Palatino Linotype"/>
          <w:color w:val="000000"/>
        </w:rPr>
        <w:t xml:space="preserve">la respuesta emitida por el </w:t>
      </w:r>
      <w:r w:rsidRPr="0013549C">
        <w:rPr>
          <w:rFonts w:ascii="Palatino Linotype" w:eastAsia="Palatino Linotype" w:hAnsi="Palatino Linotype" w:cs="Palatino Linotype"/>
          <w:b/>
          <w:bCs/>
          <w:color w:val="000000"/>
        </w:rPr>
        <w:t xml:space="preserve">Sistema Municipal para el Desarrollo Integral de la Familia Municipio </w:t>
      </w:r>
      <w:r w:rsidR="00977144" w:rsidRPr="0013549C">
        <w:rPr>
          <w:rFonts w:ascii="Palatino Linotype" w:eastAsia="Palatino Linotype" w:hAnsi="Palatino Linotype" w:cs="Palatino Linotype"/>
          <w:b/>
          <w:bCs/>
          <w:color w:val="000000"/>
        </w:rPr>
        <w:t>de Atenco</w:t>
      </w:r>
      <w:r w:rsidR="00977144" w:rsidRPr="0013549C">
        <w:rPr>
          <w:rFonts w:ascii="Palatino Linotype" w:eastAsia="Palatino Linotype" w:hAnsi="Palatino Linotype" w:cs="Palatino Linotype"/>
          <w:color w:val="000000"/>
        </w:rPr>
        <w:t xml:space="preserve"> </w:t>
      </w:r>
      <w:r w:rsidRPr="0013549C">
        <w:rPr>
          <w:rFonts w:ascii="Palatino Linotype" w:eastAsia="Palatino Linotype" w:hAnsi="Palatino Linotype" w:cs="Palatino Linotype"/>
          <w:color w:val="000000"/>
        </w:rPr>
        <w:t xml:space="preserve">y se </w:t>
      </w:r>
      <w:r w:rsidRPr="0013549C">
        <w:rPr>
          <w:rFonts w:ascii="Palatino Linotype" w:eastAsia="Palatino Linotype" w:hAnsi="Palatino Linotype" w:cs="Palatino Linotype"/>
          <w:b/>
          <w:bCs/>
          <w:color w:val="000000"/>
        </w:rPr>
        <w:t>ORDENA</w:t>
      </w:r>
      <w:r w:rsidRPr="0013549C">
        <w:rPr>
          <w:rFonts w:ascii="Palatino Linotype" w:eastAsia="Palatino Linotype" w:hAnsi="Palatino Linotype" w:cs="Palatino Linotype"/>
          <w:color w:val="000000"/>
        </w:rPr>
        <w:t xml:space="preserve"> entregar vía Sistema de Acceso a la Información, la siguiente información </w:t>
      </w:r>
      <w:r w:rsidRPr="0013549C">
        <w:rPr>
          <w:rFonts w:ascii="Palatino Linotype" w:eastAsia="Palatino Linotype" w:hAnsi="Palatino Linotype" w:cs="Palatino Linotype"/>
        </w:rPr>
        <w:t>en versión pública:</w:t>
      </w:r>
    </w:p>
    <w:p w:rsidR="00E54754" w:rsidRPr="0013549C" w:rsidRDefault="00E54754" w:rsidP="00F36770">
      <w:pPr>
        <w:spacing w:line="360" w:lineRule="auto"/>
        <w:ind w:right="-787"/>
        <w:jc w:val="both"/>
        <w:rPr>
          <w:rFonts w:ascii="Palatino Linotype" w:eastAsia="Palatino Linotype" w:hAnsi="Palatino Linotype" w:cs="Palatino Linotype"/>
        </w:rPr>
      </w:pPr>
    </w:p>
    <w:p w:rsidR="00F36770" w:rsidRPr="0013549C" w:rsidRDefault="0013549C" w:rsidP="00F36770">
      <w:pPr>
        <w:ind w:left="1134" w:right="277"/>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1.</w:t>
      </w:r>
      <w:r w:rsidR="00E54754" w:rsidRPr="0013549C">
        <w:rPr>
          <w:rFonts w:ascii="Palatino Linotype" w:eastAsia="Palatino Linotype" w:hAnsi="Palatino Linotype" w:cs="Palatino Linotype"/>
          <w:b/>
          <w:bCs/>
        </w:rPr>
        <w:t xml:space="preserve"> Certificados de Competencia Laboral de las Tesoreras del Sistema Municipal Para el Desarrollo Integral de la Familia del Municipio de Atenco, de la administ</w:t>
      </w:r>
      <w:r w:rsidR="002A013D" w:rsidRPr="0013549C">
        <w:rPr>
          <w:rFonts w:ascii="Palatino Linotype" w:eastAsia="Palatino Linotype" w:hAnsi="Palatino Linotype" w:cs="Palatino Linotype"/>
          <w:b/>
          <w:bCs/>
        </w:rPr>
        <w:t>ración 2022-2024 y 2025-2027; al once de septiembre de dos mil veinticinco</w:t>
      </w:r>
    </w:p>
    <w:p w:rsidR="00E54754" w:rsidRPr="0013549C" w:rsidRDefault="00E54754" w:rsidP="00F36770">
      <w:pPr>
        <w:ind w:left="1134" w:right="277"/>
        <w:jc w:val="both"/>
        <w:rPr>
          <w:rFonts w:ascii="Palatino Linotype" w:eastAsia="Palatino Linotype" w:hAnsi="Palatino Linotype" w:cs="Palatino Linotype"/>
          <w:b/>
          <w:bCs/>
        </w:rPr>
      </w:pPr>
    </w:p>
    <w:p w:rsidR="00E54754" w:rsidRPr="0013549C" w:rsidRDefault="0013549C" w:rsidP="00E54754">
      <w:pPr>
        <w:ind w:left="1134" w:right="277"/>
        <w:jc w:val="both"/>
        <w:rPr>
          <w:rFonts w:ascii="Palatino Linotype" w:eastAsia="Palatino Linotype" w:hAnsi="Palatino Linotype" w:cs="Palatino Linotype"/>
          <w:b/>
          <w:bCs/>
        </w:rPr>
      </w:pPr>
      <w:r>
        <w:rPr>
          <w:rFonts w:ascii="Palatino Linotype" w:eastAsia="Palatino Linotype" w:hAnsi="Palatino Linotype" w:cs="Palatino Linotype"/>
          <w:b/>
          <w:bCs/>
        </w:rPr>
        <w:t>2.</w:t>
      </w:r>
      <w:r w:rsidR="00E54754" w:rsidRPr="0013549C">
        <w:rPr>
          <w:rFonts w:ascii="Palatino Linotype" w:eastAsia="Palatino Linotype" w:hAnsi="Palatino Linotype" w:cs="Palatino Linotype"/>
          <w:b/>
          <w:bCs/>
        </w:rPr>
        <w:t xml:space="preserve"> Acuerdo del Comité de Transparencia que manera fundada y motivada sustente la inexistencia del Certificado de </w:t>
      </w:r>
      <w:r w:rsidR="007159B4" w:rsidRPr="0013549C">
        <w:rPr>
          <w:rFonts w:ascii="Palatino Linotype" w:eastAsia="Palatino Linotype" w:hAnsi="Palatino Linotype" w:cs="Palatino Linotype"/>
          <w:b/>
          <w:bCs/>
        </w:rPr>
        <w:t>Competencia</w:t>
      </w:r>
      <w:r w:rsidR="00E54754" w:rsidRPr="0013549C">
        <w:rPr>
          <w:rFonts w:ascii="Palatino Linotype" w:eastAsia="Palatino Linotype" w:hAnsi="Palatino Linotype" w:cs="Palatino Linotype"/>
          <w:b/>
          <w:bCs/>
        </w:rPr>
        <w:t xml:space="preserve"> Laboral del Tesorero (a) de la administración 2019-2021 en términos de los artículos 49, fracciones II y XIII, 169 y 170 de la Ley de Transparencia y Acceso a la Información Pública de</w:t>
      </w:r>
      <w:r w:rsidR="007159B4" w:rsidRPr="0013549C">
        <w:rPr>
          <w:rFonts w:ascii="Palatino Linotype" w:eastAsia="Palatino Linotype" w:hAnsi="Palatino Linotype" w:cs="Palatino Linotype"/>
          <w:b/>
          <w:bCs/>
        </w:rPr>
        <w:t xml:space="preserve">l Estado de México y Municipios. </w:t>
      </w:r>
    </w:p>
    <w:p w:rsidR="00E54754" w:rsidRPr="0013549C" w:rsidRDefault="00E54754" w:rsidP="00E54754">
      <w:pPr>
        <w:ind w:left="1134" w:right="277"/>
        <w:jc w:val="both"/>
        <w:rPr>
          <w:rFonts w:ascii="Palatino Linotype" w:eastAsia="Palatino Linotype" w:hAnsi="Palatino Linotype" w:cs="Palatino Linotype"/>
          <w:b/>
          <w:bCs/>
        </w:rPr>
      </w:pPr>
    </w:p>
    <w:p w:rsidR="00F36770" w:rsidRPr="0013549C" w:rsidRDefault="00F36770" w:rsidP="00F36770">
      <w:pPr>
        <w:ind w:right="-787"/>
        <w:jc w:val="both"/>
        <w:rPr>
          <w:rFonts w:ascii="Palatino Linotype" w:eastAsia="Palatino Linotype" w:hAnsi="Palatino Linotype" w:cs="Palatino Linotype"/>
          <w:b/>
          <w:bCs/>
        </w:rPr>
      </w:pPr>
    </w:p>
    <w:p w:rsidR="00F36770" w:rsidRPr="0013549C" w:rsidRDefault="00F36770" w:rsidP="00F36770">
      <w:pPr>
        <w:tabs>
          <w:tab w:val="left" w:pos="8080"/>
        </w:tabs>
        <w:spacing w:line="360" w:lineRule="auto"/>
        <w:ind w:right="-787"/>
        <w:jc w:val="both"/>
        <w:rPr>
          <w:rFonts w:ascii="Palatino Linotype" w:eastAsia="Palatino Linotype" w:hAnsi="Palatino Linotype" w:cs="Palatino Linotype"/>
          <w:b/>
          <w:bCs/>
        </w:rPr>
      </w:pPr>
      <w:r w:rsidRPr="0013549C">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13549C">
        <w:rPr>
          <w:rFonts w:ascii="Palatino Linotype" w:eastAsia="Palatino Linotype" w:hAnsi="Palatino Linotype" w:cs="Palatino Linotype"/>
          <w:b/>
          <w:bCs/>
        </w:rPr>
        <w:t>RECURRENTE.</w:t>
      </w:r>
    </w:p>
    <w:p w:rsidR="00F36770" w:rsidRPr="0013549C" w:rsidRDefault="00F36770" w:rsidP="00F36770"/>
    <w:p w:rsidR="00F36770" w:rsidRPr="0013549C" w:rsidRDefault="00F36770" w:rsidP="00F36770">
      <w:pPr>
        <w:tabs>
          <w:tab w:val="left" w:pos="8080"/>
        </w:tabs>
        <w:spacing w:line="360" w:lineRule="auto"/>
        <w:ind w:right="-787"/>
        <w:jc w:val="both"/>
        <w:rPr>
          <w:rFonts w:ascii="Palatino Linotype" w:eastAsia="Palatino Linotype" w:hAnsi="Palatino Linotype" w:cs="Palatino Linotype"/>
          <w:b/>
          <w:bCs/>
        </w:rPr>
      </w:pPr>
    </w:p>
    <w:p w:rsidR="00F36770" w:rsidRPr="0013549C" w:rsidRDefault="00F36770" w:rsidP="00F36770">
      <w:pPr>
        <w:tabs>
          <w:tab w:val="left" w:pos="8080"/>
        </w:tabs>
        <w:spacing w:line="360" w:lineRule="auto"/>
        <w:ind w:right="-787"/>
        <w:jc w:val="both"/>
        <w:rPr>
          <w:rFonts w:ascii="Palatino Linotype" w:eastAsia="Palatino Linotype" w:hAnsi="Palatino Linotype" w:cs="Palatino Linotype"/>
          <w:color w:val="222222"/>
        </w:rPr>
      </w:pPr>
      <w:r w:rsidRPr="0013549C">
        <w:rPr>
          <w:rFonts w:ascii="Palatino Linotype" w:eastAsia="Palatino Linotype" w:hAnsi="Palatino Linotype" w:cs="Palatino Linotype"/>
          <w:b/>
          <w:bCs/>
        </w:rPr>
        <w:t xml:space="preserve">TERCERO. </w:t>
      </w:r>
      <w:r w:rsidRPr="0013549C">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3549C">
        <w:rPr>
          <w:rFonts w:ascii="Palatino Linotype" w:eastAsia="Palatino Linotype" w:hAnsi="Palatino Linotype" w:cs="Palatino Linotype"/>
          <w:b/>
          <w:bCs/>
          <w:color w:val="222222"/>
        </w:rPr>
        <w:t xml:space="preserve">dé cumplimiento a lo ordenado dentro del plazo de diez días hábiles, </w:t>
      </w:r>
      <w:r w:rsidRPr="0013549C">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13549C">
        <w:rPr>
          <w:rFonts w:ascii="Palatino Linotype" w:eastAsia="Palatino Linotype" w:hAnsi="Palatino Linotype" w:cs="Palatino Linotype"/>
          <w:color w:val="222222"/>
        </w:rPr>
        <w:lastRenderedPageBreak/>
        <w:t xml:space="preserve">conformidad con lo previsto en los artículos 198, 200, fracción III; 214, 215 y 216 de la Ley  de Transparencia y Acceso a la Información Pública del Estado de México y Municipios. </w:t>
      </w:r>
    </w:p>
    <w:p w:rsidR="00F36770" w:rsidRPr="0013549C" w:rsidRDefault="00F36770" w:rsidP="00F36770">
      <w:pPr>
        <w:tabs>
          <w:tab w:val="left" w:pos="8080"/>
        </w:tabs>
        <w:spacing w:line="360" w:lineRule="auto"/>
        <w:ind w:right="-787"/>
        <w:jc w:val="both"/>
        <w:rPr>
          <w:rFonts w:ascii="Palatino Linotype" w:eastAsia="Palatino Linotype" w:hAnsi="Palatino Linotype" w:cs="Palatino Linotype"/>
          <w:color w:val="222222"/>
        </w:rPr>
      </w:pPr>
    </w:p>
    <w:p w:rsidR="00F36770" w:rsidRPr="0013549C" w:rsidRDefault="00F36770" w:rsidP="00F36770">
      <w:pPr>
        <w:spacing w:line="360" w:lineRule="auto"/>
        <w:ind w:right="-787"/>
        <w:jc w:val="both"/>
        <w:rPr>
          <w:rFonts w:ascii="Palatino Linotype" w:eastAsia="Palatino Linotype" w:hAnsi="Palatino Linotype" w:cs="Palatino Linotype"/>
        </w:rPr>
      </w:pPr>
      <w:r w:rsidRPr="0013549C">
        <w:rPr>
          <w:rFonts w:ascii="Palatino Linotype" w:eastAsia="Palatino Linotype" w:hAnsi="Palatino Linotype" w:cs="Palatino Linotype"/>
          <w:b/>
          <w:bCs/>
        </w:rPr>
        <w:t xml:space="preserve">CUARTO. </w:t>
      </w:r>
      <w:r w:rsidRPr="0013549C">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13549C">
        <w:rPr>
          <w:rFonts w:ascii="Palatino Linotype" w:eastAsia="Palatino Linotype" w:hAnsi="Palatino Linotype" w:cs="Palatino Linotype"/>
          <w:b/>
          <w:bCs/>
        </w:rPr>
        <w:t>SUJETO OBLIGADO</w:t>
      </w:r>
      <w:r w:rsidRPr="0013549C">
        <w:rPr>
          <w:rFonts w:ascii="Palatino Linotype" w:eastAsia="Palatino Linotype" w:hAnsi="Palatino Linotype" w:cs="Palatino Linotype"/>
        </w:rPr>
        <w:t xml:space="preserve"> de manera fundada y motivada, podrá solicitar una ampliación de plazo para el cumplimiento de la presente resolución.</w:t>
      </w: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shd w:val="clear" w:color="auto" w:fill="FFFFFF"/>
        <w:spacing w:line="360" w:lineRule="auto"/>
        <w:ind w:right="-787"/>
        <w:jc w:val="both"/>
        <w:rPr>
          <w:rFonts w:ascii="Palatino Linotype" w:eastAsia="Palatino Linotype" w:hAnsi="Palatino Linotype" w:cs="Palatino Linotype"/>
        </w:rPr>
      </w:pPr>
      <w:bookmarkStart w:id="15" w:name="_heading=h.2jxsxqh" w:colFirst="0" w:colLast="0"/>
      <w:bookmarkEnd w:id="15"/>
      <w:r w:rsidRPr="0013549C">
        <w:rPr>
          <w:rFonts w:ascii="Palatino Linotype" w:eastAsia="Palatino Linotype" w:hAnsi="Palatino Linotype" w:cs="Palatino Linotype"/>
          <w:b/>
          <w:bCs/>
        </w:rPr>
        <w:t xml:space="preserve">QUINTO. </w:t>
      </w:r>
      <w:r w:rsidRPr="0013549C">
        <w:rPr>
          <w:rFonts w:ascii="Palatino Linotype" w:eastAsia="Palatino Linotype" w:hAnsi="Palatino Linotype" w:cs="Palatino Linotype"/>
        </w:rPr>
        <w:t xml:space="preserve">Notifíquese a </w:t>
      </w:r>
      <w:r w:rsidRPr="0013549C">
        <w:rPr>
          <w:rFonts w:ascii="Palatino Linotype" w:eastAsia="Palatino Linotype" w:hAnsi="Palatino Linotype" w:cs="Palatino Linotype"/>
          <w:b/>
          <w:bCs/>
        </w:rPr>
        <w:t>EL RECURRENTE</w:t>
      </w:r>
      <w:r w:rsidRPr="0013549C">
        <w:rPr>
          <w:rFonts w:ascii="Palatino Linotype" w:eastAsia="Palatino Linotype" w:hAnsi="Palatino Linotype" w:cs="Palatino Linotype"/>
        </w:rPr>
        <w:t xml:space="preserve"> la presente resolución, vía SAIMEX.</w:t>
      </w:r>
    </w:p>
    <w:p w:rsidR="00F36770" w:rsidRPr="0013549C" w:rsidRDefault="00F36770" w:rsidP="00F36770">
      <w:pPr>
        <w:shd w:val="clear" w:color="auto" w:fill="FFFFFF"/>
        <w:spacing w:line="360" w:lineRule="auto"/>
        <w:ind w:right="-787"/>
        <w:jc w:val="both"/>
        <w:rPr>
          <w:rFonts w:ascii="Palatino Linotype" w:eastAsia="Palatino Linotype" w:hAnsi="Palatino Linotype" w:cs="Palatino Linotype"/>
        </w:rPr>
      </w:pPr>
    </w:p>
    <w:p w:rsidR="00F36770" w:rsidRPr="0013549C" w:rsidRDefault="00F36770" w:rsidP="00F36770">
      <w:pPr>
        <w:shd w:val="clear" w:color="auto" w:fill="FFFFFF"/>
        <w:spacing w:line="360" w:lineRule="auto"/>
        <w:ind w:right="-787"/>
        <w:jc w:val="both"/>
        <w:rPr>
          <w:rFonts w:ascii="Palatino Linotype" w:eastAsia="Palatino Linotype" w:hAnsi="Palatino Linotype" w:cs="Palatino Linotype"/>
        </w:rPr>
      </w:pPr>
      <w:r w:rsidRPr="0013549C">
        <w:rPr>
          <w:rFonts w:ascii="Palatino Linotype" w:eastAsia="Palatino Linotype" w:hAnsi="Palatino Linotype" w:cs="Palatino Linotype"/>
          <w:b/>
          <w:bCs/>
        </w:rPr>
        <w:t>SEXTO.</w:t>
      </w:r>
      <w:r w:rsidRPr="0013549C">
        <w:rPr>
          <w:rFonts w:ascii="Palatino Linotype" w:eastAsia="Palatino Linotype" w:hAnsi="Palatino Linotype" w:cs="Palatino Linotype"/>
        </w:rPr>
        <w:t xml:space="preserve"> Se hace del conocimiento de </w:t>
      </w:r>
      <w:r w:rsidRPr="0013549C">
        <w:rPr>
          <w:rFonts w:ascii="Palatino Linotype" w:eastAsia="Palatino Linotype" w:hAnsi="Palatino Linotype" w:cs="Palatino Linotype"/>
          <w:b/>
          <w:bCs/>
        </w:rPr>
        <w:t>EL RECURRENTE</w:t>
      </w:r>
      <w:r w:rsidRPr="0013549C">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018EE" w:rsidRPr="0013549C" w:rsidRDefault="005018EE" w:rsidP="00F36770">
      <w:pPr>
        <w:shd w:val="clear" w:color="auto" w:fill="FFFFFF"/>
        <w:spacing w:line="360" w:lineRule="auto"/>
        <w:ind w:right="-787"/>
        <w:jc w:val="both"/>
        <w:rPr>
          <w:rFonts w:ascii="Palatino Linotype" w:eastAsia="Palatino Linotype" w:hAnsi="Palatino Linotype" w:cs="Palatino Linotype"/>
        </w:rPr>
      </w:pPr>
    </w:p>
    <w:p w:rsidR="005018EE" w:rsidRPr="0013549C" w:rsidRDefault="005018EE" w:rsidP="005018EE">
      <w:pPr>
        <w:spacing w:before="240" w:after="240" w:line="360" w:lineRule="auto"/>
        <w:ind w:right="-857" w:firstLine="1"/>
        <w:jc w:val="both"/>
        <w:rPr>
          <w:rFonts w:ascii="Palatino Linotype" w:hAnsi="Palatino Linotype"/>
        </w:rPr>
      </w:pPr>
      <w:bookmarkStart w:id="16" w:name="_Hlk99014733"/>
      <w:r w:rsidRPr="0013549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13549C">
        <w:rPr>
          <w:rFonts w:ascii="Palatino Linotype" w:hAnsi="Palatino Linotype" w:cs="Palatino Linotype"/>
          <w:color w:val="000000" w:themeColor="text1"/>
        </w:rPr>
        <w:t>ALEXIS TAPIA RAMÍREZ.</w:t>
      </w:r>
    </w:p>
    <w:bookmarkEnd w:id="16"/>
    <w:p w:rsidR="00F36770" w:rsidRPr="0013549C" w:rsidRDefault="00F36770" w:rsidP="00F36770">
      <w:pPr>
        <w:spacing w:before="240" w:after="240" w:line="360" w:lineRule="auto"/>
        <w:ind w:right="-787"/>
        <w:jc w:val="both"/>
        <w:rPr>
          <w:rFonts w:ascii="Palatino Linotype" w:eastAsia="Palatino Linotype" w:hAnsi="Palatino Linotype" w:cs="Palatino Linotype"/>
        </w:rPr>
      </w:pPr>
    </w:p>
    <w:p w:rsidR="00F36770" w:rsidRPr="0013549C" w:rsidRDefault="00F36770" w:rsidP="00F36770">
      <w:pPr>
        <w:spacing w:before="240" w:after="240" w:line="360" w:lineRule="auto"/>
        <w:ind w:right="-787"/>
        <w:jc w:val="both"/>
        <w:rPr>
          <w:rFonts w:ascii="Palatino Linotype" w:eastAsia="Palatino Linotype" w:hAnsi="Palatino Linotype" w:cs="Palatino Linotype"/>
        </w:rPr>
      </w:pPr>
    </w:p>
    <w:p w:rsidR="00F36770" w:rsidRPr="0013549C" w:rsidRDefault="00F36770" w:rsidP="00F36770">
      <w:pPr>
        <w:spacing w:before="240" w:after="240" w:line="360" w:lineRule="auto"/>
        <w:ind w:right="-787"/>
        <w:jc w:val="both"/>
        <w:rPr>
          <w:rFonts w:ascii="Palatino Linotype" w:eastAsia="Palatino Linotype" w:hAnsi="Palatino Linotype" w:cs="Palatino Linotype"/>
        </w:rPr>
      </w:pPr>
    </w:p>
    <w:p w:rsidR="00F36770" w:rsidRPr="0013549C" w:rsidRDefault="00F36770" w:rsidP="00F36770">
      <w:pPr>
        <w:spacing w:before="240" w:after="240" w:line="360" w:lineRule="auto"/>
        <w:ind w:right="-787"/>
        <w:jc w:val="both"/>
        <w:rPr>
          <w:rFonts w:ascii="Palatino Linotype" w:eastAsia="Palatino Linotype" w:hAnsi="Palatino Linotype" w:cs="Palatino Linotype"/>
        </w:rPr>
      </w:pPr>
    </w:p>
    <w:p w:rsidR="00F36770" w:rsidRPr="0013549C" w:rsidRDefault="00F36770" w:rsidP="00F36770">
      <w:pPr>
        <w:spacing w:line="360" w:lineRule="auto"/>
        <w:ind w:right="-787"/>
        <w:jc w:val="both"/>
        <w:rPr>
          <w:rFonts w:ascii="Palatino Linotype" w:eastAsia="Palatino Linotype" w:hAnsi="Palatino Linotype" w:cs="Palatino Linotype"/>
        </w:rPr>
      </w:pPr>
    </w:p>
    <w:p w:rsidR="00F36770" w:rsidRPr="0013549C" w:rsidRDefault="00F36770" w:rsidP="00F36770">
      <w:pPr>
        <w:keepNext/>
        <w:keepLines/>
        <w:spacing w:after="240" w:line="360" w:lineRule="auto"/>
        <w:ind w:right="-787"/>
        <w:rPr>
          <w:rFonts w:ascii="Palatino Linotype" w:eastAsia="Palatino Linotype" w:hAnsi="Palatino Linotype" w:cs="Palatino Linotype"/>
        </w:rPr>
      </w:pPr>
    </w:p>
    <w:p w:rsidR="00F36770" w:rsidRPr="0013549C" w:rsidRDefault="00F36770" w:rsidP="00F36770">
      <w:pPr>
        <w:ind w:right="-787"/>
        <w:rPr>
          <w:rFonts w:ascii="Palatino Linotype" w:eastAsia="Palatino Linotype" w:hAnsi="Palatino Linotype" w:cs="Palatino Linotype"/>
        </w:rPr>
      </w:pPr>
    </w:p>
    <w:p w:rsidR="00F36770" w:rsidRPr="0013549C" w:rsidRDefault="00F36770" w:rsidP="00F36770">
      <w:pPr>
        <w:ind w:right="-787"/>
        <w:rPr>
          <w:rFonts w:ascii="Palatino Linotype" w:eastAsia="Palatino Linotype" w:hAnsi="Palatino Linotype" w:cs="Palatino Linotype"/>
        </w:rPr>
      </w:pPr>
    </w:p>
    <w:p w:rsidR="00F36770" w:rsidRPr="0013549C" w:rsidRDefault="00F36770" w:rsidP="00F36770">
      <w:pPr>
        <w:rPr>
          <w:rFonts w:ascii="Palatino Linotype" w:eastAsia="Palatino Linotype" w:hAnsi="Palatino Linotype" w:cs="Palatino Linotype"/>
        </w:rPr>
      </w:pPr>
    </w:p>
    <w:p w:rsidR="00F36770" w:rsidRPr="0013549C" w:rsidRDefault="00F36770" w:rsidP="00F36770"/>
    <w:p w:rsidR="00F36770" w:rsidRPr="0013549C" w:rsidRDefault="00F36770" w:rsidP="00F36770"/>
    <w:p w:rsidR="00FD7071" w:rsidRPr="0013549C" w:rsidRDefault="00FD7071"/>
    <w:sectPr w:rsidR="00FD7071" w:rsidRPr="0013549C" w:rsidSect="0013549C">
      <w:headerReference w:type="default" r:id="rId8"/>
      <w:footerReference w:type="default" r:id="rId9"/>
      <w:headerReference w:type="first" r:id="rId10"/>
      <w:footerReference w:type="first" r:id="rId11"/>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178" w:rsidRDefault="00435178" w:rsidP="00F36770">
      <w:r>
        <w:separator/>
      </w:r>
    </w:p>
  </w:endnote>
  <w:endnote w:type="continuationSeparator" w:id="0">
    <w:p w:rsidR="00435178" w:rsidRDefault="00435178" w:rsidP="00F36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091" w:rsidRPr="0013549C" w:rsidRDefault="00962091">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13549C">
      <w:rPr>
        <w:rFonts w:ascii="Palatino Linotype" w:eastAsia="Arial" w:hAnsi="Palatino Linotype" w:cs="Arial"/>
        <w:b/>
        <w:bCs/>
        <w:color w:val="000000"/>
        <w:sz w:val="22"/>
        <w:szCs w:val="20"/>
      </w:rPr>
      <w:t xml:space="preserve">Página </w:t>
    </w:r>
    <w:r w:rsidRPr="0013549C">
      <w:rPr>
        <w:rFonts w:ascii="Palatino Linotype" w:eastAsia="Arial" w:hAnsi="Palatino Linotype" w:cs="Arial"/>
        <w:b/>
        <w:bCs/>
        <w:color w:val="000000"/>
        <w:sz w:val="22"/>
        <w:szCs w:val="20"/>
      </w:rPr>
      <w:fldChar w:fldCharType="begin"/>
    </w:r>
    <w:r w:rsidRPr="0013549C">
      <w:rPr>
        <w:rFonts w:ascii="Palatino Linotype" w:eastAsia="Arial" w:hAnsi="Palatino Linotype" w:cs="Arial"/>
        <w:b/>
        <w:bCs/>
        <w:color w:val="000000"/>
        <w:sz w:val="22"/>
        <w:szCs w:val="20"/>
      </w:rPr>
      <w:instrText>PAGE</w:instrText>
    </w:r>
    <w:r w:rsidRPr="0013549C">
      <w:rPr>
        <w:rFonts w:ascii="Palatino Linotype" w:eastAsia="Arial" w:hAnsi="Palatino Linotype" w:cs="Arial"/>
        <w:b/>
        <w:bCs/>
        <w:color w:val="000000"/>
        <w:sz w:val="22"/>
        <w:szCs w:val="20"/>
      </w:rPr>
      <w:fldChar w:fldCharType="separate"/>
    </w:r>
    <w:r w:rsidR="00C815A9">
      <w:rPr>
        <w:rFonts w:ascii="Palatino Linotype" w:eastAsia="Arial" w:hAnsi="Palatino Linotype" w:cs="Arial"/>
        <w:b/>
        <w:bCs/>
        <w:noProof/>
        <w:color w:val="000000"/>
        <w:sz w:val="22"/>
        <w:szCs w:val="20"/>
      </w:rPr>
      <w:t>21</w:t>
    </w:r>
    <w:r w:rsidRPr="0013549C">
      <w:rPr>
        <w:rFonts w:ascii="Palatino Linotype" w:eastAsia="Arial" w:hAnsi="Palatino Linotype" w:cs="Arial"/>
        <w:b/>
        <w:bCs/>
        <w:color w:val="000000"/>
        <w:sz w:val="22"/>
        <w:szCs w:val="20"/>
      </w:rPr>
      <w:fldChar w:fldCharType="end"/>
    </w:r>
    <w:r w:rsidRPr="0013549C">
      <w:rPr>
        <w:rFonts w:ascii="Palatino Linotype" w:eastAsia="Arial" w:hAnsi="Palatino Linotype" w:cs="Arial"/>
        <w:b/>
        <w:color w:val="000000"/>
        <w:sz w:val="22"/>
        <w:szCs w:val="20"/>
      </w:rPr>
      <w:t xml:space="preserve"> de </w:t>
    </w:r>
    <w:r w:rsidRPr="0013549C">
      <w:rPr>
        <w:rFonts w:ascii="Palatino Linotype" w:eastAsia="Arial" w:hAnsi="Palatino Linotype" w:cs="Arial"/>
        <w:b/>
        <w:bCs/>
        <w:color w:val="000000"/>
        <w:sz w:val="22"/>
        <w:szCs w:val="20"/>
      </w:rPr>
      <w:fldChar w:fldCharType="begin"/>
    </w:r>
    <w:r w:rsidRPr="0013549C">
      <w:rPr>
        <w:rFonts w:ascii="Palatino Linotype" w:eastAsia="Arial" w:hAnsi="Palatino Linotype" w:cs="Arial"/>
        <w:b/>
        <w:bCs/>
        <w:color w:val="000000"/>
        <w:sz w:val="22"/>
        <w:szCs w:val="20"/>
      </w:rPr>
      <w:instrText>NUMPAGES</w:instrText>
    </w:r>
    <w:r w:rsidRPr="0013549C">
      <w:rPr>
        <w:rFonts w:ascii="Palatino Linotype" w:eastAsia="Arial" w:hAnsi="Palatino Linotype" w:cs="Arial"/>
        <w:b/>
        <w:bCs/>
        <w:color w:val="000000"/>
        <w:sz w:val="22"/>
        <w:szCs w:val="20"/>
      </w:rPr>
      <w:fldChar w:fldCharType="separate"/>
    </w:r>
    <w:r w:rsidR="00C815A9">
      <w:rPr>
        <w:rFonts w:ascii="Palatino Linotype" w:eastAsia="Arial" w:hAnsi="Palatino Linotype" w:cs="Arial"/>
        <w:b/>
        <w:bCs/>
        <w:noProof/>
        <w:color w:val="000000"/>
        <w:sz w:val="22"/>
        <w:szCs w:val="20"/>
      </w:rPr>
      <w:t>42</w:t>
    </w:r>
    <w:r w:rsidRPr="0013549C">
      <w:rPr>
        <w:rFonts w:ascii="Palatino Linotype" w:eastAsia="Arial" w:hAnsi="Palatino Linotype" w:cs="Arial"/>
        <w:b/>
        <w:bCs/>
        <w:color w:val="000000"/>
        <w:sz w:val="22"/>
        <w:szCs w:val="20"/>
      </w:rPr>
      <w:fldChar w:fldCharType="end"/>
    </w:r>
  </w:p>
  <w:p w:rsidR="00962091" w:rsidRDefault="00962091">
    <w:pPr>
      <w:pBdr>
        <w:top w:val="nil"/>
        <w:left w:val="nil"/>
        <w:bottom w:val="nil"/>
        <w:right w:val="nil"/>
        <w:between w:val="nil"/>
      </w:pBdr>
      <w:tabs>
        <w:tab w:val="center" w:pos="4252"/>
        <w:tab w:val="right" w:pos="8504"/>
      </w:tabs>
      <w:rPr>
        <w:color w:val="000000"/>
      </w:rPr>
    </w:pPr>
  </w:p>
  <w:p w:rsidR="00962091" w:rsidRDefault="0096209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091" w:rsidRPr="0013549C" w:rsidRDefault="0096209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13549C">
      <w:rPr>
        <w:rFonts w:ascii="Palatino Linotype" w:eastAsia="Arial" w:hAnsi="Palatino Linotype" w:cs="Arial"/>
        <w:bCs/>
        <w:color w:val="000000"/>
        <w:sz w:val="22"/>
        <w:szCs w:val="20"/>
      </w:rPr>
      <w:t xml:space="preserve">Página </w:t>
    </w:r>
    <w:r w:rsidRPr="0013549C">
      <w:rPr>
        <w:rFonts w:ascii="Palatino Linotype" w:eastAsia="Arial" w:hAnsi="Palatino Linotype" w:cs="Arial"/>
        <w:bCs/>
        <w:color w:val="000000"/>
        <w:sz w:val="22"/>
        <w:szCs w:val="20"/>
      </w:rPr>
      <w:fldChar w:fldCharType="begin"/>
    </w:r>
    <w:r w:rsidRPr="0013549C">
      <w:rPr>
        <w:rFonts w:ascii="Palatino Linotype" w:eastAsia="Arial" w:hAnsi="Palatino Linotype" w:cs="Arial"/>
        <w:bCs/>
        <w:color w:val="000000"/>
        <w:sz w:val="22"/>
        <w:szCs w:val="20"/>
      </w:rPr>
      <w:instrText>PAGE</w:instrText>
    </w:r>
    <w:r w:rsidRPr="0013549C">
      <w:rPr>
        <w:rFonts w:ascii="Palatino Linotype" w:eastAsia="Arial" w:hAnsi="Palatino Linotype" w:cs="Arial"/>
        <w:bCs/>
        <w:color w:val="000000"/>
        <w:sz w:val="22"/>
        <w:szCs w:val="20"/>
      </w:rPr>
      <w:fldChar w:fldCharType="separate"/>
    </w:r>
    <w:r w:rsidR="00C815A9">
      <w:rPr>
        <w:rFonts w:ascii="Palatino Linotype" w:eastAsia="Arial" w:hAnsi="Palatino Linotype" w:cs="Arial"/>
        <w:bCs/>
        <w:noProof/>
        <w:color w:val="000000"/>
        <w:sz w:val="22"/>
        <w:szCs w:val="20"/>
      </w:rPr>
      <w:t>1</w:t>
    </w:r>
    <w:r w:rsidRPr="0013549C">
      <w:rPr>
        <w:rFonts w:ascii="Palatino Linotype" w:eastAsia="Arial" w:hAnsi="Palatino Linotype" w:cs="Arial"/>
        <w:bCs/>
        <w:color w:val="000000"/>
        <w:sz w:val="22"/>
        <w:szCs w:val="20"/>
      </w:rPr>
      <w:fldChar w:fldCharType="end"/>
    </w:r>
    <w:r w:rsidRPr="0013549C">
      <w:rPr>
        <w:rFonts w:ascii="Palatino Linotype" w:eastAsia="Arial" w:hAnsi="Palatino Linotype" w:cs="Arial"/>
        <w:color w:val="000000"/>
        <w:sz w:val="22"/>
        <w:szCs w:val="20"/>
      </w:rPr>
      <w:t xml:space="preserve"> de </w:t>
    </w:r>
    <w:r w:rsidRPr="0013549C">
      <w:rPr>
        <w:rFonts w:ascii="Palatino Linotype" w:eastAsia="Arial" w:hAnsi="Palatino Linotype" w:cs="Arial"/>
        <w:bCs/>
        <w:color w:val="000000"/>
        <w:sz w:val="22"/>
        <w:szCs w:val="20"/>
      </w:rPr>
      <w:fldChar w:fldCharType="begin"/>
    </w:r>
    <w:r w:rsidRPr="0013549C">
      <w:rPr>
        <w:rFonts w:ascii="Palatino Linotype" w:eastAsia="Arial" w:hAnsi="Palatino Linotype" w:cs="Arial"/>
        <w:bCs/>
        <w:color w:val="000000"/>
        <w:sz w:val="22"/>
        <w:szCs w:val="20"/>
      </w:rPr>
      <w:instrText>NUMPAGES</w:instrText>
    </w:r>
    <w:r w:rsidRPr="0013549C">
      <w:rPr>
        <w:rFonts w:ascii="Palatino Linotype" w:eastAsia="Arial" w:hAnsi="Palatino Linotype" w:cs="Arial"/>
        <w:bCs/>
        <w:color w:val="000000"/>
        <w:sz w:val="22"/>
        <w:szCs w:val="20"/>
      </w:rPr>
      <w:fldChar w:fldCharType="separate"/>
    </w:r>
    <w:r w:rsidR="00C815A9">
      <w:rPr>
        <w:rFonts w:ascii="Palatino Linotype" w:eastAsia="Arial" w:hAnsi="Palatino Linotype" w:cs="Arial"/>
        <w:bCs/>
        <w:noProof/>
        <w:color w:val="000000"/>
        <w:sz w:val="22"/>
        <w:szCs w:val="20"/>
      </w:rPr>
      <w:t>42</w:t>
    </w:r>
    <w:r w:rsidRPr="0013549C">
      <w:rPr>
        <w:rFonts w:ascii="Palatino Linotype" w:eastAsia="Arial" w:hAnsi="Palatino Linotype" w:cs="Arial"/>
        <w:bCs/>
        <w:color w:val="000000"/>
        <w:sz w:val="22"/>
        <w:szCs w:val="20"/>
      </w:rPr>
      <w:fldChar w:fldCharType="end"/>
    </w:r>
  </w:p>
  <w:p w:rsidR="00962091" w:rsidRDefault="0096209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178" w:rsidRDefault="00435178" w:rsidP="00F36770">
      <w:r>
        <w:separator/>
      </w:r>
    </w:p>
  </w:footnote>
  <w:footnote w:type="continuationSeparator" w:id="0">
    <w:p w:rsidR="00435178" w:rsidRDefault="00435178" w:rsidP="00F36770">
      <w:r>
        <w:continuationSeparator/>
      </w:r>
    </w:p>
  </w:footnote>
  <w:footnote w:id="1">
    <w:p w:rsidR="00962091" w:rsidRDefault="00962091" w:rsidP="00F367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962091" w:rsidRDefault="00962091" w:rsidP="00F367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962091" w:rsidRDefault="00962091" w:rsidP="00F367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962091" w:rsidRDefault="00962091" w:rsidP="00F3677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8" w:type="dxa"/>
      <w:tblInd w:w="2127" w:type="dxa"/>
      <w:tblLayout w:type="fixed"/>
      <w:tblLook w:val="0400" w:firstRow="0" w:lastRow="0" w:firstColumn="0" w:lastColumn="0" w:noHBand="0" w:noVBand="1"/>
    </w:tblPr>
    <w:tblGrid>
      <w:gridCol w:w="2693"/>
      <w:gridCol w:w="5245"/>
    </w:tblGrid>
    <w:tr w:rsidR="00962091" w:rsidTr="0013549C">
      <w:tc>
        <w:tcPr>
          <w:tcW w:w="2693" w:type="dxa"/>
          <w:vAlign w:val="center"/>
        </w:tcPr>
        <w:p w:rsidR="00962091" w:rsidRPr="0013549C" w:rsidRDefault="00962091">
          <w:pPr>
            <w:rPr>
              <w:rFonts w:ascii="Palatino Linotype" w:eastAsia="Palatino Linotype" w:hAnsi="Palatino Linotype" w:cs="Palatino Linotype"/>
              <w:b/>
              <w:bCs/>
            </w:rPr>
          </w:pPr>
          <w:r w:rsidRPr="0013549C">
            <w:rPr>
              <w:rFonts w:ascii="Palatino Linotype" w:eastAsia="Palatino Linotype" w:hAnsi="Palatino Linotype" w:cs="Palatino Linotype"/>
              <w:b/>
              <w:bCs/>
            </w:rPr>
            <w:t>Recurso de Revisión:</w:t>
          </w:r>
        </w:p>
      </w:tc>
      <w:tc>
        <w:tcPr>
          <w:tcW w:w="5245" w:type="dxa"/>
          <w:vAlign w:val="center"/>
        </w:tcPr>
        <w:p w:rsidR="00962091" w:rsidRPr="0013549C" w:rsidRDefault="00962091">
          <w:pPr>
            <w:ind w:right="-1093"/>
            <w:jc w:val="both"/>
            <w:rPr>
              <w:rFonts w:ascii="Palatino Linotype" w:eastAsia="Palatino Linotype" w:hAnsi="Palatino Linotype" w:cs="Palatino Linotype"/>
            </w:rPr>
          </w:pPr>
          <w:r w:rsidRPr="0013549C">
            <w:rPr>
              <w:rFonts w:ascii="Palatino Linotype" w:eastAsia="Palatino Linotype" w:hAnsi="Palatino Linotype" w:cs="Palatino Linotype"/>
            </w:rPr>
            <w:t xml:space="preserve">11618/INFOEM/IP/RR/2025 </w:t>
          </w:r>
        </w:p>
      </w:tc>
    </w:tr>
    <w:tr w:rsidR="00962091" w:rsidTr="0013549C">
      <w:trPr>
        <w:trHeight w:val="228"/>
      </w:trPr>
      <w:tc>
        <w:tcPr>
          <w:tcW w:w="2693" w:type="dxa"/>
          <w:vAlign w:val="center"/>
        </w:tcPr>
        <w:p w:rsidR="00962091" w:rsidRPr="0013549C" w:rsidRDefault="00962091">
          <w:pPr>
            <w:rPr>
              <w:rFonts w:ascii="Palatino Linotype" w:eastAsia="Palatino Linotype" w:hAnsi="Palatino Linotype" w:cs="Palatino Linotype"/>
              <w:b/>
              <w:bCs/>
            </w:rPr>
          </w:pPr>
          <w:r w:rsidRPr="0013549C">
            <w:rPr>
              <w:rFonts w:ascii="Palatino Linotype" w:eastAsia="Palatino Linotype" w:hAnsi="Palatino Linotype" w:cs="Palatino Linotype"/>
              <w:b/>
              <w:bCs/>
            </w:rPr>
            <w:t>Sujeto Obligado:</w:t>
          </w:r>
        </w:p>
      </w:tc>
      <w:tc>
        <w:tcPr>
          <w:tcW w:w="5245" w:type="dxa"/>
          <w:shd w:val="clear" w:color="auto" w:fill="auto"/>
          <w:vAlign w:val="center"/>
        </w:tcPr>
        <w:p w:rsidR="00962091" w:rsidRPr="0013549C" w:rsidRDefault="00962091" w:rsidP="00B23923">
          <w:pPr>
            <w:ind w:right="-57"/>
            <w:rPr>
              <w:rFonts w:ascii="Palatino Linotype" w:eastAsia="Palatino Linotype" w:hAnsi="Palatino Linotype" w:cs="Palatino Linotype"/>
              <w:color w:val="000000"/>
            </w:rPr>
          </w:pPr>
          <w:r w:rsidRPr="0013549C">
            <w:rPr>
              <w:rFonts w:ascii="Palatino Linotype" w:eastAsia="Palatino Linotype" w:hAnsi="Palatino Linotype" w:cs="Palatino Linotype"/>
              <w:bCs/>
              <w:color w:val="000000"/>
            </w:rPr>
            <w:t>Sistema Municipal para el Desarrollo Integral de la Familia Municipio</w:t>
          </w:r>
          <w:r w:rsidR="00B23923" w:rsidRPr="0013549C">
            <w:rPr>
              <w:rFonts w:ascii="Palatino Linotype" w:eastAsia="Palatino Linotype" w:hAnsi="Palatino Linotype" w:cs="Palatino Linotype"/>
              <w:bCs/>
              <w:color w:val="000000"/>
            </w:rPr>
            <w:t xml:space="preserve"> de Atenco</w:t>
          </w:r>
        </w:p>
      </w:tc>
    </w:tr>
    <w:tr w:rsidR="00962091" w:rsidTr="0013549C">
      <w:tc>
        <w:tcPr>
          <w:tcW w:w="2693" w:type="dxa"/>
          <w:vAlign w:val="center"/>
        </w:tcPr>
        <w:p w:rsidR="00962091" w:rsidRPr="0013549C" w:rsidRDefault="00962091">
          <w:pPr>
            <w:rPr>
              <w:rFonts w:ascii="Palatino Linotype" w:eastAsia="Palatino Linotype" w:hAnsi="Palatino Linotype" w:cs="Palatino Linotype"/>
              <w:b/>
              <w:bCs/>
            </w:rPr>
          </w:pPr>
          <w:r w:rsidRPr="0013549C">
            <w:rPr>
              <w:rFonts w:ascii="Palatino Linotype" w:eastAsia="Palatino Linotype" w:hAnsi="Palatino Linotype" w:cs="Palatino Linotype"/>
              <w:b/>
              <w:bCs/>
            </w:rPr>
            <w:t>Comisionada Ponente:</w:t>
          </w:r>
        </w:p>
      </w:tc>
      <w:tc>
        <w:tcPr>
          <w:tcW w:w="5245" w:type="dxa"/>
          <w:vAlign w:val="center"/>
        </w:tcPr>
        <w:p w:rsidR="00962091" w:rsidRPr="0013549C" w:rsidRDefault="00962091">
          <w:pPr>
            <w:ind w:right="-1093"/>
            <w:jc w:val="both"/>
            <w:rPr>
              <w:rFonts w:ascii="Palatino Linotype" w:eastAsia="Palatino Linotype" w:hAnsi="Palatino Linotype" w:cs="Palatino Linotype"/>
            </w:rPr>
          </w:pPr>
          <w:r w:rsidRPr="0013549C">
            <w:rPr>
              <w:rFonts w:ascii="Palatino Linotype" w:eastAsia="Palatino Linotype" w:hAnsi="Palatino Linotype" w:cs="Palatino Linotype"/>
            </w:rPr>
            <w:t>María del Rosario Mejía Ayala</w:t>
          </w:r>
        </w:p>
      </w:tc>
    </w:tr>
  </w:tbl>
  <w:p w:rsidR="00962091" w:rsidRDefault="00962091">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9264" behindDoc="1" locked="0" layoutInCell="1" hidden="0" allowOverlap="1" wp14:anchorId="4A5EF8A1" wp14:editId="387518D9">
          <wp:simplePos x="0" y="0"/>
          <wp:positionH relativeFrom="column">
            <wp:posOffset>-1213482</wp:posOffset>
          </wp:positionH>
          <wp:positionV relativeFrom="paragraph">
            <wp:posOffset>-1219832</wp:posOffset>
          </wp:positionV>
          <wp:extent cx="7813085" cy="10170000"/>
          <wp:effectExtent l="0" t="0" r="0" b="0"/>
          <wp:wrapNone/>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8" w:type="dxa"/>
      <w:tblInd w:w="2127" w:type="dxa"/>
      <w:tblLayout w:type="fixed"/>
      <w:tblLook w:val="0400" w:firstRow="0" w:lastRow="0" w:firstColumn="0" w:lastColumn="0" w:noHBand="0" w:noVBand="1"/>
    </w:tblPr>
    <w:tblGrid>
      <w:gridCol w:w="2977"/>
      <w:gridCol w:w="4961"/>
    </w:tblGrid>
    <w:tr w:rsidR="00962091" w:rsidTr="0013549C">
      <w:tc>
        <w:tcPr>
          <w:tcW w:w="2977" w:type="dxa"/>
          <w:vAlign w:val="center"/>
        </w:tcPr>
        <w:p w:rsidR="00962091" w:rsidRPr="0013549C" w:rsidRDefault="00962091" w:rsidP="0013549C">
          <w:pPr>
            <w:rPr>
              <w:rFonts w:ascii="Palatino Linotype" w:eastAsia="Palatino Linotype" w:hAnsi="Palatino Linotype" w:cs="Palatino Linotype"/>
              <w:b/>
              <w:bCs/>
            </w:rPr>
          </w:pPr>
          <w:r w:rsidRPr="0013549C">
            <w:rPr>
              <w:rFonts w:ascii="Palatino Linotype" w:eastAsia="Palatino Linotype" w:hAnsi="Palatino Linotype" w:cs="Palatino Linotype"/>
              <w:b/>
              <w:bCs/>
            </w:rPr>
            <w:t>Recurso de Revisión:</w:t>
          </w:r>
        </w:p>
      </w:tc>
      <w:tc>
        <w:tcPr>
          <w:tcW w:w="4961" w:type="dxa"/>
          <w:vAlign w:val="center"/>
        </w:tcPr>
        <w:p w:rsidR="00962091" w:rsidRPr="0013549C" w:rsidRDefault="00962091" w:rsidP="0013549C">
          <w:pPr>
            <w:ind w:right="-1093"/>
            <w:rPr>
              <w:rFonts w:ascii="Palatino Linotype" w:eastAsia="Palatino Linotype" w:hAnsi="Palatino Linotype" w:cs="Palatino Linotype"/>
            </w:rPr>
          </w:pPr>
          <w:r w:rsidRPr="0013549C">
            <w:rPr>
              <w:rFonts w:ascii="Palatino Linotype" w:eastAsia="Palatino Linotype" w:hAnsi="Palatino Linotype" w:cs="Palatino Linotype"/>
            </w:rPr>
            <w:t xml:space="preserve">11618/INFOEM/IP/RR/2025 </w:t>
          </w:r>
        </w:p>
      </w:tc>
    </w:tr>
    <w:tr w:rsidR="00962091" w:rsidTr="0013549C">
      <w:tc>
        <w:tcPr>
          <w:tcW w:w="2977" w:type="dxa"/>
          <w:vAlign w:val="center"/>
        </w:tcPr>
        <w:p w:rsidR="00962091" w:rsidRPr="0013549C" w:rsidRDefault="00962091">
          <w:pPr>
            <w:rPr>
              <w:rFonts w:ascii="Palatino Linotype" w:eastAsia="Palatino Linotype" w:hAnsi="Palatino Linotype" w:cs="Palatino Linotype"/>
              <w:b/>
              <w:bCs/>
            </w:rPr>
          </w:pPr>
          <w:r w:rsidRPr="0013549C">
            <w:rPr>
              <w:rFonts w:ascii="Palatino Linotype" w:eastAsia="Palatino Linotype" w:hAnsi="Palatino Linotype" w:cs="Palatino Linotype"/>
              <w:b/>
              <w:bCs/>
            </w:rPr>
            <w:t>Recurrente:</w:t>
          </w:r>
        </w:p>
      </w:tc>
      <w:tc>
        <w:tcPr>
          <w:tcW w:w="4961" w:type="dxa"/>
          <w:vAlign w:val="center"/>
        </w:tcPr>
        <w:p w:rsidR="00962091" w:rsidRPr="0013549C" w:rsidRDefault="00962091" w:rsidP="0013549C">
          <w:pPr>
            <w:ind w:right="-1093"/>
            <w:rPr>
              <w:rFonts w:ascii="Palatino Linotype" w:eastAsia="Palatino Linotype" w:hAnsi="Palatino Linotype" w:cs="Palatino Linotype"/>
            </w:rPr>
          </w:pPr>
        </w:p>
      </w:tc>
    </w:tr>
    <w:tr w:rsidR="00962091" w:rsidTr="0013549C">
      <w:tc>
        <w:tcPr>
          <w:tcW w:w="2977" w:type="dxa"/>
          <w:vAlign w:val="center"/>
        </w:tcPr>
        <w:p w:rsidR="00962091" w:rsidRPr="0013549C" w:rsidRDefault="00962091">
          <w:pPr>
            <w:rPr>
              <w:rFonts w:ascii="Palatino Linotype" w:eastAsia="Palatino Linotype" w:hAnsi="Palatino Linotype" w:cs="Palatino Linotype"/>
              <w:b/>
              <w:bCs/>
            </w:rPr>
          </w:pPr>
          <w:r w:rsidRPr="0013549C">
            <w:rPr>
              <w:rFonts w:ascii="Palatino Linotype" w:eastAsia="Palatino Linotype" w:hAnsi="Palatino Linotype" w:cs="Palatino Linotype"/>
              <w:b/>
              <w:bCs/>
            </w:rPr>
            <w:t>Sujeto Obligado:</w:t>
          </w:r>
        </w:p>
      </w:tc>
      <w:tc>
        <w:tcPr>
          <w:tcW w:w="4961" w:type="dxa"/>
          <w:vAlign w:val="center"/>
        </w:tcPr>
        <w:p w:rsidR="00962091" w:rsidRPr="0013549C" w:rsidRDefault="00962091" w:rsidP="0013549C">
          <w:pPr>
            <w:rPr>
              <w:rFonts w:ascii="Palatino Linotype" w:eastAsia="Palatino Linotype" w:hAnsi="Palatino Linotype" w:cs="Palatino Linotype"/>
            </w:rPr>
          </w:pPr>
          <w:r w:rsidRPr="0013549C">
            <w:rPr>
              <w:rFonts w:ascii="Palatino Linotype" w:eastAsia="Palatino Linotype" w:hAnsi="Palatino Linotype" w:cs="Palatino Linotype"/>
              <w:bCs/>
              <w:color w:val="000000"/>
            </w:rPr>
            <w:t>Sistema Municipal para el Desarrollo Integral de la Familia Municipio</w:t>
          </w:r>
          <w:r w:rsidR="00B23923" w:rsidRPr="0013549C">
            <w:rPr>
              <w:rFonts w:ascii="Palatino Linotype" w:eastAsia="Palatino Linotype" w:hAnsi="Palatino Linotype" w:cs="Palatino Linotype"/>
              <w:bCs/>
              <w:color w:val="000000"/>
            </w:rPr>
            <w:t xml:space="preserve"> de Atenco</w:t>
          </w:r>
        </w:p>
      </w:tc>
    </w:tr>
    <w:tr w:rsidR="00962091" w:rsidTr="0013549C">
      <w:tc>
        <w:tcPr>
          <w:tcW w:w="2977" w:type="dxa"/>
          <w:vAlign w:val="center"/>
        </w:tcPr>
        <w:p w:rsidR="00962091" w:rsidRPr="0013549C" w:rsidRDefault="00962091">
          <w:pPr>
            <w:rPr>
              <w:rFonts w:ascii="Palatino Linotype" w:eastAsia="Palatino Linotype" w:hAnsi="Palatino Linotype" w:cs="Palatino Linotype"/>
              <w:b/>
              <w:bCs/>
            </w:rPr>
          </w:pPr>
          <w:r w:rsidRPr="0013549C">
            <w:rPr>
              <w:rFonts w:ascii="Palatino Linotype" w:eastAsia="Palatino Linotype" w:hAnsi="Palatino Linotype" w:cs="Palatino Linotype"/>
              <w:b/>
              <w:bCs/>
            </w:rPr>
            <w:t>Comisionada Ponente:</w:t>
          </w:r>
        </w:p>
      </w:tc>
      <w:tc>
        <w:tcPr>
          <w:tcW w:w="4961" w:type="dxa"/>
          <w:vAlign w:val="center"/>
        </w:tcPr>
        <w:p w:rsidR="00962091" w:rsidRPr="0013549C" w:rsidRDefault="00962091" w:rsidP="0013549C">
          <w:pPr>
            <w:ind w:right="-1093"/>
            <w:rPr>
              <w:rFonts w:ascii="Palatino Linotype" w:eastAsia="Palatino Linotype" w:hAnsi="Palatino Linotype" w:cs="Palatino Linotype"/>
            </w:rPr>
          </w:pPr>
          <w:r w:rsidRPr="0013549C">
            <w:rPr>
              <w:rFonts w:ascii="Palatino Linotype" w:eastAsia="Palatino Linotype" w:hAnsi="Palatino Linotype" w:cs="Palatino Linotype"/>
            </w:rPr>
            <w:t>María del Rosario Mejía Ayala</w:t>
          </w:r>
        </w:p>
      </w:tc>
    </w:tr>
  </w:tbl>
  <w:p w:rsidR="00962091" w:rsidRDefault="0013549C">
    <w:pPr>
      <w:pBdr>
        <w:top w:val="nil"/>
        <w:left w:val="nil"/>
        <w:bottom w:val="nil"/>
        <w:right w:val="nil"/>
        <w:between w:val="nil"/>
      </w:pBdr>
      <w:tabs>
        <w:tab w:val="center" w:pos="4252"/>
        <w:tab w:val="right" w:pos="8504"/>
      </w:tabs>
      <w:rPr>
        <w:rFonts w:ascii="Calibri" w:eastAsia="Calibri" w:hAnsi="Calibri" w:cs="Calibri"/>
        <w:color w:val="000000"/>
      </w:rPr>
    </w:pPr>
    <w:r w:rsidRPr="0013549C">
      <w:rPr>
        <w:noProof/>
      </w:rPr>
      <w:drawing>
        <wp:anchor distT="0" distB="0" distL="0" distR="0" simplePos="0" relativeHeight="251660288" behindDoc="1" locked="0" layoutInCell="1" hidden="0" allowOverlap="1" wp14:anchorId="7F4706EF" wp14:editId="62E1F150">
          <wp:simplePos x="0" y="0"/>
          <wp:positionH relativeFrom="margin">
            <wp:align>center</wp:align>
          </wp:positionH>
          <wp:positionV relativeFrom="paragraph">
            <wp:posOffset>-1477381</wp:posOffset>
          </wp:positionV>
          <wp:extent cx="7813040" cy="10169525"/>
          <wp:effectExtent l="0" t="0" r="0" b="3175"/>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40" cy="1016952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345F1"/>
    <w:multiLevelType w:val="multilevel"/>
    <w:tmpl w:val="FCA00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55110"/>
    <w:multiLevelType w:val="multilevel"/>
    <w:tmpl w:val="25823F1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1FAA7FA4"/>
    <w:multiLevelType w:val="multilevel"/>
    <w:tmpl w:val="FDC40C6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25055A1F"/>
    <w:multiLevelType w:val="multilevel"/>
    <w:tmpl w:val="273A4876"/>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43428C"/>
    <w:multiLevelType w:val="multilevel"/>
    <w:tmpl w:val="869A6D02"/>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27023DD0"/>
    <w:multiLevelType w:val="multilevel"/>
    <w:tmpl w:val="048A73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1D1611"/>
    <w:multiLevelType w:val="multilevel"/>
    <w:tmpl w:val="943A21F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CB09A3"/>
    <w:multiLevelType w:val="multilevel"/>
    <w:tmpl w:val="AA90F53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B15050"/>
    <w:multiLevelType w:val="multilevel"/>
    <w:tmpl w:val="C9F2BE5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164674"/>
    <w:multiLevelType w:val="hybridMultilevel"/>
    <w:tmpl w:val="70888370"/>
    <w:lvl w:ilvl="0" w:tplc="E3864B26">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0" w15:restartNumberingAfterBreak="0">
    <w:nsid w:val="33592B73"/>
    <w:multiLevelType w:val="multilevel"/>
    <w:tmpl w:val="39E0B93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1" w15:restartNumberingAfterBreak="0">
    <w:nsid w:val="394B375B"/>
    <w:multiLevelType w:val="multilevel"/>
    <w:tmpl w:val="A81A6F0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 w15:restartNumberingAfterBreak="0">
    <w:nsid w:val="44663FB0"/>
    <w:multiLevelType w:val="multilevel"/>
    <w:tmpl w:val="0986BE68"/>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131761"/>
    <w:multiLevelType w:val="multilevel"/>
    <w:tmpl w:val="1DDCE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9064082"/>
    <w:multiLevelType w:val="multilevel"/>
    <w:tmpl w:val="07DCFC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322AE2"/>
    <w:multiLevelType w:val="multilevel"/>
    <w:tmpl w:val="AB66EE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0"/>
  </w:num>
  <w:num w:numId="4">
    <w:abstractNumId w:val="16"/>
  </w:num>
  <w:num w:numId="5">
    <w:abstractNumId w:val="3"/>
  </w:num>
  <w:num w:numId="6">
    <w:abstractNumId w:val="2"/>
  </w:num>
  <w:num w:numId="7">
    <w:abstractNumId w:val="15"/>
  </w:num>
  <w:num w:numId="8">
    <w:abstractNumId w:val="14"/>
  </w:num>
  <w:num w:numId="9">
    <w:abstractNumId w:val="7"/>
  </w:num>
  <w:num w:numId="10">
    <w:abstractNumId w:val="8"/>
  </w:num>
  <w:num w:numId="11">
    <w:abstractNumId w:val="9"/>
  </w:num>
  <w:num w:numId="12">
    <w:abstractNumId w:val="12"/>
  </w:num>
  <w:num w:numId="13">
    <w:abstractNumId w:val="1"/>
  </w:num>
  <w:num w:numId="14">
    <w:abstractNumId w:val="13"/>
  </w:num>
  <w:num w:numId="15">
    <w:abstractNumId w:val="5"/>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70"/>
    <w:rsid w:val="00000380"/>
    <w:rsid w:val="000719DA"/>
    <w:rsid w:val="00113841"/>
    <w:rsid w:val="001347A8"/>
    <w:rsid w:val="0013549C"/>
    <w:rsid w:val="00163860"/>
    <w:rsid w:val="002233D0"/>
    <w:rsid w:val="00224C0F"/>
    <w:rsid w:val="002923B3"/>
    <w:rsid w:val="00292B5B"/>
    <w:rsid w:val="002A013D"/>
    <w:rsid w:val="00356B6F"/>
    <w:rsid w:val="00360CB9"/>
    <w:rsid w:val="00435178"/>
    <w:rsid w:val="004906E7"/>
    <w:rsid w:val="004E1BC2"/>
    <w:rsid w:val="005018EE"/>
    <w:rsid w:val="0052624B"/>
    <w:rsid w:val="00587474"/>
    <w:rsid w:val="007159B4"/>
    <w:rsid w:val="00726BC6"/>
    <w:rsid w:val="00770B54"/>
    <w:rsid w:val="00783387"/>
    <w:rsid w:val="0078401E"/>
    <w:rsid w:val="007E0450"/>
    <w:rsid w:val="00852F55"/>
    <w:rsid w:val="0088242A"/>
    <w:rsid w:val="008F20E1"/>
    <w:rsid w:val="009008F5"/>
    <w:rsid w:val="009149F2"/>
    <w:rsid w:val="00962091"/>
    <w:rsid w:val="00972C36"/>
    <w:rsid w:val="00977144"/>
    <w:rsid w:val="00AC61D2"/>
    <w:rsid w:val="00B23923"/>
    <w:rsid w:val="00B24756"/>
    <w:rsid w:val="00BA1921"/>
    <w:rsid w:val="00C04B49"/>
    <w:rsid w:val="00C815A9"/>
    <w:rsid w:val="00D924C0"/>
    <w:rsid w:val="00E54754"/>
    <w:rsid w:val="00E90458"/>
    <w:rsid w:val="00E97022"/>
    <w:rsid w:val="00F36770"/>
    <w:rsid w:val="00F51D32"/>
    <w:rsid w:val="00F903C8"/>
    <w:rsid w:val="00FD70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8521AB-D997-4244-9638-B9DEE4E4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6770"/>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F36770"/>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F36770"/>
    <w:pPr>
      <w:keepNext/>
      <w:keepLines/>
      <w:spacing w:before="40" w:line="256"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36770"/>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F36770"/>
    <w:rPr>
      <w:rFonts w:ascii="Calibri" w:eastAsia="Calibri" w:hAnsi="Calibri" w:cs="Calibri"/>
      <w:color w:val="2E75B5"/>
      <w:sz w:val="26"/>
      <w:szCs w:val="26"/>
      <w:lang w:eastAsia="es-MX"/>
    </w:rPr>
  </w:style>
  <w:style w:type="paragraph" w:styleId="Prrafodelista">
    <w:name w:val="List Paragraph"/>
    <w:basedOn w:val="Normal"/>
    <w:uiPriority w:val="34"/>
    <w:qFormat/>
    <w:rsid w:val="00F36770"/>
    <w:pPr>
      <w:ind w:left="720"/>
      <w:contextualSpacing/>
    </w:pPr>
  </w:style>
  <w:style w:type="paragraph" w:styleId="Encabezado">
    <w:name w:val="header"/>
    <w:basedOn w:val="Normal"/>
    <w:link w:val="EncabezadoCar"/>
    <w:uiPriority w:val="99"/>
    <w:unhideWhenUsed/>
    <w:rsid w:val="00F36770"/>
    <w:pPr>
      <w:tabs>
        <w:tab w:val="center" w:pos="4419"/>
        <w:tab w:val="right" w:pos="8838"/>
      </w:tabs>
    </w:pPr>
  </w:style>
  <w:style w:type="character" w:customStyle="1" w:styleId="EncabezadoCar">
    <w:name w:val="Encabezado Car"/>
    <w:basedOn w:val="Fuentedeprrafopredeter"/>
    <w:link w:val="Encabezado"/>
    <w:uiPriority w:val="99"/>
    <w:rsid w:val="00F36770"/>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F36770"/>
    <w:pPr>
      <w:tabs>
        <w:tab w:val="center" w:pos="4419"/>
        <w:tab w:val="right" w:pos="8838"/>
      </w:tabs>
    </w:pPr>
  </w:style>
  <w:style w:type="character" w:customStyle="1" w:styleId="PiedepginaCar">
    <w:name w:val="Pie de página Car"/>
    <w:basedOn w:val="Fuentedeprrafopredeter"/>
    <w:link w:val="Piedepgina"/>
    <w:uiPriority w:val="99"/>
    <w:rsid w:val="00F36770"/>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sultas.curp.gob.mx/CurpSP/html/informacionecurpP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42</Pages>
  <Words>10685</Words>
  <Characters>58772</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10</cp:revision>
  <cp:lastPrinted>2026-02-20T16:08:00Z</cp:lastPrinted>
  <dcterms:created xsi:type="dcterms:W3CDTF">2026-02-16T19:26:00Z</dcterms:created>
  <dcterms:modified xsi:type="dcterms:W3CDTF">2026-02-26T23:50:00Z</dcterms:modified>
</cp:coreProperties>
</file>