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385" w:rsidRDefault="00DE3B61" w:rsidP="00684BDA">
      <w:pPr>
        <w:widowControl w:val="0"/>
        <w:pBdr>
          <w:top w:val="nil"/>
          <w:left w:val="nil"/>
          <w:bottom w:val="nil"/>
          <w:right w:val="nil"/>
          <w:between w:val="nil"/>
        </w:pBdr>
        <w:spacing w:line="276" w:lineRule="auto"/>
        <w:ind w:right="-846"/>
        <w:jc w:val="both"/>
        <w:rPr>
          <w:rFonts w:ascii="Palatino Linotype" w:eastAsia="Palatino Linotype" w:hAnsi="Palatino Linotype" w:cs="Palatino Linotype"/>
          <w:b/>
          <w:bCs/>
        </w:rPr>
      </w:pPr>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w:t>
      </w:r>
      <w:r w:rsidR="00E00776">
        <w:rPr>
          <w:rFonts w:ascii="Palatino Linotype" w:eastAsia="Palatino Linotype" w:hAnsi="Palatino Linotype" w:cs="Palatino Linotype"/>
          <w:b/>
          <w:bCs/>
        </w:rPr>
        <w:t xml:space="preserve"> fecha uno </w:t>
      </w:r>
      <w:r w:rsidR="00CE7910">
        <w:rPr>
          <w:rFonts w:ascii="Palatino Linotype" w:eastAsia="Palatino Linotype" w:hAnsi="Palatino Linotype" w:cs="Palatino Linotype"/>
          <w:b/>
          <w:bCs/>
        </w:rPr>
        <w:t xml:space="preserve">(01) </w:t>
      </w:r>
      <w:r>
        <w:rPr>
          <w:rFonts w:ascii="Palatino Linotype" w:eastAsia="Palatino Linotype" w:hAnsi="Palatino Linotype" w:cs="Palatino Linotype"/>
          <w:b/>
          <w:bCs/>
        </w:rPr>
        <w:t>de julio de dos mil veintiséis.</w:t>
      </w:r>
    </w:p>
    <w:p w:rsidR="00B34385" w:rsidRDefault="00B34385">
      <w:pPr>
        <w:tabs>
          <w:tab w:val="left" w:pos="3465"/>
        </w:tabs>
        <w:spacing w:line="360" w:lineRule="auto"/>
        <w:ind w:right="-787"/>
        <w:jc w:val="both"/>
        <w:rPr>
          <w:rFonts w:ascii="Palatino Linotype" w:eastAsia="Palatino Linotype" w:hAnsi="Palatino Linotype" w:cs="Palatino Linotype"/>
        </w:rPr>
      </w:pPr>
      <w:bookmarkStart w:id="0" w:name="_GoBack"/>
      <w:bookmarkEnd w:id="0"/>
    </w:p>
    <w:p w:rsidR="00B34385" w:rsidRDefault="00DE3B61">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03638/INFOEM/IP/RR/2026</w:t>
      </w:r>
      <w:r>
        <w:rPr>
          <w:rFonts w:ascii="Palatino Linotype" w:eastAsia="Palatino Linotype" w:hAnsi="Palatino Linotype" w:cs="Palatino Linotype"/>
          <w:color w:val="000000"/>
        </w:rPr>
        <w:t xml:space="preserve">, promovido por </w:t>
      </w:r>
      <w:r w:rsidR="009B0D06">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w:t>
      </w:r>
      <w:r>
        <w:rPr>
          <w:rFonts w:ascii="Palatino Linotype" w:eastAsia="Palatino Linotype" w:hAnsi="Palatino Linotype" w:cs="Palatino Linotype"/>
        </w:rPr>
        <w:t xml:space="preserve"> en lo sucesivo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00035/ACAMBAY/IP/2026</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Acambay de Ruíz Castañeda,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se emite la presente resolución con base en los siguientes: </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B34385" w:rsidRDefault="00B34385">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B34385" w:rsidRDefault="00DE3B61">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veintisiete de febrero de dos mil veintiséis</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 pública</w:t>
      </w:r>
      <w:r>
        <w:rPr>
          <w:rFonts w:ascii="Palatino Linotype" w:eastAsia="Palatino Linotype" w:hAnsi="Palatino Linotype" w:cs="Palatino Linotype"/>
          <w:color w:val="000000"/>
        </w:rPr>
        <w:t>:</w:t>
      </w:r>
    </w:p>
    <w:p w:rsidR="00B34385" w:rsidRDefault="00B34385">
      <w:pPr>
        <w:pBdr>
          <w:top w:val="nil"/>
          <w:left w:val="nil"/>
          <w:bottom w:val="nil"/>
          <w:right w:val="nil"/>
          <w:between w:val="nil"/>
        </w:pBdr>
        <w:ind w:right="-788"/>
        <w:jc w:val="both"/>
        <w:rPr>
          <w:rFonts w:ascii="Palatino Linotype" w:eastAsia="Palatino Linotype" w:hAnsi="Palatino Linotype" w:cs="Palatino Linotype"/>
          <w:color w:val="000000"/>
        </w:rPr>
      </w:pPr>
    </w:p>
    <w:p w:rsidR="00B34385" w:rsidRDefault="00DE3B61">
      <w:pPr>
        <w:pBdr>
          <w:top w:val="nil"/>
          <w:left w:val="nil"/>
          <w:bottom w:val="nil"/>
          <w:right w:val="nil"/>
          <w:between w:val="nil"/>
        </w:pBdr>
        <w:ind w:left="567"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“Por medio de la presente, solicito una base de datos (en formato abierto como xls o cvs.)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dd/mm/aaaa) DEL INCIDENTE O EVENTO LUGAR DEL INCIDENTE O EVENTO UBICACIÓN DEL INCIDENTE O EVENTO 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w:t>
      </w:r>
      <w:r>
        <w:rPr>
          <w:rFonts w:ascii="Palatino Linotype" w:eastAsia="Palatino Linotype" w:hAnsi="Palatino Linotype" w:cs="Palatino Linotype"/>
          <w:i/>
          <w:iCs/>
          <w:color w:val="000000"/>
        </w:rPr>
        <w:lastRenderedPageBreak/>
        <w:t xml:space="preserve">ubicación y coordenadas geográficas que le corresponde. Requiero que se proporcione la información correspondiente al periodo del 1 de enero de 2018 a la fecha de la presente solicitud.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DATOS QUE FACILITEN LA BÚSQUEDA Y EVENTUAL LOCALIZACIÓN DE LA INFORMACIÓN Fundamento mi solicitud en la funciones y atribuciones del sujeto obligado, así como las particulares de las áreas señaladas: Ley General del Sistema Nacional de Seguridad Pública, artículos 5, fracción X, 41 fracciones I y II, y 43. Ley Nacional del Registro de Detenciones, artículos 18, 20 y 21 párrafo I. Código Nacional de Procedimientos Penales, artículos 51 y 132 fracción XIV. Acuerdo por el que se emiten los </w:t>
      </w:r>
      <w:r>
        <w:rPr>
          <w:rFonts w:ascii="Palatino Linotype" w:eastAsia="Palatino Linotype" w:hAnsi="Palatino Linotype" w:cs="Palatino Linotype"/>
          <w:i/>
          <w:iCs/>
          <w:color w:val="000000"/>
        </w:rPr>
        <w:lastRenderedPageBreak/>
        <w:t>Lineamientos para el llenado, entrega, recepción, registro, resguardo y consulta del Informe Policial Homologado. Publicado el 20/02/2020.” (Sic)</w:t>
      </w:r>
    </w:p>
    <w:p w:rsidR="00B34385" w:rsidRDefault="00B34385">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B34385" w:rsidRDefault="00DE3B61">
      <w:pPr>
        <w:numPr>
          <w:ilvl w:val="0"/>
          <w:numId w:val="3"/>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B34385" w:rsidRDefault="00B34385">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B34385" w:rsidRDefault="00DE3B61">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veinticuatro de marzo de dos mil veintiséis</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del siguiente archivo electrónico</w:t>
      </w:r>
      <w:r>
        <w:rPr>
          <w:rFonts w:ascii="Palatino Linotype" w:eastAsia="Palatino Linotype" w:hAnsi="Palatino Linotype" w:cs="Palatino Linotype"/>
          <w:b/>
          <w:bCs/>
          <w:i/>
          <w:iCs/>
          <w:color w:val="000000"/>
        </w:rPr>
        <w:t>:</w:t>
      </w: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ANÁLISIS DE LOS DELITOS POR MES.xlsx</w:t>
      </w: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en formato Excel que contiene la incidencia delictiva de la anualidad 2023, en el que se advierte información por tipo de delito, de los meses de enero, julio, agosto y septiembre 2023.</w:t>
      </w:r>
    </w:p>
    <w:p w:rsidR="00B34385" w:rsidRDefault="00B34385">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Resp. Sol 035.pdf</w:t>
      </w: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Oficio No.: UTAIPEM/113/2026 de fecha 03 de marzo de 2026, firmado por la </w:t>
      </w:r>
      <w:r>
        <w:rPr>
          <w:rFonts w:ascii="Palatino Linotype" w:eastAsia="Palatino Linotype" w:hAnsi="Palatino Linotype" w:cs="Palatino Linotype"/>
          <w:b/>
          <w:bCs/>
          <w:color w:val="000000"/>
        </w:rPr>
        <w:t>Titular de Transparencia</w:t>
      </w:r>
      <w:r>
        <w:rPr>
          <w:rFonts w:ascii="Palatino Linotype" w:eastAsia="Palatino Linotype" w:hAnsi="Palatino Linotype" w:cs="Palatino Linotype"/>
          <w:color w:val="000000"/>
        </w:rPr>
        <w:t>, a través del cual turna la solicitud de información al Encargado del Despacho de la Dirección de Seguridad Pública.</w:t>
      </w:r>
    </w:p>
    <w:p w:rsidR="00B34385" w:rsidRDefault="00B34385">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No. de oficio: SEGPUG/0355/2026 de fecha 23 de marzo de 2026, firmado por el Encargado del Despacho de la </w:t>
      </w:r>
      <w:r>
        <w:rPr>
          <w:rFonts w:ascii="Palatino Linotype" w:eastAsia="Palatino Linotype" w:hAnsi="Palatino Linotype" w:cs="Palatino Linotype"/>
          <w:b/>
          <w:bCs/>
          <w:color w:val="000000"/>
        </w:rPr>
        <w:t>Dirección de Seguridad Pública</w:t>
      </w:r>
      <w:r>
        <w:rPr>
          <w:rFonts w:ascii="Palatino Linotype" w:eastAsia="Palatino Linotype" w:hAnsi="Palatino Linotype" w:cs="Palatino Linotype"/>
          <w:color w:val="000000"/>
        </w:rPr>
        <w:t>, a través del cual refiere:</w:t>
      </w:r>
    </w:p>
    <w:p w:rsidR="00B34385" w:rsidRDefault="00B34385">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información relacionada a la incidencia delictiva del municipio de Acambay de Ruíz Castañeda del 01 de enero de 2018 a la fecha. </w:t>
      </w:r>
    </w:p>
    <w:p w:rsidR="00B34385" w:rsidRDefault="00B34385">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atención al oficio referido, me permito informar que la Dirección a mi cargo no cuenta con un área específica dedicada a la recopilación y análisis de la información solicitada. </w:t>
      </w:r>
    </w:p>
    <w:p w:rsidR="00B34385" w:rsidRDefault="00B34385">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No obstante, </w:t>
      </w:r>
      <w:r>
        <w:rPr>
          <w:rFonts w:ascii="Palatino Linotype" w:eastAsia="Palatino Linotype" w:hAnsi="Palatino Linotype" w:cs="Palatino Linotype"/>
          <w:b/>
          <w:bCs/>
          <w:i/>
          <w:iCs/>
          <w:color w:val="000000"/>
        </w:rPr>
        <w:t>se anexan</w:t>
      </w:r>
      <w:r>
        <w:rPr>
          <w:rFonts w:ascii="Palatino Linotype" w:eastAsia="Palatino Linotype" w:hAnsi="Palatino Linotype" w:cs="Palatino Linotype"/>
          <w:i/>
          <w:iCs/>
          <w:color w:val="000000"/>
        </w:rPr>
        <w:t xml:space="preserve"> al presente l</w:t>
      </w:r>
      <w:r>
        <w:rPr>
          <w:rFonts w:ascii="Palatino Linotype" w:eastAsia="Palatino Linotype" w:hAnsi="Palatino Linotype" w:cs="Palatino Linotype"/>
          <w:b/>
          <w:bCs/>
          <w:i/>
          <w:iCs/>
          <w:color w:val="000000"/>
        </w:rPr>
        <w:t>os registros recabados en periodos anteriores a la fecha de esta solicitud</w:t>
      </w:r>
      <w:r>
        <w:rPr>
          <w:rFonts w:ascii="Palatino Linotype" w:eastAsia="Palatino Linotype" w:hAnsi="Palatino Linotype" w:cs="Palatino Linotype"/>
          <w:i/>
          <w:iCs/>
          <w:color w:val="000000"/>
        </w:rPr>
        <w:t>, con el fin de brindar antecedentes que puedan resultar de utilidad.</w:t>
      </w:r>
    </w:p>
    <w:p w:rsidR="00B34385" w:rsidRDefault="00B34385">
      <w:pPr>
        <w:pBdr>
          <w:top w:val="nil"/>
          <w:left w:val="nil"/>
          <w:bottom w:val="nil"/>
          <w:right w:val="nil"/>
          <w:between w:val="nil"/>
        </w:pBdr>
        <w:ind w:right="-788"/>
        <w:jc w:val="both"/>
        <w:rPr>
          <w:rFonts w:ascii="Palatino Linotype" w:eastAsia="Palatino Linotype" w:hAnsi="Palatino Linotype" w:cs="Palatino Linotype"/>
          <w:b/>
          <w:bCs/>
          <w:i/>
          <w:iCs/>
          <w:color w:val="000000"/>
        </w:rPr>
      </w:pPr>
    </w:p>
    <w:p w:rsidR="00B34385" w:rsidRDefault="00B34385">
      <w:pPr>
        <w:pBdr>
          <w:top w:val="nil"/>
          <w:left w:val="nil"/>
          <w:bottom w:val="nil"/>
          <w:right w:val="nil"/>
          <w:between w:val="nil"/>
        </w:pBdr>
        <w:ind w:left="567" w:right="-788"/>
        <w:jc w:val="both"/>
        <w:rPr>
          <w:rFonts w:ascii="Palatino Linotype" w:eastAsia="Palatino Linotype" w:hAnsi="Palatino Linotype" w:cs="Palatino Linotype"/>
          <w:b/>
          <w:bCs/>
          <w:i/>
          <w:iCs/>
        </w:rPr>
      </w:pP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REGISTRO DE LLAMADAS 2022.xlsx</w:t>
      </w: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Documento en formato Excel titulado Registro de llamadas 2022, que muestra una relación con distintos rubros y hojas del libro de Excel, en los que de manera enunciativa </w:t>
      </w:r>
      <w:r>
        <w:rPr>
          <w:rFonts w:ascii="Palatino Linotype" w:eastAsia="Palatino Linotype" w:hAnsi="Palatino Linotype" w:cs="Palatino Linotype"/>
        </w:rPr>
        <w:t>más</w:t>
      </w:r>
      <w:r>
        <w:rPr>
          <w:rFonts w:ascii="Palatino Linotype" w:eastAsia="Palatino Linotype" w:hAnsi="Palatino Linotype" w:cs="Palatino Linotype"/>
          <w:color w:val="000000"/>
        </w:rPr>
        <w:t xml:space="preserve"> no limitativa se pueden apreciar datos de fecha, hora, lugar, reportante, número de </w:t>
      </w:r>
      <w:r>
        <w:rPr>
          <w:rFonts w:ascii="Palatino Linotype" w:eastAsia="Palatino Linotype" w:hAnsi="Palatino Linotype" w:cs="Palatino Linotype"/>
          <w:color w:val="000000"/>
        </w:rPr>
        <w:lastRenderedPageBreak/>
        <w:t>contacto, reporte, observaciones, elementos, por mencionar algunos, del primer trimestre 2022.</w:t>
      </w:r>
    </w:p>
    <w:p w:rsidR="00B34385" w:rsidRDefault="00B34385">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Dicho documento contiene datos de carácter personal susceptibles de clasificarse, como nombre y números de particulares, así como nombres de elementos de seguridad pública.</w:t>
      </w:r>
    </w:p>
    <w:p w:rsidR="00B34385" w:rsidRDefault="00B34385">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REPORTES RECIBIDOS POR MES en 2023.xlsx</w:t>
      </w: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Documento en formato Excel que contiene la incidencia delictiva en el que se advierte información por mes, de julio, agosto y </w:t>
      </w:r>
      <w:r>
        <w:rPr>
          <w:rFonts w:ascii="Palatino Linotype" w:eastAsia="Palatino Linotype" w:hAnsi="Palatino Linotype" w:cs="Palatino Linotype"/>
        </w:rPr>
        <w:t>septiembre de 2023</w:t>
      </w:r>
      <w:r>
        <w:rPr>
          <w:rFonts w:ascii="Palatino Linotype" w:eastAsia="Palatino Linotype" w:hAnsi="Palatino Linotype" w:cs="Palatino Linotype"/>
          <w:color w:val="000000"/>
        </w:rPr>
        <w:t>.</w:t>
      </w:r>
    </w:p>
    <w:p w:rsidR="00B34385" w:rsidRDefault="00B34385">
      <w:pPr>
        <w:pBdr>
          <w:top w:val="nil"/>
          <w:left w:val="nil"/>
          <w:bottom w:val="nil"/>
          <w:right w:val="nil"/>
          <w:between w:val="nil"/>
        </w:pBdr>
        <w:ind w:right="-788"/>
        <w:jc w:val="both"/>
        <w:rPr>
          <w:rFonts w:ascii="Palatino Linotype" w:eastAsia="Palatino Linotype" w:hAnsi="Palatino Linotype" w:cs="Palatino Linotype"/>
          <w:b/>
          <w:bCs/>
          <w:i/>
          <w:iCs/>
          <w:color w:val="000000"/>
        </w:rPr>
      </w:pP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INCIDENCIA DELICTIVA 2025 ACAMBAY DE RUIZ CASTAÑEDA.xlsx.</w:t>
      </w:r>
    </w:p>
    <w:p w:rsidR="00B34385" w:rsidRDefault="00DE3B61">
      <w:pPr>
        <w:pBdr>
          <w:top w:val="nil"/>
          <w:left w:val="nil"/>
          <w:bottom w:val="nil"/>
          <w:right w:val="nil"/>
          <w:between w:val="nil"/>
        </w:pBdr>
        <w:ind w:left="567"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en formato Excel que contiene la incidencia delictiva de enero a diciembre de 2025.</w:t>
      </w:r>
    </w:p>
    <w:p w:rsidR="00B34385" w:rsidRDefault="00B34385">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B34385" w:rsidRDefault="00B34385">
      <w:pPr>
        <w:pBdr>
          <w:top w:val="nil"/>
          <w:left w:val="nil"/>
          <w:bottom w:val="nil"/>
          <w:right w:val="nil"/>
          <w:between w:val="nil"/>
        </w:pBdr>
        <w:spacing w:line="360" w:lineRule="auto"/>
        <w:ind w:right="-787"/>
        <w:jc w:val="both"/>
        <w:rPr>
          <w:rFonts w:ascii="Palatino Linotype" w:eastAsia="Palatino Linotype" w:hAnsi="Palatino Linotype" w:cs="Palatino Linotype"/>
          <w:b/>
          <w:bCs/>
          <w:i/>
          <w:iCs/>
          <w:color w:val="000000"/>
        </w:rPr>
      </w:pPr>
    </w:p>
    <w:p w:rsidR="00B34385" w:rsidRDefault="00DE3B61">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veintisiete de marzo de dos mil veinticinco</w:t>
      </w:r>
      <w:r>
        <w:rPr>
          <w:rFonts w:ascii="Palatino Linotype" w:eastAsia="Palatino Linotype" w:hAnsi="Palatino Linotype" w:cs="Palatino Linotype"/>
          <w:color w:val="000000"/>
        </w:rPr>
        <w:t xml:space="preserve">, el particular interpuso el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al que se le asignó el folio </w:t>
      </w:r>
      <w:r>
        <w:rPr>
          <w:rFonts w:ascii="Palatino Linotype" w:eastAsia="Palatino Linotype" w:hAnsi="Palatino Linotype" w:cs="Palatino Linotype"/>
          <w:b/>
          <w:bCs/>
          <w:color w:val="000000"/>
        </w:rPr>
        <w:t xml:space="preserve">03638/INFOEM/IP/RR/2026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B34385" w:rsidRDefault="00B34385">
      <w:pPr>
        <w:pBdr>
          <w:top w:val="nil"/>
          <w:left w:val="nil"/>
          <w:bottom w:val="nil"/>
          <w:right w:val="nil"/>
          <w:between w:val="nil"/>
        </w:pBdr>
        <w:tabs>
          <w:tab w:val="left" w:pos="0"/>
        </w:tabs>
        <w:ind w:left="357" w:right="-788"/>
        <w:jc w:val="both"/>
        <w:rPr>
          <w:rFonts w:ascii="Palatino Linotype" w:eastAsia="Palatino Linotype" w:hAnsi="Palatino Linotype" w:cs="Palatino Linotype"/>
          <w:color w:val="000000"/>
        </w:rPr>
      </w:pPr>
    </w:p>
    <w:p w:rsidR="00B34385" w:rsidRDefault="00DE3B61">
      <w:pPr>
        <w:numPr>
          <w:ilvl w:val="0"/>
          <w:numId w:val="1"/>
        </w:numPr>
        <w:pBdr>
          <w:top w:val="nil"/>
          <w:left w:val="nil"/>
          <w:bottom w:val="nil"/>
          <w:right w:val="nil"/>
          <w:between w:val="nil"/>
        </w:pBdr>
        <w:ind w:right="-787"/>
        <w:jc w:val="both"/>
        <w:rPr>
          <w:rFonts w:ascii="Palatino Linotype" w:eastAsia="Palatino Linotype" w:hAnsi="Palatino Linotype" w:cs="Palatino Linotype"/>
          <w:b/>
          <w:bCs/>
          <w:color w:val="000000"/>
        </w:rPr>
      </w:pPr>
      <w:bookmarkStart w:id="2" w:name="_heading=h.30j0zll" w:colFirst="0" w:colLast="0"/>
      <w:bookmarkEnd w:id="2"/>
      <w:r>
        <w:rPr>
          <w:rFonts w:ascii="Palatino Linotype" w:eastAsia="Palatino Linotype" w:hAnsi="Palatino Linotype" w:cs="Palatino Linotype"/>
          <w:b/>
          <w:bCs/>
          <w:color w:val="000000"/>
        </w:rPr>
        <w:t xml:space="preserve">Acto impugnado: </w:t>
      </w:r>
    </w:p>
    <w:p w:rsidR="00B34385" w:rsidRDefault="00DE3B61">
      <w:pPr>
        <w:pBdr>
          <w:top w:val="nil"/>
          <w:left w:val="nil"/>
          <w:bottom w:val="nil"/>
          <w:right w:val="nil"/>
          <w:between w:val="nil"/>
        </w:pBdr>
        <w:ind w:left="851"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“Información incompleta, no entrega coordenadas.” (Sic)</w:t>
      </w:r>
    </w:p>
    <w:p w:rsidR="00B34385" w:rsidRDefault="00B34385">
      <w:pPr>
        <w:pBdr>
          <w:top w:val="nil"/>
          <w:left w:val="nil"/>
          <w:bottom w:val="nil"/>
          <w:right w:val="nil"/>
          <w:between w:val="nil"/>
        </w:pBdr>
        <w:ind w:left="851" w:right="-787"/>
        <w:jc w:val="both"/>
        <w:rPr>
          <w:rFonts w:ascii="Palatino Linotype" w:eastAsia="Palatino Linotype" w:hAnsi="Palatino Linotype" w:cs="Palatino Linotype"/>
          <w:i/>
          <w:iCs/>
          <w:color w:val="000000"/>
        </w:rPr>
      </w:pPr>
    </w:p>
    <w:p w:rsidR="00B34385" w:rsidRDefault="00DE3B61">
      <w:pPr>
        <w:numPr>
          <w:ilvl w:val="0"/>
          <w:numId w:val="2"/>
        </w:numPr>
        <w:pBdr>
          <w:top w:val="nil"/>
          <w:left w:val="nil"/>
          <w:bottom w:val="nil"/>
          <w:right w:val="nil"/>
          <w:between w:val="nil"/>
        </w:pBdr>
        <w:ind w:right="-79"/>
        <w:jc w:val="both"/>
        <w:rPr>
          <w:rFonts w:ascii="Palatino Linotype" w:eastAsia="Palatino Linotype" w:hAnsi="Palatino Linotype" w:cs="Palatino Linotype"/>
          <w:b/>
          <w:bCs/>
          <w:color w:val="000000"/>
        </w:rPr>
      </w:pPr>
      <w:bookmarkStart w:id="3" w:name="_heading=h.1fob9te" w:colFirst="0" w:colLast="0"/>
      <w:bookmarkEnd w:id="3"/>
      <w:r>
        <w:rPr>
          <w:rFonts w:ascii="Palatino Linotype" w:eastAsia="Palatino Linotype" w:hAnsi="Palatino Linotype" w:cs="Palatino Linotype"/>
          <w:b/>
          <w:bCs/>
          <w:color w:val="000000"/>
        </w:rPr>
        <w:t xml:space="preserve">Razones o Motivos de inconformidad: </w:t>
      </w:r>
    </w:p>
    <w:p w:rsidR="00B34385" w:rsidRDefault="00DE3B61">
      <w:pPr>
        <w:pBdr>
          <w:top w:val="nil"/>
          <w:left w:val="nil"/>
          <w:bottom w:val="nil"/>
          <w:right w:val="nil"/>
          <w:between w:val="nil"/>
        </w:pBdr>
        <w:ind w:left="851" w:right="-7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“La información entregada está revuelta, hay archivos que sí contienen datos personales (como el de registro de llamadas) como teléfono de contacto y nombre de quien realizó la llamada, lo cual podría hacer identificable a la persona y eso no es lo que se solicitó. También entrega estadística lo cual tampoco fue solicitado. Por lo tanto, requiero que me sea entregada la información que solicité con coordenadas.” </w:t>
      </w:r>
      <w:r>
        <w:rPr>
          <w:rFonts w:ascii="Palatino Linotype" w:eastAsia="Palatino Linotype" w:hAnsi="Palatino Linotype" w:cs="Palatino Linotype"/>
          <w:color w:val="000000"/>
        </w:rPr>
        <w:t>(Sic)</w:t>
      </w:r>
    </w:p>
    <w:p w:rsidR="00B34385" w:rsidRDefault="00B34385">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B34385" w:rsidRDefault="00DE3B61">
      <w:pPr>
        <w:numPr>
          <w:ilvl w:val="0"/>
          <w:numId w:val="4"/>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seis de abril de dos mil </w:t>
      </w:r>
      <w:r>
        <w:rPr>
          <w:rFonts w:ascii="Palatino Linotype" w:eastAsia="Palatino Linotype" w:hAnsi="Palatino Linotype" w:cs="Palatino Linotype"/>
          <w:b/>
          <w:bCs/>
          <w:color w:val="000000"/>
        </w:rPr>
        <w:lastRenderedPageBreak/>
        <w:t xml:space="preserve">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B34385" w:rsidRDefault="00B34385">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B34385" w:rsidRDefault="00DE3B61">
      <w:pPr>
        <w:numPr>
          <w:ilvl w:val="0"/>
          <w:numId w:val="4"/>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no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presentó informe justificado tal como se muestra en la imagen siguiente: </w:t>
      </w:r>
    </w:p>
    <w:p w:rsidR="00B34385" w:rsidRDefault="00B34385">
      <w:pPr>
        <w:pBdr>
          <w:top w:val="nil"/>
          <w:left w:val="nil"/>
          <w:bottom w:val="nil"/>
          <w:right w:val="nil"/>
          <w:between w:val="nil"/>
        </w:pBdr>
        <w:ind w:left="426" w:right="-79"/>
        <w:jc w:val="both"/>
        <w:rPr>
          <w:rFonts w:ascii="Palatino Linotype" w:eastAsia="Palatino Linotype" w:hAnsi="Palatino Linotype" w:cs="Palatino Linotype"/>
          <w:b/>
          <w:bCs/>
          <w:color w:val="000000"/>
        </w:rPr>
      </w:pPr>
    </w:p>
    <w:p w:rsidR="00B34385" w:rsidRDefault="00DE3B61">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noProof/>
          <w:color w:val="000000"/>
          <w:lang w:val="es-MX"/>
        </w:rPr>
        <w:drawing>
          <wp:inline distT="0" distB="0" distL="0" distR="0">
            <wp:extent cx="5756275" cy="145923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56275" cy="1459230"/>
                    </a:xfrm>
                    <a:prstGeom prst="rect">
                      <a:avLst/>
                    </a:prstGeom>
                    <a:ln/>
                  </pic:spPr>
                </pic:pic>
              </a:graphicData>
            </a:graphic>
          </wp:inline>
        </w:drawing>
      </w:r>
    </w:p>
    <w:p w:rsidR="00B34385" w:rsidRDefault="00B34385">
      <w:pPr>
        <w:pBdr>
          <w:top w:val="nil"/>
          <w:left w:val="nil"/>
          <w:bottom w:val="nil"/>
          <w:right w:val="nil"/>
          <w:between w:val="nil"/>
        </w:pBdr>
        <w:ind w:left="709" w:right="-79" w:firstLine="10"/>
        <w:jc w:val="both"/>
        <w:rPr>
          <w:rFonts w:ascii="Palatino Linotype" w:eastAsia="Palatino Linotype" w:hAnsi="Palatino Linotype" w:cs="Palatino Linotype"/>
          <w:color w:val="000000"/>
        </w:rPr>
      </w:pPr>
    </w:p>
    <w:p w:rsidR="00B34385" w:rsidRDefault="00DE3B61">
      <w:pPr>
        <w:numPr>
          <w:ilvl w:val="0"/>
          <w:numId w:val="4"/>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3znysh7" w:colFirst="0" w:colLast="0"/>
      <w:bookmarkEnd w:id="4"/>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veinticuatro de abril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rsidR="00B34385" w:rsidRDefault="00B34385">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CE7910" w:rsidRPr="00CE7910" w:rsidRDefault="00DE3B61">
      <w:pPr>
        <w:numPr>
          <w:ilvl w:val="0"/>
          <w:numId w:val="4"/>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veintiuno de mayo de dos mil veintiséis</w:t>
      </w:r>
      <w:r>
        <w:rPr>
          <w:rFonts w:ascii="Palatino Linotype" w:eastAsia="Palatino Linotype" w:hAnsi="Palatino Linotype" w:cs="Palatino Linotype"/>
          <w:color w:val="000000"/>
        </w:rPr>
        <w:t xml:space="preserve">, se acordó </w:t>
      </w:r>
      <w:r>
        <w:rPr>
          <w:rFonts w:ascii="Palatino Linotype" w:eastAsia="Palatino Linotype" w:hAnsi="Palatino Linotype" w:cs="Palatino Linotype"/>
          <w:b/>
          <w:bCs/>
          <w:color w:val="000000"/>
        </w:rPr>
        <w:t xml:space="preserve">ampliar el </w:t>
      </w:r>
      <w:r>
        <w:rPr>
          <w:rFonts w:ascii="Palatino Linotype" w:eastAsia="Palatino Linotype" w:hAnsi="Palatino Linotype" w:cs="Palatino Linotype"/>
          <w:b/>
          <w:bCs/>
        </w:rPr>
        <w:t>plazo</w:t>
      </w:r>
      <w:r>
        <w:rPr>
          <w:rFonts w:ascii="Palatino Linotype" w:eastAsia="Palatino Linotype" w:hAnsi="Palatino Linotype" w:cs="Palatino Linotype"/>
          <w:color w:val="000000"/>
        </w:rPr>
        <w:t xml:space="preserve"> para resolver el presente Recurso de Revisión.</w:t>
      </w:r>
      <w:r w:rsidR="00CE7910">
        <w:rPr>
          <w:rFonts w:ascii="Palatino Linotype" w:eastAsia="Palatino Linotype" w:hAnsi="Palatino Linotype" w:cs="Palatino Linotype"/>
          <w:color w:val="000000"/>
        </w:rPr>
        <w:t xml:space="preserve"> --------------------------------------------------------------</w:t>
      </w:r>
      <w:r w:rsidR="009B0D06">
        <w:rPr>
          <w:rFonts w:ascii="Palatino Linotype" w:eastAsia="Palatino Linotype" w:hAnsi="Palatino Linotype" w:cs="Palatino Linotype"/>
          <w:color w:val="000000"/>
        </w:rPr>
        <w:t>------</w:t>
      </w:r>
    </w:p>
    <w:p w:rsidR="00CE7910" w:rsidRDefault="00CE7910" w:rsidP="00CE7910">
      <w:pPr>
        <w:pStyle w:val="Prrafodelista"/>
        <w:rPr>
          <w:rFonts w:ascii="Palatino Linotype" w:eastAsia="Palatino Linotype" w:hAnsi="Palatino Linotype" w:cs="Palatino Linotype"/>
          <w:color w:val="000000"/>
        </w:rPr>
      </w:pPr>
    </w:p>
    <w:p w:rsidR="00B34385" w:rsidRDefault="00DE3B61" w:rsidP="00CE7910">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ab/>
      </w:r>
    </w:p>
    <w:p w:rsidR="00B34385" w:rsidRDefault="00B34385">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B34385" w:rsidRDefault="00B34385">
      <w:pPr>
        <w:pBdr>
          <w:top w:val="nil"/>
          <w:left w:val="nil"/>
          <w:bottom w:val="nil"/>
          <w:right w:val="nil"/>
          <w:between w:val="nil"/>
        </w:pBdr>
        <w:ind w:left="720" w:right="-787"/>
        <w:rPr>
          <w:rFonts w:ascii="Palatino Linotype" w:eastAsia="Palatino Linotype" w:hAnsi="Palatino Linotype" w:cs="Palatino Linotype"/>
          <w:b/>
          <w:bCs/>
          <w:color w:val="000000"/>
        </w:rPr>
      </w:pPr>
    </w:p>
    <w:p w:rsidR="00B34385" w:rsidRDefault="00DE3B61">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C O N S I D E R A N D O </w:t>
      </w:r>
    </w:p>
    <w:p w:rsidR="00B34385" w:rsidRDefault="00B34385">
      <w:pPr>
        <w:spacing w:line="360" w:lineRule="auto"/>
        <w:rPr>
          <w:rFonts w:ascii="Palatino Linotype" w:eastAsia="Palatino Linotype" w:hAnsi="Palatino Linotype" w:cs="Palatino Linotype"/>
        </w:rPr>
      </w:pPr>
    </w:p>
    <w:p w:rsidR="00B34385" w:rsidRDefault="00DE3B61">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B34385" w:rsidRDefault="00DE3B61">
      <w:pPr>
        <w:numPr>
          <w:ilvl w:val="0"/>
          <w:numId w:val="4"/>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B34385" w:rsidRDefault="00B34385">
      <w:pPr>
        <w:tabs>
          <w:tab w:val="left" w:pos="426"/>
        </w:tabs>
        <w:spacing w:line="360" w:lineRule="auto"/>
        <w:jc w:val="both"/>
        <w:rPr>
          <w:rFonts w:ascii="Palatino Linotype" w:eastAsia="Palatino Linotype" w:hAnsi="Palatino Linotype" w:cs="Palatino Linotype"/>
          <w:color w:val="000000"/>
        </w:rPr>
      </w:pPr>
    </w:p>
    <w:p w:rsidR="00B34385" w:rsidRDefault="00DE3B61">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B34385" w:rsidRDefault="00DE3B61">
      <w:pPr>
        <w:numPr>
          <w:ilvl w:val="0"/>
          <w:numId w:val="4"/>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veinticuatro de marzo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veinticinco de marzo al veintiuno de abril de dos mil veintiséis,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veintisiete de marzo de dos mil veintiséis</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B34385" w:rsidRDefault="00DE3B61">
      <w:pPr>
        <w:pStyle w:val="Ttulo2"/>
        <w:rPr>
          <w:rFonts w:ascii="Palatino Linotype" w:eastAsia="Palatino Linotype" w:hAnsi="Palatino Linotype" w:cs="Palatino Linotype"/>
          <w:b/>
          <w:bCs/>
          <w:i/>
          <w:iCs/>
          <w:color w:val="000000"/>
          <w:sz w:val="24"/>
          <w:szCs w:val="24"/>
        </w:rPr>
      </w:pPr>
      <w:bookmarkStart w:id="5" w:name="_heading=h.2et92p0" w:colFirst="0" w:colLast="0"/>
      <w:bookmarkEnd w:id="5"/>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solicitó</w:t>
      </w:r>
      <w:r>
        <w:rPr>
          <w:rFonts w:ascii="Palatino Linotype" w:eastAsia="Palatino Linotype" w:hAnsi="Palatino Linotype" w:cs="Palatino Linotype"/>
          <w:color w:val="000000"/>
        </w:rPr>
        <w:t xml:space="preserve"> tener acceso, a la información que a continuación se simplifica:</w:t>
      </w:r>
    </w:p>
    <w:p w:rsidR="00B34385" w:rsidRDefault="00DE3B61">
      <w:pPr>
        <w:numPr>
          <w:ilvl w:val="0"/>
          <w:numId w:val="5"/>
        </w:numPr>
        <w:pBdr>
          <w:top w:val="nil"/>
          <w:left w:val="nil"/>
          <w:bottom w:val="nil"/>
          <w:right w:val="nil"/>
          <w:between w:val="nil"/>
        </w:pBdr>
        <w:ind w:left="851"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Del 1 de enero de 2018 al 27 de febrero de 2026, </w:t>
      </w:r>
      <w:r>
        <w:rPr>
          <w:rFonts w:ascii="Palatino Linotype" w:eastAsia="Palatino Linotype" w:hAnsi="Palatino Linotype" w:cs="Palatino Linotype"/>
          <w:b/>
          <w:bCs/>
          <w:i/>
          <w:iCs/>
          <w:color w:val="000000"/>
        </w:rPr>
        <w:t>base de datos</w:t>
      </w:r>
      <w:r>
        <w:rPr>
          <w:rFonts w:ascii="Palatino Linotype" w:eastAsia="Palatino Linotype" w:hAnsi="Palatino Linotype" w:cs="Palatino Linotype"/>
          <w:i/>
          <w:iCs/>
          <w:color w:val="000000"/>
        </w:rPr>
        <w:t xml:space="preserve"> (en formato abierto como xls. o cvs.) de</w:t>
      </w:r>
      <w:r>
        <w:rPr>
          <w:rFonts w:ascii="Palatino Linotype" w:eastAsia="Palatino Linotype" w:hAnsi="Palatino Linotype" w:cs="Palatino Linotype"/>
          <w:b/>
          <w:bCs/>
          <w:i/>
          <w:iCs/>
          <w:color w:val="000000"/>
        </w:rPr>
        <w:t xml:space="preserve"> incidencia delictiva o reporte de incidentes </w:t>
      </w:r>
      <w:r>
        <w:rPr>
          <w:rFonts w:ascii="Palatino Linotype" w:eastAsia="Palatino Linotype" w:hAnsi="Palatino Linotype" w:cs="Palatino Linotype"/>
          <w:i/>
          <w:iCs/>
          <w:color w:val="000000"/>
        </w:rPr>
        <w:t>o documento que contenga:</w:t>
      </w:r>
    </w:p>
    <w:p w:rsidR="00B34385" w:rsidRDefault="00DE3B61">
      <w:pPr>
        <w:numPr>
          <w:ilvl w:val="0"/>
          <w:numId w:val="6"/>
        </w:numPr>
        <w:pBdr>
          <w:top w:val="nil"/>
          <w:left w:val="nil"/>
          <w:bottom w:val="nil"/>
          <w:right w:val="nil"/>
          <w:between w:val="nil"/>
        </w:pBdr>
        <w:ind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Tipo de incidente o evento (es decir hechos presuntamente constitutivos de delito y/o falta administrativa, o situación reportada, cualquiera que esta sea, especificando si el hecho fue con o sin violencia) </w:t>
      </w:r>
    </w:p>
    <w:p w:rsidR="00B34385" w:rsidRDefault="00DE3B61">
      <w:pPr>
        <w:numPr>
          <w:ilvl w:val="0"/>
          <w:numId w:val="6"/>
        </w:numPr>
        <w:pBdr>
          <w:top w:val="nil"/>
          <w:left w:val="nil"/>
          <w:bottom w:val="nil"/>
          <w:right w:val="nil"/>
          <w:between w:val="nil"/>
        </w:pBdr>
        <w:ind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Hora del incidente o evento </w:t>
      </w:r>
    </w:p>
    <w:p w:rsidR="00B34385" w:rsidRDefault="00DE3B61">
      <w:pPr>
        <w:numPr>
          <w:ilvl w:val="0"/>
          <w:numId w:val="6"/>
        </w:numPr>
        <w:pBdr>
          <w:top w:val="nil"/>
          <w:left w:val="nil"/>
          <w:bottom w:val="nil"/>
          <w:right w:val="nil"/>
          <w:between w:val="nil"/>
        </w:pBdr>
        <w:ind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Fecha ( dd/mm/aaaa) del incidente o evento </w:t>
      </w:r>
    </w:p>
    <w:p w:rsidR="00B34385" w:rsidRDefault="00DE3B61">
      <w:pPr>
        <w:numPr>
          <w:ilvl w:val="0"/>
          <w:numId w:val="6"/>
        </w:numPr>
        <w:pBdr>
          <w:top w:val="nil"/>
          <w:left w:val="nil"/>
          <w:bottom w:val="nil"/>
          <w:right w:val="nil"/>
          <w:between w:val="nil"/>
        </w:pBdr>
        <w:ind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Lugar del incidente o evento </w:t>
      </w:r>
    </w:p>
    <w:p w:rsidR="00B34385" w:rsidRDefault="00DE3B61">
      <w:pPr>
        <w:numPr>
          <w:ilvl w:val="0"/>
          <w:numId w:val="6"/>
        </w:numPr>
        <w:pBdr>
          <w:top w:val="nil"/>
          <w:left w:val="nil"/>
          <w:bottom w:val="nil"/>
          <w:right w:val="nil"/>
          <w:between w:val="nil"/>
        </w:pBdr>
        <w:ind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Ubicación del incidente o evento </w:t>
      </w:r>
    </w:p>
    <w:p w:rsidR="00B34385" w:rsidRDefault="00DE3B61">
      <w:pPr>
        <w:numPr>
          <w:ilvl w:val="0"/>
          <w:numId w:val="6"/>
        </w:numPr>
        <w:pBdr>
          <w:top w:val="nil"/>
          <w:left w:val="nil"/>
          <w:bottom w:val="nil"/>
          <w:right w:val="nil"/>
          <w:between w:val="nil"/>
        </w:pBdr>
        <w:ind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Coordenadas geográficas del incidente o evento (establecidas en la sección “lugar de la intervención” del informe policial homologado para: 1) hechos probablemente delictivos o para 2) justicia cívica según corresponda al tipo de incidente.)</w:t>
      </w:r>
    </w:p>
    <w:p w:rsidR="00B34385" w:rsidRDefault="00B34385">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2, inconforme con la respuesta, se interpuso recurso de revisión argumentando sustancialmente la entrega de información incompleta.</w:t>
      </w:r>
    </w:p>
    <w:p w:rsidR="00B34385" w:rsidRDefault="00B34385">
      <w:pPr>
        <w:ind w:left="720" w:right="-788"/>
        <w:jc w:val="both"/>
        <w:rPr>
          <w:rFonts w:ascii="Palatino Linotype" w:eastAsia="Palatino Linotype" w:hAnsi="Palatino Linotype" w:cs="Palatino Linotype"/>
          <w:i/>
          <w:iCs/>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Pr>
          <w:rFonts w:ascii="Palatino Linotype" w:eastAsia="Palatino Linotype" w:hAnsi="Palatino Linotype" w:cs="Palatino Linotype"/>
          <w:b/>
          <w:bCs/>
        </w:rPr>
        <w:t>179, fracción V,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relativa a </w:t>
      </w:r>
      <w:r>
        <w:rPr>
          <w:rFonts w:ascii="Palatino Linotype" w:eastAsia="Palatino Linotype" w:hAnsi="Palatino Linotype" w:cs="Palatino Linotype"/>
          <w:b/>
          <w:bCs/>
          <w:color w:val="000000"/>
        </w:rPr>
        <w:t>la entrega de información 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B34385" w:rsidRDefault="00B34385">
      <w:pPr>
        <w:spacing w:line="360" w:lineRule="auto"/>
        <w:ind w:right="-787"/>
        <w:rPr>
          <w:rFonts w:ascii="Palatino Linotype" w:eastAsia="Palatino Linotype" w:hAnsi="Palatino Linotype" w:cs="Palatino Linotype"/>
        </w:rPr>
      </w:pPr>
    </w:p>
    <w:p w:rsidR="00B34385" w:rsidRDefault="00DE3B61">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Pr>
          <w:rFonts w:ascii="Palatino Linotype" w:eastAsia="Palatino Linotype" w:hAnsi="Palatino Linotype" w:cs="Palatino Linotype"/>
          <w:b/>
          <w:bCs/>
          <w:color w:val="000000"/>
          <w:sz w:val="24"/>
          <w:szCs w:val="24"/>
        </w:rPr>
        <w:lastRenderedPageBreak/>
        <w:t>CUARTO. Del estudio y resolución del asunto.</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B34385" w:rsidRDefault="00B34385">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Pr>
          <w:rFonts w:ascii="Palatino Linotype" w:eastAsia="Palatino Linotype" w:hAnsi="Palatino Linotype" w:cs="Palatino Linotype"/>
        </w:rPr>
        <w:lastRenderedPageBreak/>
        <w:t>información, siempre y cuando no encuadre en una de las excepciones contempladas por la ley.</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9"/>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B34385" w:rsidRDefault="00DE3B61">
      <w:pPr>
        <w:numPr>
          <w:ilvl w:val="0"/>
          <w:numId w:val="4"/>
        </w:numPr>
        <w:spacing w:line="360" w:lineRule="auto"/>
        <w:ind w:left="0" w:right="-787" w:firstLine="0"/>
        <w:jc w:val="both"/>
      </w:pPr>
      <w:r>
        <w:rPr>
          <w:rFonts w:ascii="Palatino Linotype" w:eastAsia="Palatino Linotype" w:hAnsi="Palatino Linotype" w:cs="Palatino Linotype"/>
        </w:rPr>
        <w:t>Para el logro de los fines, las dependencias de la Administración Pública Municipal, deberán conducir sus actividades de manera planeada, programada y con base en la legislación correspondiente, en las políticas públicas, la jerarquización y las restricciones que establezca el Ayuntamiento, el Plan de Desarrollo Municipal y los programas que de éste se deriven, integrándose con las Direcciones, Coordinaciones, Jefaturas, Oficialías, Juzgado Cívico, Áreas y Unidades Administrativas que establece el presente Bando, tal como lo señala el Bando Municipal en su artículo 52:</w:t>
      </w:r>
    </w:p>
    <w:p w:rsidR="00B34385" w:rsidRDefault="00DE3B61">
      <w:pPr>
        <w:ind w:left="1134"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Bando Municipal </w:t>
      </w:r>
    </w:p>
    <w:p w:rsidR="00B34385" w:rsidRDefault="00B34385">
      <w:pPr>
        <w:ind w:left="1134" w:right="-220"/>
        <w:jc w:val="center"/>
        <w:rPr>
          <w:rFonts w:ascii="Palatino Linotype" w:eastAsia="Palatino Linotype" w:hAnsi="Palatino Linotype" w:cs="Palatino Linotype"/>
          <w:b/>
          <w:bCs/>
          <w:i/>
          <w:iCs/>
        </w:rPr>
      </w:pPr>
    </w:p>
    <w:p w:rsidR="00B34385" w:rsidRDefault="00DE3B61">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52. </w:t>
      </w:r>
      <w:r>
        <w:rPr>
          <w:rFonts w:ascii="Palatino Linotype" w:eastAsia="Palatino Linotype" w:hAnsi="Palatino Linotype" w:cs="Palatino Linotype"/>
          <w:i/>
          <w:iCs/>
        </w:rPr>
        <w:t xml:space="preserve">Para el logro de los fines, las dependencias de la Administración Pública Municipal, deberán conducir sus actividades de manera planeada, programada y con base en la legislación correspondiente, en las políticas públicas, la jerarquización y las restricciones que establezca el Ayuntamiento, el Plan de Desarrollo Municipal y los programas que de éste se deriven, integrándose con las Direcciones, Coordinaciones, Jefaturas, Oficialías, Juzgado Cívico, Áreas y Unidades Administrativas que establece el presente Bando. </w:t>
      </w:r>
    </w:p>
    <w:p w:rsidR="00B34385" w:rsidRDefault="00B34385">
      <w:pPr>
        <w:ind w:left="708" w:right="-220"/>
        <w:jc w:val="both"/>
        <w:rPr>
          <w:rFonts w:ascii="Palatino Linotype" w:eastAsia="Palatino Linotype" w:hAnsi="Palatino Linotype" w:cs="Palatino Linotype"/>
          <w:i/>
          <w:iCs/>
        </w:rPr>
      </w:pPr>
    </w:p>
    <w:p w:rsidR="00B34385" w:rsidRDefault="00DE3B61">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Dichas dependencias serán las siguientes:</w:t>
      </w:r>
    </w:p>
    <w:p w:rsidR="00B34385" w:rsidRDefault="00DE3B61">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34385" w:rsidRDefault="00DE3B61">
      <w:pPr>
        <w:ind w:left="708"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XVIII. Dirección de Seguridad Pública Municipal;</w:t>
      </w:r>
    </w:p>
    <w:p w:rsidR="00B34385" w:rsidRDefault="00DE3B61">
      <w:pPr>
        <w:ind w:left="708"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w:t>
      </w:r>
    </w:p>
    <w:p w:rsidR="00B34385" w:rsidRDefault="00B34385">
      <w:pPr>
        <w:ind w:left="708" w:right="-220"/>
        <w:jc w:val="both"/>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Ayuntamiento a fin de garantizar la seguridad y el orden público procurará la paz social y la prevención de la comisión de delitos y faltas administrativas, haciendo que se cumplan las disposiciones del presente Bando y demás disposiciones reglamentarias en la </w:t>
      </w:r>
      <w:r>
        <w:rPr>
          <w:rFonts w:ascii="Palatino Linotype" w:eastAsia="Palatino Linotype" w:hAnsi="Palatino Linotype" w:cs="Palatino Linotype"/>
        </w:rPr>
        <w:lastRenderedPageBreak/>
        <w:t>materia, en tal sentido, la persona titular de la Dirección de Seguridad Pública Municipal, tendrá las siguientes atribuciones, establecida en el artículo 136, del Bando Municipal:</w:t>
      </w:r>
    </w:p>
    <w:p w:rsidR="00B34385" w:rsidRDefault="00DE3B61">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136</w:t>
      </w:r>
      <w:r>
        <w:rPr>
          <w:rFonts w:ascii="Palatino Linotype" w:eastAsia="Palatino Linotype" w:hAnsi="Palatino Linotype" w:cs="Palatino Linotype"/>
          <w:i/>
          <w:iCs/>
        </w:rPr>
        <w:t>. La persona titular de la Dirección de Seguridad Pública Municipal, tendrá las siguientes atribuciones:</w:t>
      </w:r>
    </w:p>
    <w:p w:rsidR="00B34385" w:rsidRDefault="00DE3B61">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34385" w:rsidRDefault="00DE3B61">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V. Contar con las estadísticas delictivas</w:t>
      </w:r>
      <w:r>
        <w:rPr>
          <w:rFonts w:ascii="Palatino Linotype" w:eastAsia="Palatino Linotype" w:hAnsi="Palatino Linotype" w:cs="Palatino Linotype"/>
          <w:i/>
          <w:iCs/>
        </w:rPr>
        <w:t xml:space="preserve"> y efectuar la supervisión de las acciones de seguridad pública municipal;</w:t>
      </w:r>
    </w:p>
    <w:p w:rsidR="00B34385" w:rsidRDefault="00DE3B61">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34385" w:rsidRDefault="00DE3B61">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IX. Proporcionar al Secretariado Ejecutivo del Sistema Nacional y Estatal de Seguridad Pública, a la Secretaría de Seguridad los informes que le sean solicitados;</w:t>
      </w:r>
    </w:p>
    <w:p w:rsidR="00B34385" w:rsidRDefault="00DE3B61">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pPr>
      <w:r>
        <w:rPr>
          <w:rFonts w:ascii="Palatino Linotype" w:eastAsia="Palatino Linotype" w:hAnsi="Palatino Linotype" w:cs="Palatino Linotype"/>
        </w:rPr>
        <w:t xml:space="preserve">El Sujeto Obligado en respuesta inicial emite pronunciamiento a través del Encargado del Despacho de la </w:t>
      </w:r>
      <w:r>
        <w:rPr>
          <w:rFonts w:ascii="Palatino Linotype" w:eastAsia="Palatino Linotype" w:hAnsi="Palatino Linotype" w:cs="Palatino Linotype"/>
          <w:b/>
          <w:bCs/>
        </w:rPr>
        <w:t>Dirección de Seguridad Pública</w:t>
      </w:r>
      <w:r>
        <w:rPr>
          <w:rFonts w:ascii="Palatino Linotype" w:eastAsia="Palatino Linotype" w:hAnsi="Palatino Linotype" w:cs="Palatino Linotype"/>
        </w:rPr>
        <w:t>, por lo que podemos advertir que se</w:t>
      </w:r>
      <w:r>
        <w:rPr>
          <w:rFonts w:ascii="Palatino Linotype" w:eastAsia="Palatino Linotype" w:hAnsi="Palatino Linotype" w:cs="Palatino Linotype"/>
          <w:b/>
          <w:bCs/>
        </w:rPr>
        <w:t xml:space="preserve"> siguió el procedimiento</w:t>
      </w:r>
      <w:r>
        <w:rPr>
          <w:rFonts w:ascii="Palatino Linotype" w:eastAsia="Palatino Linotype" w:hAnsi="Palatino Linotype" w:cs="Palatino Linotype"/>
        </w:rPr>
        <w:t xml:space="preserve"> inmerso en la normatividad aplicable, ya que </w:t>
      </w:r>
      <w:r>
        <w:rPr>
          <w:rFonts w:ascii="Palatino Linotype" w:eastAsia="Palatino Linotype" w:hAnsi="Palatino Linotype" w:cs="Palatino Linotype"/>
          <w:b/>
          <w:bCs/>
        </w:rPr>
        <w:t>turnó el requerimiento de información a la unidad administrativa competente</w:t>
      </w:r>
      <w:r>
        <w:rPr>
          <w:rFonts w:ascii="Palatino Linotype" w:eastAsia="Palatino Linotype" w:hAnsi="Palatino Linotype" w:cs="Palatino Linotype"/>
        </w:rPr>
        <w:t>,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B34385" w:rsidRDefault="00DE3B61">
      <w:pPr>
        <w:ind w:left="708"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B34385" w:rsidRDefault="00B34385">
      <w:pPr>
        <w:spacing w:line="360" w:lineRule="auto"/>
        <w:ind w:left="708"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B34385" w:rsidRDefault="00DE3B61">
      <w:pPr>
        <w:ind w:left="425" w:right="-22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B34385" w:rsidRDefault="00B34385">
      <w:pPr>
        <w:spacing w:line="360" w:lineRule="auto"/>
        <w:ind w:right="-787"/>
        <w:jc w:val="both"/>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color w:val="000000"/>
        </w:rPr>
      </w:pPr>
      <w:r>
        <w:rPr>
          <w:rFonts w:ascii="Palatino Linotype" w:eastAsia="Palatino Linotype" w:hAnsi="Palatino Linotype" w:cs="Palatino Linotype"/>
          <w:color w:val="000000"/>
        </w:rPr>
        <w:t xml:space="preserve">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B34385" w:rsidRDefault="00DE3B61">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B34385" w:rsidRDefault="00DE3B61">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B34385" w:rsidRDefault="00DE3B61">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B34385" w:rsidRDefault="00DE3B61">
      <w:pPr>
        <w:spacing w:line="360" w:lineRule="auto"/>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B34385" w:rsidRDefault="00B34385">
      <w:pPr>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color w:val="000000"/>
        </w:rPr>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B34385" w:rsidRDefault="00DE3B61">
      <w:pPr>
        <w:ind w:left="850"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lastRenderedPageBreak/>
        <w:t>“</w:t>
      </w:r>
      <w:r>
        <w:rPr>
          <w:rFonts w:ascii="Palatino Linotype" w:eastAsia="Palatino Linotype" w:hAnsi="Palatino Linotype" w:cs="Palatino Linotype"/>
          <w:b/>
          <w:bCs/>
          <w:i/>
          <w:iCs/>
        </w:rPr>
        <w:t>CRITERIO 0002-11</w:t>
      </w:r>
    </w:p>
    <w:p w:rsidR="00B34385" w:rsidRDefault="00DE3B61">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B34385" w:rsidRDefault="00DE3B61">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B34385" w:rsidRDefault="00DE3B61">
      <w:pPr>
        <w:ind w:left="850"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B34385" w:rsidRDefault="00DE3B61">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B34385" w:rsidRDefault="00DE3B61">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B34385" w:rsidRDefault="00DE3B61">
      <w:pPr>
        <w:tabs>
          <w:tab w:val="left" w:pos="851"/>
        </w:tabs>
        <w:spacing w:line="360" w:lineRule="auto"/>
        <w:ind w:left="850"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B34385" w:rsidRDefault="00B34385">
      <w:pPr>
        <w:pBdr>
          <w:top w:val="nil"/>
          <w:left w:val="nil"/>
          <w:bottom w:val="nil"/>
          <w:right w:val="nil"/>
          <w:between w:val="nil"/>
        </w:pBdr>
        <w:ind w:right="-787"/>
        <w:jc w:val="both"/>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rsidR="00B34385" w:rsidRDefault="00DE3B61">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B34385" w:rsidRDefault="00B34385">
      <w:pPr>
        <w:ind w:left="566" w:right="-220"/>
        <w:jc w:val="both"/>
        <w:rPr>
          <w:rFonts w:ascii="Palatino Linotype" w:eastAsia="Palatino Linotype" w:hAnsi="Palatino Linotype" w:cs="Palatino Linotype"/>
          <w:i/>
          <w:iCs/>
        </w:rPr>
      </w:pPr>
    </w:p>
    <w:p w:rsidR="00B34385" w:rsidRDefault="00DE3B61">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B34385" w:rsidRDefault="00DE3B61">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B34385" w:rsidRDefault="00DE3B61">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B34385" w:rsidRDefault="00DE3B61">
      <w:pPr>
        <w:numPr>
          <w:ilvl w:val="0"/>
          <w:numId w:val="4"/>
        </w:numPr>
        <w:spacing w:line="360" w:lineRule="auto"/>
        <w:ind w:left="0" w:right="-787" w:firstLine="0"/>
        <w:jc w:val="both"/>
        <w:rPr>
          <w:color w:val="000000"/>
        </w:rPr>
      </w:pPr>
      <w:r>
        <w:rPr>
          <w:rFonts w:ascii="Palatino Linotype" w:eastAsia="Palatino Linotype" w:hAnsi="Palatino Linotype" w:cs="Palatino Linotype"/>
          <w:color w:val="000000"/>
        </w:rPr>
        <w:lastRenderedPageBreak/>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B34385" w:rsidRDefault="00B34385">
      <w:pPr>
        <w:spacing w:line="360" w:lineRule="auto"/>
        <w:ind w:right="-787"/>
        <w:jc w:val="both"/>
      </w:pPr>
    </w:p>
    <w:p w:rsidR="00B34385" w:rsidRDefault="00DE3B61">
      <w:pPr>
        <w:numPr>
          <w:ilvl w:val="0"/>
          <w:numId w:val="10"/>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De la naturaleza de la información solicitada.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w:t>
      </w:r>
      <w:r>
        <w:rPr>
          <w:rFonts w:ascii="Palatino Linotype" w:eastAsia="Palatino Linotype" w:hAnsi="Palatino Linotype" w:cs="Palatino Linotype"/>
          <w:color w:val="000000"/>
        </w:rPr>
        <w:t>precisa</w:t>
      </w:r>
      <w:r>
        <w:rPr>
          <w:rFonts w:ascii="Palatino Linotype" w:eastAsia="Palatino Linotype" w:hAnsi="Palatino Linotype" w:cs="Palatino Linotype"/>
        </w:rPr>
        <w:t xml:space="preserve"> que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generar, administrar o poseer la información solicitada, dado que éste ha asumido la </w:t>
      </w:r>
      <w:r>
        <w:rPr>
          <w:rFonts w:ascii="Palatino Linotype" w:eastAsia="Palatino Linotype" w:hAnsi="Palatino Linotype" w:cs="Palatino Linotype"/>
          <w:color w:val="000000"/>
        </w:rPr>
        <w:t>misma</w:t>
      </w:r>
      <w:r>
        <w:rPr>
          <w:rFonts w:ascii="Palatino Linotype" w:eastAsia="Palatino Linotype" w:hAnsi="Palatino Linotype" w:cs="Palatino Linotype"/>
        </w:rPr>
        <w:t>, en razón que otorgó respuesta admitiendo contar con dicha información, tan es así que se remitió documentos que dan cuenta de incidencia delictiva o reportes de incidentes.</w:t>
      </w:r>
    </w:p>
    <w:p w:rsidR="00B34385" w:rsidRDefault="00B34385">
      <w:pPr>
        <w:spacing w:line="360" w:lineRule="auto"/>
        <w:ind w:right="-879"/>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pPr>
      <w:bookmarkStart w:id="7" w:name="_heading=h.2s8eyo1" w:colFirst="0" w:colLast="0"/>
      <w:bookmarkEnd w:id="7"/>
      <w:r>
        <w:rPr>
          <w:rFonts w:ascii="Palatino Linotype" w:eastAsia="Palatino Linotype" w:hAnsi="Palatino Linotype" w:cs="Palatino Linotype"/>
        </w:rPr>
        <w:t xml:space="preserve">En efecto, el hecho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B34385" w:rsidRDefault="00DE3B61">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B34385" w:rsidRDefault="00B34385">
      <w:pPr>
        <w:tabs>
          <w:tab w:val="left" w:pos="8505"/>
        </w:tabs>
        <w:ind w:left="709" w:right="-858"/>
        <w:jc w:val="both"/>
        <w:rPr>
          <w:rFonts w:ascii="Palatino Linotype" w:eastAsia="Palatino Linotype" w:hAnsi="Palatino Linotype" w:cs="Palatino Linotype"/>
          <w:i/>
          <w:iCs/>
        </w:rPr>
      </w:pPr>
    </w:p>
    <w:p w:rsidR="00B34385" w:rsidRDefault="00DE3B61">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B34385" w:rsidRDefault="00B34385">
      <w:pPr>
        <w:tabs>
          <w:tab w:val="left" w:pos="8505"/>
        </w:tabs>
        <w:ind w:left="709" w:right="-858"/>
        <w:jc w:val="both"/>
        <w:rPr>
          <w:rFonts w:ascii="Palatino Linotype" w:eastAsia="Palatino Linotype" w:hAnsi="Palatino Linotype" w:cs="Palatino Linotype"/>
          <w:i/>
          <w:iCs/>
        </w:rPr>
      </w:pPr>
    </w:p>
    <w:p w:rsidR="00B34385" w:rsidRDefault="00B34385">
      <w:pPr>
        <w:pBdr>
          <w:top w:val="nil"/>
          <w:left w:val="nil"/>
          <w:bottom w:val="nil"/>
          <w:right w:val="nil"/>
          <w:between w:val="nil"/>
        </w:pBdr>
        <w:ind w:left="-566" w:right="-787"/>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color w:val="000000"/>
        </w:rPr>
      </w:pPr>
      <w:r>
        <w:rPr>
          <w:rFonts w:ascii="Palatino Linotype" w:eastAsia="Palatino Linotype" w:hAnsi="Palatino Linotype" w:cs="Palatino Linotype"/>
        </w:rPr>
        <w:lastRenderedPageBreak/>
        <w:t xml:space="preserve">Así, el estudio de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w:t>
      </w:r>
      <w:r>
        <w:rPr>
          <w:rFonts w:ascii="Palatino Linotype" w:eastAsia="Palatino Linotype" w:hAnsi="Palatino Linotype" w:cs="Palatino Linotype"/>
          <w:color w:val="000000"/>
        </w:rPr>
        <w:t>es</w:t>
      </w:r>
      <w:r>
        <w:rPr>
          <w:rFonts w:ascii="Palatino Linotype" w:eastAsia="Palatino Linotype" w:hAnsi="Palatino Linotype" w:cs="Palatino Linotype"/>
        </w:rPr>
        <w:t xml:space="preserve"> de recordar que el particular solicitó </w:t>
      </w:r>
      <w:r>
        <w:rPr>
          <w:rFonts w:ascii="Palatino Linotype" w:eastAsia="Palatino Linotype" w:hAnsi="Palatino Linotype" w:cs="Palatino Linotype"/>
          <w:i/>
          <w:iCs/>
          <w:u w:val="single"/>
        </w:rPr>
        <w:t>Del 1 de enero de 2018 al 27 de febrero de 2026, base de datos (en formato abierto como xls. o cvs.) de</w:t>
      </w:r>
      <w:r>
        <w:rPr>
          <w:rFonts w:ascii="Palatino Linotype" w:eastAsia="Palatino Linotype" w:hAnsi="Palatino Linotype" w:cs="Palatino Linotype"/>
          <w:b/>
          <w:bCs/>
          <w:i/>
          <w:iCs/>
          <w:u w:val="single"/>
        </w:rPr>
        <w:t xml:space="preserve"> incidencia delictiva o reporte de incidentes </w:t>
      </w:r>
      <w:r>
        <w:rPr>
          <w:rFonts w:ascii="Palatino Linotype" w:eastAsia="Palatino Linotype" w:hAnsi="Palatino Linotype" w:cs="Palatino Linotype"/>
          <w:i/>
          <w:iCs/>
          <w:u w:val="single"/>
        </w:rPr>
        <w:t>o documento que contenga: Tipo de incidente, Hora, Fecha Lugar, Ubicación y Coordenadas geográficas</w:t>
      </w:r>
      <w:r>
        <w:rPr>
          <w:rFonts w:ascii="Palatino Linotype" w:eastAsia="Palatino Linotype" w:hAnsi="Palatino Linotype" w:cs="Palatino Linotype"/>
          <w:u w:val="single"/>
        </w:rPr>
        <w:t>,</w:t>
      </w:r>
      <w:r>
        <w:rPr>
          <w:rFonts w:ascii="Palatino Linotype" w:eastAsia="Palatino Linotype" w:hAnsi="Palatino Linotype" w:cs="Palatino Linotype"/>
        </w:rPr>
        <w:t xml:space="preserve"> el Sujeto Obligado proporcionó respuesta a través de la Dirección de Seguridad Pública, remitiendo diversas bases de datos que contienen información sobre la incidencia delictiva y reportes de incidentes, doliéndose en consecuencia el particular por la entrega de información incompleta, posteriormente las partes fueron omisas en rendir manifestaciones en la etapa de instrucción.</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Para ello, se precisa que se entiende por </w:t>
      </w:r>
      <w:r>
        <w:rPr>
          <w:rFonts w:ascii="Palatino Linotype" w:eastAsia="Palatino Linotype" w:hAnsi="Palatino Linotype" w:cs="Palatino Linotype"/>
          <w:b/>
          <w:bCs/>
        </w:rPr>
        <w:t>incidencia delictiva</w:t>
      </w:r>
      <w:r>
        <w:rPr>
          <w:rFonts w:ascii="Palatino Linotype" w:eastAsia="Palatino Linotype" w:hAnsi="Palatino Linotype" w:cs="Palatino Linotype"/>
        </w:rPr>
        <w:t xml:space="preserve"> conforme a lo establecido por el Instituto Nacional de Estadística y Geografía (INEGI), a la </w:t>
      </w:r>
      <w:r>
        <w:rPr>
          <w:rFonts w:ascii="Palatino Linotype" w:eastAsia="Palatino Linotype" w:hAnsi="Palatino Linotype" w:cs="Palatino Linotype"/>
          <w:i/>
          <w:iCs/>
        </w:rPr>
        <w:t>“Información acerca del número de eventos individuales de victimización delictiva reportados.” Sic.</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igual forma, para el Secretariado Ejecutivo del Sistema Nacional de Seguridad Pública, se refiere a </w:t>
      </w:r>
      <w:r>
        <w:rPr>
          <w:rFonts w:ascii="Palatino Linotype" w:eastAsia="Palatino Linotype" w:hAnsi="Palatino Linotype" w:cs="Palatino Linotype"/>
          <w:i/>
          <w:iCs/>
        </w:rPr>
        <w:t xml:space="preserve">“…a la presunta </w:t>
      </w:r>
      <w:r>
        <w:rPr>
          <w:rFonts w:ascii="Palatino Linotype" w:eastAsia="Palatino Linotype" w:hAnsi="Palatino Linotype" w:cs="Palatino Linotype"/>
          <w:i/>
          <w:iCs/>
          <w:u w:val="single"/>
        </w:rPr>
        <w:t>ocurrencia de delitos</w:t>
      </w:r>
      <w:r>
        <w:rPr>
          <w:rFonts w:ascii="Palatino Linotype" w:eastAsia="Palatino Linotype" w:hAnsi="Palatino Linotype" w:cs="Palatino Linotype"/>
          <w:i/>
          <w:iCs/>
        </w:rPr>
        <w:t xml:space="preserve"> registrados en averiguaciones previas iniciadas o carpetas de investigación, reportadas por las Procuradurías de Justicia y Fiscalías Generales </w:t>
      </w:r>
      <w:r>
        <w:rPr>
          <w:rFonts w:ascii="Palatino Linotype" w:eastAsia="Palatino Linotype" w:hAnsi="Palatino Linotype" w:cs="Palatino Linotype"/>
          <w:i/>
          <w:iCs/>
        </w:rPr>
        <w:lastRenderedPageBreak/>
        <w:t>de las entidades federativas en el caso del fuero común y por la Fiscalía General de la República en el fuero federal.” (Sic)</w:t>
      </w:r>
      <w:r>
        <w:rPr>
          <w:rFonts w:ascii="Palatino Linotype" w:eastAsia="Palatino Linotype" w:hAnsi="Palatino Linotype" w:cs="Palatino Linotype"/>
        </w:rPr>
        <w:t>; es decir, la frecuencia con la que un delito se da en un lugar determinado.</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se trae a contexto los artículos 5, fracción II, XVII, 7, fracción IX, 19, fracción I, 39, inciso b), fracción VI y XI, 118 de la Ley General del Sistema Nacional de Seguridad Pública; que disponen lo siguiente: </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Para los efectos de esta Ley, se entenderá por:</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II. Bases de Datos: Las bases de datos que constituyen subconjuntos sistematizados de la información contenida en Registros Nacionales en materias relativas a detenciones, armamento, equipo y personal de seguridad pública, medidas cautelares, soluciones alternas y formas de terminación anticipada, así como las bases de datos del Ministerio Público y las instituciones policiales de los tres órdenes de gobierno relativas a la información criminalística, huellas dactilares de personas sujetas a un proceso o investigación penal, teléfonos celulares, personas sentenciadas y servicios de seguridad privada, así como las demás necesarias para la prevención, investigación y persecución de los delitos. El conjunto de bases de datos conformará el Sistema Nacional de Información;</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III a XVI…</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XVII. Sistema Nacional de Información: al Sistema Nacional de Información en Seguridad Pública, el cual constituye el conjunto integrado, organizado y sistematizado de las Bases de Datos. Está integrado por elementos metodológicos y procedimentales que permiten a las Instituciones de Seguridad Pública su consulta e interconexión para el desempeño de sus funciones.</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7.-</w:t>
      </w:r>
      <w:r>
        <w:rPr>
          <w:rFonts w:ascii="Palatino Linotype" w:eastAsia="Palatino Linotype" w:hAnsi="Palatino Linotype" w:cs="Palatino Linotype"/>
          <w:i/>
          <w:iCs/>
        </w:rPr>
        <w:t xml:space="preserve"> Conforme a las bases que establece el artículo 21 de la Constitución Política de los Estados Unidos Mexicanos, las Instituciones de Seguridad Pública de la Federación, las entidades federativas y los Municipios, en el ámbito de su competencia y en los términos de esta Ley, deberán coordinarse para:</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 a VIII…</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IX. Generar, compartir, intercambiar, ingresar, almacenar y proveer información, archivos y contenidos a las Bases de Datos que integran el Sistema Nacional de Información, de conformidad con lo dispuesto en la legislación en la materia. </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Tratándose de manejo de datos que provengan del Registro Nacional de Detenciones se atendrá a lo dispuesto en la Ley Nacional del Registro de Detenciones;</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X a XVI…</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19.-</w:t>
      </w:r>
      <w:r>
        <w:rPr>
          <w:rFonts w:ascii="Palatino Linotype" w:eastAsia="Palatino Linotype" w:hAnsi="Palatino Linotype" w:cs="Palatino Linotype"/>
          <w:i/>
          <w:iCs/>
        </w:rPr>
        <w:t xml:space="preserve"> El Centro Nacional de Información será el responsable de regular el Sistema Nacional de Información y tendrá, entre otras, las siguientes atribuciones: </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 Determinar los criterios técnicos y de homologación de las Bases de Datos que conforman el Sistema Nacional de Información;</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II a VI…</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Artículo 39.- La concurrencia de facultades entre la Federación, las entidades federativas y los Municipios, quedará distribuida conforme a lo siguiente:</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A…</w:t>
      </w:r>
    </w:p>
    <w:p w:rsidR="00B34385" w:rsidRDefault="00DE3B61">
      <w:pPr>
        <w:ind w:left="567" w:right="-574"/>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B. Corresponde a la Federación, a las entidades federativas y a los Municipios, en el ámbito de sus respectivas competencias:</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 a V…</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VI. Designar a un responsable del control, suministro y adecuado manejo de la información a que se refiere esta Ley;</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XII a X…</w:t>
      </w:r>
    </w:p>
    <w:p w:rsidR="00B34385" w:rsidRDefault="00DE3B61">
      <w:pPr>
        <w:ind w:left="567" w:right="-574"/>
        <w:jc w:val="both"/>
        <w:rPr>
          <w:rFonts w:ascii="Palatino Linotype" w:eastAsia="Palatino Linotype" w:hAnsi="Palatino Linotype" w:cs="Palatino Linotype"/>
          <w:b/>
          <w:bCs/>
          <w:i/>
          <w:iCs/>
          <w:u w:val="single"/>
        </w:rPr>
      </w:pPr>
      <w:r>
        <w:rPr>
          <w:rFonts w:ascii="Palatino Linotype" w:eastAsia="Palatino Linotype" w:hAnsi="Palatino Linotype" w:cs="Palatino Linotype"/>
          <w:b/>
          <w:bCs/>
          <w:i/>
          <w:iCs/>
          <w:u w:val="single"/>
        </w:rPr>
        <w:t xml:space="preserve">XI. Integrar y consultar la información relativa a la operación y Desarrollo Policial para el registro y seguimiento en el Sistema Nacional de Información; </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XII a XV…</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118.-</w:t>
      </w:r>
      <w:r>
        <w:rPr>
          <w:rFonts w:ascii="Palatino Linotype" w:eastAsia="Palatino Linotype" w:hAnsi="Palatino Linotype" w:cs="Palatino Linotype"/>
          <w:i/>
          <w:iCs/>
        </w:rPr>
        <w:t xml:space="preserve"> Las Bases de Datos que integran el Sistema Nacional de Información se actualizarán permanentemente y serán de consulta obligatoria para garantizar la efectividad en las actividades de Seguridad Pública. </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Las Bases de Datos criminalísticas se conformarán de la información que aporten las instituciones de procuración de justicia y del sistema penitenciario, relativa a las investigaciones, órdenes de detención y aprehensión, procesos penales, sentencias o ejecución de penas.</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El Registro Nacional de Detenciones se vinculará con las Bases de Datos a que se refiere el presente artículo, mediante el número de identificación al que hace referencia la ley de la materia.”</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DE SEGURIDAD DEL ESTADO DE MÉXICO</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22.-</w:t>
      </w:r>
      <w:r>
        <w:rPr>
          <w:rFonts w:ascii="Palatino Linotype" w:eastAsia="Palatino Linotype" w:hAnsi="Palatino Linotype" w:cs="Palatino Linotype"/>
          <w:i/>
          <w:iCs/>
        </w:rPr>
        <w:t xml:space="preserve"> Son atribuciones del Director de Seguridad Pública Municipal:</w:t>
      </w:r>
      <w:r>
        <w:rPr>
          <w:rFonts w:ascii="Palatino Linotype" w:eastAsia="Palatino Linotype" w:hAnsi="Palatino Linotype" w:cs="Palatino Linotype"/>
          <w:i/>
          <w:iCs/>
        </w:rPr>
        <w:br/>
        <w:t>(…)</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V. Contar con las estadísticas delictivas y efectuar la supervisión de las acciones de seguridad pública municipal;</w:t>
      </w:r>
    </w:p>
    <w:p w:rsidR="00B34385" w:rsidRDefault="00B34385">
      <w:pPr>
        <w:ind w:left="567" w:right="-574"/>
        <w:jc w:val="both"/>
        <w:rPr>
          <w:rFonts w:ascii="Palatino Linotype" w:eastAsia="Palatino Linotype" w:hAnsi="Palatino Linotype" w:cs="Palatino Linotype"/>
          <w:i/>
          <w:iCs/>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 otra parte, los numerales 125, fracción VIII y 142 de la Ley Orgánica Municipal del Estado de México, señala lo siguiente:</w:t>
      </w:r>
      <w:r>
        <w:rPr>
          <w:rFonts w:ascii="Palatino Linotype" w:eastAsia="Palatino Linotype" w:hAnsi="Palatino Linotype" w:cs="Palatino Linotype"/>
          <w:b/>
          <w:bCs/>
          <w:i/>
          <w:iCs/>
        </w:rPr>
        <w:t xml:space="preserve"> </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 “Artículo 125</w:t>
      </w:r>
      <w:r>
        <w:rPr>
          <w:rFonts w:ascii="Palatino Linotype" w:eastAsia="Palatino Linotype" w:hAnsi="Palatino Linotype" w:cs="Palatino Linotype"/>
          <w:i/>
          <w:iCs/>
        </w:rPr>
        <w:t>.- Los municipios tendrán a su cargo la prestación, explotación, administración y conservación de los servicios públicos municipales, considerándose enunciativa y no limitativamente, los siguientes:</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 a VII…</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VIII. Seguridad pública y tránsito;</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IX a XI…</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142</w:t>
      </w:r>
      <w:r>
        <w:rPr>
          <w:rFonts w:ascii="Palatino Linotype" w:eastAsia="Palatino Linotype" w:hAnsi="Palatino Linotype" w:cs="Palatino Linotype"/>
          <w:i/>
          <w:iCs/>
        </w:rPr>
        <w:t>.-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En cada municipio se deberán integrar cuerpos de seguridad pública, de bomberos y, en su caso, de tránsito, estos servidores públicos preferentemente serán vecinos del municipio, de los cuales el presidente municipal será el jefe inmediato.”</w:t>
      </w:r>
    </w:p>
    <w:p w:rsidR="00B34385" w:rsidRDefault="00B34385">
      <w:pPr>
        <w:spacing w:line="360" w:lineRule="auto"/>
        <w:ind w:right="-787"/>
        <w:jc w:val="both"/>
        <w:rPr>
          <w:rFonts w:ascii="Palatino Linotype" w:eastAsia="Palatino Linotype" w:hAnsi="Palatino Linotype" w:cs="Palatino Linotype"/>
          <w:i/>
          <w:iCs/>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De ahí que deba arribar a la premisa de que la Ley General del Sistema Nacional de Seguridad Pública prevé un esquema de distribución de competencias entre la Federación, los Estados y los Municipios, a fin que, estos últimos, realicen la integración y actualización de diversas Bases de Datos que integran información de incidencia delictiva; ya que, el Director de Seguridad Pública Municipal,  entre otras cosas, genere estadística delictiva.</w:t>
      </w:r>
      <w:r>
        <w:rPr>
          <w:rFonts w:ascii="Palatino Linotype" w:eastAsia="Palatino Linotype" w:hAnsi="Palatino Linotype" w:cs="Palatino Linotype"/>
          <w:b/>
          <w:bCs/>
        </w:rPr>
        <w:t xml:space="preserve"> </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las cosas, la información requerida estriba dentro de las fronteras conceptuales del interés general y el alcance público, robustece lo anterior los artículos 24, fracción XII y 92, </w:t>
      </w:r>
      <w:r>
        <w:rPr>
          <w:rFonts w:ascii="Palatino Linotype" w:eastAsia="Palatino Linotype" w:hAnsi="Palatino Linotype" w:cs="Palatino Linotype"/>
        </w:rPr>
        <w:lastRenderedPageBreak/>
        <w:t>fracción XXXIV de la Ley de Transparencia y Acceso a la Información Pública del Estado de México y Municipios, normatividad invocada cuyo contenido literal es el siguiente:</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24</w:t>
      </w:r>
      <w:r>
        <w:rPr>
          <w:rFonts w:ascii="Palatino Linotype" w:eastAsia="Palatino Linotype" w:hAnsi="Palatino Linotype" w:cs="Palatino Linotype"/>
          <w:i/>
          <w:iCs/>
        </w:rPr>
        <w:t>. Para el cumplimiento de los objetivos de esta Ley, los sujetos obligados deberán cumplir con las siguientes obligaciones, según corresponda, de acuerdo a su naturaleza:</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 a XI…</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XII. Publicar y mantener actualizada la información relativa a las obligaciones generales de transparencia previstas en la presente Ley o determinadas así por el Instituto, y en general aquella que sea de interés público;</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XIII a XXV…</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92.</w:t>
      </w:r>
      <w:r>
        <w:rPr>
          <w:rFonts w:ascii="Palatino Linotype" w:eastAsia="Palatino Linotype" w:hAnsi="Palatino Linotype" w:cs="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 a XXXIII…</w:t>
      </w:r>
    </w:p>
    <w:p w:rsidR="00B34385" w:rsidRDefault="00DE3B61">
      <w:pPr>
        <w:ind w:left="567" w:right="-5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XXXIV. Las estadísticas que generen en cumplimiento de sus facultades, competencias o funciones con la mayor desagregación posible</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XXXV a LII…”</w:t>
      </w:r>
    </w:p>
    <w:p w:rsidR="00B34385" w:rsidRDefault="00B34385">
      <w:pPr>
        <w:spacing w:line="360" w:lineRule="auto"/>
        <w:ind w:right="-787"/>
        <w:jc w:val="both"/>
        <w:rPr>
          <w:rFonts w:ascii="Palatino Linotype" w:eastAsia="Palatino Linotype" w:hAnsi="Palatino Linotype" w:cs="Palatino Linotype"/>
          <w:i/>
          <w:iCs/>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forma complementaria, resulta de nuestro particular interés el criterio 11/09 emitido por el hoy Instituto Nacional de Transparencia, Acceso a la Información y Protección de Datos Personales, que a la letra dispone lo siguiente:</w:t>
      </w:r>
    </w:p>
    <w:p w:rsidR="00B34385" w:rsidRDefault="00DE3B61">
      <w:pPr>
        <w:tabs>
          <w:tab w:val="left" w:pos="567"/>
        </w:tabs>
        <w:ind w:left="567" w:right="-574"/>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 INFORMACIÓN ESTADÍSTICA ES DE NATURALEZA PÚBLICA, INDEPENDIENTEMENTE DE LA MATERIA CON LA QUE SE ENCUENTRE VINCULADA.</w:t>
      </w:r>
      <w:r>
        <w:rPr>
          <w:rFonts w:ascii="Palatino Linotype" w:eastAsia="Palatino Linotype" w:hAnsi="Palatino Linotype" w:cs="Palatino Linotype"/>
          <w:i/>
          <w:iCs/>
        </w:rPr>
        <w:t xml:space="preserve"> 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w:t>
      </w:r>
      <w:r>
        <w:rPr>
          <w:rFonts w:ascii="Palatino Linotype" w:eastAsia="Palatino Linotype" w:hAnsi="Palatino Linotype" w:cs="Palatino Linotype"/>
          <w:i/>
          <w:iCs/>
        </w:rPr>
        <w:lastRenderedPageBreak/>
        <w:t>se debe también a que, por definición, los datos estadísticos no se encuentran individualizados o personalizados a casos o situaciones específicas que pudieran llegar a justificar su clasificación.”</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Así las cosas, se atrae al estudio los Lineamientos para el Llenado, Entrega, Recepción, Registro, Resguardo y Consulta del Informe Policial Homologado del que, se inserta lo siguiente:</w:t>
      </w:r>
    </w:p>
    <w:p w:rsidR="00B34385" w:rsidRDefault="00DE3B61">
      <w:pPr>
        <w:ind w:left="567" w:right="-574"/>
        <w:jc w:val="both"/>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PRIMERO. OBJETO Y ÁMBITO DE APLICACIÓN.</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Informe Policial Homologado es el medio a través del cual </w:t>
      </w:r>
      <w:r>
        <w:rPr>
          <w:rFonts w:ascii="Palatino Linotype" w:eastAsia="Palatino Linotype" w:hAnsi="Palatino Linotype" w:cs="Palatino Linotype"/>
          <w:b/>
          <w:bCs/>
          <w:i/>
          <w:iCs/>
        </w:rPr>
        <w:t>los integrantes de las instituciones policiales documentan la información relacionada con las puestas a disposición de personas y/o de objetos derivados de su intervención</w:t>
      </w:r>
      <w:r>
        <w:rPr>
          <w:rFonts w:ascii="Palatino Linotype" w:eastAsia="Palatino Linotype" w:hAnsi="Palatino Linotype" w:cs="Palatino Linotype"/>
          <w:i/>
          <w:iCs/>
        </w:rPr>
        <w:t>, a las autoridades competentes.</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El Informe Policial Homologado tiene como objeto eficientar las puestas a disposición, garantizar el debido proceso, y fomentar el uso de la información para acciones de inteligencia.</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Los presentes Lineamientos tienen como objeto señalar los criterios respecto a lo siguiente:</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 a V …</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VI.   Resguardo de la base de datos del IPH en el Sistema Nacional de Información en Seguridad Pública;</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VII a IX…</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SEGUNDO. GLOSARIO DE TÉRMINOS</w:t>
      </w:r>
      <w:r>
        <w:rPr>
          <w:rFonts w:ascii="Palatino Linotype" w:eastAsia="Palatino Linotype" w:hAnsi="Palatino Linotype" w:cs="Palatino Linotype"/>
          <w:i/>
          <w:iCs/>
        </w:rPr>
        <w:t>.</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I a IX…</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X. IPH: El Informe Policial Homologado</w:t>
      </w:r>
      <w:r>
        <w:rPr>
          <w:rFonts w:ascii="Palatino Linotype" w:eastAsia="Palatino Linotype" w:hAnsi="Palatino Linotype" w:cs="Palatino Linotype"/>
          <w:i/>
          <w:iCs/>
        </w:rPr>
        <w:t xml:space="preserve"> de hechos probablemente delictivos o de infracciones administrativas, mismo que puede ser en versión impresa o electrónica.</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DÉCIMO TERCERO. ENTREGA Y RECEPCIÓN DEL IPH.</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integrantes de las instituciones policiales de los tres órdenes de gobierno que realicen el llenado del IPH, </w:t>
      </w:r>
      <w:r>
        <w:rPr>
          <w:rFonts w:ascii="Palatino Linotype" w:eastAsia="Palatino Linotype" w:hAnsi="Palatino Linotype" w:cs="Palatino Linotype"/>
          <w:b/>
          <w:bCs/>
          <w:i/>
          <w:iCs/>
        </w:rPr>
        <w:t>deberán entregarlo junto con las personas detenidas y/o arrestadas y/o los objetos asegurados a la autoridad competente</w:t>
      </w:r>
      <w:r>
        <w:rPr>
          <w:rFonts w:ascii="Palatino Linotype" w:eastAsia="Palatino Linotype" w:hAnsi="Palatino Linotype" w:cs="Palatino Linotype"/>
          <w:i/>
          <w:iCs/>
        </w:rPr>
        <w:t>, según se trate de un hecho probablemente delictivo o una infracción administrativa.</w:t>
      </w:r>
    </w:p>
    <w:p w:rsidR="00B34385" w:rsidRDefault="00DE3B61">
      <w:pPr>
        <w:ind w:left="567" w:right="-5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La autoridad competente estará obligada a recibir el IPH junto con las personas detenidas y/o arrestadas y/o los objetos asegurados, en un término máximo de dos </w:t>
      </w:r>
      <w:r>
        <w:rPr>
          <w:rFonts w:ascii="Palatino Linotype" w:eastAsia="Palatino Linotype" w:hAnsi="Palatino Linotype" w:cs="Palatino Linotype"/>
          <w:b/>
          <w:bCs/>
          <w:i/>
          <w:iCs/>
        </w:rPr>
        <w:lastRenderedPageBreak/>
        <w:t>horas contadas a partir del arribo a sus oficinas de las instituciones policiales que realizan la puesta a disposición.</w:t>
      </w:r>
    </w:p>
    <w:p w:rsidR="00B34385" w:rsidRDefault="00B34385">
      <w:pPr>
        <w:ind w:left="567" w:right="-574"/>
        <w:jc w:val="both"/>
        <w:rPr>
          <w:rFonts w:ascii="Palatino Linotype" w:eastAsia="Palatino Linotype" w:hAnsi="Palatino Linotype" w:cs="Palatino Linotype"/>
          <w:b/>
          <w:bCs/>
          <w:i/>
          <w:iCs/>
        </w:rPr>
      </w:pPr>
    </w:p>
    <w:p w:rsidR="00B34385" w:rsidRDefault="00DE3B61">
      <w:pPr>
        <w:ind w:left="567" w:right="-574"/>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DÉCIMO CUARTO. REGISTRO DE LA INFORMACIÓN EN LA BASE DE DATOS DEL IPH.</w:t>
      </w:r>
    </w:p>
    <w:p w:rsidR="00B34385" w:rsidRDefault="00B34385">
      <w:pPr>
        <w:ind w:left="567" w:right="-574"/>
        <w:jc w:val="both"/>
        <w:rPr>
          <w:rFonts w:ascii="Palatino Linotype" w:eastAsia="Palatino Linotype" w:hAnsi="Palatino Linotype" w:cs="Palatino Linotype"/>
          <w:b/>
          <w:bCs/>
          <w:i/>
          <w:iCs/>
        </w:rPr>
      </w:pPr>
    </w:p>
    <w:p w:rsidR="00B34385" w:rsidRDefault="00DE3B61">
      <w:pPr>
        <w:ind w:left="567" w:right="-574"/>
        <w:jc w:val="both"/>
        <w:rPr>
          <w:rFonts w:ascii="Palatino Linotype" w:eastAsia="Palatino Linotype" w:hAnsi="Palatino Linotype" w:cs="Palatino Linotype"/>
          <w:b/>
          <w:bCs/>
          <w:i/>
          <w:iCs/>
        </w:rPr>
      </w:pPr>
      <w:r>
        <w:rPr>
          <w:rFonts w:ascii="Palatino Linotype" w:eastAsia="Palatino Linotype" w:hAnsi="Palatino Linotype" w:cs="Palatino Linotype"/>
          <w:i/>
          <w:iCs/>
        </w:rPr>
        <w:t>El registro de la información en la base de datos se llevará a cabo conforme a lo siguiente:</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I. La captura y registro de la información suministrada a la base de datos son obligatorios y estarán a cargo de las instituciones policiales de los tres órdenes de gobierno</w:t>
      </w:r>
      <w:r>
        <w:rPr>
          <w:rFonts w:ascii="Palatino Linotype" w:eastAsia="Palatino Linotype" w:hAnsi="Palatino Linotype" w:cs="Palatino Linotype"/>
          <w:i/>
          <w:iCs/>
        </w:rPr>
        <w:t>;</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El suministro de la información se realizará con apego a los datos contenidos en el IPH;</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III</w:t>
      </w:r>
      <w:r>
        <w:rPr>
          <w:rFonts w:ascii="Palatino Linotype" w:eastAsia="Palatino Linotype" w:hAnsi="Palatino Linotype" w:cs="Palatino Linotype"/>
          <w:i/>
          <w:iCs/>
        </w:rPr>
        <w:t>. El registro de los datos contenidos en el IPH y su digitalización se harán de manera inmediata, sin que exceda de un término máximo de veinticuatro horas contadas a partir de la hora de recepción por parte de la autoridad competente, y</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IV. </w:t>
      </w:r>
      <w:r>
        <w:rPr>
          <w:rFonts w:ascii="Palatino Linotype" w:eastAsia="Palatino Linotype" w:hAnsi="Palatino Linotype" w:cs="Palatino Linotype"/>
          <w:i/>
          <w:iCs/>
        </w:rPr>
        <w:t>La Secretaría garantizará la operación, disponibilidad, interconexión y mantenimiento de los componentes tecnológicos que soporten la base de datos y sistemas informáticos del IPH.”</w:t>
      </w:r>
    </w:p>
    <w:p w:rsidR="00B34385" w:rsidRDefault="00B34385">
      <w:pPr>
        <w:spacing w:line="360" w:lineRule="auto"/>
        <w:ind w:right="-787"/>
        <w:jc w:val="both"/>
        <w:rPr>
          <w:rFonts w:ascii="Palatino Linotype" w:eastAsia="Palatino Linotype" w:hAnsi="Palatino Linotype" w:cs="Palatino Linotype"/>
          <w:i/>
          <w:iCs/>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lo anterior, se deduce que del informe policial homologado, tiene por objeto que las Instituciones policiales documenten la información relacionada con las puestas a disposición de personas y/u objetos derivados de su intervención, para con ello, deben hacer más eficiente el debido proceso y fomentar el uso de la información para acciones de inteligencia; por lo tanto, dicho informe únicamente es entregado junto con la persona detenida o bien, con los objetos que fueron asegurados en el hecho y/o acto probablemente constitutivo de delito. Es importante referir que no se están solicitando estos documentos, sino información estadística únicamente.</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orden de ideas, es evidente que el Informe Policial Homologado se entrega en el momento que un elemento policial pone a disposición a una persona u objetos recabados del lugar en el que ocurrieron los hechos delictivos y/o faltas administrativas; por lo tanto, es claro que no en todos los casos en que se conoce de una conducta delictiva y se inicia una </w:t>
      </w:r>
      <w:r>
        <w:rPr>
          <w:rFonts w:ascii="Palatino Linotype" w:eastAsia="Palatino Linotype" w:hAnsi="Palatino Linotype" w:cs="Palatino Linotype"/>
        </w:rPr>
        <w:lastRenderedPageBreak/>
        <w:t>carpeta de investigación, o se agrega un informe policial homologado, pues es evidente que existen diversos tipos de delitos que se pueden configurar sin que se genere el informe en comento, tal como de manera enunciativa más no limitativa, es el caso de la extorsión, ya que, a través de la comunicación vía celular, los delincuentes plantean supuestos escenarios que incluyen situaciones de riesgo o peligro para la posible víctima y/o familiares, tales como amenaza de daño físico o patrimonial, secuestros, detenciones de familiares a causa de un delito, así como actividades de organizaciones delictivas que “vendían” seguridad, entre otras, esto, con la finalidad de obtener una cifra económica a cambio de la solución del conflicto.</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al momento de interponer la denuncia correspondiente, es claro que no intervienen elementos policiales que puedan generar el informe policial homologado, toda vez que difícilmente se pone a una persona a disposición o bien, se presentan elementos recabados en el acto, ya que, es tema de conocimiento público, que muchas de esas llamadas provienen de centros penitenciarios establecidos en diversas Entidades Federativas, y como se precisó anteriormente, al consumarse la extorsión, el dinero obtenido de dicha actividad se triangula a través de cuentas bancarias que en ocasiones terminan sin un rastro específico, por lo que, no existe persona y/u objetos que presentar, siendo el relato de la persona afectada, el único elemento con el que se cuenta y así, procede asentarlo en la estadística de incidencia delictiva generada. </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congruencia con lo expuesto, no se deja de lado que si bien, existen delitos que por su naturaleza si intervienen elementos policiales y derivado de ello se recaban objetos además </w:t>
      </w:r>
      <w:r>
        <w:rPr>
          <w:rFonts w:ascii="Palatino Linotype" w:eastAsia="Palatino Linotype" w:hAnsi="Palatino Linotype" w:cs="Palatino Linotype"/>
        </w:rPr>
        <w:lastRenderedPageBreak/>
        <w:t>de presentar a los probables responsables ante el Ministerio Público, datos que deben ser reproducidos en el informe policial homologado.</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Del mismo modo, se trae a contexto lo referente al  </w:t>
      </w:r>
      <w:r>
        <w:rPr>
          <w:rFonts w:ascii="Palatino Linotype" w:eastAsia="Palatino Linotype" w:hAnsi="Palatino Linotype" w:cs="Palatino Linotype"/>
          <w:b/>
          <w:bCs/>
          <w:i/>
          <w:iCs/>
        </w:rPr>
        <w:t xml:space="preserve">Instrumento para el Registro, Clasificación y Reporte de los Delitos y las Víctimas CNSP/38/15 </w:t>
      </w:r>
      <w:r>
        <w:rPr>
          <w:rFonts w:ascii="Palatino Linotype" w:eastAsia="Palatino Linotype" w:hAnsi="Palatino Linotype" w:cs="Palatino Linotype"/>
        </w:rPr>
        <w:t>que corresponde a la nueva metodología para el registro de la incidencia delictiva, el cual permite estructurar y mayor consistencia interna en los niveles de clasificación de los delitos; integra en un único instrumento de acopio la información sobre las víctimas que fuese considerada en la estadística del Sistema Nacional de Seguridad Pública (SNSP), reportando ahora las cifras para lograr un mayor número de delitos desagregados por sexo y grandes grupos de edad, a través del Sistema para el Registro de Información de Incidencia Delictiva (SISDEL).</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No obstante, es </w:t>
      </w:r>
      <w:r>
        <w:rPr>
          <w:rFonts w:ascii="Palatino Linotype" w:eastAsia="Palatino Linotype" w:hAnsi="Palatino Linotype" w:cs="Palatino Linotype"/>
        </w:rPr>
        <w:t>preciso</w:t>
      </w:r>
      <w:r>
        <w:rPr>
          <w:rFonts w:ascii="Palatino Linotype" w:eastAsia="Palatino Linotype" w:hAnsi="Palatino Linotype" w:cs="Palatino Linotype"/>
          <w:color w:val="000000"/>
        </w:rPr>
        <w:t xml:space="preserve"> reiterar que el Particular solicitó información estadística de la incidencia delictiva, lo cual, corresponde únicamente al número de hechos y/o actos de los que se tuvo conocimiento y con base en ello,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no se encuentra constreñido para buscar en el expediente formado si existe o no, el informe policial homologado, esto, en virtud del artículo 12 de la Ley de Transparencia y Acceso a la Información Pública del Estado de México y Municipios, mismo que a la letra estipula lo siguiente:</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12. Quienes generen, recopilen, administren, manejen, procesen, archiven o conserven información pública serán responsables de la misma en los términos de las disposiciones jurídicas aplicables. </w:t>
      </w:r>
    </w:p>
    <w:p w:rsidR="00B34385" w:rsidRDefault="00B34385">
      <w:pPr>
        <w:ind w:left="567" w:right="-574"/>
        <w:jc w:val="both"/>
        <w:rPr>
          <w:rFonts w:ascii="Palatino Linotype" w:eastAsia="Palatino Linotype" w:hAnsi="Palatino Linotype" w:cs="Palatino Linotype"/>
          <w:i/>
          <w:iCs/>
        </w:rPr>
      </w:pP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w:t>
      </w:r>
      <w:r>
        <w:rPr>
          <w:rFonts w:ascii="Palatino Linotype" w:eastAsia="Palatino Linotype" w:hAnsi="Palatino Linotype" w:cs="Palatino Linotype"/>
          <w:i/>
          <w:iCs/>
        </w:rPr>
        <w:lastRenderedPageBreak/>
        <w:t>del solicitante; no estarán obligados a generarla, resumirla, efectuar cálculos o practicar investigaciones.</w:t>
      </w:r>
    </w:p>
    <w:p w:rsidR="00B34385" w:rsidRDefault="00B34385">
      <w:pPr>
        <w:pBdr>
          <w:top w:val="nil"/>
          <w:left w:val="nil"/>
          <w:bottom w:val="nil"/>
          <w:right w:val="nil"/>
          <w:between w:val="nil"/>
        </w:pBdr>
        <w:spacing w:line="276" w:lineRule="auto"/>
        <w:ind w:left="1134" w:right="1134"/>
        <w:jc w:val="both"/>
        <w:rPr>
          <w:rFonts w:ascii="Palatino Linotype" w:eastAsia="Palatino Linotype" w:hAnsi="Palatino Linotype" w:cs="Palatino Linotype"/>
          <w:i/>
          <w:iCs/>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esta tesitura, es claro que el nivel de desagregación que solicita el Particular, confiere al </w:t>
      </w:r>
      <w:r>
        <w:rPr>
          <w:rFonts w:ascii="Palatino Linotype" w:eastAsia="Palatino Linotype" w:hAnsi="Palatino Linotype" w:cs="Palatino Linotype"/>
          <w:b/>
          <w:bCs/>
          <w:color w:val="000000"/>
        </w:rPr>
        <w:t xml:space="preserve">SUJETO </w:t>
      </w:r>
      <w:r>
        <w:rPr>
          <w:rFonts w:ascii="Palatino Linotype" w:eastAsia="Palatino Linotype" w:hAnsi="Palatino Linotype" w:cs="Palatino Linotype"/>
          <w:b/>
          <w:bCs/>
        </w:rPr>
        <w:t>OBLIGADO</w:t>
      </w:r>
      <w:r>
        <w:rPr>
          <w:rFonts w:ascii="Palatino Linotype" w:eastAsia="Palatino Linotype" w:hAnsi="Palatino Linotype" w:cs="Palatino Linotype"/>
          <w:color w:val="000000"/>
        </w:rPr>
        <w:t xml:space="preserve"> a practicar una investigación dentro de todos los expedientes formados en razón de una denuncia por hechos y/o actos delictivos, para con ello, precisar si se encuentra o no, el informe de policía homologado y en consecuencia, realizar un pronunciamiento ad hoc a los intereses de este último, situación que como fue precisado, va en contra del criterio número 03/17 emitido por el Pleno del Instituto Nacional de Transparencia, Acceso a la Información y Protección de Datos Personales, que por rubro y texto, dispone lo siguiente:</w:t>
      </w:r>
    </w:p>
    <w:p w:rsidR="00B34385" w:rsidRDefault="00DE3B61">
      <w:pPr>
        <w:ind w:left="567" w:right="-574"/>
        <w:jc w:val="both"/>
        <w:rPr>
          <w:rFonts w:ascii="Palatino Linotype" w:eastAsia="Palatino Linotype" w:hAnsi="Palatino Linotype" w:cs="Palatino Linotype"/>
          <w:i/>
          <w:iCs/>
        </w:rPr>
      </w:pPr>
      <w:r>
        <w:rPr>
          <w:rFonts w:ascii="Palatino Linotype" w:eastAsia="Palatino Linotype" w:hAnsi="Palatino Linotype" w:cs="Palatino Linotype"/>
          <w:b/>
          <w:bCs/>
          <w:i/>
          <w:iCs/>
        </w:rPr>
        <w:t>No existe obligación de elaborar documentos ad hoc para atender las solicitudes de acceso a la información</w:t>
      </w:r>
      <w:r>
        <w:rPr>
          <w:rFonts w:ascii="Palatino Linotype" w:eastAsia="Palatino Linotype" w:hAnsi="Palatino Linotype" w:cs="Palatino Linotype"/>
          <w:i/>
          <w:iCs/>
        </w:rPr>
        <w:t>.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B34385" w:rsidRDefault="00B34385">
      <w:pPr>
        <w:pBdr>
          <w:top w:val="nil"/>
          <w:left w:val="nil"/>
          <w:bottom w:val="nil"/>
          <w:right w:val="nil"/>
          <w:between w:val="nil"/>
        </w:pBdr>
        <w:spacing w:line="276" w:lineRule="auto"/>
        <w:ind w:left="1134" w:right="1134"/>
        <w:jc w:val="both"/>
        <w:rPr>
          <w:rFonts w:ascii="Palatino Linotype" w:eastAsia="Palatino Linotype" w:hAnsi="Palatino Linotype" w:cs="Palatino Linotype"/>
          <w:i/>
          <w:iCs/>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tales circunstancias para el caso en particular, este Instituto no encuentra sustento legal que permita ordenar la entrega de la información conforme los intereses del Particular; no obstante, es procedente determinar las atribuciones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para que, de ser el caso, en aras del principio de máxima publicidad, se ordene la entrega de la información faltante con el mayor grado de desagregación posible.</w:t>
      </w:r>
    </w:p>
    <w:p w:rsidR="00B34385" w:rsidRDefault="00B34385">
      <w:pPr>
        <w:pBdr>
          <w:top w:val="nil"/>
          <w:left w:val="nil"/>
          <w:bottom w:val="nil"/>
          <w:right w:val="nil"/>
          <w:between w:val="nil"/>
        </w:pBdr>
        <w:spacing w:line="360" w:lineRule="auto"/>
        <w:ind w:right="27"/>
        <w:jc w:val="both"/>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En consecuencia se concluye que </w:t>
      </w:r>
      <w:r>
        <w:rPr>
          <w:rFonts w:ascii="Palatino Linotype" w:eastAsia="Palatino Linotype" w:hAnsi="Palatino Linotype" w:cs="Palatino Linotype"/>
          <w:color w:val="000000"/>
        </w:rPr>
        <w:t xml:space="preserve">la respuesta proporcionada por el Sujeto Obligado no satisfacen el derecho de acceso a la información de </w:t>
      </w:r>
      <w:r>
        <w:rPr>
          <w:rFonts w:ascii="Palatino Linotype" w:eastAsia="Palatino Linotype" w:hAnsi="Palatino Linotype" w:cs="Palatino Linotype"/>
          <w:b/>
          <w:bCs/>
          <w:color w:val="000000"/>
        </w:rPr>
        <w:t>LA PARTE RECURRENTE</w:t>
      </w:r>
      <w:r>
        <w:rPr>
          <w:rFonts w:ascii="Palatino Linotype" w:eastAsia="Palatino Linotype" w:hAnsi="Palatino Linotype" w:cs="Palatino Linotype"/>
          <w:color w:val="000000"/>
        </w:rPr>
        <w:t>, por lo tanto resulta dable ordenar previa búsqueda exhaustiva y razonable la entrega del soporte documental en donde obre la información faltante.</w:t>
      </w:r>
    </w:p>
    <w:p w:rsidR="00B34385" w:rsidRDefault="00B34385">
      <w:pPr>
        <w:spacing w:line="360" w:lineRule="auto"/>
        <w:ind w:right="-787"/>
        <w:jc w:val="both"/>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Ahora</w:t>
      </w:r>
      <w:r>
        <w:rPr>
          <w:rFonts w:ascii="Palatino Linotype" w:eastAsia="Palatino Linotype" w:hAnsi="Palatino Linotype" w:cs="Palatino Linotype"/>
        </w:rPr>
        <w:t xml:space="preserve"> bien, sobre la naturaleza de la información solicitada es oportuno reproducir los preceptos normativos de la Ley General del Sistema Nacional de Seguridad Pública, con la precisión de que el Particular, requirió información desde el 2018 y hasta la fecha de la solicitud que fue el veintisiete de febrero de dos mil veintiséis, por lo que la información solicitada, se relaciona con dos leyes del Sistema de Seguridad Pública; tras las reformas de 2025, la antigua Ley General del Sistema Nacional de Seguridad fue abrogada y sustituida por una nueva Ley General del Sistema Nacional de Seguridad Pública que entró en vigor el 16 de julio de 2025 y abroga expresamente la anterior publicada en 2009  y uno de los cambios sustanciales Pública  es la regulación expresa, del informe policial homologado (IPH) que en la antigua ley se encontraba regulado en su artículo 43 y en la actual, lo remite a los Lineamientos. </w:t>
      </w:r>
    </w:p>
    <w:p w:rsidR="00B34385" w:rsidRDefault="00B34385">
      <w:pPr>
        <w:spacing w:line="360" w:lineRule="auto"/>
        <w:ind w:right="-787"/>
        <w:jc w:val="both"/>
        <w:rPr>
          <w:rFonts w:ascii="Palatino Linotype" w:eastAsia="Palatino Linotype" w:hAnsi="Palatino Linotype" w:cs="Palatino Linotype"/>
          <w:i/>
          <w:iCs/>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forma complementaria, resulta de nuestro particular interés el criterio orientador 008/2023 emitido por el Instituto Nacional de Transparencia, Acceso a la Información y Protección de Datos Personales, que a la letra dispone lo siguiente:</w:t>
      </w:r>
    </w:p>
    <w:p w:rsidR="00B34385" w:rsidRDefault="00DE3B61">
      <w:pPr>
        <w:ind w:left="567" w:right="-573"/>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Ejercicio del derecho de Acceso a la Información Pública. La información estadística es de naturaleza pública, independientemente de la materia con la que se encuentre vinculada. </w:t>
      </w:r>
      <w:r>
        <w:rPr>
          <w:rFonts w:ascii="Palatino Linotype" w:eastAsia="Palatino Linotype" w:hAnsi="Palatino Linotype" w:cs="Palatino Linotype"/>
          <w:i/>
          <w:iCs/>
          <w:color w:val="000000"/>
        </w:rPr>
        <w:t xml:space="preserve">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w:t>
      </w:r>
      <w:r>
        <w:rPr>
          <w:rFonts w:ascii="Palatino Linotype" w:eastAsia="Palatino Linotype" w:hAnsi="Palatino Linotype" w:cs="Palatino Linotype"/>
          <w:i/>
          <w:iCs/>
          <w:color w:val="000000"/>
        </w:rPr>
        <w:lastRenderedPageBreak/>
        <w:t>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la información estadística es de naturaleza pública, siempre y cuando los datos estadísticos no se encuentren individualizados o personalizados a casos o situaciones específicas, que pudieran llegar a justificar su clasificación</w:t>
      </w:r>
      <w:r>
        <w:rPr>
          <w:rFonts w:ascii="Palatino Linotype" w:eastAsia="Palatino Linotype" w:hAnsi="Palatino Linotype" w:cs="Palatino Linotype"/>
          <w:b/>
          <w:bCs/>
          <w:i/>
          <w:iCs/>
          <w:color w:val="000000"/>
        </w:rPr>
        <w:t>.</w:t>
      </w:r>
    </w:p>
    <w:p w:rsidR="00B34385" w:rsidRDefault="00B34385">
      <w:pPr>
        <w:spacing w:line="360" w:lineRule="auto"/>
        <w:ind w:right="-28"/>
        <w:jc w:val="both"/>
        <w:rPr>
          <w:rFonts w:ascii="Palatino Linotype" w:eastAsia="Palatino Linotype" w:hAnsi="Palatino Linotype" w:cs="Palatino Linotype"/>
          <w:b/>
          <w:bCs/>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Ahora bien, cuando existe fuente obligacional de recabar la información a través de la recopilación de los hechos acontecidos en el Informe Policial Homologado, de donde se genera información estadística, sin embargo, para lo cual, no existe fuente obligacional de poseer dicha información en un específico nivel de desagregación, menos conforme al interés específico del Particular.</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es de recordar que el Sujeto Obligado entregó la información solicitada respecto del primer trimestre 2022 (enero, febrero y marzo) y de la anualidad 2025, faltando de 2018 a 2021, del 01 de abril de 2022 al 31 de diciembre de 2024, y del 01 de enero al 27 de febrero de 2026, siendo dable </w:t>
      </w:r>
      <w:r>
        <w:rPr>
          <w:rFonts w:ascii="Palatino Linotype" w:eastAsia="Palatino Linotype" w:hAnsi="Palatino Linotype" w:cs="Palatino Linotype"/>
          <w:b/>
          <w:bCs/>
        </w:rPr>
        <w:t>ORDENAR</w:t>
      </w:r>
      <w:r>
        <w:rPr>
          <w:rFonts w:ascii="Palatino Linotype" w:eastAsia="Palatino Linotype" w:hAnsi="Palatino Linotype" w:cs="Palatino Linotype"/>
        </w:rPr>
        <w:t xml:space="preserve"> la </w:t>
      </w:r>
      <w:r>
        <w:rPr>
          <w:rFonts w:ascii="Palatino Linotype" w:eastAsia="Palatino Linotype" w:hAnsi="Palatino Linotype" w:cs="Palatino Linotype"/>
          <w:b/>
          <w:bCs/>
        </w:rPr>
        <w:t>información faltante</w:t>
      </w:r>
      <w:r>
        <w:rPr>
          <w:rFonts w:ascii="Palatino Linotype" w:eastAsia="Palatino Linotype" w:hAnsi="Palatino Linotype" w:cs="Palatino Linotype"/>
        </w:rPr>
        <w:t>.</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Continuando con el estudio, es de precisar que normativamente el Sujeto Obligado está constreñido a generar información en torno a las incidencias delictivas, no así a las faltas administrativas. Por ello, deberá hacer entrega de la estadística delictiva y/o administrativa al mayor nivel de desglose que obre en sus archivos. Para el caso de que la información de las faltas administrativas no obre en sus archivos, deberá hacerlo del conocimiento al Particular en dichos términos.</w:t>
      </w:r>
    </w:p>
    <w:p w:rsidR="00B34385" w:rsidRDefault="00B34385">
      <w:pPr>
        <w:spacing w:line="360" w:lineRule="auto"/>
        <w:ind w:right="-93"/>
        <w:jc w:val="both"/>
        <w:rPr>
          <w:rFonts w:ascii="Palatino Linotype" w:eastAsia="Palatino Linotype" w:hAnsi="Palatino Linotype" w:cs="Palatino Linotype"/>
          <w:highlight w:val="yellow"/>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No se omite señalar que toda vez que se desconoce el nivel de desglose de la estadística de los años 2018, 2019 y 2020; e incluso, se ignora si la información obra o no en archivos del Sujeto Obligado, esto en relación con una posible baja documental. Por lo que resulta indispensable traer a contexto la </w:t>
      </w:r>
      <w:r>
        <w:rPr>
          <w:rFonts w:ascii="Palatino Linotype" w:eastAsia="Palatino Linotype" w:hAnsi="Palatino Linotype" w:cs="Palatino Linotype"/>
          <w:b/>
          <w:bCs/>
        </w:rPr>
        <w:t>Ley de Archivos y Administración de Documentos del Estado de México y Municipios</w:t>
      </w:r>
      <w:r>
        <w:rPr>
          <w:rFonts w:ascii="Palatino Linotype" w:eastAsia="Palatino Linotype" w:hAnsi="Palatino Linotype" w:cs="Palatino Linotype"/>
        </w:rPr>
        <w:t xml:space="preserve">, publicada en el Periódico Oficial </w:t>
      </w:r>
      <w:r>
        <w:rPr>
          <w:rFonts w:ascii="Palatino Linotype" w:eastAsia="Palatino Linotype" w:hAnsi="Palatino Linotype" w:cs="Palatino Linotype"/>
          <w:i/>
          <w:iCs/>
        </w:rPr>
        <w:t>Gaceta del Gobierno</w:t>
      </w:r>
      <w:r>
        <w:rPr>
          <w:rFonts w:ascii="Palatino Linotype" w:eastAsia="Palatino Linotype" w:hAnsi="Palatino Linotype" w:cs="Palatino Linotype"/>
        </w:rPr>
        <w:t xml:space="preserve">, el veintiséis (26) de noviembre de dos mil veinte, tiene por objeto establecer la organización, conservación, administración y preservación homogénea de los Archivos en posesión de cualquier autoridad, entidad, órgano y organismo de los poderes Legislativo, Ejecutivo y Judicial, órganos autónomos, partidos políticos, fideicomisos y fondos públicos, así como de cualquier persona física, jurídica colectiva o sindicato que reciba y ejerza recursos públicos o realice actos de autoridad del Estado de México y municipios. </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Anterior a la publicación de la norma antes mencionada, la </w:t>
      </w:r>
      <w:r>
        <w:rPr>
          <w:rFonts w:ascii="Palatino Linotype" w:eastAsia="Palatino Linotype" w:hAnsi="Palatino Linotype" w:cs="Palatino Linotype"/>
          <w:b/>
          <w:bCs/>
        </w:rPr>
        <w:t>Ley de Documentos Administrativos e Históricos del Estado de México</w:t>
      </w:r>
      <w:r>
        <w:rPr>
          <w:rFonts w:ascii="Palatino Linotype" w:eastAsia="Palatino Linotype" w:hAnsi="Palatino Linotype" w:cs="Palatino Linotype"/>
        </w:rPr>
        <w:t>, se encargaba de normar y regular la administración de documentos administrativos e históricos de las autoridades del Estado y los municipios en el ámbito de su competencia</w:t>
      </w:r>
      <w:r>
        <w:rPr>
          <w:rFonts w:ascii="Palatino Linotype" w:eastAsia="Palatino Linotype" w:hAnsi="Palatino Linotype" w:cs="Palatino Linotype"/>
          <w:vertAlign w:val="superscript"/>
        </w:rPr>
        <w:footnoteReference w:id="1"/>
      </w:r>
      <w:r>
        <w:rPr>
          <w:rFonts w:ascii="Palatino Linotype" w:eastAsia="Palatino Linotype" w:hAnsi="Palatino Linotype" w:cs="Palatino Linotype"/>
        </w:rPr>
        <w:t xml:space="preserve">. </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Correlativo a esto, se creó la a </w:t>
      </w:r>
      <w:r>
        <w:rPr>
          <w:rFonts w:ascii="Palatino Linotype" w:eastAsia="Palatino Linotype" w:hAnsi="Palatino Linotype" w:cs="Palatino Linotype"/>
          <w:b/>
          <w:bCs/>
        </w:rPr>
        <w:t>Comisión Dictaminadora de Depuración de Documentos</w:t>
      </w:r>
      <w:r>
        <w:rPr>
          <w:rFonts w:ascii="Palatino Linotype" w:eastAsia="Palatino Linotype" w:hAnsi="Palatino Linotype" w:cs="Palatino Linotype"/>
        </w:rPr>
        <w:t>, integrada por personas expertas o especialistas en la materia, misma que se tendría las siguientes facultades y atribuciones</w:t>
      </w:r>
      <w:r>
        <w:rPr>
          <w:rFonts w:ascii="Palatino Linotype" w:eastAsia="Palatino Linotype" w:hAnsi="Palatino Linotype" w:cs="Palatino Linotype"/>
          <w:vertAlign w:val="superscript"/>
        </w:rPr>
        <w:footnoteReference w:id="2"/>
      </w:r>
      <w:r>
        <w:rPr>
          <w:rFonts w:ascii="Palatino Linotype" w:eastAsia="Palatino Linotype" w:hAnsi="Palatino Linotype" w:cs="Palatino Linotype"/>
        </w:rPr>
        <w:t>:</w:t>
      </w:r>
    </w:p>
    <w:p w:rsidR="00B34385" w:rsidRDefault="00DE3B61">
      <w:pPr>
        <w:numPr>
          <w:ilvl w:val="1"/>
          <w:numId w:val="11"/>
        </w:numPr>
        <w:pBdr>
          <w:top w:val="nil"/>
          <w:left w:val="nil"/>
          <w:bottom w:val="nil"/>
          <w:right w:val="nil"/>
          <w:between w:val="nil"/>
        </w:pBdr>
        <w:tabs>
          <w:tab w:val="left" w:pos="426"/>
        </w:tabs>
        <w:ind w:left="1434" w:right="-714"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Llevar un registro que contenga la evaluación de los documentos que reporten valor histórico, administrativo, jurídico o económico. </w:t>
      </w:r>
    </w:p>
    <w:p w:rsidR="00B34385" w:rsidRDefault="00DE3B61">
      <w:pPr>
        <w:numPr>
          <w:ilvl w:val="1"/>
          <w:numId w:val="11"/>
        </w:numPr>
        <w:pBdr>
          <w:top w:val="nil"/>
          <w:left w:val="nil"/>
          <w:bottom w:val="nil"/>
          <w:right w:val="nil"/>
          <w:between w:val="nil"/>
        </w:pBdr>
        <w:tabs>
          <w:tab w:val="left" w:pos="426"/>
        </w:tabs>
        <w:ind w:left="1434" w:right="-714"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Realizar estudios y emitir opiniones a los responsables de la conservación y restauración de documentos de los archivos de la entidad. </w:t>
      </w:r>
    </w:p>
    <w:p w:rsidR="00B34385" w:rsidRDefault="00DE3B61">
      <w:pPr>
        <w:numPr>
          <w:ilvl w:val="1"/>
          <w:numId w:val="11"/>
        </w:numPr>
        <w:pBdr>
          <w:top w:val="nil"/>
          <w:left w:val="nil"/>
          <w:bottom w:val="nil"/>
          <w:right w:val="nil"/>
          <w:between w:val="nil"/>
        </w:pBdr>
        <w:tabs>
          <w:tab w:val="left" w:pos="426"/>
        </w:tabs>
        <w:ind w:left="1434" w:right="-714"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Coadyuvar con los responsables de cada archivo, en la depuración de documentos</w:t>
      </w:r>
      <w:r>
        <w:rPr>
          <w:rFonts w:ascii="Palatino Linotype" w:eastAsia="Palatino Linotype" w:hAnsi="Palatino Linotype" w:cs="Palatino Linotype"/>
          <w:i/>
          <w:iCs/>
          <w:color w:val="000000"/>
        </w:rPr>
        <w:t xml:space="preserve">, determinando cuáles deben conservarse por el término de Ley, trasladarse al Archivo Histórico o destruirse. </w:t>
      </w:r>
    </w:p>
    <w:p w:rsidR="00B34385" w:rsidRDefault="00DE3B61">
      <w:pPr>
        <w:numPr>
          <w:ilvl w:val="1"/>
          <w:numId w:val="11"/>
        </w:numPr>
        <w:pBdr>
          <w:top w:val="nil"/>
          <w:left w:val="nil"/>
          <w:bottom w:val="nil"/>
          <w:right w:val="nil"/>
          <w:between w:val="nil"/>
        </w:pBdr>
        <w:tabs>
          <w:tab w:val="left" w:pos="426"/>
        </w:tabs>
        <w:ind w:left="1434" w:right="-714" w:hanging="35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Cuando se trate de documentos de contenido meramente administrativo, para considerar su </w:t>
      </w:r>
      <w:r>
        <w:rPr>
          <w:rFonts w:ascii="Palatino Linotype" w:eastAsia="Palatino Linotype" w:hAnsi="Palatino Linotype" w:cs="Palatino Linotype"/>
          <w:b/>
          <w:bCs/>
          <w:i/>
          <w:iCs/>
          <w:color w:val="000000"/>
          <w:u w:val="single"/>
        </w:rPr>
        <w:t>baja</w:t>
      </w:r>
      <w:r>
        <w:rPr>
          <w:rFonts w:ascii="Palatino Linotype" w:eastAsia="Palatino Linotype" w:hAnsi="Palatino Linotype" w:cs="Palatino Linotype"/>
          <w:i/>
          <w:iCs/>
          <w:color w:val="000000"/>
        </w:rPr>
        <w:t>, se tomará parecer de la Dependencia o ayuntamiento de procedencia.</w:t>
      </w:r>
    </w:p>
    <w:p w:rsidR="00B34385" w:rsidRDefault="00B3438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las cosas, la abrogada Ley de Documentos Administrativos e Históricos del Estado de México, publicada el veinticuatro (24) de marzo de mil novecientos ochenta y seis, ya consideraba un sistema de conservación de archivos, mismo que debía ser implementado </w:t>
      </w:r>
      <w:r>
        <w:rPr>
          <w:rFonts w:ascii="Palatino Linotype" w:eastAsia="Palatino Linotype" w:hAnsi="Palatino Linotype" w:cs="Palatino Linotype"/>
          <w:b/>
          <w:bCs/>
        </w:rPr>
        <w:t>a nivel estatal</w:t>
      </w:r>
      <w:r>
        <w:rPr>
          <w:rFonts w:ascii="Palatino Linotype" w:eastAsia="Palatino Linotype" w:hAnsi="Palatino Linotype" w:cs="Palatino Linotype"/>
        </w:rPr>
        <w:t xml:space="preserve"> y municipal por todas las dependencias públicas. Aunado a lo anterior, existía una dependencia especial denominada </w:t>
      </w:r>
      <w:r>
        <w:rPr>
          <w:rFonts w:ascii="Palatino Linotype" w:eastAsia="Palatino Linotype" w:hAnsi="Palatino Linotype" w:cs="Palatino Linotype"/>
          <w:b/>
          <w:bCs/>
        </w:rPr>
        <w:t>Comisión Dictaminadora de Depuración de Documentos</w:t>
      </w:r>
      <w:r>
        <w:rPr>
          <w:rFonts w:ascii="Palatino Linotype" w:eastAsia="Palatino Linotype" w:hAnsi="Palatino Linotype" w:cs="Palatino Linotype"/>
        </w:rPr>
        <w:t>, la cual se encargaría de auxiliar a las dependencias para tramitar la depuración y/o baja de sus documentos administrativos.</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No es ocioso mencionar que los </w:t>
      </w:r>
      <w:r>
        <w:rPr>
          <w:rFonts w:ascii="Palatino Linotype" w:eastAsia="Palatino Linotype" w:hAnsi="Palatino Linotype" w:cs="Palatino Linotype"/>
          <w:b/>
          <w:bCs/>
        </w:rPr>
        <w:t>Lineamientos para la Organización y Conservación de los Archivos</w:t>
      </w:r>
      <w:r>
        <w:rPr>
          <w:rFonts w:ascii="Palatino Linotype" w:eastAsia="Palatino Linotype" w:hAnsi="Palatino Linotype" w:cs="Palatino Linotype"/>
        </w:rPr>
        <w:t>, publicados por el Sistema Nacional de Transparencia, tienen por objeto establecer las políticas y criterios para la sistematización y digitalización, así como para la custodia y conservación de los archivos en posesión de los Sujetos Obligados, con la finalidad de garantizar la disponibilidad, la localización eficiente de la información generada, obtenida, adquirida, transformada y contar con sistemas de información, ágiles y eficientes</w:t>
      </w:r>
      <w:r>
        <w:rPr>
          <w:rFonts w:ascii="Palatino Linotype" w:eastAsia="Palatino Linotype" w:hAnsi="Palatino Linotype" w:cs="Palatino Linotype"/>
          <w:vertAlign w:val="superscript"/>
        </w:rPr>
        <w:footnoteReference w:id="3"/>
      </w:r>
      <w:r>
        <w:rPr>
          <w:rFonts w:ascii="Palatino Linotype" w:eastAsia="Palatino Linotype" w:hAnsi="Palatino Linotype" w:cs="Palatino Linotype"/>
        </w:rPr>
        <w:t>.</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Dentro del Lineamiento Cuarto, se establecen diversas definiciones, entre las que destacan las siguientes:</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Cuarto.</w:t>
      </w:r>
      <w:r>
        <w:rPr>
          <w:rFonts w:ascii="Palatino Linotype" w:eastAsia="Palatino Linotype" w:hAnsi="Palatino Linotype" w:cs="Palatino Linotype"/>
          <w:i/>
          <w:iCs/>
          <w:color w:val="000000"/>
        </w:rPr>
        <w:t xml:space="preserve"> Además de las definiciones contenidas en el artículo 3 de la Ley General de Transparencia y Acceso a la Información Pública, para efectos de los presentes lineamientos se entenderá por:</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VIII. Baja documental:</w:t>
      </w:r>
      <w:r>
        <w:rPr>
          <w:rFonts w:ascii="Palatino Linotype" w:eastAsia="Palatino Linotype" w:hAnsi="Palatino Linotype" w:cs="Palatino Linotype"/>
          <w:i/>
          <w:iCs/>
          <w:color w:val="000000"/>
        </w:rPr>
        <w:t xml:space="preserve"> La eliminación de aquella documentación que haya prescrito en sus valores administrativos, legales, fiscales o contables, y que no contenga valores históricos;</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 Ciclo vital del documento:</w:t>
      </w:r>
      <w:r>
        <w:rPr>
          <w:rFonts w:ascii="Palatino Linotype" w:eastAsia="Palatino Linotype" w:hAnsi="Palatino Linotype" w:cs="Palatino Linotype"/>
          <w:i/>
          <w:iCs/>
          <w:color w:val="000000"/>
        </w:rPr>
        <w:t xml:space="preserve"> Las etapas de los documentos desde su producción o recepción hasta su baja o transferencia a un archivo histórico;</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 xml:space="preserve">XVIII. Disposición documental: </w:t>
      </w:r>
      <w:r>
        <w:rPr>
          <w:rFonts w:ascii="Palatino Linotype" w:eastAsia="Palatino Linotype" w:hAnsi="Palatino Linotype" w:cs="Palatino Linotype"/>
          <w:i/>
          <w:iCs/>
          <w:color w:val="000000"/>
        </w:rPr>
        <w:t>La selección sistemática de los expedientes de los archivos de trámite o concentración cuya vigencia documental o uso ha prescrito, con el fin de realizar la baja documental o transferirlos;</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XXIX. Inventarios documentales:</w:t>
      </w:r>
      <w:r>
        <w:rPr>
          <w:rFonts w:ascii="Palatino Linotype" w:eastAsia="Palatino Linotype" w:hAnsi="Palatino Linotype" w:cs="Palatino Linotype"/>
          <w:i/>
          <w:iCs/>
          <w:color w:val="000000"/>
        </w:rPr>
        <w:t xml:space="preserve"> Los instrumentos de consulta que describen las series y expedientes de un archivo y que permiten su localización (inventario general), transferencia (inventario de transferencia) o baja documental (inventario de baja documental);</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B34385" w:rsidRDefault="00B34385">
      <w:pPr>
        <w:pBdr>
          <w:top w:val="nil"/>
          <w:left w:val="nil"/>
          <w:bottom w:val="nil"/>
          <w:right w:val="nil"/>
          <w:between w:val="nil"/>
        </w:pBdr>
        <w:tabs>
          <w:tab w:val="left" w:pos="426"/>
        </w:tabs>
        <w:ind w:right="-714"/>
        <w:jc w:val="both"/>
        <w:rPr>
          <w:rFonts w:ascii="Palatino Linotype" w:eastAsia="Palatino Linotype" w:hAnsi="Palatino Linotype" w:cs="Palatino Linotype"/>
          <w:i/>
          <w:iCs/>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las líneas transcritas, podemos entender al </w:t>
      </w:r>
      <w:r>
        <w:rPr>
          <w:rFonts w:ascii="Palatino Linotype" w:eastAsia="Palatino Linotype" w:hAnsi="Palatino Linotype" w:cs="Palatino Linotype"/>
          <w:b/>
          <w:bCs/>
        </w:rPr>
        <w:t>ciclo vital de un documento</w:t>
      </w:r>
      <w:r>
        <w:rPr>
          <w:rFonts w:ascii="Palatino Linotype" w:eastAsia="Palatino Linotype" w:hAnsi="Palatino Linotype" w:cs="Palatino Linotype"/>
        </w:rPr>
        <w:t xml:space="preserve"> como todas las etapas consideradas desde su producción o recepción, hasta su </w:t>
      </w:r>
      <w:r>
        <w:rPr>
          <w:rFonts w:ascii="Palatino Linotype" w:eastAsia="Palatino Linotype" w:hAnsi="Palatino Linotype" w:cs="Palatino Linotype"/>
          <w:b/>
          <w:bCs/>
        </w:rPr>
        <w:t>baja</w:t>
      </w:r>
      <w:r>
        <w:rPr>
          <w:rFonts w:ascii="Palatino Linotype" w:eastAsia="Palatino Linotype" w:hAnsi="Palatino Linotype" w:cs="Palatino Linotype"/>
        </w:rPr>
        <w:t xml:space="preserve"> o transferencia a un Archivo Histórico; por su parte, la </w:t>
      </w:r>
      <w:r>
        <w:rPr>
          <w:rFonts w:ascii="Palatino Linotype" w:eastAsia="Palatino Linotype" w:hAnsi="Palatino Linotype" w:cs="Palatino Linotype"/>
          <w:b/>
          <w:bCs/>
        </w:rPr>
        <w:t>disposición documental</w:t>
      </w:r>
      <w:r>
        <w:rPr>
          <w:rFonts w:ascii="Palatino Linotype" w:eastAsia="Palatino Linotype" w:hAnsi="Palatino Linotype" w:cs="Palatino Linotype"/>
        </w:rPr>
        <w:t xml:space="preserve"> es la determinación que se otorga a un documento, una vez concluido su ciclo de vigencia, a fin de establecer su baja o transferencia a un archivo histórico; mientras que la </w:t>
      </w:r>
      <w:r>
        <w:rPr>
          <w:rFonts w:ascii="Palatino Linotype" w:eastAsia="Palatino Linotype" w:hAnsi="Palatino Linotype" w:cs="Palatino Linotype"/>
          <w:b/>
          <w:bCs/>
        </w:rPr>
        <w:t>baja documental</w:t>
      </w:r>
      <w:r>
        <w:rPr>
          <w:rFonts w:ascii="Palatino Linotype" w:eastAsia="Palatino Linotype" w:hAnsi="Palatino Linotype" w:cs="Palatino Linotype"/>
        </w:rPr>
        <w:t xml:space="preserve"> consiste en la eliminación del documento cuyos valores administrativos, legales, fiscales o contables hayan prescrito y, que no contenga valores históricos.</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el mismo sentido, a fin de contar con un control </w:t>
      </w:r>
      <w:r>
        <w:rPr>
          <w:rFonts w:ascii="Palatino Linotype" w:eastAsia="Palatino Linotype" w:hAnsi="Palatino Linotype" w:cs="Palatino Linotype"/>
          <w:b/>
          <w:bCs/>
        </w:rPr>
        <w:t>preciso</w:t>
      </w:r>
      <w:r>
        <w:rPr>
          <w:rFonts w:ascii="Palatino Linotype" w:eastAsia="Palatino Linotype" w:hAnsi="Palatino Linotype" w:cs="Palatino Linotype"/>
        </w:rPr>
        <w:t xml:space="preserve"> sobre las transferencias y bajas documentales, las dependencias públicas deberán contar con </w:t>
      </w:r>
      <w:r>
        <w:rPr>
          <w:rFonts w:ascii="Palatino Linotype" w:eastAsia="Palatino Linotype" w:hAnsi="Palatino Linotype" w:cs="Palatino Linotype"/>
          <w:b/>
          <w:bCs/>
        </w:rPr>
        <w:t>inventarios de baja</w:t>
      </w:r>
      <w:r>
        <w:rPr>
          <w:rFonts w:ascii="Palatino Linotype" w:eastAsia="Palatino Linotype" w:hAnsi="Palatino Linotype" w:cs="Palatino Linotype"/>
        </w:rPr>
        <w:t xml:space="preserve"> y de </w:t>
      </w:r>
      <w:r>
        <w:rPr>
          <w:rFonts w:ascii="Palatino Linotype" w:eastAsia="Palatino Linotype" w:hAnsi="Palatino Linotype" w:cs="Palatino Linotype"/>
        </w:rPr>
        <w:lastRenderedPageBreak/>
        <w:t xml:space="preserve">transferencia, dentro de los cuales, se registrarán todos los archivos cuyo valor administrativo haya concluido y se hubieren </w:t>
      </w:r>
      <w:r>
        <w:rPr>
          <w:rFonts w:ascii="Palatino Linotype" w:eastAsia="Palatino Linotype" w:hAnsi="Palatino Linotype" w:cs="Palatino Linotype"/>
          <w:b/>
          <w:bCs/>
        </w:rPr>
        <w:t>eliminado,</w:t>
      </w:r>
      <w:r>
        <w:rPr>
          <w:rFonts w:ascii="Palatino Linotype" w:eastAsia="Palatino Linotype" w:hAnsi="Palatino Linotype" w:cs="Palatino Linotype"/>
        </w:rPr>
        <w:t xml:space="preserve"> o bien, </w:t>
      </w:r>
      <w:r>
        <w:rPr>
          <w:rFonts w:ascii="Palatino Linotype" w:eastAsia="Palatino Linotype" w:hAnsi="Palatino Linotype" w:cs="Palatino Linotype"/>
          <w:b/>
          <w:bCs/>
        </w:rPr>
        <w:t>transferido a un Archivo Histórico</w:t>
      </w:r>
      <w:r>
        <w:rPr>
          <w:rFonts w:ascii="Palatino Linotype" w:eastAsia="Palatino Linotype" w:hAnsi="Palatino Linotype" w:cs="Palatino Linotype"/>
        </w:rPr>
        <w:t>.</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mismo sentido, los </w:t>
      </w:r>
      <w:r>
        <w:rPr>
          <w:rFonts w:ascii="Palatino Linotype" w:eastAsia="Palatino Linotype" w:hAnsi="Palatino Linotype" w:cs="Palatino Linotype"/>
          <w:b/>
          <w:bCs/>
        </w:rPr>
        <w:t xml:space="preserve">Lineamientos por los que se establecen las políticas y criterios para realizar la selección de los documentos y expedientes de trámite concluido existentes en los </w:t>
      </w:r>
      <w:r>
        <w:rPr>
          <w:rFonts w:ascii="Palatino Linotype" w:eastAsia="Palatino Linotype" w:hAnsi="Palatino Linotype" w:cs="Palatino Linotype"/>
        </w:rPr>
        <w:t>archivos</w:t>
      </w:r>
      <w:r>
        <w:rPr>
          <w:rFonts w:ascii="Palatino Linotype" w:eastAsia="Palatino Linotype" w:hAnsi="Palatino Linotype" w:cs="Palatino Linotype"/>
          <w:b/>
          <w:bCs/>
        </w:rPr>
        <w:t xml:space="preserve"> de las unidades administrativas de los poderes del estado y de los municipios</w:t>
      </w:r>
      <w:r>
        <w:rPr>
          <w:rFonts w:ascii="Palatino Linotype" w:eastAsia="Palatino Linotype" w:hAnsi="Palatino Linotype" w:cs="Palatino Linotype"/>
        </w:rPr>
        <w:t>, establece en su artículo 24 lo siguiente:</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24.- </w:t>
      </w:r>
      <w:r>
        <w:rPr>
          <w:rFonts w:ascii="Palatino Linotype" w:eastAsia="Palatino Linotype" w:hAnsi="Palatino Linotype" w:cs="Palatino Linotype"/>
          <w:i/>
          <w:iCs/>
          <w:color w:val="000000"/>
        </w:rPr>
        <w:t xml:space="preserve">Las unidades administrativas al realizar la transferencia de los expedientes de trámite concluido, señalarán en el "Inventario" los plazos de conservación precaucional de éstos en el Archivo de Concentración. Para determinar el plazo de conservación precaucional deberán considerar el marco legal o administrativo bajo el cual se produjeron o recibieron los documentos y los siguientes períodos: </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6 años para expedientes con información administrativa; </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6 años como mínimo para expedientes con información fiscal y presupuestal contable; </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III: 2 años como mínimo para expedientes con información jurídico-legal, obra pública y activo fijo; y </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IV. Cuando en la legislación se establezcan períodos de conservación mayores a los señalados en las fracciones I, II y III, se considerarán los estipulados en dicha legislación para efectos de realización del proceso de selección final.</w:t>
      </w:r>
    </w:p>
    <w:p w:rsidR="00B34385" w:rsidRDefault="00B34385">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antes expuesto, la legislación en la materia establece que </w:t>
      </w:r>
      <w:r>
        <w:rPr>
          <w:rFonts w:ascii="Palatino Linotype" w:eastAsia="Palatino Linotype" w:hAnsi="Palatino Linotype" w:cs="Palatino Linotype"/>
          <w:b/>
          <w:bCs/>
        </w:rPr>
        <w:t xml:space="preserve">las áreas poseedoras de la información </w:t>
      </w:r>
      <w:r>
        <w:rPr>
          <w:rFonts w:ascii="Palatino Linotype" w:eastAsia="Palatino Linotype" w:hAnsi="Palatino Linotype" w:cs="Palatino Linotype"/>
        </w:rPr>
        <w:t>deberán</w:t>
      </w:r>
      <w:r>
        <w:rPr>
          <w:rFonts w:ascii="Palatino Linotype" w:eastAsia="Palatino Linotype" w:hAnsi="Palatino Linotype" w:cs="Palatino Linotype"/>
          <w:b/>
          <w:bCs/>
        </w:rPr>
        <w:t xml:space="preserve"> conservar los documentos en sus archivos por un periodo máximo de </w:t>
      </w:r>
      <w:r>
        <w:rPr>
          <w:rFonts w:ascii="Palatino Linotype" w:eastAsia="Palatino Linotype" w:hAnsi="Palatino Linotype" w:cs="Palatino Linotype"/>
          <w:b/>
          <w:bCs/>
          <w:u w:val="single"/>
        </w:rPr>
        <w:t>seis años</w:t>
      </w:r>
      <w:r>
        <w:rPr>
          <w:rFonts w:ascii="Palatino Linotype" w:eastAsia="Palatino Linotype" w:hAnsi="Palatino Linotype" w:cs="Palatino Linotype"/>
        </w:rPr>
        <w:t xml:space="preserve">, una vez concluido el ciclo de uso y vigencia de éstos, se deberá valorar si se dan de </w:t>
      </w:r>
      <w:r>
        <w:rPr>
          <w:rFonts w:ascii="Palatino Linotype" w:eastAsia="Palatino Linotype" w:hAnsi="Palatino Linotype" w:cs="Palatino Linotype"/>
          <w:b/>
          <w:bCs/>
        </w:rPr>
        <w:t>baja</w:t>
      </w:r>
      <w:r>
        <w:rPr>
          <w:rFonts w:ascii="Palatino Linotype" w:eastAsia="Palatino Linotype" w:hAnsi="Palatino Linotype" w:cs="Palatino Linotype"/>
        </w:rPr>
        <w:t xml:space="preserve"> o, se transfieren al </w:t>
      </w:r>
      <w:r>
        <w:rPr>
          <w:rFonts w:ascii="Palatino Linotype" w:eastAsia="Palatino Linotype" w:hAnsi="Palatino Linotype" w:cs="Palatino Linotype"/>
          <w:b/>
          <w:bCs/>
        </w:rPr>
        <w:t>archivo histórico</w:t>
      </w:r>
      <w:r>
        <w:rPr>
          <w:rFonts w:ascii="Palatino Linotype" w:eastAsia="Palatino Linotype" w:hAnsi="Palatino Linotype" w:cs="Palatino Linotype"/>
        </w:rPr>
        <w:t>.</w:t>
      </w:r>
    </w:p>
    <w:p w:rsidR="00B34385" w:rsidRDefault="00B34385">
      <w:pPr>
        <w:pBdr>
          <w:top w:val="nil"/>
          <w:left w:val="nil"/>
          <w:bottom w:val="nil"/>
          <w:right w:val="nil"/>
          <w:between w:val="nil"/>
        </w:pBdr>
        <w:ind w:left="720"/>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 anterior corresponde al procedimiento en materia de archivo para la conservación documental, teniendo como fin último la baja o la transferencia al archivo histórico, dependiendo caso por caso de la importancia del contenido del documento. </w:t>
      </w:r>
    </w:p>
    <w:p w:rsidR="00B34385" w:rsidRDefault="00B34385">
      <w:pPr>
        <w:pBdr>
          <w:top w:val="nil"/>
          <w:left w:val="nil"/>
          <w:bottom w:val="nil"/>
          <w:right w:val="nil"/>
          <w:between w:val="nil"/>
        </w:pBdr>
        <w:ind w:left="720"/>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b/>
          <w:bCs/>
          <w:color w:val="222222"/>
        </w:rPr>
      </w:pPr>
      <w:r>
        <w:rPr>
          <w:rFonts w:ascii="Palatino Linotype" w:eastAsia="Palatino Linotype" w:hAnsi="Palatino Linotype" w:cs="Palatino Linotype"/>
          <w:color w:val="222222"/>
        </w:rPr>
        <w:lastRenderedPageBreak/>
        <w:t xml:space="preserve">Por lo que, </w:t>
      </w:r>
      <w:r>
        <w:rPr>
          <w:rFonts w:ascii="Palatino Linotype" w:eastAsia="Palatino Linotype" w:hAnsi="Palatino Linotype" w:cs="Palatino Linotype"/>
        </w:rPr>
        <w:t>de</w:t>
      </w:r>
      <w:r>
        <w:rPr>
          <w:rFonts w:ascii="Palatino Linotype" w:eastAsia="Palatino Linotype" w:hAnsi="Palatino Linotype" w:cs="Palatino Linotype"/>
          <w:color w:val="222222"/>
        </w:rPr>
        <w:t xml:space="preserve"> ser el caso que </w:t>
      </w:r>
      <w:r>
        <w:rPr>
          <w:rFonts w:ascii="Palatino Linotype" w:eastAsia="Palatino Linotype" w:hAnsi="Palatino Linotype" w:cs="Palatino Linotype"/>
          <w:b/>
          <w:bCs/>
          <w:color w:val="222222"/>
        </w:rPr>
        <w:t xml:space="preserve">la información que corresponde a los años 2018, 2019 y 2020, no se localice derivado de la </w:t>
      </w:r>
      <w:r>
        <w:rPr>
          <w:rFonts w:ascii="Palatino Linotype" w:eastAsia="Palatino Linotype" w:hAnsi="Palatino Linotype" w:cs="Palatino Linotype"/>
          <w:b/>
          <w:bCs/>
        </w:rPr>
        <w:t>temporalidad</w:t>
      </w:r>
      <w:r>
        <w:rPr>
          <w:rFonts w:ascii="Palatino Linotype" w:eastAsia="Palatino Linotype" w:hAnsi="Palatino Linotype" w:cs="Palatino Linotype"/>
          <w:b/>
          <w:bCs/>
          <w:color w:val="222222"/>
        </w:rPr>
        <w:t>,</w:t>
      </w:r>
      <w:r>
        <w:rPr>
          <w:rFonts w:ascii="Palatino Linotype" w:eastAsia="Palatino Linotype" w:hAnsi="Palatino Linotype" w:cs="Palatino Linotype"/>
          <w:color w:val="222222"/>
        </w:rPr>
        <w:t xml:space="preserve"> </w:t>
      </w:r>
      <w:r>
        <w:rPr>
          <w:rFonts w:ascii="Palatino Linotype" w:eastAsia="Palatino Linotype" w:hAnsi="Palatino Linotype" w:cs="Palatino Linotype"/>
          <w:b/>
          <w:bCs/>
          <w:color w:val="000000"/>
        </w:rPr>
        <w:t xml:space="preserve">debiendo haber existencia previa de la documentación y la falta posterior de la misma, </w:t>
      </w:r>
      <w:r>
        <w:rPr>
          <w:rFonts w:ascii="Palatino Linotype" w:eastAsia="Palatino Linotype" w:hAnsi="Palatino Linotype" w:cs="Palatino Linotype"/>
          <w:color w:val="222222"/>
        </w:rPr>
        <w:t xml:space="preserve">el Sujeto Obligado deberá elaborar y poner a disposición del particular un </w:t>
      </w:r>
      <w:r>
        <w:rPr>
          <w:rFonts w:ascii="Palatino Linotype" w:eastAsia="Palatino Linotype" w:hAnsi="Palatino Linotype" w:cs="Palatino Linotype"/>
          <w:b/>
          <w:bCs/>
          <w:color w:val="222222"/>
        </w:rPr>
        <w:t>acuerdo mediante el cual se declare la inexistencia de la información</w:t>
      </w:r>
      <w:r>
        <w:rPr>
          <w:rFonts w:ascii="Palatino Linotype" w:eastAsia="Palatino Linotype" w:hAnsi="Palatino Linotype" w:cs="Palatino Linotype"/>
          <w:color w:val="222222"/>
        </w:rPr>
        <w:t>. Por lo que es necesario traer a contexto lo que dispone la</w:t>
      </w:r>
      <w:r>
        <w:rPr>
          <w:rFonts w:ascii="Palatino Linotype" w:eastAsia="Palatino Linotype" w:hAnsi="Palatino Linotype" w:cs="Palatino Linotype"/>
          <w:b/>
          <w:bCs/>
          <w:color w:val="222222"/>
        </w:rPr>
        <w:t xml:space="preserve"> </w:t>
      </w:r>
      <w:r>
        <w:rPr>
          <w:rFonts w:ascii="Palatino Linotype" w:eastAsia="Palatino Linotype" w:hAnsi="Palatino Linotype" w:cs="Palatino Linotype"/>
          <w:color w:val="222222"/>
        </w:rPr>
        <w:t>Ley de Transparencia y Acceso a la Información Pública del Estado de México y Municipios en su 169, fracción III, señala:</w:t>
      </w:r>
    </w:p>
    <w:p w:rsidR="00B34385" w:rsidRDefault="00DE3B61">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222222"/>
        </w:rPr>
        <w:t> “</w:t>
      </w:r>
      <w:r>
        <w:rPr>
          <w:rFonts w:ascii="Palatino Linotype" w:eastAsia="Palatino Linotype" w:hAnsi="Palatino Linotype" w:cs="Palatino Linotype"/>
          <w:b/>
          <w:bCs/>
          <w:i/>
          <w:iCs/>
          <w:color w:val="000000"/>
        </w:rPr>
        <w:t xml:space="preserve">Artículo 169. </w:t>
      </w:r>
      <w:r>
        <w:rPr>
          <w:rFonts w:ascii="Palatino Linotype" w:eastAsia="Palatino Linotype" w:hAnsi="Palatino Linotype" w:cs="Palatino Linotype"/>
          <w:i/>
          <w:iCs/>
          <w:color w:val="000000"/>
        </w:rPr>
        <w:t>Cuando la información no se encuentre en los archivos del sujeto obligado, el Comité de Transparencia:</w:t>
      </w:r>
    </w:p>
    <w:p w:rsidR="00B34385" w:rsidRDefault="00B34385">
      <w:pPr>
        <w:pBdr>
          <w:top w:val="nil"/>
          <w:left w:val="nil"/>
          <w:bottom w:val="nil"/>
          <w:right w:val="nil"/>
          <w:between w:val="nil"/>
        </w:pBdr>
        <w:tabs>
          <w:tab w:val="left" w:pos="426"/>
        </w:tabs>
        <w:ind w:left="567" w:right="-714"/>
        <w:jc w:val="both"/>
        <w:rPr>
          <w:rFonts w:ascii="Palatino Linotype" w:eastAsia="Palatino Linotype" w:hAnsi="Palatino Linotype" w:cs="Palatino Linotype"/>
          <w:i/>
          <w:iCs/>
          <w:color w:val="000000"/>
        </w:rPr>
      </w:pPr>
    </w:p>
    <w:p w:rsidR="00B34385" w:rsidRDefault="00DE3B61">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i/>
          <w:iCs/>
        </w:rPr>
        <w:t>Analizará el caso y tomará las medidas necesarias para localizar la información;</w:t>
      </w:r>
    </w:p>
    <w:p w:rsidR="00B34385" w:rsidRDefault="00DE3B61">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II. </w:t>
      </w:r>
      <w:r>
        <w:rPr>
          <w:rFonts w:ascii="Palatino Linotype" w:eastAsia="Palatino Linotype" w:hAnsi="Palatino Linotype" w:cs="Palatino Linotype"/>
          <w:i/>
          <w:iCs/>
        </w:rPr>
        <w:t>Expedirá una resolución que confirme la inexistencia del documento;</w:t>
      </w:r>
    </w:p>
    <w:p w:rsidR="00B34385" w:rsidRDefault="00DE3B61">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III. </w:t>
      </w:r>
      <w:r>
        <w:rPr>
          <w:rFonts w:ascii="Palatino Linotype" w:eastAsia="Palatino Linotype" w:hAnsi="Palatino Linotype" w:cs="Palatino Linotype"/>
          <w:i/>
          <w:iCs/>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rsidR="00B34385" w:rsidRDefault="00DE3B61">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IV. </w:t>
      </w:r>
      <w:r>
        <w:rPr>
          <w:rFonts w:ascii="Palatino Linotype" w:eastAsia="Palatino Linotype" w:hAnsi="Palatino Linotype" w:cs="Palatino Linotype"/>
          <w:i/>
          <w:iCs/>
        </w:rPr>
        <w:t>Notificará al órgano interno de control o equivalente del sujeto obligado quien, en su caso, deberá iniciar el procedimiento de responsabilidad administrativa que corresponda.</w:t>
      </w:r>
    </w:p>
    <w:p w:rsidR="00B34385" w:rsidRDefault="00B34385">
      <w:pPr>
        <w:ind w:left="567" w:right="-716"/>
        <w:jc w:val="both"/>
        <w:rPr>
          <w:rFonts w:ascii="Palatino Linotype" w:eastAsia="Palatino Linotype" w:hAnsi="Palatino Linotype" w:cs="Palatino Linotype"/>
          <w:i/>
          <w:iCs/>
        </w:rPr>
      </w:pPr>
    </w:p>
    <w:p w:rsidR="00B34385" w:rsidRDefault="00DE3B61">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La Unidad de Transparencia deberá notificarlo al solicitante por escrito, en un plazo que no exceda de quince días hábiles contados a partir del día siguiente a la presentación de la solicitud.</w:t>
      </w:r>
    </w:p>
    <w:p w:rsidR="00B34385" w:rsidRDefault="00B34385">
      <w:pPr>
        <w:ind w:left="567" w:right="-716"/>
        <w:jc w:val="both"/>
        <w:rPr>
          <w:rFonts w:ascii="Palatino Linotype" w:eastAsia="Palatino Linotype" w:hAnsi="Palatino Linotype" w:cs="Palatino Linotype"/>
          <w:i/>
          <w:iCs/>
        </w:rPr>
      </w:pPr>
    </w:p>
    <w:p w:rsidR="00B34385" w:rsidRDefault="00DE3B61">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Este plazo podrá ampliarse hasta por otros siete días hábiles, siempre que existan razones para ello, debiendo notificarse por escrito al solicitante.” (Sic)</w:t>
      </w:r>
    </w:p>
    <w:p w:rsidR="00B34385" w:rsidRDefault="00B34385">
      <w:pPr>
        <w:ind w:left="567" w:right="-714"/>
        <w:jc w:val="both"/>
        <w:rPr>
          <w:rFonts w:ascii="Palatino Linotype" w:eastAsia="Palatino Linotype" w:hAnsi="Palatino Linotype" w:cs="Palatino Linotype"/>
          <w:i/>
          <w:iCs/>
        </w:rPr>
      </w:pPr>
    </w:p>
    <w:p w:rsidR="00B34385" w:rsidRDefault="00B34385">
      <w:pPr>
        <w:ind w:left="567" w:right="-714"/>
        <w:jc w:val="both"/>
        <w:rPr>
          <w:rFonts w:ascii="Palatino Linotype" w:eastAsia="Palatino Linotype" w:hAnsi="Palatino Linotype" w:cs="Palatino Linotype"/>
          <w:i/>
          <w:iCs/>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xml:space="preserve">Del precepto antes transcrito se advierte claramente que cuando la información no se encuentre en los archivos del Sujeto Obligado, el Comité de Transparencia deberá ordenar que </w:t>
      </w:r>
      <w:r>
        <w:rPr>
          <w:rFonts w:ascii="Palatino Linotype" w:eastAsia="Palatino Linotype" w:hAnsi="Palatino Linotype" w:cs="Palatino Linotype"/>
          <w:color w:val="222222"/>
        </w:rPr>
        <w:lastRenderedPageBreak/>
        <w:t>se genere la información en caso de que ésta tuviera que existir en la medida que deriva del ejercicio de sus facultades, competencias o funciones.</w:t>
      </w:r>
    </w:p>
    <w:p w:rsidR="00B34385" w:rsidRDefault="00B34385">
      <w:pPr>
        <w:spacing w:line="360" w:lineRule="auto"/>
        <w:ind w:right="-787"/>
        <w:jc w:val="both"/>
        <w:rPr>
          <w:rFonts w:ascii="Palatino Linotype" w:eastAsia="Palatino Linotype" w:hAnsi="Palatino Linotype" w:cs="Palatino Linotype"/>
          <w:color w:val="222222"/>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222222"/>
        </w:rPr>
      </w:pPr>
      <w:r>
        <w:rPr>
          <w:rFonts w:ascii="Palatino Linotype" w:eastAsia="Palatino Linotype" w:hAnsi="Palatino Linotype" w:cs="Palatino Linotype"/>
        </w:rPr>
        <w:t>Ahora</w:t>
      </w:r>
      <w:r>
        <w:rPr>
          <w:rFonts w:ascii="Palatino Linotype" w:eastAsia="Palatino Linotype" w:hAnsi="Palatino Linotype" w:cs="Palatino Linotype"/>
          <w:color w:val="222222"/>
        </w:rPr>
        <w:t xml:space="preserve"> bien, es importante señalar que en el caso de que no se pueda generar la información, </w:t>
      </w:r>
      <w:r>
        <w:rPr>
          <w:rFonts w:ascii="Palatino Linotype" w:eastAsia="Palatino Linotype" w:hAnsi="Palatino Linotype" w:cs="Palatino Linotype"/>
          <w:b/>
          <w:bCs/>
          <w:color w:val="222222"/>
        </w:rPr>
        <w:t>SE ORDENA AL SUJETO OBLIGADO hacer entrega de un Acuerdo de su Comité de Transparencia en donde conste la declaratoria de inexistencia de la información</w:t>
      </w:r>
      <w:r>
        <w:rPr>
          <w:rFonts w:ascii="Palatino Linotype" w:eastAsia="Palatino Linotype" w:hAnsi="Palatino Linotype" w:cs="Palatino Linotype"/>
          <w:color w:val="222222"/>
        </w:rPr>
        <w:t>.</w:t>
      </w:r>
    </w:p>
    <w:p w:rsidR="00B34385" w:rsidRDefault="00B34385">
      <w:pPr>
        <w:spacing w:line="360" w:lineRule="auto"/>
        <w:ind w:right="-787"/>
        <w:jc w:val="both"/>
        <w:rPr>
          <w:rFonts w:ascii="Palatino Linotype" w:eastAsia="Palatino Linotype" w:hAnsi="Palatino Linotype" w:cs="Palatino Linotype"/>
          <w:color w:val="222222"/>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 xml:space="preserve">Previo a las </w:t>
      </w:r>
      <w:r>
        <w:rPr>
          <w:rFonts w:ascii="Palatino Linotype" w:eastAsia="Palatino Linotype" w:hAnsi="Palatino Linotype" w:cs="Palatino Linotype"/>
          <w:b/>
          <w:bCs/>
          <w:color w:val="222222"/>
        </w:rPr>
        <w:t>formalidades</w:t>
      </w:r>
      <w:r>
        <w:rPr>
          <w:rFonts w:ascii="Palatino Linotype" w:eastAsia="Palatino Linotype" w:hAnsi="Palatino Linotype" w:cs="Palatino Linotype"/>
          <w:color w:val="222222"/>
        </w:rPr>
        <w:t xml:space="preserve"> que han de observarse en dicho acuerdo y para mayor </w:t>
      </w:r>
      <w:r>
        <w:rPr>
          <w:rFonts w:ascii="Palatino Linotype" w:eastAsia="Palatino Linotype" w:hAnsi="Palatino Linotype" w:cs="Palatino Linotype"/>
        </w:rPr>
        <w:t>entendimiento</w:t>
      </w:r>
      <w:r>
        <w:rPr>
          <w:rFonts w:ascii="Palatino Linotype" w:eastAsia="Palatino Linotype" w:hAnsi="Palatino Linotype" w:cs="Palatino Linotype"/>
          <w:color w:val="222222"/>
        </w:rPr>
        <w:t xml:space="preserve"> sobre el concepto de inexistencia en materia de acceso a la información pública, es necesario señalar que el </w:t>
      </w:r>
      <w:r>
        <w:rPr>
          <w:rFonts w:ascii="Palatino Linotype" w:eastAsia="Palatino Linotype" w:hAnsi="Palatino Linotype" w:cs="Palatino Linotype"/>
          <w:color w:val="222222"/>
          <w:highlight w:val="white"/>
        </w:rPr>
        <w:t>Instituto Nacional de Transparencia, Acceso a la Información y Protección de Datos Personales </w:t>
      </w:r>
      <w:r>
        <w:rPr>
          <w:rFonts w:ascii="Palatino Linotype" w:eastAsia="Palatino Linotype" w:hAnsi="Palatino Linotype" w:cs="Palatino Linotype"/>
          <w:color w:val="222222"/>
        </w:rPr>
        <w:t>emitió el criterio orientador número 14-17, que es de la literalidad siguiente:</w:t>
      </w:r>
    </w:p>
    <w:p w:rsidR="00B34385" w:rsidRDefault="00DE3B61">
      <w:pPr>
        <w:shd w:val="clear" w:color="auto" w:fill="FFFFFF"/>
        <w:ind w:left="567" w:right="-714"/>
        <w:jc w:val="center"/>
        <w:rPr>
          <w:rFonts w:ascii="Palatino Linotype" w:eastAsia="Palatino Linotype" w:hAnsi="Palatino Linotype" w:cs="Palatino Linotype"/>
          <w:b/>
          <w:bCs/>
          <w:i/>
          <w:iCs/>
          <w:color w:val="222222"/>
        </w:rPr>
      </w:pPr>
      <w:r>
        <w:rPr>
          <w:rFonts w:ascii="Palatino Linotype" w:eastAsia="Palatino Linotype" w:hAnsi="Palatino Linotype" w:cs="Palatino Linotype"/>
          <w:b/>
          <w:bCs/>
          <w:i/>
          <w:iCs/>
          <w:color w:val="222222"/>
        </w:rPr>
        <w:t>“Criterio 14/17</w:t>
      </w:r>
    </w:p>
    <w:p w:rsidR="00B34385" w:rsidRDefault="00B34385">
      <w:pPr>
        <w:shd w:val="clear" w:color="auto" w:fill="FFFFFF"/>
        <w:ind w:left="567" w:right="-714"/>
        <w:jc w:val="center"/>
        <w:rPr>
          <w:rFonts w:ascii="Palatino Linotype" w:eastAsia="Palatino Linotype" w:hAnsi="Palatino Linotype" w:cs="Palatino Linotype"/>
          <w:color w:val="222222"/>
        </w:rPr>
      </w:pPr>
    </w:p>
    <w:p w:rsidR="00B34385" w:rsidRDefault="00DE3B61">
      <w:pPr>
        <w:shd w:val="clear" w:color="auto" w:fill="FFFFFF"/>
        <w:ind w:left="567" w:right="-714"/>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222222"/>
        </w:rPr>
        <w:t>Inexistencia</w:t>
      </w:r>
      <w:r>
        <w:rPr>
          <w:rFonts w:ascii="Palatino Linotype" w:eastAsia="Palatino Linotype" w:hAnsi="Palatino Linotype" w:cs="Palatino Linotype"/>
          <w:i/>
          <w:iCs/>
          <w:color w:val="222222"/>
        </w:rPr>
        <w:t>. La inexistencia es una cuestión de hecho que se atribuye a la información solicitada e implica que ésta </w:t>
      </w:r>
      <w:r>
        <w:rPr>
          <w:rFonts w:ascii="Palatino Linotype" w:eastAsia="Palatino Linotype" w:hAnsi="Palatino Linotype" w:cs="Palatino Linotype"/>
          <w:b/>
          <w:bCs/>
          <w:i/>
          <w:iCs/>
          <w:color w:val="222222"/>
        </w:rPr>
        <w:t>no se encuentra en los archivos del sujeto obligado, no obstante que cuenta con facultades para poseerla</w:t>
      </w:r>
      <w:r>
        <w:rPr>
          <w:rFonts w:ascii="Palatino Linotype" w:eastAsia="Palatino Linotype" w:hAnsi="Palatino Linotype" w:cs="Palatino Linotype"/>
          <w:i/>
          <w:iCs/>
          <w:color w:val="222222"/>
        </w:rPr>
        <w:t>.</w:t>
      </w:r>
    </w:p>
    <w:p w:rsidR="00B34385" w:rsidRDefault="00DE3B61">
      <w:pPr>
        <w:shd w:val="clear" w:color="auto" w:fill="FFFFFF"/>
        <w:ind w:left="567" w:right="-714"/>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 </w:t>
      </w:r>
    </w:p>
    <w:p w:rsidR="00B34385" w:rsidRDefault="00DE3B61">
      <w:pPr>
        <w:shd w:val="clear" w:color="auto" w:fill="FFFFFF"/>
        <w:ind w:left="567" w:right="-714"/>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222222"/>
        </w:rPr>
        <w:t>Resoluciones: </w:t>
      </w:r>
      <w:r>
        <w:rPr>
          <w:rFonts w:ascii="Palatino Linotype" w:eastAsia="Palatino Linotype" w:hAnsi="Palatino Linotype" w:cs="Palatino Linotype"/>
          <w:color w:val="222222"/>
        </w:rPr>
        <w:t>·</w:t>
      </w:r>
      <w:r>
        <w:rPr>
          <w:rFonts w:ascii="Palatino Linotype" w:eastAsia="Palatino Linotype" w:hAnsi="Palatino Linotype" w:cs="Palatino Linotype"/>
          <w:i/>
          <w:iCs/>
          <w:color w:val="222222"/>
        </w:rPr>
        <w:t> RRA 4669/16. Instituto Nacional Electoral. 18 de enero de 2017. Por unanimidad. Comisionado Ponente Joel Salas Suárez. </w:t>
      </w:r>
      <w:r>
        <w:rPr>
          <w:rFonts w:ascii="Palatino Linotype" w:eastAsia="Palatino Linotype" w:hAnsi="Palatino Linotype" w:cs="Palatino Linotype"/>
          <w:color w:val="222222"/>
        </w:rPr>
        <w:t>·</w:t>
      </w:r>
      <w:r>
        <w:rPr>
          <w:rFonts w:ascii="Palatino Linotype" w:eastAsia="Palatino Linotype" w:hAnsi="Palatino Linotype" w:cs="Palatino Linotype"/>
          <w:i/>
          <w:iCs/>
          <w:color w:val="222222"/>
        </w:rPr>
        <w:t> RRA 0183/17. Nueva Alianza. 01 de febrero de 2017. Por unanimidad. Comisionado Ponente Francisco Javier Acuña Llamas. </w:t>
      </w:r>
      <w:r>
        <w:rPr>
          <w:rFonts w:ascii="Palatino Linotype" w:eastAsia="Palatino Linotype" w:hAnsi="Palatino Linotype" w:cs="Palatino Linotype"/>
          <w:color w:val="222222"/>
        </w:rPr>
        <w:t>·</w:t>
      </w:r>
      <w:r>
        <w:rPr>
          <w:rFonts w:ascii="Palatino Linotype" w:eastAsia="Palatino Linotype" w:hAnsi="Palatino Linotype" w:cs="Palatino Linotype"/>
          <w:i/>
          <w:iCs/>
          <w:color w:val="222222"/>
        </w:rPr>
        <w:t> RRA 4484/16. Instituto Nacional de Migración. 16 de febrero de 2017. Por mayoría de seis votos a favor y uno en contra de la Comisionada Areli Cano Guadiana. Comisionada Ponente María Patricia Kurczyn Villalobos.”</w:t>
      </w:r>
    </w:p>
    <w:p w:rsidR="00B34385" w:rsidRDefault="00DE3B61">
      <w:pPr>
        <w:shd w:val="clear" w:color="auto" w:fill="FFFFFF"/>
        <w:spacing w:line="360" w:lineRule="auto"/>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222222"/>
        </w:rPr>
        <w:t>Además</w:t>
      </w:r>
      <w:r>
        <w:rPr>
          <w:rFonts w:ascii="Palatino Linotype" w:eastAsia="Palatino Linotype" w:hAnsi="Palatino Linotype" w:cs="Palatino Linotype"/>
          <w:color w:val="000000"/>
        </w:rPr>
        <w:t xml:space="preserve"> como consecuencia de las disposiciones legales contenidas en la Ley General de </w:t>
      </w:r>
      <w:r>
        <w:rPr>
          <w:rFonts w:ascii="Palatino Linotype" w:eastAsia="Palatino Linotype" w:hAnsi="Palatino Linotype" w:cs="Palatino Linotype"/>
        </w:rPr>
        <w:t>Transparencia</w:t>
      </w:r>
      <w:r>
        <w:rPr>
          <w:rFonts w:ascii="Palatino Linotype" w:eastAsia="Palatino Linotype" w:hAnsi="Palatino Linotype" w:cs="Palatino Linotype"/>
          <w:color w:val="000000"/>
        </w:rPr>
        <w:t xml:space="preserve"> y Acceso a la Información Pública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(vigente a la fecha de la solicitud de información), es que existe el mandato </w:t>
      </w:r>
      <w:r>
        <w:rPr>
          <w:rFonts w:ascii="Palatino Linotype" w:eastAsia="Palatino Linotype" w:hAnsi="Palatino Linotype" w:cs="Palatino Linotype"/>
          <w:color w:val="222222"/>
        </w:rPr>
        <w:t>expreso</w:t>
      </w:r>
      <w:r>
        <w:rPr>
          <w:rFonts w:ascii="Palatino Linotype" w:eastAsia="Palatino Linotype" w:hAnsi="Palatino Linotype" w:cs="Palatino Linotype"/>
          <w:color w:val="000000"/>
        </w:rPr>
        <w:t xml:space="preserve"> de que en caso de no existir la documentación </w:t>
      </w:r>
      <w:r>
        <w:rPr>
          <w:rFonts w:ascii="Palatino Linotype" w:eastAsia="Palatino Linotype" w:hAnsi="Palatino Linotype" w:cs="Palatino Linotype"/>
          <w:color w:val="000000"/>
        </w:rPr>
        <w:lastRenderedPageBreak/>
        <w:t>que debió, por mandato de ley, generarse, administrarse o poseerse, es obligación de la autoridad emitir una declaratoria formal que debe reunir los requisitos señalados en la propia norma jurídica, según puede apreciarse a continuación:</w:t>
      </w:r>
    </w:p>
    <w:p w:rsidR="00B34385" w:rsidRDefault="00DE3B61">
      <w:pPr>
        <w:shd w:val="clear" w:color="auto" w:fill="FFFFFF"/>
        <w:ind w:left="567" w:right="-716"/>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000000"/>
        </w:rPr>
        <w:t>“Artículo 19.</w:t>
      </w:r>
      <w:r>
        <w:rPr>
          <w:rFonts w:ascii="Palatino Linotype" w:eastAsia="Palatino Linotype" w:hAnsi="Palatino Linotype" w:cs="Palatino Linotype"/>
          <w:i/>
          <w:iCs/>
          <w:color w:val="000000"/>
        </w:rPr>
        <w:t> Se presume que la información debe existir si se refiere a las facultades, competencias y funciones que los ordenamientos jurídicos aplicables otorgan a los sujetos obligados.</w:t>
      </w:r>
    </w:p>
    <w:p w:rsidR="00B34385" w:rsidRDefault="00DE3B61">
      <w:pPr>
        <w:shd w:val="clear" w:color="auto" w:fill="FFFFFF"/>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los casos en que ciertas facultades, competencias o funciones no se hayan ejercido, se debe motivar la respuesta en función de las causas que motiven la inexistencia.</w:t>
      </w:r>
    </w:p>
    <w:p w:rsidR="00B34385" w:rsidRDefault="00DE3B61">
      <w:pPr>
        <w:shd w:val="clear" w:color="auto" w:fill="FFFFFF"/>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B34385" w:rsidRDefault="00B34385">
      <w:pPr>
        <w:shd w:val="clear" w:color="auto" w:fill="FFFFFF"/>
        <w:ind w:right="-716"/>
        <w:jc w:val="both"/>
        <w:rPr>
          <w:rFonts w:ascii="Palatino Linotype" w:eastAsia="Palatino Linotype" w:hAnsi="Palatino Linotype" w:cs="Palatino Linotype"/>
          <w:color w:val="222222"/>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Y por cuanto hace a la normatividad local debe aplicarse lo establecido en los “</w:t>
      </w:r>
      <w:r>
        <w:rPr>
          <w:rFonts w:ascii="Palatino Linotype" w:eastAsia="Palatino Linotype" w:hAnsi="Palatino Linotype" w:cs="Palatino Linotype"/>
        </w:rPr>
        <w:t>Lineamientos</w:t>
      </w:r>
      <w:r>
        <w:rPr>
          <w:rFonts w:ascii="Palatino Linotype" w:eastAsia="Palatino Linotype" w:hAnsi="Palatino Linotype" w:cs="Palatino Linotype"/>
          <w:color w:val="000000"/>
        </w:rPr>
        <w:t xml:space="preserve"> para la recepción, trámite y resolución de las solicitudes de acceso a la información pública, acceso, modificación, sustitución, rectificación o supresión parcial o total de datos personales, así como de los recursos de revisión que deberán observar los sujetos obligados por la Ley de Transparencia y Acceso a la Información Pública del Estado de México y Municipios”, en su numeral 44 y 45, y el criterio 0004-11 aprobado por el Pleno de este Órgano Garante, en la sesión ordinaria de fecha 25 de agosto del año 2011, que demuestran claramente el concepto de inexistencia, y en qué circunstancias debe emitirse la declaratoria respectiva:</w:t>
      </w:r>
    </w:p>
    <w:p w:rsidR="00B34385" w:rsidRDefault="00DE3B61">
      <w:pPr>
        <w:shd w:val="clear" w:color="auto" w:fill="FFFFFF"/>
        <w:ind w:left="567" w:right="-716"/>
        <w:jc w:val="center"/>
        <w:rPr>
          <w:rFonts w:ascii="Palatino Linotype" w:eastAsia="Palatino Linotype" w:hAnsi="Palatino Linotype" w:cs="Palatino Linotype"/>
          <w:color w:val="222222"/>
        </w:rPr>
      </w:pPr>
      <w:r>
        <w:rPr>
          <w:rFonts w:ascii="Palatino Linotype" w:eastAsia="Palatino Linotype" w:hAnsi="Palatino Linotype" w:cs="Palatino Linotype"/>
          <w:b/>
          <w:bCs/>
          <w:i/>
          <w:iCs/>
          <w:color w:val="000000"/>
        </w:rPr>
        <w:t>“CRITERIO 0004-11</w:t>
      </w:r>
    </w:p>
    <w:p w:rsidR="00B34385" w:rsidRDefault="00DE3B61">
      <w:pPr>
        <w:shd w:val="clear" w:color="auto" w:fill="FFFFFF"/>
        <w:ind w:left="567" w:right="-716"/>
        <w:jc w:val="both"/>
        <w:rPr>
          <w:rFonts w:ascii="Palatino Linotype" w:eastAsia="Palatino Linotype" w:hAnsi="Palatino Linotype" w:cs="Palatino Linotype"/>
          <w:color w:val="222222"/>
        </w:rPr>
      </w:pPr>
      <w:r>
        <w:rPr>
          <w:rFonts w:ascii="Palatino Linotype" w:eastAsia="Palatino Linotype" w:hAnsi="Palatino Linotype" w:cs="Palatino Linotype"/>
          <w:b/>
          <w:bCs/>
          <w:i/>
          <w:iCs/>
          <w:color w:val="000000"/>
        </w:rPr>
        <w:t>INEXISTENCIA. DECLARATORIA DE LA. ALCANCES Y PROCEDIMIENTOS</w:t>
      </w:r>
      <w:r>
        <w:rPr>
          <w:rFonts w:ascii="Palatino Linotype" w:eastAsia="Palatino Linotype" w:hAnsi="Palatino Linotype" w:cs="Palatino Linotype"/>
          <w:i/>
          <w:iCs/>
          <w:color w:val="000000"/>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w:t>
      </w:r>
      <w:r>
        <w:rPr>
          <w:rFonts w:ascii="Palatino Linotype" w:eastAsia="Palatino Linotype" w:hAnsi="Palatino Linotype" w:cs="Palatino Linotype"/>
          <w:i/>
          <w:iCs/>
          <w:color w:val="000000"/>
        </w:rPr>
        <w:lastRenderedPageBreak/>
        <w:t>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rsidR="00B34385" w:rsidRDefault="00DE3B61">
      <w:pPr>
        <w:shd w:val="clear" w:color="auto" w:fill="FFFFFF"/>
        <w:ind w:left="567" w:right="-716"/>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000000"/>
        </w:rPr>
        <w:t>Bajo el entendido de que dicha búsqueda exhaustiva permitirá dos determinaciones:</w:t>
      </w:r>
    </w:p>
    <w:p w:rsidR="00B34385" w:rsidRDefault="00DE3B61">
      <w:pPr>
        <w:shd w:val="clear" w:color="auto" w:fill="FFFFFF"/>
        <w:ind w:left="567" w:right="-716"/>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000000"/>
        </w:rPr>
        <w:t>1ª) Que se localice la documentación que contenga la información solicitada y de ser así la información pueda entregarse al solicitante en la forma en que se encuentra disponible, o</w:t>
      </w:r>
    </w:p>
    <w:p w:rsidR="00B34385" w:rsidRDefault="00DE3B61">
      <w:pPr>
        <w:shd w:val="clear" w:color="auto" w:fill="FFFFFF"/>
        <w:ind w:left="567" w:right="-716"/>
        <w:jc w:val="both"/>
        <w:rPr>
          <w:rFonts w:ascii="Palatino Linotype" w:eastAsia="Palatino Linotype" w:hAnsi="Palatino Linotype" w:cs="Palatino Linotype"/>
          <w:color w:val="222222"/>
        </w:rPr>
      </w:pPr>
      <w:r>
        <w:rPr>
          <w:rFonts w:ascii="Palatino Linotype" w:eastAsia="Palatino Linotype" w:hAnsi="Palatino Linotype" w:cs="Palatino Linotype"/>
          <w:i/>
          <w:iCs/>
          <w:color w:val="000000"/>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rsidR="00B34385" w:rsidRDefault="00DE3B61">
      <w:pPr>
        <w:shd w:val="clear" w:color="auto" w:fill="FFFFFF"/>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 (Sic)</w:t>
      </w:r>
    </w:p>
    <w:p w:rsidR="00B34385" w:rsidRDefault="00B34385">
      <w:pPr>
        <w:shd w:val="clear" w:color="auto" w:fill="FFFFFF"/>
        <w:ind w:right="-716"/>
        <w:jc w:val="both"/>
        <w:rPr>
          <w:rFonts w:ascii="Palatino Linotype" w:eastAsia="Palatino Linotype" w:hAnsi="Palatino Linotype" w:cs="Palatino Linotype"/>
          <w:color w:val="222222"/>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b/>
          <w:bCs/>
          <w:color w:val="222222"/>
        </w:rPr>
      </w:pPr>
      <w:r>
        <w:rPr>
          <w:rFonts w:ascii="Palatino Linotype" w:eastAsia="Palatino Linotype" w:hAnsi="Palatino Linotype" w:cs="Palatino Linotype"/>
          <w:color w:val="000000"/>
        </w:rPr>
        <w:t xml:space="preserve">Bajo éste tenor se debe destacar que para que se declare la inexistencia de la información, </w:t>
      </w:r>
      <w:r>
        <w:rPr>
          <w:rFonts w:ascii="Palatino Linotype" w:eastAsia="Palatino Linotype" w:hAnsi="Palatino Linotype" w:cs="Palatino Linotype"/>
          <w:b/>
          <w:bCs/>
          <w:color w:val="000000"/>
        </w:rPr>
        <w:t>debió haber existencia previa de la documentación y la falta posterior de la misma</w:t>
      </w:r>
      <w:r>
        <w:rPr>
          <w:rFonts w:ascii="Palatino Linotype" w:eastAsia="Palatino Linotype" w:hAnsi="Palatino Linotype" w:cs="Palatino Linotype"/>
          <w:color w:val="000000"/>
        </w:rPr>
        <w:t xml:space="preserve"> en los archivos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esto es que la información se generó, poseyó o administró en el marco de las atribuciones conferidas a al Sujeto Obligado, pero no la conserva por diversas razones (destrucción física, desaparición física, sustracción ilícita, baja documental, etcétera).</w:t>
      </w:r>
    </w:p>
    <w:p w:rsidR="00B34385" w:rsidRDefault="00B34385">
      <w:pPr>
        <w:spacing w:line="360" w:lineRule="auto"/>
        <w:ind w:right="-787"/>
        <w:jc w:val="both"/>
        <w:rPr>
          <w:rFonts w:ascii="Palatino Linotype" w:eastAsia="Palatino Linotype" w:hAnsi="Palatino Linotype" w:cs="Palatino Linotype"/>
          <w:color w:val="222222"/>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En consecuencia, </w:t>
      </w:r>
      <w:r>
        <w:rPr>
          <w:rFonts w:ascii="Palatino Linotype" w:eastAsia="Palatino Linotype" w:hAnsi="Palatino Linotype" w:cs="Palatino Linotype"/>
          <w:b/>
          <w:bCs/>
          <w:color w:val="000000"/>
        </w:rPr>
        <w:t>el SUJETO OBLIGADO </w:t>
      </w:r>
      <w:r>
        <w:rPr>
          <w:rFonts w:ascii="Palatino Linotype" w:eastAsia="Palatino Linotype" w:hAnsi="Palatino Linotype" w:cs="Palatino Linotype"/>
          <w:color w:val="000000"/>
        </w:rPr>
        <w:t>en todo tiempo debe cumplir con las formalidades exigidas por el marco jurídico implicando fundar y motivar su respuesta, por lo que deberá emitir en su caso, un Acuerdo del Comité de Transparencia que se hará del conocimiento del particular, pero, en los siguientes términos:</w:t>
      </w:r>
    </w:p>
    <w:p w:rsidR="00B34385" w:rsidRDefault="00DE3B61">
      <w:pPr>
        <w:numPr>
          <w:ilvl w:val="0"/>
          <w:numId w:val="12"/>
        </w:numPr>
        <w:pBdr>
          <w:top w:val="nil"/>
          <w:left w:val="nil"/>
          <w:bottom w:val="nil"/>
          <w:right w:val="nil"/>
          <w:between w:val="nil"/>
        </w:pBdr>
        <w:shd w:val="clear" w:color="auto" w:fill="FFFFFF"/>
        <w:ind w:left="567" w:right="-716"/>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lastRenderedPageBreak/>
        <w:t>Deberá emitir el acuerdo de inexistencia respectivo, en el entendido, que el acto de autoridad debe estar </w:t>
      </w:r>
      <w:r>
        <w:rPr>
          <w:rFonts w:ascii="Palatino Linotype" w:eastAsia="Palatino Linotype" w:hAnsi="Palatino Linotype" w:cs="Palatino Linotype"/>
          <w:b/>
          <w:bCs/>
          <w:color w:val="000000"/>
        </w:rPr>
        <w:t>debidamente fundado y motivado.</w:t>
      </w:r>
    </w:p>
    <w:p w:rsidR="00B34385" w:rsidRDefault="00B34385">
      <w:pPr>
        <w:shd w:val="clear" w:color="auto" w:fill="FFFFFF"/>
        <w:ind w:left="567" w:right="-716" w:firstLine="60"/>
        <w:jc w:val="both"/>
        <w:rPr>
          <w:rFonts w:ascii="Palatino Linotype" w:eastAsia="Palatino Linotype" w:hAnsi="Palatino Linotype" w:cs="Palatino Linotype"/>
          <w:color w:val="222222"/>
        </w:rPr>
      </w:pPr>
    </w:p>
    <w:p w:rsidR="00B34385" w:rsidRDefault="00DE3B61">
      <w:pPr>
        <w:numPr>
          <w:ilvl w:val="0"/>
          <w:numId w:val="12"/>
        </w:numPr>
        <w:pBdr>
          <w:top w:val="nil"/>
          <w:left w:val="nil"/>
          <w:bottom w:val="nil"/>
          <w:right w:val="nil"/>
          <w:between w:val="nil"/>
        </w:pBdr>
        <w:shd w:val="clear" w:color="auto" w:fill="FFFFFF"/>
        <w:ind w:left="567" w:right="-716"/>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Señalando el lugar y fecha de la resolución, el nombre del solicitante, la información solicitada, </w:t>
      </w:r>
      <w:r>
        <w:rPr>
          <w:rFonts w:ascii="Palatino Linotype" w:eastAsia="Palatino Linotype" w:hAnsi="Palatino Linotype" w:cs="Palatino Linotype"/>
          <w:b/>
          <w:bCs/>
          <w:color w:val="000000"/>
        </w:rPr>
        <w:t>el fundamento y motivo por el cual se determina que la información solicitada no obra en sus archivos</w:t>
      </w:r>
      <w:r>
        <w:rPr>
          <w:rFonts w:ascii="Palatino Linotype" w:eastAsia="Palatino Linotype" w:hAnsi="Palatino Linotype" w:cs="Palatino Linotype"/>
          <w:color w:val="000000"/>
        </w:rPr>
        <w:t>, los nombres y firmas autógrafas de los integrantes del Comité de Información.</w:t>
      </w:r>
    </w:p>
    <w:p w:rsidR="00B34385" w:rsidRDefault="00B34385">
      <w:pPr>
        <w:pBdr>
          <w:top w:val="nil"/>
          <w:left w:val="nil"/>
          <w:bottom w:val="nil"/>
          <w:right w:val="nil"/>
          <w:between w:val="nil"/>
        </w:pBdr>
        <w:shd w:val="clear" w:color="auto" w:fill="FFFFFF"/>
        <w:ind w:left="1287" w:right="-716"/>
        <w:jc w:val="both"/>
        <w:rPr>
          <w:rFonts w:ascii="Palatino Linotype" w:eastAsia="Palatino Linotype" w:hAnsi="Palatino Linotype" w:cs="Palatino Linotype"/>
          <w:color w:val="222222"/>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Lo anterior es así, toda vez que </w:t>
      </w:r>
      <w:r>
        <w:rPr>
          <w:rFonts w:ascii="Palatino Linotype" w:eastAsia="Palatino Linotype" w:hAnsi="Palatino Linotype" w:cs="Palatino Linotype"/>
          <w:b/>
          <w:bCs/>
          <w:color w:val="000000"/>
        </w:rPr>
        <w:t>es necesaria</w:t>
      </w:r>
      <w:r>
        <w:rPr>
          <w:rFonts w:ascii="Palatino Linotype" w:eastAsia="Palatino Linotype" w:hAnsi="Palatino Linotype" w:cs="Palatino Linotype"/>
          <w:color w:val="000000"/>
        </w:rPr>
        <w:t> la emisión del acuerdo de inexistencia en aquellos casos en que el </w:t>
      </w:r>
      <w:r>
        <w:rPr>
          <w:rFonts w:ascii="Palatino Linotype" w:eastAsia="Palatino Linotype" w:hAnsi="Palatino Linotype" w:cs="Palatino Linotype"/>
          <w:b/>
          <w:bCs/>
          <w:color w:val="000000"/>
        </w:rPr>
        <w:t>SUJETO OBLIGADO generó, administró o poseyó </w:t>
      </w:r>
      <w:r>
        <w:rPr>
          <w:rFonts w:ascii="Palatino Linotype" w:eastAsia="Palatino Linotype" w:hAnsi="Palatino Linotype" w:cs="Palatino Linotype"/>
          <w:color w:val="000000"/>
        </w:rPr>
        <w:t>la información solicitada empero previa búsqueda exhaustiva y minuciosa de la misma, no localiza la información requerida.</w:t>
      </w:r>
    </w:p>
    <w:p w:rsidR="00B34385" w:rsidRDefault="00B34385">
      <w:pPr>
        <w:spacing w:line="360" w:lineRule="auto"/>
        <w:ind w:right="-787"/>
        <w:jc w:val="both"/>
        <w:rPr>
          <w:rFonts w:ascii="Palatino Linotype" w:eastAsia="Palatino Linotype" w:hAnsi="Palatino Linotype" w:cs="Palatino Linotype"/>
          <w:color w:val="222222"/>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En ese caso su Comité de Transparencia tiene el deber de emitir un acuerdo de inexistencia, el cual -se insiste-, se dicta en aquellos supuestos en los que si bien la información solicitada la genera, posee o administra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en el marco de las funciones de derecho público; sin embargo, éste no lo posee por la razones que se deben expresar </w:t>
      </w:r>
      <w:r>
        <w:rPr>
          <w:rFonts w:ascii="Palatino Linotype" w:eastAsia="Palatino Linotype" w:hAnsi="Palatino Linotype" w:cs="Palatino Linotype"/>
          <w:b/>
          <w:bCs/>
          <w:color w:val="000000"/>
        </w:rPr>
        <w:t>a través de un acuerdo debidamente fundado y motivado </w:t>
      </w:r>
      <w:r>
        <w:rPr>
          <w:rFonts w:ascii="Palatino Linotype" w:eastAsia="Palatino Linotype" w:hAnsi="Palatino Linotype" w:cs="Palatino Linotype"/>
          <w:color w:val="000000"/>
        </w:rPr>
        <w:t xml:space="preserve">esto en estricto apego a lo establecido en los artículos 169 y 170 de la Ley Estatal de Transparencia, por lo que, de ser el caso de que no se cuente con la información derivado de la temporalidad, </w:t>
      </w:r>
      <w:r>
        <w:rPr>
          <w:rFonts w:ascii="Palatino Linotype" w:eastAsia="Palatino Linotype" w:hAnsi="Palatino Linotype" w:cs="Palatino Linotype"/>
          <w:b/>
          <w:bCs/>
          <w:color w:val="000000"/>
        </w:rPr>
        <w:t>el Sujeto Obligado deberá elaborar el acuerdo de inexistencia.</w:t>
      </w:r>
    </w:p>
    <w:p w:rsidR="00B34385" w:rsidRDefault="00B34385">
      <w:pPr>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Ahora bien, respecto a las </w:t>
      </w:r>
      <w:r>
        <w:rPr>
          <w:rFonts w:ascii="Palatino Linotype" w:eastAsia="Palatino Linotype" w:hAnsi="Palatino Linotype" w:cs="Palatino Linotype"/>
          <w:u w:val="single"/>
        </w:rPr>
        <w:t>coordenadas geográficas del incidente o evento,</w:t>
      </w:r>
      <w:r>
        <w:rPr>
          <w:rFonts w:ascii="Palatino Linotype" w:eastAsia="Palatino Linotype" w:hAnsi="Palatino Linotype" w:cs="Palatino Linotype"/>
        </w:rPr>
        <w:t xml:space="preserve"> para el caso de que la información de la estadística delictiva y/o incidencia de faltas administrativas contenga esta información, es de precisar que éstas permiten localizar domicilios concretos, que pueden pertenecen a particulares, que de acuerdo a lo señalado en los artículos 2.3 y 2.5 del Código Civil del Estado de México, el domicilio es un atributo de la personalidad y un </w:t>
      </w:r>
      <w:r>
        <w:rPr>
          <w:rFonts w:ascii="Palatino Linotype" w:eastAsia="Palatino Linotype" w:hAnsi="Palatino Linotype" w:cs="Palatino Linotype"/>
        </w:rPr>
        <w:lastRenderedPageBreak/>
        <w:t xml:space="preserve">derecho de las personas; además que tiene como propósito que una persona pueda establecerse temporal o permanentemente en un lugar determinado, para habitar, establecer su centro de trabajo o negocios. </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la misma manera, lo establece el artículo 29 del Código Civil Federal, al precisar que el domicilio de personas físicas, es el lugar donde residen habitualmente, el lugar del centro principal de sus negocios, donde residan o el lugar donde se encuentren. Además, respecto al domicilio particular se presume que corresponde al lugar donde reside habitualmente.</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w:t>
      </w:r>
      <w:r>
        <w:rPr>
          <w:rFonts w:ascii="Palatino Linotype" w:eastAsia="Palatino Linotype" w:hAnsi="Palatino Linotype" w:cs="Palatino Linotype"/>
          <w:b/>
          <w:bCs/>
        </w:rPr>
        <w:t>se actualiza la clasificación</w:t>
      </w:r>
      <w:r>
        <w:rPr>
          <w:rFonts w:ascii="Palatino Linotype" w:eastAsia="Palatino Linotype" w:hAnsi="Palatino Linotype" w:cs="Palatino Linotype"/>
        </w:rPr>
        <w:t>, de conformidad con la fracción I, del artículo 143 de la Ley de Transparencia y Acceso a la Información Pública del Estado de México y Municipios.</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pues, el domicilio y los elementos que puedan identificarlo deben ser considerados como información confidencial, en los términos antes expuestos, por lo que de ser el caso </w:t>
      </w:r>
      <w:r>
        <w:rPr>
          <w:rFonts w:ascii="Palatino Linotype" w:eastAsia="Palatino Linotype" w:hAnsi="Palatino Linotype" w:cs="Palatino Linotype"/>
          <w:b/>
          <w:bCs/>
        </w:rPr>
        <w:t>la información debe ser acompañada del acuerdo</w:t>
      </w:r>
      <w:r>
        <w:rPr>
          <w:rFonts w:ascii="Palatino Linotype" w:eastAsia="Palatino Linotype" w:hAnsi="Palatino Linotype" w:cs="Palatino Linotype"/>
        </w:rPr>
        <w:t xml:space="preserve"> que para tales efectos emita su Comité de Transparencia de conformidad con los artículos 49, fracciones II y VIII, 143, fracción I y 149 de la Ley de Transparencia y Acceso a la Información Pública del Estado de México y Municipios; </w:t>
      </w:r>
      <w:r>
        <w:rPr>
          <w:rFonts w:ascii="Palatino Linotype" w:eastAsia="Palatino Linotype" w:hAnsi="Palatino Linotype" w:cs="Palatino Linotype"/>
          <w:b/>
          <w:bCs/>
        </w:rPr>
        <w:t>en la que se testen las coordenadas geográficas</w:t>
      </w:r>
      <w:r>
        <w:rPr>
          <w:rFonts w:ascii="Palatino Linotype" w:eastAsia="Palatino Linotype" w:hAnsi="Palatino Linotype" w:cs="Palatino Linotype"/>
        </w:rPr>
        <w:t xml:space="preserve"> que permiten identificar domicilios.</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Asimismo, el décimo primero de los Lineamientos para el Llenado, Entrega, Recepción, Registro, Resguardo y Consulta del Informe Policial Homologado, publicado en el DOF el 24 de febrero de 2020, que contempla en su fracción VI, el colocar la ubicación del o los lugares de la intervención o actuación, entonces, no se advierte la obligación de que el informe policial homologado deba contener coordenadas geográficas, sino solamente la ubicación del evento, el cual puede ser solventado con la dirección, por lo que la información se debe proporcionar con el mayor grado de desagregación posible, ya que al nivel que solicita el Particular, confiere al Sujeto Obligado a practicar una investigación, por lo que el derecho de acceso a la información pública se satisface en aquellos casos en que se entregue el soporte documental en el que conste la información solicitada, sin necesidad de elaborar documentos ad hoc;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que a continuación se cita:</w:t>
      </w:r>
    </w:p>
    <w:p w:rsidR="00B34385" w:rsidRDefault="00DE3B61">
      <w:pPr>
        <w:tabs>
          <w:tab w:val="left" w:pos="7371"/>
        </w:tabs>
        <w:spacing w:line="276" w:lineRule="auto"/>
        <w:ind w:left="567" w:right="-29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No existe obligación de elaborar documentos ad hoc para atender las solicitudes de acceso a la información</w:t>
      </w:r>
      <w:r>
        <w:rPr>
          <w:rFonts w:ascii="Palatino Linotype" w:eastAsia="Palatino Linotype" w:hAnsi="Palatino Linotype" w:cs="Palatino Linotype"/>
          <w:i/>
          <w:iCs/>
        </w:rPr>
        <w:t>.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B34385" w:rsidRDefault="00B34385">
      <w:pPr>
        <w:spacing w:line="360" w:lineRule="auto"/>
        <w:ind w:right="-93"/>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De tales circunstancias, se concluye que los sujetos obligados únicamente se encuentran constreñidos a proporcionar los documentos que den cuenta de la información solicitada, como obren en sus archivos, sin tener que elaborarlos a las necesidades del Recurrente.</w:t>
      </w:r>
    </w:p>
    <w:p w:rsidR="00B34385" w:rsidRDefault="00B34385">
      <w:pPr>
        <w:spacing w:line="360" w:lineRule="auto"/>
        <w:ind w:right="-93"/>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Así mismo, no se advierte la obligación de que el informe policial homologado deba contener coordenadas geográficas, sino solamente la ubicación del evento.</w:t>
      </w:r>
    </w:p>
    <w:p w:rsidR="00B34385" w:rsidRDefault="00B34385">
      <w:pPr>
        <w:spacing w:line="360" w:lineRule="auto"/>
        <w:ind w:right="-787"/>
        <w:jc w:val="both"/>
        <w:rPr>
          <w:rFonts w:ascii="Palatino Linotype" w:eastAsia="Palatino Linotype" w:hAnsi="Palatino Linotype" w:cs="Palatino Linotype"/>
          <w:highlight w:val="yellow"/>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Para el caso de que la información ordenada respecto de las coordenadas de la información requerida, no obre en los archivos del SUJETO OBLIGADO, por no haberse generado bastará con que así lo haga del conocimiento de LA PARTE RECURRENTE, para tener por colmado su derecho de acceso a la información, atendiendo a las formalidades que establece el artículo 19, párrafo segundo de la Ley de Transparencia y Acceso a la Información Pública del Estado de México y Municipios.</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Respecto de la estadística en materia de faltas administrativas, debemos tener en cuenta que no se localizó la obligación que constriña a los Sujetos Obligados a generar estadísticas de faltas administrativas, como sí lo es en el caso de incidencia delictiva, por lo que, para el caso de que la información de las faltas administrativas no obre en sus archivos, deberá hacerlo del conocimiento al Particular.</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otro orden de ideas, es de precisar que de la análisis de la información entregada en respuesta se advirtió que el Sujeto Obligado dejó a la vista datos susceptibles de clasificarse, un dato personal es cualquier información que pueda hacer a una persona física o jurídica colectiva identificada e identificable. Asimismo, la doctrina desarrollada a nivel internacional, respecto del tema de datos personales, establece que también las preferencias, gustos, </w:t>
      </w:r>
      <w:r>
        <w:rPr>
          <w:rFonts w:ascii="Palatino Linotype" w:eastAsia="Palatino Linotype" w:hAnsi="Palatino Linotype" w:cs="Palatino Linotype"/>
        </w:rPr>
        <w:lastRenderedPageBreak/>
        <w:t>cualidades, opiniones y creencias, constituyen datos personales. En este sentido, cualquier información que por sí sola o relacionada con otra permita hacer identificable a una persona, es un dato personal, susceptible de ser clasificado, como los siguientes:</w:t>
      </w:r>
    </w:p>
    <w:p w:rsidR="00B34385" w:rsidRDefault="00B34385">
      <w:pPr>
        <w:spacing w:line="360" w:lineRule="auto"/>
        <w:jc w:val="both"/>
        <w:rPr>
          <w:rFonts w:ascii="Palatino Linotype" w:eastAsia="Palatino Linotype" w:hAnsi="Palatino Linotype" w:cs="Palatino Linotype"/>
        </w:rPr>
      </w:pPr>
    </w:p>
    <w:p w:rsidR="00B34385" w:rsidRDefault="00DE3B61">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Nombre de particulares</w:t>
      </w: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per se es un elemento que hace a una persona física identificada o identificable, por lo que, se considera un dato personal. Por lo que el nombre de personas físicas que no tienen nada que ver con el servicio público y que no realizan actos de autoridad o reciben recursos públicos, es un </w:t>
      </w:r>
      <w:r>
        <w:rPr>
          <w:rFonts w:ascii="Palatino Linotype" w:eastAsia="Palatino Linotype" w:hAnsi="Palatino Linotype" w:cs="Palatino Linotype"/>
          <w:b/>
          <w:bCs/>
        </w:rPr>
        <w:t>dato confidencial</w:t>
      </w:r>
      <w:r>
        <w:rPr>
          <w:rFonts w:ascii="Palatino Linotype" w:eastAsia="Palatino Linotype" w:hAnsi="Palatino Linotype" w:cs="Palatino Linotype"/>
        </w:rPr>
        <w:t xml:space="preserve">, en términos del artículo 143, fracción I de la Ley de Transparencia y Acceso a la Información. </w:t>
      </w:r>
    </w:p>
    <w:p w:rsidR="00B34385" w:rsidRDefault="00B34385">
      <w:pPr>
        <w:spacing w:line="360" w:lineRule="auto"/>
        <w:ind w:right="-787"/>
        <w:jc w:val="both"/>
        <w:rPr>
          <w:rFonts w:ascii="Palatino Linotype" w:eastAsia="Palatino Linotype" w:hAnsi="Palatino Linotype" w:cs="Palatino Linotype"/>
          <w:i/>
          <w:iCs/>
          <w:color w:val="000000"/>
        </w:rPr>
      </w:pPr>
    </w:p>
    <w:p w:rsidR="00B34385" w:rsidRDefault="00DE3B61">
      <w:pPr>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t>Números telefónicos y correo electrónico particulares</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Al igual que el correo electrónico, el número asignado a un teléfono particular o celular permite localizar a una persona física identificada o identificable, ya sea a través de un dispositivo móvil o bien, en un lugar como el domicilio; por lo que, la titularidad del mismo, al igual que el correo electrónico, corresponde a la persona física en su calidad de particular. En tales consideraciones, dicho d</w:t>
      </w:r>
      <w:r>
        <w:rPr>
          <w:rFonts w:ascii="Palatino Linotype" w:eastAsia="Palatino Linotype" w:hAnsi="Palatino Linotype" w:cs="Palatino Linotype"/>
          <w:b/>
          <w:bCs/>
        </w:rPr>
        <w:t>ato personal es susceptible de ser clasificado como confidencial</w:t>
      </w:r>
      <w:r>
        <w:rPr>
          <w:rFonts w:ascii="Palatino Linotype" w:eastAsia="Palatino Linotype" w:hAnsi="Palatino Linotype" w:cs="Palatino Linotype"/>
        </w:rPr>
        <w:t>, con fundamento en el artículo 143, fracción I de la Ley de Transparencia y Acceso a la Información Pública.</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Ahora bien, de los datos personales susceptibles de ser clasificados como confidenciales como lo son el nombre y número telefónico particulares, mismos que se dejaron a la vista del solicitante en la respuesta entregada por el Sujeto Obligado, en el archivo de nombre </w:t>
      </w:r>
      <w:r>
        <w:rPr>
          <w:rFonts w:ascii="Palatino Linotype" w:eastAsia="Palatino Linotype" w:hAnsi="Palatino Linotype" w:cs="Palatino Linotype"/>
          <w:b/>
          <w:bCs/>
          <w:i/>
          <w:iCs/>
        </w:rPr>
        <w:t>REGISTRO DE LLAMADAS 2022.xlsx</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lo dable es dar </w:t>
      </w:r>
      <w:r>
        <w:rPr>
          <w:rFonts w:ascii="Palatino Linotype" w:eastAsia="Palatino Linotype" w:hAnsi="Palatino Linotype" w:cs="Palatino Linotype"/>
          <w:b/>
          <w:bCs/>
          <w:color w:val="000000"/>
        </w:rPr>
        <w:t>vista</w:t>
      </w:r>
      <w:r>
        <w:rPr>
          <w:rFonts w:ascii="Palatino Linotype" w:eastAsia="Palatino Linotype" w:hAnsi="Palatino Linotype" w:cs="Palatino Linotype"/>
          <w:color w:val="000000"/>
        </w:rPr>
        <w:t xml:space="preserve"> a </w:t>
      </w:r>
      <w:r>
        <w:rPr>
          <w:rFonts w:ascii="Palatino Linotype" w:eastAsia="Palatino Linotype" w:hAnsi="Palatino Linotype" w:cs="Palatino Linotype"/>
        </w:rPr>
        <w:t xml:space="preserve">la </w:t>
      </w:r>
      <w:r>
        <w:rPr>
          <w:rFonts w:ascii="Palatino Linotype" w:eastAsia="Palatino Linotype" w:hAnsi="Palatino Linotype" w:cs="Palatino Linotype"/>
          <w:b/>
          <w:bCs/>
        </w:rPr>
        <w:t>Dirección General de Protección de Datos Personales</w:t>
      </w:r>
      <w:r>
        <w:rPr>
          <w:rFonts w:ascii="Palatino Linotype" w:eastAsia="Palatino Linotype" w:hAnsi="Palatino Linotype" w:cs="Palatino Linotype"/>
        </w:rPr>
        <w:t xml:space="preserve"> de este Instituto para hacer de su conocimiento la información que contiene datos personales.</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es de resaltar que en el mismo archivo referido con antelación, el Sujeto Obligado dejó a la vista del particular nombres de elementos de seguridad pública, por lo que resulta necesario precisar que el </w:t>
      </w:r>
      <w:r>
        <w:rPr>
          <w:rFonts w:ascii="Palatino Linotype" w:eastAsia="Palatino Linotype" w:hAnsi="Palatino Linotype" w:cs="Palatino Linotype"/>
          <w:b/>
          <w:bCs/>
        </w:rPr>
        <w:t>nombre de los servidores públicos operativos en materia de seguridad</w:t>
      </w:r>
      <w:r>
        <w:rPr>
          <w:rFonts w:ascii="Palatino Linotype" w:eastAsia="Palatino Linotype" w:hAnsi="Palatino Linotype" w:cs="Palatino Linotype"/>
        </w:rPr>
        <w:t>, actualiza causal de clasificación; al respecto, con relación al dato referido, el artículo 140, fracción IV, de la Ley de Transparencia y Acceso a la Información Pública del Estado de México y Municipios, prevé lo siguiente:</w:t>
      </w:r>
    </w:p>
    <w:p w:rsidR="00B34385" w:rsidRDefault="00DE3B61">
      <w:pPr>
        <w:spacing w:line="360" w:lineRule="auto"/>
        <w:ind w:right="-2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Artículo 140.</w:t>
      </w:r>
      <w:r>
        <w:rPr>
          <w:rFonts w:ascii="Palatino Linotype" w:eastAsia="Palatino Linotype" w:hAnsi="Palatino Linotype" w:cs="Palatino Linotype"/>
          <w:i/>
          <w:iCs/>
        </w:rPr>
        <w:t xml:space="preserve"> El acceso a la información pública será restringido excepcionalmente, cuando por razones de interés público, ésta sea clasificada como reservada, conforme a los criterios siguientes: </w:t>
      </w:r>
    </w:p>
    <w:p w:rsidR="00B34385" w:rsidRDefault="00DE3B61">
      <w:pPr>
        <w:ind w:left="567" w:right="-71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34385" w:rsidRDefault="00DE3B61">
      <w:pPr>
        <w:ind w:left="567" w:right="-714"/>
        <w:jc w:val="both"/>
        <w:rPr>
          <w:rFonts w:ascii="Palatino Linotype" w:eastAsia="Palatino Linotype" w:hAnsi="Palatino Linotype" w:cs="Palatino Linotype"/>
          <w:i/>
          <w:iCs/>
        </w:rPr>
      </w:pPr>
      <w:r>
        <w:rPr>
          <w:rFonts w:ascii="Palatino Linotype" w:eastAsia="Palatino Linotype" w:hAnsi="Palatino Linotype" w:cs="Palatino Linotype"/>
          <w:i/>
          <w:iCs/>
        </w:rPr>
        <w:t>IV. Ponga en riesgo la vida, la seguridad o la salud de una persona física;</w:t>
      </w:r>
    </w:p>
    <w:p w:rsidR="00B34385" w:rsidRDefault="00DE3B61">
      <w:pPr>
        <w:ind w:left="567" w:right="-714"/>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Del precepto legal anteriormente citado se desprende que como información reservada podrá clasificarse aquella cuya publicación pueda poner en riesgo la vida, seguridad o salud de una persona física; para acreditar lo anterior, los Lineamientos Generales, establecen lo siguiente:</w:t>
      </w:r>
    </w:p>
    <w:p w:rsidR="00B34385" w:rsidRDefault="00DE3B61">
      <w:pPr>
        <w:spacing w:line="360" w:lineRule="auto"/>
        <w:ind w:left="720"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“Vigésimo tercero. </w:t>
      </w:r>
      <w:r>
        <w:rPr>
          <w:rFonts w:ascii="Palatino Linotype" w:eastAsia="Palatino Linotype" w:hAnsi="Palatino Linotype" w:cs="Palatino Linotype"/>
          <w:i/>
          <w:iCs/>
        </w:rPr>
        <w:t>Para clasificar la información como reservada, de conformidad con el artículo 113, fracción V de la Ley General, será necesario acreditar un vínculo, entre una o varias personas físicas y la información que pueda poner en riesgo su vida, seguridad o salud; especificando cuál de estos bienes jurídicos será afectado, así como el potencial daño o riesgo que causaría su difusión”</w:t>
      </w:r>
    </w:p>
    <w:p w:rsidR="00B34385" w:rsidRDefault="00DE3B61">
      <w:pPr>
        <w:spacing w:line="360" w:lineRule="auto"/>
        <w:ind w:right="-2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Del Lineamiento referido, se desprende que para clasificar la información como reservada, será necesario acreditar un vínculo, entre la persona física y la información que pueda poner en riesgo su vida, seguridad o salud, es decir, se deben señalar el bien jurídico específico afectado y el potencial de daño o riesgo que causaría su difusión.</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Además, el artículo 81, fracción III, de la Ley de Seguridad del Estado de México, establece lo siguiente:</w:t>
      </w:r>
    </w:p>
    <w:p w:rsidR="00B34385" w:rsidRDefault="00DE3B61">
      <w:pPr>
        <w:ind w:left="567" w:right="-714"/>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81.-</w:t>
      </w:r>
      <w:r>
        <w:rPr>
          <w:rFonts w:ascii="Palatino Linotype" w:eastAsia="Palatino Linotype" w:hAnsi="Palatino Linotype" w:cs="Palatino Linotype"/>
          <w:i/>
          <w:iCs/>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 en los casos siguientes: </w:t>
      </w:r>
    </w:p>
    <w:p w:rsidR="00B34385" w:rsidRDefault="00DE3B61">
      <w:pPr>
        <w:ind w:left="567" w:right="-71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34385" w:rsidRDefault="00DE3B61">
      <w:pPr>
        <w:ind w:left="567" w:right="-714"/>
        <w:jc w:val="both"/>
        <w:rPr>
          <w:rFonts w:ascii="Palatino Linotype" w:eastAsia="Palatino Linotype" w:hAnsi="Palatino Linotype" w:cs="Palatino Linotype"/>
          <w:i/>
          <w:iCs/>
        </w:rPr>
      </w:pPr>
      <w:r>
        <w:rPr>
          <w:rFonts w:ascii="Palatino Linotype" w:eastAsia="Palatino Linotype" w:hAnsi="Palatino Linotype" w:cs="Palatino Linotype"/>
          <w:i/>
          <w:iCs/>
        </w:rPr>
        <w:t>III. La relativa a los servidores públicos integrantes de las instituciones de seguridad pública, cuya revelación pueda poner en riesgo su vida e integridad física con motivo de sus funciones;</w:t>
      </w:r>
    </w:p>
    <w:p w:rsidR="00B34385" w:rsidRDefault="00DE3B61">
      <w:pPr>
        <w:ind w:left="567" w:right="-714"/>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Conforme al citado artículo, se desprende que es reservada toda aquella información de los servidores públicos integrantes de las instituciones de seguridad pública, cuya revelación pueda poner en riesgo su vida e integridad física con motivo de sus funciones.</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 En ese contexto, es de señalar que los datos de servidores públicos, entre los que se encuentran el nombre y fotografía de los trabajadores, por regla general, son de naturaleza pública, de conformidad con el artículo 70, fracción VII de la Ley General de Transparencia y Acceso a la Información Pública del Estado de México (vigente a la fecha de la solicitud de información), y 92, fracción VII, de la Ley de Transparencia y Acceso a la Información Pública del Estado de México y Municipios.</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No obstante, resulta necesario mencionar, el Criterio orientador, con número de registro SO/006/2009, de la Primera Época, emitido por el entonces Instituto Federal de Acceso a la Información y Protección de Datos ahora Instituto Nacional de Transparencia, Acceso a la Información y Protección de Datos Personales, que establece lo siguiente:</w:t>
      </w:r>
    </w:p>
    <w:p w:rsidR="00B34385" w:rsidRDefault="00DE3B61">
      <w:pPr>
        <w:ind w:left="720" w:right="-28"/>
        <w:jc w:val="both"/>
        <w:rPr>
          <w:rFonts w:ascii="Palatino Linotype" w:eastAsia="Palatino Linotype" w:hAnsi="Palatino Linotype" w:cs="Palatino Linotype"/>
          <w:i/>
          <w:iCs/>
        </w:rPr>
      </w:pPr>
      <w:r>
        <w:rPr>
          <w:rFonts w:ascii="Palatino Linotype" w:eastAsia="Palatino Linotype" w:hAnsi="Palatino Linotype" w:cs="Palatino Linotype"/>
          <w:b/>
          <w:bCs/>
          <w:i/>
          <w:iCs/>
        </w:rPr>
        <w:t>“Nombres de servidores públicos dedicados a actividades en materia de seguridad, por excepción pueden considerarse información reservada.</w:t>
      </w:r>
      <w:r>
        <w:rPr>
          <w:rFonts w:ascii="Palatino Linotype" w:eastAsia="Palatino Linotype" w:hAnsi="Palatino Linotype" w:cs="Palatino Linotype"/>
          <w:i/>
          <w:iCs/>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w:t>
      </w:r>
      <w:r>
        <w:rPr>
          <w:rFonts w:ascii="Palatino Linotype" w:eastAsia="Palatino Linotype" w:hAnsi="Palatino Linotype" w:cs="Palatino Linotype"/>
          <w:i/>
          <w:iCs/>
        </w:rPr>
        <w:lastRenderedPageBreak/>
        <w:t>a constituirse en un componente fundamental en el esfuerzo que realiza el Estado Mexicano para garantizar la seguridad del país en sus diferentes vertientes.”</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dicho criterio, se desprende que existen funciones a cargo de servidores públicos, tendientes a garantizar de manera directa la seguridad pública, a través de acciones preventivas y correctivas, encaminadas a combatir a la delincuencia en sus diferentes manifestaciones; por lo que, una forma en que la delincuencia puede llegar a poner en riesgo la seguridad del País, Estado y Municipio, anulando, impidiendo u obstaculizando la actuación de los servidores públicos que realizan funciones de carácter operativo.</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Además, el Criterio Reiterado 09/24, emitido por el Pleno de este Instituto, precisa que el nombre del personal operativo de seguridad pública debe clasificarse como información reservada, previa acreditación de la prueba de daño, ya que su publicidad podría poner en riesgo la vida, la seguridad o la salud del servidor público, ya que los vuelve plenamente identificables ante grupos delictivos.</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orden de ideas, si bien por regla general los nombres de los trabajadores gubernamentales son información pública de oficio, existe una excepción relativa a </w:t>
      </w:r>
      <w:r>
        <w:rPr>
          <w:rFonts w:ascii="Palatino Linotype" w:eastAsia="Palatino Linotype" w:hAnsi="Palatino Linotype" w:cs="Palatino Linotype"/>
          <w:b/>
          <w:bCs/>
        </w:rPr>
        <w:t>aquellos que realicen actividades operativas en materia de seguridad,</w:t>
      </w:r>
      <w:r>
        <w:rPr>
          <w:rFonts w:ascii="Palatino Linotype" w:eastAsia="Palatino Linotype" w:hAnsi="Palatino Linotype" w:cs="Palatino Linotype"/>
        </w:rPr>
        <w:t xml:space="preserve"> como es el caso de los elementos operativos y la policía municipal.</w:t>
      </w:r>
    </w:p>
    <w:p w:rsidR="00CE7910" w:rsidRDefault="00CE7910" w:rsidP="00CE7910">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w:t>
      </w:r>
      <w:r>
        <w:rPr>
          <w:rFonts w:ascii="Palatino Linotype" w:eastAsia="Palatino Linotype" w:hAnsi="Palatino Linotype" w:cs="Palatino Linotype"/>
        </w:rPr>
        <w:lastRenderedPageBreak/>
        <w:t>justicia para adolescentes, de las instancias encargadas de aplicar las infracción administrativas, y de las demás autoridades que en razón de sus atribuciones deban contribuir directa o indirectamente al objeto de esta Ley.</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ese contexto, el artículo 6, fracciones XI y XII de dicho ordenamiento jurídico, establece los siguientes conceptos:</w:t>
      </w:r>
    </w:p>
    <w:p w:rsidR="00B34385" w:rsidRDefault="00DE3B61">
      <w:pPr>
        <w:numPr>
          <w:ilvl w:val="0"/>
          <w:numId w:val="15"/>
        </w:num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Instituciones Policiales: </w:t>
      </w:r>
      <w:r>
        <w:rPr>
          <w:rFonts w:ascii="Palatino Linotype" w:eastAsia="Palatino Linotype" w:hAnsi="Palatino Linotype" w:cs="Palatino Linotype"/>
        </w:rPr>
        <w:t xml:space="preserve">a los cuerpos de policía, de vigilancia y custodia de los establecimientos penitenciarios, de detención preventiva y de centros de arraigos; y en general, </w:t>
      </w:r>
      <w:r>
        <w:rPr>
          <w:rFonts w:ascii="Palatino Linotype" w:eastAsia="Palatino Linotype" w:hAnsi="Palatino Linotype" w:cs="Palatino Linotype"/>
          <w:b/>
          <w:bCs/>
        </w:rPr>
        <w:t>todas las dependencias encargadas de la seguridad pública a nivel</w:t>
      </w:r>
      <w:r>
        <w:rPr>
          <w:rFonts w:ascii="Palatino Linotype" w:eastAsia="Palatino Linotype" w:hAnsi="Palatino Linotype" w:cs="Palatino Linotype"/>
        </w:rPr>
        <w:t xml:space="preserve"> estatal y </w:t>
      </w:r>
      <w:r>
        <w:rPr>
          <w:rFonts w:ascii="Palatino Linotype" w:eastAsia="Palatino Linotype" w:hAnsi="Palatino Linotype" w:cs="Palatino Linotype"/>
          <w:b/>
          <w:bCs/>
        </w:rPr>
        <w:t>municipal</w:t>
      </w:r>
      <w:r>
        <w:rPr>
          <w:rFonts w:ascii="Palatino Linotype" w:eastAsia="Palatino Linotype" w:hAnsi="Palatino Linotype" w:cs="Palatino Linotype"/>
        </w:rPr>
        <w:t>, que realicen funciones similares.</w:t>
      </w:r>
    </w:p>
    <w:p w:rsidR="00B34385" w:rsidRDefault="00DE3B61">
      <w:pPr>
        <w:numPr>
          <w:ilvl w:val="0"/>
          <w:numId w:val="13"/>
        </w:numPr>
        <w:spacing w:line="360" w:lineRule="auto"/>
        <w:ind w:right="-28"/>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Instituciones de Seguridad Pública: </w:t>
      </w:r>
      <w:r>
        <w:rPr>
          <w:rFonts w:ascii="Palatino Linotype" w:eastAsia="Palatino Linotype" w:hAnsi="Palatino Linotype" w:cs="Palatino Linotype"/>
        </w:rPr>
        <w:t xml:space="preserve">Instituciones Policiales, Procuración de Justicia, Sistema Penitenciario y </w:t>
      </w:r>
      <w:r>
        <w:rPr>
          <w:rFonts w:ascii="Palatino Linotype" w:eastAsia="Palatino Linotype" w:hAnsi="Palatino Linotype" w:cs="Palatino Linotype"/>
          <w:b/>
          <w:bCs/>
        </w:rPr>
        <w:t xml:space="preserve">dependencias encargadas de la seguridad pública a nivel </w:t>
      </w:r>
      <w:r>
        <w:rPr>
          <w:rFonts w:ascii="Palatino Linotype" w:eastAsia="Palatino Linotype" w:hAnsi="Palatino Linotype" w:cs="Palatino Linotype"/>
        </w:rPr>
        <w:t xml:space="preserve">estatal y </w:t>
      </w:r>
      <w:r>
        <w:rPr>
          <w:rFonts w:ascii="Palatino Linotype" w:eastAsia="Palatino Linotype" w:hAnsi="Palatino Linotype" w:cs="Palatino Linotype"/>
          <w:b/>
          <w:bCs/>
        </w:rPr>
        <w:t>municipal.</w:t>
      </w:r>
    </w:p>
    <w:p w:rsidR="00B34385" w:rsidRDefault="00B34385">
      <w:pPr>
        <w:spacing w:line="360" w:lineRule="auto"/>
        <w:ind w:right="-28"/>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Conforme a lo anterior, se puede deducir que la </w:t>
      </w:r>
      <w:r>
        <w:rPr>
          <w:rFonts w:ascii="Palatino Linotype" w:eastAsia="Palatino Linotype" w:hAnsi="Palatino Linotype" w:cs="Palatino Linotype"/>
          <w:b/>
          <w:bCs/>
        </w:rPr>
        <w:t>Dirección de Seguridad Pública Municipal, es una institución de seguridad pública</w:t>
      </w:r>
      <w:r>
        <w:rPr>
          <w:rFonts w:ascii="Palatino Linotype" w:eastAsia="Palatino Linotype" w:hAnsi="Palatino Linotype" w:cs="Palatino Linotype"/>
        </w:rPr>
        <w:t>, pues tiene como atribución principal, la prevención de delitos y proteger a las personas, sus propiedades, posesiones y derechos.</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Además, el Instructivo de llenado del Formato “Personal de Seguridad Pública”, del Secretariado Ejecutivo del Sistema Nacional de Seguridad Pública, establece que </w:t>
      </w:r>
      <w:r>
        <w:rPr>
          <w:rFonts w:ascii="Palatino Linotype" w:eastAsia="Palatino Linotype" w:hAnsi="Palatino Linotype" w:cs="Palatino Linotype"/>
          <w:b/>
          <w:bCs/>
        </w:rPr>
        <w:t>los elementos operativos de seguridad pública</w:t>
      </w:r>
      <w:r>
        <w:rPr>
          <w:rFonts w:ascii="Palatino Linotype" w:eastAsia="Palatino Linotype" w:hAnsi="Palatino Linotype" w:cs="Palatino Linotype"/>
        </w:rPr>
        <w:t xml:space="preserve">, son </w:t>
      </w:r>
      <w:r>
        <w:rPr>
          <w:rFonts w:ascii="Palatino Linotype" w:eastAsia="Palatino Linotype" w:hAnsi="Palatino Linotype" w:cs="Palatino Linotype"/>
          <w:b/>
          <w:bCs/>
        </w:rPr>
        <w:t>aquellos que desempeñan funciones de campo (policiales, especializadas o equivalentes</w:t>
      </w:r>
      <w:r>
        <w:rPr>
          <w:rFonts w:ascii="Palatino Linotype" w:eastAsia="Palatino Linotype" w:hAnsi="Palatino Linotype" w:cs="Palatino Linotype"/>
        </w:rPr>
        <w:t xml:space="preserve"> y que no desempeña funciones de mando), entre los cuales, se encuentra </w:t>
      </w:r>
      <w:r>
        <w:rPr>
          <w:rFonts w:ascii="Palatino Linotype" w:eastAsia="Palatino Linotype" w:hAnsi="Palatino Linotype" w:cs="Palatino Linotype"/>
          <w:b/>
          <w:bCs/>
        </w:rPr>
        <w:t>la Policía Municipal</w:t>
      </w:r>
      <w:r>
        <w:rPr>
          <w:rFonts w:ascii="Palatino Linotype" w:eastAsia="Palatino Linotype" w:hAnsi="Palatino Linotype" w:cs="Palatino Linotype"/>
        </w:rPr>
        <w:t>.</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Asimismo, se advierte que las Instituciones Policiales, se conforman del </w:t>
      </w:r>
      <w:r>
        <w:rPr>
          <w:rFonts w:ascii="Palatino Linotype" w:eastAsia="Palatino Linotype" w:hAnsi="Palatino Linotype" w:cs="Palatino Linotype"/>
          <w:b/>
          <w:bCs/>
        </w:rPr>
        <w:t>personal</w:t>
      </w:r>
      <w:r>
        <w:rPr>
          <w:rFonts w:ascii="Palatino Linotype" w:eastAsia="Palatino Linotype" w:hAnsi="Palatino Linotype" w:cs="Palatino Linotype"/>
        </w:rPr>
        <w:t xml:space="preserve"> </w:t>
      </w:r>
      <w:r>
        <w:rPr>
          <w:rFonts w:ascii="Palatino Linotype" w:eastAsia="Palatino Linotype" w:hAnsi="Palatino Linotype" w:cs="Palatino Linotype"/>
          <w:b/>
          <w:bCs/>
        </w:rPr>
        <w:t>administrativo,</w:t>
      </w:r>
      <w:r>
        <w:rPr>
          <w:rFonts w:ascii="Palatino Linotype" w:eastAsia="Palatino Linotype" w:hAnsi="Palatino Linotype" w:cs="Palatino Linotype"/>
        </w:rPr>
        <w:t xml:space="preserve"> que son los trabajadores de apoyo (chofer, personal de mantenimiento, servicios generales y área secretaría); así como</w:t>
      </w:r>
      <w:r>
        <w:rPr>
          <w:rFonts w:ascii="Palatino Linotype" w:eastAsia="Palatino Linotype" w:hAnsi="Palatino Linotype" w:cs="Palatino Linotype"/>
          <w:b/>
          <w:bCs/>
        </w:rPr>
        <w:t>, el personal de mando</w:t>
      </w:r>
      <w:r>
        <w:rPr>
          <w:rFonts w:ascii="Palatino Linotype" w:eastAsia="Palatino Linotype" w:hAnsi="Palatino Linotype" w:cs="Palatino Linotype"/>
        </w:rPr>
        <w:t xml:space="preserve"> (alto, medio y superior), que es aquel que realiza funciones de dirección, coordinación y supervisión, por lo cual, corresponde a aquel que tenga trabajadores a su cargo.</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Así, dar a conocer el nombre de las personas, vinculado con el hecho que son policías,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Sin embargo, </w:t>
      </w:r>
      <w:r>
        <w:rPr>
          <w:rFonts w:ascii="Palatino Linotype" w:eastAsia="Palatino Linotype" w:hAnsi="Palatino Linotype" w:cs="Palatino Linotype"/>
          <w:b/>
          <w:bCs/>
        </w:rPr>
        <w:t>por lo que hace al personal administrativo y los mandos medios y superiores</w:t>
      </w:r>
      <w:r>
        <w:rPr>
          <w:rFonts w:ascii="Palatino Linotype" w:eastAsia="Palatino Linotype" w:hAnsi="Palatino Linotype" w:cs="Palatino Linotype"/>
        </w:rPr>
        <w:t xml:space="preserve">, se advierte que estos </w:t>
      </w:r>
      <w:r>
        <w:rPr>
          <w:rFonts w:ascii="Palatino Linotype" w:eastAsia="Palatino Linotype" w:hAnsi="Palatino Linotype" w:cs="Palatino Linotype"/>
          <w:u w:val="single"/>
        </w:rPr>
        <w:t>no realizan funciones operativas</w:t>
      </w:r>
      <w:r>
        <w:rPr>
          <w:rFonts w:ascii="Palatino Linotype" w:eastAsia="Palatino Linotype" w:hAnsi="Palatino Linotype" w:cs="Palatino Linotype"/>
        </w:rPr>
        <w:t xml:space="preserve">, sino únicamente realizan actividades de apoyo y dirección respectivamente, por lo que, </w:t>
      </w:r>
      <w:r>
        <w:rPr>
          <w:rFonts w:ascii="Palatino Linotype" w:eastAsia="Palatino Linotype" w:hAnsi="Palatino Linotype" w:cs="Palatino Linotype"/>
          <w:b/>
          <w:bCs/>
        </w:rPr>
        <w:t>no procede la causal de reserva</w:t>
      </w:r>
      <w:r>
        <w:rPr>
          <w:rFonts w:ascii="Palatino Linotype" w:eastAsia="Palatino Linotype" w:hAnsi="Palatino Linotype" w:cs="Palatino Linotype"/>
        </w:rPr>
        <w:t xml:space="preserve"> establecida en el artículo 140, fracción IV, de la Ley de la materia, pues por el tipo de funciones que realizan, no se pone en peligro su vida, seguridad o salud de este tipo de trabajadores.</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De tal situación, se considera que dar a conocer el nombre de los policías municipales, puede poner en riesgo la vida, seguridad y salud de estos,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Lo anterior toma relevancia pues los individuos con pretensiones delictivas pudieran promover algún vínculo o relación directa con los elementos operativos, que incluye a la policía municipal o bien, someterla a extorsión o amenazas con el fin de obtener información sensible sobre el modus operandi de dicha área, lo cual se traduciría en un detrimento al combate a la delincuencia y un perjuicio a la seguridad pública, vulnerando así, el interés general.</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Por tales consideraciones, </w:t>
      </w:r>
      <w:r>
        <w:rPr>
          <w:rFonts w:ascii="Palatino Linotype" w:eastAsia="Palatino Linotype" w:hAnsi="Palatino Linotype" w:cs="Palatino Linotype"/>
          <w:b/>
          <w:bCs/>
        </w:rPr>
        <w:t>resulta procedente la reserva del nombre de los elementos operativos adscritos a la Dirección de Seguridad Pública Municipal, en términos del artículo 140, fracción IV, de la Ley de Transparencia y Acceso a la Información Pública del Estado de México y Municipios.</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Sobre el particular, cabe señalar el artículo 141, de la Ley de Transparencia y Acceso a la Información Pública del Estado de México y Municipios, que establece que </w:t>
      </w:r>
      <w:r>
        <w:rPr>
          <w:rFonts w:ascii="Palatino Linotype" w:eastAsia="Palatino Linotype" w:hAnsi="Palatino Linotype" w:cs="Palatino Linotype"/>
          <w:b/>
          <w:bCs/>
        </w:rPr>
        <w:t>las causales de reserva se deberán fundar y motivar</w:t>
      </w:r>
      <w:r>
        <w:rPr>
          <w:rFonts w:ascii="Palatino Linotype" w:eastAsia="Palatino Linotype" w:hAnsi="Palatino Linotype" w:cs="Palatino Linotype"/>
        </w:rPr>
        <w:t xml:space="preserve">, a través de la aplicación de la </w:t>
      </w:r>
      <w:r>
        <w:rPr>
          <w:rFonts w:ascii="Palatino Linotype" w:eastAsia="Palatino Linotype" w:hAnsi="Palatino Linotype" w:cs="Palatino Linotype"/>
          <w:b/>
          <w:bCs/>
        </w:rPr>
        <w:t>prueba de daño</w:t>
      </w:r>
      <w:r>
        <w:rPr>
          <w:rFonts w:ascii="Palatino Linotype" w:eastAsia="Palatino Linotype" w:hAnsi="Palatino Linotype" w:cs="Palatino Linotype"/>
        </w:rPr>
        <w:t xml:space="preserve"> establecida en el artículo 129 de dicho ordenamiento, que se debe justificar de la siguiente manera:</w:t>
      </w:r>
    </w:p>
    <w:p w:rsidR="00B34385" w:rsidRDefault="00DE3B61">
      <w:pPr>
        <w:numPr>
          <w:ilvl w:val="0"/>
          <w:numId w:val="14"/>
        </w:num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lastRenderedPageBreak/>
        <w:t>La divulgación de la información representa un riesgo real, demostrable e identificable de perjuicio significativo al interés público o a la seguridad nacional.</w:t>
      </w:r>
    </w:p>
    <w:p w:rsidR="00B34385" w:rsidRDefault="00DE3B61">
      <w:pPr>
        <w:numPr>
          <w:ilvl w:val="0"/>
          <w:numId w:val="14"/>
        </w:num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El riesgo de perjuicio supera el interés público general de que se difunda.</w:t>
      </w:r>
    </w:p>
    <w:p w:rsidR="00B34385" w:rsidRDefault="00DE3B61">
      <w:pPr>
        <w:numPr>
          <w:ilvl w:val="0"/>
          <w:numId w:val="14"/>
        </w:num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Que la limitación se adecua al principio de proporcionalidad y representa el medio menos restrictivo disponible para evitar el perjuicio.</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Además, el artículo 125 de la Ley de la materia, establece que la información clasificada como reservada según el artículo 140 de la Ley de Transparencia y Acceso a la Información Pública del Estado de México y Municipios, podrá permanecer con tal carácter hasta por un periodo de cinco años. Asimismo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Comité de Transparencia considere pertinente la desclasificación o se trate de información que esté relacionada con violaciones graves a derechos humanos o delitos de lesa humanidad; por lo que, </w:t>
      </w:r>
      <w:r>
        <w:rPr>
          <w:rFonts w:ascii="Palatino Linotype" w:eastAsia="Palatino Linotype" w:hAnsi="Palatino Linotype" w:cs="Palatino Linotype"/>
          <w:b/>
          <w:bCs/>
        </w:rPr>
        <w:t>en las versiones públicas, deberá clasificar el nombre de los elementos operativos de la Dirección de Seguridad Pública Municipal, de manera fundada y motivada, mediante la respectiva prueba de daño.</w:t>
      </w:r>
    </w:p>
    <w:p w:rsidR="00B34385" w:rsidRDefault="00DE3B61">
      <w:pPr>
        <w:spacing w:line="360" w:lineRule="auto"/>
        <w:ind w:right="-28"/>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rsidR="00B34385" w:rsidRDefault="00DE3B61">
      <w:pPr>
        <w:numPr>
          <w:ilvl w:val="0"/>
          <w:numId w:val="16"/>
        </w:numPr>
        <w:tabs>
          <w:tab w:val="left" w:pos="7938"/>
        </w:tabs>
        <w:spacing w:line="360" w:lineRule="auto"/>
        <w:ind w:left="426"/>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De la vista a los órganos de control interno competentes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Como ya se mencionó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xml:space="preserve">, </w:t>
      </w:r>
      <w:r>
        <w:rPr>
          <w:rFonts w:ascii="Palatino Linotype" w:eastAsia="Palatino Linotype" w:hAnsi="Palatino Linotype" w:cs="Palatino Linotype"/>
          <w:b/>
          <w:bCs/>
        </w:rPr>
        <w:t>entregó información clasificada como reservada</w:t>
      </w:r>
      <w:r>
        <w:rPr>
          <w:rFonts w:ascii="Palatino Linotype" w:eastAsia="Palatino Linotype" w:hAnsi="Palatino Linotype" w:cs="Palatino Linotype"/>
        </w:rPr>
        <w:t>, en el término previsto en el artículo 140, fracción I, de la Ley de Transparencia y Acceso a la Información Pública, por lo que se ordena dar vista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la </w:t>
      </w:r>
      <w:r>
        <w:rPr>
          <w:rFonts w:ascii="Palatino Linotype" w:eastAsia="Palatino Linotype" w:hAnsi="Palatino Linotype" w:cs="Palatino Linotype"/>
          <w:b/>
          <w:bCs/>
        </w:rPr>
        <w:t xml:space="preserve">Secretaría Técnica del </w:t>
      </w:r>
      <w:r>
        <w:rPr>
          <w:rFonts w:ascii="Palatino Linotype" w:eastAsia="Palatino Linotype" w:hAnsi="Palatino Linotype" w:cs="Palatino Linotype"/>
          <w:b/>
          <w:bCs/>
        </w:rPr>
        <w:lastRenderedPageBreak/>
        <w:t>Pleno</w:t>
      </w:r>
      <w:r>
        <w:rPr>
          <w:rFonts w:ascii="Palatino Linotype" w:eastAsia="Palatino Linotype" w:hAnsi="Palatino Linotype" w:cs="Palatino Linotype"/>
        </w:rPr>
        <w:t xml:space="preserve">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Por lo </w:t>
      </w:r>
      <w:r>
        <w:rPr>
          <w:rFonts w:ascii="Palatino Linotype" w:eastAsia="Palatino Linotype" w:hAnsi="Palatino Linotype" w:cs="Palatino Linotype"/>
          <w:color w:val="000000"/>
        </w:rPr>
        <w:t>anteriormente</w:t>
      </w:r>
      <w:r>
        <w:rPr>
          <w:rFonts w:ascii="Palatino Linotype" w:eastAsia="Palatino Linotype" w:hAnsi="Palatino Linotype" w:cs="Palatino Linotype"/>
        </w:rPr>
        <w:t xml:space="preserve"> expuesto, este Órgano Garante considera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que plantea 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en el Recurso de Revisión </w:t>
      </w:r>
      <w:r>
        <w:rPr>
          <w:rFonts w:ascii="Palatino Linotype" w:eastAsia="Palatino Linotype" w:hAnsi="Palatino Linotype" w:cs="Palatino Linotype"/>
          <w:b/>
          <w:bCs/>
          <w:color w:val="000000"/>
        </w:rPr>
        <w:t>03638/INFOEM/IP/RR/2026</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smallCaps/>
        </w:rPr>
        <w:t>MODIFICAR</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y se ordena la entrega, de ser procedente en versión pública, la siguiente información: </w:t>
      </w:r>
      <w:r>
        <w:rPr>
          <w:rFonts w:ascii="Palatino Linotype" w:eastAsia="Palatino Linotype" w:hAnsi="Palatino Linotype" w:cs="Palatino Linotype"/>
          <w:b/>
          <w:bCs/>
        </w:rPr>
        <w:t>El o los documentos en donde conste la incidencia delictiva</w:t>
      </w:r>
      <w:r>
        <w:rPr>
          <w:rFonts w:ascii="Palatino Linotype" w:eastAsia="Palatino Linotype" w:hAnsi="Palatino Linotype" w:cs="Palatino Linotype"/>
          <w:b/>
          <w:bCs/>
          <w:i/>
          <w:iCs/>
          <w:color w:val="000000"/>
        </w:rPr>
        <w:t xml:space="preserve"> </w:t>
      </w:r>
      <w:r>
        <w:rPr>
          <w:rFonts w:ascii="Palatino Linotype" w:eastAsia="Palatino Linotype" w:hAnsi="Palatino Linotype" w:cs="Palatino Linotype"/>
          <w:b/>
          <w:bCs/>
          <w:color w:val="000000"/>
        </w:rPr>
        <w:t>y/o incidencia de faltas administrativas</w:t>
      </w:r>
      <w:r>
        <w:rPr>
          <w:rFonts w:ascii="Palatino Linotype" w:eastAsia="Palatino Linotype" w:hAnsi="Palatino Linotype" w:cs="Palatino Linotype"/>
          <w:b/>
          <w:bCs/>
        </w:rPr>
        <w:t xml:space="preserve"> al mayor grado de desagregación posible, faltante.</w:t>
      </w:r>
    </w:p>
    <w:p w:rsidR="00B34385" w:rsidRDefault="00B34385">
      <w:pPr>
        <w:spacing w:line="360" w:lineRule="auto"/>
        <w:ind w:right="-787"/>
        <w:jc w:val="both"/>
        <w:rPr>
          <w:rFonts w:ascii="Palatino Linotype" w:eastAsia="Palatino Linotype" w:hAnsi="Palatino Linotype" w:cs="Palatino Linotype"/>
        </w:rPr>
      </w:pPr>
    </w:p>
    <w:p w:rsidR="00B34385" w:rsidRDefault="00DE3B61">
      <w:pPr>
        <w:numPr>
          <w:ilvl w:val="0"/>
          <w:numId w:val="4"/>
        </w:numPr>
        <w:spacing w:line="360" w:lineRule="auto"/>
        <w:ind w:left="0" w:right="-787" w:firstLine="0"/>
        <w:jc w:val="both"/>
        <w:rPr>
          <w:color w:val="000000"/>
        </w:rPr>
      </w:pPr>
      <w:r>
        <w:rPr>
          <w:rFonts w:ascii="Palatino Linotype" w:eastAsia="Palatino Linotype" w:hAnsi="Palatino Linotype" w:cs="Palatino Linotype"/>
          <w:color w:val="000000"/>
        </w:rPr>
        <w:t xml:space="preserve">Por otro lado, no pasa desapercibido </w:t>
      </w:r>
      <w:r>
        <w:rPr>
          <w:rFonts w:ascii="Palatino Linotype" w:eastAsia="Palatino Linotype" w:hAnsi="Palatino Linotype" w:cs="Palatino Linotype"/>
        </w:rPr>
        <w:t>para</w:t>
      </w:r>
      <w:r>
        <w:rPr>
          <w:rFonts w:ascii="Palatino Linotype" w:eastAsia="Palatino Linotype" w:hAnsi="Palatino Linotype" w:cs="Palatino Linotype"/>
          <w:color w:val="000000"/>
        </w:rPr>
        <w:t xml:space="preserve"> este Órgano Garante, que la información que se ordena entregar puede contener información susceptible de clasificarse; para lo cual,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atender al siguiente Considerando.</w:t>
      </w:r>
    </w:p>
    <w:p w:rsidR="00B34385" w:rsidRDefault="00B34385">
      <w:pPr>
        <w:rPr>
          <w:rFonts w:ascii="Palatino Linotype" w:eastAsia="Palatino Linotype" w:hAnsi="Palatino Linotype" w:cs="Palatino Linotype"/>
          <w:highlight w:val="yellow"/>
        </w:rPr>
      </w:pPr>
    </w:p>
    <w:p w:rsidR="00B34385" w:rsidRDefault="00DE3B61">
      <w:pPr>
        <w:keepNext/>
        <w:keepLines/>
        <w:spacing w:after="16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B34385" w:rsidRDefault="00DE3B61">
      <w:pPr>
        <w:keepNext/>
        <w:keepLines/>
        <w:numPr>
          <w:ilvl w:val="0"/>
          <w:numId w:val="7"/>
        </w:numPr>
        <w:tabs>
          <w:tab w:val="left" w:pos="284"/>
        </w:tabs>
        <w:spacing w:after="160"/>
        <w:ind w:left="0" w:firstLine="0"/>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pueden obrar </w:t>
      </w:r>
      <w:r>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B34385" w:rsidRDefault="00B34385">
      <w:pPr>
        <w:tabs>
          <w:tab w:val="left" w:pos="284"/>
        </w:tabs>
        <w:spacing w:after="160" w:line="360" w:lineRule="auto"/>
        <w:jc w:val="both"/>
        <w:rPr>
          <w:rFonts w:ascii="Palatino Linotype" w:eastAsia="Palatino Linotype" w:hAnsi="Palatino Linotype" w:cs="Palatino Linotype"/>
          <w:color w:val="000000"/>
        </w:rPr>
      </w:pPr>
    </w:p>
    <w:tbl>
      <w:tblPr>
        <w:tblStyle w:val="a"/>
        <w:tblW w:w="978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99"/>
        <w:gridCol w:w="6981"/>
      </w:tblGrid>
      <w:tr w:rsidR="00B34385">
        <w:tc>
          <w:tcPr>
            <w:tcW w:w="2799" w:type="dxa"/>
          </w:tcPr>
          <w:p w:rsidR="00B34385" w:rsidRDefault="00DE3B61">
            <w:pPr>
              <w:tabs>
                <w:tab w:val="left" w:pos="284"/>
              </w:tabs>
              <w:spacing w:line="360" w:lineRule="auto"/>
              <w:ind w:right="2"/>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6981" w:type="dxa"/>
          </w:tcPr>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se debe señalar el procedimiento, de los tres que </w:t>
            </w:r>
            <w:r>
              <w:rPr>
                <w:rFonts w:ascii="Palatino Linotype" w:eastAsia="Palatino Linotype" w:hAnsi="Palatino Linotype" w:cs="Palatino Linotype"/>
              </w:rPr>
              <w:t>establece</w:t>
            </w:r>
            <w:r>
              <w:rPr>
                <w:rFonts w:ascii="Palatino Linotype" w:eastAsia="Palatino Linotype" w:hAnsi="Palatino Linotype" w:cs="Palatino Linotype"/>
                <w:color w:val="000000"/>
              </w:rPr>
              <w:t xml:space="preserve"> el artículo 132 de la Ley Estatal.</w:t>
            </w:r>
          </w:p>
          <w:p w:rsidR="00B34385" w:rsidRDefault="00DE3B61">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B34385">
        <w:tc>
          <w:tcPr>
            <w:tcW w:w="2799" w:type="dxa"/>
            <w:shd w:val="clear" w:color="auto" w:fill="F2F2F2"/>
          </w:tcPr>
          <w:p w:rsidR="00B34385" w:rsidRDefault="00DE3B61">
            <w:pPr>
              <w:tabs>
                <w:tab w:val="left" w:pos="284"/>
              </w:tabs>
              <w:spacing w:line="360" w:lineRule="auto"/>
              <w:ind w:right="2"/>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6981" w:type="dxa"/>
            <w:shd w:val="clear" w:color="auto" w:fill="F2F2F2"/>
          </w:tcPr>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143 de la Ley Estatal señala los supuestos para que la información pueda ser clasificada como confidencial. Mientras que el artículo 130 de la Ley Estatal señala que la aplicación de </w:t>
            </w:r>
            <w:r>
              <w:rPr>
                <w:rFonts w:ascii="Palatino Linotype" w:eastAsia="Palatino Linotype" w:hAnsi="Palatino Linotype" w:cs="Palatino Linotype"/>
                <w:color w:val="000000"/>
              </w:rPr>
              <w:lastRenderedPageBreak/>
              <w:t>estos supuestos debe realizarse de manera restrictiva y limitada, por lo que debe acreditarse que se cumple con esta condición y no se pueden ampliar las excepciones o supuestos de clasificación aduciendo analogía o mayoría de razón.</w:t>
            </w:r>
          </w:p>
          <w:p w:rsidR="00B34385" w:rsidRDefault="00DE3B61">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34385">
        <w:tc>
          <w:tcPr>
            <w:tcW w:w="2799" w:type="dxa"/>
          </w:tcPr>
          <w:p w:rsidR="00B34385" w:rsidRDefault="00DE3B61">
            <w:pPr>
              <w:tabs>
                <w:tab w:val="left" w:pos="284"/>
              </w:tabs>
              <w:spacing w:line="360" w:lineRule="auto"/>
              <w:ind w:right="2"/>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6981" w:type="dxa"/>
          </w:tcPr>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B34385" w:rsidRDefault="00DE3B61">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B34385">
        <w:tc>
          <w:tcPr>
            <w:tcW w:w="2799" w:type="dxa"/>
            <w:shd w:val="clear" w:color="auto" w:fill="F2F2F2"/>
          </w:tcPr>
          <w:p w:rsidR="00B34385" w:rsidRDefault="00B34385">
            <w:pPr>
              <w:tabs>
                <w:tab w:val="left" w:pos="284"/>
              </w:tabs>
              <w:spacing w:line="360" w:lineRule="auto"/>
              <w:ind w:right="2"/>
              <w:rPr>
                <w:rFonts w:ascii="Palatino Linotype" w:eastAsia="Palatino Linotype" w:hAnsi="Palatino Linotype" w:cs="Palatino Linotype"/>
                <w:b/>
                <w:bCs/>
              </w:rPr>
            </w:pPr>
          </w:p>
          <w:p w:rsidR="00B34385" w:rsidRDefault="00DE3B61">
            <w:pPr>
              <w:tabs>
                <w:tab w:val="left" w:pos="284"/>
              </w:tabs>
              <w:spacing w:line="360" w:lineRule="auto"/>
              <w:ind w:right="2"/>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6981" w:type="dxa"/>
            <w:shd w:val="clear" w:color="auto" w:fill="F2F2F2"/>
          </w:tcPr>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lastRenderedPageBreak/>
              <w:t>Sujetos Obligados</w:t>
            </w:r>
            <w:r>
              <w:rPr>
                <w:rFonts w:ascii="Palatino Linotype" w:eastAsia="Palatino Linotype" w:hAnsi="Palatino Linotype" w:cs="Palatino Linotype"/>
                <w:color w:val="000000"/>
              </w:rPr>
              <w:t xml:space="preserve">, por lo que deberán fundar y motivar debidamente la clasificación. </w:t>
            </w:r>
          </w:p>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B34385">
        <w:tc>
          <w:tcPr>
            <w:tcW w:w="2799" w:type="dxa"/>
          </w:tcPr>
          <w:p w:rsidR="00B34385" w:rsidRDefault="00DE3B61">
            <w:pPr>
              <w:tabs>
                <w:tab w:val="left" w:pos="284"/>
              </w:tabs>
              <w:spacing w:line="360" w:lineRule="auto"/>
              <w:ind w:right="2"/>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w:t>
            </w:r>
            <w:r>
              <w:rPr>
                <w:rFonts w:ascii="Palatino Linotype" w:eastAsia="Palatino Linotype" w:hAnsi="Palatino Linotype" w:cs="Palatino Linotype"/>
                <w:b/>
                <w:bCs/>
              </w:rPr>
              <w:lastRenderedPageBreak/>
              <w:t xml:space="preserve">clasificación de la información como confidencial. </w:t>
            </w:r>
          </w:p>
        </w:tc>
        <w:tc>
          <w:tcPr>
            <w:tcW w:w="6981" w:type="dxa"/>
          </w:tcPr>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Los artículos 148 de la Ley Estatal establece que aun tratándose de datos personales, se podrán proporcionar, incluso sin solicitar el consentimiento de su titular. </w:t>
            </w:r>
          </w:p>
          <w:p w:rsidR="00B34385" w:rsidRDefault="00DE3B61">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34385" w:rsidRDefault="00DE3B61">
            <w:pPr>
              <w:tabs>
                <w:tab w:val="left" w:pos="284"/>
              </w:tabs>
              <w:spacing w:line="276" w:lineRule="auto"/>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B34385" w:rsidRDefault="00B34385">
      <w:pPr>
        <w:tabs>
          <w:tab w:val="left" w:pos="284"/>
        </w:tabs>
        <w:spacing w:line="360" w:lineRule="auto"/>
        <w:jc w:val="both"/>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sentido,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de emitir el </w:t>
      </w:r>
      <w:r>
        <w:rPr>
          <w:rFonts w:ascii="Palatino Linotype" w:eastAsia="Palatino Linotype" w:hAnsi="Palatino Linotype" w:cs="Palatino Linotype"/>
          <w:b/>
          <w:bCs/>
          <w:color w:val="000000"/>
        </w:rPr>
        <w:t>Acuerdo del Comité de Transparencia</w:t>
      </w:r>
      <w:r>
        <w:rPr>
          <w:rFonts w:ascii="Palatino Linotype" w:eastAsia="Palatino Linotype" w:hAnsi="Palatino Linotype" w:cs="Palatino Linotype"/>
          <w:color w:val="000000"/>
        </w:rPr>
        <w:t>, mediante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B34385" w:rsidRDefault="00B34385">
      <w:pPr>
        <w:spacing w:line="360" w:lineRule="auto"/>
        <w:ind w:right="-787"/>
        <w:jc w:val="both"/>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Derivado de lo establecido en párrafos anteriores,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B34385" w:rsidRDefault="00B34385">
      <w:pPr>
        <w:spacing w:line="360" w:lineRule="auto"/>
        <w:ind w:right="-787"/>
        <w:jc w:val="both"/>
        <w:rPr>
          <w:rFonts w:ascii="Palatino Linotype" w:eastAsia="Palatino Linotype" w:hAnsi="Palatino Linotype" w:cs="Palatino Linotype"/>
          <w:color w:val="000000"/>
        </w:rPr>
      </w:pPr>
    </w:p>
    <w:p w:rsidR="00B34385" w:rsidRDefault="00DE3B61">
      <w:pPr>
        <w:numPr>
          <w:ilvl w:val="0"/>
          <w:numId w:val="4"/>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Por lo </w:t>
      </w:r>
      <w:r>
        <w:rPr>
          <w:rFonts w:ascii="Palatino Linotype" w:eastAsia="Palatino Linotype" w:hAnsi="Palatino Linotype" w:cs="Palatino Linotype"/>
          <w:color w:val="000000"/>
        </w:rPr>
        <w:t>expuesto</w:t>
      </w:r>
      <w:r>
        <w:rPr>
          <w:rFonts w:ascii="Palatino Linotype" w:eastAsia="Palatino Linotype" w:hAnsi="Palatino Linotype" w:cs="Palatino Linotype"/>
        </w:rPr>
        <w:t xml:space="preserve">, y con fundamento en lo prescrito en los artículos </w:t>
      </w:r>
      <w:r>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B34385" w:rsidRDefault="00B34385">
      <w:pPr>
        <w:pBdr>
          <w:top w:val="nil"/>
          <w:left w:val="nil"/>
          <w:bottom w:val="nil"/>
          <w:right w:val="nil"/>
          <w:between w:val="nil"/>
        </w:pBdr>
        <w:ind w:left="720"/>
        <w:rPr>
          <w:rFonts w:ascii="Palatino Linotype" w:eastAsia="Palatino Linotype" w:hAnsi="Palatino Linotype" w:cs="Palatino Linotype"/>
          <w:color w:val="000000"/>
        </w:rPr>
      </w:pPr>
    </w:p>
    <w:p w:rsidR="00B34385" w:rsidRDefault="00DE3B61">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B34385" w:rsidRDefault="00B34385">
      <w:pPr>
        <w:spacing w:line="360" w:lineRule="auto"/>
        <w:ind w:right="-787"/>
        <w:jc w:val="center"/>
        <w:rPr>
          <w:rFonts w:ascii="Palatino Linotype" w:eastAsia="Palatino Linotype" w:hAnsi="Palatino Linotype" w:cs="Palatino Linotype"/>
          <w:b/>
          <w:bCs/>
        </w:rPr>
      </w:pPr>
    </w:p>
    <w:p w:rsidR="00B34385" w:rsidRDefault="00DE3B61">
      <w:pPr>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hechos valer en el recurso de revisión </w:t>
      </w:r>
      <w:r>
        <w:rPr>
          <w:rFonts w:ascii="Palatino Linotype" w:eastAsia="Palatino Linotype" w:hAnsi="Palatino Linotype" w:cs="Palatino Linotype"/>
          <w:b/>
          <w:bCs/>
          <w:color w:val="000000"/>
        </w:rPr>
        <w:t>03638/INFOEM/IP/RR/2026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r>
        <w:rPr>
          <w:rFonts w:ascii="Palatino Linotype" w:eastAsia="Palatino Linotype" w:hAnsi="Palatino Linotype" w:cs="Palatino Linotype"/>
          <w:b/>
          <w:bCs/>
        </w:rPr>
        <w:t>.</w:t>
      </w:r>
    </w:p>
    <w:p w:rsidR="00B34385" w:rsidRDefault="00B34385">
      <w:pPr>
        <w:spacing w:line="360" w:lineRule="auto"/>
        <w:ind w:right="276"/>
        <w:jc w:val="both"/>
        <w:rPr>
          <w:rFonts w:ascii="Palatino Linotype" w:eastAsia="Palatino Linotype" w:hAnsi="Palatino Linotype" w:cs="Palatino Linotype"/>
          <w:b/>
          <w:bCs/>
        </w:rPr>
      </w:pPr>
    </w:p>
    <w:p w:rsidR="00B34385" w:rsidRDefault="00DE3B61">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Ayuntamiento de Acambay de Ruíz Castañeda</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rPr>
        <w:t>, previa búsqueda exhaustiva y razonable, de ser procedente en versión pública, en formato abierto .xls  o .cvs  o en el que se hubiere generado, la información siguiente:</w:t>
      </w:r>
    </w:p>
    <w:p w:rsidR="00B34385" w:rsidRDefault="00B34385">
      <w:pPr>
        <w:spacing w:line="360" w:lineRule="auto"/>
        <w:jc w:val="both"/>
        <w:rPr>
          <w:rFonts w:ascii="Palatino Linotype" w:eastAsia="Palatino Linotype" w:hAnsi="Palatino Linotype" w:cs="Palatino Linotype"/>
        </w:rPr>
      </w:pPr>
    </w:p>
    <w:p w:rsidR="00B34385" w:rsidRDefault="00DE3B61">
      <w:pPr>
        <w:numPr>
          <w:ilvl w:val="0"/>
          <w:numId w:val="8"/>
        </w:numPr>
        <w:pBdr>
          <w:top w:val="nil"/>
          <w:left w:val="nil"/>
          <w:bottom w:val="nil"/>
          <w:right w:val="nil"/>
          <w:between w:val="nil"/>
        </w:pBdr>
        <w:tabs>
          <w:tab w:val="left" w:pos="7513"/>
        </w:tabs>
        <w:spacing w:line="360" w:lineRule="auto"/>
        <w:ind w:left="993" w:right="-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o los documentos en donde conste la incidencia delictiva y/o incidencia de faltas administrativas al mayor grado de desagregación posible, faltante.</w:t>
      </w:r>
    </w:p>
    <w:p w:rsidR="00B34385" w:rsidRDefault="00B34385">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p>
    <w:p w:rsidR="00B34385" w:rsidRDefault="00DE3B61">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efectos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w:t>
      </w:r>
      <w:r>
        <w:rPr>
          <w:rFonts w:ascii="Palatino Linotype" w:eastAsia="Palatino Linotype" w:hAnsi="Palatino Linotype" w:cs="Palatino Linotype"/>
          <w:color w:val="000000"/>
        </w:rPr>
        <w:lastRenderedPageBreak/>
        <w:t xml:space="preserve">o eliminen dentro del soporte documental respectivo objeto de las versiones públicas que se formulen y se pongan a disposición del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así como aquellos que se clasifiquen en su totalidad.</w:t>
      </w:r>
    </w:p>
    <w:p w:rsidR="00B34385" w:rsidRDefault="00B34385">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p>
    <w:p w:rsidR="00B34385" w:rsidRDefault="00DE3B61">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el caso de que la información que se ordena entregar sobre la incidencia de faltas administrativas no obre en los archivos del Sujeto Obligado, al no haber sido generada, o bien, no cuente con las coordenadas geográficas, bastará con que lo haga del conocimiento del Recurrente, de manera precisa y clara.</w:t>
      </w:r>
    </w:p>
    <w:p w:rsidR="00B34385" w:rsidRDefault="00B34385">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p>
    <w:p w:rsidR="00B34385" w:rsidRDefault="00DE3B61">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222222"/>
        </w:rPr>
      </w:pPr>
      <w:r>
        <w:rPr>
          <w:rFonts w:ascii="Palatino Linotype" w:eastAsia="Palatino Linotype" w:hAnsi="Palatino Linotype" w:cs="Palatino Linotype"/>
          <w:color w:val="000000"/>
        </w:rPr>
        <w:t xml:space="preserve">Para el caso que, luego de la búsqueda exhaustiva y razonable no cuente con la información que se ordena su entrega, </w:t>
      </w:r>
      <w:r>
        <w:rPr>
          <w:rFonts w:ascii="Palatino Linotype" w:eastAsia="Palatino Linotype" w:hAnsi="Palatino Linotype" w:cs="Palatino Linotype"/>
          <w:color w:val="222222"/>
        </w:rPr>
        <w:t xml:space="preserve">respecto de la información que corresponde a los años 2018, 2019 </w:t>
      </w:r>
      <w:r w:rsidRPr="00C74CDC">
        <w:rPr>
          <w:rFonts w:ascii="Palatino Linotype" w:eastAsia="Palatino Linotype" w:hAnsi="Palatino Linotype" w:cs="Palatino Linotype"/>
          <w:color w:val="222222"/>
        </w:rPr>
        <w:t>y 2020</w:t>
      </w:r>
      <w:r>
        <w:rPr>
          <w:rFonts w:ascii="Palatino Linotype" w:eastAsia="Palatino Linotype" w:hAnsi="Palatino Linotype" w:cs="Palatino Linotype"/>
          <w:color w:val="222222"/>
        </w:rPr>
        <w:t xml:space="preserve">, derivado de la </w:t>
      </w:r>
      <w:r>
        <w:rPr>
          <w:rFonts w:ascii="Palatino Linotype" w:eastAsia="Palatino Linotype" w:hAnsi="Palatino Linotype" w:cs="Palatino Linotype"/>
        </w:rPr>
        <w:t>temporalidad</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emitir el Acuerdo de Inexistencia en términos de los artículos 49, fracciones II y XIII, 169 y 170 de la Ley de Transparencia y Acceso a la Información Pública del Estado de México y Municipios.</w:t>
      </w:r>
    </w:p>
    <w:p w:rsidR="00B34385" w:rsidRDefault="00B34385">
      <w:p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b/>
          <w:bCs/>
          <w:color w:val="000000"/>
        </w:rPr>
      </w:pPr>
    </w:p>
    <w:p w:rsidR="00B34385" w:rsidRDefault="00DE3B61">
      <w:pPr>
        <w:spacing w:line="360" w:lineRule="auto"/>
        <w:ind w:right="-787"/>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w:t>
      </w:r>
      <w:r>
        <w:rPr>
          <w:rFonts w:ascii="Palatino Linotype" w:eastAsia="Palatino Linotype" w:hAnsi="Palatino Linotype" w:cs="Palatino Linotype"/>
        </w:rPr>
        <w:t>de</w:t>
      </w:r>
      <w:r>
        <w:rPr>
          <w:rFonts w:ascii="Palatino Linotype" w:eastAsia="Palatino Linotype" w:hAnsi="Palatino Linotype" w:cs="Palatino Linotype"/>
          <w:b/>
          <w:bCs/>
          <w:color w:val="222222"/>
        </w:rPr>
        <w:t xml:space="preserve"> diez días hábiles, </w:t>
      </w:r>
      <w:r>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Pr>
          <w:rFonts w:ascii="Palatino Linotype" w:eastAsia="Palatino Linotype" w:hAnsi="Palatino Linotype" w:cs="Palatino Linotype"/>
          <w:color w:val="222222"/>
        </w:rPr>
        <w:lastRenderedPageBreak/>
        <w:t>conformidad con lo previsto en los artículos 198, 200, fracción III; 214, 215 y 216 de la Ley  de Transparencia y Acceso a la Información Pública del Estado de México y Municipios.</w:t>
      </w:r>
    </w:p>
    <w:p w:rsidR="00B34385" w:rsidRDefault="00B34385">
      <w:pPr>
        <w:spacing w:line="360" w:lineRule="auto"/>
        <w:jc w:val="both"/>
        <w:rPr>
          <w:rFonts w:ascii="Palatino Linotype" w:eastAsia="Palatino Linotype" w:hAnsi="Palatino Linotype" w:cs="Palatino Linotype"/>
        </w:rPr>
      </w:pPr>
    </w:p>
    <w:p w:rsidR="00B34385" w:rsidRDefault="00DE3B61">
      <w:pPr>
        <w:spacing w:line="360" w:lineRule="auto"/>
        <w:ind w:right="-787"/>
        <w:jc w:val="both"/>
        <w:rPr>
          <w:rFonts w:ascii="Palatino Linotype" w:eastAsia="Palatino Linotype" w:hAnsi="Palatino Linotype" w:cs="Palatino Linotype"/>
        </w:rPr>
      </w:pPr>
      <w:bookmarkStart w:id="8" w:name="_heading=h.3rdcrjn" w:colFirst="0" w:colLast="0"/>
      <w:bookmarkEnd w:id="8"/>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B34385" w:rsidRDefault="00B34385">
      <w:pPr>
        <w:spacing w:line="360" w:lineRule="auto"/>
        <w:ind w:right="276"/>
        <w:jc w:val="both"/>
        <w:rPr>
          <w:rFonts w:ascii="Palatino Linotype" w:eastAsia="Palatino Linotype" w:hAnsi="Palatino Linotype" w:cs="Palatino Linotype"/>
        </w:rPr>
      </w:pPr>
    </w:p>
    <w:p w:rsidR="00B34385" w:rsidRDefault="00DE3B61">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Notifíquese</w:t>
      </w:r>
      <w:r>
        <w:rPr>
          <w:rFonts w:ascii="Palatino Linotype" w:eastAsia="Palatino Linotype" w:hAnsi="Palatino Linotype" w:cs="Palatino Linotype"/>
          <w:b/>
          <w:bCs/>
          <w:color w:val="222222"/>
        </w:rPr>
        <w:t xml:space="preserve"> </w:t>
      </w:r>
      <w:r>
        <w:rPr>
          <w:rFonts w:ascii="Palatino Linotype" w:eastAsia="Palatino Linotype" w:hAnsi="Palatino Linotype" w:cs="Palatino Linotype"/>
          <w:color w:val="222222"/>
        </w:rPr>
        <w:t xml:space="preserve">a </w:t>
      </w:r>
      <w:r>
        <w:rPr>
          <w:rFonts w:ascii="Palatino Linotype" w:eastAsia="Palatino Linotype" w:hAnsi="Palatino Linotype" w:cs="Palatino Linotype"/>
          <w:b/>
          <w:bCs/>
          <w:color w:val="222222"/>
        </w:rPr>
        <w:t>EL RECURRENTE</w:t>
      </w:r>
      <w:r>
        <w:rPr>
          <w:rFonts w:ascii="Palatino Linotype" w:eastAsia="Palatino Linotype" w:hAnsi="Palatino Linotype" w:cs="Palatino Linotype"/>
          <w:color w:val="222222"/>
        </w:rPr>
        <w:t xml:space="preserve"> la presente resolución vía SAIMEX</w:t>
      </w:r>
      <w:r>
        <w:rPr>
          <w:rFonts w:ascii="Palatino Linotype" w:eastAsia="Palatino Linotype" w:hAnsi="Palatino Linotype" w:cs="Palatino Linotype"/>
        </w:rPr>
        <w:t>.</w:t>
      </w:r>
    </w:p>
    <w:p w:rsidR="00B34385" w:rsidRDefault="00B34385">
      <w:pPr>
        <w:tabs>
          <w:tab w:val="left" w:pos="8080"/>
        </w:tabs>
        <w:spacing w:line="360" w:lineRule="auto"/>
        <w:jc w:val="both"/>
        <w:rPr>
          <w:rFonts w:ascii="Palatino Linotype" w:eastAsia="Palatino Linotype" w:hAnsi="Palatino Linotype" w:cs="Palatino Linotype"/>
        </w:rPr>
      </w:pPr>
    </w:p>
    <w:p w:rsidR="00B34385" w:rsidRDefault="00DE3B61">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color w:val="000000"/>
        </w:rPr>
        <w:t xml:space="preserve">Se hace del conocimiento de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color w:val="000000"/>
        </w:rPr>
        <w:t xml:space="preserve">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B34385" w:rsidRDefault="00B34385">
      <w:pPr>
        <w:spacing w:line="360" w:lineRule="auto"/>
        <w:ind w:right="-787"/>
        <w:jc w:val="both"/>
        <w:rPr>
          <w:rFonts w:ascii="Palatino Linotype" w:eastAsia="Palatino Linotype" w:hAnsi="Palatino Linotype" w:cs="Palatino Linotype"/>
          <w:color w:val="000000"/>
        </w:rPr>
      </w:pPr>
    </w:p>
    <w:p w:rsidR="00B34385" w:rsidRDefault="00DE3B61">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SÉPTIMO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Gírese</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oficio</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b/>
          <w:bCs/>
          <w:color w:val="000000"/>
        </w:rPr>
        <w:t>Dirección General de Protección de Datos Personales</w:t>
      </w:r>
      <w:r>
        <w:rPr>
          <w:rFonts w:ascii="Palatino Linotype" w:eastAsia="Palatino Linotype" w:hAnsi="Palatino Linotype" w:cs="Palatino Linotype"/>
          <w:color w:val="000000"/>
        </w:rPr>
        <w:t xml:space="preserve"> de este Instituto para hacer de su conocimiento la presente resolución, a fin de que en ejercicio de sus atribuciones y de conformidad con el artículo 82, fracciones XIV, XXII, XXIII y XXV de la Ley de Protección de Datos Personales en Posesión de Sujetos Obligados del Estado de México y Municipios, determine lo conducente, en términos del </w:t>
      </w:r>
      <w:r>
        <w:rPr>
          <w:rFonts w:ascii="Palatino Linotype" w:eastAsia="Palatino Linotype" w:hAnsi="Palatino Linotype" w:cs="Palatino Linotype"/>
          <w:b/>
          <w:bCs/>
          <w:color w:val="000000"/>
        </w:rPr>
        <w:t>Considerando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CUARTO</w:t>
      </w:r>
      <w:r>
        <w:rPr>
          <w:rFonts w:ascii="Palatino Linotype" w:eastAsia="Palatino Linotype" w:hAnsi="Palatino Linotype" w:cs="Palatino Linotype"/>
          <w:color w:val="000000"/>
        </w:rPr>
        <w:t xml:space="preserve"> de la presente resolución.</w:t>
      </w:r>
    </w:p>
    <w:p w:rsidR="00B34385" w:rsidRDefault="00B34385">
      <w:pPr>
        <w:spacing w:line="360" w:lineRule="auto"/>
        <w:ind w:right="-787"/>
        <w:jc w:val="both"/>
        <w:rPr>
          <w:rFonts w:ascii="Palatino Linotype" w:eastAsia="Palatino Linotype" w:hAnsi="Palatino Linotype" w:cs="Palatino Linotype"/>
          <w:color w:val="000000"/>
        </w:rPr>
      </w:pPr>
    </w:p>
    <w:p w:rsidR="00B34385" w:rsidRDefault="00DE3B61">
      <w:pPr>
        <w:spacing w:line="360" w:lineRule="auto"/>
        <w:ind w:right="-858"/>
        <w:jc w:val="both"/>
        <w:rPr>
          <w:rFonts w:ascii="Palatino Linotype" w:eastAsia="Palatino Linotype" w:hAnsi="Palatino Linotype" w:cs="Palatino Linotype"/>
          <w:b/>
          <w:bCs/>
        </w:rPr>
      </w:pPr>
      <w:r>
        <w:rPr>
          <w:rFonts w:ascii="Palatino Linotype" w:eastAsia="Palatino Linotype" w:hAnsi="Palatino Linotype" w:cs="Palatino Linotype"/>
          <w:b/>
          <w:bCs/>
        </w:rPr>
        <w:t>OCTAVO.</w:t>
      </w:r>
      <w:r>
        <w:rPr>
          <w:rFonts w:ascii="Palatino Linotype" w:eastAsia="Palatino Linotype" w:hAnsi="Palatino Linotype" w:cs="Palatino Linotype"/>
        </w:rPr>
        <w:t xml:space="preserve"> </w:t>
      </w:r>
      <w:r>
        <w:rPr>
          <w:rFonts w:ascii="Palatino Linotype" w:eastAsia="Palatino Linotype" w:hAnsi="Palatino Linotype" w:cs="Palatino Linotype"/>
          <w:b/>
          <w:bCs/>
        </w:rPr>
        <w:t>Gírese oficio</w:t>
      </w:r>
      <w:r>
        <w:rPr>
          <w:rFonts w:ascii="Palatino Linotype" w:eastAsia="Palatino Linotype" w:hAnsi="Palatino Linotype" w:cs="Palatino Linotype"/>
        </w:rPr>
        <w:t xml:space="preserve"> a la </w:t>
      </w:r>
      <w:r>
        <w:rPr>
          <w:rFonts w:ascii="Palatino Linotype" w:eastAsia="Palatino Linotype" w:hAnsi="Palatino Linotype" w:cs="Palatino Linotype"/>
          <w:b/>
          <w:bCs/>
        </w:rPr>
        <w:t>Secretaría Técnica del Pleno</w:t>
      </w:r>
      <w:r>
        <w:rPr>
          <w:rFonts w:ascii="Palatino Linotype" w:eastAsia="Palatino Linotype" w:hAnsi="Palatino Linotype" w:cs="Palatino Linotype"/>
        </w:rPr>
        <w:t xml:space="preserve"> de este Instituto para hacer del conocimiento del Órgano Interno de Control competente la presente resolución, a fin de que </w:t>
      </w:r>
      <w:r>
        <w:rPr>
          <w:rFonts w:ascii="Palatino Linotype" w:eastAsia="Palatino Linotype" w:hAnsi="Palatino Linotype" w:cs="Palatino Linotype"/>
        </w:rPr>
        <w:lastRenderedPageBreak/>
        <w:t xml:space="preserve">de conformidad con el artículo 190, de la Ley de Transparencia y Acceso a la Información Pública del Estado de México y Municipios, determine lo conducente, en términos de lo señalado en el </w:t>
      </w:r>
      <w:r>
        <w:rPr>
          <w:rFonts w:ascii="Palatino Linotype" w:eastAsia="Palatino Linotype" w:hAnsi="Palatino Linotype" w:cs="Palatino Linotype"/>
          <w:b/>
          <w:bCs/>
        </w:rPr>
        <w:t>Considerando CUARTO</w:t>
      </w:r>
      <w:r>
        <w:rPr>
          <w:rFonts w:ascii="Palatino Linotype" w:eastAsia="Palatino Linotype" w:hAnsi="Palatino Linotype" w:cs="Palatino Linotype"/>
        </w:rPr>
        <w:t xml:space="preserve"> de la presente Resolución</w:t>
      </w:r>
      <w:r>
        <w:rPr>
          <w:rFonts w:ascii="Palatino Linotype" w:eastAsia="Palatino Linotype" w:hAnsi="Palatino Linotype" w:cs="Palatino Linotype"/>
          <w:b/>
          <w:bCs/>
        </w:rPr>
        <w:t>.</w:t>
      </w:r>
    </w:p>
    <w:p w:rsidR="00B34385" w:rsidRDefault="00B34385">
      <w:pPr>
        <w:spacing w:line="360" w:lineRule="auto"/>
        <w:ind w:right="-787"/>
        <w:jc w:val="both"/>
        <w:rPr>
          <w:rFonts w:ascii="Palatino Linotype" w:eastAsia="Palatino Linotype" w:hAnsi="Palatino Linotype" w:cs="Palatino Linotype"/>
          <w:b/>
          <w:bCs/>
        </w:rPr>
      </w:pPr>
    </w:p>
    <w:p w:rsidR="008D354C" w:rsidRPr="003E2295" w:rsidRDefault="008D354C" w:rsidP="008D354C">
      <w:pPr>
        <w:spacing w:before="240" w:after="240" w:line="360" w:lineRule="auto"/>
        <w:ind w:right="-433" w:firstLine="1"/>
        <w:jc w:val="both"/>
        <w:rPr>
          <w:rFonts w:ascii="Palatino Linotype" w:hAnsi="Palatino Linotype"/>
        </w:rPr>
      </w:pPr>
      <w:bookmarkStart w:id="9"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B34385" w:rsidRDefault="00B34385">
      <w:pPr>
        <w:spacing w:before="240" w:after="240" w:line="360" w:lineRule="auto"/>
        <w:ind w:right="-787"/>
        <w:jc w:val="both"/>
        <w:rPr>
          <w:rFonts w:ascii="Palatino Linotype" w:eastAsia="Palatino Linotype" w:hAnsi="Palatino Linotype" w:cs="Palatino Linotype"/>
        </w:rPr>
      </w:pPr>
    </w:p>
    <w:p w:rsidR="00B34385" w:rsidRDefault="00B34385">
      <w:pPr>
        <w:rPr>
          <w:rFonts w:ascii="Palatino Linotype" w:eastAsia="Palatino Linotype" w:hAnsi="Palatino Linotype" w:cs="Palatino Linotype"/>
        </w:rPr>
      </w:pPr>
    </w:p>
    <w:p w:rsidR="00B34385" w:rsidRDefault="00B34385">
      <w:pPr>
        <w:spacing w:line="360" w:lineRule="auto"/>
        <w:ind w:right="-787"/>
        <w:rPr>
          <w:rFonts w:ascii="Palatino Linotype" w:eastAsia="Palatino Linotype" w:hAnsi="Palatino Linotype" w:cs="Palatino Linotype"/>
        </w:rPr>
      </w:pPr>
    </w:p>
    <w:p w:rsidR="00B34385" w:rsidRDefault="00B34385">
      <w:pPr>
        <w:spacing w:line="360" w:lineRule="auto"/>
        <w:ind w:right="-787"/>
        <w:rPr>
          <w:rFonts w:ascii="Palatino Linotype" w:eastAsia="Palatino Linotype" w:hAnsi="Palatino Linotype" w:cs="Palatino Linotype"/>
        </w:rPr>
      </w:pPr>
    </w:p>
    <w:p w:rsidR="00B34385" w:rsidRDefault="00B34385">
      <w:pPr>
        <w:spacing w:line="360" w:lineRule="auto"/>
        <w:ind w:right="-787"/>
        <w:rPr>
          <w:rFonts w:ascii="Palatino Linotype" w:eastAsia="Palatino Linotype" w:hAnsi="Palatino Linotype" w:cs="Palatino Linotype"/>
        </w:rPr>
      </w:pPr>
    </w:p>
    <w:p w:rsidR="00B34385" w:rsidRDefault="00DE3B61">
      <w:pPr>
        <w:tabs>
          <w:tab w:val="left" w:pos="3374"/>
        </w:tabs>
        <w:spacing w:line="360" w:lineRule="auto"/>
        <w:ind w:right="-787"/>
        <w:rPr>
          <w:rFonts w:ascii="Palatino Linotype" w:eastAsia="Palatino Linotype" w:hAnsi="Palatino Linotype" w:cs="Palatino Linotype"/>
        </w:rPr>
      </w:pPr>
      <w:bookmarkStart w:id="10" w:name="_heading=h.lnxbz9" w:colFirst="0" w:colLast="0"/>
      <w:bookmarkEnd w:id="10"/>
      <w:r>
        <w:rPr>
          <w:rFonts w:ascii="Palatino Linotype" w:eastAsia="Palatino Linotype" w:hAnsi="Palatino Linotype" w:cs="Palatino Linotype"/>
        </w:rPr>
        <w:tab/>
      </w: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p w:rsidR="00C74CDC" w:rsidRDefault="00C74CDC">
      <w:pPr>
        <w:tabs>
          <w:tab w:val="left" w:pos="3374"/>
        </w:tabs>
        <w:spacing w:line="360" w:lineRule="auto"/>
        <w:ind w:right="-787"/>
        <w:rPr>
          <w:rFonts w:ascii="Palatino Linotype" w:eastAsia="Palatino Linotype" w:hAnsi="Palatino Linotype" w:cs="Palatino Linotype"/>
        </w:rPr>
      </w:pPr>
    </w:p>
    <w:sectPr w:rsidR="00C74CDC">
      <w:headerReference w:type="even" r:id="rId9"/>
      <w:headerReference w:type="default" r:id="rId10"/>
      <w:footerReference w:type="default" r:id="rId11"/>
      <w:headerReference w:type="first" r:id="rId12"/>
      <w:footerReference w:type="first" r:id="rId13"/>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D1F" w:rsidRDefault="00AD3D1F">
      <w:r>
        <w:separator/>
      </w:r>
    </w:p>
  </w:endnote>
  <w:endnote w:type="continuationSeparator" w:id="0">
    <w:p w:rsidR="00AD3D1F" w:rsidRDefault="00AD3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551AD2B1-52EF-4182-9BB6-3FA8BD4D72B7}"/>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D2E379DE-D370-46F0-8D11-A31FA035B096}"/>
    <w:embedBold r:id="rId3" w:fontKey="{9FE4BDED-D047-41C6-BB2C-9F54CABA2378}"/>
    <w:embedItalic r:id="rId4" w:fontKey="{19B0BE58-C460-4523-B515-76310C3591DB}"/>
    <w:embedBoldItalic r:id="rId5" w:fontKey="{9A6F267C-862C-412B-AE20-75186E1BCEC4}"/>
  </w:font>
  <w:font w:name="Calibri">
    <w:panose1 w:val="020F0502020204030204"/>
    <w:charset w:val="00"/>
    <w:family w:val="swiss"/>
    <w:pitch w:val="variable"/>
    <w:sig w:usb0="E4002EFF" w:usb1="C200247B" w:usb2="00000009" w:usb3="00000000" w:csb0="000001FF" w:csb1="00000000"/>
    <w:embedRegular r:id="rId6" w:fontKey="{70D15647-A378-47B7-913A-540AFCDFA3D5}"/>
    <w:embedBold r:id="rId7" w:fontKey="{BBE1973E-819C-4F29-BEAA-35181B977EC4}"/>
  </w:font>
  <w:font w:name="Georgia">
    <w:panose1 w:val="02040502050405020303"/>
    <w:charset w:val="00"/>
    <w:family w:val="roman"/>
    <w:pitch w:val="variable"/>
    <w:sig w:usb0="00000287" w:usb1="00000000" w:usb2="00000000" w:usb3="00000000" w:csb0="0000009F" w:csb1="00000000"/>
    <w:embedItalic r:id="rId8" w:fontKey="{B02D2FCA-5FB2-4A6D-AEC4-8572915DA5ED}"/>
  </w:font>
  <w:font w:name="Cambria">
    <w:panose1 w:val="02040503050406030204"/>
    <w:charset w:val="00"/>
    <w:family w:val="roman"/>
    <w:pitch w:val="variable"/>
    <w:sig w:usb0="E00006FF" w:usb1="420024FF" w:usb2="02000000" w:usb3="00000000" w:csb0="0000019F" w:csb1="00000000"/>
    <w:embedRegular r:id="rId9" w:fontKey="{AD809639-D028-48C2-8876-DFB696A7318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D06" w:rsidRDefault="009B0D0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84BDA">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84BDA">
      <w:rPr>
        <w:rFonts w:ascii="Palatino Linotype" w:eastAsia="Palatino Linotype" w:hAnsi="Palatino Linotype" w:cs="Palatino Linotype"/>
        <w:noProof/>
        <w:color w:val="000000"/>
        <w:sz w:val="22"/>
        <w:szCs w:val="22"/>
      </w:rPr>
      <w:t>56</w:t>
    </w:r>
    <w:r>
      <w:rPr>
        <w:rFonts w:ascii="Palatino Linotype" w:eastAsia="Palatino Linotype" w:hAnsi="Palatino Linotype" w:cs="Palatino Linotype"/>
        <w:color w:val="000000"/>
        <w:sz w:val="22"/>
        <w:szCs w:val="22"/>
      </w:rPr>
      <w:fldChar w:fldCharType="end"/>
    </w:r>
  </w:p>
  <w:p w:rsidR="009B0D06" w:rsidRDefault="009B0D0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D06" w:rsidRDefault="009B0D0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84BDA">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84BDA">
      <w:rPr>
        <w:rFonts w:ascii="Palatino Linotype" w:eastAsia="Palatino Linotype" w:hAnsi="Palatino Linotype" w:cs="Palatino Linotype"/>
        <w:noProof/>
        <w:color w:val="000000"/>
        <w:sz w:val="22"/>
        <w:szCs w:val="22"/>
      </w:rPr>
      <w:t>56</w:t>
    </w:r>
    <w:r>
      <w:rPr>
        <w:rFonts w:ascii="Palatino Linotype" w:eastAsia="Palatino Linotype" w:hAnsi="Palatino Linotype" w:cs="Palatino Linotype"/>
        <w:color w:val="000000"/>
        <w:sz w:val="22"/>
        <w:szCs w:val="22"/>
      </w:rPr>
      <w:fldChar w:fldCharType="end"/>
    </w:r>
  </w:p>
  <w:p w:rsidR="009B0D06" w:rsidRDefault="009B0D0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D1F" w:rsidRDefault="00AD3D1F">
      <w:r>
        <w:separator/>
      </w:r>
    </w:p>
  </w:footnote>
  <w:footnote w:type="continuationSeparator" w:id="0">
    <w:p w:rsidR="00AD3D1F" w:rsidRDefault="00AD3D1F">
      <w:r>
        <w:continuationSeparator/>
      </w:r>
    </w:p>
  </w:footnote>
  <w:footnote w:id="1">
    <w:p w:rsidR="009B0D06" w:rsidRDefault="009B0D0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1, Ley de Documentos Administrativos e Históricos del Estado de México</w:t>
      </w:r>
    </w:p>
  </w:footnote>
  <w:footnote w:id="2">
    <w:p w:rsidR="009B0D06" w:rsidRDefault="009B0D0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31, Ley de Documentos Administrativos e Históricos del Estado de México</w:t>
      </w:r>
    </w:p>
  </w:footnote>
  <w:footnote w:id="3">
    <w:p w:rsidR="009B0D06" w:rsidRDefault="009B0D0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Lineamiento Primero, Lineamientos para la Organización y  Conservación de los Archivos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D06" w:rsidRDefault="009B0D0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750" w:type="dxa"/>
      <w:tblInd w:w="3261" w:type="dxa"/>
      <w:tblLayout w:type="fixed"/>
      <w:tblLook w:val="0400" w:firstRow="0" w:lastRow="0" w:firstColumn="0" w:lastColumn="0" w:noHBand="0" w:noVBand="1"/>
    </w:tblPr>
    <w:tblGrid>
      <w:gridCol w:w="3039"/>
      <w:gridCol w:w="3711"/>
    </w:tblGrid>
    <w:tr w:rsidR="009B0D06" w:rsidTr="00CE7910">
      <w:trPr>
        <w:trHeight w:val="227"/>
      </w:trPr>
      <w:tc>
        <w:tcPr>
          <w:tcW w:w="3039" w:type="dxa"/>
        </w:tcPr>
        <w:p w:rsidR="009B0D06" w:rsidRDefault="009B0D0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1" w:type="dxa"/>
        </w:tcPr>
        <w:p w:rsidR="009B0D06" w:rsidRDefault="009B0D06">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03638/INFOEM/IP/RR/2026</w:t>
          </w:r>
        </w:p>
      </w:tc>
    </w:tr>
    <w:tr w:rsidR="009B0D06" w:rsidTr="00CE7910">
      <w:trPr>
        <w:trHeight w:val="342"/>
      </w:trPr>
      <w:tc>
        <w:tcPr>
          <w:tcW w:w="3039" w:type="dxa"/>
        </w:tcPr>
        <w:p w:rsidR="009B0D06" w:rsidRDefault="009B0D06">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1" w:type="dxa"/>
        </w:tcPr>
        <w:p w:rsidR="009B0D06" w:rsidRDefault="009B0D06">
          <w:pPr>
            <w:pBdr>
              <w:top w:val="nil"/>
              <w:left w:val="nil"/>
              <w:bottom w:val="nil"/>
              <w:right w:val="nil"/>
              <w:between w:val="nil"/>
            </w:pBdr>
            <w:tabs>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Acambay de Ruíz Castañeda</w:t>
          </w:r>
        </w:p>
      </w:tc>
    </w:tr>
    <w:tr w:rsidR="009B0D06" w:rsidTr="00CE7910">
      <w:trPr>
        <w:trHeight w:val="342"/>
      </w:trPr>
      <w:tc>
        <w:tcPr>
          <w:tcW w:w="3039" w:type="dxa"/>
        </w:tcPr>
        <w:p w:rsidR="009B0D06" w:rsidRDefault="009B0D06">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1" w:type="dxa"/>
        </w:tcPr>
        <w:p w:rsidR="009B0D06" w:rsidRDefault="009B0D06">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9B0D06" w:rsidRDefault="009B0D06">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990" w:type="dxa"/>
      <w:tblInd w:w="3261" w:type="dxa"/>
      <w:tblLayout w:type="fixed"/>
      <w:tblLook w:val="0400" w:firstRow="0" w:lastRow="0" w:firstColumn="0" w:lastColumn="0" w:noHBand="0" w:noVBand="1"/>
    </w:tblPr>
    <w:tblGrid>
      <w:gridCol w:w="2895"/>
      <w:gridCol w:w="4095"/>
    </w:tblGrid>
    <w:tr w:rsidR="009B0D06">
      <w:trPr>
        <w:trHeight w:val="227"/>
      </w:trPr>
      <w:tc>
        <w:tcPr>
          <w:tcW w:w="2895" w:type="dxa"/>
        </w:tcPr>
        <w:p w:rsidR="009B0D06" w:rsidRDefault="009B0D0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095" w:type="dxa"/>
        </w:tcPr>
        <w:p w:rsidR="009B0D06" w:rsidRDefault="009B0D06">
          <w:pPr>
            <w:pBdr>
              <w:top w:val="nil"/>
              <w:left w:val="nil"/>
              <w:bottom w:val="nil"/>
              <w:right w:val="nil"/>
              <w:between w:val="nil"/>
            </w:pBdr>
            <w:ind w:right="-546"/>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03638/INFOEM/IP/RR/2026</w:t>
          </w:r>
        </w:p>
      </w:tc>
    </w:tr>
    <w:tr w:rsidR="009B0D06">
      <w:trPr>
        <w:trHeight w:val="242"/>
      </w:trPr>
      <w:tc>
        <w:tcPr>
          <w:tcW w:w="2895" w:type="dxa"/>
        </w:tcPr>
        <w:p w:rsidR="009B0D06" w:rsidRDefault="009B0D0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095" w:type="dxa"/>
        </w:tcPr>
        <w:p w:rsidR="009B0D06" w:rsidRDefault="009B0D06">
          <w:pPr>
            <w:pBdr>
              <w:top w:val="nil"/>
              <w:left w:val="nil"/>
              <w:bottom w:val="nil"/>
              <w:right w:val="nil"/>
              <w:between w:val="nil"/>
            </w:pBdr>
            <w:tabs>
              <w:tab w:val="left" w:pos="521"/>
            </w:tabs>
            <w:ind w:right="-546"/>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9B0D06">
      <w:trPr>
        <w:trHeight w:val="342"/>
      </w:trPr>
      <w:tc>
        <w:tcPr>
          <w:tcW w:w="2895" w:type="dxa"/>
        </w:tcPr>
        <w:p w:rsidR="009B0D06" w:rsidRDefault="009B0D06">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095" w:type="dxa"/>
        </w:tcPr>
        <w:p w:rsidR="009B0D06" w:rsidRDefault="009B0D06">
          <w:pPr>
            <w:pBdr>
              <w:top w:val="nil"/>
              <w:left w:val="nil"/>
              <w:bottom w:val="nil"/>
              <w:right w:val="nil"/>
              <w:between w:val="nil"/>
            </w:pBdr>
            <w:ind w:right="-546"/>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Acambay de Ruíz Castañeda</w:t>
          </w:r>
        </w:p>
      </w:tc>
    </w:tr>
    <w:tr w:rsidR="009B0D06">
      <w:trPr>
        <w:trHeight w:val="342"/>
      </w:trPr>
      <w:tc>
        <w:tcPr>
          <w:tcW w:w="2895" w:type="dxa"/>
        </w:tcPr>
        <w:p w:rsidR="009B0D06" w:rsidRDefault="009B0D06">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095" w:type="dxa"/>
        </w:tcPr>
        <w:p w:rsidR="009B0D06" w:rsidRDefault="009B0D06">
          <w:pPr>
            <w:pBdr>
              <w:top w:val="nil"/>
              <w:left w:val="nil"/>
              <w:bottom w:val="nil"/>
              <w:right w:val="nil"/>
              <w:between w:val="nil"/>
            </w:pBdr>
            <w:ind w:right="-546"/>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9B0D06" w:rsidRDefault="009B0D06">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2107B"/>
    <w:multiLevelType w:val="multilevel"/>
    <w:tmpl w:val="0556329E"/>
    <w:lvl w:ilvl="0">
      <w:start w:val="1"/>
      <w:numFmt w:val="upperRoman"/>
      <w:lvlText w:val="%1."/>
      <w:lvlJc w:val="left"/>
      <w:pPr>
        <w:ind w:left="1080" w:hanging="720"/>
      </w:pPr>
      <w:rPr>
        <w:rFonts w:ascii="Times New Roman" w:eastAsia="Times New Roman" w:hAnsi="Times New Roman" w:cs="Times New Roman"/>
        <w:b/>
        <w:bCs/>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 w15:restartNumberingAfterBreak="0">
    <w:nsid w:val="0E1D2415"/>
    <w:multiLevelType w:val="multilevel"/>
    <w:tmpl w:val="ED6E1A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85C45EA"/>
    <w:multiLevelType w:val="multilevel"/>
    <w:tmpl w:val="E504605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1F6B1495"/>
    <w:multiLevelType w:val="multilevel"/>
    <w:tmpl w:val="7DD28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0C79CD"/>
    <w:multiLevelType w:val="multilevel"/>
    <w:tmpl w:val="002E45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98B6C20"/>
    <w:multiLevelType w:val="multilevel"/>
    <w:tmpl w:val="BE4CE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3F3736"/>
    <w:multiLevelType w:val="multilevel"/>
    <w:tmpl w:val="C21E9324"/>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7" w15:restartNumberingAfterBreak="0">
    <w:nsid w:val="57F35766"/>
    <w:multiLevelType w:val="multilevel"/>
    <w:tmpl w:val="64EC28B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8" w15:restartNumberingAfterBreak="0">
    <w:nsid w:val="5DDB59FA"/>
    <w:multiLevelType w:val="multilevel"/>
    <w:tmpl w:val="3626BF4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606E204F"/>
    <w:multiLevelType w:val="multilevel"/>
    <w:tmpl w:val="5E64B3C2"/>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310341F"/>
    <w:multiLevelType w:val="multilevel"/>
    <w:tmpl w:val="A808B51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1" w15:restartNumberingAfterBreak="0">
    <w:nsid w:val="692164DB"/>
    <w:multiLevelType w:val="multilevel"/>
    <w:tmpl w:val="EF60E1DC"/>
    <w:lvl w:ilvl="0">
      <w:start w:val="1"/>
      <w:numFmt w:val="decimal"/>
      <w:lvlText w:val="%1)"/>
      <w:lvlJc w:val="left"/>
      <w:pPr>
        <w:ind w:left="1909" w:hanging="360"/>
      </w:pPr>
    </w:lvl>
    <w:lvl w:ilvl="1">
      <w:start w:val="1"/>
      <w:numFmt w:val="lowerLetter"/>
      <w:lvlText w:val="%2."/>
      <w:lvlJc w:val="left"/>
      <w:pPr>
        <w:ind w:left="2629" w:hanging="360"/>
      </w:pPr>
    </w:lvl>
    <w:lvl w:ilvl="2">
      <w:start w:val="1"/>
      <w:numFmt w:val="lowerRoman"/>
      <w:lvlText w:val="%3."/>
      <w:lvlJc w:val="right"/>
      <w:pPr>
        <w:ind w:left="3349" w:hanging="180"/>
      </w:pPr>
    </w:lvl>
    <w:lvl w:ilvl="3">
      <w:start w:val="1"/>
      <w:numFmt w:val="decimal"/>
      <w:lvlText w:val="%4."/>
      <w:lvlJc w:val="left"/>
      <w:pPr>
        <w:ind w:left="4069" w:hanging="360"/>
      </w:pPr>
    </w:lvl>
    <w:lvl w:ilvl="4">
      <w:start w:val="1"/>
      <w:numFmt w:val="lowerLetter"/>
      <w:lvlText w:val="%5."/>
      <w:lvlJc w:val="left"/>
      <w:pPr>
        <w:ind w:left="4789" w:hanging="360"/>
      </w:pPr>
    </w:lvl>
    <w:lvl w:ilvl="5">
      <w:start w:val="1"/>
      <w:numFmt w:val="lowerRoman"/>
      <w:lvlText w:val="%6."/>
      <w:lvlJc w:val="right"/>
      <w:pPr>
        <w:ind w:left="5509" w:hanging="180"/>
      </w:pPr>
    </w:lvl>
    <w:lvl w:ilvl="6">
      <w:start w:val="1"/>
      <w:numFmt w:val="decimal"/>
      <w:lvlText w:val="%7."/>
      <w:lvlJc w:val="left"/>
      <w:pPr>
        <w:ind w:left="6229" w:hanging="360"/>
      </w:pPr>
    </w:lvl>
    <w:lvl w:ilvl="7">
      <w:start w:val="1"/>
      <w:numFmt w:val="lowerLetter"/>
      <w:lvlText w:val="%8."/>
      <w:lvlJc w:val="left"/>
      <w:pPr>
        <w:ind w:left="6949" w:hanging="360"/>
      </w:pPr>
    </w:lvl>
    <w:lvl w:ilvl="8">
      <w:start w:val="1"/>
      <w:numFmt w:val="lowerRoman"/>
      <w:lvlText w:val="%9."/>
      <w:lvlJc w:val="right"/>
      <w:pPr>
        <w:ind w:left="7669" w:hanging="180"/>
      </w:pPr>
    </w:lvl>
  </w:abstractNum>
  <w:abstractNum w:abstractNumId="12" w15:restartNumberingAfterBreak="0">
    <w:nsid w:val="6C735631"/>
    <w:multiLevelType w:val="multilevel"/>
    <w:tmpl w:val="BFC211D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F5C5E18"/>
    <w:multiLevelType w:val="multilevel"/>
    <w:tmpl w:val="22461D5E"/>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63D635E"/>
    <w:multiLevelType w:val="multilevel"/>
    <w:tmpl w:val="988248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7DC36E27"/>
    <w:multiLevelType w:val="multilevel"/>
    <w:tmpl w:val="1ECE0D9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14"/>
  </w:num>
  <w:num w:numId="2">
    <w:abstractNumId w:val="1"/>
  </w:num>
  <w:num w:numId="3">
    <w:abstractNumId w:val="10"/>
  </w:num>
  <w:num w:numId="4">
    <w:abstractNumId w:val="9"/>
  </w:num>
  <w:num w:numId="5">
    <w:abstractNumId w:val="7"/>
  </w:num>
  <w:num w:numId="6">
    <w:abstractNumId w:val="2"/>
  </w:num>
  <w:num w:numId="7">
    <w:abstractNumId w:val="12"/>
  </w:num>
  <w:num w:numId="8">
    <w:abstractNumId w:val="11"/>
  </w:num>
  <w:num w:numId="9">
    <w:abstractNumId w:val="6"/>
  </w:num>
  <w:num w:numId="10">
    <w:abstractNumId w:val="3"/>
  </w:num>
  <w:num w:numId="11">
    <w:abstractNumId w:val="13"/>
  </w:num>
  <w:num w:numId="12">
    <w:abstractNumId w:val="15"/>
  </w:num>
  <w:num w:numId="13">
    <w:abstractNumId w:val="4"/>
  </w:num>
  <w:num w:numId="14">
    <w:abstractNumId w:val="0"/>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385"/>
    <w:rsid w:val="000F5D19"/>
    <w:rsid w:val="001236B3"/>
    <w:rsid w:val="001B73F1"/>
    <w:rsid w:val="00553504"/>
    <w:rsid w:val="00684BDA"/>
    <w:rsid w:val="007B51DF"/>
    <w:rsid w:val="008D354C"/>
    <w:rsid w:val="008D4B15"/>
    <w:rsid w:val="009B0D06"/>
    <w:rsid w:val="00AD3D1F"/>
    <w:rsid w:val="00B34385"/>
    <w:rsid w:val="00B913D8"/>
    <w:rsid w:val="00C44BA0"/>
    <w:rsid w:val="00C74CDC"/>
    <w:rsid w:val="00CE7910"/>
    <w:rsid w:val="00DE3B61"/>
    <w:rsid w:val="00E00776"/>
    <w:rsid w:val="00E67DA2"/>
    <w:rsid w:val="00E70632"/>
    <w:rsid w:val="00E810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1C90F49-988A-4B73-8D04-91655657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CE7910"/>
    <w:pPr>
      <w:tabs>
        <w:tab w:val="center" w:pos="4419"/>
        <w:tab w:val="right" w:pos="8838"/>
      </w:tabs>
    </w:pPr>
  </w:style>
  <w:style w:type="character" w:customStyle="1" w:styleId="PiedepginaCar">
    <w:name w:val="Pie de página Car"/>
    <w:basedOn w:val="Fuentedeprrafopredeter"/>
    <w:link w:val="Piedepgina"/>
    <w:uiPriority w:val="99"/>
    <w:rsid w:val="00CE7910"/>
  </w:style>
  <w:style w:type="paragraph" w:styleId="Prrafodelista">
    <w:name w:val="List Paragraph"/>
    <w:basedOn w:val="Normal"/>
    <w:uiPriority w:val="34"/>
    <w:qFormat/>
    <w:rsid w:val="00CE79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UznV4QH+AerqjAp0mF2TNSqgLg==">CgMxLjAyCGguZ2pkZ3hzMgloLjMwajB6bGwyCWguMWZvYjl0ZTIJaC4zem55c2g3MgloLjJldDkycDAyCWguMXQzaDVzZjIJaC4yczhleW8xMgloLjNyZGNyam4yCGgubG54Yno5OAByITFGcjVYeWstdnVGdy1pWjhSci01cnNLZE5FLUF0Y1k0cg==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56</Pages>
  <Words>15388</Words>
  <Characters>84637</Characters>
  <Application>Microsoft Office Word</Application>
  <DocSecurity>0</DocSecurity>
  <Lines>705</Lines>
  <Paragraphs>199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99826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9</cp:revision>
  <cp:lastPrinted>2026-07-03T16:02:00Z</cp:lastPrinted>
  <dcterms:created xsi:type="dcterms:W3CDTF">2026-06-29T17:40:00Z</dcterms:created>
  <dcterms:modified xsi:type="dcterms:W3CDTF">2026-07-08T17:39:00Z</dcterms:modified>
</cp:coreProperties>
</file>