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4F8C" w14:textId="05DEE4AB" w:rsidR="00573953" w:rsidRPr="0097202D" w:rsidRDefault="00C96B0D">
      <w:pPr>
        <w:spacing w:line="360" w:lineRule="auto"/>
        <w:jc w:val="both"/>
        <w:rPr>
          <w:rFonts w:ascii="Palatino Linotype" w:eastAsia="Palatino Linotype" w:hAnsi="Palatino Linotype" w:cs="Palatino Linotype"/>
          <w:sz w:val="22"/>
          <w:szCs w:val="22"/>
        </w:rPr>
      </w:pPr>
      <w:bookmarkStart w:id="0" w:name="_GoBack"/>
      <w:bookmarkEnd w:id="0"/>
      <w:r w:rsidRPr="0097202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97202D">
        <w:rPr>
          <w:rFonts w:ascii="Palatino Linotype" w:eastAsia="Palatino Linotype" w:hAnsi="Palatino Linotype" w:cs="Palatino Linotype"/>
          <w:sz w:val="22"/>
          <w:szCs w:val="22"/>
        </w:rPr>
        <w:t xml:space="preserve">a </w:t>
      </w:r>
      <w:r w:rsidR="00C675CA" w:rsidRPr="0097202D">
        <w:rPr>
          <w:rFonts w:ascii="Palatino Linotype" w:eastAsia="Palatino Linotype" w:hAnsi="Palatino Linotype" w:cs="Palatino Linotype"/>
          <w:sz w:val="22"/>
          <w:szCs w:val="22"/>
        </w:rPr>
        <w:t>catorce de enero de dos mil veintiséis</w:t>
      </w:r>
      <w:r w:rsidR="00A539B6" w:rsidRPr="0097202D">
        <w:rPr>
          <w:rFonts w:ascii="Palatino Linotype" w:eastAsia="Palatino Linotype" w:hAnsi="Palatino Linotype" w:cs="Palatino Linotype"/>
          <w:sz w:val="22"/>
          <w:szCs w:val="22"/>
        </w:rPr>
        <w:t>.</w:t>
      </w:r>
    </w:p>
    <w:p w14:paraId="2F846E60"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068B1B6A" w14:textId="112F4C74" w:rsidR="00573953" w:rsidRPr="0097202D" w:rsidRDefault="00C96B0D">
      <w:pPr>
        <w:spacing w:line="360" w:lineRule="auto"/>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b/>
          <w:sz w:val="22"/>
          <w:szCs w:val="22"/>
        </w:rPr>
        <w:t>Visto</w:t>
      </w:r>
      <w:r w:rsidRPr="0097202D">
        <w:rPr>
          <w:rFonts w:ascii="Palatino Linotype" w:eastAsia="Palatino Linotype" w:hAnsi="Palatino Linotype" w:cs="Palatino Linotype"/>
          <w:sz w:val="22"/>
          <w:szCs w:val="22"/>
        </w:rPr>
        <w:t xml:space="preserve"> el expediente relativo al recurso de revisión </w:t>
      </w:r>
      <w:r w:rsidR="00C675CA" w:rsidRPr="0097202D">
        <w:rPr>
          <w:rFonts w:ascii="Palatino Linotype" w:eastAsia="Palatino Linotype" w:hAnsi="Palatino Linotype" w:cs="Palatino Linotype"/>
          <w:b/>
          <w:sz w:val="22"/>
          <w:szCs w:val="22"/>
        </w:rPr>
        <w:t>10089</w:t>
      </w:r>
      <w:r w:rsidR="00F616EA" w:rsidRPr="0097202D">
        <w:rPr>
          <w:rFonts w:ascii="Palatino Linotype" w:eastAsia="Palatino Linotype" w:hAnsi="Palatino Linotype" w:cs="Palatino Linotype"/>
          <w:b/>
          <w:sz w:val="22"/>
          <w:szCs w:val="22"/>
        </w:rPr>
        <w:t>/</w:t>
      </w:r>
      <w:r w:rsidRPr="0097202D">
        <w:rPr>
          <w:rFonts w:ascii="Palatino Linotype" w:eastAsia="Palatino Linotype" w:hAnsi="Palatino Linotype" w:cs="Palatino Linotype"/>
          <w:b/>
          <w:sz w:val="22"/>
          <w:szCs w:val="22"/>
        </w:rPr>
        <w:t>INFOEM/IP/RR/202</w:t>
      </w:r>
      <w:r w:rsidR="00013D22" w:rsidRPr="0097202D">
        <w:rPr>
          <w:rFonts w:ascii="Palatino Linotype" w:eastAsia="Palatino Linotype" w:hAnsi="Palatino Linotype" w:cs="Palatino Linotype"/>
          <w:b/>
          <w:sz w:val="22"/>
          <w:szCs w:val="22"/>
        </w:rPr>
        <w:t>5</w:t>
      </w:r>
      <w:r w:rsidRPr="0097202D">
        <w:rPr>
          <w:rFonts w:ascii="Palatino Linotype" w:eastAsia="Palatino Linotype" w:hAnsi="Palatino Linotype" w:cs="Palatino Linotype"/>
          <w:sz w:val="22"/>
          <w:szCs w:val="22"/>
        </w:rPr>
        <w:t xml:space="preserve">, interpuesto por </w:t>
      </w:r>
      <w:r w:rsidR="00C675CA" w:rsidRPr="0097202D">
        <w:rPr>
          <w:rFonts w:ascii="Palatino Linotype" w:eastAsia="Palatino Linotype" w:hAnsi="Palatino Linotype" w:cs="Palatino Linotype"/>
          <w:b/>
          <w:sz w:val="22"/>
          <w:szCs w:val="22"/>
        </w:rPr>
        <w:t>una persona usuaria del Sistema de Acceso a la Información Mexiquense</w:t>
      </w:r>
      <w:r w:rsidR="00013D22"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sz w:val="22"/>
          <w:szCs w:val="22"/>
        </w:rPr>
        <w:t>en lo sucesivo se le denominará la parte</w:t>
      </w:r>
      <w:r w:rsidRPr="0097202D">
        <w:rPr>
          <w:rFonts w:ascii="Palatino Linotype" w:eastAsia="Palatino Linotype" w:hAnsi="Palatino Linotype" w:cs="Palatino Linotype"/>
          <w:b/>
          <w:sz w:val="22"/>
          <w:szCs w:val="22"/>
        </w:rPr>
        <w:t xml:space="preserve"> RECURRENTE</w:t>
      </w:r>
      <w:r w:rsidRPr="0097202D">
        <w:rPr>
          <w:rFonts w:ascii="Palatino Linotype" w:eastAsia="Palatino Linotype" w:hAnsi="Palatino Linotype" w:cs="Palatino Linotype"/>
          <w:sz w:val="22"/>
          <w:szCs w:val="22"/>
        </w:rPr>
        <w:t>, en contra de la respuesta a su solicitud de información con número de folio</w:t>
      </w:r>
      <w:r w:rsidRPr="0097202D">
        <w:rPr>
          <w:rFonts w:ascii="Palatino Linotype" w:eastAsia="Palatino Linotype" w:hAnsi="Palatino Linotype" w:cs="Palatino Linotype"/>
          <w:b/>
          <w:sz w:val="22"/>
          <w:szCs w:val="22"/>
        </w:rPr>
        <w:t xml:space="preserve"> 0</w:t>
      </w:r>
      <w:r w:rsidR="00C675CA" w:rsidRPr="0097202D">
        <w:rPr>
          <w:rFonts w:ascii="Palatino Linotype" w:eastAsia="Palatino Linotype" w:hAnsi="Palatino Linotype" w:cs="Palatino Linotype"/>
          <w:b/>
          <w:sz w:val="22"/>
          <w:szCs w:val="22"/>
        </w:rPr>
        <w:t>0555</w:t>
      </w:r>
      <w:r w:rsidR="00E75291" w:rsidRPr="0097202D">
        <w:rPr>
          <w:rFonts w:ascii="Palatino Linotype" w:eastAsia="Palatino Linotype" w:hAnsi="Palatino Linotype" w:cs="Palatino Linotype"/>
          <w:b/>
          <w:sz w:val="22"/>
          <w:szCs w:val="22"/>
        </w:rPr>
        <w:t>/</w:t>
      </w:r>
      <w:r w:rsidR="00C675CA" w:rsidRPr="0097202D">
        <w:rPr>
          <w:rFonts w:ascii="Palatino Linotype" w:eastAsia="Palatino Linotype" w:hAnsi="Palatino Linotype" w:cs="Palatino Linotype"/>
          <w:b/>
          <w:sz w:val="22"/>
          <w:szCs w:val="22"/>
        </w:rPr>
        <w:t>ZINACANT</w:t>
      </w:r>
      <w:r w:rsidR="00013D22" w:rsidRPr="0097202D">
        <w:rPr>
          <w:rFonts w:ascii="Palatino Linotype" w:eastAsia="Palatino Linotype" w:hAnsi="Palatino Linotype" w:cs="Palatino Linotype"/>
          <w:b/>
          <w:sz w:val="22"/>
          <w:szCs w:val="22"/>
        </w:rPr>
        <w:t>/IP/2025</w:t>
      </w:r>
      <w:r w:rsidR="00C675CA" w:rsidRPr="0097202D">
        <w:rPr>
          <w:rFonts w:ascii="Palatino Linotype" w:eastAsia="Palatino Linotype" w:hAnsi="Palatino Linotype" w:cs="Palatino Linotype"/>
          <w:sz w:val="22"/>
          <w:szCs w:val="22"/>
        </w:rPr>
        <w:t xml:space="preserve">, por parte del Ayuntamiento de Zinacantepec </w:t>
      </w:r>
      <w:r w:rsidRPr="0097202D">
        <w:rPr>
          <w:rFonts w:ascii="Palatino Linotype" w:eastAsia="Palatino Linotype" w:hAnsi="Palatino Linotype" w:cs="Palatino Linotype"/>
          <w:sz w:val="22"/>
          <w:szCs w:val="22"/>
        </w:rPr>
        <w:t xml:space="preserve">en lo sucesivo el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w:t>
      </w:r>
      <w:r w:rsidRPr="0097202D">
        <w:rPr>
          <w:rFonts w:ascii="Palatino Linotype" w:eastAsia="Palatino Linotype" w:hAnsi="Palatino Linotype" w:cs="Palatino Linotype"/>
          <w:b/>
          <w:sz w:val="22"/>
          <w:szCs w:val="22"/>
        </w:rPr>
        <w:t xml:space="preserve"> </w:t>
      </w:r>
      <w:r w:rsidRPr="0097202D">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97202D"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7202D">
        <w:rPr>
          <w:rFonts w:ascii="Palatino Linotype" w:eastAsia="Palatino Linotype" w:hAnsi="Palatino Linotype" w:cs="Palatino Linotype"/>
          <w:b/>
          <w:sz w:val="22"/>
          <w:szCs w:val="22"/>
        </w:rPr>
        <w:t>A N T E C E D E N T E S:</w:t>
      </w:r>
    </w:p>
    <w:p w14:paraId="15A3C21E" w14:textId="77777777" w:rsidR="00573953" w:rsidRPr="0097202D"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65AB358" w14:textId="065A8208" w:rsidR="00573953" w:rsidRPr="0097202D" w:rsidRDefault="00C96B0D">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b/>
          <w:sz w:val="22"/>
          <w:szCs w:val="22"/>
        </w:rPr>
        <w:t xml:space="preserve">Solicitud de acceso a la información. </w:t>
      </w:r>
      <w:r w:rsidRPr="0097202D">
        <w:rPr>
          <w:rFonts w:ascii="Palatino Linotype" w:eastAsia="Palatino Linotype" w:hAnsi="Palatino Linotype" w:cs="Palatino Linotype"/>
          <w:sz w:val="22"/>
          <w:szCs w:val="22"/>
        </w:rPr>
        <w:t xml:space="preserve">Con fecha </w:t>
      </w:r>
      <w:r w:rsidR="00C675CA" w:rsidRPr="0097202D">
        <w:rPr>
          <w:rFonts w:ascii="Palatino Linotype" w:eastAsia="Palatino Linotype" w:hAnsi="Palatino Linotype" w:cs="Palatino Linotype"/>
          <w:b/>
          <w:sz w:val="22"/>
          <w:szCs w:val="22"/>
        </w:rPr>
        <w:t>once de julio</w:t>
      </w:r>
      <w:r w:rsidRPr="0097202D">
        <w:rPr>
          <w:rFonts w:ascii="Palatino Linotype" w:eastAsia="Palatino Linotype" w:hAnsi="Palatino Linotype" w:cs="Palatino Linotype"/>
          <w:b/>
          <w:sz w:val="22"/>
          <w:szCs w:val="22"/>
        </w:rPr>
        <w:t xml:space="preserve"> de dos mil </w:t>
      </w:r>
      <w:r w:rsidR="00013D22" w:rsidRPr="0097202D">
        <w:rPr>
          <w:rFonts w:ascii="Palatino Linotype" w:eastAsia="Palatino Linotype" w:hAnsi="Palatino Linotype" w:cs="Palatino Linotype"/>
          <w:b/>
          <w:sz w:val="22"/>
          <w:szCs w:val="22"/>
        </w:rPr>
        <w:t>veinticinco</w:t>
      </w:r>
      <w:r w:rsidRPr="0097202D">
        <w:rPr>
          <w:rFonts w:ascii="Palatino Linotype" w:eastAsia="Palatino Linotype" w:hAnsi="Palatino Linotype" w:cs="Palatino Linotype"/>
          <w:sz w:val="22"/>
          <w:szCs w:val="22"/>
        </w:rPr>
        <w:t xml:space="preserve">, la parte </w:t>
      </w:r>
      <w:r w:rsidRPr="0097202D">
        <w:rPr>
          <w:rFonts w:ascii="Palatino Linotype" w:eastAsia="Palatino Linotype" w:hAnsi="Palatino Linotype" w:cs="Palatino Linotype"/>
          <w:b/>
          <w:sz w:val="22"/>
          <w:szCs w:val="22"/>
        </w:rPr>
        <w:t>RECURRENTE</w:t>
      </w:r>
      <w:r w:rsidRPr="0097202D">
        <w:rPr>
          <w:rFonts w:ascii="Palatino Linotype" w:eastAsia="Palatino Linotype" w:hAnsi="Palatino Linotype" w:cs="Palatino Linotype"/>
          <w:sz w:val="22"/>
          <w:szCs w:val="22"/>
        </w:rPr>
        <w:t xml:space="preserve"> formuló solicitud de acceso a información pública al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xml:space="preserve"> a través d</w:t>
      </w:r>
      <w:r w:rsidR="00D2331D" w:rsidRPr="0097202D">
        <w:rPr>
          <w:rFonts w:ascii="Palatino Linotype" w:eastAsia="Palatino Linotype" w:hAnsi="Palatino Linotype" w:cs="Palatino Linotype"/>
          <w:sz w:val="22"/>
          <w:szCs w:val="22"/>
        </w:rPr>
        <w:t xml:space="preserve">el </w:t>
      </w:r>
      <w:r w:rsidRPr="0097202D">
        <w:rPr>
          <w:rFonts w:ascii="Palatino Linotype" w:eastAsia="Palatino Linotype" w:hAnsi="Palatino Linotype" w:cs="Palatino Linotype"/>
          <w:sz w:val="22"/>
          <w:szCs w:val="22"/>
        </w:rPr>
        <w:t xml:space="preserve">Sistema de Acceso a la Información Mexiquense, en adelante </w:t>
      </w:r>
      <w:r w:rsidRPr="0097202D">
        <w:rPr>
          <w:rFonts w:ascii="Palatino Linotype" w:eastAsia="Palatino Linotype" w:hAnsi="Palatino Linotype" w:cs="Palatino Linotype"/>
          <w:b/>
          <w:sz w:val="22"/>
          <w:szCs w:val="22"/>
        </w:rPr>
        <w:t>SAIMEX</w:t>
      </w:r>
      <w:r w:rsidRPr="0097202D">
        <w:rPr>
          <w:rFonts w:ascii="Palatino Linotype" w:eastAsia="Palatino Linotype" w:hAnsi="Palatino Linotype" w:cs="Palatino Linotype"/>
          <w:sz w:val="22"/>
          <w:szCs w:val="22"/>
        </w:rPr>
        <w:t>, requiriéndole lo siguiente:</w:t>
      </w:r>
    </w:p>
    <w:p w14:paraId="209F0486" w14:textId="77777777" w:rsidR="00573953" w:rsidRPr="0097202D" w:rsidRDefault="0057395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276BC55" w14:textId="586EADB8" w:rsidR="00573953" w:rsidRPr="0097202D" w:rsidRDefault="00C675CA">
      <w:pPr>
        <w:spacing w:line="360" w:lineRule="auto"/>
        <w:ind w:left="709" w:right="900"/>
        <w:jc w:val="both"/>
        <w:rPr>
          <w:rFonts w:ascii="Palatino Linotype" w:eastAsia="Palatino Linotype" w:hAnsi="Palatino Linotype" w:cs="Palatino Linotype"/>
          <w:i/>
          <w:sz w:val="22"/>
          <w:szCs w:val="22"/>
        </w:rPr>
      </w:pPr>
      <w:bookmarkStart w:id="1" w:name="_Hlk216866768"/>
      <w:r w:rsidRPr="0097202D">
        <w:rPr>
          <w:rFonts w:ascii="Palatino Linotype" w:eastAsia="Palatino Linotype" w:hAnsi="Palatino Linotype" w:cs="Palatino Linotype"/>
          <w:i/>
          <w:sz w:val="22"/>
          <w:szCs w:val="22"/>
        </w:rPr>
        <w:t xml:space="preserve">Lista de todos los empleados del ayuntamiento que se encuentran comisionados a </w:t>
      </w:r>
      <w:proofErr w:type="gramStart"/>
      <w:r w:rsidRPr="0097202D">
        <w:rPr>
          <w:rFonts w:ascii="Palatino Linotype" w:eastAsia="Palatino Linotype" w:hAnsi="Palatino Linotype" w:cs="Palatino Linotype"/>
          <w:i/>
          <w:sz w:val="22"/>
          <w:szCs w:val="22"/>
        </w:rPr>
        <w:t>una área diferente</w:t>
      </w:r>
      <w:proofErr w:type="gramEnd"/>
      <w:r w:rsidRPr="0097202D">
        <w:rPr>
          <w:rFonts w:ascii="Palatino Linotype" w:eastAsia="Palatino Linotype" w:hAnsi="Palatino Linotype" w:cs="Palatino Linotype"/>
          <w:i/>
          <w:sz w:val="22"/>
          <w:szCs w:val="22"/>
        </w:rPr>
        <w:t xml:space="preserve"> a su área de adscripción, sueldo, funciones, horario, antigüedad</w:t>
      </w:r>
    </w:p>
    <w:bookmarkEnd w:id="1"/>
    <w:p w14:paraId="290B4024" w14:textId="77777777" w:rsidR="00C675CA" w:rsidRPr="0097202D" w:rsidRDefault="00C675CA">
      <w:pPr>
        <w:spacing w:line="360" w:lineRule="auto"/>
        <w:ind w:left="709" w:right="900"/>
        <w:jc w:val="both"/>
        <w:rPr>
          <w:rFonts w:ascii="Palatino Linotype" w:eastAsia="Palatino Linotype" w:hAnsi="Palatino Linotype" w:cs="Palatino Linotype"/>
          <w:b/>
          <w:i/>
          <w:sz w:val="22"/>
          <w:szCs w:val="22"/>
        </w:rPr>
      </w:pPr>
    </w:p>
    <w:p w14:paraId="3023E664" w14:textId="3E0C482F"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Modalidad elegida para la entrega de la información: </w:t>
      </w:r>
      <w:r w:rsidRPr="0097202D">
        <w:rPr>
          <w:rFonts w:ascii="Palatino Linotype" w:eastAsia="Palatino Linotype" w:hAnsi="Palatino Linotype" w:cs="Palatino Linotype"/>
          <w:sz w:val="22"/>
          <w:szCs w:val="22"/>
        </w:rPr>
        <w:t>a través del Sistema de Acceso a la Información Mexiquense</w:t>
      </w:r>
      <w:r w:rsidR="00BE77C7" w:rsidRPr="0097202D">
        <w:rPr>
          <w:rFonts w:ascii="Palatino Linotype" w:eastAsia="Palatino Linotype" w:hAnsi="Palatino Linotype" w:cs="Palatino Linotype"/>
          <w:sz w:val="22"/>
          <w:szCs w:val="22"/>
        </w:rPr>
        <w:t>.</w:t>
      </w:r>
    </w:p>
    <w:p w14:paraId="2639C8A6" w14:textId="77777777" w:rsidR="00D2331D" w:rsidRPr="0097202D" w:rsidRDefault="00D2331D" w:rsidP="00D2331D">
      <w:pPr>
        <w:pBdr>
          <w:top w:val="nil"/>
          <w:left w:val="nil"/>
          <w:bottom w:val="nil"/>
          <w:right w:val="nil"/>
          <w:between w:val="nil"/>
        </w:pBdr>
        <w:spacing w:line="276" w:lineRule="auto"/>
        <w:ind w:right="616"/>
        <w:jc w:val="both"/>
        <w:rPr>
          <w:rFonts w:ascii="Palatino Linotype" w:eastAsia="Palatino Linotype" w:hAnsi="Palatino Linotype" w:cs="Palatino Linotype"/>
          <w:i/>
          <w:iCs/>
          <w:sz w:val="22"/>
          <w:szCs w:val="22"/>
        </w:rPr>
      </w:pPr>
    </w:p>
    <w:p w14:paraId="69DD7FB0" w14:textId="36FAB3AA" w:rsidR="00C675CA" w:rsidRPr="0097202D" w:rsidRDefault="00C675C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lastRenderedPageBreak/>
        <w:t>Ampliación</w:t>
      </w:r>
      <w:r w:rsidR="00A539B6" w:rsidRPr="0097202D">
        <w:rPr>
          <w:rFonts w:ascii="Palatino Linotype" w:eastAsia="Palatino Linotype" w:hAnsi="Palatino Linotype" w:cs="Palatino Linotype"/>
          <w:b/>
          <w:sz w:val="22"/>
          <w:szCs w:val="22"/>
        </w:rPr>
        <w:t xml:space="preserve"> de plazo para emitir respuesta</w:t>
      </w:r>
      <w:r w:rsidRPr="0097202D">
        <w:rPr>
          <w:rFonts w:ascii="Palatino Linotype" w:eastAsia="Palatino Linotype" w:hAnsi="Palatino Linotype" w:cs="Palatino Linotype"/>
          <w:b/>
          <w:sz w:val="22"/>
          <w:szCs w:val="22"/>
        </w:rPr>
        <w:t xml:space="preserve">. </w:t>
      </w:r>
      <w:r w:rsidRPr="0097202D">
        <w:rPr>
          <w:rFonts w:ascii="Palatino Linotype" w:eastAsia="Palatino Linotype" w:hAnsi="Palatino Linotype" w:cs="Palatino Linotype"/>
          <w:sz w:val="22"/>
          <w:szCs w:val="22"/>
        </w:rPr>
        <w:t xml:space="preserve">Con fecha </w:t>
      </w:r>
      <w:r w:rsidRPr="0097202D">
        <w:rPr>
          <w:rFonts w:ascii="Palatino Linotype" w:eastAsia="Palatino Linotype" w:hAnsi="Palatino Linotype" w:cs="Palatino Linotype"/>
          <w:b/>
          <w:sz w:val="22"/>
          <w:szCs w:val="22"/>
        </w:rPr>
        <w:t xml:space="preserve">dieciocho de agosto de dos mil veinticinco. </w:t>
      </w:r>
      <w:r w:rsidRPr="0097202D">
        <w:rPr>
          <w:rFonts w:ascii="Palatino Linotype" w:eastAsia="Palatino Linotype" w:hAnsi="Palatino Linotype" w:cs="Palatino Linotype"/>
          <w:sz w:val="22"/>
          <w:szCs w:val="22"/>
        </w:rPr>
        <w:t xml:space="preserve">El </w:t>
      </w:r>
      <w:r w:rsidRPr="0097202D">
        <w:rPr>
          <w:rFonts w:ascii="Palatino Linotype" w:eastAsia="Palatino Linotype" w:hAnsi="Palatino Linotype" w:cs="Palatino Linotype"/>
          <w:b/>
          <w:sz w:val="22"/>
          <w:szCs w:val="22"/>
        </w:rPr>
        <w:t xml:space="preserve">SUJETO OBLIGADO </w:t>
      </w:r>
      <w:r w:rsidRPr="0097202D">
        <w:rPr>
          <w:rFonts w:ascii="Palatino Linotype" w:eastAsia="Palatino Linotype" w:hAnsi="Palatino Linotype" w:cs="Palatino Linotype"/>
          <w:sz w:val="22"/>
          <w:szCs w:val="22"/>
        </w:rPr>
        <w:t xml:space="preserve">aprobó una ampliación de plazo para dar respuesta. </w:t>
      </w:r>
    </w:p>
    <w:p w14:paraId="4ACB5ECB" w14:textId="77777777" w:rsidR="00A539B6" w:rsidRPr="0097202D" w:rsidRDefault="00A539B6" w:rsidP="00A539B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25ABFB" w14:textId="04006E95" w:rsidR="00573953" w:rsidRPr="0097202D" w:rsidRDefault="00C675C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R</w:t>
      </w:r>
      <w:r w:rsidR="00C96B0D" w:rsidRPr="0097202D">
        <w:rPr>
          <w:rFonts w:ascii="Palatino Linotype" w:eastAsia="Palatino Linotype" w:hAnsi="Palatino Linotype" w:cs="Palatino Linotype"/>
          <w:b/>
          <w:sz w:val="22"/>
          <w:szCs w:val="22"/>
        </w:rPr>
        <w:t xml:space="preserve">espuesta. </w:t>
      </w:r>
      <w:r w:rsidR="00C96B0D" w:rsidRPr="0097202D">
        <w:rPr>
          <w:rFonts w:ascii="Palatino Linotype" w:eastAsia="Palatino Linotype" w:hAnsi="Palatino Linotype" w:cs="Palatino Linotype"/>
          <w:sz w:val="22"/>
          <w:szCs w:val="22"/>
        </w:rPr>
        <w:t xml:space="preserve">Con fecha </w:t>
      </w:r>
      <w:r w:rsidRPr="0097202D">
        <w:rPr>
          <w:rFonts w:ascii="Palatino Linotype" w:eastAsia="Palatino Linotype" w:hAnsi="Palatino Linotype" w:cs="Palatino Linotype"/>
          <w:b/>
          <w:sz w:val="22"/>
          <w:szCs w:val="22"/>
        </w:rPr>
        <w:t xml:space="preserve">veintiséis de agosto </w:t>
      </w:r>
      <w:r w:rsidR="00013D22" w:rsidRPr="0097202D">
        <w:rPr>
          <w:rFonts w:ascii="Palatino Linotype" w:eastAsia="Palatino Linotype" w:hAnsi="Palatino Linotype" w:cs="Palatino Linotype"/>
          <w:b/>
          <w:sz w:val="22"/>
          <w:szCs w:val="22"/>
        </w:rPr>
        <w:t>de dos mil veinticinco</w:t>
      </w:r>
      <w:r w:rsidR="00C96B0D" w:rsidRPr="0097202D">
        <w:rPr>
          <w:rFonts w:ascii="Palatino Linotype" w:eastAsia="Palatino Linotype" w:hAnsi="Palatino Linotype" w:cs="Palatino Linotype"/>
          <w:sz w:val="22"/>
          <w:szCs w:val="22"/>
        </w:rPr>
        <w:t xml:space="preserve">, el </w:t>
      </w:r>
      <w:r w:rsidR="00C96B0D" w:rsidRPr="0097202D">
        <w:rPr>
          <w:rFonts w:ascii="Palatino Linotype" w:eastAsia="Palatino Linotype" w:hAnsi="Palatino Linotype" w:cs="Palatino Linotype"/>
          <w:b/>
          <w:sz w:val="22"/>
          <w:szCs w:val="22"/>
        </w:rPr>
        <w:t>SUJETO OBLIGADO</w:t>
      </w:r>
      <w:r w:rsidR="00C96B0D" w:rsidRPr="0097202D">
        <w:rPr>
          <w:rFonts w:ascii="Palatino Linotype" w:eastAsia="Palatino Linotype" w:hAnsi="Palatino Linotype" w:cs="Palatino Linotype"/>
          <w:sz w:val="22"/>
          <w:szCs w:val="22"/>
        </w:rPr>
        <w:t xml:space="preserve"> envió su respuesta a la solicitud de acceso a la información a través del SAIMEX, la cual </w:t>
      </w:r>
      <w:r w:rsidR="00013D22" w:rsidRPr="0097202D">
        <w:rPr>
          <w:rFonts w:ascii="Palatino Linotype" w:eastAsia="Palatino Linotype" w:hAnsi="Palatino Linotype" w:cs="Palatino Linotype"/>
          <w:sz w:val="22"/>
          <w:szCs w:val="22"/>
        </w:rPr>
        <w:t xml:space="preserve">fue previamente del conocimiento de las partes. </w:t>
      </w:r>
    </w:p>
    <w:p w14:paraId="6F43C347" w14:textId="77777777" w:rsidR="00573953" w:rsidRPr="0097202D" w:rsidRDefault="00573953" w:rsidP="00A539B6">
      <w:pPr>
        <w:tabs>
          <w:tab w:val="left" w:pos="7371"/>
        </w:tabs>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14D6195F" w14:textId="59B98223" w:rsidR="00573953" w:rsidRPr="0097202D" w:rsidRDefault="00C96B0D">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Interposición del recurso de revisión. </w:t>
      </w:r>
      <w:r w:rsidRPr="0097202D">
        <w:rPr>
          <w:rFonts w:ascii="Palatino Linotype" w:eastAsia="Palatino Linotype" w:hAnsi="Palatino Linotype" w:cs="Palatino Linotype"/>
          <w:sz w:val="22"/>
          <w:szCs w:val="22"/>
        </w:rPr>
        <w:t xml:space="preserve">Inconforme con la respuesta del </w:t>
      </w:r>
      <w:r w:rsidRPr="0097202D">
        <w:rPr>
          <w:rFonts w:ascii="Palatino Linotype" w:eastAsia="Palatino Linotype" w:hAnsi="Palatino Linotype" w:cs="Palatino Linotype"/>
          <w:b/>
          <w:sz w:val="22"/>
          <w:szCs w:val="22"/>
        </w:rPr>
        <w:t>SUJETO OBLIGADO, la parte RECURRENTE</w:t>
      </w:r>
      <w:r w:rsidRPr="0097202D">
        <w:rPr>
          <w:rFonts w:ascii="Palatino Linotype" w:eastAsia="Palatino Linotype" w:hAnsi="Palatino Linotype" w:cs="Palatino Linotype"/>
          <w:sz w:val="22"/>
          <w:szCs w:val="22"/>
        </w:rPr>
        <w:t xml:space="preserve"> interpuso recurso de revisión a través del SAIMEX en fecha </w:t>
      </w:r>
      <w:r w:rsidR="00C675CA" w:rsidRPr="0097202D">
        <w:rPr>
          <w:rFonts w:ascii="Palatino Linotype" w:eastAsia="Palatino Linotype" w:hAnsi="Palatino Linotype" w:cs="Palatino Linotype"/>
          <w:b/>
          <w:sz w:val="22"/>
          <w:szCs w:val="22"/>
        </w:rPr>
        <w:t>veintiséis de agosto</w:t>
      </w:r>
      <w:r w:rsidR="00013D22" w:rsidRPr="0097202D">
        <w:rPr>
          <w:rFonts w:ascii="Palatino Linotype" w:eastAsia="Palatino Linotype" w:hAnsi="Palatino Linotype" w:cs="Palatino Linotype"/>
          <w:b/>
          <w:sz w:val="22"/>
          <w:szCs w:val="22"/>
        </w:rPr>
        <w:t xml:space="preserve"> de dos mil veinticinco</w:t>
      </w:r>
      <w:r w:rsidRPr="0097202D">
        <w:rPr>
          <w:rFonts w:ascii="Palatino Linotype" w:eastAsia="Palatino Linotype" w:hAnsi="Palatino Linotype" w:cs="Palatino Linotype"/>
          <w:sz w:val="22"/>
          <w:szCs w:val="22"/>
        </w:rPr>
        <w:t xml:space="preserve"> a través del cual expresó lo siguiente:</w:t>
      </w:r>
    </w:p>
    <w:p w14:paraId="7497FED7" w14:textId="77777777" w:rsidR="00573953" w:rsidRPr="0097202D" w:rsidRDefault="0057395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187A31" w14:textId="0AEF435A"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sz w:val="22"/>
          <w:szCs w:val="22"/>
        </w:rPr>
        <w:t xml:space="preserve">Acto impugnado. </w:t>
      </w:r>
      <w:r w:rsidRPr="0097202D">
        <w:rPr>
          <w:rFonts w:ascii="Palatino Linotype" w:eastAsia="Palatino Linotype" w:hAnsi="Palatino Linotype" w:cs="Palatino Linotype"/>
          <w:i/>
          <w:sz w:val="22"/>
          <w:szCs w:val="22"/>
        </w:rPr>
        <w:t>“</w:t>
      </w:r>
      <w:r w:rsidR="00C675CA" w:rsidRPr="0097202D">
        <w:rPr>
          <w:rFonts w:ascii="Palatino Linotype" w:eastAsia="Palatino Linotype" w:hAnsi="Palatino Linotype" w:cs="Palatino Linotype"/>
          <w:i/>
          <w:sz w:val="22"/>
          <w:szCs w:val="22"/>
        </w:rPr>
        <w:t>Información incompleta</w:t>
      </w:r>
      <w:r w:rsidRPr="0097202D">
        <w:rPr>
          <w:rFonts w:ascii="Palatino Linotype" w:eastAsia="Palatino Linotype" w:hAnsi="Palatino Linotype" w:cs="Palatino Linotype"/>
          <w:i/>
          <w:sz w:val="22"/>
          <w:szCs w:val="22"/>
        </w:rPr>
        <w:t xml:space="preserve">”. </w:t>
      </w:r>
    </w:p>
    <w:p w14:paraId="7414557B" w14:textId="77777777" w:rsidR="00573953" w:rsidRPr="0097202D" w:rsidRDefault="00573953">
      <w:pPr>
        <w:spacing w:line="276" w:lineRule="auto"/>
        <w:ind w:left="851" w:right="616"/>
        <w:rPr>
          <w:rFonts w:ascii="Palatino Linotype" w:eastAsia="Palatino Linotype" w:hAnsi="Palatino Linotype" w:cs="Palatino Linotype"/>
          <w:sz w:val="22"/>
          <w:szCs w:val="22"/>
        </w:rPr>
      </w:pPr>
    </w:p>
    <w:p w14:paraId="36115C12" w14:textId="254C3BC1" w:rsidR="00573953" w:rsidRPr="0097202D"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97202D">
        <w:rPr>
          <w:rFonts w:ascii="Palatino Linotype" w:eastAsia="Palatino Linotype" w:hAnsi="Palatino Linotype" w:cs="Palatino Linotype"/>
          <w:b/>
          <w:sz w:val="22"/>
          <w:szCs w:val="22"/>
        </w:rPr>
        <w:t xml:space="preserve">Motivos de inconformidad. </w:t>
      </w:r>
      <w:r w:rsidR="00A465C9" w:rsidRPr="0097202D">
        <w:rPr>
          <w:rFonts w:ascii="Palatino Linotype" w:eastAsia="Palatino Linotype" w:hAnsi="Palatino Linotype" w:cs="Palatino Linotype"/>
          <w:bCs/>
          <w:i/>
          <w:iCs/>
          <w:sz w:val="22"/>
          <w:szCs w:val="22"/>
        </w:rPr>
        <w:t>“</w:t>
      </w:r>
      <w:r w:rsidR="00C675CA" w:rsidRPr="0097202D">
        <w:rPr>
          <w:rFonts w:ascii="Palatino Linotype" w:eastAsia="Palatino Linotype" w:hAnsi="Palatino Linotype" w:cs="Palatino Linotype"/>
          <w:bCs/>
          <w:i/>
          <w:iCs/>
          <w:sz w:val="22"/>
          <w:szCs w:val="22"/>
        </w:rPr>
        <w:t xml:space="preserve">No entregaron la </w:t>
      </w:r>
      <w:proofErr w:type="spellStart"/>
      <w:r w:rsidR="00C675CA" w:rsidRPr="0097202D">
        <w:rPr>
          <w:rFonts w:ascii="Palatino Linotype" w:eastAsia="Palatino Linotype" w:hAnsi="Palatino Linotype" w:cs="Palatino Linotype"/>
          <w:bCs/>
          <w:i/>
          <w:iCs/>
          <w:sz w:val="22"/>
          <w:szCs w:val="22"/>
        </w:rPr>
        <w:t>informacion</w:t>
      </w:r>
      <w:proofErr w:type="spellEnd"/>
      <w:r w:rsidR="00C675CA" w:rsidRPr="0097202D">
        <w:rPr>
          <w:rFonts w:ascii="Palatino Linotype" w:eastAsia="Palatino Linotype" w:hAnsi="Palatino Linotype" w:cs="Palatino Linotype"/>
          <w:bCs/>
          <w:i/>
          <w:iCs/>
          <w:sz w:val="22"/>
          <w:szCs w:val="22"/>
        </w:rPr>
        <w:t xml:space="preserve"> requerida y la que exhiben es incompleta y la están alterando</w:t>
      </w:r>
      <w:r w:rsidR="00A465C9" w:rsidRPr="0097202D">
        <w:rPr>
          <w:rFonts w:ascii="Palatino Linotype" w:eastAsia="Palatino Linotype" w:hAnsi="Palatino Linotype" w:cs="Palatino Linotype"/>
          <w:bCs/>
          <w:i/>
          <w:iCs/>
          <w:sz w:val="22"/>
          <w:szCs w:val="22"/>
        </w:rPr>
        <w:t xml:space="preserve">”. </w:t>
      </w:r>
    </w:p>
    <w:p w14:paraId="52021955" w14:textId="77777777" w:rsidR="00A833F2" w:rsidRPr="0097202D" w:rsidRDefault="00A833F2" w:rsidP="00A833F2">
      <w:pPr>
        <w:pBdr>
          <w:top w:val="nil"/>
          <w:left w:val="nil"/>
          <w:bottom w:val="nil"/>
          <w:right w:val="nil"/>
          <w:between w:val="nil"/>
        </w:pBdr>
        <w:spacing w:line="276" w:lineRule="auto"/>
        <w:ind w:right="616"/>
        <w:jc w:val="both"/>
        <w:rPr>
          <w:rFonts w:ascii="Palatino Linotype" w:eastAsia="Palatino Linotype" w:hAnsi="Palatino Linotype" w:cs="Palatino Linotype"/>
          <w:bCs/>
          <w:sz w:val="22"/>
          <w:szCs w:val="22"/>
        </w:rPr>
      </w:pPr>
    </w:p>
    <w:p w14:paraId="5305E5DF" w14:textId="61BDB57C" w:rsidR="00573953" w:rsidRPr="0097202D"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Turno. </w:t>
      </w:r>
      <w:r w:rsidRPr="0097202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675CA" w:rsidRPr="0097202D">
        <w:rPr>
          <w:rFonts w:ascii="Palatino Linotype" w:eastAsia="Palatino Linotype" w:hAnsi="Palatino Linotype" w:cs="Palatino Linotype"/>
          <w:b/>
          <w:sz w:val="22"/>
          <w:szCs w:val="22"/>
        </w:rPr>
        <w:t>10089</w:t>
      </w:r>
      <w:r w:rsidR="00A465C9" w:rsidRPr="0097202D">
        <w:rPr>
          <w:rFonts w:ascii="Palatino Linotype" w:eastAsia="Palatino Linotype" w:hAnsi="Palatino Linotype" w:cs="Palatino Linotype"/>
          <w:b/>
          <w:sz w:val="22"/>
          <w:szCs w:val="22"/>
        </w:rPr>
        <w:t>/</w:t>
      </w:r>
      <w:r w:rsidR="00013D22" w:rsidRPr="0097202D">
        <w:rPr>
          <w:rFonts w:ascii="Palatino Linotype" w:eastAsia="Palatino Linotype" w:hAnsi="Palatino Linotype" w:cs="Palatino Linotype"/>
          <w:b/>
          <w:sz w:val="22"/>
          <w:szCs w:val="22"/>
        </w:rPr>
        <w:t>INFOEM/IP/RR/2025</w:t>
      </w:r>
      <w:r w:rsidRPr="0097202D">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7202D">
        <w:rPr>
          <w:rFonts w:ascii="Palatino Linotype" w:eastAsia="Palatino Linotype" w:hAnsi="Palatino Linotype" w:cs="Palatino Linotype"/>
          <w:b/>
          <w:sz w:val="22"/>
          <w:szCs w:val="22"/>
        </w:rPr>
        <w:t>Guadalupe Ramírez Peña</w:t>
      </w:r>
      <w:r w:rsidRPr="0097202D">
        <w:rPr>
          <w:rFonts w:ascii="Palatino Linotype" w:eastAsia="Palatino Linotype" w:hAnsi="Palatino Linotype" w:cs="Palatino Linotype"/>
          <w:sz w:val="22"/>
          <w:szCs w:val="22"/>
        </w:rPr>
        <w:t>, para su análisis, estudio, elaboración del proyecto y presentación ante el Pleno de este Instituto.</w:t>
      </w:r>
    </w:p>
    <w:p w14:paraId="245072DB" w14:textId="77777777" w:rsidR="00573953" w:rsidRPr="0097202D"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53030A" w14:textId="535140D0" w:rsidR="00573953" w:rsidRPr="0097202D"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97202D">
        <w:rPr>
          <w:rFonts w:ascii="Palatino Linotype" w:eastAsia="Palatino Linotype" w:hAnsi="Palatino Linotype" w:cs="Palatino Linotype"/>
          <w:b/>
          <w:sz w:val="22"/>
          <w:szCs w:val="22"/>
        </w:rPr>
        <w:t xml:space="preserve">Admisión del recurso de revisión: </w:t>
      </w:r>
      <w:r w:rsidRPr="0097202D">
        <w:rPr>
          <w:rFonts w:ascii="Palatino Linotype" w:eastAsia="Palatino Linotype" w:hAnsi="Palatino Linotype" w:cs="Palatino Linotype"/>
          <w:sz w:val="22"/>
          <w:szCs w:val="22"/>
        </w:rPr>
        <w:t xml:space="preserve">En fecha </w:t>
      </w:r>
      <w:r w:rsidR="00C675CA" w:rsidRPr="0097202D">
        <w:rPr>
          <w:rFonts w:ascii="Palatino Linotype" w:eastAsia="Palatino Linotype" w:hAnsi="Palatino Linotype" w:cs="Palatino Linotype"/>
          <w:b/>
          <w:sz w:val="22"/>
          <w:szCs w:val="22"/>
        </w:rPr>
        <w:t>veintinueve de agosto</w:t>
      </w:r>
      <w:r w:rsidRPr="0097202D">
        <w:rPr>
          <w:rFonts w:ascii="Palatino Linotype" w:eastAsia="Palatino Linotype" w:hAnsi="Palatino Linotype" w:cs="Palatino Linotype"/>
          <w:b/>
          <w:sz w:val="22"/>
          <w:szCs w:val="22"/>
        </w:rPr>
        <w:t xml:space="preserve"> de dos mil </w:t>
      </w:r>
      <w:r w:rsidR="00013D22" w:rsidRPr="0097202D">
        <w:rPr>
          <w:rFonts w:ascii="Palatino Linotype" w:eastAsia="Palatino Linotype" w:hAnsi="Palatino Linotype" w:cs="Palatino Linotype"/>
          <w:b/>
          <w:sz w:val="22"/>
          <w:szCs w:val="22"/>
        </w:rPr>
        <w:t>veinticinco</w:t>
      </w:r>
      <w:r w:rsidRPr="0097202D">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w:t>
      </w:r>
      <w:r w:rsidRPr="0097202D">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xml:space="preserve"> presentara su informe justificado.</w:t>
      </w:r>
    </w:p>
    <w:p w14:paraId="34A87B6A" w14:textId="77777777" w:rsidR="00573953" w:rsidRPr="0097202D"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EE1DB7E" w14:textId="77777777" w:rsidR="00C675CA" w:rsidRPr="0097202D" w:rsidRDefault="00C96B0D" w:rsidP="00C675CA">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Manifestaciones.</w:t>
      </w:r>
      <w:r w:rsidRPr="0097202D">
        <w:rPr>
          <w:rFonts w:ascii="Palatino Linotype" w:eastAsia="Palatino Linotype" w:hAnsi="Palatino Linotype" w:cs="Palatino Linotype"/>
          <w:sz w:val="22"/>
          <w:szCs w:val="22"/>
        </w:rPr>
        <w:t xml:space="preserve"> </w:t>
      </w:r>
      <w:r w:rsidR="00C675CA" w:rsidRPr="0097202D">
        <w:rPr>
          <w:rFonts w:ascii="Palatino Linotype" w:eastAsia="Palatino Linotype" w:hAnsi="Palatino Linotype" w:cs="Palatino Linotype"/>
          <w:sz w:val="22"/>
          <w:szCs w:val="22"/>
        </w:rPr>
        <w:t xml:space="preserve">Las partes fueron omisas en rendir manifestaciones. </w:t>
      </w:r>
    </w:p>
    <w:p w14:paraId="44D212D3" w14:textId="77777777" w:rsidR="00A539B6" w:rsidRPr="0097202D" w:rsidRDefault="00A539B6" w:rsidP="00A539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696B391" w14:textId="5DDC3610" w:rsidR="00573953" w:rsidRPr="0097202D" w:rsidRDefault="00C96B0D" w:rsidP="00C675CA">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Ampliación del plazo.</w:t>
      </w:r>
      <w:r w:rsidRPr="0097202D">
        <w:rPr>
          <w:rFonts w:ascii="Palatino Linotype" w:eastAsia="Palatino Linotype" w:hAnsi="Palatino Linotype" w:cs="Palatino Linotype"/>
          <w:sz w:val="22"/>
          <w:szCs w:val="22"/>
        </w:rPr>
        <w:t xml:space="preserve"> En fecha </w:t>
      </w:r>
      <w:r w:rsidR="0097202D" w:rsidRPr="0097202D">
        <w:rPr>
          <w:rFonts w:ascii="Palatino Linotype" w:eastAsia="Palatino Linotype" w:hAnsi="Palatino Linotype" w:cs="Palatino Linotype"/>
          <w:b/>
          <w:sz w:val="22"/>
          <w:szCs w:val="22"/>
        </w:rPr>
        <w:t>dieciocho</w:t>
      </w:r>
      <w:r w:rsidR="00C675CA" w:rsidRPr="0097202D">
        <w:rPr>
          <w:rFonts w:ascii="Palatino Linotype" w:eastAsia="Palatino Linotype" w:hAnsi="Palatino Linotype" w:cs="Palatino Linotype"/>
          <w:b/>
          <w:sz w:val="22"/>
          <w:szCs w:val="22"/>
        </w:rPr>
        <w:t xml:space="preserve"> de diciembre</w:t>
      </w:r>
      <w:r w:rsidR="00013D22" w:rsidRPr="0097202D">
        <w:rPr>
          <w:rFonts w:ascii="Palatino Linotype" w:eastAsia="Palatino Linotype" w:hAnsi="Palatino Linotype" w:cs="Palatino Linotype"/>
          <w:b/>
          <w:sz w:val="22"/>
          <w:szCs w:val="22"/>
        </w:rPr>
        <w:t xml:space="preserve"> de dos mil veinticinco</w:t>
      </w:r>
      <w:r w:rsidRPr="0097202D">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r w:rsidR="00514F03" w:rsidRPr="0097202D">
        <w:rPr>
          <w:rFonts w:ascii="Palatino Linotype" w:eastAsia="Palatino Linotype" w:hAnsi="Palatino Linotype" w:cs="Palatino Linotype"/>
          <w:sz w:val="22"/>
          <w:szCs w:val="22"/>
        </w:rPr>
        <w:t xml:space="preserve">, el cual se tuvo por notificado el diecisiete de diciembre del mismo año. </w:t>
      </w:r>
    </w:p>
    <w:p w14:paraId="4E73A45B" w14:textId="77777777" w:rsidR="00573953" w:rsidRPr="0097202D" w:rsidRDefault="00573953">
      <w:pPr>
        <w:widowControl w:val="0"/>
        <w:spacing w:line="360" w:lineRule="auto"/>
        <w:jc w:val="both"/>
        <w:rPr>
          <w:rFonts w:ascii="Palatino Linotype" w:eastAsia="Palatino Linotype" w:hAnsi="Palatino Linotype" w:cs="Palatino Linotype"/>
          <w:sz w:val="22"/>
          <w:szCs w:val="22"/>
        </w:rPr>
      </w:pPr>
    </w:p>
    <w:p w14:paraId="4575195D"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5AEA9D"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12E75D1C"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EBA701"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7B72B52A"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9D0A5C"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75A3603B"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AFBE88"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4C2D2E10" w14:textId="77777777" w:rsidR="00573953" w:rsidRPr="0097202D" w:rsidRDefault="00C96B0D">
      <w:pPr>
        <w:spacing w:line="360" w:lineRule="auto"/>
        <w:jc w:val="both"/>
        <w:rPr>
          <w:rFonts w:ascii="Palatino Linotype" w:eastAsia="Palatino Linotype" w:hAnsi="Palatino Linotype" w:cs="Palatino Linotype"/>
          <w:strike/>
          <w:sz w:val="22"/>
          <w:szCs w:val="22"/>
        </w:rPr>
      </w:pPr>
      <w:r w:rsidRPr="0097202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C4D00AA"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311F6655" w14:textId="77777777" w:rsidR="00573953" w:rsidRPr="0097202D" w:rsidRDefault="00C96B0D">
      <w:pPr>
        <w:numPr>
          <w:ilvl w:val="0"/>
          <w:numId w:val="9"/>
        </w:num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Complejidad del Asunto:</w:t>
      </w:r>
      <w:r w:rsidRPr="0097202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CA58600" w14:textId="77777777" w:rsidR="00573953" w:rsidRPr="0097202D" w:rsidRDefault="00573953">
      <w:pPr>
        <w:spacing w:line="360" w:lineRule="auto"/>
        <w:ind w:left="927"/>
        <w:jc w:val="both"/>
        <w:rPr>
          <w:rFonts w:ascii="Palatino Linotype" w:eastAsia="Palatino Linotype" w:hAnsi="Palatino Linotype" w:cs="Palatino Linotype"/>
          <w:sz w:val="22"/>
          <w:szCs w:val="22"/>
        </w:rPr>
      </w:pPr>
    </w:p>
    <w:p w14:paraId="15126D8B" w14:textId="77777777" w:rsidR="00573953" w:rsidRPr="0097202D" w:rsidRDefault="00C96B0D">
      <w:pPr>
        <w:numPr>
          <w:ilvl w:val="0"/>
          <w:numId w:val="9"/>
        </w:num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Actividad Procesal del interesado.</w:t>
      </w:r>
      <w:r w:rsidRPr="0097202D">
        <w:rPr>
          <w:rFonts w:ascii="Palatino Linotype" w:eastAsia="Palatino Linotype" w:hAnsi="Palatino Linotype" w:cs="Palatino Linotype"/>
          <w:sz w:val="22"/>
          <w:szCs w:val="22"/>
        </w:rPr>
        <w:t xml:space="preserve"> Acciones u omisiones del interesado.</w:t>
      </w:r>
    </w:p>
    <w:p w14:paraId="7F01222B" w14:textId="77777777" w:rsidR="00573953" w:rsidRPr="0097202D" w:rsidRDefault="00573953">
      <w:pPr>
        <w:spacing w:line="360" w:lineRule="auto"/>
        <w:ind w:left="927"/>
        <w:jc w:val="both"/>
        <w:rPr>
          <w:rFonts w:ascii="Palatino Linotype" w:eastAsia="Palatino Linotype" w:hAnsi="Palatino Linotype" w:cs="Palatino Linotype"/>
          <w:sz w:val="22"/>
          <w:szCs w:val="22"/>
        </w:rPr>
      </w:pPr>
    </w:p>
    <w:p w14:paraId="6988C00F" w14:textId="77777777" w:rsidR="00573953" w:rsidRPr="0097202D" w:rsidRDefault="00C96B0D">
      <w:pPr>
        <w:numPr>
          <w:ilvl w:val="0"/>
          <w:numId w:val="9"/>
        </w:num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Conducta de la Autoridad: </w:t>
      </w:r>
      <w:r w:rsidRPr="0097202D">
        <w:rPr>
          <w:rFonts w:ascii="Palatino Linotype" w:eastAsia="Palatino Linotype" w:hAnsi="Palatino Linotype" w:cs="Palatino Linotype"/>
          <w:sz w:val="22"/>
          <w:szCs w:val="22"/>
        </w:rPr>
        <w:t>Las Acciones u omisiones realizadas en el procedimiento. Así como si la autoridad actuó con la debida diligencia.</w:t>
      </w:r>
    </w:p>
    <w:p w14:paraId="3E3CE3C7" w14:textId="77777777" w:rsidR="00573953" w:rsidRPr="0097202D" w:rsidRDefault="00573953">
      <w:pPr>
        <w:spacing w:line="360" w:lineRule="auto"/>
        <w:ind w:left="927"/>
        <w:jc w:val="both"/>
        <w:rPr>
          <w:rFonts w:ascii="Palatino Linotype" w:eastAsia="Palatino Linotype" w:hAnsi="Palatino Linotype" w:cs="Palatino Linotype"/>
          <w:sz w:val="22"/>
          <w:szCs w:val="22"/>
        </w:rPr>
      </w:pPr>
    </w:p>
    <w:p w14:paraId="40FB2B73" w14:textId="77777777" w:rsidR="00573953" w:rsidRPr="0097202D" w:rsidRDefault="00C96B0D">
      <w:pPr>
        <w:numPr>
          <w:ilvl w:val="0"/>
          <w:numId w:val="9"/>
        </w:num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b/>
          <w:sz w:val="22"/>
          <w:szCs w:val="22"/>
        </w:rPr>
        <w:t>La afectación generada en la situación jurídica de la persona involucrada en el proceso:</w:t>
      </w:r>
      <w:r w:rsidRPr="0097202D">
        <w:rPr>
          <w:rFonts w:ascii="Palatino Linotype" w:eastAsia="Palatino Linotype" w:hAnsi="Palatino Linotype" w:cs="Palatino Linotype"/>
          <w:sz w:val="22"/>
          <w:szCs w:val="22"/>
        </w:rPr>
        <w:t xml:space="preserve"> Violación a sus derechos humanos.</w:t>
      </w:r>
    </w:p>
    <w:p w14:paraId="7EBEB2AA"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74D9266E"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A441C5"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3D7C0D7D" w14:textId="77777777" w:rsidR="00573953" w:rsidRPr="0097202D" w:rsidRDefault="00C96B0D">
      <w:pPr>
        <w:spacing w:line="360" w:lineRule="auto"/>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7202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7202D">
        <w:rPr>
          <w:rFonts w:ascii="Palatino Linotype" w:eastAsia="Palatino Linotype" w:hAnsi="Palatino Linotype" w:cs="Palatino Linotype"/>
          <w:sz w:val="22"/>
          <w:szCs w:val="22"/>
        </w:rPr>
        <w:t>, visible en la Gaceta del Seminario Judicial de la Federación con el registro digital 205635.</w:t>
      </w:r>
    </w:p>
    <w:p w14:paraId="5B1E55F7"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4079D7DD" w14:textId="4D18F222"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F81C42" w14:textId="77777777" w:rsidR="00A539B6" w:rsidRPr="0097202D" w:rsidRDefault="00A539B6">
      <w:pPr>
        <w:spacing w:line="360" w:lineRule="auto"/>
        <w:jc w:val="both"/>
        <w:rPr>
          <w:rFonts w:ascii="Palatino Linotype" w:eastAsia="Palatino Linotype" w:hAnsi="Palatino Linotype" w:cs="Palatino Linotype"/>
          <w:sz w:val="22"/>
          <w:szCs w:val="22"/>
        </w:rPr>
      </w:pPr>
    </w:p>
    <w:p w14:paraId="1D5B07BD"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84497F4"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0A86519F" w14:textId="77777777" w:rsidR="00573953" w:rsidRPr="0097202D" w:rsidRDefault="00C96B0D">
      <w:pPr>
        <w:spacing w:line="360" w:lineRule="auto"/>
        <w:ind w:left="567" w:right="616"/>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i/>
          <w:sz w:val="22"/>
          <w:szCs w:val="22"/>
        </w:rPr>
        <w:t>“PLAZO RAZONABLE PARA RESOLVER. DIMENSIÓN Y EFECTOS DE ESTE CONCEPTO CUANDO SE ADUCE EXCESIVA CARGA DE TRABAJO.”</w:t>
      </w:r>
      <w:r w:rsidRPr="0097202D">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F5FC67" w14:textId="77777777" w:rsidR="00573953" w:rsidRPr="0097202D" w:rsidRDefault="00573953">
      <w:pPr>
        <w:spacing w:line="360" w:lineRule="auto"/>
        <w:ind w:left="567" w:right="616"/>
        <w:jc w:val="both"/>
        <w:rPr>
          <w:rFonts w:ascii="Palatino Linotype" w:eastAsia="Palatino Linotype" w:hAnsi="Palatino Linotype" w:cs="Palatino Linotype"/>
          <w:b/>
          <w:sz w:val="22"/>
          <w:szCs w:val="22"/>
        </w:rPr>
      </w:pPr>
    </w:p>
    <w:p w14:paraId="40E0EBBC" w14:textId="77777777" w:rsidR="00573953" w:rsidRPr="0097202D" w:rsidRDefault="00C96B0D">
      <w:pPr>
        <w:spacing w:line="360" w:lineRule="auto"/>
        <w:ind w:left="567" w:right="616"/>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97202D">
        <w:rPr>
          <w:rFonts w:ascii="Palatino Linotype" w:eastAsia="Palatino Linotype" w:hAnsi="Palatino Linotype" w:cs="Palatino Linotype"/>
          <w:sz w:val="22"/>
          <w:szCs w:val="22"/>
        </w:rPr>
        <w:t>, visible en el Seminario Judicial de la Federación y su gaceta, con el registro digital 2002350.</w:t>
      </w:r>
    </w:p>
    <w:p w14:paraId="0FC06FDB" w14:textId="77777777" w:rsidR="00573953" w:rsidRPr="0097202D" w:rsidRDefault="00573953">
      <w:pPr>
        <w:spacing w:line="360" w:lineRule="auto"/>
        <w:ind w:left="567" w:right="616"/>
        <w:jc w:val="both"/>
        <w:rPr>
          <w:rFonts w:ascii="Palatino Linotype" w:eastAsia="Palatino Linotype" w:hAnsi="Palatino Linotype" w:cs="Palatino Linotype"/>
          <w:sz w:val="22"/>
          <w:szCs w:val="22"/>
        </w:rPr>
      </w:pPr>
    </w:p>
    <w:p w14:paraId="648FCEE4"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7C00F2B7"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4B6C5A47" w14:textId="3176CBF1" w:rsidR="00573953" w:rsidRPr="0097202D" w:rsidRDefault="00C96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Cierre de instrucción. </w:t>
      </w:r>
      <w:r w:rsidRPr="0097202D">
        <w:rPr>
          <w:rFonts w:ascii="Palatino Linotype" w:eastAsia="Palatino Linotype" w:hAnsi="Palatino Linotype" w:cs="Palatino Linotype"/>
          <w:sz w:val="22"/>
          <w:szCs w:val="22"/>
        </w:rPr>
        <w:t xml:space="preserve">El </w:t>
      </w:r>
      <w:r w:rsidR="00C675CA" w:rsidRPr="0097202D">
        <w:rPr>
          <w:rFonts w:ascii="Palatino Linotype" w:eastAsia="Palatino Linotype" w:hAnsi="Palatino Linotype" w:cs="Palatino Linotype"/>
          <w:b/>
          <w:sz w:val="22"/>
          <w:szCs w:val="22"/>
        </w:rPr>
        <w:t>dieciséis de diciembre</w:t>
      </w:r>
      <w:r w:rsidR="00013D22" w:rsidRPr="0097202D">
        <w:rPr>
          <w:rFonts w:ascii="Palatino Linotype" w:eastAsia="Palatino Linotype" w:hAnsi="Palatino Linotype" w:cs="Palatino Linotype"/>
          <w:b/>
          <w:sz w:val="22"/>
          <w:szCs w:val="22"/>
        </w:rPr>
        <w:t xml:space="preserve"> de dos mil veinticinco</w:t>
      </w:r>
      <w:r w:rsidRPr="0097202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514F03" w:rsidRPr="0097202D">
        <w:rPr>
          <w:rFonts w:ascii="Palatino Linotype" w:eastAsia="Palatino Linotype" w:hAnsi="Palatino Linotype" w:cs="Palatino Linotype"/>
          <w:sz w:val="22"/>
          <w:szCs w:val="22"/>
        </w:rPr>
        <w:t xml:space="preserve">, mediante acuerdo notificado el </w:t>
      </w:r>
      <w:r w:rsidR="0097202D" w:rsidRPr="0097202D">
        <w:rPr>
          <w:rFonts w:ascii="Palatino Linotype" w:eastAsia="Palatino Linotype" w:hAnsi="Palatino Linotype" w:cs="Palatino Linotype"/>
          <w:sz w:val="22"/>
          <w:szCs w:val="22"/>
        </w:rPr>
        <w:t>dieciocho</w:t>
      </w:r>
      <w:r w:rsidR="00514F03" w:rsidRPr="0097202D">
        <w:rPr>
          <w:rFonts w:ascii="Palatino Linotype" w:eastAsia="Palatino Linotype" w:hAnsi="Palatino Linotype" w:cs="Palatino Linotype"/>
          <w:sz w:val="22"/>
          <w:szCs w:val="22"/>
        </w:rPr>
        <w:t xml:space="preserve"> de diciembre del mismo año. </w:t>
      </w:r>
    </w:p>
    <w:p w14:paraId="16D0431E" w14:textId="77777777" w:rsidR="00573953" w:rsidRPr="0097202D" w:rsidRDefault="0057395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5D618A5" w14:textId="0760B08F"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97202D"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97202D"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97202D">
        <w:rPr>
          <w:rFonts w:ascii="Palatino Linotype" w:eastAsia="Palatino Linotype" w:hAnsi="Palatino Linotype" w:cs="Palatino Linotype"/>
          <w:b/>
          <w:sz w:val="22"/>
          <w:szCs w:val="22"/>
        </w:rPr>
        <w:t>C O N S I D E R A N D O:</w:t>
      </w:r>
    </w:p>
    <w:p w14:paraId="34101BE5" w14:textId="77777777" w:rsidR="00573953" w:rsidRPr="0097202D"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2E8A366" w14:textId="77777777" w:rsidR="00A539B6" w:rsidRPr="0097202D" w:rsidRDefault="00A539B6" w:rsidP="00A539B6">
      <w:pPr>
        <w:spacing w:line="360" w:lineRule="auto"/>
        <w:jc w:val="both"/>
        <w:rPr>
          <w:rFonts w:ascii="Palatino Linotype" w:eastAsia="Palatino Linotype" w:hAnsi="Palatino Linotype" w:cs="Palatino Linotype"/>
          <w:sz w:val="22"/>
        </w:rPr>
      </w:pPr>
      <w:r w:rsidRPr="0097202D">
        <w:rPr>
          <w:rFonts w:ascii="Palatino Linotype" w:eastAsia="Palatino Linotype" w:hAnsi="Palatino Linotype" w:cs="Palatino Linotype"/>
          <w:b/>
          <w:sz w:val="22"/>
        </w:rPr>
        <w:t>Primero. Competencia.</w:t>
      </w:r>
      <w:r w:rsidRPr="0097202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97202D">
        <w:rPr>
          <w:sz w:val="22"/>
        </w:rPr>
        <w:t xml:space="preserve"> </w:t>
      </w:r>
      <w:r w:rsidRPr="0097202D">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D172EC" w14:textId="77777777" w:rsidR="00A539B6" w:rsidRPr="0097202D" w:rsidRDefault="00A539B6" w:rsidP="00A539B6">
      <w:pPr>
        <w:spacing w:line="360" w:lineRule="auto"/>
        <w:jc w:val="both"/>
        <w:rPr>
          <w:rFonts w:ascii="Palatino Linotype" w:eastAsia="Palatino Linotype" w:hAnsi="Palatino Linotype" w:cs="Palatino Linotype"/>
          <w:sz w:val="22"/>
        </w:rPr>
      </w:pPr>
    </w:p>
    <w:p w14:paraId="76A2B3B3"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Segundo. Oportunidad y Procedibilidad del Recurso de Revisión</w:t>
      </w:r>
      <w:r w:rsidRPr="0097202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D4CCBE"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534AE4D8" w14:textId="690F731C" w:rsidR="00573953" w:rsidRPr="0097202D" w:rsidRDefault="00C96B0D" w:rsidP="006649F6">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xml:space="preserve"> proporcionó su respuesta a la solicitud de información el </w:t>
      </w:r>
      <w:r w:rsidR="00C675CA" w:rsidRPr="0097202D">
        <w:rPr>
          <w:rFonts w:ascii="Palatino Linotype" w:eastAsia="Palatino Linotype" w:hAnsi="Palatino Linotype" w:cs="Palatino Linotype"/>
          <w:b/>
          <w:sz w:val="22"/>
          <w:szCs w:val="22"/>
        </w:rPr>
        <w:t xml:space="preserve">veintiséis de agosto </w:t>
      </w:r>
      <w:r w:rsidR="008A7FC5" w:rsidRPr="0097202D">
        <w:rPr>
          <w:rFonts w:ascii="Palatino Linotype" w:eastAsia="Palatino Linotype" w:hAnsi="Palatino Linotype" w:cs="Palatino Linotype"/>
          <w:b/>
          <w:sz w:val="22"/>
          <w:szCs w:val="22"/>
        </w:rPr>
        <w:t>de dos mil veinticinco</w:t>
      </w:r>
      <w:r w:rsidRPr="0097202D">
        <w:rPr>
          <w:rFonts w:ascii="Palatino Linotype" w:eastAsia="Palatino Linotype" w:hAnsi="Palatino Linotype" w:cs="Palatino Linotype"/>
          <w:sz w:val="22"/>
          <w:szCs w:val="22"/>
        </w:rPr>
        <w:t xml:space="preserve">, y la parte </w:t>
      </w:r>
      <w:r w:rsidR="00514F03" w:rsidRPr="0097202D">
        <w:rPr>
          <w:rFonts w:ascii="Palatino Linotype" w:eastAsia="Palatino Linotype" w:hAnsi="Palatino Linotype" w:cs="Palatino Linotype"/>
          <w:b/>
          <w:sz w:val="22"/>
          <w:szCs w:val="22"/>
        </w:rPr>
        <w:t>Recurrente</w:t>
      </w:r>
      <w:r w:rsidR="00514F03"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sz w:val="22"/>
          <w:szCs w:val="22"/>
        </w:rPr>
        <w:t>presentó su recurso de revisión el</w:t>
      </w:r>
      <w:r w:rsidR="00A833F2" w:rsidRPr="0097202D">
        <w:rPr>
          <w:rFonts w:ascii="Palatino Linotype" w:eastAsia="Palatino Linotype" w:hAnsi="Palatino Linotype" w:cs="Palatino Linotype"/>
          <w:sz w:val="22"/>
          <w:szCs w:val="22"/>
        </w:rPr>
        <w:t xml:space="preserve"> </w:t>
      </w:r>
      <w:r w:rsidR="00C675CA" w:rsidRPr="0097202D">
        <w:rPr>
          <w:rFonts w:ascii="Palatino Linotype" w:eastAsia="Palatino Linotype" w:hAnsi="Palatino Linotype" w:cs="Palatino Linotype"/>
          <w:b/>
          <w:bCs/>
          <w:sz w:val="22"/>
          <w:szCs w:val="22"/>
        </w:rPr>
        <w:t xml:space="preserve">veintiséis de agosto </w:t>
      </w:r>
      <w:r w:rsidR="008A7FC5" w:rsidRPr="0097202D">
        <w:rPr>
          <w:rFonts w:ascii="Palatino Linotype" w:eastAsia="Palatino Linotype" w:hAnsi="Palatino Linotype" w:cs="Palatino Linotype"/>
          <w:b/>
          <w:bCs/>
          <w:sz w:val="22"/>
          <w:szCs w:val="22"/>
        </w:rPr>
        <w:t>de dos mil veinticinco</w:t>
      </w:r>
      <w:r w:rsidRPr="0097202D">
        <w:rPr>
          <w:rFonts w:ascii="Palatino Linotype" w:eastAsia="Palatino Linotype" w:hAnsi="Palatino Linotype" w:cs="Palatino Linotype"/>
          <w:sz w:val="22"/>
          <w:szCs w:val="22"/>
        </w:rPr>
        <w:t>;</w:t>
      </w:r>
      <w:r w:rsidRPr="0097202D">
        <w:rPr>
          <w:rFonts w:ascii="Palatino Linotype" w:eastAsia="Palatino Linotype" w:hAnsi="Palatino Linotype" w:cs="Palatino Linotype"/>
          <w:b/>
          <w:sz w:val="22"/>
          <w:szCs w:val="22"/>
        </w:rPr>
        <w:t xml:space="preserve"> </w:t>
      </w:r>
      <w:r w:rsidR="00A539B6" w:rsidRPr="0097202D">
        <w:rPr>
          <w:rFonts w:ascii="Palatino Linotype" w:eastAsia="Palatino Linotype" w:hAnsi="Palatino Linotype" w:cs="Palatino Linotype"/>
          <w:sz w:val="22"/>
          <w:szCs w:val="22"/>
        </w:rPr>
        <w:t xml:space="preserve">esto es el mismo </w:t>
      </w:r>
      <w:r w:rsidRPr="0097202D">
        <w:rPr>
          <w:rFonts w:ascii="Palatino Linotype" w:eastAsia="Palatino Linotype" w:hAnsi="Palatino Linotype" w:cs="Palatino Linotype"/>
          <w:sz w:val="22"/>
          <w:szCs w:val="22"/>
        </w:rPr>
        <w:t xml:space="preserve">día hábil siguiente en que tuvo conocimiento de la respuesta. </w:t>
      </w:r>
    </w:p>
    <w:p w14:paraId="75C5B9C0" w14:textId="77777777" w:rsidR="006649F6" w:rsidRPr="0097202D" w:rsidRDefault="006649F6" w:rsidP="006649F6">
      <w:pPr>
        <w:spacing w:line="360" w:lineRule="auto"/>
        <w:ind w:right="49"/>
        <w:jc w:val="both"/>
        <w:rPr>
          <w:rFonts w:ascii="Palatino Linotype" w:eastAsia="Palatino Linotype" w:hAnsi="Palatino Linotype" w:cs="Palatino Linotype"/>
          <w:sz w:val="22"/>
          <w:szCs w:val="22"/>
        </w:rPr>
      </w:pPr>
    </w:p>
    <w:p w14:paraId="49DFEB68" w14:textId="2E56DDAF" w:rsidR="00A539B6" w:rsidRPr="0097202D" w:rsidRDefault="00A539B6" w:rsidP="00A539B6">
      <w:pPr>
        <w:pStyle w:val="NormalWeb"/>
        <w:spacing w:before="0" w:beforeAutospacing="0" w:after="0" w:afterAutospacing="0" w:line="360" w:lineRule="auto"/>
        <w:jc w:val="both"/>
        <w:rPr>
          <w:rFonts w:ascii="Palatino Linotype" w:hAnsi="Palatino Linotype"/>
          <w:sz w:val="22"/>
        </w:rPr>
      </w:pPr>
      <w:r w:rsidRPr="0097202D">
        <w:rPr>
          <w:rFonts w:ascii="Palatino Linotype" w:hAnsi="Palatino Linotype"/>
          <w:sz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FD82BDF" w14:textId="77777777" w:rsidR="00A539B6" w:rsidRPr="0097202D" w:rsidRDefault="00A539B6" w:rsidP="00A539B6">
      <w:pPr>
        <w:pStyle w:val="NormalWeb"/>
        <w:spacing w:before="0" w:beforeAutospacing="0" w:after="0" w:afterAutospacing="0" w:line="360" w:lineRule="auto"/>
        <w:jc w:val="both"/>
        <w:rPr>
          <w:sz w:val="22"/>
        </w:rPr>
      </w:pPr>
    </w:p>
    <w:p w14:paraId="08C473BC" w14:textId="1D44243B" w:rsidR="00A539B6" w:rsidRPr="0097202D" w:rsidRDefault="00A539B6" w:rsidP="00A539B6">
      <w:pPr>
        <w:pStyle w:val="NormalWeb"/>
        <w:spacing w:before="0" w:beforeAutospacing="0" w:after="0" w:afterAutospacing="0"/>
        <w:ind w:left="567" w:right="900"/>
        <w:jc w:val="both"/>
      </w:pPr>
      <w:r w:rsidRPr="0097202D">
        <w:rPr>
          <w:rFonts w:ascii="Palatino Linotype" w:hAnsi="Palatino Linotype"/>
          <w:b/>
          <w:bCs/>
          <w:i/>
          <w:iCs/>
          <w:sz w:val="22"/>
          <w:szCs w:val="22"/>
        </w:rPr>
        <w:t>“RECURSO DE RECLAMACIÓN. SU INTERPOSICIÓN NO ES EXTEMPORÁNEA SI SE REALIZA ANTES DE QUE INICIE EL PLAZO PARA HACERLO</w:t>
      </w:r>
      <w:r w:rsidRPr="0097202D">
        <w:rPr>
          <w:rFonts w:ascii="Palatino Linotype" w:hAnsi="Palatino Linotype"/>
          <w:i/>
          <w:iCs/>
          <w:sz w:val="22"/>
          <w:szCs w:val="22"/>
        </w:rPr>
        <w:t>.</w:t>
      </w:r>
      <w:r w:rsidRPr="0097202D">
        <w:t xml:space="preserve"> </w:t>
      </w:r>
      <w:r w:rsidRPr="0097202D">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682807" w14:textId="77777777" w:rsidR="00A539B6" w:rsidRPr="0097202D" w:rsidRDefault="00A539B6" w:rsidP="006649F6">
      <w:pPr>
        <w:spacing w:line="360" w:lineRule="auto"/>
        <w:ind w:right="49"/>
        <w:jc w:val="both"/>
        <w:rPr>
          <w:rFonts w:ascii="Palatino Linotype" w:eastAsia="Palatino Linotype" w:hAnsi="Palatino Linotype" w:cs="Palatino Linotype"/>
          <w:sz w:val="22"/>
          <w:szCs w:val="22"/>
        </w:rPr>
      </w:pPr>
    </w:p>
    <w:p w14:paraId="7B3A0BB4" w14:textId="4FADDDCB" w:rsidR="00573953" w:rsidRPr="0097202D" w:rsidRDefault="006649F6">
      <w:pPr>
        <w:spacing w:line="360" w:lineRule="auto"/>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De acuerdo con el</w:t>
      </w:r>
      <w:r w:rsidR="00C96B0D" w:rsidRPr="0097202D">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97202D">
        <w:rPr>
          <w:rFonts w:ascii="Palatino Linotype" w:eastAsia="Palatino Linotype" w:hAnsi="Palatino Linotype" w:cs="Palatino Linotype"/>
          <w:b/>
          <w:sz w:val="22"/>
          <w:szCs w:val="22"/>
        </w:rPr>
        <w:t>EL SAIMEX.</w:t>
      </w:r>
    </w:p>
    <w:p w14:paraId="7CE00567"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56AD6F56" w14:textId="3CB3C631"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8A7FC5" w:rsidRPr="0097202D">
        <w:rPr>
          <w:rFonts w:ascii="Palatino Linotype" w:eastAsia="Palatino Linotype" w:hAnsi="Palatino Linotype" w:cs="Palatino Linotype"/>
          <w:sz w:val="22"/>
          <w:szCs w:val="22"/>
        </w:rPr>
        <w:t>I</w:t>
      </w:r>
      <w:r w:rsidR="00C675CA" w:rsidRPr="0097202D">
        <w:rPr>
          <w:rFonts w:ascii="Palatino Linotype" w:eastAsia="Palatino Linotype" w:hAnsi="Palatino Linotype" w:cs="Palatino Linotype"/>
          <w:sz w:val="22"/>
          <w:szCs w:val="22"/>
        </w:rPr>
        <w:t xml:space="preserve"> y V</w:t>
      </w:r>
      <w:r w:rsidRPr="0097202D">
        <w:rPr>
          <w:rFonts w:ascii="Palatino Linotype" w:eastAsia="Palatino Linotype" w:hAnsi="Palatino Linotype" w:cs="Palatino Linotype"/>
          <w:sz w:val="22"/>
          <w:szCs w:val="22"/>
        </w:rPr>
        <w:t xml:space="preserve"> de la ley de la materia, que a la letra dice:</w:t>
      </w:r>
    </w:p>
    <w:p w14:paraId="587563CB" w14:textId="77777777" w:rsidR="00A833F2" w:rsidRPr="0097202D"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97202D" w:rsidRDefault="00C96B0D">
      <w:pPr>
        <w:spacing w:line="276" w:lineRule="auto"/>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 xml:space="preserve">Artículo 179. </w:t>
      </w:r>
      <w:r w:rsidRPr="0097202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BECB472" w14:textId="77777777" w:rsidR="008A7FC5" w:rsidRPr="0097202D" w:rsidRDefault="00C96B0D" w:rsidP="008A7FC5">
      <w:pPr>
        <w:spacing w:line="276" w:lineRule="auto"/>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6F7169AA" w14:textId="3169656B" w:rsidR="00573953" w:rsidRPr="0097202D" w:rsidRDefault="008A7FC5" w:rsidP="008A7FC5">
      <w:pPr>
        <w:spacing w:line="276" w:lineRule="auto"/>
        <w:ind w:left="567" w:right="616"/>
        <w:jc w:val="both"/>
        <w:rPr>
          <w:rFonts w:ascii="Palatino Linotype" w:eastAsia="Palatino Linotype" w:hAnsi="Palatino Linotype" w:cs="Palatino Linotype"/>
          <w:i/>
        </w:rPr>
      </w:pPr>
      <w:r w:rsidRPr="0097202D">
        <w:rPr>
          <w:rFonts w:ascii="Palatino Linotype" w:eastAsia="Palatino Linotype" w:hAnsi="Palatino Linotype" w:cs="Palatino Linotype"/>
          <w:i/>
          <w:sz w:val="22"/>
          <w:szCs w:val="22"/>
        </w:rPr>
        <w:t>I. La negativa de entrega de la información solicitada</w:t>
      </w:r>
      <w:r w:rsidR="00A833F2" w:rsidRPr="0097202D">
        <w:rPr>
          <w:rFonts w:ascii="Palatino Linotype" w:eastAsia="Palatino Linotype" w:hAnsi="Palatino Linotype" w:cs="Palatino Linotype"/>
          <w:i/>
        </w:rPr>
        <w:t>;</w:t>
      </w:r>
    </w:p>
    <w:p w14:paraId="57C70DF5" w14:textId="432301EA" w:rsidR="00C675CA" w:rsidRPr="0097202D" w:rsidRDefault="00C675CA" w:rsidP="008A7FC5">
      <w:pPr>
        <w:spacing w:line="276" w:lineRule="auto"/>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310D3AF6" w14:textId="29F3D216" w:rsidR="00C675CA" w:rsidRPr="0097202D" w:rsidRDefault="00C675CA" w:rsidP="008A7FC5">
      <w:pPr>
        <w:spacing w:line="276" w:lineRule="auto"/>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V. La entrega de información incompleta;</w:t>
      </w:r>
    </w:p>
    <w:p w14:paraId="57BB9D69" w14:textId="6317D949" w:rsidR="006A76A0" w:rsidRPr="0097202D" w:rsidRDefault="00C96B0D" w:rsidP="00A539B6">
      <w:pPr>
        <w:spacing w:line="360" w:lineRule="auto"/>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 </w:t>
      </w:r>
    </w:p>
    <w:p w14:paraId="79814E77" w14:textId="41D3EB21"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Tercero. Materia de Revisión</w:t>
      </w:r>
      <w:r w:rsidRPr="0097202D">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8A7FC5" w:rsidRPr="0097202D">
        <w:rPr>
          <w:rFonts w:ascii="Palatino Linotype" w:eastAsia="Palatino Linotype" w:hAnsi="Palatino Linotype" w:cs="Palatino Linotype"/>
          <w:sz w:val="22"/>
          <w:szCs w:val="22"/>
        </w:rPr>
        <w:t>I</w:t>
      </w:r>
      <w:r w:rsidR="00A833F2" w:rsidRPr="0097202D">
        <w:rPr>
          <w:rFonts w:ascii="Palatino Linotype" w:eastAsia="Palatino Linotype" w:hAnsi="Palatino Linotype" w:cs="Palatino Linotype"/>
          <w:sz w:val="22"/>
          <w:szCs w:val="22"/>
        </w:rPr>
        <w:t xml:space="preserve"> </w:t>
      </w:r>
      <w:r w:rsidR="00C675CA" w:rsidRPr="0097202D">
        <w:rPr>
          <w:rFonts w:ascii="Palatino Linotype" w:eastAsia="Palatino Linotype" w:hAnsi="Palatino Linotype" w:cs="Palatino Linotype"/>
          <w:sz w:val="22"/>
          <w:szCs w:val="22"/>
        </w:rPr>
        <w:t xml:space="preserve">y V </w:t>
      </w:r>
      <w:r w:rsidRPr="0097202D">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79F03670" w14:textId="77777777" w:rsidR="00C675CA" w:rsidRPr="0097202D" w:rsidRDefault="00C675CA">
      <w:pPr>
        <w:spacing w:line="360" w:lineRule="auto"/>
        <w:jc w:val="both"/>
        <w:rPr>
          <w:rFonts w:ascii="Palatino Linotype" w:eastAsia="Palatino Linotype" w:hAnsi="Palatino Linotype" w:cs="Palatino Linotype"/>
          <w:sz w:val="22"/>
          <w:szCs w:val="22"/>
        </w:rPr>
      </w:pPr>
    </w:p>
    <w:p w14:paraId="70AC3612"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Cuarto. Estudio de fondo del asunto. </w:t>
      </w:r>
      <w:r w:rsidRPr="0097202D">
        <w:rPr>
          <w:rFonts w:ascii="Palatino Linotype" w:eastAsia="Palatino Linotype" w:hAnsi="Palatino Linotype" w:cs="Palatino Linotype"/>
          <w:sz w:val="22"/>
          <w:szCs w:val="22"/>
        </w:rPr>
        <w:t>Es conveniente analizar si la respuesta del Sujeto Obligado</w:t>
      </w:r>
      <w:r w:rsidRPr="0097202D">
        <w:rPr>
          <w:rFonts w:ascii="Palatino Linotype" w:eastAsia="Palatino Linotype" w:hAnsi="Palatino Linotype" w:cs="Palatino Linotype"/>
          <w:b/>
          <w:sz w:val="22"/>
          <w:szCs w:val="22"/>
        </w:rPr>
        <w:t xml:space="preserve"> </w:t>
      </w:r>
      <w:r w:rsidRPr="0097202D">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26F63673" w14:textId="77777777" w:rsidR="00573953" w:rsidRPr="0097202D"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Artículo 4</w:t>
      </w:r>
      <w:r w:rsidRPr="0097202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97202D"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7202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879DD0" w14:textId="77777777" w:rsidR="00573953" w:rsidRPr="0097202D"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7202D">
        <w:rPr>
          <w:rFonts w:ascii="Palatino Linotype" w:eastAsia="Palatino Linotype" w:hAnsi="Palatino Linotype" w:cs="Palatino Linotype"/>
          <w:i/>
          <w:sz w:val="22"/>
          <w:szCs w:val="22"/>
        </w:rPr>
        <w:t>.”</w:t>
      </w:r>
    </w:p>
    <w:p w14:paraId="03BDF30F"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2922264C"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97202D" w:rsidRDefault="00573953">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Artículo 12.-</w:t>
      </w:r>
      <w:r w:rsidRPr="0097202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97202D" w:rsidRDefault="00573953">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7202D">
        <w:rPr>
          <w:rFonts w:ascii="Palatino Linotype" w:eastAsia="Palatino Linotype" w:hAnsi="Palatino Linotype" w:cs="Palatino Linotype"/>
          <w:i/>
          <w:sz w:val="22"/>
          <w:szCs w:val="22"/>
        </w:rPr>
        <w:t xml:space="preserve">. </w:t>
      </w:r>
      <w:r w:rsidRPr="0097202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7202D">
        <w:rPr>
          <w:rFonts w:ascii="Palatino Linotype" w:eastAsia="Palatino Linotype" w:hAnsi="Palatino Linotype" w:cs="Palatino Linotype"/>
          <w:i/>
          <w:sz w:val="22"/>
          <w:szCs w:val="22"/>
        </w:rPr>
        <w:t xml:space="preserve">.” </w:t>
      </w:r>
    </w:p>
    <w:p w14:paraId="080327EE" w14:textId="77777777" w:rsidR="00573953" w:rsidRPr="0097202D" w:rsidRDefault="00573953">
      <w:pPr>
        <w:spacing w:line="360" w:lineRule="auto"/>
        <w:ind w:right="-93"/>
        <w:jc w:val="both"/>
        <w:rPr>
          <w:rFonts w:ascii="Palatino Linotype" w:eastAsia="Palatino Linotype" w:hAnsi="Palatino Linotype" w:cs="Palatino Linotype"/>
          <w:sz w:val="22"/>
          <w:szCs w:val="22"/>
        </w:rPr>
      </w:pPr>
    </w:p>
    <w:p w14:paraId="631416FE" w14:textId="24F7A61B" w:rsidR="00573953" w:rsidRPr="0097202D" w:rsidRDefault="00C96B0D">
      <w:pPr>
        <w:spacing w:line="360" w:lineRule="auto"/>
        <w:ind w:right="-93"/>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4C2FB99" w14:textId="5C5CCC5F" w:rsidR="00573953" w:rsidRPr="0097202D" w:rsidRDefault="00C96B0D">
      <w:pPr>
        <w:spacing w:line="360" w:lineRule="auto"/>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 xml:space="preserve">Sirve de apoyo a lo anterior, el criterio </w:t>
      </w:r>
      <w:r w:rsidR="00A539B6" w:rsidRPr="0097202D">
        <w:rPr>
          <w:rFonts w:ascii="Palatino Linotype" w:eastAsia="Palatino Linotype" w:hAnsi="Palatino Linotype" w:cs="Palatino Linotype"/>
          <w:sz w:val="22"/>
          <w:szCs w:val="22"/>
        </w:rPr>
        <w:t xml:space="preserve">orientador </w:t>
      </w:r>
      <w:r w:rsidRPr="0097202D">
        <w:rPr>
          <w:rFonts w:ascii="Palatino Linotype" w:eastAsia="Palatino Linotype" w:hAnsi="Palatino Linotype" w:cs="Palatino Linotype"/>
          <w:sz w:val="22"/>
          <w:szCs w:val="22"/>
        </w:rPr>
        <w:t xml:space="preserve">03-17, expuesto por el </w:t>
      </w:r>
      <w:r w:rsidR="00A539B6" w:rsidRPr="0097202D">
        <w:rPr>
          <w:rFonts w:ascii="Palatino Linotype" w:eastAsia="Palatino Linotype" w:hAnsi="Palatino Linotype" w:cs="Palatino Linotype"/>
          <w:sz w:val="22"/>
          <w:szCs w:val="22"/>
        </w:rPr>
        <w:t xml:space="preserve">entonces </w:t>
      </w:r>
      <w:r w:rsidRPr="0097202D">
        <w:rPr>
          <w:rFonts w:ascii="Palatino Linotype" w:eastAsia="Palatino Linotype" w:hAnsi="Palatino Linotype" w:cs="Palatino Linotype"/>
          <w:sz w:val="22"/>
          <w:szCs w:val="22"/>
        </w:rPr>
        <w:t>Instituto Nacional de Transparencia, Acceso a la Información y Protección de Datos Personales, que dice:</w:t>
      </w:r>
      <w:r w:rsidRPr="0097202D">
        <w:rPr>
          <w:rFonts w:ascii="Palatino Linotype" w:eastAsia="Palatino Linotype" w:hAnsi="Palatino Linotype" w:cs="Palatino Linotype"/>
          <w:b/>
          <w:sz w:val="22"/>
          <w:szCs w:val="22"/>
        </w:rPr>
        <w:t xml:space="preserve"> </w:t>
      </w:r>
    </w:p>
    <w:p w14:paraId="173AD096" w14:textId="77777777" w:rsidR="00573953" w:rsidRPr="0097202D" w:rsidRDefault="00573953">
      <w:pPr>
        <w:spacing w:line="276" w:lineRule="auto"/>
        <w:ind w:left="851" w:right="850"/>
        <w:jc w:val="both"/>
        <w:rPr>
          <w:rFonts w:ascii="Palatino Linotype" w:eastAsia="Palatino Linotype" w:hAnsi="Palatino Linotype" w:cs="Palatino Linotype"/>
          <w:sz w:val="22"/>
          <w:szCs w:val="22"/>
        </w:rPr>
      </w:pPr>
    </w:p>
    <w:p w14:paraId="4660C037"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No existe obligación de elaborar documentos ad hoc para atender las solicitudes de acceso a la información.</w:t>
      </w:r>
      <w:r w:rsidRPr="0097202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97202D" w:rsidRDefault="00573953">
      <w:pPr>
        <w:spacing w:line="276" w:lineRule="auto"/>
        <w:ind w:left="567" w:right="616"/>
        <w:jc w:val="both"/>
        <w:rPr>
          <w:rFonts w:ascii="Palatino Linotype" w:eastAsia="Palatino Linotype" w:hAnsi="Palatino Linotype" w:cs="Palatino Linotype"/>
          <w:i/>
          <w:sz w:val="22"/>
          <w:szCs w:val="22"/>
        </w:rPr>
      </w:pPr>
    </w:p>
    <w:p w14:paraId="04523551"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43976B3D"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63E59A19"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 xml:space="preserve">Artículo 3. </w:t>
      </w:r>
      <w:r w:rsidRPr="0097202D">
        <w:rPr>
          <w:rFonts w:ascii="Palatino Linotype" w:eastAsia="Palatino Linotype" w:hAnsi="Palatino Linotype" w:cs="Palatino Linotype"/>
          <w:i/>
          <w:sz w:val="22"/>
          <w:szCs w:val="22"/>
        </w:rPr>
        <w:t>Para los efectos de la presente Ley se entenderá por:</w:t>
      </w:r>
    </w:p>
    <w:p w14:paraId="7A558E70"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3F466B54"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XI. Documento:</w:t>
      </w:r>
      <w:r w:rsidRPr="0097202D">
        <w:rPr>
          <w:rFonts w:ascii="Palatino Linotype" w:eastAsia="Palatino Linotype" w:hAnsi="Palatino Linotype" w:cs="Palatino Linotype"/>
          <w:i/>
          <w:sz w:val="22"/>
          <w:szCs w:val="22"/>
        </w:rPr>
        <w:t xml:space="preserve"> Los expedientes, reportes, estudios, actas</w:t>
      </w:r>
      <w:r w:rsidRPr="0097202D">
        <w:rPr>
          <w:rFonts w:ascii="Palatino Linotype" w:eastAsia="Palatino Linotype" w:hAnsi="Palatino Linotype" w:cs="Palatino Linotype"/>
          <w:b/>
          <w:i/>
          <w:sz w:val="22"/>
          <w:szCs w:val="22"/>
        </w:rPr>
        <w:t>,</w:t>
      </w:r>
      <w:r w:rsidRPr="0097202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97202D" w:rsidRDefault="00573953">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97202D" w:rsidRDefault="00573953">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97202D" w:rsidRDefault="00C96B0D">
      <w:pPr>
        <w:spacing w:line="276" w:lineRule="auto"/>
        <w:ind w:left="851" w:right="616"/>
        <w:jc w:val="both"/>
        <w:rPr>
          <w:rFonts w:ascii="Palatino Linotype" w:eastAsia="Palatino Linotype" w:hAnsi="Palatino Linotype" w:cs="Palatino Linotype"/>
          <w:b/>
          <w:i/>
          <w:sz w:val="22"/>
          <w:szCs w:val="22"/>
        </w:rPr>
      </w:pPr>
      <w:r w:rsidRPr="0097202D">
        <w:rPr>
          <w:rFonts w:ascii="Palatino Linotype" w:eastAsia="Palatino Linotype" w:hAnsi="Palatino Linotype" w:cs="Palatino Linotype"/>
          <w:b/>
          <w:sz w:val="22"/>
          <w:szCs w:val="22"/>
        </w:rPr>
        <w:t>“</w:t>
      </w:r>
      <w:r w:rsidRPr="0097202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7202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97202D" w:rsidRDefault="00C96B0D">
      <w:pPr>
        <w:spacing w:line="276" w:lineRule="auto"/>
        <w:ind w:left="851"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97202D" w:rsidRDefault="00C96B0D">
      <w:pPr>
        <w:spacing w:line="276" w:lineRule="auto"/>
        <w:ind w:left="851" w:right="616"/>
        <w:jc w:val="both"/>
        <w:rPr>
          <w:rFonts w:ascii="Palatino Linotype" w:eastAsia="Palatino Linotype" w:hAnsi="Palatino Linotype" w:cs="Palatino Linotype"/>
          <w:b/>
          <w:i/>
          <w:sz w:val="22"/>
          <w:szCs w:val="22"/>
        </w:rPr>
      </w:pPr>
      <w:r w:rsidRPr="0097202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9ED812D" w14:textId="77777777" w:rsidR="00573953" w:rsidRPr="0097202D" w:rsidRDefault="00C96B0D">
      <w:pPr>
        <w:spacing w:line="276" w:lineRule="auto"/>
        <w:ind w:left="851" w:right="616"/>
        <w:jc w:val="both"/>
        <w:rPr>
          <w:rFonts w:ascii="Palatino Linotype" w:eastAsia="Palatino Linotype" w:hAnsi="Palatino Linotype" w:cs="Palatino Linotype"/>
          <w:b/>
          <w:i/>
          <w:sz w:val="22"/>
          <w:szCs w:val="22"/>
        </w:rPr>
      </w:pPr>
      <w:r w:rsidRPr="0097202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78186B9" w14:textId="77777777" w:rsidR="00573953" w:rsidRPr="0097202D" w:rsidRDefault="00573953">
      <w:pPr>
        <w:spacing w:line="276" w:lineRule="auto"/>
        <w:ind w:left="851" w:right="616"/>
        <w:jc w:val="both"/>
        <w:rPr>
          <w:rFonts w:ascii="Palatino Linotype" w:eastAsia="Palatino Linotype" w:hAnsi="Palatino Linotype" w:cs="Palatino Linotype"/>
          <w:b/>
          <w:i/>
          <w:sz w:val="22"/>
          <w:szCs w:val="22"/>
        </w:rPr>
      </w:pPr>
    </w:p>
    <w:p w14:paraId="292AC9FA" w14:textId="19BC7F46" w:rsidR="00573953" w:rsidRPr="0097202D" w:rsidRDefault="00C96B0D" w:rsidP="00E43D52">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41A4CA" w14:textId="77777777" w:rsidR="006649F6" w:rsidRPr="0097202D" w:rsidRDefault="006649F6">
      <w:pPr>
        <w:spacing w:line="360" w:lineRule="auto"/>
        <w:jc w:val="both"/>
        <w:rPr>
          <w:rFonts w:ascii="Palatino Linotype" w:eastAsia="Palatino Linotype" w:hAnsi="Palatino Linotype" w:cs="Palatino Linotype"/>
          <w:sz w:val="22"/>
          <w:szCs w:val="22"/>
        </w:rPr>
      </w:pPr>
    </w:p>
    <w:p w14:paraId="79029F3D" w14:textId="77777777" w:rsidR="008A7FC5" w:rsidRPr="0097202D" w:rsidRDefault="006649F6">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Dicho esto, es de recordar </w:t>
      </w:r>
      <w:r w:rsidR="008A7FC5" w:rsidRPr="0097202D">
        <w:rPr>
          <w:rFonts w:ascii="Palatino Linotype" w:eastAsia="Palatino Linotype" w:hAnsi="Palatino Linotype" w:cs="Palatino Linotype"/>
          <w:sz w:val="22"/>
          <w:szCs w:val="22"/>
        </w:rPr>
        <w:t>la información que fue solicitada por la parte Recurrente, así como la información proporcionada, lo cual se plasmará en el cuadro de análisis siguiente:</w:t>
      </w:r>
    </w:p>
    <w:p w14:paraId="68858DDC" w14:textId="77777777" w:rsidR="008A7FC5" w:rsidRPr="0097202D" w:rsidRDefault="008A7FC5">
      <w:pPr>
        <w:spacing w:line="360" w:lineRule="auto"/>
        <w:jc w:val="both"/>
        <w:rPr>
          <w:rFonts w:ascii="Palatino Linotype" w:eastAsia="Palatino Linotype" w:hAnsi="Palatino Linotype" w:cs="Palatino Linotype"/>
          <w:sz w:val="22"/>
          <w:szCs w:val="22"/>
        </w:rPr>
      </w:pPr>
    </w:p>
    <w:p w14:paraId="1DBA4532" w14:textId="077BF01D" w:rsidR="008A7FC5" w:rsidRPr="0097202D" w:rsidRDefault="00C675CA" w:rsidP="008A7FC5">
      <w:pPr>
        <w:pStyle w:val="Prrafodelista"/>
        <w:numPr>
          <w:ilvl w:val="0"/>
          <w:numId w:val="12"/>
        </w:numPr>
        <w:spacing w:line="360" w:lineRule="auto"/>
        <w:jc w:val="both"/>
        <w:rPr>
          <w:rFonts w:ascii="Palatino Linotype" w:eastAsia="Palatino Linotype" w:hAnsi="Palatino Linotype" w:cs="Palatino Linotype"/>
          <w:b/>
        </w:rPr>
      </w:pPr>
      <w:r w:rsidRPr="0097202D">
        <w:rPr>
          <w:rFonts w:ascii="Palatino Linotype" w:hAnsi="Palatino Linotype"/>
          <w:b/>
        </w:rPr>
        <w:t>De los empleados comisionados a un área diferente a su área de adscripción:</w:t>
      </w:r>
    </w:p>
    <w:p w14:paraId="06383A56" w14:textId="77777777" w:rsidR="008A7FC5" w:rsidRPr="0097202D" w:rsidRDefault="008A7FC5" w:rsidP="008A7FC5">
      <w:pPr>
        <w:pStyle w:val="Prrafodelista"/>
        <w:spacing w:line="360" w:lineRule="auto"/>
        <w:ind w:left="720"/>
        <w:jc w:val="both"/>
        <w:rPr>
          <w:rFonts w:ascii="Palatino Linotype" w:eastAsia="Palatino Linotype" w:hAnsi="Palatino Linotype" w:cs="Palatino Linotype"/>
        </w:rPr>
      </w:pPr>
    </w:p>
    <w:tbl>
      <w:tblPr>
        <w:tblStyle w:val="Tablaconcuadrcula"/>
        <w:tblW w:w="8926" w:type="dxa"/>
        <w:tblInd w:w="5" w:type="dxa"/>
        <w:tblLook w:val="04A0" w:firstRow="1" w:lastRow="0" w:firstColumn="1" w:lastColumn="0" w:noHBand="0" w:noVBand="1"/>
      </w:tblPr>
      <w:tblGrid>
        <w:gridCol w:w="421"/>
        <w:gridCol w:w="1592"/>
        <w:gridCol w:w="3794"/>
        <w:gridCol w:w="3119"/>
      </w:tblGrid>
      <w:tr w:rsidR="0097202D" w:rsidRPr="0097202D" w14:paraId="67526A20" w14:textId="77777777" w:rsidTr="00461545">
        <w:tc>
          <w:tcPr>
            <w:tcW w:w="421" w:type="dxa"/>
            <w:tcBorders>
              <w:top w:val="nil"/>
              <w:left w:val="nil"/>
            </w:tcBorders>
          </w:tcPr>
          <w:p w14:paraId="54CB769B" w14:textId="7611FC29" w:rsidR="00C675CA" w:rsidRPr="0097202D" w:rsidRDefault="00C675CA" w:rsidP="008A7FC5">
            <w:pPr>
              <w:jc w:val="both"/>
              <w:rPr>
                <w:rFonts w:ascii="Palatino Linotype" w:eastAsia="Palatino Linotype" w:hAnsi="Palatino Linotype" w:cs="Palatino Linotype"/>
                <w:sz w:val="20"/>
                <w:szCs w:val="22"/>
              </w:rPr>
            </w:pPr>
          </w:p>
        </w:tc>
        <w:tc>
          <w:tcPr>
            <w:tcW w:w="1592" w:type="dxa"/>
            <w:shd w:val="clear" w:color="auto" w:fill="DBDBDB" w:themeFill="accent3" w:themeFillTint="66"/>
          </w:tcPr>
          <w:p w14:paraId="1C91F034" w14:textId="783384B7" w:rsidR="00C675CA" w:rsidRPr="0097202D" w:rsidRDefault="00C675CA" w:rsidP="008A7FC5">
            <w:pPr>
              <w:jc w:val="center"/>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Requerimiento</w:t>
            </w:r>
          </w:p>
        </w:tc>
        <w:tc>
          <w:tcPr>
            <w:tcW w:w="3794" w:type="dxa"/>
            <w:shd w:val="clear" w:color="auto" w:fill="DBDBDB" w:themeFill="accent3" w:themeFillTint="66"/>
          </w:tcPr>
          <w:p w14:paraId="3964F98E" w14:textId="64629059" w:rsidR="00C675CA" w:rsidRPr="0097202D" w:rsidRDefault="00C675CA" w:rsidP="00C675CA">
            <w:pPr>
              <w:jc w:val="center"/>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Respuesta</w:t>
            </w:r>
          </w:p>
        </w:tc>
        <w:tc>
          <w:tcPr>
            <w:tcW w:w="3119" w:type="dxa"/>
            <w:shd w:val="clear" w:color="auto" w:fill="DBDBDB" w:themeFill="accent3" w:themeFillTint="66"/>
          </w:tcPr>
          <w:p w14:paraId="71C68111" w14:textId="498BFDC4" w:rsidR="00C675CA" w:rsidRPr="0097202D" w:rsidRDefault="00C675CA" w:rsidP="004358AD">
            <w:pPr>
              <w:jc w:val="center"/>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Observaciones</w:t>
            </w:r>
          </w:p>
        </w:tc>
      </w:tr>
      <w:tr w:rsidR="0097202D" w:rsidRPr="0097202D" w14:paraId="5B18E72B" w14:textId="77777777" w:rsidTr="00461545">
        <w:tc>
          <w:tcPr>
            <w:tcW w:w="421" w:type="dxa"/>
            <w:shd w:val="clear" w:color="auto" w:fill="DBDBDB" w:themeFill="accent3" w:themeFillTint="66"/>
          </w:tcPr>
          <w:p w14:paraId="5FBE3EB1" w14:textId="2B03B2BF" w:rsidR="00C675CA" w:rsidRPr="0097202D" w:rsidRDefault="00C675CA" w:rsidP="008A7FC5">
            <w:pPr>
              <w:jc w:val="both"/>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1</w:t>
            </w:r>
          </w:p>
        </w:tc>
        <w:tc>
          <w:tcPr>
            <w:tcW w:w="1592" w:type="dxa"/>
          </w:tcPr>
          <w:p w14:paraId="2077E9D0" w14:textId="16EB95AA" w:rsidR="00C675CA" w:rsidRPr="0097202D" w:rsidRDefault="00C675CA" w:rsidP="008A7FC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Sueldo</w:t>
            </w:r>
          </w:p>
        </w:tc>
        <w:tc>
          <w:tcPr>
            <w:tcW w:w="3794" w:type="dxa"/>
          </w:tcPr>
          <w:p w14:paraId="5D3717C8" w14:textId="6FDCE60E" w:rsidR="00C675CA" w:rsidRPr="0097202D" w:rsidRDefault="00C675CA" w:rsidP="008A7FC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b/>
                <w:sz w:val="20"/>
                <w:szCs w:val="22"/>
              </w:rPr>
              <w:t>Subdirector de Recursos Humanos.</w:t>
            </w:r>
            <w:r w:rsidRPr="0097202D">
              <w:rPr>
                <w:rFonts w:ascii="Palatino Linotype" w:eastAsia="Palatino Linotype" w:hAnsi="Palatino Linotype" w:cs="Palatino Linotype"/>
                <w:sz w:val="20"/>
                <w:szCs w:val="22"/>
              </w:rPr>
              <w:t xml:space="preserve"> </w:t>
            </w:r>
            <w:r w:rsidR="00461545" w:rsidRPr="0097202D">
              <w:rPr>
                <w:rFonts w:ascii="Palatino Linotype" w:eastAsia="Palatino Linotype" w:hAnsi="Palatino Linotype" w:cs="Palatino Linotype"/>
                <w:sz w:val="20"/>
                <w:szCs w:val="22"/>
              </w:rPr>
              <w:t xml:space="preserve">Proporcionó el sueldo neto quincenal. </w:t>
            </w:r>
          </w:p>
        </w:tc>
        <w:tc>
          <w:tcPr>
            <w:tcW w:w="3119" w:type="dxa"/>
          </w:tcPr>
          <w:p w14:paraId="0842D300" w14:textId="77777777" w:rsidR="00C675CA" w:rsidRPr="0097202D" w:rsidRDefault="00461545" w:rsidP="004358AD">
            <w:pPr>
              <w:jc w:val="center"/>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 xml:space="preserve">Parcialmente. </w:t>
            </w:r>
          </w:p>
          <w:p w14:paraId="2598343E" w14:textId="464F38F1" w:rsidR="00461545" w:rsidRPr="0097202D" w:rsidRDefault="00461545" w:rsidP="004358AD">
            <w:pPr>
              <w:jc w:val="center"/>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 xml:space="preserve">Faltó proporcional el sueldo bruto. </w:t>
            </w:r>
          </w:p>
        </w:tc>
      </w:tr>
      <w:tr w:rsidR="0097202D" w:rsidRPr="0097202D" w14:paraId="5F78E4E7" w14:textId="77777777" w:rsidTr="00461545">
        <w:tc>
          <w:tcPr>
            <w:tcW w:w="421" w:type="dxa"/>
            <w:shd w:val="clear" w:color="auto" w:fill="DBDBDB" w:themeFill="accent3" w:themeFillTint="66"/>
          </w:tcPr>
          <w:p w14:paraId="656942BF" w14:textId="47ED1AFC" w:rsidR="00C675CA" w:rsidRPr="0097202D" w:rsidRDefault="00C675CA" w:rsidP="008A7FC5">
            <w:pPr>
              <w:jc w:val="both"/>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2</w:t>
            </w:r>
          </w:p>
        </w:tc>
        <w:tc>
          <w:tcPr>
            <w:tcW w:w="1592" w:type="dxa"/>
          </w:tcPr>
          <w:p w14:paraId="12328955" w14:textId="4A2DBF2D" w:rsidR="00C675CA" w:rsidRPr="0097202D" w:rsidRDefault="00C675CA" w:rsidP="008A7FC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Funciones</w:t>
            </w:r>
          </w:p>
        </w:tc>
        <w:tc>
          <w:tcPr>
            <w:tcW w:w="3794" w:type="dxa"/>
          </w:tcPr>
          <w:p w14:paraId="0BECDD29" w14:textId="0E3E9C22" w:rsidR="00C675CA" w:rsidRPr="0097202D" w:rsidRDefault="00461545" w:rsidP="00AA585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b/>
                <w:sz w:val="20"/>
                <w:szCs w:val="22"/>
              </w:rPr>
              <w:t xml:space="preserve">Subdirector de Recursos Humanos. </w:t>
            </w:r>
            <w:r w:rsidRPr="0097202D">
              <w:rPr>
                <w:rFonts w:ascii="Palatino Linotype" w:eastAsia="Palatino Linotype" w:hAnsi="Palatino Linotype" w:cs="Palatino Linotype"/>
                <w:sz w:val="20"/>
                <w:szCs w:val="22"/>
              </w:rPr>
              <w:t xml:space="preserve">Refirió que, no se encontró algún documento referente a las actividades de las personas comisionadas. </w:t>
            </w:r>
          </w:p>
        </w:tc>
        <w:tc>
          <w:tcPr>
            <w:tcW w:w="3119" w:type="dxa"/>
          </w:tcPr>
          <w:p w14:paraId="18ED378D" w14:textId="5B9D5B74" w:rsidR="00C675CA" w:rsidRPr="0097202D" w:rsidRDefault="00461545" w:rsidP="004358AD">
            <w:pPr>
              <w:jc w:val="center"/>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No colmó</w:t>
            </w:r>
            <w:r w:rsidR="00C675CA" w:rsidRPr="0097202D">
              <w:rPr>
                <w:rFonts w:ascii="Palatino Linotype" w:eastAsia="Palatino Linotype" w:hAnsi="Palatino Linotype" w:cs="Palatino Linotype"/>
                <w:sz w:val="20"/>
                <w:szCs w:val="22"/>
              </w:rPr>
              <w:t>.</w:t>
            </w:r>
          </w:p>
        </w:tc>
      </w:tr>
      <w:tr w:rsidR="0097202D" w:rsidRPr="0097202D" w14:paraId="0CB14DE4" w14:textId="77777777" w:rsidTr="00461545">
        <w:tc>
          <w:tcPr>
            <w:tcW w:w="421" w:type="dxa"/>
            <w:shd w:val="clear" w:color="auto" w:fill="DBDBDB" w:themeFill="accent3" w:themeFillTint="66"/>
          </w:tcPr>
          <w:p w14:paraId="75C59D53" w14:textId="196C87E6" w:rsidR="00C675CA" w:rsidRPr="0097202D" w:rsidRDefault="00C675CA" w:rsidP="00AA5855">
            <w:pPr>
              <w:jc w:val="both"/>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3</w:t>
            </w:r>
          </w:p>
        </w:tc>
        <w:tc>
          <w:tcPr>
            <w:tcW w:w="1592" w:type="dxa"/>
          </w:tcPr>
          <w:p w14:paraId="393174C9" w14:textId="645FD243" w:rsidR="00C675CA" w:rsidRPr="0097202D" w:rsidRDefault="00C675CA" w:rsidP="00AA585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Horario</w:t>
            </w:r>
          </w:p>
        </w:tc>
        <w:tc>
          <w:tcPr>
            <w:tcW w:w="3794" w:type="dxa"/>
          </w:tcPr>
          <w:p w14:paraId="4F6888BC" w14:textId="37335396" w:rsidR="00C675CA" w:rsidRPr="0097202D" w:rsidRDefault="00C675CA" w:rsidP="00AA585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 xml:space="preserve"> </w:t>
            </w:r>
            <w:r w:rsidR="00461545" w:rsidRPr="0097202D">
              <w:rPr>
                <w:rFonts w:ascii="Palatino Linotype" w:eastAsia="Palatino Linotype" w:hAnsi="Palatino Linotype" w:cs="Palatino Linotype"/>
                <w:b/>
                <w:sz w:val="20"/>
                <w:szCs w:val="22"/>
              </w:rPr>
              <w:t xml:space="preserve">Subdirector de Recursos Humanos. </w:t>
            </w:r>
            <w:r w:rsidR="00461545" w:rsidRPr="0097202D">
              <w:rPr>
                <w:rFonts w:ascii="Palatino Linotype" w:eastAsia="Palatino Linotype" w:hAnsi="Palatino Linotype" w:cs="Palatino Linotype"/>
                <w:sz w:val="20"/>
                <w:szCs w:val="22"/>
              </w:rPr>
              <w:t xml:space="preserve">Señaló el horario de los servidores públicos comisionados. </w:t>
            </w:r>
          </w:p>
        </w:tc>
        <w:tc>
          <w:tcPr>
            <w:tcW w:w="3119" w:type="dxa"/>
          </w:tcPr>
          <w:p w14:paraId="7E9F1324" w14:textId="77777777" w:rsidR="00C675CA" w:rsidRPr="0097202D" w:rsidRDefault="00C675CA" w:rsidP="004358AD">
            <w:pPr>
              <w:jc w:val="center"/>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Si colmó</w:t>
            </w:r>
          </w:p>
          <w:p w14:paraId="37AE59D8" w14:textId="77777777" w:rsidR="00C675CA" w:rsidRPr="0097202D" w:rsidRDefault="00C675CA" w:rsidP="004358AD">
            <w:pPr>
              <w:jc w:val="center"/>
              <w:rPr>
                <w:rFonts w:ascii="Palatino Linotype" w:eastAsia="Palatino Linotype" w:hAnsi="Palatino Linotype" w:cs="Palatino Linotype"/>
                <w:sz w:val="20"/>
                <w:szCs w:val="22"/>
              </w:rPr>
            </w:pPr>
          </w:p>
          <w:p w14:paraId="785269C9" w14:textId="605608E7" w:rsidR="00C675CA" w:rsidRPr="0097202D" w:rsidRDefault="00C675CA" w:rsidP="004358AD">
            <w:pPr>
              <w:jc w:val="center"/>
              <w:rPr>
                <w:rFonts w:ascii="Palatino Linotype" w:eastAsia="Palatino Linotype" w:hAnsi="Palatino Linotype" w:cs="Palatino Linotype"/>
                <w:sz w:val="20"/>
                <w:szCs w:val="22"/>
              </w:rPr>
            </w:pPr>
          </w:p>
        </w:tc>
      </w:tr>
      <w:tr w:rsidR="0097202D" w:rsidRPr="0097202D" w14:paraId="53A2D5BC" w14:textId="77777777" w:rsidTr="00461545">
        <w:tc>
          <w:tcPr>
            <w:tcW w:w="421" w:type="dxa"/>
            <w:shd w:val="clear" w:color="auto" w:fill="DBDBDB" w:themeFill="accent3" w:themeFillTint="66"/>
          </w:tcPr>
          <w:p w14:paraId="0905DFB3" w14:textId="5757C581" w:rsidR="00C675CA" w:rsidRPr="0097202D" w:rsidRDefault="00C675CA" w:rsidP="00AA5855">
            <w:pPr>
              <w:jc w:val="both"/>
              <w:rPr>
                <w:rFonts w:ascii="Palatino Linotype" w:eastAsia="Palatino Linotype" w:hAnsi="Palatino Linotype" w:cs="Palatino Linotype"/>
                <w:b/>
                <w:sz w:val="20"/>
                <w:szCs w:val="22"/>
              </w:rPr>
            </w:pPr>
            <w:r w:rsidRPr="0097202D">
              <w:rPr>
                <w:rFonts w:ascii="Palatino Linotype" w:eastAsia="Palatino Linotype" w:hAnsi="Palatino Linotype" w:cs="Palatino Linotype"/>
                <w:b/>
                <w:sz w:val="20"/>
                <w:szCs w:val="22"/>
              </w:rPr>
              <w:t>5</w:t>
            </w:r>
          </w:p>
        </w:tc>
        <w:tc>
          <w:tcPr>
            <w:tcW w:w="1592" w:type="dxa"/>
          </w:tcPr>
          <w:p w14:paraId="41638E86" w14:textId="6CF8826D" w:rsidR="00C675CA" w:rsidRPr="0097202D" w:rsidRDefault="00C675CA" w:rsidP="00AA585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Antigüedad</w:t>
            </w:r>
          </w:p>
        </w:tc>
        <w:tc>
          <w:tcPr>
            <w:tcW w:w="3794" w:type="dxa"/>
          </w:tcPr>
          <w:p w14:paraId="222C76D6" w14:textId="32396EA2" w:rsidR="00C675CA" w:rsidRPr="0097202D" w:rsidRDefault="00461545" w:rsidP="00AA5855">
            <w:pPr>
              <w:jc w:val="both"/>
              <w:rPr>
                <w:rFonts w:ascii="Palatino Linotype" w:eastAsia="Palatino Linotype" w:hAnsi="Palatino Linotype" w:cs="Palatino Linotype"/>
                <w:sz w:val="20"/>
                <w:szCs w:val="22"/>
              </w:rPr>
            </w:pPr>
            <w:r w:rsidRPr="0097202D">
              <w:rPr>
                <w:rFonts w:ascii="Palatino Linotype" w:eastAsia="Palatino Linotype" w:hAnsi="Palatino Linotype" w:cs="Palatino Linotype"/>
                <w:b/>
                <w:sz w:val="20"/>
                <w:szCs w:val="22"/>
              </w:rPr>
              <w:t xml:space="preserve">Subdirector de Recursos Humanos. </w:t>
            </w:r>
            <w:r w:rsidRPr="0097202D">
              <w:rPr>
                <w:rFonts w:ascii="Palatino Linotype" w:eastAsia="Palatino Linotype" w:hAnsi="Palatino Linotype" w:cs="Palatino Linotype"/>
                <w:sz w:val="20"/>
                <w:szCs w:val="22"/>
              </w:rPr>
              <w:t xml:space="preserve">Proporcionó la antigüedad de los servidores públicos. </w:t>
            </w:r>
          </w:p>
        </w:tc>
        <w:tc>
          <w:tcPr>
            <w:tcW w:w="3119" w:type="dxa"/>
          </w:tcPr>
          <w:p w14:paraId="5FB176F9" w14:textId="77777777" w:rsidR="00461545" w:rsidRPr="0097202D" w:rsidRDefault="00461545" w:rsidP="00461545">
            <w:pPr>
              <w:jc w:val="center"/>
              <w:rPr>
                <w:rFonts w:ascii="Palatino Linotype" w:eastAsia="Palatino Linotype" w:hAnsi="Palatino Linotype" w:cs="Palatino Linotype"/>
                <w:sz w:val="20"/>
                <w:szCs w:val="22"/>
              </w:rPr>
            </w:pPr>
            <w:r w:rsidRPr="0097202D">
              <w:rPr>
                <w:rFonts w:ascii="Palatino Linotype" w:eastAsia="Palatino Linotype" w:hAnsi="Palatino Linotype" w:cs="Palatino Linotype"/>
                <w:sz w:val="20"/>
                <w:szCs w:val="22"/>
              </w:rPr>
              <w:t>Si colmó</w:t>
            </w:r>
          </w:p>
          <w:p w14:paraId="7B03AF46" w14:textId="0CCE4172" w:rsidR="00C675CA" w:rsidRPr="0097202D" w:rsidRDefault="00C675CA" w:rsidP="004358AD">
            <w:pPr>
              <w:jc w:val="center"/>
              <w:rPr>
                <w:rFonts w:ascii="Palatino Linotype" w:eastAsia="Palatino Linotype" w:hAnsi="Palatino Linotype" w:cs="Palatino Linotype"/>
                <w:sz w:val="20"/>
                <w:szCs w:val="22"/>
              </w:rPr>
            </w:pPr>
          </w:p>
          <w:p w14:paraId="1ED7B0B5" w14:textId="12DBF866" w:rsidR="00C675CA" w:rsidRPr="0097202D" w:rsidRDefault="00C675CA" w:rsidP="004358AD">
            <w:pPr>
              <w:jc w:val="center"/>
              <w:rPr>
                <w:rFonts w:ascii="Palatino Linotype" w:eastAsia="Palatino Linotype" w:hAnsi="Palatino Linotype" w:cs="Palatino Linotype"/>
                <w:sz w:val="20"/>
                <w:szCs w:val="22"/>
              </w:rPr>
            </w:pPr>
          </w:p>
        </w:tc>
      </w:tr>
    </w:tbl>
    <w:p w14:paraId="483CD1CE" w14:textId="77777777" w:rsidR="00972039" w:rsidRPr="0097202D" w:rsidRDefault="00972039" w:rsidP="00972039">
      <w:pPr>
        <w:spacing w:line="360" w:lineRule="auto"/>
        <w:ind w:right="616"/>
        <w:jc w:val="both"/>
        <w:rPr>
          <w:rFonts w:ascii="Palatino Linotype" w:eastAsia="Palatino Linotype" w:hAnsi="Palatino Linotype" w:cs="Palatino Linotype"/>
          <w:sz w:val="22"/>
          <w:szCs w:val="22"/>
        </w:rPr>
      </w:pPr>
    </w:p>
    <w:p w14:paraId="36734DA7" w14:textId="5855C5C7" w:rsidR="00461545" w:rsidRPr="0097202D" w:rsidRDefault="00461545" w:rsidP="00461545">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Del mismo modo, es dable recordar que, de las constancias que obran en el expediente se logra vislumbrar que el Sujeto Obligado, turnó la solicitud de información a la Subdirección de Recursos Humanos,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076D158"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6949CFFE" w14:textId="77777777" w:rsidR="00461545" w:rsidRPr="0097202D" w:rsidRDefault="00461545" w:rsidP="00461545">
      <w:pPr>
        <w:pStyle w:val="Prrafodelista"/>
        <w:numPr>
          <w:ilvl w:val="3"/>
          <w:numId w:val="14"/>
        </w:numPr>
        <w:spacing w:line="360" w:lineRule="auto"/>
        <w:ind w:left="567" w:right="560"/>
        <w:contextualSpacing/>
        <w:jc w:val="both"/>
        <w:rPr>
          <w:rFonts w:ascii="Palatino Linotype" w:eastAsia="Palatino Linotype" w:hAnsi="Palatino Linotype" w:cs="Palatino Linotype"/>
        </w:rPr>
      </w:pPr>
      <w:r w:rsidRPr="0097202D">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FBD37DD" w14:textId="77777777" w:rsidR="00461545" w:rsidRPr="0097202D" w:rsidRDefault="00461545" w:rsidP="00461545">
      <w:pPr>
        <w:spacing w:line="360" w:lineRule="auto"/>
        <w:ind w:left="567" w:right="560"/>
        <w:jc w:val="both"/>
        <w:rPr>
          <w:rFonts w:ascii="Palatino Linotype" w:eastAsia="Palatino Linotype" w:hAnsi="Palatino Linotype" w:cs="Palatino Linotype"/>
          <w:sz w:val="22"/>
          <w:szCs w:val="22"/>
        </w:rPr>
      </w:pPr>
    </w:p>
    <w:p w14:paraId="2914F081" w14:textId="77777777" w:rsidR="00461545" w:rsidRPr="0097202D" w:rsidRDefault="00461545" w:rsidP="00461545">
      <w:pPr>
        <w:pStyle w:val="Prrafodelista"/>
        <w:numPr>
          <w:ilvl w:val="3"/>
          <w:numId w:val="14"/>
        </w:numPr>
        <w:spacing w:line="360" w:lineRule="auto"/>
        <w:ind w:left="567" w:right="560"/>
        <w:contextualSpacing/>
        <w:jc w:val="both"/>
        <w:rPr>
          <w:rFonts w:ascii="Palatino Linotype" w:eastAsia="Palatino Linotype" w:hAnsi="Palatino Linotype" w:cs="Palatino Linotype"/>
        </w:rPr>
      </w:pPr>
      <w:r w:rsidRPr="0097202D">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35B48D3"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000596D4"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64D76610" w14:textId="77777777" w:rsidR="00461545" w:rsidRPr="0097202D" w:rsidRDefault="00461545" w:rsidP="00972039">
      <w:pPr>
        <w:spacing w:line="360" w:lineRule="auto"/>
        <w:ind w:right="51"/>
        <w:jc w:val="both"/>
        <w:rPr>
          <w:rFonts w:ascii="Palatino Linotype" w:eastAsia="Palatino Linotype" w:hAnsi="Palatino Linotype" w:cs="Palatino Linotype"/>
          <w:sz w:val="22"/>
          <w:szCs w:val="22"/>
        </w:rPr>
      </w:pPr>
    </w:p>
    <w:p w14:paraId="51A12144" w14:textId="53425129" w:rsidR="00461545" w:rsidRPr="0097202D" w:rsidRDefault="00461545" w:rsidP="00461545">
      <w:pPr>
        <w:spacing w:line="360" w:lineRule="auto"/>
        <w:ind w:right="51"/>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Ahora bien, en lo que corresponde al </w:t>
      </w:r>
      <w:r w:rsidRPr="0097202D">
        <w:rPr>
          <w:rFonts w:ascii="Palatino Linotype" w:eastAsia="Palatino Linotype" w:hAnsi="Palatino Linotype" w:cs="Palatino Linotype"/>
          <w:b/>
          <w:sz w:val="22"/>
          <w:szCs w:val="22"/>
        </w:rPr>
        <w:t xml:space="preserve">sueldo </w:t>
      </w:r>
      <w:r w:rsidRPr="0097202D">
        <w:rPr>
          <w:rFonts w:ascii="Palatino Linotype" w:eastAsia="Palatino Linotype" w:hAnsi="Palatino Linotype" w:cs="Palatino Linotype"/>
          <w:sz w:val="22"/>
          <w:szCs w:val="22"/>
        </w:rPr>
        <w:t xml:space="preserve">es de referir que; el Glosario localizado en la página de Transparencia Presupuestaria de la Secretaría de Hacienda y Crédito Público (consultado en </w:t>
      </w:r>
      <w:hyperlink r:id="rId9">
        <w:r w:rsidRPr="0097202D">
          <w:rPr>
            <w:rFonts w:ascii="Palatino Linotype" w:eastAsia="Palatino Linotype" w:hAnsi="Palatino Linotype" w:cs="Palatino Linotype"/>
            <w:sz w:val="22"/>
            <w:szCs w:val="22"/>
            <w:u w:val="single"/>
          </w:rPr>
          <w:t>https://www.transparenciapresupuestaria.gob.mx/es/PTP/Glosario</w:t>
        </w:r>
      </w:hyperlink>
      <w:r w:rsidRPr="0097202D">
        <w:rPr>
          <w:rFonts w:ascii="Palatino Linotype" w:eastAsia="Palatino Linotype" w:hAnsi="Palatino Linotype" w:cs="Palatino Linotype"/>
          <w:sz w:val="22"/>
          <w:szCs w:val="22"/>
        </w:rPr>
        <w:t>), establece que:</w:t>
      </w:r>
    </w:p>
    <w:p w14:paraId="2D860871" w14:textId="77777777" w:rsidR="00461545" w:rsidRPr="0097202D" w:rsidRDefault="00461545" w:rsidP="00461545">
      <w:pPr>
        <w:tabs>
          <w:tab w:val="left" w:pos="3261"/>
        </w:tabs>
        <w:spacing w:line="360" w:lineRule="auto"/>
        <w:jc w:val="both"/>
        <w:rPr>
          <w:rFonts w:ascii="Palatino Linotype" w:eastAsia="Palatino Linotype" w:hAnsi="Palatino Linotype" w:cs="Palatino Linotype"/>
          <w:sz w:val="22"/>
          <w:szCs w:val="22"/>
        </w:rPr>
      </w:pPr>
    </w:p>
    <w:p w14:paraId="0AA40EB4" w14:textId="32308210" w:rsidR="00461545" w:rsidRPr="0097202D" w:rsidRDefault="00461545" w:rsidP="00461545">
      <w:pPr>
        <w:spacing w:line="360" w:lineRule="auto"/>
        <w:jc w:val="center"/>
        <w:rPr>
          <w:rFonts w:ascii="Palatino Linotype" w:eastAsia="Palatino Linotype" w:hAnsi="Palatino Linotype" w:cs="Palatino Linotype"/>
          <w:sz w:val="22"/>
          <w:szCs w:val="22"/>
        </w:rPr>
      </w:pPr>
      <w:r w:rsidRPr="0097202D">
        <w:rPr>
          <w:rFonts w:ascii="Palatino Linotype" w:eastAsia="Palatino Linotype" w:hAnsi="Palatino Linotype" w:cs="Palatino Linotype"/>
          <w:noProof/>
          <w:sz w:val="22"/>
          <w:szCs w:val="22"/>
          <w:lang w:val="es-MX" w:eastAsia="es-MX"/>
        </w:rPr>
        <w:drawing>
          <wp:inline distT="0" distB="0" distL="0" distR="0" wp14:anchorId="649420E1" wp14:editId="21BE35B3">
            <wp:extent cx="4186953" cy="119743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52D4BBBF"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97202D">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97202D">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46337C9B"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p>
    <w:p w14:paraId="40402791"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Conforme a lo anterior, se puede advertir que la nómina se puede referir a lo siguiente:</w:t>
      </w:r>
    </w:p>
    <w:p w14:paraId="783AB6AC"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 </w:t>
      </w:r>
    </w:p>
    <w:p w14:paraId="7F7ECBE2" w14:textId="77777777" w:rsidR="00461545" w:rsidRPr="0097202D" w:rsidRDefault="00461545" w:rsidP="00461545">
      <w:pPr>
        <w:tabs>
          <w:tab w:val="left" w:pos="8222"/>
        </w:tabs>
        <w:ind w:left="567" w:right="70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a)      Relación de trabajadores con las percepciones monetarias de cada uno.</w:t>
      </w:r>
    </w:p>
    <w:p w14:paraId="3E60906B" w14:textId="77777777" w:rsidR="00461545" w:rsidRPr="0097202D" w:rsidRDefault="00461545" w:rsidP="00461545">
      <w:pPr>
        <w:tabs>
          <w:tab w:val="left" w:pos="8222"/>
        </w:tabs>
        <w:ind w:left="567" w:right="709"/>
        <w:jc w:val="both"/>
        <w:rPr>
          <w:rFonts w:ascii="Palatino Linotype" w:eastAsia="Palatino Linotype" w:hAnsi="Palatino Linotype" w:cs="Palatino Linotype"/>
          <w:b/>
          <w:sz w:val="22"/>
          <w:szCs w:val="22"/>
          <w:u w:val="single"/>
        </w:rPr>
      </w:pPr>
      <w:r w:rsidRPr="0097202D">
        <w:rPr>
          <w:rFonts w:ascii="Palatino Linotype" w:eastAsia="Palatino Linotype" w:hAnsi="Palatino Linotype" w:cs="Palatino Linotype"/>
          <w:b/>
          <w:sz w:val="22"/>
          <w:szCs w:val="22"/>
          <w:u w:val="single"/>
        </w:rPr>
        <w:t>b)      Recibo individual que contiene las prestaciones y deducciones de un trabajador.</w:t>
      </w:r>
    </w:p>
    <w:p w14:paraId="19912154" w14:textId="77777777" w:rsidR="00461545" w:rsidRPr="0097202D" w:rsidRDefault="00461545" w:rsidP="00461545">
      <w:pPr>
        <w:tabs>
          <w:tab w:val="left" w:pos="8222"/>
        </w:tabs>
        <w:ind w:left="567" w:right="70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6FB85FCA"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0F3FC524"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1C7ABA31"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2B45A18D"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29535718"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7D410862"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2EBA18B" w14:textId="77777777" w:rsidR="00461545" w:rsidRPr="0097202D" w:rsidRDefault="00461545" w:rsidP="00461545">
      <w:pPr>
        <w:spacing w:line="360" w:lineRule="auto"/>
        <w:ind w:right="843"/>
        <w:jc w:val="both"/>
        <w:rPr>
          <w:rFonts w:ascii="Palatino Linotype" w:eastAsia="Palatino Linotype" w:hAnsi="Palatino Linotype" w:cs="Palatino Linotype"/>
          <w:i/>
          <w:sz w:val="22"/>
          <w:szCs w:val="22"/>
        </w:rPr>
      </w:pPr>
    </w:p>
    <w:p w14:paraId="64A13AC5"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18587947"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p>
    <w:p w14:paraId="153146E0"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ARTÍCULO 220 K</w:t>
      </w:r>
      <w:r w:rsidRPr="0097202D">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1E78CE0D"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1B8597ED"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6F221259"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0926C377"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IV. Recibos o las constancias de </w:t>
      </w:r>
      <w:proofErr w:type="spellStart"/>
      <w:r w:rsidRPr="0097202D">
        <w:rPr>
          <w:rFonts w:ascii="Palatino Linotype" w:eastAsia="Palatino Linotype" w:hAnsi="Palatino Linotype" w:cs="Palatino Linotype"/>
          <w:i/>
          <w:sz w:val="22"/>
          <w:szCs w:val="22"/>
        </w:rPr>
        <w:t>deposito</w:t>
      </w:r>
      <w:proofErr w:type="spellEnd"/>
      <w:r w:rsidRPr="0097202D">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2F256BB2" w14:textId="77777777" w:rsidR="00461545" w:rsidRPr="0097202D" w:rsidRDefault="00461545" w:rsidP="00461545">
      <w:pPr>
        <w:spacing w:line="360" w:lineRule="auto"/>
        <w:ind w:left="567" w:right="843"/>
        <w:jc w:val="both"/>
        <w:rPr>
          <w:rFonts w:ascii="Palatino Linotype" w:eastAsia="Palatino Linotype" w:hAnsi="Palatino Linotype" w:cs="Palatino Linotype"/>
          <w:i/>
          <w:sz w:val="22"/>
          <w:szCs w:val="22"/>
        </w:rPr>
      </w:pPr>
    </w:p>
    <w:p w14:paraId="49A15FBC" w14:textId="77777777"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97202D">
        <w:rPr>
          <w:rFonts w:ascii="Palatino Linotype" w:eastAsia="Palatino Linotype" w:hAnsi="Palatino Linotype" w:cs="Palatino Linotype"/>
          <w:b/>
          <w:sz w:val="22"/>
          <w:szCs w:val="22"/>
          <w:u w:val="single"/>
        </w:rPr>
        <w:t>que sean utilizadas para el pago de salarios, prima vacacional, aguinaldo y demás prestaciones.</w:t>
      </w:r>
    </w:p>
    <w:p w14:paraId="4EE2817E" w14:textId="77777777" w:rsidR="00461545" w:rsidRPr="0097202D" w:rsidRDefault="00461545" w:rsidP="00461545">
      <w:pPr>
        <w:spacing w:line="360" w:lineRule="auto"/>
        <w:ind w:right="49"/>
        <w:jc w:val="both"/>
        <w:rPr>
          <w:rFonts w:ascii="Palatino Linotype" w:eastAsia="Palatino Linotype" w:hAnsi="Palatino Linotype" w:cs="Palatino Linotype"/>
          <w:sz w:val="22"/>
          <w:szCs w:val="22"/>
        </w:rPr>
      </w:pPr>
    </w:p>
    <w:p w14:paraId="628EA293" w14:textId="09FA766F" w:rsidR="00461545" w:rsidRPr="0097202D" w:rsidRDefault="00461545" w:rsidP="00461545">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689E32E6" w14:textId="77777777" w:rsidR="00461545" w:rsidRPr="0097202D" w:rsidRDefault="00461545" w:rsidP="00461545">
      <w:pPr>
        <w:ind w:left="567" w:right="843"/>
        <w:jc w:val="center"/>
        <w:rPr>
          <w:rFonts w:ascii="Palatino Linotype" w:eastAsia="Palatino Linotype" w:hAnsi="Palatino Linotype" w:cs="Palatino Linotype"/>
          <w:b/>
          <w:i/>
          <w:sz w:val="22"/>
          <w:szCs w:val="22"/>
        </w:rPr>
      </w:pPr>
    </w:p>
    <w:p w14:paraId="77C7B6B5" w14:textId="77777777" w:rsidR="00461545" w:rsidRPr="0097202D" w:rsidRDefault="00461545" w:rsidP="00461545">
      <w:pPr>
        <w:ind w:left="567" w:right="843"/>
        <w:jc w:val="center"/>
        <w:rPr>
          <w:rFonts w:ascii="Palatino Linotype" w:eastAsia="Palatino Linotype" w:hAnsi="Palatino Linotype" w:cs="Palatino Linotype"/>
          <w:b/>
          <w:i/>
          <w:sz w:val="22"/>
          <w:szCs w:val="22"/>
        </w:rPr>
      </w:pPr>
      <w:r w:rsidRPr="0097202D">
        <w:rPr>
          <w:rFonts w:ascii="Palatino Linotype" w:eastAsia="Palatino Linotype" w:hAnsi="Palatino Linotype" w:cs="Palatino Linotype"/>
          <w:b/>
          <w:i/>
          <w:sz w:val="22"/>
          <w:szCs w:val="22"/>
        </w:rPr>
        <w:t>Ley de Transparencia y Acceso a la Información Pública del Estado de México y Municipios</w:t>
      </w:r>
    </w:p>
    <w:p w14:paraId="43B9278E" w14:textId="77777777" w:rsidR="00461545" w:rsidRPr="0097202D" w:rsidRDefault="00461545" w:rsidP="00461545">
      <w:pPr>
        <w:ind w:left="567" w:right="843"/>
        <w:jc w:val="both"/>
        <w:rPr>
          <w:rFonts w:ascii="Palatino Linotype" w:eastAsia="Palatino Linotype" w:hAnsi="Palatino Linotype" w:cs="Palatino Linotype"/>
          <w:i/>
          <w:sz w:val="22"/>
          <w:szCs w:val="22"/>
        </w:rPr>
      </w:pPr>
    </w:p>
    <w:p w14:paraId="312F3858"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Artículo 92.</w:t>
      </w:r>
      <w:r w:rsidRPr="0097202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9165ED"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14002CC3" w14:textId="77777777" w:rsidR="00461545" w:rsidRPr="0097202D" w:rsidRDefault="00461545" w:rsidP="00461545">
      <w:pPr>
        <w:ind w:left="567" w:right="843"/>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5C1EB76" w14:textId="77777777" w:rsidR="00461545" w:rsidRPr="0097202D" w:rsidRDefault="00461545" w:rsidP="00461545">
      <w:pPr>
        <w:spacing w:line="360" w:lineRule="auto"/>
        <w:ind w:right="134"/>
        <w:jc w:val="both"/>
        <w:rPr>
          <w:rFonts w:ascii="Palatino Linotype" w:eastAsia="Palatino Linotype" w:hAnsi="Palatino Linotype" w:cs="Palatino Linotype"/>
          <w:sz w:val="22"/>
          <w:szCs w:val="22"/>
        </w:rPr>
      </w:pPr>
    </w:p>
    <w:p w14:paraId="5B72F7AA" w14:textId="77777777" w:rsidR="00461545" w:rsidRPr="0097202D" w:rsidRDefault="00461545" w:rsidP="00461545">
      <w:pPr>
        <w:spacing w:line="360" w:lineRule="auto"/>
        <w:ind w:right="134"/>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20292FF7" w14:textId="77777777" w:rsidR="00461545" w:rsidRPr="0097202D" w:rsidRDefault="00461545" w:rsidP="00317C99">
      <w:pPr>
        <w:spacing w:line="360" w:lineRule="auto"/>
        <w:ind w:right="51"/>
        <w:jc w:val="both"/>
        <w:rPr>
          <w:rFonts w:ascii="Palatino Linotype" w:eastAsia="Palatino Linotype" w:hAnsi="Palatino Linotype" w:cs="Palatino Linotype"/>
          <w:sz w:val="22"/>
          <w:szCs w:val="22"/>
        </w:rPr>
      </w:pPr>
    </w:p>
    <w:p w14:paraId="5C0CC73E" w14:textId="0D196BBE" w:rsidR="00830F45" w:rsidRPr="0097202D" w:rsidRDefault="00830F45" w:rsidP="00317C99">
      <w:pPr>
        <w:spacing w:line="360" w:lineRule="auto"/>
        <w:ind w:right="51"/>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lo que corresponde a este requerimiento, no se advierte que, el particular haya especificado la temporalidad de la cual solicita tener la información, no obstante, se considera que el sueldo de los servidores públicos corresponderá al vigente al once de julio de dos mil veinticinco. </w:t>
      </w:r>
    </w:p>
    <w:p w14:paraId="6AF87D46" w14:textId="77777777" w:rsidR="00830F45" w:rsidRPr="0097202D" w:rsidRDefault="00830F45" w:rsidP="00317C99">
      <w:pPr>
        <w:spacing w:line="360" w:lineRule="auto"/>
        <w:ind w:right="51"/>
        <w:jc w:val="both"/>
        <w:rPr>
          <w:rFonts w:ascii="Palatino Linotype" w:eastAsia="Palatino Linotype" w:hAnsi="Palatino Linotype" w:cs="Palatino Linotype"/>
          <w:sz w:val="22"/>
          <w:szCs w:val="22"/>
        </w:rPr>
      </w:pPr>
    </w:p>
    <w:p w14:paraId="181392B3" w14:textId="242561F5" w:rsidR="00461545" w:rsidRPr="0097202D" w:rsidRDefault="00830F45" w:rsidP="00317C99">
      <w:pPr>
        <w:spacing w:line="360" w:lineRule="auto"/>
        <w:ind w:right="51"/>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Dicho esto, en el presente caso</w:t>
      </w:r>
      <w:r w:rsidR="00461545" w:rsidRPr="0097202D">
        <w:rPr>
          <w:rFonts w:ascii="Palatino Linotype" w:eastAsia="Palatino Linotype" w:hAnsi="Palatino Linotype" w:cs="Palatino Linotype"/>
          <w:sz w:val="22"/>
          <w:szCs w:val="22"/>
        </w:rPr>
        <w:t xml:space="preserve">, se tiene que, el Subdirector de Recursos Humanos, </w:t>
      </w:r>
      <w:r w:rsidRPr="0097202D">
        <w:rPr>
          <w:rFonts w:ascii="Palatino Linotype" w:eastAsia="Palatino Linotype" w:hAnsi="Palatino Linotype" w:cs="Palatino Linotype"/>
          <w:sz w:val="22"/>
          <w:szCs w:val="22"/>
        </w:rPr>
        <w:t xml:space="preserve">proporcionó el sueldo neto quincenal, sin embargo, no remitió información del sueldo bruto de los servidores públicos, por lo que, deberá hacer entrega del </w:t>
      </w:r>
      <w:r w:rsidRPr="0097202D">
        <w:rPr>
          <w:rFonts w:ascii="Palatino Linotype" w:eastAsia="Palatino Linotype" w:hAnsi="Palatino Linotype" w:cs="Palatino Linotype"/>
          <w:b/>
          <w:sz w:val="22"/>
          <w:szCs w:val="22"/>
        </w:rPr>
        <w:t xml:space="preserve">sueldo bruto vigente al once de julio de dos mil veinticinco. </w:t>
      </w:r>
    </w:p>
    <w:p w14:paraId="436E1688" w14:textId="77777777" w:rsidR="00461545" w:rsidRPr="0097202D" w:rsidRDefault="00461545" w:rsidP="00317C99">
      <w:pPr>
        <w:spacing w:line="360" w:lineRule="auto"/>
        <w:ind w:right="51"/>
        <w:jc w:val="both"/>
        <w:rPr>
          <w:rFonts w:ascii="Palatino Linotype" w:eastAsia="Palatino Linotype" w:hAnsi="Palatino Linotype" w:cs="Palatino Linotype"/>
          <w:sz w:val="22"/>
          <w:szCs w:val="22"/>
        </w:rPr>
      </w:pPr>
    </w:p>
    <w:p w14:paraId="00E02807" w14:textId="6A395084" w:rsidR="00830F45" w:rsidRPr="0097202D" w:rsidRDefault="00830F45" w:rsidP="00830F45">
      <w:pPr>
        <w:spacing w:line="360" w:lineRule="auto"/>
        <w:ind w:right="51"/>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lo que corresponde a las </w:t>
      </w:r>
      <w:r w:rsidRPr="0097202D">
        <w:rPr>
          <w:rFonts w:ascii="Palatino Linotype" w:eastAsia="Palatino Linotype" w:hAnsi="Palatino Linotype" w:cs="Palatino Linotype"/>
          <w:b/>
          <w:sz w:val="22"/>
          <w:szCs w:val="22"/>
        </w:rPr>
        <w:t>funciones de los servidores públicos comisionados</w:t>
      </w:r>
      <w:r w:rsidRPr="0097202D">
        <w:rPr>
          <w:rFonts w:ascii="Palatino Linotype" w:eastAsia="Palatino Linotype" w:hAnsi="Palatino Linotype" w:cs="Palatino Linotype"/>
          <w:sz w:val="22"/>
          <w:szCs w:val="22"/>
        </w:rPr>
        <w:t xml:space="preserve">, este requerimiento </w:t>
      </w:r>
      <w:r w:rsidRPr="0097202D">
        <w:rPr>
          <w:rFonts w:ascii="Palatino Linotype" w:eastAsia="Palatino Linotype" w:hAnsi="Palatino Linotype" w:cs="Palatino Linotype"/>
          <w:sz w:val="22"/>
        </w:rPr>
        <w:t>se encuentra vinculado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326C55CF" w14:textId="77777777" w:rsidR="00830F45" w:rsidRPr="0097202D" w:rsidRDefault="00830F45" w:rsidP="00830F45">
      <w:pPr>
        <w:spacing w:line="360" w:lineRule="auto"/>
        <w:ind w:right="49"/>
        <w:jc w:val="both"/>
        <w:rPr>
          <w:rFonts w:ascii="Palatino Linotype" w:eastAsia="Palatino Linotype" w:hAnsi="Palatino Linotype" w:cs="Palatino Linotype"/>
          <w:sz w:val="22"/>
        </w:rPr>
      </w:pPr>
    </w:p>
    <w:p w14:paraId="0124A1B3" w14:textId="77777777" w:rsidR="00830F45" w:rsidRPr="0097202D" w:rsidRDefault="00830F45" w:rsidP="00830F45">
      <w:pPr>
        <w:spacing w:line="276" w:lineRule="auto"/>
        <w:ind w:left="567" w:right="616"/>
        <w:jc w:val="both"/>
        <w:rPr>
          <w:rFonts w:ascii="Palatino Linotype" w:eastAsia="Palatino Linotype" w:hAnsi="Palatino Linotype" w:cs="Palatino Linotype"/>
          <w:i/>
          <w:sz w:val="22"/>
        </w:rPr>
      </w:pPr>
      <w:r w:rsidRPr="0097202D">
        <w:rPr>
          <w:rFonts w:ascii="Palatino Linotype" w:eastAsia="Palatino Linotype" w:hAnsi="Palatino Linotype" w:cs="Palatino Linotype"/>
          <w:i/>
          <w:sz w:val="22"/>
        </w:rPr>
        <w:t>“</w:t>
      </w:r>
      <w:r w:rsidRPr="0097202D">
        <w:rPr>
          <w:rFonts w:ascii="Palatino Linotype" w:eastAsia="Palatino Linotype" w:hAnsi="Palatino Linotype" w:cs="Palatino Linotype"/>
          <w:b/>
          <w:i/>
          <w:sz w:val="22"/>
        </w:rPr>
        <w:t>Artículo 92.</w:t>
      </w:r>
      <w:r w:rsidRPr="0097202D">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55BF12E" w14:textId="77777777" w:rsidR="00830F45" w:rsidRPr="0097202D" w:rsidRDefault="00830F45" w:rsidP="00830F45">
      <w:pPr>
        <w:spacing w:line="276" w:lineRule="auto"/>
        <w:ind w:left="567" w:right="616"/>
        <w:jc w:val="both"/>
        <w:rPr>
          <w:rFonts w:ascii="Palatino Linotype" w:eastAsia="Palatino Linotype" w:hAnsi="Palatino Linotype" w:cs="Palatino Linotype"/>
          <w:i/>
          <w:sz w:val="22"/>
        </w:rPr>
      </w:pPr>
      <w:r w:rsidRPr="0097202D">
        <w:rPr>
          <w:rFonts w:ascii="Palatino Linotype" w:eastAsia="Palatino Linotype" w:hAnsi="Palatino Linotype" w:cs="Palatino Linotype"/>
          <w:b/>
          <w:i/>
          <w:sz w:val="22"/>
        </w:rPr>
        <w:t>(…)</w:t>
      </w:r>
    </w:p>
    <w:p w14:paraId="63406D28" w14:textId="77777777" w:rsidR="00830F45" w:rsidRPr="0097202D" w:rsidRDefault="00830F45" w:rsidP="00830F45">
      <w:pPr>
        <w:spacing w:line="276" w:lineRule="auto"/>
        <w:ind w:left="567" w:right="616"/>
        <w:jc w:val="both"/>
        <w:rPr>
          <w:rFonts w:ascii="Palatino Linotype" w:eastAsia="Palatino Linotype" w:hAnsi="Palatino Linotype" w:cs="Palatino Linotype"/>
          <w:i/>
          <w:sz w:val="22"/>
        </w:rPr>
      </w:pPr>
      <w:r w:rsidRPr="0097202D">
        <w:rPr>
          <w:rFonts w:ascii="Palatino Linotype" w:eastAsia="Palatino Linotype" w:hAnsi="Palatino Linotype" w:cs="Palatino Linotype"/>
          <w:b/>
          <w:i/>
          <w:sz w:val="22"/>
        </w:rPr>
        <w:t xml:space="preserve">II. </w:t>
      </w:r>
      <w:r w:rsidRPr="0097202D">
        <w:rPr>
          <w:rFonts w:ascii="Palatino Linotype" w:eastAsia="Palatino Linotype" w:hAnsi="Palatino Linotype" w:cs="Palatino Linotype"/>
          <w:i/>
          <w:sz w:val="22"/>
        </w:rPr>
        <w:t xml:space="preserve">Su estructura orgánica completa, en un formato que permita vincular cada parte de la estructura, </w:t>
      </w:r>
      <w:r w:rsidRPr="0097202D">
        <w:rPr>
          <w:rFonts w:ascii="Palatino Linotype" w:eastAsia="Palatino Linotype" w:hAnsi="Palatino Linotype" w:cs="Palatino Linotype"/>
          <w:b/>
          <w:i/>
          <w:sz w:val="22"/>
        </w:rPr>
        <w:t xml:space="preserve">las atribuciones y responsabilidades que le corresponden a </w:t>
      </w:r>
      <w:r w:rsidRPr="0097202D">
        <w:rPr>
          <w:rFonts w:ascii="Palatino Linotype" w:eastAsia="Palatino Linotype" w:hAnsi="Palatino Linotype" w:cs="Palatino Linotype"/>
          <w:b/>
          <w:i/>
          <w:sz w:val="22"/>
          <w:u w:val="single"/>
        </w:rPr>
        <w:t>cada servidor público</w:t>
      </w:r>
      <w:r w:rsidRPr="0097202D">
        <w:rPr>
          <w:rFonts w:ascii="Palatino Linotype" w:eastAsia="Palatino Linotype" w:hAnsi="Palatino Linotype" w:cs="Palatino Linotype"/>
          <w:i/>
          <w:sz w:val="22"/>
        </w:rPr>
        <w:t xml:space="preserve">, </w:t>
      </w:r>
      <w:r w:rsidRPr="0097202D">
        <w:rPr>
          <w:rFonts w:ascii="Palatino Linotype" w:eastAsia="Palatino Linotype" w:hAnsi="Palatino Linotype" w:cs="Palatino Linotype"/>
          <w:b/>
          <w:i/>
          <w:sz w:val="22"/>
        </w:rPr>
        <w:t>prestador de servicios profesionales o miembro de los sujetos obligados</w:t>
      </w:r>
      <w:r w:rsidRPr="0097202D">
        <w:rPr>
          <w:rFonts w:ascii="Palatino Linotype" w:eastAsia="Palatino Linotype" w:hAnsi="Palatino Linotype" w:cs="Palatino Linotype"/>
          <w:i/>
          <w:sz w:val="22"/>
        </w:rPr>
        <w:t>, de conformidad con las disposiciones jurídicas aplicables;”</w:t>
      </w:r>
    </w:p>
    <w:p w14:paraId="39A87378" w14:textId="77777777" w:rsidR="00830F45" w:rsidRPr="0097202D" w:rsidRDefault="00830F45" w:rsidP="00830F45">
      <w:pPr>
        <w:pBdr>
          <w:top w:val="nil"/>
          <w:left w:val="nil"/>
          <w:bottom w:val="nil"/>
          <w:right w:val="nil"/>
          <w:between w:val="nil"/>
        </w:pBdr>
        <w:spacing w:line="360" w:lineRule="auto"/>
        <w:ind w:right="51"/>
        <w:jc w:val="both"/>
        <w:rPr>
          <w:rFonts w:ascii="Palatino Linotype" w:eastAsia="Palatino Linotype" w:hAnsi="Palatino Linotype" w:cs="Palatino Linotype"/>
          <w:sz w:val="22"/>
        </w:rPr>
      </w:pPr>
    </w:p>
    <w:p w14:paraId="0E629791" w14:textId="77777777" w:rsidR="00830F45" w:rsidRPr="0097202D" w:rsidRDefault="00830F45" w:rsidP="00830F45">
      <w:pPr>
        <w:pBdr>
          <w:top w:val="nil"/>
          <w:left w:val="nil"/>
          <w:bottom w:val="nil"/>
          <w:right w:val="nil"/>
          <w:between w:val="nil"/>
        </w:pBdr>
        <w:spacing w:line="360" w:lineRule="auto"/>
        <w:ind w:right="51"/>
        <w:jc w:val="both"/>
        <w:rPr>
          <w:sz w:val="22"/>
        </w:rPr>
      </w:pPr>
      <w:r w:rsidRPr="0097202D">
        <w:rPr>
          <w:rFonts w:ascii="Palatino Linotype" w:eastAsia="Palatino Linotype" w:hAnsi="Palatino Linotype" w:cs="Palatino Linotype"/>
          <w:sz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 contemplan lo siguiente: </w:t>
      </w:r>
    </w:p>
    <w:p w14:paraId="775D4866" w14:textId="77777777" w:rsidR="00830F45" w:rsidRPr="0097202D" w:rsidRDefault="00830F45" w:rsidP="00830F45">
      <w:pPr>
        <w:spacing w:line="360" w:lineRule="auto"/>
        <w:rPr>
          <w:rFonts w:ascii="Palatino Linotype" w:eastAsia="Palatino Linotype" w:hAnsi="Palatino Linotype" w:cs="Palatino Linotype"/>
          <w:sz w:val="22"/>
        </w:rPr>
      </w:pPr>
    </w:p>
    <w:p w14:paraId="50AF7022"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756DA496" w14:textId="77777777" w:rsidR="00830F45" w:rsidRPr="0097202D" w:rsidRDefault="00830F45" w:rsidP="00830F45">
      <w:pPr>
        <w:ind w:left="567" w:right="616"/>
        <w:rPr>
          <w:sz w:val="22"/>
        </w:rPr>
      </w:pPr>
    </w:p>
    <w:p w14:paraId="0A4FFF56"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b/>
          <w:i/>
          <w:sz w:val="22"/>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97202D">
        <w:rPr>
          <w:rFonts w:ascii="Palatino Linotype" w:eastAsia="Palatino Linotype" w:hAnsi="Palatino Linotype" w:cs="Palatino Linotype"/>
          <w:i/>
          <w:sz w:val="22"/>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3A034F00"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i/>
          <w:sz w:val="22"/>
        </w:rPr>
        <w:t>En aquellos casos en los que dicha estructura no corresponda con la funcional, deberá especificarse cuáles puestos se encuentran en tránsito de aprobación por parte de las autoridades competentes. </w:t>
      </w:r>
    </w:p>
    <w:p w14:paraId="2BFA74CA"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i/>
          <w:sz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425F2F4B"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b/>
          <w:i/>
          <w:sz w:val="22"/>
        </w:rPr>
        <w:t xml:space="preserve">La estructura orgánica deberá incluir </w:t>
      </w:r>
      <w:r w:rsidRPr="0097202D">
        <w:rPr>
          <w:rFonts w:ascii="Palatino Linotype" w:eastAsia="Palatino Linotype" w:hAnsi="Palatino Linotype" w:cs="Palatino Linotype"/>
          <w:b/>
          <w:i/>
          <w:sz w:val="22"/>
          <w:u w:val="single"/>
        </w:rPr>
        <w:t>al titular del sujeto obligado y todos los servidores públicos adscritos a las unidades administrativas</w:t>
      </w:r>
      <w:r w:rsidRPr="0097202D">
        <w:rPr>
          <w:rFonts w:ascii="Palatino Linotype" w:eastAsia="Palatino Linotype" w:hAnsi="Palatino Linotype" w:cs="Palatino Linotype"/>
          <w:b/>
          <w:i/>
          <w:sz w:val="22"/>
        </w:rPr>
        <w:t xml:space="preserve">, áreas, institutos o los que correspondan, incluido el personal de gabinete de apoyo </w:t>
      </w:r>
      <w:proofErr w:type="spellStart"/>
      <w:r w:rsidRPr="0097202D">
        <w:rPr>
          <w:rFonts w:ascii="Palatino Linotype" w:eastAsia="Palatino Linotype" w:hAnsi="Palatino Linotype" w:cs="Palatino Linotype"/>
          <w:b/>
          <w:i/>
          <w:sz w:val="22"/>
        </w:rPr>
        <w:t>u</w:t>
      </w:r>
      <w:proofErr w:type="spellEnd"/>
      <w:r w:rsidRPr="0097202D">
        <w:rPr>
          <w:rFonts w:ascii="Palatino Linotype" w:eastAsia="Palatino Linotype" w:hAnsi="Palatino Linotype" w:cs="Palatino Linotype"/>
          <w:b/>
          <w:i/>
          <w:sz w:val="22"/>
        </w:rPr>
        <w:t xml:space="preserve"> homólogo, prestadores de servicios profesionales, miembros de los sujetos obligados, así como los respectivos niveles de adjunto, homólogo o cualquier otro equivalente, según la denominación que se le dé.</w:t>
      </w:r>
    </w:p>
    <w:p w14:paraId="58A615C7" w14:textId="77777777" w:rsidR="00830F45" w:rsidRPr="0097202D" w:rsidRDefault="00830F45" w:rsidP="00830F45">
      <w:pPr>
        <w:pBdr>
          <w:top w:val="nil"/>
          <w:left w:val="nil"/>
          <w:bottom w:val="nil"/>
          <w:right w:val="nil"/>
          <w:between w:val="nil"/>
        </w:pBdr>
        <w:ind w:left="567" w:right="616"/>
        <w:jc w:val="both"/>
        <w:rPr>
          <w:sz w:val="22"/>
        </w:rPr>
      </w:pPr>
      <w:r w:rsidRPr="0097202D">
        <w:rPr>
          <w:rFonts w:ascii="Palatino Linotype" w:eastAsia="Palatino Linotype" w:hAnsi="Palatino Linotype" w:cs="Palatino Linotype"/>
          <w:i/>
          <w:sz w:val="22"/>
        </w:rPr>
        <w:t>…</w:t>
      </w:r>
    </w:p>
    <w:p w14:paraId="769E62B5" w14:textId="77777777" w:rsidR="00830F45" w:rsidRPr="0097202D" w:rsidRDefault="00830F45" w:rsidP="00830F45">
      <w:pPr>
        <w:pBdr>
          <w:top w:val="nil"/>
          <w:left w:val="nil"/>
          <w:bottom w:val="nil"/>
          <w:right w:val="nil"/>
          <w:between w:val="nil"/>
        </w:pBdr>
        <w:ind w:left="567" w:right="616"/>
        <w:jc w:val="both"/>
        <w:rPr>
          <w:rFonts w:ascii="Palatino Linotype" w:eastAsia="Palatino Linotype" w:hAnsi="Palatino Linotype" w:cs="Palatino Linotype"/>
          <w:b/>
          <w:i/>
          <w:sz w:val="22"/>
          <w:u w:val="single"/>
        </w:rPr>
      </w:pPr>
      <w:r w:rsidRPr="0097202D">
        <w:rPr>
          <w:rFonts w:ascii="Palatino Linotype" w:eastAsia="Palatino Linotype" w:hAnsi="Palatino Linotype" w:cs="Palatino Linotype"/>
          <w:b/>
          <w:i/>
          <w:sz w:val="22"/>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53DBDC7" w14:textId="77777777" w:rsidR="00830F45" w:rsidRPr="0097202D" w:rsidRDefault="00830F45" w:rsidP="00830F45">
      <w:pPr>
        <w:pBdr>
          <w:top w:val="nil"/>
          <w:left w:val="nil"/>
          <w:bottom w:val="nil"/>
          <w:right w:val="nil"/>
          <w:between w:val="nil"/>
        </w:pBdr>
        <w:ind w:left="567" w:right="616"/>
        <w:jc w:val="both"/>
        <w:rPr>
          <w:rFonts w:ascii="Palatino Linotype" w:eastAsia="Palatino Linotype" w:hAnsi="Palatino Linotype" w:cs="Palatino Linotype"/>
          <w:b/>
          <w:i/>
          <w:sz w:val="22"/>
          <w:u w:val="single"/>
        </w:rPr>
      </w:pPr>
    </w:p>
    <w:p w14:paraId="1CA6573C" w14:textId="77777777" w:rsidR="00830F45" w:rsidRPr="0097202D" w:rsidRDefault="00830F45" w:rsidP="00830F45">
      <w:pPr>
        <w:pBdr>
          <w:top w:val="nil"/>
          <w:left w:val="nil"/>
          <w:bottom w:val="nil"/>
          <w:right w:val="nil"/>
          <w:between w:val="nil"/>
        </w:pBdr>
        <w:ind w:left="567" w:right="616"/>
        <w:jc w:val="center"/>
        <w:rPr>
          <w:rFonts w:ascii="Palatino Linotype" w:eastAsia="Palatino Linotype" w:hAnsi="Palatino Linotype" w:cs="Palatino Linotype"/>
          <w:b/>
          <w:i/>
          <w:sz w:val="22"/>
          <w:u w:val="single"/>
        </w:rPr>
      </w:pPr>
      <w:r w:rsidRPr="0097202D">
        <w:rPr>
          <w:rFonts w:ascii="Palatino Linotype" w:eastAsia="Palatino Linotype" w:hAnsi="Palatino Linotype" w:cs="Palatino Linotype"/>
          <w:i/>
          <w:noProof/>
          <w:sz w:val="22"/>
          <w:lang w:val="es-MX" w:eastAsia="es-MX"/>
        </w:rPr>
        <w:drawing>
          <wp:inline distT="0" distB="0" distL="0" distR="0" wp14:anchorId="774E3AF0" wp14:editId="463F6F14">
            <wp:extent cx="3512797" cy="3209925"/>
            <wp:effectExtent l="0" t="0" r="0" b="0"/>
            <wp:docPr id="149" name="image2.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Em2T3FepT9VaJWw0tVO9TivCdmh6uCuZwpDBqMJDlWo9INEMu2dwLOf_dpW7-U0ArpYyJ1B94JFvCsgwNp-9v93PEM8cRC19Sz4VR8mr0gx6EZbdEvmx84HPZVaDwZveqEaoT8C-JB6q6fmYTLFn"/>
                    <pic:cNvPicPr preferRelativeResize="0"/>
                  </pic:nvPicPr>
                  <pic:blipFill>
                    <a:blip r:embed="rId12"/>
                    <a:srcRect/>
                    <a:stretch>
                      <a:fillRect/>
                    </a:stretch>
                  </pic:blipFill>
                  <pic:spPr>
                    <a:xfrm>
                      <a:off x="0" y="0"/>
                      <a:ext cx="3516502" cy="3213311"/>
                    </a:xfrm>
                    <a:prstGeom prst="rect">
                      <a:avLst/>
                    </a:prstGeom>
                    <a:ln/>
                  </pic:spPr>
                </pic:pic>
              </a:graphicData>
            </a:graphic>
          </wp:inline>
        </w:drawing>
      </w:r>
    </w:p>
    <w:p w14:paraId="346D4767" w14:textId="77777777" w:rsidR="00830F45" w:rsidRPr="0097202D" w:rsidRDefault="00830F45" w:rsidP="00830F45">
      <w:pPr>
        <w:spacing w:line="360" w:lineRule="auto"/>
        <w:ind w:right="51"/>
        <w:jc w:val="both"/>
        <w:rPr>
          <w:rFonts w:ascii="Palatino Linotype" w:eastAsia="Palatino Linotype" w:hAnsi="Palatino Linotype" w:cs="Palatino Linotype"/>
          <w:sz w:val="22"/>
        </w:rPr>
      </w:pPr>
    </w:p>
    <w:p w14:paraId="5F591382" w14:textId="77777777" w:rsidR="00830F45" w:rsidRPr="0097202D" w:rsidRDefault="00830F45" w:rsidP="00830F45">
      <w:pPr>
        <w:spacing w:line="360" w:lineRule="auto"/>
        <w:ind w:right="51"/>
        <w:jc w:val="both"/>
        <w:rPr>
          <w:rFonts w:ascii="Palatino Linotype" w:eastAsia="Palatino Linotype" w:hAnsi="Palatino Linotype" w:cs="Palatino Linotype"/>
          <w:sz w:val="22"/>
        </w:rPr>
      </w:pPr>
      <w:r w:rsidRPr="0097202D">
        <w:rPr>
          <w:rFonts w:ascii="Palatino Linotype" w:eastAsia="Palatino Linotype" w:hAnsi="Palatino Linotype" w:cs="Palatino Linotype"/>
          <w:sz w:val="22"/>
        </w:rPr>
        <w:t xml:space="preserve">En razón de lo anterior, se arriba a la conclusión de que la información requerida forma parte de las obligaciones de transparencia común de los sujetos obligados y, por ende, debe contar con esta. </w:t>
      </w:r>
    </w:p>
    <w:p w14:paraId="33D2C8B9" w14:textId="77777777" w:rsidR="00830F45" w:rsidRPr="0097202D" w:rsidRDefault="00830F45" w:rsidP="00830F45">
      <w:pPr>
        <w:spacing w:line="360" w:lineRule="auto"/>
        <w:ind w:right="51"/>
        <w:jc w:val="both"/>
        <w:rPr>
          <w:rFonts w:ascii="Palatino Linotype" w:eastAsia="Palatino Linotype" w:hAnsi="Palatino Linotype" w:cs="Palatino Linotype"/>
          <w:sz w:val="22"/>
        </w:rPr>
      </w:pPr>
    </w:p>
    <w:p w14:paraId="6B488224" w14:textId="770A4D11" w:rsidR="00830F45" w:rsidRPr="0097202D" w:rsidRDefault="00830F45" w:rsidP="00830F45">
      <w:pPr>
        <w:spacing w:line="360" w:lineRule="auto"/>
        <w:ind w:right="51"/>
        <w:jc w:val="both"/>
        <w:rPr>
          <w:rFonts w:ascii="Palatino Linotype" w:eastAsia="Palatino Linotype" w:hAnsi="Palatino Linotype" w:cs="Palatino Linotype"/>
          <w:sz w:val="22"/>
        </w:rPr>
      </w:pPr>
      <w:r w:rsidRPr="0097202D">
        <w:rPr>
          <w:rFonts w:ascii="Palatino Linotype" w:eastAsia="Palatino Linotype" w:hAnsi="Palatino Linotype" w:cs="Palatino Linotype"/>
          <w:sz w:val="22"/>
        </w:rPr>
        <w:t>En ese sentido, en el asunto que ahora nos ocupa, el Sujeto Obligado señaló que no se había encontrado un documento relacionado con las actividades de las personas comisionadas, no obstante, como se precisó esta información forma parte de las obligaciones de transparencia que los sujetos obligados deben poner a di</w:t>
      </w:r>
      <w:r w:rsidR="006958F8" w:rsidRPr="0097202D">
        <w:rPr>
          <w:rFonts w:ascii="Palatino Linotype" w:eastAsia="Palatino Linotype" w:hAnsi="Palatino Linotype" w:cs="Palatino Linotype"/>
          <w:sz w:val="22"/>
        </w:rPr>
        <w:t xml:space="preserve">sposición de los particulares y, que, obligatoriamente debe conocer el Ayuntamiento de Zinacantepec. </w:t>
      </w:r>
    </w:p>
    <w:p w14:paraId="613B8201" w14:textId="77777777" w:rsidR="006958F8" w:rsidRPr="0097202D" w:rsidRDefault="006958F8" w:rsidP="00830F45">
      <w:pPr>
        <w:spacing w:line="360" w:lineRule="auto"/>
        <w:ind w:right="51"/>
        <w:jc w:val="both"/>
        <w:rPr>
          <w:rFonts w:ascii="Palatino Linotype" w:eastAsia="Palatino Linotype" w:hAnsi="Palatino Linotype" w:cs="Palatino Linotype"/>
          <w:sz w:val="22"/>
        </w:rPr>
      </w:pPr>
    </w:p>
    <w:p w14:paraId="42F751E1" w14:textId="7F1C529E" w:rsidR="006958F8" w:rsidRPr="0097202D" w:rsidRDefault="006958F8" w:rsidP="00830F45">
      <w:pPr>
        <w:spacing w:line="360" w:lineRule="auto"/>
        <w:ind w:right="51"/>
        <w:jc w:val="both"/>
        <w:rPr>
          <w:rFonts w:ascii="Palatino Linotype" w:eastAsia="Palatino Linotype" w:hAnsi="Palatino Linotype" w:cs="Palatino Linotype"/>
          <w:b/>
          <w:sz w:val="22"/>
        </w:rPr>
      </w:pPr>
      <w:r w:rsidRPr="0097202D">
        <w:rPr>
          <w:rFonts w:ascii="Palatino Linotype" w:eastAsia="Palatino Linotype" w:hAnsi="Palatino Linotype" w:cs="Palatino Linotype"/>
          <w:sz w:val="22"/>
        </w:rPr>
        <w:t xml:space="preserve">Por lo anterior, este requerimiento </w:t>
      </w:r>
      <w:r w:rsidRPr="0097202D">
        <w:rPr>
          <w:rFonts w:ascii="Palatino Linotype" w:eastAsia="Palatino Linotype" w:hAnsi="Palatino Linotype" w:cs="Palatino Linotype"/>
          <w:b/>
          <w:sz w:val="22"/>
        </w:rPr>
        <w:t xml:space="preserve">no se tiene por colmado. </w:t>
      </w:r>
    </w:p>
    <w:p w14:paraId="7C9A75B9" w14:textId="77777777" w:rsidR="006958F8" w:rsidRPr="0097202D" w:rsidRDefault="006958F8" w:rsidP="00830F45">
      <w:pPr>
        <w:spacing w:line="360" w:lineRule="auto"/>
        <w:ind w:right="51"/>
        <w:jc w:val="both"/>
        <w:rPr>
          <w:rFonts w:ascii="Palatino Linotype" w:eastAsia="Palatino Linotype" w:hAnsi="Palatino Linotype" w:cs="Palatino Linotype"/>
          <w:b/>
          <w:sz w:val="22"/>
        </w:rPr>
      </w:pPr>
    </w:p>
    <w:p w14:paraId="7EA71276" w14:textId="3844939A" w:rsidR="006958F8" w:rsidRPr="0097202D" w:rsidRDefault="006958F8" w:rsidP="00830F45">
      <w:pPr>
        <w:spacing w:line="360" w:lineRule="auto"/>
        <w:ind w:right="51"/>
        <w:jc w:val="both"/>
        <w:rPr>
          <w:rFonts w:ascii="Palatino Linotype" w:eastAsia="Palatino Linotype" w:hAnsi="Palatino Linotype" w:cs="Palatino Linotype"/>
          <w:sz w:val="22"/>
        </w:rPr>
      </w:pPr>
      <w:r w:rsidRPr="0097202D">
        <w:rPr>
          <w:rFonts w:ascii="Palatino Linotype" w:eastAsia="Palatino Linotype" w:hAnsi="Palatino Linotype" w:cs="Palatino Linotype"/>
          <w:sz w:val="22"/>
        </w:rPr>
        <w:t xml:space="preserve">En lo que corresponde al </w:t>
      </w:r>
      <w:r w:rsidRPr="0097202D">
        <w:rPr>
          <w:rFonts w:ascii="Palatino Linotype" w:eastAsia="Palatino Linotype" w:hAnsi="Palatino Linotype" w:cs="Palatino Linotype"/>
          <w:b/>
          <w:sz w:val="22"/>
        </w:rPr>
        <w:t>horario de los servidores públicos comisionados</w:t>
      </w:r>
      <w:r w:rsidRPr="0097202D">
        <w:rPr>
          <w:rFonts w:ascii="Palatino Linotype" w:eastAsia="Palatino Linotype" w:hAnsi="Palatino Linotype" w:cs="Palatino Linotype"/>
          <w:sz w:val="22"/>
        </w:rPr>
        <w:t>, el Subdirector de Recursos Humanos remitió el horario de los servidores públicos comisionados, tal como se puede observar a continuación:</w:t>
      </w:r>
    </w:p>
    <w:p w14:paraId="79B53A35" w14:textId="77777777" w:rsidR="006958F8" w:rsidRPr="0097202D" w:rsidRDefault="006958F8" w:rsidP="00830F45">
      <w:pPr>
        <w:spacing w:line="360" w:lineRule="auto"/>
        <w:ind w:right="51"/>
        <w:jc w:val="both"/>
        <w:rPr>
          <w:rFonts w:ascii="Palatino Linotype" w:eastAsia="Palatino Linotype" w:hAnsi="Palatino Linotype" w:cs="Palatino Linotype"/>
          <w:sz w:val="22"/>
        </w:rPr>
      </w:pPr>
    </w:p>
    <w:p w14:paraId="6DDE3690" w14:textId="617061CB" w:rsidR="00830F45" w:rsidRPr="0097202D" w:rsidRDefault="006958F8" w:rsidP="006958F8">
      <w:pPr>
        <w:spacing w:line="360" w:lineRule="auto"/>
        <w:ind w:right="51"/>
        <w:jc w:val="center"/>
        <w:rPr>
          <w:rFonts w:ascii="Palatino Linotype" w:eastAsia="Palatino Linotype" w:hAnsi="Palatino Linotype" w:cs="Palatino Linotype"/>
          <w:sz w:val="22"/>
        </w:rPr>
      </w:pPr>
      <w:r w:rsidRPr="0097202D">
        <w:rPr>
          <w:rFonts w:ascii="Palatino Linotype" w:eastAsia="Palatino Linotype" w:hAnsi="Palatino Linotype" w:cs="Palatino Linotype"/>
          <w:noProof/>
          <w:sz w:val="22"/>
          <w:lang w:val="es-MX" w:eastAsia="es-MX"/>
        </w:rPr>
        <mc:AlternateContent>
          <mc:Choice Requires="wps">
            <w:drawing>
              <wp:anchor distT="0" distB="0" distL="114300" distR="114300" simplePos="0" relativeHeight="251659264" behindDoc="0" locked="0" layoutInCell="1" allowOverlap="1" wp14:anchorId="5ED5885F" wp14:editId="06D5CF05">
                <wp:simplePos x="0" y="0"/>
                <wp:positionH relativeFrom="column">
                  <wp:posOffset>4558665</wp:posOffset>
                </wp:positionH>
                <wp:positionV relativeFrom="paragraph">
                  <wp:posOffset>170180</wp:posOffset>
                </wp:positionV>
                <wp:extent cx="533400" cy="29908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533400" cy="2990850"/>
                        </a:xfrm>
                        <a:prstGeom prst="rect">
                          <a:avLst/>
                        </a:prstGeom>
                        <a:noFill/>
                        <a:ln w="3810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BABC5C" id="Rectángulo 5" o:spid="_x0000_s1026" style="position:absolute;margin-left:358.95pt;margin-top:13.4pt;width:42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" filled="f" strokecolor="red" strokeweight="3pt"/>
            </w:pict>
          </mc:Fallback>
        </mc:AlternateContent>
      </w:r>
      <w:r w:rsidRPr="0097202D">
        <w:rPr>
          <w:rFonts w:ascii="Palatino Linotype" w:eastAsia="Palatino Linotype" w:hAnsi="Palatino Linotype" w:cs="Palatino Linotype"/>
          <w:noProof/>
          <w:sz w:val="22"/>
          <w:lang w:val="es-MX" w:eastAsia="es-MX"/>
        </w:rPr>
        <w:drawing>
          <wp:inline distT="0" distB="0" distL="0" distR="0" wp14:anchorId="19CE8B0F" wp14:editId="2E0B11C3">
            <wp:extent cx="5582806"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4361" cy="3149756"/>
                    </a:xfrm>
                    <a:prstGeom prst="rect">
                      <a:avLst/>
                    </a:prstGeom>
                  </pic:spPr>
                </pic:pic>
              </a:graphicData>
            </a:graphic>
          </wp:inline>
        </w:drawing>
      </w:r>
    </w:p>
    <w:p w14:paraId="3A4DE79C" w14:textId="77777777" w:rsidR="00830F45" w:rsidRPr="0097202D" w:rsidRDefault="00830F45" w:rsidP="00317C99">
      <w:pPr>
        <w:spacing w:line="360" w:lineRule="auto"/>
        <w:ind w:right="51"/>
        <w:jc w:val="both"/>
        <w:rPr>
          <w:rFonts w:ascii="Palatino Linotype" w:eastAsia="Palatino Linotype" w:hAnsi="Palatino Linotype" w:cs="Palatino Linotype"/>
          <w:sz w:val="22"/>
          <w:szCs w:val="22"/>
        </w:rPr>
      </w:pPr>
    </w:p>
    <w:p w14:paraId="2F6491CC" w14:textId="192F2C40" w:rsidR="006958F8" w:rsidRPr="0097202D" w:rsidRDefault="006958F8" w:rsidP="00317C99">
      <w:pPr>
        <w:spacing w:line="360" w:lineRule="auto"/>
        <w:ind w:right="51"/>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 xml:space="preserve">Por lo anterior, este requerimiento se tiene por </w:t>
      </w:r>
      <w:r w:rsidRPr="0097202D">
        <w:rPr>
          <w:rFonts w:ascii="Palatino Linotype" w:eastAsia="Palatino Linotype" w:hAnsi="Palatino Linotype" w:cs="Palatino Linotype"/>
          <w:b/>
          <w:sz w:val="22"/>
          <w:szCs w:val="22"/>
        </w:rPr>
        <w:t xml:space="preserve">colmado. </w:t>
      </w:r>
    </w:p>
    <w:p w14:paraId="41C15DE1" w14:textId="77777777" w:rsidR="006958F8" w:rsidRPr="0097202D" w:rsidRDefault="006958F8" w:rsidP="00317C99">
      <w:pPr>
        <w:spacing w:line="360" w:lineRule="auto"/>
        <w:ind w:right="51"/>
        <w:jc w:val="both"/>
        <w:rPr>
          <w:rFonts w:ascii="Palatino Linotype" w:eastAsia="Palatino Linotype" w:hAnsi="Palatino Linotype" w:cs="Palatino Linotype"/>
          <w:b/>
          <w:sz w:val="22"/>
          <w:szCs w:val="22"/>
        </w:rPr>
      </w:pPr>
    </w:p>
    <w:p w14:paraId="323B5748" w14:textId="5C1C0D6E" w:rsidR="006958F8" w:rsidRPr="0097202D" w:rsidRDefault="006958F8" w:rsidP="00317C99">
      <w:pPr>
        <w:spacing w:line="360" w:lineRule="auto"/>
        <w:ind w:right="51"/>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 xml:space="preserve">En cuanto hace a la </w:t>
      </w:r>
      <w:r w:rsidRPr="0097202D">
        <w:rPr>
          <w:rFonts w:ascii="Palatino Linotype" w:eastAsia="Palatino Linotype" w:hAnsi="Palatino Linotype" w:cs="Palatino Linotype"/>
          <w:b/>
          <w:sz w:val="22"/>
          <w:szCs w:val="22"/>
        </w:rPr>
        <w:t>antigüedad de los servidores públicos comisionados</w:t>
      </w:r>
      <w:r w:rsidRPr="0097202D">
        <w:rPr>
          <w:rFonts w:ascii="Palatino Linotype" w:eastAsia="Palatino Linotype" w:hAnsi="Palatino Linotype" w:cs="Palatino Linotype"/>
          <w:sz w:val="22"/>
          <w:szCs w:val="22"/>
        </w:rPr>
        <w:t xml:space="preserve">, el Subdirector de Recursos Humanos proporcionó la antigüedad de cada uno de los servidores públicos, tal como se advierte a continuación: </w:t>
      </w:r>
    </w:p>
    <w:p w14:paraId="3B3C19F7" w14:textId="77777777" w:rsidR="006958F8" w:rsidRPr="0097202D" w:rsidRDefault="006958F8" w:rsidP="00317C99">
      <w:pPr>
        <w:spacing w:line="360" w:lineRule="auto"/>
        <w:ind w:right="51"/>
        <w:jc w:val="both"/>
        <w:rPr>
          <w:rFonts w:ascii="Palatino Linotype" w:eastAsia="Palatino Linotype" w:hAnsi="Palatino Linotype" w:cs="Palatino Linotype"/>
          <w:sz w:val="22"/>
          <w:szCs w:val="22"/>
        </w:rPr>
      </w:pPr>
    </w:p>
    <w:p w14:paraId="0BBCECE1" w14:textId="34EE5D87" w:rsidR="006958F8" w:rsidRPr="0097202D" w:rsidRDefault="006958F8" w:rsidP="006958F8">
      <w:pPr>
        <w:spacing w:line="360" w:lineRule="auto"/>
        <w:ind w:right="51"/>
        <w:jc w:val="center"/>
        <w:rPr>
          <w:rFonts w:ascii="Palatino Linotype" w:eastAsia="Palatino Linotype" w:hAnsi="Palatino Linotype" w:cs="Palatino Linotype"/>
          <w:sz w:val="22"/>
          <w:szCs w:val="22"/>
        </w:rPr>
      </w:pPr>
      <w:r w:rsidRPr="0097202D">
        <w:rPr>
          <w:rFonts w:ascii="Palatino Linotype" w:eastAsia="Palatino Linotype" w:hAnsi="Palatino Linotype" w:cs="Palatino Linotype"/>
          <w:noProof/>
          <w:sz w:val="22"/>
          <w:lang w:val="es-MX" w:eastAsia="es-MX"/>
        </w:rPr>
        <mc:AlternateContent>
          <mc:Choice Requires="wps">
            <w:drawing>
              <wp:anchor distT="0" distB="0" distL="114300" distR="114300" simplePos="0" relativeHeight="251661312" behindDoc="0" locked="0" layoutInCell="1" allowOverlap="1" wp14:anchorId="6262428C" wp14:editId="75ED267E">
                <wp:simplePos x="0" y="0"/>
                <wp:positionH relativeFrom="column">
                  <wp:posOffset>4962525</wp:posOffset>
                </wp:positionH>
                <wp:positionV relativeFrom="paragraph">
                  <wp:posOffset>93980</wp:posOffset>
                </wp:positionV>
                <wp:extent cx="533400" cy="29908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533400" cy="2990850"/>
                        </a:xfrm>
                        <a:prstGeom prst="rect">
                          <a:avLst/>
                        </a:prstGeom>
                        <a:noFill/>
                        <a:ln w="3810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D50581" id="Rectángulo 7" o:spid="_x0000_s1026" style="position:absolute;margin-left:390.75pt;margin-top:7.4pt;width:42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" filled="f" strokecolor="red" strokeweight="3pt"/>
            </w:pict>
          </mc:Fallback>
        </mc:AlternateContent>
      </w:r>
      <w:r w:rsidRPr="0097202D">
        <w:rPr>
          <w:rFonts w:ascii="Palatino Linotype" w:eastAsia="Palatino Linotype" w:hAnsi="Palatino Linotype" w:cs="Palatino Linotype"/>
          <w:noProof/>
          <w:sz w:val="22"/>
          <w:szCs w:val="22"/>
          <w:lang w:val="es-MX" w:eastAsia="es-MX"/>
        </w:rPr>
        <w:drawing>
          <wp:inline distT="0" distB="0" distL="0" distR="0" wp14:anchorId="17D9954F" wp14:editId="01439746">
            <wp:extent cx="5400675" cy="3040706"/>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1157" cy="3046608"/>
                    </a:xfrm>
                    <a:prstGeom prst="rect">
                      <a:avLst/>
                    </a:prstGeom>
                  </pic:spPr>
                </pic:pic>
              </a:graphicData>
            </a:graphic>
          </wp:inline>
        </w:drawing>
      </w:r>
    </w:p>
    <w:p w14:paraId="0F45B057" w14:textId="0E7B8D74" w:rsidR="006958F8" w:rsidRPr="0097202D" w:rsidRDefault="006958F8" w:rsidP="00317C99">
      <w:pPr>
        <w:spacing w:line="360" w:lineRule="auto"/>
        <w:ind w:right="51"/>
        <w:jc w:val="both"/>
        <w:rPr>
          <w:rFonts w:ascii="Palatino Linotype" w:eastAsia="Palatino Linotype" w:hAnsi="Palatino Linotype" w:cs="Palatino Linotype"/>
          <w:sz w:val="22"/>
          <w:szCs w:val="22"/>
        </w:rPr>
      </w:pPr>
    </w:p>
    <w:p w14:paraId="0E7FEDDA" w14:textId="77777777" w:rsidR="006958F8" w:rsidRPr="0097202D" w:rsidRDefault="006958F8" w:rsidP="006958F8">
      <w:pPr>
        <w:spacing w:line="360" w:lineRule="auto"/>
        <w:ind w:right="51"/>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 xml:space="preserve">Por lo anterior, este requerimiento se tiene por </w:t>
      </w:r>
      <w:r w:rsidRPr="0097202D">
        <w:rPr>
          <w:rFonts w:ascii="Palatino Linotype" w:eastAsia="Palatino Linotype" w:hAnsi="Palatino Linotype" w:cs="Palatino Linotype"/>
          <w:b/>
          <w:sz w:val="22"/>
          <w:szCs w:val="22"/>
        </w:rPr>
        <w:t xml:space="preserve">colmado. </w:t>
      </w:r>
    </w:p>
    <w:p w14:paraId="20C935BE" w14:textId="77777777" w:rsidR="006958F8" w:rsidRPr="0097202D" w:rsidRDefault="006958F8" w:rsidP="00317C99">
      <w:pPr>
        <w:spacing w:line="360" w:lineRule="auto"/>
        <w:ind w:right="51"/>
        <w:jc w:val="both"/>
        <w:rPr>
          <w:rFonts w:ascii="Palatino Linotype" w:eastAsia="Palatino Linotype" w:hAnsi="Palatino Linotype" w:cs="Palatino Linotype"/>
          <w:sz w:val="22"/>
          <w:szCs w:val="22"/>
        </w:rPr>
      </w:pPr>
    </w:p>
    <w:p w14:paraId="27CFD9BD" w14:textId="6EE52E63" w:rsidR="006A3DF3" w:rsidRPr="0097202D" w:rsidRDefault="006840FA" w:rsidP="006958F8">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sz w:val="22"/>
          <w:szCs w:val="22"/>
        </w:rPr>
        <w:t>Por lo antes dicho, debido a que el Sujeto Obligado, no cumplió cabalmente con la entrega de la información</w:t>
      </w:r>
      <w:r w:rsidR="00317C99" w:rsidRPr="0097202D">
        <w:rPr>
          <w:rFonts w:ascii="Palatino Linotype" w:eastAsia="Palatino Linotype" w:hAnsi="Palatino Linotype" w:cs="Palatino Linotype"/>
          <w:sz w:val="22"/>
          <w:szCs w:val="22"/>
        </w:rPr>
        <w:t xml:space="preserve"> requerida</w:t>
      </w:r>
      <w:r w:rsidRPr="0097202D">
        <w:rPr>
          <w:rFonts w:ascii="Palatino Linotype" w:eastAsia="Palatino Linotype" w:hAnsi="Palatino Linotype" w:cs="Palatino Linotype"/>
          <w:sz w:val="22"/>
          <w:szCs w:val="22"/>
        </w:rPr>
        <w:t>, los agravios hechos valer por la parte Solicitante deviene</w:t>
      </w:r>
      <w:r w:rsidR="004B0CAE" w:rsidRPr="0097202D">
        <w:rPr>
          <w:rFonts w:ascii="Palatino Linotype" w:eastAsia="Palatino Linotype" w:hAnsi="Palatino Linotype" w:cs="Palatino Linotype"/>
          <w:sz w:val="22"/>
          <w:szCs w:val="22"/>
        </w:rPr>
        <w:t>n</w:t>
      </w:r>
      <w:r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b/>
          <w:sz w:val="22"/>
          <w:szCs w:val="22"/>
        </w:rPr>
        <w:t>FUNDADOS</w:t>
      </w:r>
      <w:r w:rsidR="006958F8" w:rsidRPr="0097202D">
        <w:rPr>
          <w:rFonts w:ascii="Palatino Linotype" w:eastAsia="Palatino Linotype" w:hAnsi="Palatino Linotype" w:cs="Palatino Linotype"/>
          <w:b/>
          <w:sz w:val="22"/>
          <w:szCs w:val="22"/>
        </w:rPr>
        <w:t xml:space="preserve">. </w:t>
      </w:r>
    </w:p>
    <w:p w14:paraId="693174CA" w14:textId="77777777" w:rsidR="006958F8" w:rsidRPr="0097202D" w:rsidRDefault="006958F8" w:rsidP="006958F8">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6BE0F6EF"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Quinto. Versión Pública. </w:t>
      </w:r>
      <w:r w:rsidRPr="0097202D">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06E0F68"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464E3F69" w14:textId="614DE7DB" w:rsidR="004B0CAE" w:rsidRPr="0097202D" w:rsidRDefault="006A3DF3" w:rsidP="007F5F7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r w:rsidR="006D7B37" w:rsidRPr="0097202D">
        <w:rPr>
          <w:rFonts w:ascii="Palatino Linotype" w:eastAsia="Palatino Linotype" w:hAnsi="Palatino Linotype" w:cs="Palatino Linotype"/>
          <w:sz w:val="22"/>
          <w:szCs w:val="22"/>
        </w:rPr>
        <w:t xml:space="preserve">. </w:t>
      </w:r>
    </w:p>
    <w:p w14:paraId="2638F662"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7250D30F" w14:textId="77777777" w:rsidR="006A3DF3" w:rsidRPr="0097202D" w:rsidRDefault="006A3DF3" w:rsidP="006A3DF3">
      <w:pPr>
        <w:spacing w:line="360" w:lineRule="auto"/>
        <w:ind w:right="50"/>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1BDCEE7" w14:textId="77777777" w:rsidR="006A3DF3" w:rsidRPr="0097202D" w:rsidRDefault="006A3DF3" w:rsidP="006A3DF3">
      <w:pPr>
        <w:spacing w:line="360" w:lineRule="auto"/>
        <w:ind w:right="50"/>
        <w:jc w:val="both"/>
        <w:rPr>
          <w:rFonts w:ascii="Palatino Linotype" w:eastAsia="Palatino Linotype" w:hAnsi="Palatino Linotype" w:cs="Palatino Linotype"/>
          <w:sz w:val="22"/>
          <w:szCs w:val="22"/>
        </w:rPr>
      </w:pPr>
    </w:p>
    <w:p w14:paraId="09B72F7D"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Artículo 3.</w:t>
      </w:r>
      <w:r w:rsidRPr="0097202D">
        <w:rPr>
          <w:rFonts w:ascii="Palatino Linotype" w:eastAsia="Palatino Linotype" w:hAnsi="Palatino Linotype" w:cs="Palatino Linotype"/>
          <w:i/>
          <w:sz w:val="22"/>
          <w:szCs w:val="22"/>
        </w:rPr>
        <w:t xml:space="preserve"> Para los efectos de la presente Ley se entenderá por:</w:t>
      </w:r>
    </w:p>
    <w:p w14:paraId="53A59165"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11C7B85F"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5F8BE79"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XX. Información clasificada: Aquella considerada por la presente Ley como reservada o confidencial;</w:t>
      </w:r>
    </w:p>
    <w:p w14:paraId="22AFF702"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A3D367"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EF201CA"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353B8763"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Artículo 91.</w:t>
      </w:r>
      <w:r w:rsidRPr="0097202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7C5B51C"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Artículo 132.</w:t>
      </w:r>
      <w:r w:rsidRPr="0097202D">
        <w:rPr>
          <w:rFonts w:ascii="Palatino Linotype" w:eastAsia="Palatino Linotype" w:hAnsi="Palatino Linotype" w:cs="Palatino Linotype"/>
          <w:i/>
          <w:sz w:val="22"/>
          <w:szCs w:val="22"/>
        </w:rPr>
        <w:t xml:space="preserve"> La clasificación de la información se llevará a cabo en el momento en que:</w:t>
      </w:r>
    </w:p>
    <w:p w14:paraId="06C1CC57" w14:textId="77777777" w:rsidR="006A3DF3" w:rsidRPr="0097202D" w:rsidRDefault="006A3DF3" w:rsidP="006A3DF3">
      <w:pPr>
        <w:tabs>
          <w:tab w:val="left" w:pos="1134"/>
        </w:tabs>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 Se reciba una solicitud de acceso a la información;</w:t>
      </w:r>
    </w:p>
    <w:p w14:paraId="53C8DEED" w14:textId="77777777" w:rsidR="006A3DF3" w:rsidRPr="0097202D" w:rsidRDefault="006A3DF3" w:rsidP="006A3DF3">
      <w:pPr>
        <w:tabs>
          <w:tab w:val="left" w:pos="1134"/>
        </w:tabs>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 Se determine mediante resolución de autoridad competente; o</w:t>
      </w:r>
    </w:p>
    <w:p w14:paraId="5C1D0236" w14:textId="77777777" w:rsidR="006A3DF3" w:rsidRPr="0097202D" w:rsidRDefault="006A3DF3" w:rsidP="006A3DF3">
      <w:pPr>
        <w:tabs>
          <w:tab w:val="left" w:pos="1134"/>
        </w:tabs>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FEAC2D5"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4C4150D3"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Artículo 143</w:t>
      </w:r>
      <w:r w:rsidRPr="0097202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0C69AA1"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E26BC26"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F0CD759"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AAE3297"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D7D314"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DC9626E" w14:textId="77777777" w:rsidR="006A3DF3" w:rsidRPr="0097202D" w:rsidRDefault="006A3DF3" w:rsidP="006A3DF3">
      <w:pPr>
        <w:ind w:left="567" w:right="616"/>
        <w:jc w:val="both"/>
        <w:rPr>
          <w:rFonts w:ascii="Palatino Linotype" w:eastAsia="Palatino Linotype" w:hAnsi="Palatino Linotype" w:cs="Palatino Linotype"/>
          <w:i/>
          <w:sz w:val="22"/>
          <w:szCs w:val="22"/>
        </w:rPr>
      </w:pPr>
    </w:p>
    <w:p w14:paraId="31D210B2"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D74485" w14:textId="77777777" w:rsidR="006A3DF3" w:rsidRPr="0097202D" w:rsidRDefault="006A3DF3" w:rsidP="006A3DF3">
      <w:pPr>
        <w:jc w:val="both"/>
        <w:rPr>
          <w:rFonts w:ascii="Palatino Linotype" w:eastAsia="Palatino Linotype" w:hAnsi="Palatino Linotype" w:cs="Palatino Linotype"/>
          <w:sz w:val="22"/>
          <w:szCs w:val="22"/>
        </w:rPr>
      </w:pPr>
    </w:p>
    <w:p w14:paraId="776C8392"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9006F67"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40BE8388"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 “</w:t>
      </w:r>
      <w:r w:rsidRPr="0097202D">
        <w:rPr>
          <w:rFonts w:ascii="Palatino Linotype" w:eastAsia="Palatino Linotype" w:hAnsi="Palatino Linotype" w:cs="Palatino Linotype"/>
          <w:b/>
          <w:i/>
          <w:sz w:val="22"/>
          <w:szCs w:val="22"/>
        </w:rPr>
        <w:t>Quincuagésimo</w:t>
      </w:r>
      <w:r w:rsidRPr="0097202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C8CC53"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Quincuagésimo primero.</w:t>
      </w:r>
      <w:r w:rsidRPr="0097202D">
        <w:rPr>
          <w:rFonts w:ascii="Palatino Linotype" w:eastAsia="Palatino Linotype" w:hAnsi="Palatino Linotype" w:cs="Palatino Linotype"/>
          <w:i/>
          <w:sz w:val="22"/>
          <w:szCs w:val="22"/>
        </w:rPr>
        <w:t xml:space="preserve"> Toda acta del Comité de Transparencia deberá contener: </w:t>
      </w:r>
    </w:p>
    <w:p w14:paraId="1D5376C7"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 El número de sesión y fecha; </w:t>
      </w:r>
    </w:p>
    <w:p w14:paraId="260075FA"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II. El nombre del área que solicitó la clasificación de información; </w:t>
      </w:r>
    </w:p>
    <w:p w14:paraId="7ABACECF"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III. La fundamentación legal y motivación correspondiente; </w:t>
      </w:r>
    </w:p>
    <w:p w14:paraId="6B9CD6FA"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IV. La resolución o resoluciones aprobadas; y </w:t>
      </w:r>
    </w:p>
    <w:p w14:paraId="7AF037B7"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V. La rúbrica o firma digital de cada integrante del Comité de Transparencia. </w:t>
      </w:r>
    </w:p>
    <w:p w14:paraId="6C967445"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2F76098"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 Los motivos y razonamientos que sustenten la confirmación o modificación de la prueba de daño;</w:t>
      </w:r>
    </w:p>
    <w:p w14:paraId="474185DA"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II. Descripción de las partes o secciones reservadas, en caso de clasificación parcial; </w:t>
      </w:r>
    </w:p>
    <w:p w14:paraId="37B8E5D8"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III. El periodo por el que mantendrá su clasificación y fecha de expiración; y </w:t>
      </w:r>
    </w:p>
    <w:p w14:paraId="4B566DA7"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DB985DF"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518C8F"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08A2DE8"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Quincuagésimo segundo.</w:t>
      </w:r>
      <w:r w:rsidRPr="0097202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00FDC99"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B8E9FB8"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99209EB"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2935F6E"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III. Señalar las personas o instancias autorizadas a acceder a la información clasificada.</w:t>
      </w:r>
    </w:p>
    <w:p w14:paraId="6AC0B761"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E47FBD3"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2A94BA9A"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26C75D9E"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495F4EAA" w14:textId="77777777" w:rsidR="006A3DF3" w:rsidRPr="0097202D" w:rsidRDefault="006A3DF3" w:rsidP="006A3D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r w:rsidRPr="0097202D">
        <w:rPr>
          <w:rFonts w:ascii="Palatino Linotype" w:eastAsia="Palatino Linotype" w:hAnsi="Palatino Linotype" w:cs="Palatino Linotype"/>
          <w:b/>
          <w:i/>
          <w:sz w:val="22"/>
          <w:szCs w:val="22"/>
        </w:rPr>
        <w:t>Quincuagésimo cuarto.</w:t>
      </w:r>
      <w:r w:rsidRPr="0097202D">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859A88C"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Quincuagésimo quinto.</w:t>
      </w:r>
      <w:r w:rsidRPr="0097202D">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97202D">
        <w:rPr>
          <w:rFonts w:ascii="Palatino Linotype" w:eastAsia="Palatino Linotype" w:hAnsi="Palatino Linotype" w:cs="Palatino Linotype"/>
          <w:i/>
          <w:sz w:val="22"/>
          <w:szCs w:val="22"/>
        </w:rPr>
        <w:t>testado</w:t>
      </w:r>
      <w:proofErr w:type="spellEnd"/>
      <w:r w:rsidRPr="0097202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2A3E610"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w:t>
      </w:r>
    </w:p>
    <w:p w14:paraId="74BDE088"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b/>
          <w:i/>
          <w:sz w:val="22"/>
          <w:szCs w:val="22"/>
        </w:rPr>
        <w:t>Quincuagésimo séptimo.</w:t>
      </w:r>
      <w:r w:rsidRPr="0097202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35BB0C0"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F988C97"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A566AB2"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04839CE"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DDE7983" w14:textId="77777777" w:rsidR="006A3DF3" w:rsidRPr="0097202D" w:rsidRDefault="006A3DF3" w:rsidP="006A3DF3">
      <w:pPr>
        <w:ind w:left="567" w:right="616"/>
        <w:jc w:val="both"/>
        <w:rPr>
          <w:rFonts w:ascii="Palatino Linotype" w:eastAsia="Palatino Linotype" w:hAnsi="Palatino Linotype" w:cs="Palatino Linotype"/>
          <w:i/>
          <w:sz w:val="22"/>
          <w:szCs w:val="22"/>
        </w:rPr>
      </w:pPr>
      <w:r w:rsidRPr="0097202D">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AE88315" w14:textId="77777777" w:rsidR="006A3DF3" w:rsidRPr="0097202D" w:rsidRDefault="006A3DF3" w:rsidP="006A3DF3">
      <w:pPr>
        <w:spacing w:line="360" w:lineRule="auto"/>
        <w:ind w:left="567" w:right="616"/>
        <w:jc w:val="both"/>
        <w:rPr>
          <w:rFonts w:ascii="Palatino Linotype" w:eastAsia="Palatino Linotype" w:hAnsi="Palatino Linotype" w:cs="Palatino Linotype"/>
          <w:i/>
          <w:sz w:val="22"/>
          <w:szCs w:val="22"/>
        </w:rPr>
      </w:pPr>
    </w:p>
    <w:p w14:paraId="74F9BD6E"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BE50818" w14:textId="77777777" w:rsidR="006A3DF3" w:rsidRPr="0097202D" w:rsidRDefault="006A3DF3" w:rsidP="006A3DF3">
      <w:pPr>
        <w:spacing w:line="360" w:lineRule="auto"/>
        <w:jc w:val="both"/>
        <w:rPr>
          <w:rFonts w:ascii="Palatino Linotype" w:eastAsia="Palatino Linotype" w:hAnsi="Palatino Linotype" w:cs="Palatino Linotype"/>
          <w:sz w:val="22"/>
          <w:szCs w:val="22"/>
        </w:rPr>
      </w:pPr>
    </w:p>
    <w:p w14:paraId="0C744030" w14:textId="5CB88A79" w:rsidR="006A3DF3" w:rsidRPr="0097202D" w:rsidRDefault="006A3DF3" w:rsidP="006A3DF3">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sz w:val="22"/>
          <w:szCs w:val="22"/>
        </w:rPr>
        <w:t>Es así como, en mérito de lo expuesto en líneas anteriores, resultan</w:t>
      </w:r>
      <w:r w:rsidR="007224B8" w:rsidRPr="0097202D">
        <w:rPr>
          <w:rFonts w:ascii="Palatino Linotype" w:eastAsia="Palatino Linotype" w:hAnsi="Palatino Linotype" w:cs="Palatino Linotype"/>
          <w:sz w:val="22"/>
          <w:szCs w:val="22"/>
        </w:rPr>
        <w:t xml:space="preserve"> parcialmente</w:t>
      </w:r>
      <w:r w:rsidRPr="0097202D">
        <w:rPr>
          <w:rFonts w:ascii="Palatino Linotype" w:eastAsia="Palatino Linotype" w:hAnsi="Palatino Linotype" w:cs="Palatino Linotype"/>
          <w:sz w:val="22"/>
          <w:szCs w:val="22"/>
        </w:rPr>
        <w:t xml:space="preserve"> fundadas las razones o motivos de inconformidad hechos valer por la parte </w:t>
      </w:r>
      <w:r w:rsidRPr="0097202D">
        <w:rPr>
          <w:rFonts w:ascii="Palatino Linotype" w:eastAsia="Palatino Linotype" w:hAnsi="Palatino Linotype" w:cs="Palatino Linotype"/>
          <w:b/>
          <w:sz w:val="22"/>
          <w:szCs w:val="22"/>
        </w:rPr>
        <w:t>RECURRENTE</w:t>
      </w:r>
      <w:r w:rsidRPr="0097202D">
        <w:rPr>
          <w:rFonts w:ascii="Palatino Linotype" w:eastAsia="Palatino Linotype" w:hAnsi="Palatino Linotype" w:cs="Palatino Linotype"/>
          <w:sz w:val="22"/>
          <w:szCs w:val="22"/>
        </w:rPr>
        <w:t xml:space="preserve"> dentro del recurso de revisión </w:t>
      </w:r>
      <w:r w:rsidR="006958F8" w:rsidRPr="0097202D">
        <w:rPr>
          <w:rFonts w:ascii="Palatino Linotype" w:eastAsia="Palatino Linotype" w:hAnsi="Palatino Linotype" w:cs="Palatino Linotype"/>
          <w:b/>
          <w:sz w:val="22"/>
          <w:szCs w:val="22"/>
        </w:rPr>
        <w:t>10089</w:t>
      </w:r>
      <w:r w:rsidR="007F5F7D" w:rsidRPr="0097202D">
        <w:rPr>
          <w:rFonts w:ascii="Palatino Linotype" w:eastAsia="Palatino Linotype" w:hAnsi="Palatino Linotype" w:cs="Palatino Linotype"/>
          <w:b/>
          <w:sz w:val="22"/>
          <w:szCs w:val="22"/>
        </w:rPr>
        <w:t>/</w:t>
      </w:r>
      <w:r w:rsidRPr="0097202D">
        <w:rPr>
          <w:rFonts w:ascii="Palatino Linotype" w:eastAsia="Palatino Linotype" w:hAnsi="Palatino Linotype" w:cs="Palatino Linotype"/>
          <w:b/>
          <w:sz w:val="22"/>
          <w:szCs w:val="22"/>
        </w:rPr>
        <w:t>/INFOEM/IP/RR/2024</w:t>
      </w:r>
      <w:r w:rsidRPr="0097202D">
        <w:rPr>
          <w:rFonts w:ascii="Palatino Linotype" w:eastAsia="Palatino Linotype" w:hAnsi="Palatino Linotype" w:cs="Palatino Linotype"/>
          <w:sz w:val="22"/>
          <w:szCs w:val="22"/>
        </w:rPr>
        <w:t xml:space="preserve">; por ello, y </w:t>
      </w:r>
      <w:r w:rsidR="00E15438" w:rsidRPr="0097202D">
        <w:rPr>
          <w:rFonts w:ascii="Palatino Linotype" w:eastAsia="Palatino Linotype" w:hAnsi="Palatino Linotype" w:cs="Palatino Linotype"/>
          <w:sz w:val="22"/>
          <w:szCs w:val="22"/>
        </w:rPr>
        <w:t>con fundamento en la fracción III</w:t>
      </w:r>
      <w:r w:rsidRPr="0097202D">
        <w:rPr>
          <w:rFonts w:ascii="Palatino Linotype" w:eastAsia="Palatino Linotype" w:hAnsi="Palatino Linotype" w:cs="Palatino Linotype"/>
          <w:sz w:val="22"/>
          <w:szCs w:val="22"/>
        </w:rPr>
        <w:t xml:space="preserve"> del numeral 186 de la Ley de Transparencia y Acceso a la Información Pública del Estado de México y Municipios, por lo que se </w:t>
      </w:r>
      <w:r w:rsidRPr="0097202D">
        <w:rPr>
          <w:rFonts w:ascii="Palatino Linotype" w:eastAsia="Palatino Linotype" w:hAnsi="Palatino Linotype" w:cs="Palatino Linotype"/>
          <w:b/>
          <w:sz w:val="22"/>
          <w:szCs w:val="22"/>
        </w:rPr>
        <w:t xml:space="preserve">MODIFICA </w:t>
      </w:r>
      <w:r w:rsidRPr="0097202D">
        <w:rPr>
          <w:rFonts w:ascii="Palatino Linotype" w:eastAsia="Palatino Linotype" w:hAnsi="Palatino Linotype" w:cs="Palatino Linotype"/>
          <w:sz w:val="22"/>
          <w:szCs w:val="22"/>
        </w:rPr>
        <w:t xml:space="preserve">la respuesta del </w:t>
      </w:r>
      <w:r w:rsidRPr="0097202D">
        <w:rPr>
          <w:rFonts w:ascii="Palatino Linotype" w:eastAsia="Palatino Linotype" w:hAnsi="Palatino Linotype" w:cs="Palatino Linotype"/>
          <w:b/>
          <w:sz w:val="22"/>
          <w:szCs w:val="22"/>
        </w:rPr>
        <w:t>SU</w:t>
      </w:r>
      <w:r w:rsidRPr="0097202D">
        <w:rPr>
          <w:rFonts w:ascii="Palatino Linotype" w:eastAsia="Palatino Linotype" w:hAnsi="Palatino Linotype" w:cs="Palatino Linotype"/>
          <w:b/>
          <w:bCs/>
          <w:sz w:val="22"/>
          <w:szCs w:val="22"/>
        </w:rPr>
        <w:t xml:space="preserve">JETO OBLIGADO </w:t>
      </w:r>
      <w:r w:rsidRPr="0097202D">
        <w:rPr>
          <w:rFonts w:ascii="Palatino Linotype" w:eastAsia="Palatino Linotype" w:hAnsi="Palatino Linotype" w:cs="Palatino Linotype"/>
          <w:sz w:val="22"/>
          <w:szCs w:val="22"/>
        </w:rPr>
        <w:t xml:space="preserve">a la solicitud de información </w:t>
      </w:r>
      <w:r w:rsidR="006958F8" w:rsidRPr="0097202D">
        <w:rPr>
          <w:rFonts w:ascii="Palatino Linotype" w:eastAsia="Palatino Linotype" w:hAnsi="Palatino Linotype" w:cs="Palatino Linotype"/>
          <w:b/>
          <w:sz w:val="22"/>
          <w:szCs w:val="22"/>
        </w:rPr>
        <w:t>00555</w:t>
      </w:r>
      <w:r w:rsidRPr="0097202D">
        <w:rPr>
          <w:rFonts w:ascii="Palatino Linotype" w:eastAsia="Palatino Linotype" w:hAnsi="Palatino Linotype" w:cs="Palatino Linotype"/>
          <w:b/>
          <w:sz w:val="22"/>
          <w:szCs w:val="22"/>
        </w:rPr>
        <w:t>/</w:t>
      </w:r>
      <w:r w:rsidR="006958F8" w:rsidRPr="0097202D">
        <w:rPr>
          <w:rFonts w:ascii="Palatino Linotype" w:eastAsia="Palatino Linotype" w:hAnsi="Palatino Linotype" w:cs="Palatino Linotype"/>
          <w:b/>
          <w:sz w:val="22"/>
          <w:szCs w:val="22"/>
        </w:rPr>
        <w:t>ZINACANT</w:t>
      </w:r>
      <w:r w:rsidRPr="0097202D">
        <w:rPr>
          <w:rFonts w:ascii="Palatino Linotype" w:eastAsia="Palatino Linotype" w:hAnsi="Palatino Linotype" w:cs="Palatino Linotype"/>
          <w:b/>
          <w:sz w:val="22"/>
          <w:szCs w:val="22"/>
        </w:rPr>
        <w:t>/IP/202</w:t>
      </w:r>
      <w:r w:rsidR="007F5F7D" w:rsidRPr="0097202D">
        <w:rPr>
          <w:rFonts w:ascii="Palatino Linotype" w:eastAsia="Palatino Linotype" w:hAnsi="Palatino Linotype" w:cs="Palatino Linotype"/>
          <w:b/>
          <w:sz w:val="22"/>
          <w:szCs w:val="22"/>
        </w:rPr>
        <w:t>5</w:t>
      </w:r>
      <w:r w:rsidRPr="0097202D">
        <w:rPr>
          <w:rFonts w:ascii="Palatino Linotype" w:eastAsia="Palatino Linotype" w:hAnsi="Palatino Linotype" w:cs="Palatino Linotype"/>
          <w:b/>
          <w:sz w:val="22"/>
          <w:szCs w:val="22"/>
        </w:rPr>
        <w:t>.</w:t>
      </w:r>
      <w:r w:rsidRPr="0097202D">
        <w:rPr>
          <w:rFonts w:ascii="Palatino Linotype" w:eastAsia="Palatino Linotype" w:hAnsi="Palatino Linotype" w:cs="Palatino Linotype"/>
          <w:sz w:val="22"/>
          <w:szCs w:val="22"/>
        </w:rPr>
        <w:t xml:space="preserve">  </w:t>
      </w:r>
    </w:p>
    <w:p w14:paraId="4F10ACA3" w14:textId="77777777" w:rsidR="006A3DF3" w:rsidRPr="0097202D" w:rsidRDefault="006A3DF3" w:rsidP="006A3DF3">
      <w:pPr>
        <w:spacing w:line="360" w:lineRule="auto"/>
        <w:ind w:right="99"/>
        <w:jc w:val="both"/>
        <w:rPr>
          <w:rFonts w:ascii="Palatino Linotype" w:eastAsia="Palatino Linotype" w:hAnsi="Palatino Linotype" w:cs="Palatino Linotype"/>
          <w:sz w:val="22"/>
        </w:rPr>
      </w:pPr>
    </w:p>
    <w:p w14:paraId="19BB231C" w14:textId="77777777" w:rsidR="00A539B6" w:rsidRPr="0097202D" w:rsidRDefault="00A539B6" w:rsidP="00A539B6">
      <w:pPr>
        <w:spacing w:line="360" w:lineRule="auto"/>
        <w:ind w:right="49"/>
        <w:jc w:val="both"/>
        <w:rPr>
          <w:rFonts w:ascii="Palatino Linotype" w:eastAsia="Palatino Linotype" w:hAnsi="Palatino Linotype" w:cs="Palatino Linotype"/>
          <w:sz w:val="22"/>
        </w:rPr>
      </w:pPr>
      <w:r w:rsidRPr="0097202D">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563F316" w14:textId="77777777" w:rsidR="00E43D52" w:rsidRPr="0097202D" w:rsidRDefault="00E43D52">
      <w:pPr>
        <w:spacing w:line="360" w:lineRule="auto"/>
        <w:ind w:right="49"/>
        <w:jc w:val="both"/>
        <w:rPr>
          <w:rFonts w:ascii="Palatino Linotype" w:eastAsia="Palatino Linotype" w:hAnsi="Palatino Linotype" w:cs="Palatino Linotype"/>
          <w:sz w:val="22"/>
          <w:szCs w:val="22"/>
        </w:rPr>
      </w:pPr>
    </w:p>
    <w:p w14:paraId="67173955" w14:textId="77777777" w:rsidR="00573953" w:rsidRPr="0097202D" w:rsidRDefault="00C96B0D">
      <w:pPr>
        <w:spacing w:line="360" w:lineRule="auto"/>
        <w:ind w:right="49"/>
        <w:jc w:val="center"/>
        <w:rPr>
          <w:rFonts w:ascii="Palatino Linotype" w:eastAsia="Palatino Linotype" w:hAnsi="Palatino Linotype" w:cs="Palatino Linotype"/>
          <w:b/>
          <w:sz w:val="22"/>
          <w:szCs w:val="22"/>
        </w:rPr>
      </w:pPr>
      <w:r w:rsidRPr="0097202D">
        <w:rPr>
          <w:rFonts w:ascii="Palatino Linotype" w:eastAsia="Palatino Linotype" w:hAnsi="Palatino Linotype" w:cs="Palatino Linotype"/>
          <w:b/>
          <w:sz w:val="22"/>
          <w:szCs w:val="22"/>
        </w:rPr>
        <w:t>III.</w:t>
      </w:r>
      <w:r w:rsidRPr="0097202D">
        <w:rPr>
          <w:rFonts w:ascii="Palatino Linotype" w:eastAsia="Palatino Linotype" w:hAnsi="Palatino Linotype" w:cs="Palatino Linotype"/>
          <w:b/>
          <w:sz w:val="22"/>
          <w:szCs w:val="22"/>
        </w:rPr>
        <w:tab/>
        <w:t>R E S U E L V E:</w:t>
      </w:r>
    </w:p>
    <w:p w14:paraId="00FF54F0" w14:textId="77777777" w:rsidR="00573953" w:rsidRPr="0097202D" w:rsidRDefault="00573953">
      <w:pPr>
        <w:spacing w:line="360" w:lineRule="auto"/>
        <w:ind w:right="49"/>
        <w:jc w:val="center"/>
        <w:rPr>
          <w:rFonts w:ascii="Palatino Linotype" w:eastAsia="Palatino Linotype" w:hAnsi="Palatino Linotype" w:cs="Palatino Linotype"/>
          <w:b/>
          <w:sz w:val="22"/>
          <w:szCs w:val="22"/>
        </w:rPr>
      </w:pPr>
    </w:p>
    <w:p w14:paraId="5E6A339B" w14:textId="6745C3FB" w:rsidR="00573953" w:rsidRPr="0097202D" w:rsidRDefault="00C96B0D">
      <w:pPr>
        <w:spacing w:line="360" w:lineRule="auto"/>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Primero. </w:t>
      </w:r>
      <w:r w:rsidRPr="0097202D">
        <w:rPr>
          <w:rFonts w:ascii="Palatino Linotype" w:eastAsia="Palatino Linotype" w:hAnsi="Palatino Linotype" w:cs="Palatino Linotype"/>
          <w:sz w:val="22"/>
          <w:szCs w:val="22"/>
        </w:rPr>
        <w:t>Se</w:t>
      </w:r>
      <w:r w:rsidRPr="0097202D">
        <w:rPr>
          <w:sz w:val="22"/>
          <w:szCs w:val="22"/>
        </w:rPr>
        <w:t xml:space="preserve"> </w:t>
      </w:r>
      <w:r w:rsidRPr="0097202D">
        <w:rPr>
          <w:rFonts w:ascii="Palatino Linotype" w:eastAsia="Palatino Linotype" w:hAnsi="Palatino Linotype" w:cs="Palatino Linotype"/>
          <w:b/>
          <w:sz w:val="22"/>
          <w:szCs w:val="22"/>
        </w:rPr>
        <w:t xml:space="preserve">MODIFICA </w:t>
      </w:r>
      <w:r w:rsidRPr="0097202D">
        <w:rPr>
          <w:rFonts w:ascii="Palatino Linotype" w:eastAsia="Palatino Linotype" w:hAnsi="Palatino Linotype" w:cs="Palatino Linotype"/>
          <w:sz w:val="22"/>
          <w:szCs w:val="22"/>
        </w:rPr>
        <w:t xml:space="preserve">la respuesta entregada por </w:t>
      </w:r>
      <w:r w:rsidRPr="0097202D">
        <w:rPr>
          <w:rFonts w:ascii="Palatino Linotype" w:eastAsia="Palatino Linotype" w:hAnsi="Palatino Linotype" w:cs="Palatino Linotype"/>
          <w:b/>
          <w:sz w:val="22"/>
          <w:szCs w:val="22"/>
        </w:rPr>
        <w:t xml:space="preserve">EL SUJETO OBLIGADO </w:t>
      </w:r>
      <w:r w:rsidRPr="0097202D">
        <w:rPr>
          <w:rFonts w:ascii="Palatino Linotype" w:eastAsia="Palatino Linotype" w:hAnsi="Palatino Linotype" w:cs="Palatino Linotype"/>
          <w:sz w:val="22"/>
          <w:szCs w:val="22"/>
        </w:rPr>
        <w:t xml:space="preserve">a la solicitud de información </w:t>
      </w:r>
      <w:r w:rsidR="006840FA" w:rsidRPr="0097202D">
        <w:rPr>
          <w:rFonts w:ascii="Palatino Linotype" w:eastAsia="Palatino Linotype" w:hAnsi="Palatino Linotype" w:cs="Palatino Linotype"/>
          <w:b/>
          <w:sz w:val="22"/>
          <w:szCs w:val="22"/>
        </w:rPr>
        <w:t>00</w:t>
      </w:r>
      <w:r w:rsidR="006958F8" w:rsidRPr="0097202D">
        <w:rPr>
          <w:rFonts w:ascii="Palatino Linotype" w:eastAsia="Palatino Linotype" w:hAnsi="Palatino Linotype" w:cs="Palatino Linotype"/>
          <w:b/>
          <w:sz w:val="22"/>
          <w:szCs w:val="22"/>
        </w:rPr>
        <w:t>555</w:t>
      </w:r>
      <w:r w:rsidR="007F5F7D" w:rsidRPr="0097202D">
        <w:rPr>
          <w:rFonts w:ascii="Palatino Linotype" w:eastAsia="Palatino Linotype" w:hAnsi="Palatino Linotype" w:cs="Palatino Linotype"/>
          <w:b/>
          <w:sz w:val="22"/>
          <w:szCs w:val="22"/>
        </w:rPr>
        <w:t>/</w:t>
      </w:r>
      <w:r w:rsidR="006958F8" w:rsidRPr="0097202D">
        <w:rPr>
          <w:rFonts w:ascii="Palatino Linotype" w:eastAsia="Palatino Linotype" w:hAnsi="Palatino Linotype" w:cs="Palatino Linotype"/>
          <w:b/>
          <w:sz w:val="22"/>
          <w:szCs w:val="22"/>
        </w:rPr>
        <w:t>ZINACANT</w:t>
      </w:r>
      <w:r w:rsidR="00317C99" w:rsidRPr="0097202D">
        <w:rPr>
          <w:rFonts w:ascii="Palatino Linotype" w:eastAsia="Palatino Linotype" w:hAnsi="Palatino Linotype" w:cs="Palatino Linotype"/>
          <w:b/>
          <w:sz w:val="22"/>
          <w:szCs w:val="22"/>
        </w:rPr>
        <w:t>/</w:t>
      </w:r>
      <w:r w:rsidR="007F5F7D" w:rsidRPr="0097202D">
        <w:rPr>
          <w:rFonts w:ascii="Palatino Linotype" w:eastAsia="Palatino Linotype" w:hAnsi="Palatino Linotype" w:cs="Palatino Linotype"/>
          <w:b/>
          <w:sz w:val="22"/>
          <w:szCs w:val="22"/>
        </w:rPr>
        <w:t>IP/2025</w:t>
      </w:r>
      <w:r w:rsidRPr="0097202D">
        <w:rPr>
          <w:rFonts w:ascii="Palatino Linotype" w:eastAsia="Palatino Linotype" w:hAnsi="Palatino Linotype" w:cs="Palatino Linotype"/>
          <w:sz w:val="22"/>
          <w:szCs w:val="22"/>
        </w:rPr>
        <w:t>, por resultar</w:t>
      </w:r>
      <w:r w:rsidR="00514F03" w:rsidRPr="0097202D">
        <w:rPr>
          <w:rFonts w:ascii="Palatino Linotype" w:eastAsia="Palatino Linotype" w:hAnsi="Palatino Linotype" w:cs="Palatino Linotype"/>
          <w:sz w:val="22"/>
          <w:szCs w:val="22"/>
        </w:rPr>
        <w:t xml:space="preserve"> parcialmente</w:t>
      </w:r>
      <w:r w:rsidRPr="0097202D">
        <w:rPr>
          <w:rFonts w:ascii="Palatino Linotype" w:eastAsia="Palatino Linotype" w:hAnsi="Palatino Linotype" w:cs="Palatino Linotype"/>
          <w:sz w:val="22"/>
          <w:szCs w:val="22"/>
        </w:rPr>
        <w:t xml:space="preserve"> fundadas las razones o motivos de inconformidad hechos valer por la parte </w:t>
      </w:r>
      <w:r w:rsidRPr="0097202D">
        <w:rPr>
          <w:rFonts w:ascii="Palatino Linotype" w:eastAsia="Palatino Linotype" w:hAnsi="Palatino Linotype" w:cs="Palatino Linotype"/>
          <w:b/>
          <w:sz w:val="22"/>
          <w:szCs w:val="22"/>
        </w:rPr>
        <w:t xml:space="preserve">RECURRENTE, </w:t>
      </w:r>
      <w:r w:rsidRPr="0097202D">
        <w:rPr>
          <w:rFonts w:ascii="Palatino Linotype" w:eastAsia="Palatino Linotype" w:hAnsi="Palatino Linotype" w:cs="Palatino Linotype"/>
          <w:sz w:val="22"/>
          <w:szCs w:val="22"/>
        </w:rPr>
        <w:t xml:space="preserve">en el Recurso de Revisión </w:t>
      </w:r>
      <w:r w:rsidR="006958F8" w:rsidRPr="0097202D">
        <w:rPr>
          <w:rFonts w:ascii="Palatino Linotype" w:eastAsia="Palatino Linotype" w:hAnsi="Palatino Linotype" w:cs="Palatino Linotype"/>
          <w:b/>
          <w:sz w:val="22"/>
          <w:szCs w:val="22"/>
        </w:rPr>
        <w:t>10089</w:t>
      </w:r>
      <w:r w:rsidRPr="0097202D">
        <w:rPr>
          <w:rFonts w:ascii="Palatino Linotype" w:eastAsia="Palatino Linotype" w:hAnsi="Palatino Linotype" w:cs="Palatino Linotype"/>
          <w:b/>
          <w:sz w:val="22"/>
          <w:szCs w:val="22"/>
        </w:rPr>
        <w:t>/INFOEM/IP/RR/2024,</w:t>
      </w:r>
      <w:r w:rsidRPr="0097202D">
        <w:rPr>
          <w:rFonts w:ascii="Palatino Linotype" w:eastAsia="Palatino Linotype" w:hAnsi="Palatino Linotype" w:cs="Palatino Linotype"/>
          <w:sz w:val="22"/>
          <w:szCs w:val="22"/>
        </w:rPr>
        <w:t xml:space="preserve"> en términos del considerando </w:t>
      </w:r>
      <w:r w:rsidRPr="0097202D">
        <w:rPr>
          <w:rFonts w:ascii="Palatino Linotype" w:eastAsia="Palatino Linotype" w:hAnsi="Palatino Linotype" w:cs="Palatino Linotype"/>
          <w:b/>
          <w:sz w:val="22"/>
          <w:szCs w:val="22"/>
        </w:rPr>
        <w:t>Cuarto</w:t>
      </w:r>
      <w:r w:rsidRPr="0097202D">
        <w:rPr>
          <w:rFonts w:ascii="Palatino Linotype" w:eastAsia="Palatino Linotype" w:hAnsi="Palatino Linotype" w:cs="Palatino Linotype"/>
          <w:sz w:val="22"/>
          <w:szCs w:val="22"/>
        </w:rPr>
        <w:t xml:space="preserve"> de la presente Resolución.</w:t>
      </w:r>
    </w:p>
    <w:p w14:paraId="2B4AB8E6" w14:textId="77777777" w:rsidR="00573953" w:rsidRPr="0097202D" w:rsidRDefault="00573953">
      <w:pPr>
        <w:spacing w:line="360" w:lineRule="auto"/>
        <w:jc w:val="both"/>
        <w:rPr>
          <w:rFonts w:ascii="Palatino Linotype" w:eastAsia="Palatino Linotype" w:hAnsi="Palatino Linotype" w:cs="Palatino Linotype"/>
          <w:sz w:val="22"/>
          <w:szCs w:val="22"/>
        </w:rPr>
      </w:pPr>
    </w:p>
    <w:p w14:paraId="1B16AAF0" w14:textId="4D7F7180" w:rsidR="006840FA" w:rsidRPr="0097202D" w:rsidRDefault="00C96B0D" w:rsidP="006D7B37">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 xml:space="preserve">Segundo. </w:t>
      </w:r>
      <w:r w:rsidRPr="0097202D">
        <w:rPr>
          <w:rFonts w:ascii="Palatino Linotype" w:eastAsia="Palatino Linotype" w:hAnsi="Palatino Linotype" w:cs="Palatino Linotype"/>
          <w:sz w:val="22"/>
          <w:szCs w:val="22"/>
        </w:rPr>
        <w:t>Se</w:t>
      </w:r>
      <w:r w:rsidRPr="0097202D">
        <w:rPr>
          <w:rFonts w:ascii="Palatino Linotype" w:eastAsia="Palatino Linotype" w:hAnsi="Palatino Linotype" w:cs="Palatino Linotype"/>
          <w:b/>
          <w:sz w:val="22"/>
          <w:szCs w:val="22"/>
        </w:rPr>
        <w:t xml:space="preserve"> ORDENA </w:t>
      </w:r>
      <w:r w:rsidRPr="0097202D">
        <w:rPr>
          <w:rFonts w:ascii="Palatino Linotype" w:eastAsia="Palatino Linotype" w:hAnsi="Palatino Linotype" w:cs="Palatino Linotype"/>
          <w:sz w:val="22"/>
          <w:szCs w:val="22"/>
        </w:rPr>
        <w:t xml:space="preserve">al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xml:space="preserve"> a que,</w:t>
      </w:r>
      <w:r w:rsidRPr="0097202D">
        <w:rPr>
          <w:rFonts w:ascii="Palatino Linotype" w:eastAsia="Palatino Linotype" w:hAnsi="Palatino Linotype" w:cs="Palatino Linotype"/>
          <w:b/>
          <w:sz w:val="22"/>
          <w:szCs w:val="22"/>
        </w:rPr>
        <w:t xml:space="preserve"> </w:t>
      </w:r>
      <w:r w:rsidRPr="0097202D">
        <w:rPr>
          <w:rFonts w:ascii="Palatino Linotype" w:eastAsia="Palatino Linotype" w:hAnsi="Palatino Linotype" w:cs="Palatino Linotype"/>
          <w:sz w:val="22"/>
          <w:szCs w:val="22"/>
        </w:rPr>
        <w:t>en términos del Considerando Cuarto</w:t>
      </w:r>
      <w:r w:rsidR="006A3DF3" w:rsidRPr="0097202D">
        <w:rPr>
          <w:rFonts w:ascii="Palatino Linotype" w:eastAsia="Palatino Linotype" w:hAnsi="Palatino Linotype" w:cs="Palatino Linotype"/>
          <w:sz w:val="22"/>
          <w:szCs w:val="22"/>
        </w:rPr>
        <w:t xml:space="preserve"> y Quinto</w:t>
      </w:r>
      <w:r w:rsidRPr="0097202D">
        <w:rPr>
          <w:rFonts w:ascii="Palatino Linotype" w:eastAsia="Palatino Linotype" w:hAnsi="Palatino Linotype" w:cs="Palatino Linotype"/>
          <w:sz w:val="22"/>
          <w:szCs w:val="22"/>
        </w:rPr>
        <w:t>, haga entrega, vía Sistema de Acce</w:t>
      </w:r>
      <w:r w:rsidR="006840FA" w:rsidRPr="0097202D">
        <w:rPr>
          <w:rFonts w:ascii="Palatino Linotype" w:eastAsia="Palatino Linotype" w:hAnsi="Palatino Linotype" w:cs="Palatino Linotype"/>
          <w:sz w:val="22"/>
          <w:szCs w:val="22"/>
        </w:rPr>
        <w:t>so a la Información Mexiquense</w:t>
      </w:r>
      <w:r w:rsidR="00317C99" w:rsidRPr="0097202D">
        <w:rPr>
          <w:rFonts w:ascii="Palatino Linotype" w:eastAsia="Palatino Linotype" w:hAnsi="Palatino Linotype" w:cs="Palatino Linotype"/>
          <w:sz w:val="22"/>
          <w:szCs w:val="22"/>
        </w:rPr>
        <w:t>,</w:t>
      </w:r>
      <w:r w:rsidR="006840FA" w:rsidRPr="0097202D">
        <w:rPr>
          <w:rFonts w:ascii="Palatino Linotype" w:eastAsia="Palatino Linotype" w:hAnsi="Palatino Linotype" w:cs="Palatino Linotype"/>
          <w:sz w:val="22"/>
          <w:szCs w:val="22"/>
        </w:rPr>
        <w:t xml:space="preserve"> de ser el caso, en versión pública, </w:t>
      </w:r>
      <w:r w:rsidR="005E2F20" w:rsidRPr="0097202D">
        <w:rPr>
          <w:rFonts w:ascii="Palatino Linotype" w:eastAsia="Palatino Linotype" w:hAnsi="Palatino Linotype" w:cs="Palatino Linotype"/>
          <w:sz w:val="22"/>
          <w:szCs w:val="22"/>
        </w:rPr>
        <w:t>de los servidores públicos comisionados a un área diferente a su área de adscripción en funciones al once de julio de dos mil veinticinco</w:t>
      </w:r>
      <w:r w:rsidR="00A539B6" w:rsidRPr="0097202D">
        <w:rPr>
          <w:rFonts w:ascii="Palatino Linotype" w:eastAsia="Palatino Linotype" w:hAnsi="Palatino Linotype" w:cs="Palatino Linotype"/>
          <w:sz w:val="22"/>
          <w:szCs w:val="22"/>
        </w:rPr>
        <w:t xml:space="preserve"> referidos en respuesta;</w:t>
      </w:r>
      <w:r w:rsidR="006840FA" w:rsidRPr="0097202D">
        <w:rPr>
          <w:rFonts w:ascii="Palatino Linotype" w:eastAsia="Palatino Linotype" w:hAnsi="Palatino Linotype" w:cs="Palatino Linotype"/>
          <w:sz w:val="22"/>
          <w:szCs w:val="22"/>
        </w:rPr>
        <w:t xml:space="preserve"> lo siguiente: </w:t>
      </w:r>
    </w:p>
    <w:p w14:paraId="4AE4D526" w14:textId="77777777" w:rsidR="00E3021A" w:rsidRPr="0097202D" w:rsidRDefault="00E3021A" w:rsidP="006958F8">
      <w:pPr>
        <w:spacing w:line="360" w:lineRule="auto"/>
        <w:ind w:right="616"/>
        <w:jc w:val="both"/>
        <w:rPr>
          <w:rFonts w:ascii="Palatino Linotype" w:eastAsia="Palatino Linotype" w:hAnsi="Palatino Linotype" w:cs="Palatino Linotype"/>
          <w:sz w:val="22"/>
          <w:szCs w:val="22"/>
        </w:rPr>
      </w:pPr>
    </w:p>
    <w:p w14:paraId="209BF1B9" w14:textId="21C2A1D8" w:rsidR="006958F8" w:rsidRPr="0097202D" w:rsidRDefault="006958F8" w:rsidP="006958F8">
      <w:pPr>
        <w:pStyle w:val="Prrafodelista"/>
        <w:numPr>
          <w:ilvl w:val="0"/>
          <w:numId w:val="12"/>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97202D">
        <w:rPr>
          <w:rFonts w:ascii="Palatino Linotype" w:eastAsia="Palatino Linotype" w:hAnsi="Palatino Linotype" w:cs="Palatino Linotype"/>
        </w:rPr>
        <w:t xml:space="preserve">Documento donde conste el sueldo bruto vigente al once de julio de dos mil veinticinco. </w:t>
      </w:r>
    </w:p>
    <w:p w14:paraId="19950A9F" w14:textId="4CDBC871" w:rsidR="006958F8" w:rsidRPr="0097202D" w:rsidRDefault="006958F8" w:rsidP="006958F8">
      <w:pPr>
        <w:pStyle w:val="Prrafodelista"/>
        <w:numPr>
          <w:ilvl w:val="0"/>
          <w:numId w:val="12"/>
        </w:numPr>
        <w:pBdr>
          <w:top w:val="nil"/>
          <w:left w:val="nil"/>
          <w:bottom w:val="nil"/>
          <w:right w:val="nil"/>
          <w:between w:val="nil"/>
        </w:pBdr>
        <w:spacing w:line="360" w:lineRule="auto"/>
        <w:ind w:right="616"/>
        <w:jc w:val="both"/>
        <w:rPr>
          <w:rFonts w:ascii="Palatino Linotype" w:eastAsia="Palatino Linotype" w:hAnsi="Palatino Linotype" w:cs="Palatino Linotype"/>
        </w:rPr>
      </w:pPr>
      <w:r w:rsidRPr="0097202D">
        <w:rPr>
          <w:rFonts w:ascii="Palatino Linotype" w:eastAsia="Palatino Linotype" w:hAnsi="Palatino Linotype" w:cs="Palatino Linotype"/>
        </w:rPr>
        <w:t xml:space="preserve">Documento donde consten las funciones que realizan al once de julio de dos mil veinticinco. </w:t>
      </w:r>
    </w:p>
    <w:p w14:paraId="1F48D4A2" w14:textId="77777777" w:rsidR="00E3021A" w:rsidRPr="0097202D" w:rsidRDefault="00E3021A" w:rsidP="006958F8">
      <w:p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p>
    <w:p w14:paraId="48120093" w14:textId="77777777" w:rsidR="00E3021A" w:rsidRPr="0097202D" w:rsidRDefault="00E3021A" w:rsidP="006958F8">
      <w:pPr>
        <w:pStyle w:val="Prrafodelista"/>
        <w:ind w:left="567" w:right="616"/>
        <w:jc w:val="both"/>
        <w:rPr>
          <w:rFonts w:ascii="Palatino Linotype" w:eastAsia="Palatino Linotype" w:hAnsi="Palatino Linotype" w:cs="Palatino Linotype"/>
          <w:i/>
        </w:rPr>
      </w:pPr>
      <w:r w:rsidRPr="0097202D">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97202D">
        <w:rPr>
          <w:rFonts w:ascii="Palatino Linotype" w:eastAsia="Palatino Linotype" w:hAnsi="Palatino Linotype" w:cs="Palatino Linotype"/>
          <w:b/>
          <w:i/>
        </w:rPr>
        <w:t>,</w:t>
      </w:r>
      <w:r w:rsidRPr="0097202D">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75ACEA4E" w14:textId="77777777" w:rsidR="00E3021A" w:rsidRPr="0097202D" w:rsidRDefault="00E3021A" w:rsidP="00E3021A">
      <w:pPr>
        <w:ind w:right="615"/>
        <w:jc w:val="both"/>
        <w:rPr>
          <w:rFonts w:ascii="Palatino Linotype" w:eastAsia="Palatino Linotype" w:hAnsi="Palatino Linotype" w:cs="Palatino Linotype"/>
          <w:i/>
          <w:sz w:val="22"/>
          <w:szCs w:val="22"/>
        </w:rPr>
      </w:pPr>
    </w:p>
    <w:p w14:paraId="3F663966" w14:textId="77777777" w:rsidR="00E3021A" w:rsidRPr="0097202D" w:rsidRDefault="00E3021A" w:rsidP="00E3021A">
      <w:pPr>
        <w:pBdr>
          <w:top w:val="nil"/>
          <w:left w:val="nil"/>
          <w:bottom w:val="nil"/>
          <w:right w:val="nil"/>
          <w:between w:val="nil"/>
        </w:pBdr>
        <w:tabs>
          <w:tab w:val="left" w:pos="567"/>
          <w:tab w:val="left" w:pos="993"/>
        </w:tabs>
        <w:ind w:left="567" w:right="560"/>
        <w:jc w:val="both"/>
        <w:rPr>
          <w:rFonts w:ascii="Palatino Linotype" w:eastAsia="Palatino Linotype" w:hAnsi="Palatino Linotype" w:cs="Palatino Linotype"/>
          <w:i/>
          <w:sz w:val="22"/>
          <w:szCs w:val="22"/>
        </w:rPr>
      </w:pPr>
    </w:p>
    <w:p w14:paraId="00314243" w14:textId="3FEF18C9" w:rsidR="00573953" w:rsidRPr="0097202D" w:rsidRDefault="00C96B0D">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Tercero.</w:t>
      </w:r>
      <w:r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b/>
          <w:sz w:val="22"/>
          <w:szCs w:val="22"/>
        </w:rPr>
        <w:t xml:space="preserve">Notifíquese vía SAIMEX </w:t>
      </w:r>
      <w:r w:rsidRPr="0097202D">
        <w:rPr>
          <w:rFonts w:ascii="Palatino Linotype" w:eastAsia="Palatino Linotype" w:hAnsi="Palatino Linotype" w:cs="Palatino Linotype"/>
          <w:sz w:val="22"/>
          <w:szCs w:val="22"/>
        </w:rPr>
        <w:t>la presente resolución al T</w:t>
      </w:r>
      <w:r w:rsidRPr="0097202D">
        <w:rPr>
          <w:rFonts w:ascii="Palatino Linotype" w:eastAsia="Palatino Linotype" w:hAnsi="Palatino Linotype" w:cs="Palatino Linotype"/>
          <w:b/>
          <w:sz w:val="22"/>
          <w:szCs w:val="22"/>
        </w:rPr>
        <w:t xml:space="preserve">itular de la Unidad de Transparencia </w:t>
      </w:r>
      <w:r w:rsidRPr="0097202D">
        <w:rPr>
          <w:rFonts w:ascii="Palatino Linotype" w:eastAsia="Palatino Linotype" w:hAnsi="Palatino Linotype" w:cs="Palatino Linotype"/>
          <w:sz w:val="22"/>
          <w:szCs w:val="22"/>
        </w:rPr>
        <w:t xml:space="preserve">del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4B0CAE"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sz w:val="22"/>
          <w:szCs w:val="22"/>
        </w:rPr>
        <w:t>de la Ley  de Transparencia y Acceso a la Información Pública del Estado de México y Municipios.</w:t>
      </w:r>
    </w:p>
    <w:p w14:paraId="7CC7C30D" w14:textId="77777777" w:rsidR="00573953" w:rsidRPr="0097202D" w:rsidRDefault="00573953">
      <w:pPr>
        <w:spacing w:line="360" w:lineRule="auto"/>
        <w:ind w:right="49"/>
        <w:jc w:val="both"/>
        <w:rPr>
          <w:rFonts w:ascii="Palatino Linotype" w:eastAsia="Palatino Linotype" w:hAnsi="Palatino Linotype" w:cs="Palatino Linotype"/>
          <w:sz w:val="22"/>
          <w:szCs w:val="22"/>
        </w:rPr>
      </w:pPr>
    </w:p>
    <w:p w14:paraId="2D75543C" w14:textId="75B054F1" w:rsidR="00317C99" w:rsidRPr="0097202D" w:rsidRDefault="00C96B0D">
      <w:pPr>
        <w:spacing w:line="360" w:lineRule="auto"/>
        <w:ind w:right="49"/>
        <w:jc w:val="both"/>
        <w:rPr>
          <w:rFonts w:ascii="Palatino Linotype" w:eastAsia="Palatino Linotype" w:hAnsi="Palatino Linotype" w:cs="Palatino Linotype"/>
          <w:b/>
          <w:sz w:val="22"/>
          <w:szCs w:val="22"/>
        </w:rPr>
      </w:pPr>
      <w:r w:rsidRPr="0097202D">
        <w:rPr>
          <w:rFonts w:ascii="Palatino Linotype" w:eastAsia="Palatino Linotype" w:hAnsi="Palatino Linotype" w:cs="Palatino Linotype"/>
          <w:b/>
          <w:sz w:val="22"/>
          <w:szCs w:val="22"/>
        </w:rPr>
        <w:t>Cuarto.</w:t>
      </w:r>
      <w:r w:rsidRPr="0097202D">
        <w:rPr>
          <w:rFonts w:ascii="Palatino Linotype" w:eastAsia="Palatino Linotype" w:hAnsi="Palatino Linotype" w:cs="Palatino Linotype"/>
          <w:sz w:val="22"/>
          <w:szCs w:val="22"/>
        </w:rPr>
        <w:t xml:space="preserve"> </w:t>
      </w:r>
      <w:r w:rsidR="00317C99" w:rsidRPr="0097202D">
        <w:rPr>
          <w:rFonts w:ascii="Palatino Linotype" w:eastAsia="Palatino Linotype" w:hAnsi="Palatino Linotype" w:cs="Palatino Linotype"/>
          <w:b/>
          <w:sz w:val="22"/>
          <w:szCs w:val="22"/>
        </w:rPr>
        <w:t>Notifíquese</w:t>
      </w:r>
      <w:r w:rsidR="00317C99" w:rsidRPr="0097202D">
        <w:rPr>
          <w:rFonts w:ascii="Palatino Linotype" w:eastAsia="Palatino Linotype" w:hAnsi="Palatino Linotype" w:cs="Palatino Linotype"/>
          <w:sz w:val="22"/>
          <w:szCs w:val="22"/>
        </w:rPr>
        <w:t>,</w:t>
      </w:r>
      <w:r w:rsidR="00317C99" w:rsidRPr="0097202D">
        <w:rPr>
          <w:rFonts w:ascii="Palatino Linotype" w:eastAsia="Palatino Linotype" w:hAnsi="Palatino Linotype" w:cs="Palatino Linotype"/>
          <w:b/>
          <w:sz w:val="22"/>
          <w:szCs w:val="22"/>
        </w:rPr>
        <w:t xml:space="preserve"> </w:t>
      </w:r>
      <w:r w:rsidR="00317C99" w:rsidRPr="0097202D">
        <w:rPr>
          <w:rFonts w:ascii="Palatino Linotype" w:eastAsia="Palatino Linotype" w:hAnsi="Palatino Linotype" w:cs="Palatino Linotype"/>
          <w:sz w:val="22"/>
          <w:szCs w:val="22"/>
        </w:rPr>
        <w:t xml:space="preserve">vía </w:t>
      </w:r>
      <w:r w:rsidR="00317C99" w:rsidRPr="0097202D">
        <w:rPr>
          <w:rFonts w:ascii="Palatino Linotype" w:eastAsia="Palatino Linotype" w:hAnsi="Palatino Linotype" w:cs="Palatino Linotype"/>
          <w:b/>
          <w:sz w:val="22"/>
          <w:szCs w:val="22"/>
        </w:rPr>
        <w:t>SAIMEX</w:t>
      </w:r>
      <w:r w:rsidR="00317C99" w:rsidRPr="0097202D">
        <w:rPr>
          <w:rFonts w:ascii="Palatino Linotype" w:eastAsia="Palatino Linotype" w:hAnsi="Palatino Linotype" w:cs="Palatino Linotype"/>
          <w:sz w:val="22"/>
          <w:szCs w:val="22"/>
        </w:rPr>
        <w:t xml:space="preserve">, a la parte </w:t>
      </w:r>
      <w:r w:rsidR="00317C99" w:rsidRPr="0097202D">
        <w:rPr>
          <w:rFonts w:ascii="Palatino Linotype" w:eastAsia="Palatino Linotype" w:hAnsi="Palatino Linotype" w:cs="Palatino Linotype"/>
          <w:b/>
          <w:sz w:val="22"/>
          <w:szCs w:val="22"/>
        </w:rPr>
        <w:t xml:space="preserve">Recurrente </w:t>
      </w:r>
      <w:r w:rsidR="00317C99" w:rsidRPr="0097202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r w:rsidR="00E3021A" w:rsidRPr="0097202D">
        <w:rPr>
          <w:rFonts w:ascii="Palatino Linotype" w:eastAsia="Palatino Linotype" w:hAnsi="Palatino Linotype" w:cs="Palatino Linotype"/>
          <w:sz w:val="22"/>
          <w:szCs w:val="22"/>
        </w:rPr>
        <w:t>.</w:t>
      </w:r>
    </w:p>
    <w:p w14:paraId="188A46F6" w14:textId="77777777" w:rsidR="00573953" w:rsidRPr="0097202D" w:rsidRDefault="00573953">
      <w:pPr>
        <w:spacing w:line="360" w:lineRule="auto"/>
        <w:ind w:right="49"/>
        <w:jc w:val="both"/>
        <w:rPr>
          <w:rFonts w:ascii="Palatino Linotype" w:eastAsia="Palatino Linotype" w:hAnsi="Palatino Linotype" w:cs="Palatino Linotype"/>
          <w:sz w:val="22"/>
          <w:szCs w:val="22"/>
        </w:rPr>
      </w:pPr>
    </w:p>
    <w:p w14:paraId="0BD10045" w14:textId="77777777" w:rsidR="00573953" w:rsidRPr="0097202D" w:rsidRDefault="00C96B0D">
      <w:pPr>
        <w:spacing w:line="360" w:lineRule="auto"/>
        <w:ind w:right="49"/>
        <w:jc w:val="both"/>
        <w:rPr>
          <w:rFonts w:ascii="Palatino Linotype" w:eastAsia="Palatino Linotype" w:hAnsi="Palatino Linotype" w:cs="Palatino Linotype"/>
          <w:sz w:val="22"/>
          <w:szCs w:val="22"/>
        </w:rPr>
      </w:pPr>
      <w:r w:rsidRPr="0097202D">
        <w:rPr>
          <w:rFonts w:ascii="Palatino Linotype" w:eastAsia="Palatino Linotype" w:hAnsi="Palatino Linotype" w:cs="Palatino Linotype"/>
          <w:b/>
          <w:sz w:val="22"/>
          <w:szCs w:val="22"/>
        </w:rPr>
        <w:t>Quinto.</w:t>
      </w:r>
      <w:r w:rsidRPr="0097202D">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97202D">
        <w:rPr>
          <w:rFonts w:ascii="Palatino Linotype" w:eastAsia="Palatino Linotype" w:hAnsi="Palatino Linotype" w:cs="Palatino Linotype"/>
          <w:b/>
          <w:sz w:val="22"/>
          <w:szCs w:val="22"/>
        </w:rPr>
        <w:t>SUJETO OBLIGADO</w:t>
      </w:r>
      <w:r w:rsidRPr="0097202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C0413AE" w14:textId="77777777" w:rsidR="00573953" w:rsidRPr="0097202D" w:rsidRDefault="00573953">
      <w:pPr>
        <w:spacing w:line="360" w:lineRule="auto"/>
        <w:ind w:right="49"/>
        <w:jc w:val="both"/>
        <w:rPr>
          <w:rFonts w:ascii="Palatino Linotype" w:eastAsia="Palatino Linotype" w:hAnsi="Palatino Linotype" w:cs="Palatino Linotype"/>
          <w:sz w:val="22"/>
          <w:szCs w:val="22"/>
        </w:rPr>
      </w:pPr>
    </w:p>
    <w:p w14:paraId="7373F863" w14:textId="746414BB" w:rsidR="00573953" w:rsidRPr="0097202D" w:rsidRDefault="00C96B0D">
      <w:pPr>
        <w:spacing w:line="360" w:lineRule="auto"/>
        <w:jc w:val="both"/>
        <w:rPr>
          <w:rFonts w:ascii="Palatino Linotype" w:eastAsia="Palatino Linotype" w:hAnsi="Palatino Linotype" w:cs="Palatino Linotype"/>
          <w:sz w:val="22"/>
          <w:szCs w:val="22"/>
        </w:rPr>
        <w:sectPr w:rsidR="00573953" w:rsidRPr="0097202D">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97202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7202D" w:rsidRPr="0097202D">
        <w:rPr>
          <w:rFonts w:ascii="Palatino Linotype" w:eastAsia="Palatino Linotype" w:hAnsi="Palatino Linotype" w:cs="Palatino Linotype"/>
          <w:sz w:val="22"/>
          <w:szCs w:val="22"/>
        </w:rPr>
        <w:t>, EMITIENDO VOTO PARTICULAR</w:t>
      </w:r>
      <w:r w:rsidRPr="0097202D">
        <w:rPr>
          <w:rFonts w:ascii="Palatino Linotype" w:eastAsia="Palatino Linotype" w:hAnsi="Palatino Linotype" w:cs="Palatino Linotype"/>
          <w:sz w:val="22"/>
          <w:szCs w:val="22"/>
        </w:rPr>
        <w:t xml:space="preserve"> Y GUADALUPE RAMÍREZ PEÑA; EN LA </w:t>
      </w:r>
      <w:r w:rsidR="005E2F20" w:rsidRPr="0097202D">
        <w:rPr>
          <w:rFonts w:ascii="Palatino Linotype" w:eastAsia="Palatino Linotype" w:hAnsi="Palatino Linotype" w:cs="Palatino Linotype"/>
          <w:sz w:val="22"/>
          <w:szCs w:val="22"/>
        </w:rPr>
        <w:t>PRIMERA</w:t>
      </w:r>
      <w:r w:rsidR="00317C99" w:rsidRPr="0097202D">
        <w:rPr>
          <w:rFonts w:ascii="Palatino Linotype" w:eastAsia="Palatino Linotype" w:hAnsi="Palatino Linotype" w:cs="Palatino Linotype"/>
          <w:sz w:val="22"/>
          <w:szCs w:val="22"/>
        </w:rPr>
        <w:t xml:space="preserve"> </w:t>
      </w:r>
      <w:r w:rsidRPr="0097202D">
        <w:rPr>
          <w:rFonts w:ascii="Palatino Linotype" w:eastAsia="Palatino Linotype" w:hAnsi="Palatino Linotype" w:cs="Palatino Linotype"/>
          <w:sz w:val="22"/>
          <w:szCs w:val="22"/>
        </w:rPr>
        <w:t xml:space="preserve">SESIÓN ORDINARIA CELEBRADA EL </w:t>
      </w:r>
      <w:r w:rsidR="005E2F20" w:rsidRPr="0097202D">
        <w:rPr>
          <w:rFonts w:ascii="Palatino Linotype" w:eastAsia="Palatino Linotype" w:hAnsi="Palatino Linotype" w:cs="Palatino Linotype"/>
          <w:sz w:val="22"/>
          <w:szCs w:val="22"/>
        </w:rPr>
        <w:t>CATORCE DE ENERO DE DOS MIL VEINTISÉIS</w:t>
      </w:r>
      <w:r w:rsidRPr="0097202D">
        <w:rPr>
          <w:rFonts w:ascii="Palatino Linotype" w:eastAsia="Palatino Linotype" w:hAnsi="Palatino Linotype" w:cs="Palatino Linotype"/>
          <w:sz w:val="22"/>
          <w:szCs w:val="22"/>
        </w:rPr>
        <w:t xml:space="preserve">, ANTE EL SECRETARIO TÉCNICO DEL PLENO ALEXIS TAPIA RAMÍREZ.                              </w:t>
      </w:r>
    </w:p>
    <w:p w14:paraId="430CE9AC" w14:textId="77777777" w:rsidR="00573953" w:rsidRPr="0097202D" w:rsidRDefault="00573953">
      <w:pPr>
        <w:spacing w:line="360" w:lineRule="auto"/>
        <w:jc w:val="both"/>
        <w:rPr>
          <w:rFonts w:ascii="Palatino Linotype" w:eastAsia="Palatino Linotype" w:hAnsi="Palatino Linotype" w:cs="Palatino Linotype"/>
          <w:sz w:val="22"/>
          <w:szCs w:val="22"/>
        </w:rPr>
      </w:pPr>
    </w:p>
    <w:sectPr w:rsidR="00573953" w:rsidRPr="0097202D">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F1452" w14:textId="77777777" w:rsidR="008F0A47" w:rsidRDefault="008F0A47">
      <w:r>
        <w:separator/>
      </w:r>
    </w:p>
  </w:endnote>
  <w:endnote w:type="continuationSeparator" w:id="0">
    <w:p w14:paraId="1315B01A" w14:textId="77777777" w:rsidR="008F0A47" w:rsidRDefault="008F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0D0B" w14:textId="398FE365" w:rsidR="00830F45" w:rsidRDefault="00830F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5F6C">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5F6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3DC74726" w14:textId="77777777" w:rsidR="00830F45" w:rsidRDefault="00830F45">
    <w:pPr>
      <w:pBdr>
        <w:top w:val="nil"/>
        <w:left w:val="nil"/>
        <w:bottom w:val="nil"/>
        <w:right w:val="nil"/>
        <w:between w:val="nil"/>
      </w:pBdr>
      <w:tabs>
        <w:tab w:val="center" w:pos="4252"/>
        <w:tab w:val="right" w:pos="8504"/>
      </w:tabs>
      <w:rPr>
        <w:color w:val="000000"/>
      </w:rPr>
    </w:pPr>
  </w:p>
  <w:p w14:paraId="210142B7" w14:textId="77777777" w:rsidR="00830F45" w:rsidRDefault="00830F4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5624" w14:textId="040F22D8" w:rsidR="00830F45" w:rsidRDefault="00830F4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5F6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5F6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693C7473" w14:textId="77777777" w:rsidR="00830F45" w:rsidRDefault="00830F4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FCC9" w14:textId="77777777" w:rsidR="008F0A47" w:rsidRDefault="008F0A47">
      <w:r>
        <w:separator/>
      </w:r>
    </w:p>
  </w:footnote>
  <w:footnote w:type="continuationSeparator" w:id="0">
    <w:p w14:paraId="3188931F" w14:textId="77777777" w:rsidR="008F0A47" w:rsidRDefault="008F0A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20F2" w14:textId="77777777" w:rsidR="00830F45" w:rsidRDefault="00830F4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2859BD" wp14:editId="1D079D60">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830F45" w14:paraId="51540794" w14:textId="77777777">
      <w:tc>
        <w:tcPr>
          <w:tcW w:w="2551" w:type="dxa"/>
          <w:vAlign w:val="center"/>
        </w:tcPr>
        <w:p w14:paraId="3D5EBB95"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64F0A88" w14:textId="76C9114F" w:rsidR="00830F45" w:rsidRDefault="00830F4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10089/INFOEM/IP/RR/2025</w:t>
          </w:r>
        </w:p>
      </w:tc>
    </w:tr>
    <w:tr w:rsidR="00830F45" w14:paraId="0803C866" w14:textId="77777777">
      <w:trPr>
        <w:trHeight w:val="228"/>
      </w:trPr>
      <w:tc>
        <w:tcPr>
          <w:tcW w:w="2551" w:type="dxa"/>
          <w:vAlign w:val="center"/>
        </w:tcPr>
        <w:p w14:paraId="6E4D3B6A"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FB3A27E" w14:textId="2E192EB5" w:rsidR="00830F45" w:rsidRDefault="00830F45">
          <w:pPr>
            <w:rPr>
              <w:rFonts w:ascii="Palatino Linotype" w:eastAsia="Palatino Linotype" w:hAnsi="Palatino Linotype" w:cs="Palatino Linotype"/>
              <w:b/>
              <w:sz w:val="22"/>
              <w:szCs w:val="22"/>
            </w:rPr>
          </w:pPr>
        </w:p>
      </w:tc>
      <w:tc>
        <w:tcPr>
          <w:tcW w:w="2977" w:type="dxa"/>
          <w:vAlign w:val="center"/>
        </w:tcPr>
        <w:p w14:paraId="496D7A90" w14:textId="435D5330" w:rsidR="00830F45" w:rsidRDefault="00830F4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30F45" w14:paraId="0B4DEAAB" w14:textId="77777777">
      <w:tc>
        <w:tcPr>
          <w:tcW w:w="2551" w:type="dxa"/>
          <w:vAlign w:val="center"/>
        </w:tcPr>
        <w:p w14:paraId="142B9B9E"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7FDB677" w14:textId="77777777" w:rsidR="00830F45" w:rsidRDefault="00830F4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306A21" w14:textId="77777777" w:rsidR="00830F45" w:rsidRDefault="00830F4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5E83" w14:textId="77777777" w:rsidR="00830F45" w:rsidRDefault="00830F4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2D2D23" wp14:editId="0829799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830F45" w14:paraId="761ED2A4" w14:textId="77777777">
      <w:tc>
        <w:tcPr>
          <w:tcW w:w="2551" w:type="dxa"/>
          <w:vAlign w:val="center"/>
        </w:tcPr>
        <w:p w14:paraId="3F987EE3"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48A640" w14:textId="483C2680" w:rsidR="00830F45" w:rsidRDefault="00830F4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10089/INFOEM/IP/RR/2025 </w:t>
          </w:r>
        </w:p>
      </w:tc>
    </w:tr>
    <w:tr w:rsidR="00830F45" w14:paraId="1AD693D8" w14:textId="77777777">
      <w:tc>
        <w:tcPr>
          <w:tcW w:w="2551" w:type="dxa"/>
          <w:vAlign w:val="center"/>
        </w:tcPr>
        <w:p w14:paraId="1783E547" w14:textId="77777777" w:rsidR="00830F45" w:rsidRDefault="00830F4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9FF8679" w14:textId="2F5FE2D9" w:rsidR="00830F45" w:rsidRDefault="00830F45" w:rsidP="00C675CA">
          <w:pPr>
            <w:ind w:right="27"/>
            <w:jc w:val="both"/>
            <w:rPr>
              <w:rFonts w:ascii="Palatino Linotype" w:eastAsia="Palatino Linotype" w:hAnsi="Palatino Linotype" w:cs="Palatino Linotype"/>
              <w:b/>
              <w:sz w:val="22"/>
              <w:szCs w:val="22"/>
            </w:rPr>
          </w:pPr>
        </w:p>
      </w:tc>
    </w:tr>
    <w:tr w:rsidR="00830F45" w14:paraId="4DD2212C" w14:textId="77777777">
      <w:trPr>
        <w:trHeight w:val="228"/>
      </w:trPr>
      <w:tc>
        <w:tcPr>
          <w:tcW w:w="2551" w:type="dxa"/>
          <w:vAlign w:val="center"/>
        </w:tcPr>
        <w:p w14:paraId="5FD155FD"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4F28EAD" w14:textId="5A007D3C" w:rsidR="00830F45" w:rsidRDefault="00830F45">
          <w:pPr>
            <w:rPr>
              <w:rFonts w:ascii="Palatino Linotype" w:eastAsia="Palatino Linotype" w:hAnsi="Palatino Linotype" w:cs="Palatino Linotype"/>
              <w:b/>
              <w:sz w:val="22"/>
              <w:szCs w:val="22"/>
            </w:rPr>
          </w:pPr>
        </w:p>
      </w:tc>
      <w:tc>
        <w:tcPr>
          <w:tcW w:w="3119" w:type="dxa"/>
          <w:vAlign w:val="center"/>
        </w:tcPr>
        <w:p w14:paraId="58584815" w14:textId="0C8B6077" w:rsidR="00830F45" w:rsidRDefault="00830F4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30F45" w14:paraId="1CFB6FEA" w14:textId="77777777">
      <w:tc>
        <w:tcPr>
          <w:tcW w:w="2551" w:type="dxa"/>
          <w:vAlign w:val="center"/>
        </w:tcPr>
        <w:p w14:paraId="114F8322" w14:textId="77777777" w:rsidR="00830F45" w:rsidRDefault="00830F4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2666347" w14:textId="77777777" w:rsidR="00830F45" w:rsidRDefault="00830F4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124AB" w14:textId="77777777" w:rsidR="00830F45" w:rsidRDefault="00830F4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62BE" w14:textId="77777777" w:rsidR="00830F45" w:rsidRDefault="00830F4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830F45" w:rsidRDefault="00830F4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F01C5"/>
    <w:multiLevelType w:val="hybridMultilevel"/>
    <w:tmpl w:val="3578C336"/>
    <w:lvl w:ilvl="0" w:tplc="080A0017">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F42C94"/>
    <w:multiLevelType w:val="multilevel"/>
    <w:tmpl w:val="1E1A38C6"/>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eastAsia="Courier New" w:hAnsi="Courier New" w:cs="Courier New" w:hint="default"/>
      </w:rPr>
    </w:lvl>
    <w:lvl w:ilvl="2">
      <w:start w:val="1"/>
      <w:numFmt w:val="bullet"/>
      <w:lvlText w:val="▪"/>
      <w:lvlJc w:val="left"/>
      <w:pPr>
        <w:ind w:left="2727" w:hanging="360"/>
      </w:pPr>
      <w:rPr>
        <w:rFonts w:ascii="Noto Sans Symbols" w:eastAsia="Noto Sans Symbols" w:hAnsi="Noto Sans Symbols" w:cs="Noto Sans Symbols" w:hint="default"/>
      </w:rPr>
    </w:lvl>
    <w:lvl w:ilvl="3">
      <w:start w:val="1"/>
      <w:numFmt w:val="bullet"/>
      <w:lvlText w:val="●"/>
      <w:lvlJc w:val="left"/>
      <w:pPr>
        <w:ind w:left="3447" w:hanging="360"/>
      </w:pPr>
      <w:rPr>
        <w:rFonts w:ascii="Noto Sans Symbols" w:eastAsia="Noto Sans Symbols" w:hAnsi="Noto Sans Symbols" w:cs="Noto Sans Symbols" w:hint="default"/>
      </w:rPr>
    </w:lvl>
    <w:lvl w:ilvl="4">
      <w:start w:val="1"/>
      <w:numFmt w:val="bullet"/>
      <w:lvlText w:val="o"/>
      <w:lvlJc w:val="left"/>
      <w:pPr>
        <w:ind w:left="4167" w:hanging="360"/>
      </w:pPr>
      <w:rPr>
        <w:rFonts w:ascii="Courier New" w:eastAsia="Courier New" w:hAnsi="Courier New" w:cs="Courier New" w:hint="default"/>
      </w:rPr>
    </w:lvl>
    <w:lvl w:ilvl="5">
      <w:start w:val="1"/>
      <w:numFmt w:val="bullet"/>
      <w:lvlText w:val="▪"/>
      <w:lvlJc w:val="left"/>
      <w:pPr>
        <w:ind w:left="4887" w:hanging="360"/>
      </w:pPr>
      <w:rPr>
        <w:rFonts w:ascii="Noto Sans Symbols" w:eastAsia="Noto Sans Symbols" w:hAnsi="Noto Sans Symbols" w:cs="Noto Sans Symbols" w:hint="default"/>
      </w:rPr>
    </w:lvl>
    <w:lvl w:ilvl="6">
      <w:start w:val="1"/>
      <w:numFmt w:val="bullet"/>
      <w:lvlText w:val="●"/>
      <w:lvlJc w:val="left"/>
      <w:pPr>
        <w:ind w:left="5607" w:hanging="360"/>
      </w:pPr>
      <w:rPr>
        <w:rFonts w:ascii="Noto Sans Symbols" w:eastAsia="Noto Sans Symbols" w:hAnsi="Noto Sans Symbols" w:cs="Noto Sans Symbols" w:hint="default"/>
      </w:rPr>
    </w:lvl>
    <w:lvl w:ilvl="7">
      <w:start w:val="1"/>
      <w:numFmt w:val="bullet"/>
      <w:lvlText w:val="o"/>
      <w:lvlJc w:val="left"/>
      <w:pPr>
        <w:ind w:left="6327" w:hanging="360"/>
      </w:pPr>
      <w:rPr>
        <w:rFonts w:ascii="Courier New" w:eastAsia="Courier New" w:hAnsi="Courier New" w:cs="Courier New" w:hint="default"/>
      </w:rPr>
    </w:lvl>
    <w:lvl w:ilvl="8">
      <w:start w:val="1"/>
      <w:numFmt w:val="bullet"/>
      <w:lvlText w:val="▪"/>
      <w:lvlJc w:val="left"/>
      <w:pPr>
        <w:ind w:left="7047" w:hanging="360"/>
      </w:pPr>
      <w:rPr>
        <w:rFonts w:ascii="Noto Sans Symbols" w:eastAsia="Noto Sans Symbols" w:hAnsi="Noto Sans Symbols" w:cs="Noto Sans Symbols" w:hint="default"/>
      </w:rPr>
    </w:lvl>
  </w:abstractNum>
  <w:abstractNum w:abstractNumId="15"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0"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7"/>
  </w:num>
  <w:num w:numId="2">
    <w:abstractNumId w:val="12"/>
  </w:num>
  <w:num w:numId="3">
    <w:abstractNumId w:val="10"/>
  </w:num>
  <w:num w:numId="4">
    <w:abstractNumId w:val="8"/>
  </w:num>
  <w:num w:numId="5">
    <w:abstractNumId w:val="29"/>
  </w:num>
  <w:num w:numId="6">
    <w:abstractNumId w:val="34"/>
  </w:num>
  <w:num w:numId="7">
    <w:abstractNumId w:val="32"/>
  </w:num>
  <w:num w:numId="8">
    <w:abstractNumId w:val="22"/>
  </w:num>
  <w:num w:numId="9">
    <w:abstractNumId w:val="5"/>
  </w:num>
  <w:num w:numId="10">
    <w:abstractNumId w:val="17"/>
  </w:num>
  <w:num w:numId="11">
    <w:abstractNumId w:val="19"/>
  </w:num>
  <w:num w:numId="12">
    <w:abstractNumId w:val="2"/>
  </w:num>
  <w:num w:numId="13">
    <w:abstractNumId w:val="18"/>
  </w:num>
  <w:num w:numId="14">
    <w:abstractNumId w:val="33"/>
  </w:num>
  <w:num w:numId="15">
    <w:abstractNumId w:val="6"/>
  </w:num>
  <w:num w:numId="16">
    <w:abstractNumId w:val="30"/>
  </w:num>
  <w:num w:numId="17">
    <w:abstractNumId w:val="13"/>
  </w:num>
  <w:num w:numId="18">
    <w:abstractNumId w:val="11"/>
  </w:num>
  <w:num w:numId="19">
    <w:abstractNumId w:val="15"/>
  </w:num>
  <w:num w:numId="20">
    <w:abstractNumId w:val="20"/>
  </w:num>
  <w:num w:numId="21">
    <w:abstractNumId w:val="28"/>
  </w:num>
  <w:num w:numId="22">
    <w:abstractNumId w:val="31"/>
  </w:num>
  <w:num w:numId="23">
    <w:abstractNumId w:val="7"/>
  </w:num>
  <w:num w:numId="24">
    <w:abstractNumId w:val="0"/>
  </w:num>
  <w:num w:numId="25">
    <w:abstractNumId w:val="21"/>
  </w:num>
  <w:num w:numId="26">
    <w:abstractNumId w:val="4"/>
  </w:num>
  <w:num w:numId="27">
    <w:abstractNumId w:val="26"/>
  </w:num>
  <w:num w:numId="28">
    <w:abstractNumId w:val="23"/>
  </w:num>
  <w:num w:numId="29">
    <w:abstractNumId w:val="25"/>
  </w:num>
  <w:num w:numId="30">
    <w:abstractNumId w:val="16"/>
  </w:num>
  <w:num w:numId="31">
    <w:abstractNumId w:val="24"/>
  </w:num>
  <w:num w:numId="32">
    <w:abstractNumId w:val="1"/>
  </w:num>
  <w:num w:numId="33">
    <w:abstractNumId w:val="9"/>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3"/>
    <w:rsid w:val="00013D22"/>
    <w:rsid w:val="00060D67"/>
    <w:rsid w:val="00061736"/>
    <w:rsid w:val="00085F6C"/>
    <w:rsid w:val="000D14B5"/>
    <w:rsid w:val="000F0569"/>
    <w:rsid w:val="000F1C0C"/>
    <w:rsid w:val="001141C9"/>
    <w:rsid w:val="001438FC"/>
    <w:rsid w:val="001467FF"/>
    <w:rsid w:val="001710CB"/>
    <w:rsid w:val="001D2A5B"/>
    <w:rsid w:val="001E5AD5"/>
    <w:rsid w:val="00213DE8"/>
    <w:rsid w:val="002565C7"/>
    <w:rsid w:val="00272CBF"/>
    <w:rsid w:val="002839EB"/>
    <w:rsid w:val="002E18B9"/>
    <w:rsid w:val="00317C99"/>
    <w:rsid w:val="00342333"/>
    <w:rsid w:val="00357D57"/>
    <w:rsid w:val="0037259F"/>
    <w:rsid w:val="00372D3C"/>
    <w:rsid w:val="0039513F"/>
    <w:rsid w:val="003C5773"/>
    <w:rsid w:val="0040184C"/>
    <w:rsid w:val="0042069F"/>
    <w:rsid w:val="004275FB"/>
    <w:rsid w:val="004358AD"/>
    <w:rsid w:val="004556D6"/>
    <w:rsid w:val="00461545"/>
    <w:rsid w:val="004A6F29"/>
    <w:rsid w:val="004B0CAE"/>
    <w:rsid w:val="004C13C7"/>
    <w:rsid w:val="00510511"/>
    <w:rsid w:val="00510F17"/>
    <w:rsid w:val="00514F03"/>
    <w:rsid w:val="00523FFE"/>
    <w:rsid w:val="00525EF7"/>
    <w:rsid w:val="005413CC"/>
    <w:rsid w:val="005707D9"/>
    <w:rsid w:val="00573953"/>
    <w:rsid w:val="005A3BF5"/>
    <w:rsid w:val="005B71CF"/>
    <w:rsid w:val="005D3BCC"/>
    <w:rsid w:val="005E2F20"/>
    <w:rsid w:val="005E568B"/>
    <w:rsid w:val="00625D6D"/>
    <w:rsid w:val="00626B0B"/>
    <w:rsid w:val="00643A52"/>
    <w:rsid w:val="006646C8"/>
    <w:rsid w:val="006649F6"/>
    <w:rsid w:val="006840FA"/>
    <w:rsid w:val="006958F8"/>
    <w:rsid w:val="006A3DF3"/>
    <w:rsid w:val="006A76A0"/>
    <w:rsid w:val="006D7B37"/>
    <w:rsid w:val="006E2B60"/>
    <w:rsid w:val="00707909"/>
    <w:rsid w:val="007224B8"/>
    <w:rsid w:val="0074083D"/>
    <w:rsid w:val="00743E43"/>
    <w:rsid w:val="007E148C"/>
    <w:rsid w:val="007F05F1"/>
    <w:rsid w:val="007F5F7D"/>
    <w:rsid w:val="0082137A"/>
    <w:rsid w:val="00830F45"/>
    <w:rsid w:val="00834E82"/>
    <w:rsid w:val="00850753"/>
    <w:rsid w:val="008A7FC5"/>
    <w:rsid w:val="008F0A47"/>
    <w:rsid w:val="008F4378"/>
    <w:rsid w:val="009653FE"/>
    <w:rsid w:val="0097202D"/>
    <w:rsid w:val="00972039"/>
    <w:rsid w:val="00977185"/>
    <w:rsid w:val="0099500A"/>
    <w:rsid w:val="009A2824"/>
    <w:rsid w:val="009D7320"/>
    <w:rsid w:val="009F04CC"/>
    <w:rsid w:val="00A1186B"/>
    <w:rsid w:val="00A450C5"/>
    <w:rsid w:val="00A465C9"/>
    <w:rsid w:val="00A539B6"/>
    <w:rsid w:val="00A72DEC"/>
    <w:rsid w:val="00A833F2"/>
    <w:rsid w:val="00A92814"/>
    <w:rsid w:val="00AA5855"/>
    <w:rsid w:val="00AD1CDB"/>
    <w:rsid w:val="00AE19B8"/>
    <w:rsid w:val="00B2292B"/>
    <w:rsid w:val="00B77644"/>
    <w:rsid w:val="00BE16EB"/>
    <w:rsid w:val="00BE77C7"/>
    <w:rsid w:val="00BF55E5"/>
    <w:rsid w:val="00C32C20"/>
    <w:rsid w:val="00C675CA"/>
    <w:rsid w:val="00C72E63"/>
    <w:rsid w:val="00C96B0D"/>
    <w:rsid w:val="00CA1F1A"/>
    <w:rsid w:val="00CA3599"/>
    <w:rsid w:val="00CE35D2"/>
    <w:rsid w:val="00D211B9"/>
    <w:rsid w:val="00D2331D"/>
    <w:rsid w:val="00D626F8"/>
    <w:rsid w:val="00D67828"/>
    <w:rsid w:val="00DB6C6B"/>
    <w:rsid w:val="00E15438"/>
    <w:rsid w:val="00E3021A"/>
    <w:rsid w:val="00E43D52"/>
    <w:rsid w:val="00E44DC5"/>
    <w:rsid w:val="00E57986"/>
    <w:rsid w:val="00E75291"/>
    <w:rsid w:val="00E872F2"/>
    <w:rsid w:val="00E91D52"/>
    <w:rsid w:val="00F109C9"/>
    <w:rsid w:val="00F4018E"/>
    <w:rsid w:val="00F60DF6"/>
    <w:rsid w:val="00F616EA"/>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72553379">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927733015">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392382427">
      <w:bodyDiv w:val="1"/>
      <w:marLeft w:val="0"/>
      <w:marRight w:val="0"/>
      <w:marTop w:val="0"/>
      <w:marBottom w:val="0"/>
      <w:divBdr>
        <w:top w:val="none" w:sz="0" w:space="0" w:color="auto"/>
        <w:left w:val="none" w:sz="0" w:space="0" w:color="auto"/>
        <w:bottom w:val="none" w:sz="0" w:space="0" w:color="auto"/>
        <w:right w:val="none" w:sz="0" w:space="0" w:color="auto"/>
      </w:divBdr>
    </w:div>
    <w:div w:id="1471434694">
      <w:bodyDiv w:val="1"/>
      <w:marLeft w:val="0"/>
      <w:marRight w:val="0"/>
      <w:marTop w:val="0"/>
      <w:marBottom w:val="0"/>
      <w:divBdr>
        <w:top w:val="none" w:sz="0" w:space="0" w:color="auto"/>
        <w:left w:val="none" w:sz="0" w:space="0" w:color="auto"/>
        <w:bottom w:val="none" w:sz="0" w:space="0" w:color="auto"/>
        <w:right w:val="none" w:sz="0" w:space="0" w:color="auto"/>
      </w:divBdr>
    </w:div>
    <w:div w:id="1485857687">
      <w:bodyDiv w:val="1"/>
      <w:marLeft w:val="0"/>
      <w:marRight w:val="0"/>
      <w:marTop w:val="0"/>
      <w:marBottom w:val="0"/>
      <w:divBdr>
        <w:top w:val="none" w:sz="0" w:space="0" w:color="auto"/>
        <w:left w:val="none" w:sz="0" w:space="0" w:color="auto"/>
        <w:bottom w:val="none" w:sz="0" w:space="0" w:color="auto"/>
        <w:right w:val="none" w:sz="0" w:space="0" w:color="auto"/>
      </w:divBdr>
    </w:div>
    <w:div w:id="1661107589">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69260303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1F287B-DD78-421B-99C8-7A7CC4BB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7641</Words>
  <Characters>42028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2026-01-16T17:02:00Z</cp:lastPrinted>
  <dcterms:created xsi:type="dcterms:W3CDTF">2026-03-18T18:18:00Z</dcterms:created>
  <dcterms:modified xsi:type="dcterms:W3CDTF">2026-03-18T18:18:00Z</dcterms:modified>
</cp:coreProperties>
</file>