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2D0" w:rsidRPr="00F33246" w:rsidRDefault="008D1B7C">
      <w:pPr>
        <w:tabs>
          <w:tab w:val="left" w:pos="3465"/>
        </w:tabs>
        <w:spacing w:line="360" w:lineRule="auto"/>
        <w:jc w:val="both"/>
        <w:rPr>
          <w:rFonts w:ascii="Palatino Linotype" w:eastAsia="Palatino Linotype" w:hAnsi="Palatino Linotype" w:cs="Palatino Linotype"/>
          <w:b/>
          <w:bCs/>
          <w:sz w:val="24"/>
          <w:szCs w:val="24"/>
        </w:rPr>
      </w:pPr>
      <w:r w:rsidRPr="00F33246">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Pr="00F33246">
        <w:rPr>
          <w:rFonts w:ascii="Palatino Linotype" w:eastAsia="Palatino Linotype" w:hAnsi="Palatino Linotype" w:cs="Palatino Linotype"/>
          <w:b/>
          <w:bCs/>
          <w:sz w:val="24"/>
          <w:szCs w:val="24"/>
        </w:rPr>
        <w:t>veintiocho</w:t>
      </w:r>
      <w:r w:rsidR="00F33246" w:rsidRPr="00F33246">
        <w:rPr>
          <w:rFonts w:ascii="Palatino Linotype" w:eastAsia="Palatino Linotype" w:hAnsi="Palatino Linotype" w:cs="Palatino Linotype"/>
          <w:b/>
          <w:bCs/>
          <w:sz w:val="24"/>
          <w:szCs w:val="24"/>
        </w:rPr>
        <w:t xml:space="preserve"> (28)</w:t>
      </w:r>
      <w:r w:rsidRPr="00F33246">
        <w:rPr>
          <w:rFonts w:ascii="Palatino Linotype" w:eastAsia="Palatino Linotype" w:hAnsi="Palatino Linotype" w:cs="Palatino Linotype"/>
          <w:b/>
          <w:bCs/>
          <w:sz w:val="24"/>
          <w:szCs w:val="24"/>
        </w:rPr>
        <w:t xml:space="preserve"> de abril de dos mil veintiséis.</w:t>
      </w:r>
    </w:p>
    <w:p w:rsidR="001C42D0" w:rsidRPr="00F33246" w:rsidRDefault="008D1B7C">
      <w:pPr>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b/>
          <w:bCs/>
          <w:sz w:val="24"/>
          <w:szCs w:val="24"/>
        </w:rPr>
        <w:t>VISTO</w:t>
      </w:r>
      <w:r w:rsidRPr="00F33246">
        <w:rPr>
          <w:rFonts w:ascii="Palatino Linotype" w:eastAsia="Palatino Linotype" w:hAnsi="Palatino Linotype" w:cs="Palatino Linotype"/>
          <w:sz w:val="24"/>
          <w:szCs w:val="24"/>
        </w:rPr>
        <w:t xml:space="preserve"> el expediente electrónico formado con motivo del recurso de revisión </w:t>
      </w:r>
      <w:r w:rsidR="00FD2C05" w:rsidRP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1673/INFOEM/IP/RR/2026</w:t>
      </w:r>
      <w:r w:rsidRPr="00F33246">
        <w:rPr>
          <w:rFonts w:ascii="Palatino Linotype" w:eastAsia="Palatino Linotype" w:hAnsi="Palatino Linotype" w:cs="Palatino Linotype"/>
          <w:sz w:val="24"/>
          <w:szCs w:val="24"/>
        </w:rPr>
        <w:t>,</w:t>
      </w:r>
      <w:r w:rsidRP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sz w:val="24"/>
          <w:szCs w:val="24"/>
        </w:rPr>
        <w:t xml:space="preserve">promovido por </w:t>
      </w:r>
      <w:r w:rsidR="00AF648A">
        <w:rPr>
          <w:rFonts w:ascii="Palatino Linotype" w:eastAsia="Palatino Linotype" w:hAnsi="Palatino Linotype" w:cs="Palatino Linotype"/>
          <w:b/>
          <w:bCs/>
          <w:color w:val="000000"/>
          <w:sz w:val="24"/>
          <w:szCs w:val="24"/>
        </w:rPr>
        <w:t>XXXX</w:t>
      </w:r>
      <w:r w:rsidR="009B5790" w:rsidRPr="00F33246">
        <w:rPr>
          <w:rFonts w:ascii="Palatino Linotype" w:eastAsia="Palatino Linotype" w:hAnsi="Palatino Linotype" w:cs="Palatino Linotype"/>
          <w:b/>
          <w:bCs/>
          <w:color w:val="000000"/>
          <w:sz w:val="24"/>
          <w:szCs w:val="24"/>
        </w:rPr>
        <w:t>,</w:t>
      </w:r>
      <w:r w:rsidRPr="00F33246">
        <w:rPr>
          <w:rFonts w:ascii="Palatino Linotype" w:eastAsia="Palatino Linotype" w:hAnsi="Palatino Linotype" w:cs="Palatino Linotype"/>
          <w:sz w:val="24"/>
          <w:szCs w:val="24"/>
        </w:rPr>
        <w:t xml:space="preserve"> a quien en lo sucesivo se le identificará como </w:t>
      </w:r>
      <w:r w:rsidRPr="00F33246">
        <w:rPr>
          <w:rFonts w:ascii="Palatino Linotype" w:eastAsia="Palatino Linotype" w:hAnsi="Palatino Linotype" w:cs="Palatino Linotype"/>
          <w:b/>
          <w:bCs/>
          <w:sz w:val="24"/>
          <w:szCs w:val="24"/>
        </w:rPr>
        <w:t>EL RECURRENTE</w:t>
      </w:r>
      <w:r w:rsidRPr="00F33246">
        <w:rPr>
          <w:rFonts w:ascii="Palatino Linotype" w:eastAsia="Palatino Linotype" w:hAnsi="Palatino Linotype" w:cs="Palatino Linotype"/>
          <w:sz w:val="24"/>
          <w:szCs w:val="24"/>
        </w:rPr>
        <w:t xml:space="preserve">, en contra de la respuesta del </w:t>
      </w:r>
      <w:r w:rsidRPr="00F33246">
        <w:rPr>
          <w:rFonts w:ascii="Palatino Linotype" w:eastAsia="Palatino Linotype" w:hAnsi="Palatino Linotype" w:cs="Palatino Linotype"/>
          <w:b/>
          <w:bCs/>
          <w:sz w:val="24"/>
          <w:szCs w:val="24"/>
        </w:rPr>
        <w:t xml:space="preserve">Ayuntamiento de Mexicaltzingo, </w:t>
      </w:r>
      <w:r w:rsidRPr="00F33246">
        <w:rPr>
          <w:rFonts w:ascii="Palatino Linotype" w:eastAsia="Palatino Linotype" w:hAnsi="Palatino Linotype" w:cs="Palatino Linotype"/>
          <w:sz w:val="24"/>
          <w:szCs w:val="24"/>
        </w:rPr>
        <w:t>en lo sucesivo el</w:t>
      </w:r>
      <w:r w:rsidRPr="00F33246">
        <w:rPr>
          <w:rFonts w:ascii="Palatino Linotype" w:eastAsia="Palatino Linotype" w:hAnsi="Palatino Linotype" w:cs="Palatino Linotype"/>
          <w:b/>
          <w:bCs/>
          <w:sz w:val="24"/>
          <w:szCs w:val="24"/>
        </w:rPr>
        <w:t xml:space="preserve"> SUJETO OBLIGADO</w:t>
      </w:r>
      <w:r w:rsidRPr="00F33246">
        <w:rPr>
          <w:rFonts w:ascii="Palatino Linotype" w:eastAsia="Palatino Linotype" w:hAnsi="Palatino Linotype" w:cs="Palatino Linotype"/>
          <w:sz w:val="24"/>
          <w:szCs w:val="24"/>
        </w:rPr>
        <w:t>, se procede a dictar la presente resolución, con base en los siguientes:</w:t>
      </w:r>
    </w:p>
    <w:p w:rsidR="001C42D0" w:rsidRPr="00F33246" w:rsidRDefault="008D1B7C">
      <w:pPr>
        <w:pStyle w:val="Ttulo1"/>
        <w:spacing w:before="0" w:line="360" w:lineRule="auto"/>
        <w:jc w:val="center"/>
        <w:rPr>
          <w:rFonts w:ascii="Palatino Linotype" w:eastAsia="Palatino Linotype" w:hAnsi="Palatino Linotype" w:cs="Palatino Linotype"/>
          <w:b/>
          <w:bCs/>
          <w:color w:val="000000"/>
          <w:sz w:val="24"/>
          <w:szCs w:val="24"/>
        </w:rPr>
      </w:pPr>
      <w:bookmarkStart w:id="0" w:name="_heading=h.x5gzbmkpo5hi" w:colFirst="0" w:colLast="0"/>
      <w:bookmarkStart w:id="1" w:name="_GoBack"/>
      <w:bookmarkEnd w:id="0"/>
      <w:bookmarkEnd w:id="1"/>
      <w:r w:rsidRPr="00F33246">
        <w:rPr>
          <w:rFonts w:ascii="Palatino Linotype" w:eastAsia="Palatino Linotype" w:hAnsi="Palatino Linotype" w:cs="Palatino Linotype"/>
          <w:b/>
          <w:bCs/>
          <w:color w:val="000000"/>
          <w:sz w:val="24"/>
          <w:szCs w:val="24"/>
        </w:rPr>
        <w:t>A</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N</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T</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E</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C</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E</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D</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E</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N</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T</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E</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S</w:t>
      </w:r>
    </w:p>
    <w:p w:rsidR="00F33246" w:rsidRPr="00F33246" w:rsidRDefault="00F33246" w:rsidP="00F33246">
      <w:pPr>
        <w:rPr>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El</w:t>
      </w:r>
      <w:r w:rsidRPr="00F33246">
        <w:rPr>
          <w:rFonts w:ascii="Palatino Linotype" w:eastAsia="Palatino Linotype" w:hAnsi="Palatino Linotype" w:cs="Palatino Linotype"/>
          <w:b/>
          <w:bCs/>
          <w:color w:val="000000"/>
          <w:sz w:val="24"/>
          <w:szCs w:val="24"/>
        </w:rPr>
        <w:t xml:space="preserve"> nueve de diciembre de dos mil veinticinco, </w:t>
      </w:r>
      <w:r w:rsidRPr="00F33246">
        <w:rPr>
          <w:rFonts w:ascii="Palatino Linotype" w:eastAsia="Palatino Linotype" w:hAnsi="Palatino Linotype" w:cs="Palatino Linotype"/>
          <w:color w:val="000000"/>
          <w:sz w:val="24"/>
          <w:szCs w:val="24"/>
        </w:rPr>
        <w:t xml:space="preserve">se presentó ante 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xml:space="preserve"> a través del SAIMEX, la solicitud de información pública registrada con el número</w:t>
      </w:r>
      <w:r w:rsidRPr="00F33246">
        <w:rPr>
          <w:rFonts w:ascii="Palatino Linotype" w:eastAsia="Palatino Linotype" w:hAnsi="Palatino Linotype" w:cs="Palatino Linotype"/>
          <w:b/>
          <w:bCs/>
          <w:color w:val="000000"/>
          <w:sz w:val="24"/>
          <w:szCs w:val="24"/>
        </w:rPr>
        <w:t xml:space="preserve"> 00510/MEXICAL/IP/2025; </w:t>
      </w:r>
      <w:r w:rsidRPr="00F33246">
        <w:rPr>
          <w:rFonts w:ascii="Palatino Linotype" w:eastAsia="Palatino Linotype" w:hAnsi="Palatino Linotype" w:cs="Palatino Linotype"/>
          <w:color w:val="000000"/>
          <w:sz w:val="24"/>
          <w:szCs w:val="24"/>
        </w:rPr>
        <w:t>mediante la cual se solicitó la siguiente información:</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spacing w:after="0" w:line="360" w:lineRule="auto"/>
        <w:ind w:left="426" w:right="476"/>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i/>
          <w:iCs/>
          <w:color w:val="000000"/>
          <w:sz w:val="24"/>
          <w:szCs w:val="24"/>
        </w:rPr>
        <w:t>“Plan de desarrollo urbano municipal vigente en 2022, 2023, 2024 y 2025” (Sic)</w:t>
      </w:r>
    </w:p>
    <w:p w:rsidR="001C42D0" w:rsidRPr="00F33246" w:rsidRDefault="001C42D0">
      <w:pPr>
        <w:pBdr>
          <w:top w:val="nil"/>
          <w:left w:val="nil"/>
          <w:bottom w:val="nil"/>
          <w:right w:val="nil"/>
          <w:between w:val="nil"/>
        </w:pBdr>
        <w:spacing w:after="0" w:line="360" w:lineRule="auto"/>
        <w:ind w:left="851" w:right="34"/>
        <w:jc w:val="both"/>
        <w:rPr>
          <w:rFonts w:ascii="Palatino Linotype" w:eastAsia="Palatino Linotype" w:hAnsi="Palatino Linotype" w:cs="Palatino Linotype"/>
          <w:color w:val="000000"/>
          <w:sz w:val="24"/>
          <w:szCs w:val="24"/>
        </w:rPr>
      </w:pPr>
    </w:p>
    <w:p w:rsidR="001C42D0" w:rsidRPr="00F33246" w:rsidRDefault="008D1B7C">
      <w:pPr>
        <w:numPr>
          <w:ilvl w:val="0"/>
          <w:numId w:val="6"/>
        </w:num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Se eligió como modalidad de entrega de la información: A través del </w:t>
      </w:r>
      <w:r w:rsidRPr="00F33246">
        <w:rPr>
          <w:rFonts w:ascii="Palatino Linotype" w:eastAsia="Palatino Linotype" w:hAnsi="Palatino Linotype" w:cs="Palatino Linotype"/>
          <w:b/>
          <w:bCs/>
          <w:color w:val="000000"/>
          <w:sz w:val="24"/>
          <w:szCs w:val="24"/>
        </w:rPr>
        <w:t>SAIMEX.</w:t>
      </w:r>
    </w:p>
    <w:p w:rsidR="001C42D0" w:rsidRPr="00F33246" w:rsidRDefault="001C42D0">
      <w:pPr>
        <w:pBdr>
          <w:top w:val="nil"/>
          <w:left w:val="nil"/>
          <w:bottom w:val="nil"/>
          <w:right w:val="nil"/>
          <w:between w:val="nil"/>
        </w:pBdr>
        <w:spacing w:after="0" w:line="360" w:lineRule="auto"/>
        <w:ind w:left="851" w:right="474"/>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El </w:t>
      </w:r>
      <w:r w:rsidRPr="00F33246">
        <w:rPr>
          <w:rFonts w:ascii="Palatino Linotype" w:eastAsia="Palatino Linotype" w:hAnsi="Palatino Linotype" w:cs="Palatino Linotype"/>
          <w:b/>
          <w:bCs/>
          <w:color w:val="000000"/>
          <w:sz w:val="24"/>
          <w:szCs w:val="24"/>
        </w:rPr>
        <w:t>veinte de enero de dos mil veintiséis,</w:t>
      </w:r>
      <w:r w:rsidRPr="00F33246">
        <w:rPr>
          <w:rFonts w:ascii="Palatino Linotype" w:eastAsia="Palatino Linotype" w:hAnsi="Palatino Linotype" w:cs="Palatino Linotype"/>
          <w:color w:val="000000"/>
          <w:sz w:val="24"/>
          <w:szCs w:val="24"/>
        </w:rPr>
        <w:t xml:space="preserve"> el </w:t>
      </w:r>
      <w:r w:rsidRPr="00F33246">
        <w:rPr>
          <w:rFonts w:ascii="Palatino Linotype" w:eastAsia="Palatino Linotype" w:hAnsi="Palatino Linotype" w:cs="Palatino Linotype"/>
          <w:b/>
          <w:bCs/>
          <w:color w:val="000000"/>
          <w:sz w:val="24"/>
          <w:szCs w:val="24"/>
        </w:rPr>
        <w:t xml:space="preserve">SUJETO OBLIGADO, </w:t>
      </w:r>
      <w:r w:rsidRPr="00F33246">
        <w:rPr>
          <w:rFonts w:ascii="Palatino Linotype" w:eastAsia="Palatino Linotype" w:hAnsi="Palatino Linotype" w:cs="Palatino Linotype"/>
          <w:color w:val="000000"/>
          <w:sz w:val="24"/>
          <w:szCs w:val="24"/>
        </w:rPr>
        <w:t xml:space="preserve">dio respuesta a través del archivo </w:t>
      </w:r>
      <w:hyperlink r:id="rId8">
        <w:r w:rsidRPr="00F33246">
          <w:rPr>
            <w:rFonts w:ascii="Palatino Linotype" w:eastAsia="Palatino Linotype" w:hAnsi="Palatino Linotype" w:cs="Palatino Linotype"/>
            <w:b/>
            <w:bCs/>
            <w:color w:val="000000"/>
            <w:sz w:val="24"/>
            <w:szCs w:val="24"/>
          </w:rPr>
          <w:t>RESPUESTA SOLICITUD 510-2025.pdf</w:t>
        </w:r>
      </w:hyperlink>
      <w:r w:rsidRPr="00F33246">
        <w:rPr>
          <w:rFonts w:ascii="Palatino Linotype" w:eastAsia="Palatino Linotype" w:hAnsi="Palatino Linotype" w:cs="Palatino Linotype"/>
          <w:color w:val="000000"/>
          <w:sz w:val="24"/>
          <w:szCs w:val="24"/>
        </w:rPr>
        <w:t>, del que se desprende lo siguiente:</w:t>
      </w:r>
    </w:p>
    <w:p w:rsidR="001C42D0" w:rsidRPr="00F33246" w:rsidRDefault="001C42D0">
      <w:pPr>
        <w:spacing w:line="360" w:lineRule="auto"/>
        <w:jc w:val="both"/>
        <w:rPr>
          <w:rFonts w:ascii="Palatino Linotype" w:eastAsia="Palatino Linotype" w:hAnsi="Palatino Linotype" w:cs="Palatino Linotype"/>
          <w:color w:val="000000"/>
          <w:sz w:val="24"/>
          <w:szCs w:val="24"/>
        </w:rPr>
      </w:pPr>
    </w:p>
    <w:p w:rsidR="001C42D0" w:rsidRPr="00F33246" w:rsidRDefault="008D1B7C">
      <w:pPr>
        <w:spacing w:line="360" w:lineRule="auto"/>
        <w:jc w:val="both"/>
        <w:rPr>
          <w:rFonts w:ascii="Palatino Linotype" w:eastAsia="Palatino Linotype" w:hAnsi="Palatino Linotype" w:cs="Palatino Linotype"/>
          <w:color w:val="000000"/>
          <w:sz w:val="24"/>
          <w:szCs w:val="24"/>
        </w:rPr>
      </w:pPr>
      <w:r w:rsidRPr="00F33246">
        <w:rPr>
          <w:noProof/>
          <w:sz w:val="24"/>
          <w:szCs w:val="24"/>
        </w:rPr>
        <w:lastRenderedPageBreak/>
        <w:drawing>
          <wp:inline distT="0" distB="0" distL="0" distR="0">
            <wp:extent cx="5870867" cy="1296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70867" cy="1296000"/>
                    </a:xfrm>
                    <a:prstGeom prst="rect">
                      <a:avLst/>
                    </a:prstGeom>
                    <a:ln/>
                  </pic:spPr>
                </pic:pic>
              </a:graphicData>
            </a:graphic>
          </wp:inline>
        </w:drawing>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INCONFORMIDAD</w:t>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color w:val="000000"/>
          <w:sz w:val="24"/>
          <w:szCs w:val="24"/>
        </w:rPr>
        <w:t xml:space="preserve">Inconforme con lo anterior, el </w:t>
      </w:r>
      <w:r w:rsidRPr="00F33246">
        <w:rPr>
          <w:rFonts w:ascii="Palatino Linotype" w:eastAsia="Palatino Linotype" w:hAnsi="Palatino Linotype" w:cs="Palatino Linotype"/>
          <w:b/>
          <w:bCs/>
          <w:color w:val="000000"/>
          <w:sz w:val="24"/>
          <w:szCs w:val="24"/>
        </w:rPr>
        <w:t>nueve de febrero de dos mil veintiséis</w:t>
      </w:r>
      <w:r w:rsidRPr="00F33246">
        <w:rPr>
          <w:rFonts w:ascii="Palatino Linotype" w:eastAsia="Palatino Linotype" w:hAnsi="Palatino Linotype" w:cs="Palatino Linotype"/>
          <w:color w:val="000000"/>
          <w:sz w:val="24"/>
          <w:szCs w:val="24"/>
        </w:rPr>
        <w:t xml:space="preserve">, el hoy </w:t>
      </w:r>
      <w:r w:rsidRPr="00F33246">
        <w:rPr>
          <w:rFonts w:ascii="Palatino Linotype" w:eastAsia="Palatino Linotype" w:hAnsi="Palatino Linotype" w:cs="Palatino Linotype"/>
          <w:b/>
          <w:bCs/>
          <w:color w:val="000000"/>
          <w:sz w:val="24"/>
          <w:szCs w:val="24"/>
        </w:rPr>
        <w:t xml:space="preserve">RECURRENTE, </w:t>
      </w:r>
      <w:r w:rsidRPr="00F33246">
        <w:rPr>
          <w:rFonts w:ascii="Palatino Linotype" w:eastAsia="Palatino Linotype" w:hAnsi="Palatino Linotype" w:cs="Palatino Linotype"/>
          <w:color w:val="000000"/>
          <w:sz w:val="24"/>
          <w:szCs w:val="24"/>
        </w:rPr>
        <w:t xml:space="preserve">interpuso recurso de revisión en contra de la respuesta emitida por 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manifestando las siguientes razones o motivos de inconformidad:</w:t>
      </w:r>
    </w:p>
    <w:p w:rsidR="001C42D0" w:rsidRPr="00F33246" w:rsidRDefault="001C42D0">
      <w:pPr>
        <w:pBdr>
          <w:top w:val="nil"/>
          <w:left w:val="nil"/>
          <w:bottom w:val="nil"/>
          <w:right w:val="nil"/>
          <w:between w:val="nil"/>
        </w:pBdr>
        <w:tabs>
          <w:tab w:val="left" w:pos="0"/>
        </w:tabs>
        <w:spacing w:after="0" w:line="360" w:lineRule="auto"/>
        <w:ind w:right="49"/>
        <w:jc w:val="both"/>
        <w:rPr>
          <w:rFonts w:ascii="Palatino Linotype" w:eastAsia="Palatino Linotype" w:hAnsi="Palatino Linotype" w:cs="Palatino Linotype"/>
          <w:i/>
          <w:iCs/>
          <w:color w:val="000000"/>
          <w:sz w:val="24"/>
          <w:szCs w:val="24"/>
        </w:rPr>
      </w:pPr>
    </w:p>
    <w:p w:rsidR="001C42D0" w:rsidRPr="00F33246" w:rsidRDefault="008D1B7C">
      <w:pPr>
        <w:numPr>
          <w:ilvl w:val="0"/>
          <w:numId w:val="6"/>
        </w:numPr>
        <w:pBdr>
          <w:top w:val="nil"/>
          <w:left w:val="nil"/>
          <w:bottom w:val="nil"/>
          <w:right w:val="nil"/>
          <w:between w:val="nil"/>
        </w:pBdr>
        <w:spacing w:after="0" w:line="276" w:lineRule="auto"/>
        <w:ind w:left="851" w:right="474" w:hanging="217"/>
        <w:jc w:val="both"/>
        <w:rPr>
          <w:rFonts w:ascii="Palatino Linotype" w:eastAsia="Palatino Linotype" w:hAnsi="Palatino Linotype" w:cs="Palatino Linotype"/>
          <w:i/>
          <w:iCs/>
          <w:color w:val="000000"/>
          <w:sz w:val="24"/>
          <w:szCs w:val="24"/>
        </w:rPr>
      </w:pPr>
      <w:bookmarkStart w:id="2" w:name="_heading=h.x1c53ble3lcr" w:colFirst="0" w:colLast="0"/>
      <w:bookmarkEnd w:id="2"/>
      <w:r w:rsidRPr="00F33246">
        <w:rPr>
          <w:rFonts w:ascii="Palatino Linotype" w:eastAsia="Palatino Linotype" w:hAnsi="Palatino Linotype" w:cs="Palatino Linotype"/>
          <w:b/>
          <w:bCs/>
          <w:color w:val="000000"/>
          <w:sz w:val="24"/>
          <w:szCs w:val="24"/>
        </w:rPr>
        <w:t xml:space="preserve">Acto impugnado: </w:t>
      </w:r>
      <w:r w:rsidRPr="00F33246">
        <w:rPr>
          <w:rFonts w:ascii="Palatino Linotype" w:eastAsia="Palatino Linotype" w:hAnsi="Palatino Linotype" w:cs="Palatino Linotype"/>
          <w:i/>
          <w:iCs/>
          <w:color w:val="000000"/>
          <w:sz w:val="24"/>
          <w:szCs w:val="24"/>
        </w:rPr>
        <w:t>“Número de Folio de la Solicitud: 00510/MEXICAL/IP/2025”</w:t>
      </w:r>
    </w:p>
    <w:p w:rsidR="001C42D0" w:rsidRPr="00F33246" w:rsidRDefault="001C42D0">
      <w:pPr>
        <w:pBdr>
          <w:top w:val="nil"/>
          <w:left w:val="nil"/>
          <w:bottom w:val="nil"/>
          <w:right w:val="nil"/>
          <w:between w:val="nil"/>
        </w:pBdr>
        <w:spacing w:after="0" w:line="276" w:lineRule="auto"/>
        <w:ind w:left="851" w:right="474" w:hanging="217"/>
        <w:jc w:val="both"/>
        <w:rPr>
          <w:rFonts w:ascii="Palatino Linotype" w:eastAsia="Palatino Linotype" w:hAnsi="Palatino Linotype" w:cs="Palatino Linotype"/>
          <w:i/>
          <w:iCs/>
          <w:color w:val="000000"/>
          <w:sz w:val="24"/>
          <w:szCs w:val="24"/>
        </w:rPr>
      </w:pPr>
    </w:p>
    <w:p w:rsidR="001C42D0" w:rsidRPr="00F33246" w:rsidRDefault="008D1B7C">
      <w:pPr>
        <w:numPr>
          <w:ilvl w:val="0"/>
          <w:numId w:val="6"/>
        </w:numPr>
        <w:pBdr>
          <w:top w:val="nil"/>
          <w:left w:val="nil"/>
          <w:bottom w:val="nil"/>
          <w:right w:val="nil"/>
          <w:between w:val="nil"/>
        </w:pBdr>
        <w:spacing w:after="0" w:line="276" w:lineRule="auto"/>
        <w:ind w:left="851" w:right="474" w:hanging="217"/>
        <w:jc w:val="both"/>
        <w:rPr>
          <w:rFonts w:ascii="Palatino Linotype" w:eastAsia="Palatino Linotype" w:hAnsi="Palatino Linotype" w:cs="Palatino Linotype"/>
          <w:i/>
          <w:iCs/>
          <w:color w:val="000000"/>
          <w:sz w:val="24"/>
          <w:szCs w:val="24"/>
        </w:rPr>
      </w:pPr>
      <w:bookmarkStart w:id="3" w:name="_heading=h.fjbjyn38vmwr" w:colFirst="0" w:colLast="0"/>
      <w:bookmarkEnd w:id="3"/>
      <w:r w:rsidRPr="00F33246">
        <w:rPr>
          <w:rFonts w:ascii="Palatino Linotype" w:eastAsia="Palatino Linotype" w:hAnsi="Palatino Linotype" w:cs="Palatino Linotype"/>
          <w:b/>
          <w:bCs/>
          <w:color w:val="000000"/>
          <w:sz w:val="24"/>
          <w:szCs w:val="24"/>
        </w:rPr>
        <w:t>Razones o Motivos de inconformidad: “</w:t>
      </w:r>
      <w:r w:rsidRPr="00F33246">
        <w:rPr>
          <w:rFonts w:ascii="Palatino Linotype" w:eastAsia="Palatino Linotype" w:hAnsi="Palatino Linotype" w:cs="Palatino Linotype"/>
          <w:i/>
          <w:iCs/>
          <w:color w:val="000000"/>
          <w:sz w:val="24"/>
          <w:szCs w:val="24"/>
        </w:rPr>
        <w:t xml:space="preserve">AGRAVIOS La respuesta emitida por el sujeto obligado es incompleta, incongruente y carente de exhaustividad, vulnerando mi derecho de acceso a la información pública, por las siguientes razones: </w:t>
      </w:r>
      <w:r w:rsidRPr="00F33246">
        <w:rPr>
          <w:rFonts w:ascii="Palatino Linotype" w:eastAsia="Palatino Linotype" w:hAnsi="Palatino Linotype" w:cs="Palatino Linotype"/>
          <w:i/>
          <w:iCs/>
          <w:color w:val="000000"/>
          <w:sz w:val="24"/>
          <w:szCs w:val="24"/>
          <w:u w:val="single"/>
        </w:rPr>
        <w:t>La solicitud fue clara y específica, ya que se pidió expresamente conocer el Plan de Desarrollo Urbano Municipal vigente en los años 2022, 2023, 2024 y 2025</w:t>
      </w:r>
      <w:r w:rsidRPr="00F33246">
        <w:rPr>
          <w:rFonts w:ascii="Palatino Linotype" w:eastAsia="Palatino Linotype" w:hAnsi="Palatino Linotype" w:cs="Palatino Linotype"/>
          <w:i/>
          <w:iCs/>
          <w:color w:val="000000"/>
          <w:sz w:val="24"/>
          <w:szCs w:val="24"/>
        </w:rPr>
        <w:t xml:space="preserve">. La autoridad no dio respuesta puntual por cada uno de los años solicitados, ni emitió un pronunciamiento expreso que indique: Si el mismo Plan de Desarrollo Urbano estuvo vigente en todos esos ejercicios fiscales, o Si existieron distintos planes, actualizaciones, modificaciones o cambios de vigencia entre dichos años. La respuesta se limita a remitir un enlace electrónico al portal de la Secretaría de Desarrollo Urbano e Infraestructura del Estado de México, lo cual no satisface la solicitud, ya que: No se señala la fecha exacta de inicio de vigencia del plan publicado. No se aclara qué plan fue aplicable en 2022, considerando que el documento señalado tiene como “última actualización” el 25 de agosto de 2023. No se confirma expresamente si dicho plan continúa vigente en 2024 y 2025 sin modificaciones. Remitir a un vínculo electrónico no equivale a una </w:t>
      </w:r>
      <w:r w:rsidRPr="00F33246">
        <w:rPr>
          <w:rFonts w:ascii="Palatino Linotype" w:eastAsia="Palatino Linotype" w:hAnsi="Palatino Linotype" w:cs="Palatino Linotype"/>
          <w:i/>
          <w:iCs/>
          <w:color w:val="000000"/>
          <w:sz w:val="24"/>
          <w:szCs w:val="24"/>
        </w:rPr>
        <w:lastRenderedPageBreak/>
        <w:t>respuesta fundada y motivada, ni cumple con el principio de exhaustividad, pues la autoridad estaba obligada a pronunciarse de manera expresa y clara sobre la vigencia del instrumento de planeación en cada uno de los años solicitados. En consecuencia, la respuesta impugnada no guarda congruencia con la solicitud planteada, incumple los principios de máxima publicidad, certeza y claridad, y deja en estado de incertidumbre al solicitante. PETICIÓN Por lo expuesto, solicito se revoque la respuesta impugnada y se ordene al sujeto obligado emitir una nueva respuesta completa, en la que informe de manera expresa y precisa: Qué Plan de Desarrollo Urbano Municipal estuvo vigente en 2022. Qué Plan estuvo vigente en 2023, indicando la fecha exacta de cambio, en su caso. Si el Plan vigente continúa aplicándose en 2024 y 2025, o si ha sufrido modificaciones. Las fechas exactas de inicio y, en su caso, conclusión de vigencia de cada instrumento.</w:t>
      </w:r>
      <w:r w:rsidRPr="00F33246">
        <w:rPr>
          <w:rFonts w:ascii="Palatino Linotype" w:eastAsia="Palatino Linotype" w:hAnsi="Palatino Linotype" w:cs="Palatino Linotype"/>
          <w:color w:val="000000"/>
          <w:sz w:val="24"/>
          <w:szCs w:val="24"/>
        </w:rPr>
        <w:t>”</w:t>
      </w:r>
    </w:p>
    <w:p w:rsidR="001C42D0" w:rsidRPr="00F33246" w:rsidRDefault="001C42D0">
      <w:pPr>
        <w:spacing w:line="360" w:lineRule="auto"/>
        <w:jc w:val="both"/>
        <w:rPr>
          <w:rFonts w:ascii="Palatino Linotype" w:eastAsia="Palatino Linotype" w:hAnsi="Palatino Linotype" w:cs="Palatino Linotype"/>
          <w:i/>
          <w:iCs/>
          <w:color w:val="000000"/>
          <w:sz w:val="24"/>
          <w:szCs w:val="24"/>
        </w:rPr>
      </w:pPr>
    </w:p>
    <w:p w:rsidR="001C42D0" w:rsidRPr="00F33246" w:rsidRDefault="008D1B7C">
      <w:pPr>
        <w:pStyle w:val="Ttulo1"/>
        <w:spacing w:before="0" w:line="360"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MANIFESTACIONES</w:t>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color w:val="000000"/>
          <w:sz w:val="24"/>
          <w:szCs w:val="24"/>
        </w:rPr>
        <w:t>La Comisionada Ponente con fundamento en lo dispuesto por el artículo 185 fracción II de la ley de la materia, a través del acuerdo de admisión notificado el</w:t>
      </w:r>
      <w:r w:rsidRPr="00F33246">
        <w:rPr>
          <w:rFonts w:ascii="Palatino Linotype" w:eastAsia="Palatino Linotype" w:hAnsi="Palatino Linotype" w:cs="Palatino Linotype"/>
          <w:b/>
          <w:bCs/>
          <w:color w:val="000000"/>
          <w:sz w:val="24"/>
          <w:szCs w:val="24"/>
        </w:rPr>
        <w:t xml:space="preserve"> diez de febrero de dos mil </w:t>
      </w:r>
      <w:r w:rsidRPr="00F33246">
        <w:rPr>
          <w:rFonts w:ascii="Palatino Linotype" w:eastAsia="Palatino Linotype" w:hAnsi="Palatino Linotype" w:cs="Palatino Linotype"/>
          <w:b/>
          <w:bCs/>
          <w:sz w:val="24"/>
          <w:szCs w:val="24"/>
        </w:rPr>
        <w:t>veintiséis</w:t>
      </w:r>
      <w:r w:rsidRPr="00F33246">
        <w:rPr>
          <w:rFonts w:ascii="Palatino Linotype" w:eastAsia="Palatino Linotype" w:hAnsi="Palatino Linotype" w:cs="Palatino Linotype"/>
          <w:color w:val="000000"/>
          <w:sz w:val="24"/>
          <w:szCs w:val="24"/>
        </w:rPr>
        <w:t xml:space="preserve">, puso a disposición de las partes el expediente electrónico vía </w:t>
      </w:r>
      <w:r w:rsidRPr="00F33246">
        <w:rPr>
          <w:rFonts w:ascii="Palatino Linotype" w:eastAsia="Palatino Linotype" w:hAnsi="Palatino Linotype" w:cs="Palatino Linotype"/>
          <w:b/>
          <w:bCs/>
          <w:color w:val="000000"/>
          <w:sz w:val="24"/>
          <w:szCs w:val="24"/>
        </w:rPr>
        <w:t xml:space="preserve">SAIMEX </w:t>
      </w:r>
      <w:r w:rsidRPr="00F33246">
        <w:rPr>
          <w:rFonts w:ascii="Palatino Linotype" w:eastAsia="Palatino Linotype" w:hAnsi="Palatino Linotype" w:cs="Palatino Linotype"/>
          <w:color w:val="000000"/>
          <w:sz w:val="24"/>
          <w:szCs w:val="24"/>
        </w:rPr>
        <w:t xml:space="preserve">a efecto de que en un plazo máximo de siete días manifestaran lo que a su derecho conviniera, ofrecieran pruebas y alegatos según corresponda a los casos concretos, y 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xml:space="preserve"> presentará el Informe Justificado procedente.</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El </w:t>
      </w:r>
      <w:r w:rsidRPr="00F33246">
        <w:rPr>
          <w:rFonts w:ascii="Palatino Linotype" w:eastAsia="Palatino Linotype" w:hAnsi="Palatino Linotype" w:cs="Palatino Linotype"/>
          <w:b/>
          <w:bCs/>
          <w:color w:val="000000"/>
          <w:sz w:val="24"/>
          <w:szCs w:val="24"/>
        </w:rPr>
        <w:t xml:space="preserve">SUJETO OBLIGADO, </w:t>
      </w:r>
      <w:r w:rsidRPr="00F33246">
        <w:rPr>
          <w:rFonts w:ascii="Palatino Linotype" w:eastAsia="Palatino Linotype" w:hAnsi="Palatino Linotype" w:cs="Palatino Linotype"/>
          <w:color w:val="000000"/>
          <w:sz w:val="24"/>
          <w:szCs w:val="24"/>
        </w:rPr>
        <w:t xml:space="preserve">rindió informe justificado por medio del archivo </w:t>
      </w:r>
      <w:r w:rsidRPr="00F33246">
        <w:rPr>
          <w:rFonts w:ascii="Palatino Linotype" w:eastAsia="Palatino Linotype" w:hAnsi="Palatino Linotype" w:cs="Palatino Linotype"/>
          <w:b/>
          <w:bCs/>
          <w:i/>
          <w:iCs/>
          <w:color w:val="000000"/>
          <w:sz w:val="24"/>
          <w:szCs w:val="24"/>
        </w:rPr>
        <w:t>MANIFESTACIONES R.R. 01673-2025.pdff,</w:t>
      </w:r>
      <w:r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color w:val="000000"/>
          <w:sz w:val="24"/>
          <w:szCs w:val="24"/>
        </w:rPr>
        <w:t xml:space="preserve">mismo que se puso a la vista de las partes el </w:t>
      </w:r>
      <w:r w:rsidRPr="00F33246">
        <w:rPr>
          <w:rFonts w:ascii="Palatino Linotype" w:eastAsia="Palatino Linotype" w:hAnsi="Palatino Linotype" w:cs="Palatino Linotype"/>
          <w:b/>
          <w:bCs/>
          <w:color w:val="000000"/>
          <w:sz w:val="24"/>
          <w:szCs w:val="24"/>
        </w:rPr>
        <w:t xml:space="preserve">veintiuno de abril de dos mil veintiséis, </w:t>
      </w:r>
      <w:r w:rsidRPr="00F33246">
        <w:rPr>
          <w:rFonts w:ascii="Palatino Linotype" w:eastAsia="Palatino Linotype" w:hAnsi="Palatino Linotype" w:cs="Palatino Linotype"/>
          <w:color w:val="000000"/>
          <w:sz w:val="24"/>
          <w:szCs w:val="24"/>
        </w:rPr>
        <w:t>del que se desprende lo siguiente:</w:t>
      </w:r>
    </w:p>
    <w:p w:rsidR="001C42D0" w:rsidRPr="00F33246" w:rsidRDefault="001C42D0">
      <w:pPr>
        <w:spacing w:line="276" w:lineRule="auto"/>
        <w:jc w:val="both"/>
        <w:rPr>
          <w:rFonts w:ascii="Palatino Linotype" w:eastAsia="Palatino Linotype" w:hAnsi="Palatino Linotype" w:cs="Palatino Linotype"/>
          <w:i/>
          <w:iCs/>
          <w:sz w:val="24"/>
          <w:szCs w:val="24"/>
        </w:rPr>
      </w:pPr>
    </w:p>
    <w:p w:rsidR="001C42D0" w:rsidRPr="00F33246" w:rsidRDefault="008D1B7C">
      <w:pPr>
        <w:spacing w:line="276" w:lineRule="auto"/>
        <w:jc w:val="both"/>
        <w:rPr>
          <w:rFonts w:ascii="Palatino Linotype" w:eastAsia="Palatino Linotype" w:hAnsi="Palatino Linotype" w:cs="Palatino Linotype"/>
          <w:i/>
          <w:iCs/>
          <w:sz w:val="24"/>
          <w:szCs w:val="24"/>
        </w:rPr>
      </w:pPr>
      <w:r w:rsidRPr="00F33246">
        <w:rPr>
          <w:rFonts w:ascii="Palatino Linotype" w:eastAsia="Palatino Linotype" w:hAnsi="Palatino Linotype" w:cs="Palatino Linotype"/>
          <w:i/>
          <w:iCs/>
          <w:sz w:val="24"/>
          <w:szCs w:val="24"/>
        </w:rPr>
        <w:lastRenderedPageBreak/>
        <w:t>1) En relación al Plan de Desarrollo Urbano Municipal de Mexicaltzingo que rigió durante el año 2022, fue publicado en la Gaceta de Gobierno No. 87 de fecha 30 de octubre de 2003, el cual al día de hoy se encuentra abrogado. Envió el link donde puede visualizarlo:</w:t>
      </w:r>
    </w:p>
    <w:p w:rsidR="001C42D0" w:rsidRPr="00F33246" w:rsidRDefault="008D1B7C">
      <w:pPr>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noProof/>
          <w:sz w:val="24"/>
          <w:szCs w:val="24"/>
        </w:rPr>
        <w:drawing>
          <wp:inline distT="0" distB="0" distL="0" distR="0">
            <wp:extent cx="5612130" cy="17970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179705"/>
                    </a:xfrm>
                    <a:prstGeom prst="rect">
                      <a:avLst/>
                    </a:prstGeom>
                    <a:ln/>
                  </pic:spPr>
                </pic:pic>
              </a:graphicData>
            </a:graphic>
          </wp:inline>
        </w:drawing>
      </w:r>
    </w:p>
    <w:p w:rsidR="001C42D0" w:rsidRPr="00F33246" w:rsidRDefault="008D1B7C">
      <w:pPr>
        <w:spacing w:line="276" w:lineRule="auto"/>
        <w:jc w:val="both"/>
        <w:rPr>
          <w:rFonts w:ascii="Palatino Linotype" w:eastAsia="Palatino Linotype" w:hAnsi="Palatino Linotype" w:cs="Palatino Linotype"/>
          <w:i/>
          <w:iCs/>
          <w:sz w:val="24"/>
          <w:szCs w:val="24"/>
        </w:rPr>
      </w:pPr>
      <w:r w:rsidRPr="00F33246">
        <w:rPr>
          <w:rFonts w:ascii="Palatino Linotype" w:eastAsia="Palatino Linotype" w:hAnsi="Palatino Linotype" w:cs="Palatino Linotype"/>
          <w:i/>
          <w:iCs/>
          <w:sz w:val="24"/>
          <w:szCs w:val="24"/>
        </w:rPr>
        <w:t>2) En relación al plan de desarrollo urbano que rigió en los años 2023, 2024 y 2025, fue publicado en la Gaceta de Gobierno No. 35, de fecha 25 de agosto de 2023, mismo que se encuentra vigente al día de hoy. Envió link de la gaceta y link del portal de Gobierno de la Secretaría de Desarrollo Urbano e Infraestructura del Estado de México, en el que puede consultar el Plan de Desarrollo Urbano Vigente del Municipio de Mexicaltzingo, México.</w:t>
      </w:r>
    </w:p>
    <w:p w:rsidR="001C42D0" w:rsidRPr="00F33246" w:rsidRDefault="008D1B7C">
      <w:pPr>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noProof/>
          <w:sz w:val="24"/>
          <w:szCs w:val="24"/>
        </w:rPr>
        <w:drawing>
          <wp:inline distT="0" distB="0" distL="0" distR="0">
            <wp:extent cx="5420481" cy="47631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20481" cy="476316"/>
                    </a:xfrm>
                    <a:prstGeom prst="rect">
                      <a:avLst/>
                    </a:prstGeom>
                    <a:ln/>
                  </pic:spPr>
                </pic:pic>
              </a:graphicData>
            </a:graphic>
          </wp:inline>
        </w:drawing>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El </w:t>
      </w:r>
      <w:r w:rsidRPr="00F33246">
        <w:rPr>
          <w:rFonts w:ascii="Palatino Linotype" w:eastAsia="Palatino Linotype" w:hAnsi="Palatino Linotype" w:cs="Palatino Linotype"/>
          <w:b/>
          <w:bCs/>
          <w:color w:val="000000"/>
          <w:sz w:val="24"/>
          <w:szCs w:val="24"/>
        </w:rPr>
        <w:t xml:space="preserve">PARTICULAR </w:t>
      </w:r>
      <w:r w:rsidRPr="00F33246">
        <w:rPr>
          <w:rFonts w:ascii="Palatino Linotype" w:eastAsia="Palatino Linotype" w:hAnsi="Palatino Linotype" w:cs="Palatino Linotype"/>
          <w:color w:val="000000"/>
          <w:sz w:val="24"/>
          <w:szCs w:val="24"/>
        </w:rPr>
        <w:t>fue omiso en realizar manifestación alguna que a su derecho conviniera.</w:t>
      </w: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color w:val="000000"/>
          <w:sz w:val="24"/>
          <w:szCs w:val="24"/>
        </w:rPr>
        <w:t xml:space="preserve">El </w:t>
      </w:r>
      <w:r w:rsidRPr="00F33246">
        <w:rPr>
          <w:rFonts w:ascii="Palatino Linotype" w:eastAsia="Palatino Linotype" w:hAnsi="Palatino Linotype" w:cs="Palatino Linotype"/>
          <w:b/>
          <w:bCs/>
          <w:color w:val="000000"/>
          <w:sz w:val="24"/>
          <w:szCs w:val="24"/>
        </w:rPr>
        <w:t xml:space="preserve">veintiuno de abril de dos mil veintiséis, </w:t>
      </w:r>
      <w:r w:rsidRPr="00F33246">
        <w:rPr>
          <w:rFonts w:ascii="Palatino Linotype" w:eastAsia="Palatino Linotype" w:hAnsi="Palatino Linotype" w:cs="Palatino Linotype"/>
          <w:color w:val="000000"/>
          <w:sz w:val="24"/>
          <w:szCs w:val="24"/>
        </w:rPr>
        <w:t xml:space="preserve">se notificó el acuerdo por el que se amplió </w:t>
      </w:r>
      <w:r w:rsidRPr="00F33246">
        <w:rPr>
          <w:rFonts w:ascii="Palatino Linotype" w:eastAsia="Palatino Linotype" w:hAnsi="Palatino Linotype" w:cs="Palatino Linotype"/>
          <w:sz w:val="24"/>
          <w:szCs w:val="24"/>
        </w:rPr>
        <w:t>el plazo</w:t>
      </w:r>
      <w:r w:rsidRPr="00F33246">
        <w:rPr>
          <w:rFonts w:ascii="Palatino Linotype" w:eastAsia="Palatino Linotype" w:hAnsi="Palatino Linotype" w:cs="Palatino Linotype"/>
          <w:color w:val="000000"/>
          <w:sz w:val="24"/>
          <w:szCs w:val="24"/>
        </w:rPr>
        <w:t xml:space="preserve"> para resolver el recurso de revisión que nos ocupa. </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bookmarkStart w:id="4" w:name="_heading=h.mmambaptgikp" w:colFirst="0" w:colLast="0"/>
      <w:bookmarkEnd w:id="4"/>
      <w:r w:rsidRPr="00F33246">
        <w:rPr>
          <w:rFonts w:ascii="Palatino Linotype" w:eastAsia="Palatino Linotype" w:hAnsi="Palatino Linotype" w:cs="Palatino Linotype"/>
          <w:color w:val="000000"/>
          <w:sz w:val="24"/>
          <w:szCs w:val="24"/>
        </w:rPr>
        <w:t xml:space="preserve">Finalmente, mediante acuerdo de </w:t>
      </w:r>
      <w:r w:rsidRPr="00F33246">
        <w:rPr>
          <w:rFonts w:ascii="Palatino Linotype" w:eastAsia="Palatino Linotype" w:hAnsi="Palatino Linotype" w:cs="Palatino Linotype"/>
          <w:b/>
          <w:bCs/>
          <w:color w:val="000000"/>
          <w:sz w:val="24"/>
          <w:szCs w:val="24"/>
        </w:rPr>
        <w:t xml:space="preserve">veintisiete de abril de dos mil veintiséis, </w:t>
      </w:r>
      <w:r w:rsidRPr="00F33246">
        <w:rPr>
          <w:rFonts w:ascii="Palatino Linotype" w:eastAsia="Palatino Linotype" w:hAnsi="Palatino Linotype" w:cs="Palatino Linotype"/>
          <w:color w:val="000000"/>
          <w:sz w:val="24"/>
          <w:szCs w:val="24"/>
        </w:rPr>
        <w:t>se  decretó el cierre de instrucción, por lo que no habiendo más que hacer constar, y</w:t>
      </w:r>
      <w:r w:rsidR="00F33246" w:rsidRPr="00F33246">
        <w:rPr>
          <w:rFonts w:ascii="Palatino Linotype" w:eastAsia="Palatino Linotype" w:hAnsi="Palatino Linotype" w:cs="Palatino Linotype"/>
          <w:color w:val="000000"/>
          <w:sz w:val="24"/>
          <w:szCs w:val="24"/>
        </w:rPr>
        <w:t xml:space="preserve"> </w:t>
      </w:r>
    </w:p>
    <w:p w:rsidR="001C42D0" w:rsidRPr="00F33246" w:rsidRDefault="001C42D0">
      <w:pPr>
        <w:pBdr>
          <w:top w:val="nil"/>
          <w:left w:val="nil"/>
          <w:bottom w:val="nil"/>
          <w:right w:val="nil"/>
          <w:between w:val="nil"/>
        </w:pBdr>
        <w:spacing w:after="0" w:line="360" w:lineRule="auto"/>
        <w:rPr>
          <w:rFonts w:ascii="Palatino Linotype" w:eastAsia="Palatino Linotype" w:hAnsi="Palatino Linotype" w:cs="Palatino Linotype"/>
          <w:b/>
          <w:bCs/>
          <w:color w:val="000000"/>
          <w:sz w:val="24"/>
          <w:szCs w:val="24"/>
        </w:rPr>
      </w:pPr>
    </w:p>
    <w:p w:rsidR="001C42D0" w:rsidRPr="00F33246" w:rsidRDefault="008D1B7C">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C</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O</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N</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S</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I</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D</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E</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R</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A</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N</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D</w:t>
      </w:r>
      <w:r w:rsidR="00F33246"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b/>
          <w:bCs/>
          <w:color w:val="000000"/>
          <w:sz w:val="24"/>
          <w:szCs w:val="24"/>
        </w:rPr>
        <w:t>O</w:t>
      </w:r>
    </w:p>
    <w:p w:rsidR="001C42D0" w:rsidRPr="00F33246" w:rsidRDefault="001C42D0">
      <w:pPr>
        <w:pBdr>
          <w:top w:val="nil"/>
          <w:left w:val="nil"/>
          <w:bottom w:val="nil"/>
          <w:right w:val="nil"/>
          <w:between w:val="nil"/>
        </w:pBdr>
        <w:spacing w:after="0" w:line="360" w:lineRule="auto"/>
        <w:jc w:val="center"/>
        <w:rPr>
          <w:rFonts w:ascii="Palatino Linotype" w:eastAsia="Palatino Linotype" w:hAnsi="Palatino Linotype" w:cs="Palatino Linotype"/>
          <w:b/>
          <w:bCs/>
          <w:color w:val="000000"/>
          <w:sz w:val="24"/>
          <w:szCs w:val="24"/>
        </w:rPr>
      </w:pPr>
    </w:p>
    <w:p w:rsidR="001C42D0" w:rsidRPr="00F33246" w:rsidRDefault="008D1B7C">
      <w:pPr>
        <w:pStyle w:val="Ttulo2"/>
        <w:spacing w:before="0" w:line="360" w:lineRule="auto"/>
        <w:rPr>
          <w:rFonts w:ascii="Palatino Linotype" w:eastAsia="Palatino Linotype" w:hAnsi="Palatino Linotype" w:cs="Palatino Linotype"/>
          <w:b/>
          <w:bCs/>
          <w:color w:val="000000"/>
          <w:sz w:val="24"/>
          <w:szCs w:val="24"/>
        </w:rPr>
      </w:pPr>
      <w:bookmarkStart w:id="5" w:name="_heading=h.eheyedw3wj7g" w:colFirst="0" w:colLast="0"/>
      <w:bookmarkEnd w:id="5"/>
      <w:r w:rsidRPr="00F33246">
        <w:rPr>
          <w:rFonts w:ascii="Palatino Linotype" w:eastAsia="Palatino Linotype" w:hAnsi="Palatino Linotype" w:cs="Palatino Linotype"/>
          <w:b/>
          <w:bCs/>
          <w:color w:val="000000"/>
          <w:sz w:val="24"/>
          <w:szCs w:val="24"/>
        </w:rPr>
        <w:t>PRIMERO. De la competencia</w:t>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w:t>
      </w:r>
      <w:r w:rsidRPr="00F33246">
        <w:rPr>
          <w:rFonts w:ascii="Palatino Linotype" w:eastAsia="Palatino Linotype" w:hAnsi="Palatino Linotype" w:cs="Palatino Linotype"/>
          <w:color w:val="000000"/>
          <w:sz w:val="24"/>
          <w:szCs w:val="24"/>
        </w:rPr>
        <w:lastRenderedPageBreak/>
        <w:t>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Style w:val="Ttulo2"/>
        <w:spacing w:before="0" w:line="360" w:lineRule="auto"/>
        <w:rPr>
          <w:rFonts w:ascii="Palatino Linotype" w:eastAsia="Palatino Linotype" w:hAnsi="Palatino Linotype" w:cs="Palatino Linotype"/>
          <w:b/>
          <w:bCs/>
          <w:color w:val="000000"/>
          <w:sz w:val="24"/>
          <w:szCs w:val="24"/>
        </w:rPr>
      </w:pPr>
      <w:bookmarkStart w:id="6" w:name="_heading=h.hui2m1wpw03t" w:colFirst="0" w:colLast="0"/>
      <w:bookmarkEnd w:id="6"/>
      <w:r w:rsidRPr="00F33246">
        <w:rPr>
          <w:rFonts w:ascii="Palatino Linotype" w:eastAsia="Palatino Linotype" w:hAnsi="Palatino Linotype" w:cs="Palatino Linotype"/>
          <w:b/>
          <w:bCs/>
          <w:color w:val="000000"/>
          <w:sz w:val="24"/>
          <w:szCs w:val="24"/>
        </w:rPr>
        <w:t>SEGUNDO. De la oportunidad y procedencia.</w:t>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El medio de impugnación fue presentado a través del </w:t>
      </w:r>
      <w:r w:rsidRPr="00F33246">
        <w:rPr>
          <w:rFonts w:ascii="Palatino Linotype" w:eastAsia="Palatino Linotype" w:hAnsi="Palatino Linotype" w:cs="Palatino Linotype"/>
          <w:b/>
          <w:bCs/>
          <w:color w:val="000000"/>
          <w:sz w:val="24"/>
          <w:szCs w:val="24"/>
        </w:rPr>
        <w:t>SAIMEX,</w:t>
      </w:r>
      <w:r w:rsidRPr="00F33246">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xml:space="preserve"> entregó su respuesta el </w:t>
      </w:r>
      <w:r w:rsidRPr="00F33246">
        <w:rPr>
          <w:rFonts w:ascii="Palatino Linotype" w:eastAsia="Palatino Linotype" w:hAnsi="Palatino Linotype" w:cs="Palatino Linotype"/>
          <w:b/>
          <w:bCs/>
          <w:color w:val="000000"/>
          <w:sz w:val="24"/>
          <w:szCs w:val="24"/>
        </w:rPr>
        <w:t>veinte de enero de dos mil veintiséis</w:t>
      </w:r>
      <w:r w:rsidRPr="00F33246">
        <w:rPr>
          <w:rFonts w:ascii="Palatino Linotype" w:eastAsia="Palatino Linotype" w:hAnsi="Palatino Linotype" w:cs="Palatino Linotype"/>
          <w:color w:val="000000"/>
          <w:sz w:val="24"/>
          <w:szCs w:val="24"/>
        </w:rPr>
        <w:t>, de tal forma que el plazo para interponer el recurso de revisión transcurrió del</w:t>
      </w:r>
      <w:r w:rsidRPr="00F33246">
        <w:rPr>
          <w:rFonts w:ascii="Palatino Linotype" w:eastAsia="Palatino Linotype" w:hAnsi="Palatino Linotype" w:cs="Palatino Linotype"/>
          <w:b/>
          <w:bCs/>
          <w:color w:val="000000"/>
          <w:sz w:val="24"/>
          <w:szCs w:val="24"/>
        </w:rPr>
        <w:t xml:space="preserve"> veintiuno de enero al once de febrero de dos mil veintiséis,</w:t>
      </w:r>
      <w:r w:rsidRPr="00F33246">
        <w:rPr>
          <w:rFonts w:ascii="Palatino Linotype" w:eastAsia="Palatino Linotype" w:hAnsi="Palatino Linotype" w:cs="Palatino Linotype"/>
          <w:color w:val="000000"/>
          <w:sz w:val="24"/>
          <w:szCs w:val="24"/>
        </w:rPr>
        <w:t xml:space="preserve"> en consecuencia, el ahora </w:t>
      </w:r>
      <w:r w:rsidRPr="00F33246">
        <w:rPr>
          <w:rFonts w:ascii="Palatino Linotype" w:eastAsia="Palatino Linotype" w:hAnsi="Palatino Linotype" w:cs="Palatino Linotype"/>
          <w:b/>
          <w:bCs/>
          <w:color w:val="000000"/>
          <w:sz w:val="24"/>
          <w:szCs w:val="24"/>
        </w:rPr>
        <w:t>RECURRENTE</w:t>
      </w:r>
      <w:r w:rsidRPr="00F33246">
        <w:rPr>
          <w:rFonts w:ascii="Palatino Linotype" w:eastAsia="Palatino Linotype" w:hAnsi="Palatino Linotype" w:cs="Palatino Linotype"/>
          <w:color w:val="000000"/>
          <w:sz w:val="24"/>
          <w:szCs w:val="24"/>
        </w:rPr>
        <w:t xml:space="preserve"> presentó su inconformidad el </w:t>
      </w:r>
      <w:r w:rsidRPr="00F33246">
        <w:rPr>
          <w:rFonts w:ascii="Palatino Linotype" w:eastAsia="Palatino Linotype" w:hAnsi="Palatino Linotype" w:cs="Palatino Linotype"/>
          <w:b/>
          <w:bCs/>
          <w:color w:val="000000"/>
          <w:sz w:val="24"/>
          <w:szCs w:val="24"/>
        </w:rPr>
        <w:t>nueve de febrero de dos mil veintiséis</w:t>
      </w:r>
      <w:r w:rsidRPr="00F33246">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spacing w:before="240" w:after="240" w:line="360" w:lineRule="auto"/>
        <w:ind w:left="0" w:right="48" w:firstLine="0"/>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1C42D0" w:rsidRPr="00F33246" w:rsidRDefault="008D1B7C">
      <w:pPr>
        <w:pStyle w:val="Ttulo1"/>
        <w:spacing w:before="0" w:line="360" w:lineRule="auto"/>
        <w:rPr>
          <w:rFonts w:ascii="Palatino Linotype" w:eastAsia="Palatino Linotype" w:hAnsi="Palatino Linotype" w:cs="Palatino Linotype"/>
          <w:b/>
          <w:bCs/>
          <w:color w:val="000000"/>
          <w:sz w:val="24"/>
          <w:szCs w:val="24"/>
        </w:rPr>
      </w:pPr>
      <w:bookmarkStart w:id="7" w:name="_heading=h.euumjwjp15us" w:colFirst="0" w:colLast="0"/>
      <w:bookmarkEnd w:id="7"/>
      <w:r w:rsidRPr="00F33246">
        <w:rPr>
          <w:rFonts w:ascii="Palatino Linotype" w:eastAsia="Palatino Linotype" w:hAnsi="Palatino Linotype" w:cs="Palatino Linotype"/>
          <w:b/>
          <w:bCs/>
          <w:color w:val="000000"/>
          <w:sz w:val="24"/>
          <w:szCs w:val="24"/>
        </w:rPr>
        <w:lastRenderedPageBreak/>
        <w:t xml:space="preserve">TERCERO. Del planteamiento de la </w:t>
      </w:r>
      <w:r w:rsidRPr="00F33246">
        <w:rPr>
          <w:rFonts w:ascii="Palatino Linotype" w:eastAsia="Palatino Linotype" w:hAnsi="Palatino Linotype" w:cs="Palatino Linotype"/>
          <w:b/>
          <w:bCs/>
          <w:i/>
          <w:iCs/>
          <w:color w:val="000000"/>
          <w:sz w:val="24"/>
          <w:szCs w:val="24"/>
        </w:rPr>
        <w:t>Litis</w:t>
      </w:r>
      <w:r w:rsidRPr="00F33246">
        <w:rPr>
          <w:rFonts w:ascii="Palatino Linotype" w:eastAsia="Palatino Linotype" w:hAnsi="Palatino Linotype" w:cs="Palatino Linotype"/>
          <w:b/>
          <w:bCs/>
          <w:color w:val="000000"/>
          <w:sz w:val="24"/>
          <w:szCs w:val="24"/>
        </w:rPr>
        <w:t>.</w:t>
      </w: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Se solicitó tener acceso, a la información que a continuación se desagrega:</w:t>
      </w:r>
    </w:p>
    <w:p w:rsidR="001C42D0" w:rsidRPr="00F33246" w:rsidRDefault="001C42D0">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spacing w:after="0" w:line="360" w:lineRule="auto"/>
        <w:ind w:left="778"/>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i/>
          <w:iCs/>
          <w:color w:val="000000"/>
          <w:sz w:val="24"/>
          <w:szCs w:val="24"/>
        </w:rPr>
        <w:t>“Plan de desarrollo urbano municipal vigente en 2022, 2023, 2024 y 2025.”</w:t>
      </w:r>
    </w:p>
    <w:p w:rsidR="001C42D0" w:rsidRPr="00F33246" w:rsidRDefault="001C42D0">
      <w:pPr>
        <w:pBdr>
          <w:top w:val="nil"/>
          <w:left w:val="nil"/>
          <w:bottom w:val="nil"/>
          <w:right w:val="nil"/>
          <w:between w:val="nil"/>
        </w:pBdr>
        <w:spacing w:after="0" w:line="360" w:lineRule="auto"/>
        <w:ind w:left="778"/>
        <w:jc w:val="both"/>
        <w:rPr>
          <w:rFonts w:ascii="Palatino Linotype" w:eastAsia="Palatino Linotype" w:hAnsi="Palatino Linotype" w:cs="Palatino Linotype"/>
          <w:i/>
          <w:iCs/>
          <w:color w:val="000000"/>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color w:val="000000"/>
          <w:sz w:val="24"/>
          <w:szCs w:val="24"/>
        </w:rPr>
        <w:t xml:space="preserve">En respuesta, 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remitió una liga de acceso en la que informo, se encuentra la información solicitada.</w:t>
      </w:r>
    </w:p>
    <w:p w:rsidR="001C42D0" w:rsidRPr="00F33246" w:rsidRDefault="001C42D0">
      <w:p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
    <w:p w:rsidR="001C42D0" w:rsidRPr="00F33246" w:rsidRDefault="008D1B7C">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 En la etapa de manifestaciones el </w:t>
      </w:r>
      <w:r w:rsidRPr="00F33246">
        <w:rPr>
          <w:rFonts w:ascii="Palatino Linotype" w:eastAsia="Palatino Linotype" w:hAnsi="Palatino Linotype" w:cs="Palatino Linotype"/>
          <w:b/>
          <w:bCs/>
          <w:color w:val="000000"/>
          <w:sz w:val="24"/>
          <w:szCs w:val="24"/>
        </w:rPr>
        <w:t xml:space="preserve">SUJETO OBLIGADO </w:t>
      </w:r>
      <w:r w:rsidRPr="00F33246">
        <w:rPr>
          <w:rFonts w:ascii="Palatino Linotype" w:eastAsia="Palatino Linotype" w:hAnsi="Palatino Linotype" w:cs="Palatino Linotype"/>
          <w:color w:val="000000"/>
          <w:sz w:val="24"/>
          <w:szCs w:val="24"/>
        </w:rPr>
        <w:t xml:space="preserve">rindió el Informe Justificado correspondiente, por el que remite dos ligas de acceso en formato cerrado, en donde refirió, se encuentra la información solicitada. </w:t>
      </w:r>
    </w:p>
    <w:p w:rsidR="001C42D0" w:rsidRPr="00F33246" w:rsidRDefault="008D1B7C">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ab/>
      </w:r>
    </w:p>
    <w:p w:rsidR="001C42D0" w:rsidRPr="00F33246" w:rsidRDefault="008D1B7C">
      <w:pPr>
        <w:numPr>
          <w:ilvl w:val="0"/>
          <w:numId w:val="1"/>
        </w:numPr>
        <w:spacing w:after="0" w:line="360" w:lineRule="auto"/>
        <w:ind w:left="0" w:firstLine="0"/>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sz w:val="24"/>
          <w:szCs w:val="24"/>
        </w:rPr>
        <w:t xml:space="preserve">En dichas condiciones, la </w:t>
      </w:r>
      <w:r w:rsidRPr="00F33246">
        <w:rPr>
          <w:rFonts w:ascii="Palatino Linotype" w:eastAsia="Palatino Linotype" w:hAnsi="Palatino Linotype" w:cs="Palatino Linotype"/>
          <w:i/>
          <w:iCs/>
          <w:sz w:val="24"/>
          <w:szCs w:val="24"/>
        </w:rPr>
        <w:t>Litis</w:t>
      </w:r>
      <w:r w:rsidRPr="00F33246">
        <w:rPr>
          <w:rFonts w:ascii="Palatino Linotype" w:eastAsia="Palatino Linotype" w:hAnsi="Palatino Linotype" w:cs="Palatino Linotype"/>
          <w:sz w:val="24"/>
          <w:szCs w:val="24"/>
        </w:rPr>
        <w:t xml:space="preserve"> a resolver en este recurso se circunscribe a determinar si se actualiza la causal de procedencia prevista en el artículo 179, </w:t>
      </w:r>
      <w:r w:rsidRPr="00F33246">
        <w:rPr>
          <w:rFonts w:ascii="Palatino Linotype" w:eastAsia="Palatino Linotype" w:hAnsi="Palatino Linotype" w:cs="Palatino Linotype"/>
          <w:b/>
          <w:bCs/>
          <w:sz w:val="24"/>
          <w:szCs w:val="24"/>
        </w:rPr>
        <w:t xml:space="preserve">fracción V </w:t>
      </w:r>
      <w:r w:rsidRPr="00F33246">
        <w:rPr>
          <w:rFonts w:ascii="Palatino Linotype" w:eastAsia="Palatino Linotype" w:hAnsi="Palatino Linotype" w:cs="Palatino Linotype"/>
          <w:sz w:val="24"/>
          <w:szCs w:val="24"/>
        </w:rPr>
        <w:t xml:space="preserve">de la </w:t>
      </w:r>
      <w:r w:rsidRPr="00F33246">
        <w:rPr>
          <w:rFonts w:ascii="Palatino Linotype" w:eastAsia="Palatino Linotype" w:hAnsi="Palatino Linotype" w:cs="Palatino Linotype"/>
          <w:b/>
          <w:bCs/>
          <w:sz w:val="24"/>
          <w:szCs w:val="24"/>
        </w:rPr>
        <w:t xml:space="preserve">Ley de Transparencia y Acceso a la Información Pública del Estado de </w:t>
      </w:r>
      <w:r w:rsidRPr="00F33246">
        <w:rPr>
          <w:rFonts w:ascii="Palatino Linotype" w:eastAsia="Palatino Linotype" w:hAnsi="Palatino Linotype" w:cs="Palatino Linotype"/>
          <w:sz w:val="24"/>
          <w:szCs w:val="24"/>
        </w:rPr>
        <w:t>México</w:t>
      </w:r>
      <w:r w:rsidRPr="00F33246">
        <w:rPr>
          <w:rFonts w:ascii="Palatino Linotype" w:eastAsia="Palatino Linotype" w:hAnsi="Palatino Linotype" w:cs="Palatino Linotype"/>
          <w:b/>
          <w:bCs/>
          <w:sz w:val="24"/>
          <w:szCs w:val="24"/>
        </w:rPr>
        <w:t xml:space="preserve"> y </w:t>
      </w:r>
      <w:r w:rsidRPr="00F33246">
        <w:rPr>
          <w:rFonts w:ascii="Palatino Linotype" w:eastAsia="Palatino Linotype" w:hAnsi="Palatino Linotype" w:cs="Palatino Linotype"/>
          <w:sz w:val="24"/>
          <w:szCs w:val="24"/>
        </w:rPr>
        <w:t xml:space="preserve">Municipios; </w:t>
      </w:r>
      <w:r w:rsidRPr="00F33246">
        <w:rPr>
          <w:rFonts w:ascii="Palatino Linotype" w:eastAsia="Palatino Linotype" w:hAnsi="Palatino Linotype" w:cs="Palatino Linotype"/>
          <w:color w:val="000000"/>
          <w:sz w:val="24"/>
          <w:szCs w:val="24"/>
        </w:rPr>
        <w:t xml:space="preserve">fracción que determina la hipótesis jurídica relativa a la entrega de información incompleta; </w:t>
      </w:r>
      <w:r w:rsidRPr="00F33246">
        <w:rPr>
          <w:rFonts w:ascii="Palatino Linotype" w:eastAsia="Palatino Linotype" w:hAnsi="Palatino Linotype" w:cs="Palatino Linotype"/>
          <w:sz w:val="24"/>
          <w:szCs w:val="24"/>
        </w:rPr>
        <w:t xml:space="preserve">contexto del cual se dolió </w:t>
      </w:r>
      <w:r w:rsidRPr="00F33246">
        <w:rPr>
          <w:rFonts w:ascii="Palatino Linotype" w:eastAsia="Palatino Linotype" w:hAnsi="Palatino Linotype" w:cs="Palatino Linotype"/>
          <w:b/>
          <w:bCs/>
          <w:sz w:val="24"/>
          <w:szCs w:val="24"/>
        </w:rPr>
        <w:t xml:space="preserve">EL RECURRENTE </w:t>
      </w:r>
      <w:r w:rsidRPr="00F33246">
        <w:rPr>
          <w:rFonts w:ascii="Palatino Linotype" w:eastAsia="Palatino Linotype" w:hAnsi="Palatino Linotype" w:cs="Palatino Linotype"/>
          <w:sz w:val="24"/>
          <w:szCs w:val="24"/>
        </w:rPr>
        <w:t>al momento de interponer su inconformidad.</w:t>
      </w:r>
      <w:r w:rsidRPr="00F33246">
        <w:rPr>
          <w:rFonts w:ascii="Palatino Linotype" w:eastAsia="Palatino Linotype" w:hAnsi="Palatino Linotype" w:cs="Palatino Linotype"/>
          <w:color w:val="000000"/>
          <w:sz w:val="24"/>
          <w:szCs w:val="24"/>
        </w:rPr>
        <w:t xml:space="preserve"> </w:t>
      </w:r>
    </w:p>
    <w:p w:rsidR="001C42D0" w:rsidRPr="00F33246" w:rsidRDefault="001C42D0">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firstLine="0"/>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color w:val="000000"/>
          <w:sz w:val="24"/>
          <w:szCs w:val="24"/>
        </w:rPr>
        <w:t xml:space="preserve">De modo tal que el presente recurso de revisión se abocara en determinar si el </w:t>
      </w:r>
      <w:r w:rsidRPr="00F33246">
        <w:rPr>
          <w:rFonts w:ascii="Palatino Linotype" w:eastAsia="Palatino Linotype" w:hAnsi="Palatino Linotype" w:cs="Palatino Linotype"/>
          <w:b/>
          <w:bCs/>
          <w:color w:val="000000"/>
          <w:sz w:val="24"/>
          <w:szCs w:val="24"/>
        </w:rPr>
        <w:t>SUJETO</w:t>
      </w:r>
      <w:r w:rsidRPr="00F33246">
        <w:rPr>
          <w:rFonts w:ascii="Palatino Linotype" w:eastAsia="Palatino Linotype" w:hAnsi="Palatino Linotype" w:cs="Palatino Linotype"/>
          <w:color w:val="000000"/>
          <w:sz w:val="24"/>
          <w:szCs w:val="24"/>
        </w:rPr>
        <w:t xml:space="preserve"> </w:t>
      </w:r>
      <w:r w:rsidRPr="00F33246">
        <w:rPr>
          <w:rFonts w:ascii="Palatino Linotype" w:eastAsia="Palatino Linotype" w:hAnsi="Palatino Linotype" w:cs="Palatino Linotype"/>
          <w:b/>
          <w:bCs/>
          <w:color w:val="000000"/>
          <w:sz w:val="24"/>
          <w:szCs w:val="24"/>
        </w:rPr>
        <w:t>OBLIGADO</w:t>
      </w:r>
      <w:r w:rsidRPr="00F33246">
        <w:rPr>
          <w:rFonts w:ascii="Palatino Linotype" w:eastAsia="Palatino Linotype" w:hAnsi="Palatino Linotype" w:cs="Palatino Linotype"/>
          <w:color w:val="000000"/>
          <w:sz w:val="24"/>
          <w:szCs w:val="24"/>
        </w:rPr>
        <w:t xml:space="preserve"> con su respuesta ciertamente actualiza la causal de procedencia</w:t>
      </w:r>
      <w:r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color w:val="000000"/>
          <w:sz w:val="24"/>
          <w:szCs w:val="24"/>
        </w:rPr>
        <w:t xml:space="preserve">antes señalada. </w:t>
      </w:r>
    </w:p>
    <w:p w:rsidR="001C42D0" w:rsidRPr="00F33246" w:rsidRDefault="001C42D0">
      <w:pPr>
        <w:spacing w:after="0" w:line="360" w:lineRule="auto"/>
        <w:jc w:val="both"/>
        <w:rPr>
          <w:rFonts w:ascii="Palatino Linotype" w:eastAsia="Palatino Linotype" w:hAnsi="Palatino Linotype" w:cs="Palatino Linotype"/>
          <w:sz w:val="24"/>
          <w:szCs w:val="24"/>
        </w:rPr>
      </w:pPr>
    </w:p>
    <w:p w:rsidR="001C42D0" w:rsidRPr="00F33246" w:rsidRDefault="008D1B7C">
      <w:pPr>
        <w:pStyle w:val="Ttulo2"/>
        <w:spacing w:before="0" w:line="360" w:lineRule="auto"/>
        <w:rPr>
          <w:rFonts w:ascii="Palatino Linotype" w:eastAsia="Palatino Linotype" w:hAnsi="Palatino Linotype" w:cs="Palatino Linotype"/>
          <w:b/>
          <w:bCs/>
          <w:color w:val="000000"/>
          <w:sz w:val="24"/>
          <w:szCs w:val="24"/>
        </w:rPr>
      </w:pPr>
      <w:bookmarkStart w:id="8" w:name="_heading=h.yzho1uv7wtwr" w:colFirst="0" w:colLast="0"/>
      <w:bookmarkEnd w:id="8"/>
      <w:r w:rsidRPr="00F33246">
        <w:rPr>
          <w:rFonts w:ascii="Palatino Linotype" w:eastAsia="Palatino Linotype" w:hAnsi="Palatino Linotype" w:cs="Palatino Linotype"/>
          <w:b/>
          <w:bCs/>
          <w:color w:val="000000"/>
          <w:sz w:val="24"/>
          <w:szCs w:val="24"/>
        </w:rPr>
        <w:lastRenderedPageBreak/>
        <w:t>CUARTO. Del estudio y resolución del asunto.</w:t>
      </w:r>
    </w:p>
    <w:p w:rsidR="001C42D0" w:rsidRPr="00F33246" w:rsidRDefault="008D1B7C" w:rsidP="00F33246">
      <w:pPr>
        <w:pStyle w:val="Prrafodelista"/>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Acotada la </w:t>
      </w:r>
      <w:r w:rsidRPr="00F33246">
        <w:rPr>
          <w:rFonts w:ascii="Palatino Linotype" w:eastAsia="Palatino Linotype" w:hAnsi="Palatino Linotype" w:cs="Palatino Linotype"/>
          <w:i/>
          <w:iCs/>
          <w:color w:val="000000"/>
          <w:sz w:val="24"/>
          <w:szCs w:val="24"/>
        </w:rPr>
        <w:t>Litis</w:t>
      </w:r>
      <w:r w:rsidRPr="00F33246">
        <w:rPr>
          <w:rFonts w:ascii="Palatino Linotype" w:eastAsia="Palatino Linotype" w:hAnsi="Palatino Linotype" w:cs="Palatino Linotype"/>
          <w:color w:val="000000"/>
          <w:sz w:val="24"/>
          <w:szCs w:val="24"/>
        </w:rPr>
        <w:t xml:space="preserve"> del presente asunto, respecto la fuente obligacional, se obvia el análisis de la competencia por parte del </w:t>
      </w:r>
      <w:r w:rsidRPr="00F33246">
        <w:rPr>
          <w:rFonts w:ascii="Palatino Linotype" w:eastAsia="Palatino Linotype" w:hAnsi="Palatino Linotype" w:cs="Palatino Linotype"/>
          <w:b/>
          <w:bCs/>
          <w:color w:val="000000"/>
          <w:sz w:val="24"/>
          <w:szCs w:val="24"/>
        </w:rPr>
        <w:t>SUJETO OBLIGADO,</w:t>
      </w:r>
      <w:r w:rsidRPr="00F33246">
        <w:rPr>
          <w:rFonts w:ascii="Palatino Linotype" w:eastAsia="Palatino Linotype" w:hAnsi="Palatino Linotype" w:cs="Palatino Linotype"/>
          <w:color w:val="000000"/>
          <w:sz w:val="24"/>
          <w:szCs w:val="24"/>
        </w:rPr>
        <w:t xml:space="preserve"> para generar, administrar o poseer la información solicitada, dado que éste ha asumido la misma conforme a los documentos proporcionados en respuesta, razón por la cual, al haberse pronunciado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Ahora bien, resulta necesario, previo al fondo del estudio, referir respecto los motivos de inconformidad hechos valer por el ahora </w:t>
      </w:r>
      <w:r w:rsidRPr="00F33246">
        <w:rPr>
          <w:rFonts w:ascii="Palatino Linotype" w:eastAsia="Palatino Linotype" w:hAnsi="Palatino Linotype" w:cs="Palatino Linotype"/>
          <w:b/>
          <w:bCs/>
          <w:color w:val="000000"/>
          <w:sz w:val="24"/>
          <w:szCs w:val="24"/>
        </w:rPr>
        <w:t xml:space="preserve">RECURRENTE, </w:t>
      </w:r>
      <w:r w:rsidRPr="00F33246">
        <w:rPr>
          <w:rFonts w:ascii="Palatino Linotype" w:eastAsia="Palatino Linotype" w:hAnsi="Palatino Linotype" w:cs="Palatino Linotype"/>
          <w:color w:val="000000"/>
          <w:sz w:val="24"/>
          <w:szCs w:val="24"/>
        </w:rPr>
        <w:t>que si bien es cierto, dentro del acto impugnado se señaló una solicitud de información diversa  a la que dio origen al recurso de revisión que nos ocupa, también cierto es que, dentro de las razones o motivos de inconformidad, se advierte que hay relación con lo solicitado, situación que no impide entrar al estudio de fondo del asunto.</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Es así que, que el </w:t>
      </w:r>
      <w:r w:rsidRPr="00F33246">
        <w:rPr>
          <w:rFonts w:ascii="Palatino Linotype" w:eastAsia="Palatino Linotype" w:hAnsi="Palatino Linotype" w:cs="Palatino Linotype"/>
          <w:b/>
          <w:bCs/>
          <w:sz w:val="24"/>
          <w:szCs w:val="24"/>
        </w:rPr>
        <w:t>RECURRENTE</w:t>
      </w:r>
      <w:r w:rsidRPr="00F33246">
        <w:rPr>
          <w:rFonts w:ascii="Palatino Linotype" w:eastAsia="Palatino Linotype" w:hAnsi="Palatino Linotype" w:cs="Palatino Linotype"/>
          <w:b/>
          <w:bCs/>
          <w:color w:val="000000"/>
          <w:sz w:val="24"/>
          <w:szCs w:val="24"/>
        </w:rPr>
        <w:t xml:space="preserve">, </w:t>
      </w:r>
      <w:r w:rsidRPr="00F33246">
        <w:rPr>
          <w:rFonts w:ascii="Palatino Linotype" w:eastAsia="Palatino Linotype" w:hAnsi="Palatino Linotype" w:cs="Palatino Linotype"/>
          <w:sz w:val="24"/>
          <w:szCs w:val="24"/>
        </w:rPr>
        <w:t>arguyó</w:t>
      </w:r>
      <w:r w:rsidRPr="00F33246">
        <w:rPr>
          <w:rFonts w:ascii="Palatino Linotype" w:eastAsia="Palatino Linotype" w:hAnsi="Palatino Linotype" w:cs="Palatino Linotype"/>
          <w:color w:val="000000"/>
          <w:sz w:val="24"/>
          <w:szCs w:val="24"/>
        </w:rPr>
        <w:t xml:space="preserve"> lo siguiente:</w:t>
      </w:r>
    </w:p>
    <w:p w:rsidR="001C42D0" w:rsidRPr="00F33246" w:rsidRDefault="008D1B7C">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i/>
          <w:iCs/>
          <w:color w:val="000000"/>
          <w:sz w:val="24"/>
          <w:szCs w:val="24"/>
        </w:rPr>
        <w:t xml:space="preserve">AGRAVIOS La respuesta emitida por el sujeto obligado es incompleta, incongruente y carente de exhaustividad, vulnerando mi derecho de acceso a la información pública, por las siguientes razones: La solicitud fue clara y específica, ya que se pidió expresamente conocer el </w:t>
      </w:r>
      <w:r w:rsidRPr="00F33246">
        <w:rPr>
          <w:rFonts w:ascii="Palatino Linotype" w:eastAsia="Palatino Linotype" w:hAnsi="Palatino Linotype" w:cs="Palatino Linotype"/>
          <w:i/>
          <w:iCs/>
          <w:color w:val="000000"/>
          <w:sz w:val="24"/>
          <w:szCs w:val="24"/>
          <w:u w:val="single"/>
        </w:rPr>
        <w:t>Plan de Desarrollo Urbano Municipal vigente en los años 2022, 2023, 2024 y 2025</w:t>
      </w:r>
      <w:r w:rsidRPr="00F33246">
        <w:rPr>
          <w:rFonts w:ascii="Palatino Linotype" w:eastAsia="Palatino Linotype" w:hAnsi="Palatino Linotype" w:cs="Palatino Linotype"/>
          <w:i/>
          <w:iCs/>
          <w:color w:val="000000"/>
          <w:sz w:val="24"/>
          <w:szCs w:val="24"/>
        </w:rPr>
        <w:t xml:space="preserve">. </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spacing w:after="0" w:line="276" w:lineRule="auto"/>
        <w:ind w:left="567" w:right="616"/>
        <w:jc w:val="both"/>
        <w:rPr>
          <w:rFonts w:ascii="Palatino Linotype" w:eastAsia="Palatino Linotype" w:hAnsi="Palatino Linotype" w:cs="Palatino Linotype"/>
          <w:b/>
          <w:bCs/>
          <w:i/>
          <w:iCs/>
          <w:color w:val="000000"/>
          <w:sz w:val="24"/>
          <w:szCs w:val="24"/>
        </w:rPr>
      </w:pPr>
      <w:r w:rsidRPr="00F33246">
        <w:rPr>
          <w:rFonts w:ascii="Palatino Linotype" w:eastAsia="Palatino Linotype" w:hAnsi="Palatino Linotype" w:cs="Palatino Linotype"/>
          <w:i/>
          <w:iCs/>
          <w:color w:val="000000"/>
          <w:sz w:val="24"/>
          <w:szCs w:val="24"/>
        </w:rPr>
        <w:t xml:space="preserve">La autoridad no dio respuesta puntual por cada uno de los años solicitados, ni emitió un pronunciamiento expreso que indique: </w:t>
      </w:r>
      <w:r w:rsidRPr="00F33246">
        <w:rPr>
          <w:rFonts w:ascii="Palatino Linotype" w:eastAsia="Palatino Linotype" w:hAnsi="Palatino Linotype" w:cs="Palatino Linotype"/>
          <w:b/>
          <w:bCs/>
          <w:i/>
          <w:iCs/>
          <w:color w:val="000000"/>
          <w:sz w:val="24"/>
          <w:szCs w:val="24"/>
        </w:rPr>
        <w:t xml:space="preserve">Si el mismo Plan de Desarrollo Urbano </w:t>
      </w:r>
      <w:r w:rsidRPr="00F33246">
        <w:rPr>
          <w:rFonts w:ascii="Palatino Linotype" w:eastAsia="Palatino Linotype" w:hAnsi="Palatino Linotype" w:cs="Palatino Linotype"/>
          <w:b/>
          <w:bCs/>
          <w:i/>
          <w:iCs/>
          <w:color w:val="000000"/>
          <w:sz w:val="24"/>
          <w:szCs w:val="24"/>
        </w:rPr>
        <w:lastRenderedPageBreak/>
        <w:t>estuvo vigente en todos esos ejercicios fiscales, o Si existieron distintos planes, actualizaciones, modificaciones o cambios de vigencia entre dichos años.</w:t>
      </w:r>
      <w:r w:rsidRPr="00F33246">
        <w:rPr>
          <w:rFonts w:ascii="Palatino Linotype" w:eastAsia="Palatino Linotype" w:hAnsi="Palatino Linotype" w:cs="Palatino Linotype"/>
          <w:i/>
          <w:iCs/>
          <w:color w:val="000000"/>
          <w:sz w:val="24"/>
          <w:szCs w:val="24"/>
        </w:rPr>
        <w:t xml:space="preserve"> La respuesta se limita a remitir un enlace electrónico al portal de la Secretaría de Desarrollo Urbano e Infraestructura del Estado de México, lo cual no satisface la solicitud, ya que: </w:t>
      </w:r>
      <w:r w:rsidRPr="00F33246">
        <w:rPr>
          <w:rFonts w:ascii="Palatino Linotype" w:eastAsia="Palatino Linotype" w:hAnsi="Palatino Linotype" w:cs="Palatino Linotype"/>
          <w:b/>
          <w:bCs/>
          <w:i/>
          <w:iCs/>
          <w:color w:val="000000"/>
          <w:sz w:val="24"/>
          <w:szCs w:val="24"/>
        </w:rPr>
        <w:t>No se señala la fecha exacta de inicio de vigencia del plan publicado. No se aclara qué plan fue aplicable en 2022, considerando que el documento señalado tiene como “última actualización” el 25 de agosto de 2023. No se confirma expresamente si dicho plan continúa vigente en 2024 y 2025 sin modificaciones</w:t>
      </w:r>
      <w:r w:rsidRPr="00F33246">
        <w:rPr>
          <w:rFonts w:ascii="Palatino Linotype" w:eastAsia="Palatino Linotype" w:hAnsi="Palatino Linotype" w:cs="Palatino Linotype"/>
          <w:i/>
          <w:iCs/>
          <w:color w:val="000000"/>
          <w:sz w:val="24"/>
          <w:szCs w:val="24"/>
        </w:rPr>
        <w:t xml:space="preserve">. Remitir a un vínculo electrónico no equivale a una respuesta fundada y motivada, ni cumple con el principio de exhaustividad, pues la autoridad estaba obligada a pronunciarse de manera expresa y clara </w:t>
      </w:r>
      <w:r w:rsidRPr="00F33246">
        <w:rPr>
          <w:rFonts w:ascii="Palatino Linotype" w:eastAsia="Palatino Linotype" w:hAnsi="Palatino Linotype" w:cs="Palatino Linotype"/>
          <w:b/>
          <w:bCs/>
          <w:i/>
          <w:iCs/>
          <w:color w:val="000000"/>
          <w:sz w:val="24"/>
          <w:szCs w:val="24"/>
        </w:rPr>
        <w:t>sobre la vigencia del instrumento de planeación en cada uno de los años solicitados.</w:t>
      </w:r>
      <w:r w:rsidRPr="00F33246">
        <w:rPr>
          <w:rFonts w:ascii="Palatino Linotype" w:eastAsia="Palatino Linotype" w:hAnsi="Palatino Linotype" w:cs="Palatino Linotype"/>
          <w:i/>
          <w:iCs/>
          <w:color w:val="000000"/>
          <w:sz w:val="24"/>
          <w:szCs w:val="24"/>
        </w:rPr>
        <w:t xml:space="preserve"> En consecuencia, la respuesta impugnada no guarda congruencia con la solicitud planteada, incumple los principios de máxima publicidad, certeza y claridad, y deja en estado de incertidumbre al solicitante. PETICIÓN Por lo expuesto, solicito se revoque la respuesta impugnada y se ordene al sujeto obligado emitir una nueva respuesta completa, en la que informe de manera expresa y precisa: </w:t>
      </w:r>
      <w:r w:rsidRPr="00F33246">
        <w:rPr>
          <w:rFonts w:ascii="Palatino Linotype" w:eastAsia="Palatino Linotype" w:hAnsi="Palatino Linotype" w:cs="Palatino Linotype"/>
          <w:b/>
          <w:bCs/>
          <w:i/>
          <w:iCs/>
          <w:color w:val="000000"/>
          <w:sz w:val="24"/>
          <w:szCs w:val="24"/>
        </w:rPr>
        <w:t>Qué Plan de Desarrollo Urbano Municipal estuvo vigente en 2022. Qué Plan estuvo vigente en 2023, indicando la fecha exacta de cambio, en su caso. Si el Plan vigente continúa aplicándose en 2024 y 2025, o si ha sufrido modificaciones. Las fechas exactas de inicio y, en su caso, conclusión de vigencia de cada instrumento.</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bCs/>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De lo anterior, se observa que el </w:t>
      </w:r>
      <w:r w:rsidRPr="00F33246">
        <w:rPr>
          <w:rFonts w:ascii="Palatino Linotype" w:eastAsia="Palatino Linotype" w:hAnsi="Palatino Linotype" w:cs="Palatino Linotype"/>
          <w:b/>
          <w:bCs/>
          <w:color w:val="000000"/>
          <w:sz w:val="24"/>
          <w:szCs w:val="24"/>
        </w:rPr>
        <w:t>RECURRENTE</w:t>
      </w:r>
      <w:r w:rsidRPr="00F33246">
        <w:rPr>
          <w:rFonts w:ascii="Palatino Linotype" w:eastAsia="Palatino Linotype" w:hAnsi="Palatino Linotype" w:cs="Palatino Linotype"/>
          <w:color w:val="000000"/>
          <w:sz w:val="24"/>
          <w:szCs w:val="24"/>
        </w:rPr>
        <w:t xml:space="preserve">, hizo uso del recurso de revisión que nos ocupa para </w:t>
      </w:r>
      <w:r w:rsidRPr="00F33246">
        <w:rPr>
          <w:rFonts w:ascii="Palatino Linotype" w:eastAsia="Palatino Linotype" w:hAnsi="Palatino Linotype" w:cs="Palatino Linotype"/>
          <w:b/>
          <w:bCs/>
          <w:color w:val="000000"/>
          <w:sz w:val="24"/>
          <w:szCs w:val="24"/>
        </w:rPr>
        <w:t>ampliar</w:t>
      </w:r>
      <w:r w:rsidRPr="00F33246">
        <w:rPr>
          <w:rFonts w:ascii="Palatino Linotype" w:eastAsia="Palatino Linotype" w:hAnsi="Palatino Linotype" w:cs="Palatino Linotype"/>
          <w:color w:val="000000"/>
          <w:sz w:val="24"/>
          <w:szCs w:val="24"/>
        </w:rPr>
        <w:t xml:space="preserve"> su solicitud de información inicial, al inconformarse respecto las fechas de inicio, conclusión, modificaciones de los planes solicitados, información que no fue requerida de manera inicial, pues solo se solicitaron los planes vigentes en los años del 2022 al 2025.</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right="49"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lastRenderedPageBreak/>
        <w:t xml:space="preserve">Conforme a lo anterior, debemos aclarar que </w:t>
      </w:r>
      <w:r w:rsidRPr="00F33246">
        <w:rPr>
          <w:rFonts w:ascii="Palatino Linotype" w:eastAsia="Palatino Linotype" w:hAnsi="Palatino Linotype" w:cs="Palatino Linotype"/>
          <w:sz w:val="24"/>
          <w:szCs w:val="24"/>
        </w:rPr>
        <w:t xml:space="preserve">el sistema de medios de impugnación se centra en el análisis de los agravios o motivos de inconformidad, los que deben tener relación directa con el acto de autoridad que lo motiva. En materia de transparencia, los motivos de la inconformidad deben versar sobre la respuesta de información proporcionada por los Sujetos Obligados o la negativa de entrega de la misma, derivada de la solicitud de información pública. De este modo, en los motivos de inconformidad, los Recurrentes no pueden incluir situaciones novedosas o solicitudes de información nuevas de las que el </w:t>
      </w:r>
      <w:r w:rsidRPr="00F33246">
        <w:rPr>
          <w:rFonts w:ascii="Palatino Linotype" w:eastAsia="Palatino Linotype" w:hAnsi="Palatino Linotype" w:cs="Palatino Linotype"/>
          <w:b/>
          <w:bCs/>
          <w:sz w:val="24"/>
          <w:szCs w:val="24"/>
        </w:rPr>
        <w:t>SUJETO OBLIGADO</w:t>
      </w:r>
      <w:r w:rsidRPr="00F33246">
        <w:rPr>
          <w:rFonts w:ascii="Palatino Linotype" w:eastAsia="Palatino Linotype" w:hAnsi="Palatino Linotype" w:cs="Palatino Linotype"/>
          <w:sz w:val="24"/>
          <w:szCs w:val="24"/>
        </w:rPr>
        <w:t xml:space="preserve"> no tuvo la oportunidad de conocer y, por consiguiente, producir un posicionamiento.</w:t>
      </w:r>
    </w:p>
    <w:p w:rsidR="001C42D0" w:rsidRPr="00F33246" w:rsidRDefault="001C42D0">
      <w:pPr>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right="49"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Es </w:t>
      </w:r>
      <w:r w:rsidRPr="00F33246">
        <w:rPr>
          <w:rFonts w:ascii="Palatino Linotype" w:eastAsia="Palatino Linotype" w:hAnsi="Palatino Linotype" w:cs="Palatino Linotype"/>
          <w:sz w:val="24"/>
          <w:szCs w:val="24"/>
        </w:rPr>
        <w:t xml:space="preserve">por ello que la Ley de la materia contempla que en los casos en que a través del recurso de revisión se pretenda ampliar los requerimientos de información, la inconformidad relativa a estas situaciones novedosas no debe ser tomada en cuenta como parte de la </w:t>
      </w:r>
      <w:r w:rsidRPr="00F33246">
        <w:rPr>
          <w:rFonts w:ascii="Palatino Linotype" w:eastAsia="Palatino Linotype" w:hAnsi="Palatino Linotype" w:cs="Palatino Linotype"/>
          <w:i/>
          <w:iCs/>
          <w:sz w:val="24"/>
          <w:szCs w:val="24"/>
        </w:rPr>
        <w:t>Litis</w:t>
      </w:r>
      <w:r w:rsidRPr="00F33246">
        <w:rPr>
          <w:rFonts w:ascii="Palatino Linotype" w:eastAsia="Palatino Linotype" w:hAnsi="Palatino Linotype" w:cs="Palatino Linotype"/>
          <w:sz w:val="24"/>
          <w:szCs w:val="24"/>
        </w:rPr>
        <w:t xml:space="preserve"> y debe ser desechada, tal y como lo establece el artículo 191, fracción VII, mismo que se transcribe a continuación:</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spacing w:after="0"/>
        <w:ind w:left="567" w:right="539"/>
        <w:jc w:val="both"/>
        <w:rPr>
          <w:rFonts w:ascii="Palatino Linotype" w:eastAsia="Palatino Linotype" w:hAnsi="Palatino Linotype" w:cs="Palatino Linotype"/>
          <w:i/>
          <w:iCs/>
          <w:sz w:val="24"/>
          <w:szCs w:val="24"/>
        </w:rPr>
      </w:pPr>
      <w:r w:rsidRPr="00F33246">
        <w:rPr>
          <w:rFonts w:ascii="Palatino Linotype" w:eastAsia="Palatino Linotype" w:hAnsi="Palatino Linotype" w:cs="Palatino Linotype"/>
          <w:b/>
          <w:bCs/>
          <w:i/>
          <w:iCs/>
          <w:sz w:val="24"/>
          <w:szCs w:val="24"/>
        </w:rPr>
        <w:t>“Artículo 191.</w:t>
      </w:r>
      <w:r w:rsidRPr="00F33246">
        <w:rPr>
          <w:rFonts w:ascii="Palatino Linotype" w:eastAsia="Palatino Linotype" w:hAnsi="Palatino Linotype" w:cs="Palatino Linotype"/>
          <w:i/>
          <w:iCs/>
          <w:sz w:val="24"/>
          <w:szCs w:val="24"/>
        </w:rPr>
        <w:t xml:space="preserve"> El recurso será desechado por improcedente cuando:</w:t>
      </w:r>
    </w:p>
    <w:p w:rsidR="001C42D0" w:rsidRPr="00F33246" w:rsidRDefault="008D1B7C">
      <w:pPr>
        <w:spacing w:after="0"/>
        <w:ind w:left="567" w:right="539"/>
        <w:jc w:val="both"/>
        <w:rPr>
          <w:rFonts w:ascii="Palatino Linotype" w:eastAsia="Palatino Linotype" w:hAnsi="Palatino Linotype" w:cs="Palatino Linotype"/>
          <w:i/>
          <w:iCs/>
          <w:sz w:val="24"/>
          <w:szCs w:val="24"/>
        </w:rPr>
      </w:pPr>
      <w:r w:rsidRPr="00F33246">
        <w:rPr>
          <w:rFonts w:ascii="Palatino Linotype" w:eastAsia="Palatino Linotype" w:hAnsi="Palatino Linotype" w:cs="Palatino Linotype"/>
          <w:i/>
          <w:iCs/>
          <w:sz w:val="24"/>
          <w:szCs w:val="24"/>
        </w:rPr>
        <w:t>…</w:t>
      </w:r>
    </w:p>
    <w:p w:rsidR="001C42D0" w:rsidRPr="00F33246" w:rsidRDefault="008D1B7C">
      <w:pPr>
        <w:spacing w:after="0"/>
        <w:ind w:left="567" w:right="539"/>
        <w:jc w:val="both"/>
        <w:rPr>
          <w:rFonts w:ascii="Palatino Linotype" w:eastAsia="Palatino Linotype" w:hAnsi="Palatino Linotype" w:cs="Palatino Linotype"/>
          <w:i/>
          <w:iCs/>
          <w:sz w:val="24"/>
          <w:szCs w:val="24"/>
        </w:rPr>
      </w:pPr>
      <w:r w:rsidRPr="00F33246">
        <w:rPr>
          <w:rFonts w:ascii="Palatino Linotype" w:eastAsia="Palatino Linotype" w:hAnsi="Palatino Linotype" w:cs="Palatino Linotype"/>
          <w:b/>
          <w:bCs/>
          <w:i/>
          <w:iCs/>
          <w:sz w:val="24"/>
          <w:szCs w:val="24"/>
        </w:rPr>
        <w:t>VII.</w:t>
      </w:r>
      <w:r w:rsidRPr="00F33246">
        <w:rPr>
          <w:rFonts w:ascii="Palatino Linotype" w:eastAsia="Palatino Linotype" w:hAnsi="Palatino Linotype" w:cs="Palatino Linotype"/>
          <w:i/>
          <w:iCs/>
          <w:sz w:val="24"/>
          <w:szCs w:val="24"/>
        </w:rPr>
        <w:t xml:space="preserve"> El recurrente amplíe su solicitud en el recurso de revisión, únicamente respecto de los nuevos contenidos”</w:t>
      </w:r>
    </w:p>
    <w:p w:rsidR="001C42D0" w:rsidRPr="00F33246" w:rsidRDefault="008D1B7C">
      <w:pPr>
        <w:spacing w:after="0"/>
        <w:ind w:left="567" w:right="539"/>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sz w:val="24"/>
          <w:szCs w:val="24"/>
        </w:rPr>
        <w:t>(Énfasis Añadido)</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right="49"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Por </w:t>
      </w:r>
      <w:r w:rsidRPr="00F33246">
        <w:rPr>
          <w:rFonts w:ascii="Palatino Linotype" w:eastAsia="Palatino Linotype" w:hAnsi="Palatino Linotype" w:cs="Palatino Linotype"/>
          <w:sz w:val="24"/>
          <w:szCs w:val="24"/>
        </w:rPr>
        <w:t xml:space="preserve">lo anterior, resulta improcedente el referido motivo de inconformidad, ya que </w:t>
      </w:r>
      <w:r w:rsidRPr="00F33246">
        <w:rPr>
          <w:rFonts w:ascii="Palatino Linotype" w:eastAsia="Palatino Linotype" w:hAnsi="Palatino Linotype" w:cs="Palatino Linotype"/>
          <w:color w:val="000000"/>
          <w:sz w:val="24"/>
          <w:szCs w:val="24"/>
        </w:rPr>
        <w:t xml:space="preserve">se aprecia que el </w:t>
      </w:r>
      <w:r w:rsidRPr="00F33246">
        <w:rPr>
          <w:rFonts w:ascii="Palatino Linotype" w:eastAsia="Palatino Linotype" w:hAnsi="Palatino Linotype" w:cs="Palatino Linotype"/>
          <w:b/>
          <w:bCs/>
          <w:color w:val="000000"/>
          <w:sz w:val="24"/>
          <w:szCs w:val="24"/>
        </w:rPr>
        <w:t>RECURRENTE</w:t>
      </w:r>
      <w:r w:rsidRPr="00F33246">
        <w:rPr>
          <w:rFonts w:ascii="Palatino Linotype" w:eastAsia="Palatino Linotype" w:hAnsi="Palatino Linotype" w:cs="Palatino Linotype"/>
          <w:color w:val="000000"/>
          <w:sz w:val="24"/>
          <w:szCs w:val="24"/>
        </w:rPr>
        <w:t xml:space="preserve"> se excedió dentro de su inconformidad respecto a lo requerido originalmente en la solicitud de información, siendo el caso que pretende </w:t>
      </w:r>
      <w:r w:rsidRPr="00F33246">
        <w:rPr>
          <w:rFonts w:ascii="Palatino Linotype" w:eastAsia="Palatino Linotype" w:hAnsi="Palatino Linotype" w:cs="Palatino Linotype"/>
          <w:color w:val="000000"/>
          <w:sz w:val="24"/>
          <w:szCs w:val="24"/>
        </w:rPr>
        <w:lastRenderedPageBreak/>
        <w:t xml:space="preserve">ampliar lo solicitado de origen, lo que hace que se surta lo que en la teoría jurídica se le denomina </w:t>
      </w:r>
      <w:r w:rsidRPr="00F33246">
        <w:rPr>
          <w:rFonts w:ascii="Palatino Linotype" w:eastAsia="Palatino Linotype" w:hAnsi="Palatino Linotype" w:cs="Palatino Linotype"/>
          <w:b/>
          <w:bCs/>
          <w:i/>
          <w:iCs/>
          <w:color w:val="000000"/>
          <w:sz w:val="24"/>
          <w:szCs w:val="24"/>
        </w:rPr>
        <w:t>Plus Petitio.</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right="49"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Sustenta lo anterior el Criterio de Interpretación 01/17 emitido por el Instituto Nacional de Transparencia, Acceso a la Información y Protección de Datos Personales que establece lo siguiente:</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spacing w:after="0"/>
        <w:ind w:left="567" w:right="539"/>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b/>
          <w:bCs/>
          <w:i/>
          <w:iCs/>
          <w:color w:val="000000"/>
          <w:sz w:val="24"/>
          <w:szCs w:val="24"/>
        </w:rPr>
        <w:t>ES IMPROCEDENTE AMPLIAR LAS SOLICITUDES DE ACCESO A INFORMACIÓN, A TRAVÉS DE LA INTERPOSICIÓN DEL RECURSO DE REVISIÓN.</w:t>
      </w:r>
      <w:r w:rsidRPr="00F33246">
        <w:rPr>
          <w:rFonts w:ascii="Palatino Linotype" w:eastAsia="Palatino Linotype" w:hAnsi="Palatino Linotype" w:cs="Palatino Linotype"/>
          <w:i/>
          <w:iCs/>
          <w:color w:val="000000"/>
          <w:sz w:val="24"/>
          <w:szCs w:val="24"/>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numPr>
          <w:ilvl w:val="0"/>
          <w:numId w:val="1"/>
        </w:numPr>
        <w:spacing w:after="0" w:line="360" w:lineRule="auto"/>
        <w:ind w:left="0" w:right="49"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Asimismo, sirve de apoyo, por analogía, la Jurisprudencia No. 29 visible a foja 19 del Apéndice al Semanario Judicial de la Federación 1917-1995, Torno VI, Materia Común, Primera Parte, Tesis de la Suprema Corte de Justicia, que contiene:</w:t>
      </w:r>
    </w:p>
    <w:p w:rsidR="001C42D0" w:rsidRPr="00F33246" w:rsidRDefault="001C42D0">
      <w:pPr>
        <w:spacing w:after="0" w:line="360" w:lineRule="auto"/>
        <w:ind w:right="49"/>
        <w:jc w:val="both"/>
        <w:rPr>
          <w:rFonts w:ascii="Palatino Linotype" w:eastAsia="Palatino Linotype" w:hAnsi="Palatino Linotype" w:cs="Palatino Linotype"/>
          <w:color w:val="000000"/>
          <w:sz w:val="24"/>
          <w:szCs w:val="24"/>
        </w:rPr>
      </w:pPr>
    </w:p>
    <w:p w:rsidR="001C42D0" w:rsidRPr="00F33246" w:rsidRDefault="008D1B7C">
      <w:pPr>
        <w:ind w:left="567" w:right="539"/>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b/>
          <w:bCs/>
          <w:i/>
          <w:iCs/>
          <w:color w:val="000000"/>
          <w:sz w:val="24"/>
          <w:szCs w:val="24"/>
        </w:rPr>
        <w:t xml:space="preserve">AGRAVIOS EN LA REVISION. DEBEN ESTAR EN RELACION DIRECTA CON LOS FUNDAMENTOS Y CONSIDERACIONES DE LA SENTENCIA. </w:t>
      </w:r>
      <w:r w:rsidRPr="00F33246">
        <w:rPr>
          <w:rFonts w:ascii="Palatino Linotype" w:eastAsia="Palatino Linotype" w:hAnsi="Palatino Linotype" w:cs="Palatino Linotype"/>
          <w:i/>
          <w:iCs/>
          <w:color w:val="000000"/>
          <w:sz w:val="24"/>
          <w:szCs w:val="24"/>
        </w:rPr>
        <w:t xml:space="preserve">“Los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w:t>
      </w:r>
      <w:r w:rsidRPr="00F33246">
        <w:rPr>
          <w:rFonts w:ascii="Palatino Linotype" w:eastAsia="Palatino Linotype" w:hAnsi="Palatino Linotype" w:cs="Palatino Linotype"/>
          <w:i/>
          <w:iCs/>
          <w:color w:val="000000"/>
          <w:sz w:val="24"/>
          <w:szCs w:val="24"/>
        </w:rPr>
        <w:lastRenderedPageBreak/>
        <w:t>en la revisión, que no constituyen su materia, toda vez que esta se limita al estudio integral del fallo que se combate, con vista de los motivos de inconformidad que plantean los recurrentes.</w:t>
      </w: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Precisado lo anterior, respecto lo solicitado y lo remitido por el </w:t>
      </w:r>
      <w:r w:rsidRPr="00F33246">
        <w:rPr>
          <w:rFonts w:ascii="Palatino Linotype" w:eastAsia="Palatino Linotype" w:hAnsi="Palatino Linotype" w:cs="Palatino Linotype"/>
          <w:b/>
          <w:bCs/>
          <w:color w:val="000000"/>
          <w:sz w:val="24"/>
          <w:szCs w:val="24"/>
        </w:rPr>
        <w:t xml:space="preserve">SUJETO OBLIGADO, </w:t>
      </w:r>
      <w:r w:rsidRPr="00F33246">
        <w:rPr>
          <w:rFonts w:ascii="Palatino Linotype" w:eastAsia="Palatino Linotype" w:hAnsi="Palatino Linotype" w:cs="Palatino Linotype"/>
          <w:color w:val="000000"/>
          <w:sz w:val="24"/>
          <w:szCs w:val="24"/>
        </w:rPr>
        <w:t>en respuesta  e informe justificado, se advierte lo siguiente:</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tbl>
      <w:tblPr>
        <w:tblStyle w:val="a"/>
        <w:tblW w:w="98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323"/>
        <w:gridCol w:w="2921"/>
        <w:gridCol w:w="1919"/>
      </w:tblGrid>
      <w:tr w:rsidR="001C42D0" w:rsidRPr="00F33246" w:rsidTr="00F33246">
        <w:trPr>
          <w:jc w:val="center"/>
        </w:trPr>
        <w:tc>
          <w:tcPr>
            <w:tcW w:w="2689" w:type="dxa"/>
            <w:shd w:val="clear" w:color="auto" w:fill="F2F2F2"/>
            <w:vAlign w:val="center"/>
          </w:tcPr>
          <w:p w:rsidR="001C42D0" w:rsidRPr="00F33246" w:rsidRDefault="008D1B7C">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Solicitud</w:t>
            </w:r>
          </w:p>
        </w:tc>
        <w:tc>
          <w:tcPr>
            <w:tcW w:w="2323" w:type="dxa"/>
            <w:shd w:val="clear" w:color="auto" w:fill="F2F2F2"/>
            <w:vAlign w:val="center"/>
          </w:tcPr>
          <w:p w:rsidR="001C42D0" w:rsidRPr="00F33246" w:rsidRDefault="008D1B7C">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Respuesta</w:t>
            </w:r>
          </w:p>
        </w:tc>
        <w:tc>
          <w:tcPr>
            <w:tcW w:w="2921" w:type="dxa"/>
            <w:shd w:val="clear" w:color="auto" w:fill="F2F2F2"/>
            <w:vAlign w:val="center"/>
          </w:tcPr>
          <w:p w:rsidR="001C42D0" w:rsidRPr="00F33246" w:rsidRDefault="008D1B7C">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Informe Justificado</w:t>
            </w:r>
          </w:p>
        </w:tc>
        <w:tc>
          <w:tcPr>
            <w:tcW w:w="1919" w:type="dxa"/>
            <w:shd w:val="clear" w:color="auto" w:fill="F2F2F2"/>
            <w:vAlign w:val="center"/>
          </w:tcPr>
          <w:p w:rsidR="001C42D0" w:rsidRPr="00F33246" w:rsidRDefault="008D1B7C">
            <w:pPr>
              <w:pBdr>
                <w:top w:val="nil"/>
                <w:left w:val="nil"/>
                <w:bottom w:val="nil"/>
                <w:right w:val="nil"/>
                <w:between w:val="nil"/>
              </w:pBdr>
              <w:tabs>
                <w:tab w:val="left" w:pos="0"/>
              </w:tabs>
              <w:spacing w:line="276" w:lineRule="auto"/>
              <w:jc w:val="center"/>
              <w:rPr>
                <w:rFonts w:ascii="Palatino Linotype" w:eastAsia="Palatino Linotype" w:hAnsi="Palatino Linotype" w:cs="Palatino Linotype"/>
                <w:b/>
                <w:bCs/>
                <w:color w:val="000000"/>
                <w:sz w:val="24"/>
                <w:szCs w:val="24"/>
              </w:rPr>
            </w:pPr>
            <w:r w:rsidRPr="00F33246">
              <w:rPr>
                <w:rFonts w:ascii="Palatino Linotype" w:eastAsia="Palatino Linotype" w:hAnsi="Palatino Linotype" w:cs="Palatino Linotype"/>
                <w:b/>
                <w:bCs/>
                <w:color w:val="000000"/>
                <w:sz w:val="24"/>
                <w:szCs w:val="24"/>
              </w:rPr>
              <w:t>¿Colma?</w:t>
            </w:r>
          </w:p>
        </w:tc>
      </w:tr>
      <w:tr w:rsidR="001C42D0" w:rsidRPr="00F33246" w:rsidTr="00F33246">
        <w:trPr>
          <w:jc w:val="center"/>
        </w:trPr>
        <w:tc>
          <w:tcPr>
            <w:tcW w:w="2689" w:type="dxa"/>
            <w:vAlign w:val="center"/>
          </w:tcPr>
          <w:p w:rsidR="001C42D0" w:rsidRPr="00F33246" w:rsidRDefault="001C42D0">
            <w:pPr>
              <w:pBdr>
                <w:top w:val="nil"/>
                <w:left w:val="nil"/>
                <w:bottom w:val="nil"/>
                <w:right w:val="nil"/>
                <w:between w:val="nil"/>
              </w:pBdr>
              <w:tabs>
                <w:tab w:val="left" w:pos="0"/>
              </w:tabs>
              <w:spacing w:line="276" w:lineRule="auto"/>
              <w:ind w:left="720"/>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Plan de desarrollo urbano municipal vigente en 2022, 2023, 2024 y 2025</w:t>
            </w:r>
          </w:p>
          <w:p w:rsidR="001C42D0" w:rsidRPr="00F33246" w:rsidRDefault="001C42D0">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p>
        </w:tc>
        <w:tc>
          <w:tcPr>
            <w:tcW w:w="2323" w:type="dxa"/>
            <w:vAlign w:val="center"/>
          </w:tcPr>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Se remitió un link, que no obstante, se advierte en formato cerrado, el </w:t>
            </w:r>
            <w:r w:rsidRPr="00F33246">
              <w:rPr>
                <w:rFonts w:ascii="Palatino Linotype" w:eastAsia="Palatino Linotype" w:hAnsi="Palatino Linotype" w:cs="Palatino Linotype"/>
                <w:b/>
                <w:bCs/>
                <w:color w:val="000000"/>
                <w:sz w:val="24"/>
                <w:szCs w:val="24"/>
              </w:rPr>
              <w:t xml:space="preserve">PARTICULAR, </w:t>
            </w:r>
            <w:r w:rsidRPr="00F33246">
              <w:rPr>
                <w:rFonts w:ascii="Palatino Linotype" w:eastAsia="Palatino Linotype" w:hAnsi="Palatino Linotype" w:cs="Palatino Linotype"/>
                <w:color w:val="000000"/>
                <w:sz w:val="24"/>
                <w:szCs w:val="24"/>
              </w:rPr>
              <w:t>a través de los motivos de inconformidad permite inferir que pudo acceder al mismo.</w:t>
            </w:r>
          </w:p>
        </w:tc>
        <w:tc>
          <w:tcPr>
            <w:tcW w:w="2921" w:type="dxa"/>
            <w:vAlign w:val="center"/>
          </w:tcPr>
          <w:p w:rsidR="001C42D0" w:rsidRPr="00F33246" w:rsidRDefault="001C42D0">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Remitió dos link de acceso en formato cerrado, e </w:t>
            </w:r>
            <w:r w:rsidRPr="00F33246">
              <w:rPr>
                <w:rFonts w:ascii="Palatino Linotype" w:eastAsia="Palatino Linotype" w:hAnsi="Palatino Linotype" w:cs="Palatino Linotype"/>
                <w:sz w:val="24"/>
                <w:szCs w:val="24"/>
              </w:rPr>
              <w:t>informar</w:t>
            </w:r>
            <w:r w:rsidRPr="00F33246">
              <w:rPr>
                <w:rFonts w:ascii="Palatino Linotype" w:eastAsia="Palatino Linotype" w:hAnsi="Palatino Linotype" w:cs="Palatino Linotype"/>
                <w:color w:val="000000"/>
                <w:sz w:val="24"/>
                <w:szCs w:val="24"/>
              </w:rPr>
              <w:t xml:space="preserve"> de manera puntual,</w:t>
            </w:r>
          </w:p>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Respecto el Plan de Desarrollo Urbano Municipal 2022, la fecha y lugar de publicación, el cual se encuentra abrogado a la fecha de la solicitud.</w:t>
            </w:r>
          </w:p>
          <w:p w:rsidR="001C42D0" w:rsidRPr="00F33246" w:rsidRDefault="001C42D0">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Respecto los planes de los años 2023, 2024 y 2025, informo que , fue publicado en la Gaceta de Gobierno No. 35, de fecha 25 de agosto de 2023, mismo que </w:t>
            </w:r>
            <w:r w:rsidRPr="00F33246">
              <w:rPr>
                <w:rFonts w:ascii="Palatino Linotype" w:eastAsia="Palatino Linotype" w:hAnsi="Palatino Linotype" w:cs="Palatino Linotype"/>
                <w:color w:val="000000"/>
                <w:sz w:val="24"/>
                <w:szCs w:val="24"/>
                <w:u w:val="single"/>
              </w:rPr>
              <w:t>se encuentra vigente al día de hoy.</w:t>
            </w:r>
            <w:r w:rsidRPr="00F33246">
              <w:rPr>
                <w:rFonts w:ascii="Palatino Linotype" w:eastAsia="Palatino Linotype" w:hAnsi="Palatino Linotype" w:cs="Palatino Linotype"/>
                <w:color w:val="000000"/>
                <w:sz w:val="24"/>
                <w:szCs w:val="24"/>
              </w:rPr>
              <w:t xml:space="preserve"> </w:t>
            </w:r>
          </w:p>
        </w:tc>
        <w:tc>
          <w:tcPr>
            <w:tcW w:w="1919" w:type="dxa"/>
            <w:vAlign w:val="center"/>
          </w:tcPr>
          <w:p w:rsidR="001C42D0" w:rsidRPr="00F33246" w:rsidRDefault="008D1B7C">
            <w:pPr>
              <w:pBdr>
                <w:top w:val="nil"/>
                <w:left w:val="nil"/>
                <w:bottom w:val="nil"/>
                <w:right w:val="nil"/>
                <w:between w:val="nil"/>
              </w:pBdr>
              <w:tabs>
                <w:tab w:val="left" w:pos="0"/>
              </w:tabs>
              <w:spacing w:line="276"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Parcialmente, por los motivos que a continuación se refieren.</w:t>
            </w:r>
          </w:p>
        </w:tc>
      </w:tr>
    </w:tbl>
    <w:p w:rsidR="001C42D0" w:rsidRPr="00F33246" w:rsidRDefault="001C42D0">
      <w:pPr>
        <w:tabs>
          <w:tab w:val="left" w:pos="0"/>
        </w:tabs>
        <w:spacing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lastRenderedPageBreak/>
        <w:t xml:space="preserve">Del estudio planteado en la tabla que antecede, este Órgano Resolutor arriba a la conclusión de no tener por colmada en su totalidad la solicitud que nos ocupa, derivado de que, en primer lugar, se remitió un link en formato cerrado, no obstante, el </w:t>
      </w:r>
      <w:r w:rsidRPr="00F33246">
        <w:rPr>
          <w:rFonts w:ascii="Palatino Linotype" w:eastAsia="Palatino Linotype" w:hAnsi="Palatino Linotype" w:cs="Palatino Linotype"/>
          <w:b/>
          <w:bCs/>
          <w:color w:val="000000"/>
          <w:sz w:val="24"/>
          <w:szCs w:val="24"/>
        </w:rPr>
        <w:t xml:space="preserve">particular, </w:t>
      </w:r>
      <w:r w:rsidRPr="00F33246">
        <w:rPr>
          <w:rFonts w:ascii="Palatino Linotype" w:eastAsia="Palatino Linotype" w:hAnsi="Palatino Linotype" w:cs="Palatino Linotype"/>
          <w:color w:val="000000"/>
          <w:sz w:val="24"/>
          <w:szCs w:val="24"/>
        </w:rPr>
        <w:t>pudo acceder al mismo, luego entonces, de dicho link, se advierte lo siguiente:</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noProof/>
          <w:color w:val="000000"/>
          <w:sz w:val="24"/>
          <w:szCs w:val="24"/>
        </w:rPr>
        <w:drawing>
          <wp:inline distT="0" distB="0" distL="0" distR="0">
            <wp:extent cx="5612130" cy="337185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3371850"/>
                    </a:xfrm>
                    <a:prstGeom prst="rect">
                      <a:avLst/>
                    </a:prstGeom>
                    <a:ln/>
                  </pic:spPr>
                </pic:pic>
              </a:graphicData>
            </a:graphic>
          </wp:inline>
        </w:drawing>
      </w:r>
      <w:r w:rsidRPr="00F33246">
        <w:rPr>
          <w:noProof/>
          <w:sz w:val="24"/>
          <w:szCs w:val="24"/>
        </w:rPr>
        <mc:AlternateContent>
          <mc:Choice Requires="wps">
            <w:drawing>
              <wp:anchor distT="0" distB="0" distL="114300" distR="114300" simplePos="0" relativeHeight="251658240" behindDoc="0" locked="0" layoutInCell="1" hidden="0" allowOverlap="1">
                <wp:simplePos x="0" y="0"/>
                <wp:positionH relativeFrom="column">
                  <wp:posOffset>1067753</wp:posOffset>
                </wp:positionH>
                <wp:positionV relativeFrom="paragraph">
                  <wp:posOffset>1810068</wp:posOffset>
                </wp:positionV>
                <wp:extent cx="1057275" cy="228600"/>
                <wp:effectExtent l="0" t="0" r="0" b="0"/>
                <wp:wrapNone/>
                <wp:docPr id="1" name="Rectángulo redondeado 1"/>
                <wp:cNvGraphicFramePr/>
                <a:graphic xmlns:a="http://schemas.openxmlformats.org/drawingml/2006/main">
                  <a:graphicData uri="http://schemas.microsoft.com/office/word/2010/wordprocessingShape">
                    <wps:wsp>
                      <wps:cNvSpPr/>
                      <wps:spPr>
                        <a:xfrm>
                          <a:off x="4831650" y="3679988"/>
                          <a:ext cx="1028700" cy="200025"/>
                        </a:xfrm>
                        <a:prstGeom prst="roundRect">
                          <a:avLst>
                            <a:gd name="adj" fmla="val 16667"/>
                          </a:avLst>
                        </a:prstGeom>
                        <a:noFill/>
                        <a:ln w="28575" cap="flat" cmpd="sng">
                          <a:solidFill>
                            <a:srgbClr val="FF0000"/>
                          </a:solidFill>
                          <a:prstDash val="solid"/>
                          <a:miter lim="800000"/>
                          <a:headEnd type="none" w="sm" len="sm"/>
                          <a:tailEnd type="none" w="sm" len="sm"/>
                        </a:ln>
                      </wps:spPr>
                      <wps:txbx>
                        <w:txbxContent>
                          <w:p w:rsidR="001C42D0" w:rsidRDefault="001C42D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1" o:spid="_x0000_s1026" style="position:absolute;left:0;text-align:left;margin-left:84.1pt;margin-top:142.55pt;width:83.2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" filled="f" strokecolor="red" strokeweight="2.25pt">
                <v:stroke startarrowwidth="narrow" startarrowlength="short" endarrowwidth="narrow" endarrowlength="short" joinstyle="miter"/>
                <v:textbox inset="2.53958mm,2.53958mm,2.53958mm,2.53958mm">
                  <w:txbxContent>
                    <w:p w:rsidR="001C42D0" w:rsidRDefault="001C42D0">
                      <w:pPr>
                        <w:spacing w:after="0" w:line="240" w:lineRule="auto"/>
                        <w:textDirection w:val="btLr"/>
                      </w:pPr>
                    </w:p>
                  </w:txbxContent>
                </v:textbox>
              </v:roundrect>
            </w:pict>
          </mc:Fallback>
        </mc:AlternateContent>
      </w:r>
    </w:p>
    <w:p w:rsidR="001C42D0"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F33246" w:rsidRPr="00F33246" w:rsidRDefault="00F33246">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Al ingresar al “</w:t>
      </w:r>
      <w:r w:rsidRPr="00F33246">
        <w:rPr>
          <w:rFonts w:ascii="Palatino Linotype" w:eastAsia="Palatino Linotype" w:hAnsi="Palatino Linotype" w:cs="Palatino Linotype"/>
          <w:i/>
          <w:iCs/>
          <w:color w:val="000000"/>
          <w:sz w:val="24"/>
          <w:szCs w:val="24"/>
        </w:rPr>
        <w:t xml:space="preserve">Plan Municipal”, </w:t>
      </w:r>
      <w:r w:rsidRPr="00F33246">
        <w:rPr>
          <w:rFonts w:ascii="Palatino Linotype" w:eastAsia="Palatino Linotype" w:hAnsi="Palatino Linotype" w:cs="Palatino Linotype"/>
          <w:color w:val="000000"/>
          <w:sz w:val="24"/>
          <w:szCs w:val="24"/>
        </w:rPr>
        <w:t xml:space="preserve">se desprende el Plan de Desarrollo Urbano de Mexicaltzingo, junio 2023 y un oficio firmado por la Presidenta Municipal por el que le solicitó a la Directora General de Planeación Urbana de la </w:t>
      </w:r>
      <w:r w:rsidRPr="00F33246">
        <w:rPr>
          <w:rFonts w:ascii="Palatino Linotype" w:eastAsia="Palatino Linotype" w:hAnsi="Palatino Linotype" w:cs="Palatino Linotype"/>
          <w:sz w:val="24"/>
          <w:szCs w:val="24"/>
        </w:rPr>
        <w:t>Secretaría</w:t>
      </w:r>
      <w:r w:rsidRPr="00F33246">
        <w:rPr>
          <w:rFonts w:ascii="Palatino Linotype" w:eastAsia="Palatino Linotype" w:hAnsi="Palatino Linotype" w:cs="Palatino Linotype"/>
          <w:color w:val="000000"/>
          <w:sz w:val="24"/>
          <w:szCs w:val="24"/>
        </w:rPr>
        <w:t xml:space="preserve"> de Desarrollo Social publique el plan en comento, en la Gaceta de Gobierno, información que a efecto de mayor ilustración, se inserta a continuación:</w:t>
      </w:r>
    </w:p>
    <w:p w:rsidR="001C42D0" w:rsidRPr="00F33246" w:rsidRDefault="008D1B7C">
      <w:pPr>
        <w:tabs>
          <w:tab w:val="left" w:pos="0"/>
        </w:tabs>
        <w:spacing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 </w:t>
      </w:r>
    </w:p>
    <w:p w:rsidR="001C42D0" w:rsidRPr="00F33246" w:rsidRDefault="008D1B7C">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lastRenderedPageBreak/>
        <w:t>Plan de desarrollo urbano municipal vigente en 2022, 2023, 2024 y 2025.</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pBdr>
          <w:top w:val="nil"/>
          <w:left w:val="nil"/>
          <w:bottom w:val="nil"/>
          <w:right w:val="nil"/>
          <w:between w:val="nil"/>
        </w:pBdr>
        <w:tabs>
          <w:tab w:val="left" w:pos="0"/>
        </w:tabs>
        <w:spacing w:after="0" w:line="360" w:lineRule="auto"/>
        <w:jc w:val="center"/>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noProof/>
          <w:color w:val="000000"/>
          <w:sz w:val="24"/>
          <w:szCs w:val="24"/>
        </w:rPr>
        <w:drawing>
          <wp:inline distT="0" distB="0" distL="0" distR="0">
            <wp:extent cx="4559576" cy="6264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559576" cy="6264000"/>
                    </a:xfrm>
                    <a:prstGeom prst="rect">
                      <a:avLst/>
                    </a:prstGeom>
                    <a:ln/>
                  </pic:spPr>
                </pic:pic>
              </a:graphicData>
            </a:graphic>
          </wp:inline>
        </w:drawing>
      </w:r>
    </w:p>
    <w:p w:rsidR="001C42D0" w:rsidRPr="00F33246" w:rsidRDefault="008D1B7C">
      <w:pPr>
        <w:pBdr>
          <w:top w:val="nil"/>
          <w:left w:val="nil"/>
          <w:bottom w:val="nil"/>
          <w:right w:val="nil"/>
          <w:between w:val="nil"/>
        </w:pBdr>
        <w:tabs>
          <w:tab w:val="left" w:pos="0"/>
        </w:tabs>
        <w:spacing w:after="0" w:line="360" w:lineRule="auto"/>
        <w:jc w:val="center"/>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noProof/>
          <w:color w:val="000000"/>
          <w:sz w:val="24"/>
          <w:szCs w:val="24"/>
        </w:rPr>
        <w:lastRenderedPageBreak/>
        <w:drawing>
          <wp:inline distT="0" distB="0" distL="0" distR="0">
            <wp:extent cx="4963218" cy="715427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963218" cy="7154273"/>
                    </a:xfrm>
                    <a:prstGeom prst="rect">
                      <a:avLst/>
                    </a:prstGeom>
                    <a:ln/>
                  </pic:spPr>
                </pic:pic>
              </a:graphicData>
            </a:graphic>
          </wp:inline>
        </w:drawing>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lastRenderedPageBreak/>
        <w:t xml:space="preserve">Posteriormente, el </w:t>
      </w:r>
      <w:r w:rsidRPr="00F33246">
        <w:rPr>
          <w:rFonts w:ascii="Palatino Linotype" w:eastAsia="Palatino Linotype" w:hAnsi="Palatino Linotype" w:cs="Palatino Linotype"/>
          <w:b/>
          <w:bCs/>
          <w:color w:val="000000"/>
          <w:sz w:val="24"/>
          <w:szCs w:val="24"/>
        </w:rPr>
        <w:t xml:space="preserve">SUJETO OBLIGADO, </w:t>
      </w:r>
      <w:r w:rsidRPr="00F33246">
        <w:rPr>
          <w:rFonts w:ascii="Palatino Linotype" w:eastAsia="Palatino Linotype" w:hAnsi="Palatino Linotype" w:cs="Palatino Linotype"/>
          <w:color w:val="000000"/>
          <w:sz w:val="24"/>
          <w:szCs w:val="24"/>
        </w:rPr>
        <w:t>a través del Informe Justificado correspondiente, informó:</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pPr>
        <w:numPr>
          <w:ilvl w:val="0"/>
          <w:numId w:val="2"/>
        </w:numPr>
        <w:pBdr>
          <w:top w:val="nil"/>
          <w:left w:val="nil"/>
          <w:bottom w:val="nil"/>
          <w:right w:val="nil"/>
          <w:between w:val="nil"/>
        </w:pBdr>
        <w:tabs>
          <w:tab w:val="left" w:pos="0"/>
        </w:tabs>
        <w:spacing w:after="0" w:line="276" w:lineRule="auto"/>
        <w:ind w:right="900"/>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color w:val="000000"/>
          <w:sz w:val="24"/>
          <w:szCs w:val="24"/>
        </w:rPr>
        <w:t xml:space="preserve">Respecto el </w:t>
      </w:r>
      <w:r w:rsidRPr="00F33246">
        <w:rPr>
          <w:rFonts w:ascii="Palatino Linotype" w:eastAsia="Palatino Linotype" w:hAnsi="Palatino Linotype" w:cs="Palatino Linotype"/>
          <w:b/>
          <w:bCs/>
          <w:color w:val="000000"/>
          <w:sz w:val="24"/>
          <w:szCs w:val="24"/>
        </w:rPr>
        <w:t xml:space="preserve">año 2022: </w:t>
      </w:r>
      <w:r w:rsidRPr="00F33246">
        <w:rPr>
          <w:rFonts w:ascii="Palatino Linotype" w:eastAsia="Palatino Linotype" w:hAnsi="Palatino Linotype" w:cs="Palatino Linotype"/>
          <w:color w:val="000000"/>
          <w:sz w:val="24"/>
          <w:szCs w:val="24"/>
        </w:rPr>
        <w:t xml:space="preserve">remitió un link en formato cerrado e </w:t>
      </w:r>
      <w:r w:rsidRPr="00F33246">
        <w:rPr>
          <w:rFonts w:ascii="Palatino Linotype" w:eastAsia="Palatino Linotype" w:hAnsi="Palatino Linotype" w:cs="Palatino Linotype"/>
          <w:sz w:val="24"/>
          <w:szCs w:val="24"/>
        </w:rPr>
        <w:t>informó</w:t>
      </w:r>
      <w:r w:rsidRPr="00F33246">
        <w:rPr>
          <w:rFonts w:ascii="Palatino Linotype" w:eastAsia="Palatino Linotype" w:hAnsi="Palatino Linotype" w:cs="Palatino Linotype"/>
          <w:color w:val="000000"/>
          <w:sz w:val="24"/>
          <w:szCs w:val="24"/>
        </w:rPr>
        <w:t xml:space="preserve"> que, “</w:t>
      </w:r>
      <w:r w:rsidRPr="00F33246">
        <w:rPr>
          <w:rFonts w:ascii="Palatino Linotype" w:eastAsia="Palatino Linotype" w:hAnsi="Palatino Linotype" w:cs="Palatino Linotype"/>
          <w:i/>
          <w:iCs/>
          <w:color w:val="000000"/>
          <w:sz w:val="24"/>
          <w:szCs w:val="24"/>
        </w:rPr>
        <w:t>En relación al Plan de Desarrollo Urbano Municipal de Mexicaltzingo que rigió durante el año 2022, fue publicado en la Gaceta de Gobierno No. 87 de fecha 30 de octubre de 2003, el cual al día de hoy se encuentra abrogado.”</w:t>
      </w:r>
    </w:p>
    <w:p w:rsidR="001C42D0" w:rsidRPr="00F33246" w:rsidRDefault="008D1B7C">
      <w:pPr>
        <w:numPr>
          <w:ilvl w:val="0"/>
          <w:numId w:val="2"/>
        </w:numPr>
        <w:pBdr>
          <w:top w:val="nil"/>
          <w:left w:val="nil"/>
          <w:bottom w:val="nil"/>
          <w:right w:val="nil"/>
          <w:between w:val="nil"/>
        </w:pBdr>
        <w:tabs>
          <w:tab w:val="left" w:pos="0"/>
        </w:tabs>
        <w:spacing w:after="0" w:line="276" w:lineRule="auto"/>
        <w:ind w:right="900"/>
        <w:jc w:val="both"/>
        <w:rPr>
          <w:rFonts w:ascii="Palatino Linotype" w:eastAsia="Palatino Linotype" w:hAnsi="Palatino Linotype" w:cs="Palatino Linotype"/>
          <w:i/>
          <w:iCs/>
          <w:color w:val="000000"/>
          <w:sz w:val="24"/>
          <w:szCs w:val="24"/>
        </w:rPr>
      </w:pPr>
      <w:r w:rsidRPr="00F33246">
        <w:rPr>
          <w:rFonts w:ascii="Palatino Linotype" w:eastAsia="Palatino Linotype" w:hAnsi="Palatino Linotype" w:cs="Palatino Linotype"/>
          <w:color w:val="000000"/>
          <w:sz w:val="24"/>
          <w:szCs w:val="24"/>
        </w:rPr>
        <w:t xml:space="preserve">Respecto los </w:t>
      </w:r>
      <w:r w:rsidRPr="00F33246">
        <w:rPr>
          <w:rFonts w:ascii="Palatino Linotype" w:eastAsia="Palatino Linotype" w:hAnsi="Palatino Linotype" w:cs="Palatino Linotype"/>
          <w:b/>
          <w:bCs/>
          <w:color w:val="000000"/>
          <w:sz w:val="24"/>
          <w:szCs w:val="24"/>
        </w:rPr>
        <w:t xml:space="preserve">años 2023, 2024 y 2025: </w:t>
      </w:r>
      <w:r w:rsidRPr="00F33246">
        <w:rPr>
          <w:rFonts w:ascii="Palatino Linotype" w:eastAsia="Palatino Linotype" w:hAnsi="Palatino Linotype" w:cs="Palatino Linotype"/>
          <w:i/>
          <w:iCs/>
          <w:color w:val="000000"/>
          <w:sz w:val="24"/>
          <w:szCs w:val="24"/>
        </w:rPr>
        <w:t xml:space="preserve">En relación al plan de desarrollo urbano que rigió en los años 2023, 2024 y 2025, fue publicado en la Gaceta de Gobierno No. 35, de fecha 25 de agosto de 2023, mismo que se encuentra </w:t>
      </w:r>
      <w:r w:rsidRPr="00F33246">
        <w:rPr>
          <w:rFonts w:ascii="Palatino Linotype" w:eastAsia="Palatino Linotype" w:hAnsi="Palatino Linotype" w:cs="Palatino Linotype"/>
          <w:i/>
          <w:iCs/>
          <w:color w:val="000000"/>
          <w:sz w:val="24"/>
          <w:szCs w:val="24"/>
          <w:u w:val="single"/>
        </w:rPr>
        <w:t>vigente al día de hoy.</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Es por lo anterior, que respecto el año 202</w:t>
      </w:r>
      <w:r w:rsidRPr="00F33246">
        <w:rPr>
          <w:rFonts w:ascii="Palatino Linotype" w:eastAsia="Palatino Linotype" w:hAnsi="Palatino Linotype" w:cs="Palatino Linotype"/>
          <w:color w:val="000000"/>
          <w:sz w:val="24"/>
          <w:szCs w:val="24"/>
          <w:highlight w:val="white"/>
        </w:rPr>
        <w:t xml:space="preserve">2, este Organismo Garante considera importante referir que de la liga electrónica proporcionada en respuesta no puede tenerse por válida, toda vez que el enlace electrónico debe ser preciso y directo, </w:t>
      </w:r>
      <w:r w:rsidRPr="00F33246">
        <w:rPr>
          <w:rFonts w:ascii="Palatino Linotype" w:eastAsia="Palatino Linotype" w:hAnsi="Palatino Linotype" w:cs="Palatino Linotype"/>
          <w:sz w:val="24"/>
          <w:szCs w:val="24"/>
          <w:highlight w:val="white"/>
        </w:rPr>
        <w:t xml:space="preserve">ya que </w:t>
      </w:r>
      <w:r w:rsidRPr="00F33246">
        <w:rPr>
          <w:rFonts w:ascii="Palatino Linotype" w:eastAsia="Palatino Linotype" w:hAnsi="Palatino Linotype" w:cs="Palatino Linotype"/>
          <w:color w:val="000000"/>
          <w:sz w:val="24"/>
          <w:szCs w:val="24"/>
          <w:highlight w:val="white"/>
        </w:rPr>
        <w:t>al remitirse en formato cerrado, pierde su característica de ser directo.</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highlight w:val="white"/>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highlight w:val="white"/>
        </w:rPr>
      </w:pPr>
      <w:r w:rsidRPr="00F33246">
        <w:rPr>
          <w:rFonts w:ascii="Palatino Linotype" w:eastAsia="Palatino Linotype" w:hAnsi="Palatino Linotype" w:cs="Palatino Linotype"/>
          <w:color w:val="000000"/>
          <w:sz w:val="24"/>
          <w:szCs w:val="24"/>
          <w:highlight w:val="white"/>
        </w:rPr>
        <w:t>En ese sentido, de conformidad a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1C42D0" w:rsidRPr="00F33246" w:rsidRDefault="001C42D0">
      <w:pPr>
        <w:rPr>
          <w:b/>
          <w:bCs/>
          <w:sz w:val="24"/>
          <w:szCs w:val="24"/>
          <w:highlight w:val="white"/>
        </w:rPr>
      </w:pPr>
    </w:p>
    <w:p w:rsidR="001C42D0" w:rsidRPr="00F33246" w:rsidRDefault="008D1B7C">
      <w:pPr>
        <w:pBdr>
          <w:top w:val="nil"/>
          <w:left w:val="nil"/>
          <w:bottom w:val="nil"/>
          <w:right w:val="nil"/>
          <w:between w:val="nil"/>
        </w:pBdr>
        <w:ind w:left="567" w:right="1276"/>
        <w:jc w:val="both"/>
        <w:rPr>
          <w:b/>
          <w:bCs/>
          <w:color w:val="000000"/>
          <w:sz w:val="24"/>
          <w:szCs w:val="24"/>
          <w:highlight w:val="white"/>
        </w:rPr>
      </w:pPr>
      <w:r w:rsidRPr="00F33246">
        <w:rPr>
          <w:rFonts w:ascii="Palatino Linotype" w:eastAsia="Palatino Linotype" w:hAnsi="Palatino Linotype" w:cs="Palatino Linotype"/>
          <w:b/>
          <w:bCs/>
          <w:i/>
          <w:iCs/>
          <w:color w:val="000000"/>
          <w:sz w:val="24"/>
          <w:szCs w:val="24"/>
          <w:highlight w:val="white"/>
        </w:rPr>
        <w:t xml:space="preserve">“Artículo 11. </w:t>
      </w:r>
      <w:r w:rsidRPr="00F33246">
        <w:rPr>
          <w:rFonts w:ascii="Palatino Linotype" w:eastAsia="Palatino Linotype" w:hAnsi="Palatino Linotype" w:cs="Palatino Linotype"/>
          <w:b/>
          <w:bCs/>
          <w:i/>
          <w:iCs/>
          <w:color w:val="000000"/>
          <w:sz w:val="24"/>
          <w:szCs w:val="24"/>
          <w:highlight w:val="white"/>
          <w:u w:val="single"/>
        </w:rPr>
        <w:t xml:space="preserve">En la generación, publicación y entrega de información se deberá garantizar que ésta sea accesible, actualizada, completa, </w:t>
      </w:r>
      <w:r w:rsidRPr="00F33246">
        <w:rPr>
          <w:rFonts w:ascii="Palatino Linotype" w:eastAsia="Palatino Linotype" w:hAnsi="Palatino Linotype" w:cs="Palatino Linotype"/>
          <w:b/>
          <w:bCs/>
          <w:i/>
          <w:iCs/>
          <w:color w:val="000000"/>
          <w:sz w:val="24"/>
          <w:szCs w:val="24"/>
          <w:highlight w:val="white"/>
          <w:u w:val="single"/>
        </w:rPr>
        <w:lastRenderedPageBreak/>
        <w:t>congruente, confiable, verificable, veraz, integral, oportuna y expedita</w:t>
      </w:r>
      <w:r w:rsidRPr="00F33246">
        <w:rPr>
          <w:rFonts w:ascii="Palatino Linotype" w:eastAsia="Palatino Linotype" w:hAnsi="Palatino Linotype" w:cs="Palatino Linotype"/>
          <w:b/>
          <w:bCs/>
          <w:i/>
          <w:iCs/>
          <w:color w:val="000000"/>
          <w:sz w:val="24"/>
          <w:szCs w:val="24"/>
          <w:highlight w:val="white"/>
        </w:rPr>
        <w:t>, sujeta a un claro régimen de excepciones que deberá estar definido y ser además legítima y estrictamente necesaria en una sociedad democrática, por lo que atenderá las necesidades del derecho de acceso a la información de toda persona.</w:t>
      </w:r>
    </w:p>
    <w:p w:rsidR="001C42D0" w:rsidRPr="00F33246" w:rsidRDefault="008D1B7C">
      <w:pPr>
        <w:pBdr>
          <w:top w:val="nil"/>
          <w:left w:val="nil"/>
          <w:bottom w:val="nil"/>
          <w:right w:val="nil"/>
          <w:between w:val="nil"/>
        </w:pBdr>
        <w:ind w:left="567" w:right="1276"/>
        <w:jc w:val="both"/>
        <w:rPr>
          <w:b/>
          <w:bCs/>
          <w:color w:val="000000"/>
          <w:sz w:val="24"/>
          <w:szCs w:val="24"/>
          <w:highlight w:val="white"/>
        </w:rPr>
      </w:pPr>
      <w:r w:rsidRPr="00F33246">
        <w:rPr>
          <w:rFonts w:ascii="Palatino Linotype" w:eastAsia="Palatino Linotype" w:hAnsi="Palatino Linotype" w:cs="Palatino Linotype"/>
          <w:b/>
          <w:bCs/>
          <w:i/>
          <w:iCs/>
          <w:color w:val="000000"/>
          <w:sz w:val="24"/>
          <w:szCs w:val="24"/>
          <w:highlight w:val="white"/>
        </w:rPr>
        <w:t>[…]</w:t>
      </w:r>
    </w:p>
    <w:p w:rsidR="001C42D0" w:rsidRPr="00F33246" w:rsidRDefault="001C42D0">
      <w:pPr>
        <w:rPr>
          <w:b/>
          <w:bCs/>
          <w:sz w:val="24"/>
          <w:szCs w:val="24"/>
          <w:highlight w:val="white"/>
        </w:rPr>
      </w:pPr>
    </w:p>
    <w:p w:rsidR="001C42D0" w:rsidRPr="00F33246" w:rsidRDefault="008D1B7C">
      <w:pPr>
        <w:pBdr>
          <w:top w:val="nil"/>
          <w:left w:val="nil"/>
          <w:bottom w:val="nil"/>
          <w:right w:val="nil"/>
          <w:between w:val="nil"/>
        </w:pBdr>
        <w:ind w:left="567" w:right="1276"/>
        <w:jc w:val="both"/>
        <w:rPr>
          <w:b/>
          <w:bCs/>
          <w:color w:val="000000"/>
          <w:sz w:val="24"/>
          <w:szCs w:val="24"/>
          <w:highlight w:val="white"/>
        </w:rPr>
      </w:pPr>
      <w:r w:rsidRPr="00F33246">
        <w:rPr>
          <w:rFonts w:ascii="Palatino Linotype" w:eastAsia="Palatino Linotype" w:hAnsi="Palatino Linotype" w:cs="Palatino Linotype"/>
          <w:b/>
          <w:bCs/>
          <w:i/>
          <w:iCs/>
          <w:color w:val="000000"/>
          <w:sz w:val="24"/>
          <w:szCs w:val="24"/>
          <w:highlight w:val="white"/>
        </w:rPr>
        <w:t xml:space="preserve">Artículo 161. </w:t>
      </w:r>
      <w:r w:rsidRPr="00F33246">
        <w:rPr>
          <w:rFonts w:ascii="Palatino Linotype" w:eastAsia="Palatino Linotype" w:hAnsi="Palatino Linotype" w:cs="Palatino Linotype"/>
          <w:b/>
          <w:bCs/>
          <w:i/>
          <w:iCs/>
          <w:color w:val="000000"/>
          <w:sz w:val="24"/>
          <w:szCs w:val="24"/>
          <w:highlight w:val="white"/>
          <w:u w:val="single"/>
        </w:rPr>
        <w:t>Cuando la información requerida por el solicitante ya esté disponible al público</w:t>
      </w:r>
      <w:r w:rsidRPr="00F33246">
        <w:rPr>
          <w:rFonts w:ascii="Palatino Linotype" w:eastAsia="Palatino Linotype" w:hAnsi="Palatino Linotype" w:cs="Palatino Linotype"/>
          <w:b/>
          <w:bCs/>
          <w:i/>
          <w:iCs/>
          <w:color w:val="000000"/>
          <w:sz w:val="24"/>
          <w:szCs w:val="24"/>
          <w:highlight w:val="white"/>
        </w:rPr>
        <w:t xml:space="preserve"> en medios impresos, tales como libros, compendios, trípticos, registros públicos, </w:t>
      </w:r>
      <w:r w:rsidRPr="00F33246">
        <w:rPr>
          <w:rFonts w:ascii="Palatino Linotype" w:eastAsia="Palatino Linotype" w:hAnsi="Palatino Linotype" w:cs="Palatino Linotype"/>
          <w:b/>
          <w:bCs/>
          <w:i/>
          <w:iCs/>
          <w:color w:val="000000"/>
          <w:sz w:val="24"/>
          <w:szCs w:val="24"/>
          <w:highlight w:val="white"/>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1C42D0" w:rsidRPr="00F33246" w:rsidRDefault="001C42D0">
      <w:pPr>
        <w:rPr>
          <w:b/>
          <w:bCs/>
          <w:sz w:val="24"/>
          <w:szCs w:val="24"/>
          <w:highlight w:val="white"/>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color w:val="000000"/>
          <w:sz w:val="24"/>
          <w:szCs w:val="24"/>
          <w:highlight w:val="white"/>
        </w:rPr>
      </w:pPr>
      <w:r w:rsidRPr="00F33246">
        <w:rPr>
          <w:rFonts w:ascii="Palatino Linotype" w:eastAsia="Palatino Linotype" w:hAnsi="Palatino Linotype" w:cs="Palatino Linotype"/>
          <w:color w:val="000000"/>
          <w:sz w:val="24"/>
          <w:szCs w:val="24"/>
          <w:highlight w:val="whit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1C42D0" w:rsidRPr="00F33246" w:rsidRDefault="001C42D0">
      <w:pPr>
        <w:rPr>
          <w:b/>
          <w:bCs/>
          <w:sz w:val="24"/>
          <w:szCs w:val="24"/>
          <w:highlight w:val="white"/>
        </w:rPr>
      </w:pPr>
    </w:p>
    <w:p w:rsidR="001C42D0" w:rsidRPr="00F33246" w:rsidRDefault="008D1B7C" w:rsidP="00F33246">
      <w:pPr>
        <w:pStyle w:val="Prrafodelista"/>
        <w:numPr>
          <w:ilvl w:val="0"/>
          <w:numId w:val="3"/>
        </w:numPr>
        <w:pBdr>
          <w:top w:val="nil"/>
          <w:left w:val="nil"/>
          <w:bottom w:val="nil"/>
          <w:right w:val="nil"/>
          <w:between w:val="nil"/>
        </w:pBdr>
        <w:spacing w:after="0" w:line="240" w:lineRule="auto"/>
        <w:ind w:left="426"/>
        <w:jc w:val="both"/>
        <w:rPr>
          <w:rFonts w:ascii="Palatino Linotype" w:eastAsia="Palatino Linotype" w:hAnsi="Palatino Linotype" w:cs="Palatino Linotype"/>
          <w:b/>
          <w:bCs/>
          <w:color w:val="000000"/>
          <w:sz w:val="24"/>
          <w:szCs w:val="24"/>
          <w:highlight w:val="white"/>
        </w:rPr>
      </w:pPr>
      <w:r w:rsidRPr="00F33246">
        <w:rPr>
          <w:rFonts w:ascii="Palatino Linotype" w:eastAsia="Palatino Linotype" w:hAnsi="Palatino Linotype" w:cs="Palatino Linotype"/>
          <w:b/>
          <w:bCs/>
          <w:color w:val="000000"/>
          <w:sz w:val="24"/>
          <w:szCs w:val="24"/>
          <w:highlight w:val="white"/>
        </w:rPr>
        <w:t>La fuente</w:t>
      </w:r>
    </w:p>
    <w:p w:rsidR="001C42D0" w:rsidRPr="00F33246" w:rsidRDefault="008D1B7C">
      <w:pPr>
        <w:numPr>
          <w:ilvl w:val="0"/>
          <w:numId w:val="3"/>
        </w:numPr>
        <w:pBdr>
          <w:top w:val="nil"/>
          <w:left w:val="nil"/>
          <w:bottom w:val="nil"/>
          <w:right w:val="nil"/>
          <w:between w:val="nil"/>
        </w:pBdr>
        <w:spacing w:after="0" w:line="240" w:lineRule="auto"/>
        <w:ind w:left="426"/>
        <w:jc w:val="both"/>
        <w:rPr>
          <w:rFonts w:ascii="Palatino Linotype" w:eastAsia="Palatino Linotype" w:hAnsi="Palatino Linotype" w:cs="Palatino Linotype"/>
          <w:b/>
          <w:bCs/>
          <w:color w:val="000000"/>
          <w:sz w:val="24"/>
          <w:szCs w:val="24"/>
          <w:highlight w:val="white"/>
        </w:rPr>
      </w:pPr>
      <w:r w:rsidRPr="00F33246">
        <w:rPr>
          <w:rFonts w:ascii="Palatino Linotype" w:eastAsia="Palatino Linotype" w:hAnsi="Palatino Linotype" w:cs="Palatino Linotype"/>
          <w:b/>
          <w:bCs/>
          <w:color w:val="000000"/>
          <w:sz w:val="24"/>
          <w:szCs w:val="24"/>
          <w:highlight w:val="white"/>
        </w:rPr>
        <w:t>El lugar y</w:t>
      </w:r>
    </w:p>
    <w:p w:rsidR="001C42D0" w:rsidRPr="00F33246" w:rsidRDefault="008D1B7C">
      <w:pPr>
        <w:numPr>
          <w:ilvl w:val="0"/>
          <w:numId w:val="3"/>
        </w:numPr>
        <w:pBdr>
          <w:top w:val="nil"/>
          <w:left w:val="nil"/>
          <w:bottom w:val="nil"/>
          <w:right w:val="nil"/>
          <w:between w:val="nil"/>
        </w:pBdr>
        <w:spacing w:after="0" w:line="240" w:lineRule="auto"/>
        <w:ind w:left="426"/>
        <w:jc w:val="both"/>
        <w:rPr>
          <w:rFonts w:ascii="Palatino Linotype" w:eastAsia="Palatino Linotype" w:hAnsi="Palatino Linotype" w:cs="Palatino Linotype"/>
          <w:b/>
          <w:bCs/>
          <w:color w:val="000000"/>
          <w:sz w:val="24"/>
          <w:szCs w:val="24"/>
          <w:highlight w:val="white"/>
        </w:rPr>
      </w:pPr>
      <w:r w:rsidRPr="00F33246">
        <w:rPr>
          <w:rFonts w:ascii="Palatino Linotype" w:eastAsia="Palatino Linotype" w:hAnsi="Palatino Linotype" w:cs="Palatino Linotype"/>
          <w:b/>
          <w:bCs/>
          <w:color w:val="000000"/>
          <w:sz w:val="24"/>
          <w:szCs w:val="24"/>
          <w:highlight w:val="white"/>
        </w:rPr>
        <w:t>La forma </w:t>
      </w:r>
    </w:p>
    <w:p w:rsidR="001C42D0" w:rsidRPr="00F33246" w:rsidRDefault="001C42D0">
      <w:pPr>
        <w:rPr>
          <w:b/>
          <w:bCs/>
          <w:sz w:val="24"/>
          <w:szCs w:val="24"/>
          <w:highlight w:val="white"/>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color w:val="000000"/>
          <w:sz w:val="24"/>
          <w:szCs w:val="24"/>
          <w:highlight w:val="white"/>
        </w:rPr>
      </w:pPr>
      <w:r w:rsidRPr="00F33246">
        <w:rPr>
          <w:rFonts w:ascii="Palatino Linotype" w:eastAsia="Palatino Linotype" w:hAnsi="Palatino Linotype" w:cs="Palatino Linotype"/>
          <w:color w:val="000000"/>
          <w:sz w:val="24"/>
          <w:szCs w:val="24"/>
          <w:highlight w:val="white"/>
        </w:rPr>
        <w:lastRenderedPageBreak/>
        <w:t>Asimismo, se establece que la fuente de la información deberá ser:</w:t>
      </w:r>
    </w:p>
    <w:p w:rsidR="00F33246" w:rsidRDefault="008D1B7C" w:rsidP="00F33246">
      <w:pPr>
        <w:pBdr>
          <w:top w:val="nil"/>
          <w:left w:val="nil"/>
          <w:bottom w:val="nil"/>
          <w:right w:val="nil"/>
          <w:between w:val="nil"/>
        </w:pBdr>
        <w:ind w:left="426"/>
        <w:rPr>
          <w:rFonts w:ascii="Palatino Linotype" w:eastAsia="Palatino Linotype" w:hAnsi="Palatino Linotype" w:cs="Palatino Linotype"/>
          <w:b/>
          <w:bCs/>
          <w:color w:val="000000"/>
          <w:sz w:val="24"/>
          <w:szCs w:val="24"/>
          <w:highlight w:val="white"/>
        </w:rPr>
      </w:pPr>
      <w:r w:rsidRPr="00F33246">
        <w:rPr>
          <w:b/>
          <w:bCs/>
          <w:color w:val="000000"/>
          <w:sz w:val="24"/>
          <w:szCs w:val="24"/>
          <w:highlight w:val="white"/>
        </w:rPr>
        <w:br/>
      </w:r>
      <w:r w:rsidR="00F33246">
        <w:rPr>
          <w:rFonts w:ascii="Palatino Linotype" w:eastAsia="Palatino Linotype" w:hAnsi="Palatino Linotype" w:cs="Palatino Linotype"/>
          <w:b/>
          <w:bCs/>
          <w:color w:val="000000"/>
          <w:sz w:val="24"/>
          <w:szCs w:val="24"/>
          <w:highlight w:val="white"/>
        </w:rPr>
        <w:t xml:space="preserve">a. </w:t>
      </w:r>
      <w:r w:rsidRPr="00F33246">
        <w:rPr>
          <w:rFonts w:ascii="Palatino Linotype" w:eastAsia="Palatino Linotype" w:hAnsi="Palatino Linotype" w:cs="Palatino Linotype"/>
          <w:b/>
          <w:bCs/>
          <w:color w:val="000000"/>
          <w:sz w:val="24"/>
          <w:szCs w:val="24"/>
          <w:highlight w:val="white"/>
        </w:rPr>
        <w:t>Precisa</w:t>
      </w:r>
    </w:p>
    <w:p w:rsidR="001C42D0" w:rsidRPr="00F33246" w:rsidRDefault="00F33246" w:rsidP="00F33246">
      <w:pPr>
        <w:pBdr>
          <w:top w:val="nil"/>
          <w:left w:val="nil"/>
          <w:bottom w:val="nil"/>
          <w:right w:val="nil"/>
          <w:between w:val="nil"/>
        </w:pBdr>
        <w:ind w:left="426"/>
        <w:rPr>
          <w:rFonts w:ascii="Palatino Linotype" w:eastAsia="Palatino Linotype" w:hAnsi="Palatino Linotype" w:cs="Palatino Linotype"/>
          <w:b/>
          <w:bCs/>
          <w:color w:val="000000"/>
          <w:sz w:val="24"/>
          <w:szCs w:val="24"/>
          <w:highlight w:val="white"/>
        </w:rPr>
      </w:pPr>
      <w:r>
        <w:rPr>
          <w:rFonts w:ascii="Palatino Linotype" w:eastAsia="Palatino Linotype" w:hAnsi="Palatino Linotype" w:cs="Palatino Linotype"/>
          <w:b/>
          <w:bCs/>
          <w:color w:val="000000"/>
          <w:sz w:val="24"/>
          <w:szCs w:val="24"/>
          <w:highlight w:val="white"/>
        </w:rPr>
        <w:t xml:space="preserve">b. </w:t>
      </w:r>
      <w:r w:rsidR="008D1B7C" w:rsidRPr="00F33246">
        <w:rPr>
          <w:rFonts w:ascii="Palatino Linotype" w:eastAsia="Palatino Linotype" w:hAnsi="Palatino Linotype" w:cs="Palatino Linotype"/>
          <w:b/>
          <w:bCs/>
          <w:color w:val="000000"/>
          <w:sz w:val="24"/>
          <w:szCs w:val="24"/>
          <w:highlight w:val="white"/>
        </w:rPr>
        <w:t>Concreta</w:t>
      </w:r>
    </w:p>
    <w:p w:rsidR="001C42D0" w:rsidRPr="00F33246" w:rsidRDefault="008D1B7C" w:rsidP="00F33246">
      <w:pPr>
        <w:pStyle w:val="Prrafodelista"/>
        <w:numPr>
          <w:ilvl w:val="0"/>
          <w:numId w:val="8"/>
        </w:numPr>
        <w:pBdr>
          <w:top w:val="nil"/>
          <w:left w:val="nil"/>
          <w:bottom w:val="nil"/>
          <w:right w:val="nil"/>
          <w:between w:val="nil"/>
        </w:pBdr>
        <w:spacing w:after="0" w:line="240" w:lineRule="auto"/>
        <w:ind w:right="1276" w:hanging="294"/>
        <w:jc w:val="both"/>
        <w:rPr>
          <w:rFonts w:ascii="Palatino Linotype" w:eastAsia="Palatino Linotype" w:hAnsi="Palatino Linotype" w:cs="Palatino Linotype"/>
          <w:b/>
          <w:bCs/>
          <w:color w:val="000000"/>
          <w:sz w:val="24"/>
          <w:szCs w:val="24"/>
          <w:highlight w:val="white"/>
        </w:rPr>
      </w:pPr>
      <w:r w:rsidRPr="00F33246">
        <w:rPr>
          <w:rFonts w:ascii="Palatino Linotype" w:eastAsia="Palatino Linotype" w:hAnsi="Palatino Linotype" w:cs="Palatino Linotype"/>
          <w:b/>
          <w:bCs/>
          <w:color w:val="000000"/>
          <w:sz w:val="24"/>
          <w:szCs w:val="24"/>
          <w:highlight w:val="white"/>
        </w:rPr>
        <w:t>Y no debe implicar que el solicitante realice una búsqueda en toda la información que se encuentre disponible.</w:t>
      </w:r>
    </w:p>
    <w:p w:rsidR="001C42D0" w:rsidRPr="00F33246" w:rsidRDefault="001C42D0">
      <w:pPr>
        <w:rPr>
          <w:b/>
          <w:bCs/>
          <w:sz w:val="24"/>
          <w:szCs w:val="24"/>
          <w:highlight w:val="white"/>
        </w:rPr>
      </w:pPr>
    </w:p>
    <w:p w:rsidR="001C42D0" w:rsidRPr="00F33246" w:rsidRDefault="008D1B7C" w:rsidP="00F33246">
      <w:pPr>
        <w:pStyle w:val="Prrafodelista"/>
        <w:numPr>
          <w:ilvl w:val="0"/>
          <w:numId w:val="1"/>
        </w:numPr>
        <w:pBdr>
          <w:top w:val="nil"/>
          <w:left w:val="nil"/>
          <w:bottom w:val="nil"/>
          <w:right w:val="nil"/>
          <w:between w:val="nil"/>
        </w:pBdr>
        <w:tabs>
          <w:tab w:val="left" w:pos="0"/>
        </w:tabs>
        <w:spacing w:after="0" w:line="360" w:lineRule="auto"/>
        <w:ind w:left="0" w:firstLine="0"/>
        <w:jc w:val="both"/>
        <w:rPr>
          <w:color w:val="000000"/>
          <w:sz w:val="24"/>
          <w:szCs w:val="24"/>
          <w:highlight w:val="white"/>
        </w:rPr>
      </w:pPr>
      <w:r w:rsidRPr="00F33246">
        <w:rPr>
          <w:rFonts w:ascii="Palatino Linotype" w:eastAsia="Palatino Linotype" w:hAnsi="Palatino Linotype" w:cs="Palatino Linotype"/>
          <w:color w:val="000000"/>
          <w:sz w:val="24"/>
          <w:szCs w:val="24"/>
          <w:highlight w:val="white"/>
        </w:rPr>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que conduce a la página oficial del Ayuntamiento de Tecámac, sin que señalara puntualmente donde se encuentra la información de la  Presidenta Municipal, lo que implica que  la fuente no es precisa;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rsidR="001C42D0" w:rsidRPr="00F33246" w:rsidRDefault="001C42D0">
      <w:pPr>
        <w:spacing w:line="360" w:lineRule="auto"/>
        <w:rPr>
          <w:b/>
          <w:bCs/>
          <w:sz w:val="24"/>
          <w:szCs w:val="24"/>
          <w:highlight w:val="white"/>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color w:val="000000"/>
          <w:sz w:val="24"/>
          <w:szCs w:val="24"/>
          <w:highlight w:val="white"/>
        </w:rPr>
      </w:pPr>
      <w:r w:rsidRPr="00F33246">
        <w:rPr>
          <w:rFonts w:ascii="Palatino Linotype" w:eastAsia="Palatino Linotype" w:hAnsi="Palatino Linotype" w:cs="Palatino Linotype"/>
          <w:color w:val="000000"/>
          <w:sz w:val="24"/>
          <w:szCs w:val="24"/>
          <w:highlight w:val="white"/>
        </w:rPr>
        <w:t>Es por lo anterior que este Organismo Garante exhorta de manera respetuosa al Sujeto Obligado para que en futuras ocasiones que pretenda emplear ligas electrónicas para atender las solicitudes de información, se asegure de que dichos enlaces sean accesibles para los solicitantes, esto es, que puedan copiarse y pegarse con facilidad para su consulta y que remitan a la fuente concreta donde obra la información.</w:t>
      </w:r>
    </w:p>
    <w:p w:rsidR="001C42D0" w:rsidRPr="00F33246" w:rsidRDefault="001C42D0">
      <w:pPr>
        <w:pBdr>
          <w:top w:val="nil"/>
          <w:left w:val="nil"/>
          <w:bottom w:val="nil"/>
          <w:right w:val="nil"/>
          <w:between w:val="nil"/>
        </w:pBdr>
        <w:spacing w:after="0" w:line="240" w:lineRule="auto"/>
        <w:ind w:left="720"/>
        <w:rPr>
          <w:b/>
          <w:bCs/>
          <w:color w:val="000000"/>
          <w:sz w:val="24"/>
          <w:szCs w:val="24"/>
          <w:highlight w:val="white"/>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lastRenderedPageBreak/>
        <w:t xml:space="preserve">Por lo que hace a la información de los años 2023 al 2025, en etapa de manifestaciones, </w:t>
      </w:r>
      <w:r w:rsidRPr="00F33246">
        <w:rPr>
          <w:rFonts w:ascii="Palatino Linotype" w:eastAsia="Palatino Linotype" w:hAnsi="Palatino Linotype" w:cs="Palatino Linotype"/>
          <w:sz w:val="24"/>
          <w:szCs w:val="24"/>
        </w:rPr>
        <w:t>informó</w:t>
      </w:r>
      <w:r w:rsidRPr="00F33246">
        <w:rPr>
          <w:rFonts w:ascii="Palatino Linotype" w:eastAsia="Palatino Linotype" w:hAnsi="Palatino Linotype" w:cs="Palatino Linotype"/>
          <w:color w:val="000000"/>
          <w:sz w:val="24"/>
          <w:szCs w:val="24"/>
        </w:rPr>
        <w:t xml:space="preserve"> que el </w:t>
      </w:r>
      <w:r w:rsidRPr="00F33246">
        <w:rPr>
          <w:rFonts w:ascii="Palatino Linotype" w:eastAsia="Palatino Linotype" w:hAnsi="Palatino Linotype" w:cs="Palatino Linotype"/>
          <w:sz w:val="24"/>
          <w:szCs w:val="24"/>
        </w:rPr>
        <w:t>P</w:t>
      </w:r>
      <w:r w:rsidRPr="00F33246">
        <w:rPr>
          <w:rFonts w:ascii="Palatino Linotype" w:eastAsia="Palatino Linotype" w:hAnsi="Palatino Linotype" w:cs="Palatino Linotype"/>
          <w:color w:val="000000"/>
          <w:sz w:val="24"/>
          <w:szCs w:val="24"/>
        </w:rPr>
        <w:t xml:space="preserve">lan que se remitió en respuesta es el vigente a la fecha de la solicitud, por lo que se considera que se tiene por colmado el rubro en comento, ya que en respuesta se remitió el link al que pudo acceder el particular, se volvió a remitir el mismo link en formato cerrado, sin embargo, se tiene por colmado el rubro en comento, en virtud de que, el ahora </w:t>
      </w:r>
      <w:r w:rsidRPr="00F33246">
        <w:rPr>
          <w:rFonts w:ascii="Palatino Linotype" w:eastAsia="Palatino Linotype" w:hAnsi="Palatino Linotype" w:cs="Palatino Linotype"/>
          <w:b/>
          <w:bCs/>
          <w:color w:val="000000"/>
          <w:sz w:val="24"/>
          <w:szCs w:val="24"/>
        </w:rPr>
        <w:t>RECURRENTE,</w:t>
      </w:r>
      <w:r w:rsidRPr="00F33246">
        <w:rPr>
          <w:rFonts w:ascii="Palatino Linotype" w:eastAsia="Palatino Linotype" w:hAnsi="Palatino Linotype" w:cs="Palatino Linotype"/>
          <w:color w:val="000000"/>
          <w:sz w:val="24"/>
          <w:szCs w:val="24"/>
        </w:rPr>
        <w:t xml:space="preserve"> en respuesta si tuvo acceso al mismo.</w:t>
      </w:r>
    </w:p>
    <w:p w:rsidR="001C42D0" w:rsidRPr="00F33246" w:rsidRDefault="001C42D0">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sz w:val="24"/>
          <w:szCs w:val="24"/>
        </w:rPr>
      </w:pPr>
    </w:p>
    <w:p w:rsidR="001C42D0" w:rsidRPr="00F33246" w:rsidRDefault="008D1B7C" w:rsidP="00F33246">
      <w:pPr>
        <w:numPr>
          <w:ilvl w:val="0"/>
          <w:numId w:val="1"/>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En consecuencia de lo anterior resulta dable ordenar la búsqueda exhaustiva y razonable a efecto de que se haga entrega del Plan de Desarrollo Urbano Municipal vigente en el años dos mil veintidós, resultando parcialmente procedentes las razones o motivos de inconformidad hechos valer por </w:t>
      </w:r>
      <w:r w:rsidRPr="00F33246">
        <w:rPr>
          <w:rFonts w:ascii="Palatino Linotype" w:eastAsia="Palatino Linotype" w:hAnsi="Palatino Linotype" w:cs="Palatino Linotype"/>
          <w:b/>
          <w:bCs/>
          <w:color w:val="000000"/>
          <w:sz w:val="24"/>
          <w:szCs w:val="24"/>
        </w:rPr>
        <w:t xml:space="preserve">EL RECURRENTE, </w:t>
      </w:r>
      <w:r w:rsidRPr="00F33246">
        <w:rPr>
          <w:rFonts w:ascii="Palatino Linotype" w:eastAsia="Palatino Linotype" w:hAnsi="Palatino Linotype" w:cs="Palatino Linotype"/>
          <w:color w:val="000000"/>
          <w:sz w:val="24"/>
          <w:szCs w:val="24"/>
        </w:rPr>
        <w:t xml:space="preserve">por lo que, </w:t>
      </w:r>
      <w:r w:rsidRPr="00F33246">
        <w:rPr>
          <w:rFonts w:ascii="Palatino Linotype" w:eastAsia="Palatino Linotype" w:hAnsi="Palatino Linotype" w:cs="Palatino Linotype"/>
          <w:b/>
          <w:bCs/>
          <w:color w:val="000000"/>
          <w:sz w:val="24"/>
          <w:szCs w:val="24"/>
        </w:rPr>
        <w:t>MODIFICA</w:t>
      </w:r>
      <w:r w:rsidRPr="00F33246">
        <w:rPr>
          <w:rFonts w:ascii="Palatino Linotype" w:eastAsia="Palatino Linotype" w:hAnsi="Palatino Linotype" w:cs="Palatino Linotype"/>
          <w:color w:val="000000"/>
          <w:sz w:val="24"/>
          <w:szCs w:val="24"/>
        </w:rPr>
        <w:t xml:space="preserve"> la respuesta a la solicitud de acceso </w:t>
      </w:r>
      <w:r w:rsidRPr="00F33246">
        <w:rPr>
          <w:rFonts w:ascii="Palatino Linotype" w:eastAsia="Palatino Linotype" w:hAnsi="Palatino Linotype" w:cs="Palatino Linotype"/>
          <w:b/>
          <w:bCs/>
          <w:color w:val="000000"/>
          <w:sz w:val="24"/>
          <w:szCs w:val="24"/>
        </w:rPr>
        <w:t xml:space="preserve">00510/MEXICAL/IP/2025, </w:t>
      </w:r>
      <w:r w:rsidRPr="00F33246">
        <w:rPr>
          <w:rFonts w:ascii="Palatino Linotype" w:eastAsia="Palatino Linotype" w:hAnsi="Palatino Linotype" w:cs="Palatino Linotype"/>
          <w:color w:val="000000"/>
          <w:sz w:val="24"/>
          <w:szCs w:val="24"/>
        </w:rPr>
        <w:t xml:space="preserve">que </w:t>
      </w:r>
      <w:r w:rsidRPr="00F33246">
        <w:rPr>
          <w:rFonts w:ascii="Palatino Linotype" w:eastAsia="Palatino Linotype" w:hAnsi="Palatino Linotype" w:cs="Palatino Linotype"/>
          <w:sz w:val="24"/>
          <w:szCs w:val="24"/>
        </w:rPr>
        <w:t>originó</w:t>
      </w:r>
      <w:r w:rsidRPr="00F33246">
        <w:rPr>
          <w:rFonts w:ascii="Palatino Linotype" w:eastAsia="Palatino Linotype" w:hAnsi="Palatino Linotype" w:cs="Palatino Linotype"/>
          <w:color w:val="000000"/>
          <w:sz w:val="24"/>
          <w:szCs w:val="24"/>
        </w:rPr>
        <w:t xml:space="preserve"> el Recurso de Revisión </w:t>
      </w:r>
      <w:r w:rsidR="009B5790" w:rsidRPr="00F33246">
        <w:rPr>
          <w:rFonts w:ascii="Palatino Linotype" w:eastAsia="Palatino Linotype" w:hAnsi="Palatino Linotype" w:cs="Palatino Linotype"/>
          <w:b/>
          <w:bCs/>
          <w:color w:val="000000"/>
          <w:sz w:val="24"/>
          <w:szCs w:val="24"/>
        </w:rPr>
        <w:t> </w:t>
      </w:r>
      <w:r w:rsidRPr="00F33246">
        <w:rPr>
          <w:rFonts w:ascii="Palatino Linotype" w:eastAsia="Palatino Linotype" w:hAnsi="Palatino Linotype" w:cs="Palatino Linotype"/>
          <w:b/>
          <w:bCs/>
          <w:color w:val="000000"/>
          <w:sz w:val="24"/>
          <w:szCs w:val="24"/>
        </w:rPr>
        <w:t>1673/INFOEM/IP/RR/2026</w:t>
      </w:r>
      <w:r w:rsidRPr="00F33246">
        <w:rPr>
          <w:rFonts w:ascii="Palatino Linotype" w:eastAsia="Palatino Linotype" w:hAnsi="Palatino Linotype" w:cs="Palatino Linotype"/>
          <w:color w:val="000000"/>
          <w:sz w:val="24"/>
          <w:szCs w:val="24"/>
        </w:rPr>
        <w:t>.</w:t>
      </w:r>
    </w:p>
    <w:p w:rsidR="001C42D0" w:rsidRPr="00F33246" w:rsidRDefault="001C42D0">
      <w:pPr>
        <w:spacing w:after="0" w:line="360" w:lineRule="auto"/>
        <w:jc w:val="both"/>
        <w:rPr>
          <w:rFonts w:ascii="Palatino Linotype" w:eastAsia="Palatino Linotype" w:hAnsi="Palatino Linotype" w:cs="Palatino Linotype"/>
          <w:color w:val="000000"/>
          <w:sz w:val="24"/>
          <w:szCs w:val="24"/>
        </w:rPr>
      </w:pPr>
    </w:p>
    <w:p w:rsidR="001C42D0" w:rsidRDefault="008D1B7C" w:rsidP="00F33246">
      <w:pPr>
        <w:numPr>
          <w:ilvl w:val="0"/>
          <w:numId w:val="1"/>
        </w:numPr>
        <w:spacing w:after="0" w:line="360" w:lineRule="auto"/>
        <w:ind w:left="0" w:firstLine="0"/>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color w:val="000000"/>
          <w:sz w:val="24"/>
          <w:szCs w:val="24"/>
        </w:rPr>
        <w:t xml:space="preserve">Así, con fundamento en lo previsto en los artículos 5, </w:t>
      </w:r>
      <w:r w:rsidRPr="00F33246">
        <w:rPr>
          <w:rFonts w:ascii="Palatino Linotype" w:eastAsia="Palatino Linotype" w:hAnsi="Palatino Linotype" w:cs="Palatino Linotype"/>
          <w:sz w:val="24"/>
          <w:szCs w:val="24"/>
        </w:rPr>
        <w:t>párrafo trigésimo segundo, trigésimo tercero y trigésimo cuarto</w:t>
      </w:r>
      <w:r w:rsidRPr="00F33246">
        <w:rPr>
          <w:rFonts w:ascii="Palatino Linotype" w:eastAsia="Palatino Linotype" w:hAnsi="Palatino Linotype" w:cs="Palatino Linotype"/>
          <w:color w:val="000000"/>
          <w:sz w:val="24"/>
          <w:szCs w:val="24"/>
        </w:rPr>
        <w:t xml:space="preserve">,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r w:rsidR="00F33246">
        <w:rPr>
          <w:rFonts w:ascii="Palatino Linotype" w:eastAsia="Palatino Linotype" w:hAnsi="Palatino Linotype" w:cs="Palatino Linotype"/>
          <w:color w:val="000000"/>
          <w:sz w:val="24"/>
          <w:szCs w:val="24"/>
        </w:rPr>
        <w:t>-------------------------------------------------------------</w:t>
      </w:r>
    </w:p>
    <w:p w:rsidR="00F33246" w:rsidRDefault="00F33246" w:rsidP="00F33246">
      <w:pPr>
        <w:pStyle w:val="Prrafodelista"/>
        <w:rPr>
          <w:rFonts w:ascii="Palatino Linotype" w:eastAsia="Palatino Linotype" w:hAnsi="Palatino Linotype" w:cs="Palatino Linotype"/>
          <w:color w:val="000000"/>
          <w:sz w:val="24"/>
          <w:szCs w:val="24"/>
        </w:rPr>
      </w:pPr>
    </w:p>
    <w:p w:rsidR="00F33246" w:rsidRDefault="00F33246" w:rsidP="00F33246">
      <w:pPr>
        <w:spacing w:after="0" w:line="360" w:lineRule="auto"/>
        <w:jc w:val="both"/>
        <w:rPr>
          <w:rFonts w:ascii="Palatino Linotype" w:eastAsia="Palatino Linotype" w:hAnsi="Palatino Linotype" w:cs="Palatino Linotype"/>
          <w:color w:val="000000"/>
          <w:sz w:val="24"/>
          <w:szCs w:val="24"/>
        </w:rPr>
      </w:pPr>
    </w:p>
    <w:p w:rsidR="00F33246" w:rsidRDefault="00F33246" w:rsidP="00F33246">
      <w:pPr>
        <w:spacing w:after="0" w:line="360" w:lineRule="auto"/>
        <w:jc w:val="both"/>
        <w:rPr>
          <w:rFonts w:ascii="Palatino Linotype" w:eastAsia="Palatino Linotype" w:hAnsi="Palatino Linotype" w:cs="Palatino Linotype"/>
          <w:color w:val="000000"/>
          <w:sz w:val="24"/>
          <w:szCs w:val="24"/>
        </w:rPr>
      </w:pPr>
    </w:p>
    <w:p w:rsidR="00F33246" w:rsidRPr="00F33246" w:rsidRDefault="00F33246" w:rsidP="00F33246">
      <w:pPr>
        <w:spacing w:after="0" w:line="360" w:lineRule="auto"/>
        <w:jc w:val="both"/>
        <w:rPr>
          <w:rFonts w:ascii="Palatino Linotype" w:eastAsia="Palatino Linotype" w:hAnsi="Palatino Linotype" w:cs="Palatino Linotype"/>
          <w:color w:val="000000"/>
          <w:sz w:val="24"/>
          <w:szCs w:val="24"/>
        </w:rPr>
      </w:pPr>
    </w:p>
    <w:p w:rsidR="00F33246" w:rsidRDefault="00F33246">
      <w:pPr>
        <w:pBdr>
          <w:top w:val="nil"/>
          <w:left w:val="nil"/>
          <w:bottom w:val="nil"/>
          <w:right w:val="nil"/>
          <w:between w:val="nil"/>
        </w:pBdr>
        <w:spacing w:line="360" w:lineRule="auto"/>
        <w:jc w:val="center"/>
        <w:rPr>
          <w:rFonts w:ascii="Palatino Linotype" w:eastAsia="Palatino Linotype" w:hAnsi="Palatino Linotype" w:cs="Palatino Linotype"/>
          <w:b/>
          <w:bCs/>
          <w:sz w:val="24"/>
          <w:szCs w:val="24"/>
        </w:rPr>
      </w:pPr>
    </w:p>
    <w:p w:rsidR="001C42D0" w:rsidRPr="00F33246" w:rsidRDefault="008D1B7C">
      <w:pPr>
        <w:pBdr>
          <w:top w:val="nil"/>
          <w:left w:val="nil"/>
          <w:bottom w:val="nil"/>
          <w:right w:val="nil"/>
          <w:between w:val="nil"/>
        </w:pBdr>
        <w:spacing w:line="360" w:lineRule="auto"/>
        <w:jc w:val="center"/>
        <w:rPr>
          <w:rFonts w:ascii="Palatino Linotype" w:eastAsia="Palatino Linotype" w:hAnsi="Palatino Linotype" w:cs="Palatino Linotype"/>
          <w:b/>
          <w:bCs/>
          <w:sz w:val="24"/>
          <w:szCs w:val="24"/>
        </w:rPr>
      </w:pPr>
      <w:r w:rsidRPr="00F33246">
        <w:rPr>
          <w:rFonts w:ascii="Palatino Linotype" w:eastAsia="Palatino Linotype" w:hAnsi="Palatino Linotype" w:cs="Palatino Linotype"/>
          <w:b/>
          <w:bCs/>
          <w:sz w:val="24"/>
          <w:szCs w:val="24"/>
        </w:rPr>
        <w:lastRenderedPageBreak/>
        <w:t>R</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E</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S</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U</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E</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L</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V</w:t>
      </w:r>
      <w:r w:rsid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b/>
          <w:bCs/>
          <w:sz w:val="24"/>
          <w:szCs w:val="24"/>
        </w:rPr>
        <w:t>E</w:t>
      </w:r>
    </w:p>
    <w:p w:rsidR="001C42D0" w:rsidRPr="00F33246" w:rsidRDefault="001C42D0">
      <w:pPr>
        <w:pBdr>
          <w:top w:val="nil"/>
          <w:left w:val="nil"/>
          <w:bottom w:val="nil"/>
          <w:right w:val="nil"/>
          <w:between w:val="nil"/>
        </w:pBdr>
        <w:spacing w:line="360" w:lineRule="auto"/>
        <w:jc w:val="center"/>
        <w:rPr>
          <w:rFonts w:ascii="Palatino Linotype" w:eastAsia="Palatino Linotype" w:hAnsi="Palatino Linotype" w:cs="Palatino Linotype"/>
          <w:b/>
          <w:bCs/>
          <w:sz w:val="24"/>
          <w:szCs w:val="24"/>
        </w:rPr>
      </w:pPr>
    </w:p>
    <w:p w:rsidR="001C42D0" w:rsidRPr="00F33246" w:rsidRDefault="008D1B7C">
      <w:pPr>
        <w:spacing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b/>
          <w:bCs/>
          <w:color w:val="000000"/>
          <w:sz w:val="24"/>
          <w:szCs w:val="24"/>
        </w:rPr>
        <w:t>PRIMERO</w:t>
      </w:r>
      <w:r w:rsidRPr="00F33246">
        <w:rPr>
          <w:rFonts w:ascii="Palatino Linotype" w:eastAsia="Palatino Linotype" w:hAnsi="Palatino Linotype" w:cs="Palatino Linotype"/>
          <w:color w:val="000000"/>
          <w:sz w:val="24"/>
          <w:szCs w:val="24"/>
        </w:rPr>
        <w:t xml:space="preserve">. Resultan </w:t>
      </w:r>
      <w:r w:rsidRPr="00F33246">
        <w:rPr>
          <w:rFonts w:ascii="Palatino Linotype" w:eastAsia="Palatino Linotype" w:hAnsi="Palatino Linotype" w:cs="Palatino Linotype"/>
          <w:b/>
          <w:bCs/>
          <w:color w:val="000000"/>
          <w:sz w:val="24"/>
          <w:szCs w:val="24"/>
        </w:rPr>
        <w:t>fundadas</w:t>
      </w:r>
      <w:r w:rsidRPr="00F33246">
        <w:rPr>
          <w:rFonts w:ascii="Palatino Linotype" w:eastAsia="Palatino Linotype" w:hAnsi="Palatino Linotype" w:cs="Palatino Linotype"/>
          <w:color w:val="000000"/>
          <w:sz w:val="24"/>
          <w:szCs w:val="24"/>
        </w:rPr>
        <w:t xml:space="preserve"> las razones o motivos de inconformidad planteadas por </w:t>
      </w:r>
      <w:r w:rsidRPr="00F33246">
        <w:rPr>
          <w:rFonts w:ascii="Palatino Linotype" w:eastAsia="Palatino Linotype" w:hAnsi="Palatino Linotype" w:cs="Palatino Linotype"/>
          <w:b/>
          <w:bCs/>
          <w:color w:val="000000"/>
          <w:sz w:val="24"/>
          <w:szCs w:val="24"/>
        </w:rPr>
        <w:t>EL RECURRENTE</w:t>
      </w:r>
      <w:r w:rsidRPr="00F33246">
        <w:rPr>
          <w:rFonts w:ascii="Palatino Linotype" w:eastAsia="Palatino Linotype" w:hAnsi="Palatino Linotype" w:cs="Palatino Linotype"/>
          <w:color w:val="000000"/>
          <w:sz w:val="24"/>
          <w:szCs w:val="24"/>
        </w:rPr>
        <w:t xml:space="preserve">, en términos del Considerando </w:t>
      </w:r>
      <w:r w:rsidRPr="00F33246">
        <w:rPr>
          <w:rFonts w:ascii="Palatino Linotype" w:eastAsia="Palatino Linotype" w:hAnsi="Palatino Linotype" w:cs="Palatino Linotype"/>
          <w:b/>
          <w:bCs/>
          <w:color w:val="000000"/>
          <w:sz w:val="24"/>
          <w:szCs w:val="24"/>
        </w:rPr>
        <w:t>CUARTO</w:t>
      </w:r>
      <w:r w:rsidRPr="00F33246">
        <w:rPr>
          <w:rFonts w:ascii="Palatino Linotype" w:eastAsia="Palatino Linotype" w:hAnsi="Palatino Linotype" w:cs="Palatino Linotype"/>
          <w:color w:val="000000"/>
          <w:sz w:val="24"/>
          <w:szCs w:val="24"/>
        </w:rPr>
        <w:t xml:space="preserve"> de la presente resolución.</w:t>
      </w:r>
    </w:p>
    <w:p w:rsidR="009B5790" w:rsidRPr="00F33246" w:rsidRDefault="009B5790">
      <w:pPr>
        <w:spacing w:line="360" w:lineRule="auto"/>
        <w:jc w:val="both"/>
        <w:rPr>
          <w:rFonts w:ascii="Palatino Linotype" w:eastAsia="Palatino Linotype" w:hAnsi="Palatino Linotype" w:cs="Palatino Linotype"/>
          <w:color w:val="000000"/>
          <w:sz w:val="24"/>
          <w:szCs w:val="24"/>
        </w:rPr>
      </w:pPr>
    </w:p>
    <w:p w:rsidR="001C42D0" w:rsidRPr="00F33246" w:rsidRDefault="008D1B7C">
      <w:pPr>
        <w:spacing w:line="360" w:lineRule="auto"/>
        <w:jc w:val="both"/>
        <w:rPr>
          <w:rFonts w:ascii="Palatino Linotype" w:eastAsia="Palatino Linotype" w:hAnsi="Palatino Linotype" w:cs="Palatino Linotype"/>
          <w:color w:val="000000"/>
          <w:sz w:val="24"/>
          <w:szCs w:val="24"/>
        </w:rPr>
      </w:pPr>
      <w:r w:rsidRPr="00F33246">
        <w:rPr>
          <w:rFonts w:ascii="Palatino Linotype" w:eastAsia="Palatino Linotype" w:hAnsi="Palatino Linotype" w:cs="Palatino Linotype"/>
          <w:b/>
          <w:bCs/>
          <w:color w:val="000000"/>
          <w:sz w:val="24"/>
          <w:szCs w:val="24"/>
        </w:rPr>
        <w:t>SEGUNDO</w:t>
      </w:r>
      <w:r w:rsidRPr="00F33246">
        <w:rPr>
          <w:rFonts w:ascii="Palatino Linotype" w:eastAsia="Palatino Linotype" w:hAnsi="Palatino Linotype" w:cs="Palatino Linotype"/>
          <w:color w:val="000000"/>
          <w:sz w:val="24"/>
          <w:szCs w:val="24"/>
        </w:rPr>
        <w:t xml:space="preserve">. Se </w:t>
      </w:r>
      <w:r w:rsidRPr="00F33246">
        <w:rPr>
          <w:rFonts w:ascii="Palatino Linotype" w:eastAsia="Palatino Linotype" w:hAnsi="Palatino Linotype" w:cs="Palatino Linotype"/>
          <w:b/>
          <w:bCs/>
          <w:color w:val="000000"/>
          <w:sz w:val="24"/>
          <w:szCs w:val="24"/>
        </w:rPr>
        <w:t xml:space="preserve">MODIFICA </w:t>
      </w:r>
      <w:r w:rsidRPr="00F33246">
        <w:rPr>
          <w:rFonts w:ascii="Palatino Linotype" w:eastAsia="Palatino Linotype" w:hAnsi="Palatino Linotype" w:cs="Palatino Linotype"/>
          <w:color w:val="000000"/>
          <w:sz w:val="24"/>
          <w:szCs w:val="24"/>
        </w:rPr>
        <w:t xml:space="preserve">la respuesta proporcionada por </w:t>
      </w:r>
      <w:r w:rsidRPr="00F33246">
        <w:rPr>
          <w:rFonts w:ascii="Palatino Linotype" w:eastAsia="Palatino Linotype" w:hAnsi="Palatino Linotype" w:cs="Palatino Linotype"/>
          <w:b/>
          <w:bCs/>
          <w:color w:val="000000"/>
          <w:sz w:val="24"/>
          <w:szCs w:val="24"/>
        </w:rPr>
        <w:t>EL SUJETO OBLIGADO</w:t>
      </w:r>
      <w:r w:rsidRPr="00F33246">
        <w:rPr>
          <w:rFonts w:ascii="Palatino Linotype" w:eastAsia="Palatino Linotype" w:hAnsi="Palatino Linotype" w:cs="Palatino Linotype"/>
          <w:color w:val="000000"/>
          <w:sz w:val="24"/>
          <w:szCs w:val="24"/>
        </w:rPr>
        <w:t xml:space="preserve"> a la solicitud de información </w:t>
      </w:r>
      <w:r w:rsidRPr="00F33246">
        <w:rPr>
          <w:rFonts w:ascii="Palatino Linotype" w:eastAsia="Palatino Linotype" w:hAnsi="Palatino Linotype" w:cs="Palatino Linotype"/>
          <w:b/>
          <w:bCs/>
          <w:color w:val="000000"/>
          <w:sz w:val="24"/>
          <w:szCs w:val="24"/>
        </w:rPr>
        <w:t>00510/MEXICAL/IP/2025</w:t>
      </w:r>
      <w:r w:rsidRPr="00F33246">
        <w:rPr>
          <w:rFonts w:ascii="Palatino Linotype" w:eastAsia="Palatino Linotype" w:hAnsi="Palatino Linotype" w:cs="Palatino Linotype"/>
          <w:b/>
          <w:bCs/>
          <w:sz w:val="24"/>
          <w:szCs w:val="24"/>
        </w:rPr>
        <w:t xml:space="preserve">, </w:t>
      </w:r>
      <w:r w:rsidRPr="00F33246">
        <w:rPr>
          <w:rFonts w:ascii="Palatino Linotype" w:eastAsia="Palatino Linotype" w:hAnsi="Palatino Linotype" w:cs="Palatino Linotype"/>
          <w:color w:val="000000"/>
          <w:sz w:val="24"/>
          <w:szCs w:val="24"/>
        </w:rPr>
        <w:t>en términos del considerando</w:t>
      </w:r>
      <w:r w:rsidRPr="00F33246">
        <w:rPr>
          <w:rFonts w:ascii="Palatino Linotype" w:eastAsia="Palatino Linotype" w:hAnsi="Palatino Linotype" w:cs="Palatino Linotype"/>
          <w:b/>
          <w:bCs/>
          <w:color w:val="000000"/>
          <w:sz w:val="24"/>
          <w:szCs w:val="24"/>
        </w:rPr>
        <w:t xml:space="preserve"> CUARTO </w:t>
      </w:r>
      <w:r w:rsidRPr="00F33246">
        <w:rPr>
          <w:rFonts w:ascii="Palatino Linotype" w:eastAsia="Palatino Linotype" w:hAnsi="Palatino Linotype" w:cs="Palatino Linotype"/>
          <w:color w:val="000000"/>
          <w:sz w:val="24"/>
          <w:szCs w:val="24"/>
        </w:rPr>
        <w:t xml:space="preserve">de la presente resolución y se </w:t>
      </w:r>
      <w:r w:rsidRPr="00F33246">
        <w:rPr>
          <w:rFonts w:ascii="Palatino Linotype" w:eastAsia="Palatino Linotype" w:hAnsi="Palatino Linotype" w:cs="Palatino Linotype"/>
          <w:b/>
          <w:bCs/>
          <w:color w:val="000000"/>
          <w:sz w:val="24"/>
          <w:szCs w:val="24"/>
        </w:rPr>
        <w:t>ORDENA</w:t>
      </w:r>
      <w:r w:rsidRPr="00F33246">
        <w:rPr>
          <w:rFonts w:ascii="Palatino Linotype" w:eastAsia="Palatino Linotype" w:hAnsi="Palatino Linotype" w:cs="Palatino Linotype"/>
          <w:color w:val="000000"/>
          <w:sz w:val="24"/>
          <w:szCs w:val="24"/>
        </w:rPr>
        <w:t xml:space="preserve"> entregue al</w:t>
      </w:r>
      <w:r w:rsidRPr="00F33246">
        <w:rPr>
          <w:rFonts w:ascii="Palatino Linotype" w:eastAsia="Palatino Linotype" w:hAnsi="Palatino Linotype" w:cs="Palatino Linotype"/>
          <w:b/>
          <w:bCs/>
          <w:color w:val="000000"/>
          <w:sz w:val="24"/>
          <w:szCs w:val="24"/>
        </w:rPr>
        <w:t xml:space="preserve"> RECURRENTE, </w:t>
      </w:r>
      <w:r w:rsidRPr="00F33246">
        <w:rPr>
          <w:rFonts w:ascii="Palatino Linotype" w:eastAsia="Palatino Linotype" w:hAnsi="Palatino Linotype" w:cs="Palatino Linotype"/>
          <w:color w:val="000000"/>
          <w:sz w:val="24"/>
          <w:szCs w:val="24"/>
        </w:rPr>
        <w:t xml:space="preserve">a través del Sistema de Acceso a la Información Mexiquense </w:t>
      </w:r>
      <w:r w:rsidRPr="00F33246">
        <w:rPr>
          <w:rFonts w:ascii="Palatino Linotype" w:eastAsia="Palatino Linotype" w:hAnsi="Palatino Linotype" w:cs="Palatino Linotype"/>
          <w:b/>
          <w:bCs/>
          <w:color w:val="000000"/>
          <w:sz w:val="24"/>
          <w:szCs w:val="24"/>
        </w:rPr>
        <w:t>(SAIMEX)</w:t>
      </w:r>
      <w:r w:rsidRPr="00F33246">
        <w:rPr>
          <w:rFonts w:ascii="Palatino Linotype" w:eastAsia="Palatino Linotype" w:hAnsi="Palatino Linotype" w:cs="Palatino Linotype"/>
          <w:color w:val="000000"/>
          <w:sz w:val="24"/>
          <w:szCs w:val="24"/>
        </w:rPr>
        <w:t xml:space="preserve">, lo siguiente: </w:t>
      </w:r>
    </w:p>
    <w:p w:rsidR="001C42D0" w:rsidRPr="00F33246" w:rsidRDefault="008D1B7C" w:rsidP="009B5790">
      <w:pPr>
        <w:widowControl w:val="0"/>
        <w:numPr>
          <w:ilvl w:val="0"/>
          <w:numId w:val="5"/>
        </w:numPr>
        <w:pBdr>
          <w:top w:val="nil"/>
          <w:left w:val="nil"/>
          <w:bottom w:val="nil"/>
          <w:right w:val="nil"/>
          <w:between w:val="nil"/>
        </w:pBdr>
        <w:tabs>
          <w:tab w:val="left" w:pos="4962"/>
        </w:tabs>
        <w:spacing w:after="0" w:line="276" w:lineRule="auto"/>
        <w:ind w:right="1325"/>
        <w:jc w:val="both"/>
        <w:rPr>
          <w:rFonts w:ascii="Palatino Linotype" w:eastAsia="Palatino Linotype" w:hAnsi="Palatino Linotype" w:cs="Palatino Linotype"/>
          <w:b/>
          <w:bCs/>
          <w:color w:val="000000"/>
          <w:sz w:val="24"/>
          <w:szCs w:val="24"/>
        </w:rPr>
      </w:pPr>
      <w:bookmarkStart w:id="9" w:name="_heading=h.pm6i3nfvc75w" w:colFirst="0" w:colLast="0"/>
      <w:bookmarkEnd w:id="9"/>
      <w:r w:rsidRPr="00F33246">
        <w:rPr>
          <w:rFonts w:ascii="Palatino Linotype" w:eastAsia="Palatino Linotype" w:hAnsi="Palatino Linotype" w:cs="Palatino Linotype"/>
          <w:b/>
          <w:bCs/>
          <w:color w:val="000000"/>
          <w:sz w:val="24"/>
          <w:szCs w:val="24"/>
        </w:rPr>
        <w:t xml:space="preserve">El Plan de Desarrollo Urbano Municipal vigente en el </w:t>
      </w:r>
      <w:r w:rsidRPr="00F33246">
        <w:rPr>
          <w:rFonts w:ascii="Palatino Linotype" w:eastAsia="Palatino Linotype" w:hAnsi="Palatino Linotype" w:cs="Palatino Linotype"/>
          <w:b/>
          <w:bCs/>
          <w:sz w:val="24"/>
          <w:szCs w:val="24"/>
        </w:rPr>
        <w:t>año</w:t>
      </w:r>
      <w:r w:rsidRPr="00F33246">
        <w:rPr>
          <w:rFonts w:ascii="Palatino Linotype" w:eastAsia="Palatino Linotype" w:hAnsi="Palatino Linotype" w:cs="Palatino Linotype"/>
          <w:b/>
          <w:bCs/>
          <w:color w:val="000000"/>
          <w:sz w:val="24"/>
          <w:szCs w:val="24"/>
        </w:rPr>
        <w:t xml:space="preserve"> dos mil veintidós.</w:t>
      </w:r>
    </w:p>
    <w:p w:rsidR="009B5790" w:rsidRPr="00F33246" w:rsidRDefault="009B5790">
      <w:pPr>
        <w:spacing w:line="276" w:lineRule="auto"/>
        <w:ind w:right="899"/>
        <w:jc w:val="both"/>
        <w:rPr>
          <w:rFonts w:ascii="Palatino Linotype" w:eastAsia="Palatino Linotype" w:hAnsi="Palatino Linotype" w:cs="Palatino Linotype"/>
          <w:i/>
          <w:iCs/>
          <w:sz w:val="24"/>
          <w:szCs w:val="24"/>
        </w:rPr>
      </w:pPr>
    </w:p>
    <w:p w:rsidR="001C42D0" w:rsidRPr="00F33246" w:rsidRDefault="008D1B7C">
      <w:pPr>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b/>
          <w:bCs/>
          <w:sz w:val="24"/>
          <w:szCs w:val="24"/>
        </w:rPr>
        <w:t>TERCERO</w:t>
      </w:r>
      <w:r w:rsidRPr="00F33246">
        <w:rPr>
          <w:rFonts w:ascii="Palatino Linotype" w:eastAsia="Palatino Linotype" w:hAnsi="Palatino Linotype" w:cs="Palatino Linotype"/>
          <w:sz w:val="24"/>
          <w:szCs w:val="24"/>
        </w:rPr>
        <w:t xml:space="preserve">. NOTIFÍQUESE la presente resolución al Titular de la Unidad de Transparencia del Sujeto Obligado </w:t>
      </w:r>
      <w:r w:rsidRPr="00F33246">
        <w:rPr>
          <w:rFonts w:ascii="Palatino Linotype" w:eastAsia="Palatino Linotype" w:hAnsi="Palatino Linotype" w:cs="Palatino Linotype"/>
          <w:b/>
          <w:bCs/>
          <w:sz w:val="24"/>
          <w:szCs w:val="24"/>
        </w:rPr>
        <w:t>vía SAIMEX</w:t>
      </w:r>
      <w:r w:rsidRPr="00F33246">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C42D0" w:rsidRPr="00F33246" w:rsidRDefault="008D1B7C">
      <w:pPr>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b/>
          <w:bCs/>
          <w:sz w:val="24"/>
          <w:szCs w:val="24"/>
        </w:rPr>
        <w:lastRenderedPageBreak/>
        <w:t xml:space="preserve">CUARTO. </w:t>
      </w:r>
      <w:r w:rsidRPr="00F33246">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F33246">
        <w:rPr>
          <w:rFonts w:ascii="Palatino Linotype" w:eastAsia="Palatino Linotype" w:hAnsi="Palatino Linotype" w:cs="Palatino Linotype"/>
          <w:b/>
          <w:bCs/>
          <w:sz w:val="24"/>
          <w:szCs w:val="24"/>
        </w:rPr>
        <w:t>SUJETO OBLIGADO</w:t>
      </w:r>
      <w:r w:rsidRPr="00F33246">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8D1B7C" w:rsidP="009B5790">
      <w:pPr>
        <w:spacing w:line="240" w:lineRule="auto"/>
        <w:jc w:val="both"/>
        <w:rPr>
          <w:rFonts w:ascii="Palatino Linotype" w:eastAsia="Palatino Linotype" w:hAnsi="Palatino Linotype" w:cs="Palatino Linotype"/>
          <w:b/>
          <w:bCs/>
          <w:sz w:val="24"/>
          <w:szCs w:val="24"/>
        </w:rPr>
      </w:pPr>
      <w:bookmarkStart w:id="10" w:name="_heading=h.lnxbz9" w:colFirst="0" w:colLast="0"/>
      <w:bookmarkEnd w:id="10"/>
      <w:r w:rsidRPr="00F33246">
        <w:rPr>
          <w:rFonts w:ascii="Palatino Linotype" w:eastAsia="Palatino Linotype" w:hAnsi="Palatino Linotype" w:cs="Palatino Linotype"/>
          <w:b/>
          <w:bCs/>
          <w:sz w:val="24"/>
          <w:szCs w:val="24"/>
        </w:rPr>
        <w:t xml:space="preserve">QUINTO. </w:t>
      </w:r>
      <w:r w:rsidRPr="00F33246">
        <w:rPr>
          <w:rFonts w:ascii="Palatino Linotype" w:eastAsia="Palatino Linotype" w:hAnsi="Palatino Linotype" w:cs="Palatino Linotype"/>
          <w:sz w:val="24"/>
          <w:szCs w:val="24"/>
        </w:rPr>
        <w:t xml:space="preserve">Notifíquese a </w:t>
      </w:r>
      <w:r w:rsidRPr="00F33246">
        <w:rPr>
          <w:rFonts w:ascii="Palatino Linotype" w:eastAsia="Palatino Linotype" w:hAnsi="Palatino Linotype" w:cs="Palatino Linotype"/>
          <w:b/>
          <w:bCs/>
          <w:sz w:val="24"/>
          <w:szCs w:val="24"/>
        </w:rPr>
        <w:t>EL RECURRENTE</w:t>
      </w:r>
      <w:r w:rsidRPr="00F33246">
        <w:rPr>
          <w:rFonts w:ascii="Palatino Linotype" w:eastAsia="Palatino Linotype" w:hAnsi="Palatino Linotype" w:cs="Palatino Linotype"/>
          <w:sz w:val="24"/>
          <w:szCs w:val="24"/>
        </w:rPr>
        <w:t xml:space="preserve"> la presente resolución, </w:t>
      </w:r>
      <w:r w:rsidRPr="00F33246">
        <w:rPr>
          <w:rFonts w:ascii="Palatino Linotype" w:eastAsia="Palatino Linotype" w:hAnsi="Palatino Linotype" w:cs="Palatino Linotype"/>
          <w:b/>
          <w:bCs/>
          <w:sz w:val="24"/>
          <w:szCs w:val="24"/>
        </w:rPr>
        <w:t>vía SAIMEX.</w:t>
      </w:r>
    </w:p>
    <w:p w:rsidR="009B5790" w:rsidRPr="00F33246" w:rsidRDefault="009B5790" w:rsidP="009B5790">
      <w:pPr>
        <w:spacing w:line="240" w:lineRule="auto"/>
        <w:jc w:val="both"/>
        <w:rPr>
          <w:rFonts w:ascii="Palatino Linotype" w:eastAsia="Palatino Linotype" w:hAnsi="Palatino Linotype" w:cs="Palatino Linotype"/>
          <w:b/>
          <w:bCs/>
          <w:sz w:val="24"/>
          <w:szCs w:val="24"/>
        </w:rPr>
      </w:pPr>
    </w:p>
    <w:p w:rsidR="009B5790" w:rsidRPr="00F33246" w:rsidRDefault="009B5790" w:rsidP="009B5790">
      <w:pPr>
        <w:shd w:val="clear" w:color="auto" w:fill="FFFFFF"/>
        <w:spacing w:line="360" w:lineRule="auto"/>
        <w:jc w:val="both"/>
        <w:rPr>
          <w:rFonts w:ascii="Palatino Linotype" w:eastAsia="Palatino Linotype" w:hAnsi="Palatino Linotype" w:cs="Palatino Linotype"/>
          <w:sz w:val="24"/>
          <w:szCs w:val="24"/>
        </w:rPr>
      </w:pPr>
      <w:r w:rsidRPr="00F33246">
        <w:rPr>
          <w:rFonts w:ascii="Palatino Linotype" w:eastAsia="Palatino Linotype" w:hAnsi="Palatino Linotype" w:cs="Palatino Linotype"/>
          <w:b/>
          <w:bCs/>
          <w:sz w:val="24"/>
          <w:szCs w:val="24"/>
        </w:rPr>
        <w:t>SEXTO.</w:t>
      </w:r>
      <w:r w:rsidRPr="00F33246">
        <w:rPr>
          <w:rFonts w:ascii="Palatino Linotype" w:eastAsia="Palatino Linotype" w:hAnsi="Palatino Linotype" w:cs="Palatino Linotype"/>
          <w:sz w:val="24"/>
          <w:szCs w:val="24"/>
        </w:rPr>
        <w:t xml:space="preserve"> Se hace del conocimiento de </w:t>
      </w:r>
      <w:r w:rsidRPr="00F33246">
        <w:rPr>
          <w:rFonts w:ascii="Palatino Linotype" w:eastAsia="Palatino Linotype" w:hAnsi="Palatino Linotype" w:cs="Palatino Linotype"/>
          <w:b/>
          <w:bCs/>
          <w:sz w:val="24"/>
          <w:szCs w:val="24"/>
        </w:rPr>
        <w:t>EL RECURRENTE</w:t>
      </w:r>
      <w:r w:rsidRPr="00F33246">
        <w:rPr>
          <w:rFonts w:ascii="Palatino Linotype" w:eastAsia="Palatino Linotype" w:hAnsi="Palatino Linotype" w:cs="Palatino Linotype"/>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1C42D0" w:rsidRPr="00F33246" w:rsidRDefault="001C42D0">
      <w:pPr>
        <w:shd w:val="clear" w:color="auto" w:fill="FFFFFF"/>
        <w:spacing w:after="0" w:line="360" w:lineRule="auto"/>
        <w:jc w:val="both"/>
        <w:rPr>
          <w:rFonts w:ascii="Palatino Linotype" w:eastAsia="Palatino Linotype" w:hAnsi="Palatino Linotype" w:cs="Palatino Linotype"/>
          <w:sz w:val="24"/>
          <w:szCs w:val="24"/>
        </w:rPr>
      </w:pPr>
    </w:p>
    <w:p w:rsidR="009B5790" w:rsidRPr="00F33246" w:rsidRDefault="009B5790" w:rsidP="009B5790">
      <w:pPr>
        <w:spacing w:before="240" w:after="240" w:line="360" w:lineRule="auto"/>
        <w:ind w:firstLine="1"/>
        <w:jc w:val="both"/>
        <w:rPr>
          <w:rFonts w:ascii="Palatino Linotype" w:hAnsi="Palatino Linotype"/>
          <w:sz w:val="24"/>
          <w:szCs w:val="24"/>
        </w:rPr>
      </w:pPr>
      <w:bookmarkStart w:id="11" w:name="_heading=h.35nkun2" w:colFirst="0" w:colLast="0"/>
      <w:bookmarkStart w:id="12" w:name="_Hlk99014733"/>
      <w:bookmarkEnd w:id="11"/>
      <w:r w:rsidRPr="00F33246">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F33246">
        <w:rPr>
          <w:rFonts w:ascii="Palatino Linotype" w:hAnsi="Palatino Linotype" w:cs="Palatino Linotype"/>
          <w:color w:val="000000" w:themeColor="text1"/>
          <w:sz w:val="24"/>
          <w:szCs w:val="24"/>
        </w:rPr>
        <w:t>ALEXIS TAPIA RAMÍREZ.</w:t>
      </w:r>
    </w:p>
    <w:bookmarkEnd w:id="12"/>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jc w:val="both"/>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1C42D0">
      <w:pPr>
        <w:spacing w:line="360" w:lineRule="auto"/>
        <w:rPr>
          <w:rFonts w:ascii="Palatino Linotype" w:eastAsia="Palatino Linotype" w:hAnsi="Palatino Linotype" w:cs="Palatino Linotype"/>
          <w:sz w:val="24"/>
          <w:szCs w:val="24"/>
        </w:rPr>
      </w:pPr>
    </w:p>
    <w:p w:rsidR="001C42D0" w:rsidRPr="00F33246" w:rsidRDefault="008D1B7C">
      <w:pPr>
        <w:tabs>
          <w:tab w:val="left" w:pos="3374"/>
        </w:tabs>
        <w:spacing w:line="360" w:lineRule="auto"/>
        <w:rPr>
          <w:rFonts w:ascii="Palatino Linotype" w:eastAsia="Palatino Linotype" w:hAnsi="Palatino Linotype" w:cs="Palatino Linotype"/>
          <w:sz w:val="24"/>
          <w:szCs w:val="24"/>
        </w:rPr>
      </w:pPr>
      <w:r w:rsidRPr="00F33246">
        <w:rPr>
          <w:rFonts w:ascii="Palatino Linotype" w:eastAsia="Palatino Linotype" w:hAnsi="Palatino Linotype" w:cs="Palatino Linotype"/>
          <w:sz w:val="24"/>
          <w:szCs w:val="24"/>
        </w:rPr>
        <w:tab/>
      </w:r>
    </w:p>
    <w:p w:rsidR="001C42D0" w:rsidRPr="00F33246" w:rsidRDefault="001C42D0">
      <w:pPr>
        <w:tabs>
          <w:tab w:val="left" w:pos="3374"/>
        </w:tabs>
        <w:spacing w:line="360" w:lineRule="auto"/>
        <w:rPr>
          <w:rFonts w:ascii="Palatino Linotype" w:eastAsia="Palatino Linotype" w:hAnsi="Palatino Linotype" w:cs="Palatino Linotype"/>
          <w:sz w:val="24"/>
          <w:szCs w:val="24"/>
        </w:rPr>
      </w:pPr>
    </w:p>
    <w:p w:rsidR="001C42D0" w:rsidRPr="00F33246" w:rsidRDefault="001C42D0">
      <w:pPr>
        <w:tabs>
          <w:tab w:val="left" w:pos="3374"/>
        </w:tabs>
        <w:spacing w:line="360" w:lineRule="auto"/>
        <w:rPr>
          <w:rFonts w:ascii="Palatino Linotype" w:eastAsia="Palatino Linotype" w:hAnsi="Palatino Linotype" w:cs="Palatino Linotype"/>
          <w:sz w:val="24"/>
          <w:szCs w:val="24"/>
        </w:rPr>
      </w:pPr>
    </w:p>
    <w:sectPr w:rsidR="001C42D0" w:rsidRPr="00F33246" w:rsidSect="00F33246">
      <w:headerReference w:type="even" r:id="rId15"/>
      <w:headerReference w:type="default" r:id="rId16"/>
      <w:footerReference w:type="default" r:id="rId17"/>
      <w:headerReference w:type="first" r:id="rId18"/>
      <w:footerReference w:type="first" r:id="rId19"/>
      <w:pgSz w:w="12240" w:h="15840"/>
      <w:pgMar w:top="2268" w:right="104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BE8" w:rsidRDefault="00F27BE8">
      <w:pPr>
        <w:spacing w:after="0" w:line="240" w:lineRule="auto"/>
      </w:pPr>
      <w:r>
        <w:separator/>
      </w:r>
    </w:p>
  </w:endnote>
  <w:endnote w:type="continuationSeparator" w:id="0">
    <w:p w:rsidR="00F27BE8" w:rsidRDefault="00F27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353CD3DC-08B8-4E70-8A73-71297D64D86C}"/>
    <w:embedBold r:id="rId2" w:fontKey="{BE038633-4FF9-4EEE-ACA1-EABD021F1D48}"/>
    <w:embedItalic r:id="rId3" w:fontKey="{3984534C-EFE9-413E-853D-E390CD5F01DC}"/>
    <w:embedBoldItalic r:id="rId4" w:fontKey="{3922D6D9-2F97-44E1-8B90-48EF65C2B580}"/>
  </w:font>
  <w:font w:name="Noto Sans Symbols">
    <w:altName w:val="Times New Roman"/>
    <w:charset w:val="00"/>
    <w:family w:val="auto"/>
    <w:pitch w:val="default"/>
    <w:embedRegular r:id="rId5" w:fontKey="{C9C88681-4F61-43EE-92C2-CB13334326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0CA19552-E6D5-4056-B268-D0A092F7BA64}"/>
    <w:embedBold r:id="rId7" w:fontKey="{D3FFC8CD-4F78-48E3-B13A-6D8CC3106A9B}"/>
  </w:font>
  <w:font w:name="Georgia">
    <w:panose1 w:val="02040502050405020303"/>
    <w:charset w:val="00"/>
    <w:family w:val="roman"/>
    <w:pitch w:val="variable"/>
    <w:sig w:usb0="00000287" w:usb1="00000000" w:usb2="00000000" w:usb3="00000000" w:csb0="0000009F" w:csb1="00000000"/>
    <w:embedItalic r:id="rId8" w:fontKey="{C18FCEB4-0D51-402B-B47B-384D99BA414D}"/>
  </w:font>
  <w:font w:name="Cambria">
    <w:panose1 w:val="02040503050406030204"/>
    <w:charset w:val="00"/>
    <w:family w:val="roman"/>
    <w:pitch w:val="variable"/>
    <w:sig w:usb0="E00006FF" w:usb1="420024FF" w:usb2="02000000" w:usb3="00000000" w:csb0="0000019F" w:csb1="00000000"/>
    <w:embedRegular r:id="rId9" w:fontKey="{11D56994-04DB-47F3-8B82-C46BF093F7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D0" w:rsidRPr="00F33246" w:rsidRDefault="008D1B7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F33246">
      <w:rPr>
        <w:rFonts w:ascii="Palatino Linotype" w:eastAsia="Palatino Linotype" w:hAnsi="Palatino Linotype" w:cs="Palatino Linotype"/>
        <w:color w:val="000000"/>
        <w:szCs w:val="20"/>
      </w:rPr>
      <w:t xml:space="preserve">Página </w:t>
    </w:r>
    <w:r w:rsidRPr="00F33246">
      <w:rPr>
        <w:rFonts w:ascii="Palatino Linotype" w:eastAsia="Palatino Linotype" w:hAnsi="Palatino Linotype" w:cs="Palatino Linotype"/>
        <w:color w:val="000000"/>
        <w:szCs w:val="20"/>
      </w:rPr>
      <w:fldChar w:fldCharType="begin"/>
    </w:r>
    <w:r w:rsidRPr="00F33246">
      <w:rPr>
        <w:rFonts w:ascii="Palatino Linotype" w:eastAsia="Palatino Linotype" w:hAnsi="Palatino Linotype" w:cs="Palatino Linotype"/>
        <w:color w:val="000000"/>
        <w:szCs w:val="20"/>
      </w:rPr>
      <w:instrText>PAGE</w:instrText>
    </w:r>
    <w:r w:rsidRPr="00F33246">
      <w:rPr>
        <w:rFonts w:ascii="Palatino Linotype" w:eastAsia="Palatino Linotype" w:hAnsi="Palatino Linotype" w:cs="Palatino Linotype"/>
        <w:color w:val="000000"/>
        <w:szCs w:val="20"/>
      </w:rPr>
      <w:fldChar w:fldCharType="separate"/>
    </w:r>
    <w:r w:rsidR="00AF648A">
      <w:rPr>
        <w:rFonts w:ascii="Palatino Linotype" w:eastAsia="Palatino Linotype" w:hAnsi="Palatino Linotype" w:cs="Palatino Linotype"/>
        <w:noProof/>
        <w:color w:val="000000"/>
        <w:szCs w:val="20"/>
      </w:rPr>
      <w:t>2</w:t>
    </w:r>
    <w:r w:rsidRPr="00F33246">
      <w:rPr>
        <w:rFonts w:ascii="Palatino Linotype" w:eastAsia="Palatino Linotype" w:hAnsi="Palatino Linotype" w:cs="Palatino Linotype"/>
        <w:color w:val="000000"/>
        <w:szCs w:val="20"/>
      </w:rPr>
      <w:fldChar w:fldCharType="end"/>
    </w:r>
    <w:r w:rsidRPr="00F33246">
      <w:rPr>
        <w:rFonts w:ascii="Palatino Linotype" w:eastAsia="Palatino Linotype" w:hAnsi="Palatino Linotype" w:cs="Palatino Linotype"/>
        <w:color w:val="000000"/>
        <w:szCs w:val="20"/>
      </w:rPr>
      <w:t xml:space="preserve"> de </w:t>
    </w:r>
    <w:r w:rsidRPr="00F33246">
      <w:rPr>
        <w:rFonts w:ascii="Palatino Linotype" w:eastAsia="Palatino Linotype" w:hAnsi="Palatino Linotype" w:cs="Palatino Linotype"/>
        <w:color w:val="000000"/>
        <w:szCs w:val="20"/>
      </w:rPr>
      <w:fldChar w:fldCharType="begin"/>
    </w:r>
    <w:r w:rsidRPr="00F33246">
      <w:rPr>
        <w:rFonts w:ascii="Palatino Linotype" w:eastAsia="Palatino Linotype" w:hAnsi="Palatino Linotype" w:cs="Palatino Linotype"/>
        <w:color w:val="000000"/>
        <w:szCs w:val="20"/>
      </w:rPr>
      <w:instrText>NUMPAGES</w:instrText>
    </w:r>
    <w:r w:rsidRPr="00F33246">
      <w:rPr>
        <w:rFonts w:ascii="Palatino Linotype" w:eastAsia="Palatino Linotype" w:hAnsi="Palatino Linotype" w:cs="Palatino Linotype"/>
        <w:color w:val="000000"/>
        <w:szCs w:val="20"/>
      </w:rPr>
      <w:fldChar w:fldCharType="separate"/>
    </w:r>
    <w:r w:rsidR="00AF648A">
      <w:rPr>
        <w:rFonts w:ascii="Palatino Linotype" w:eastAsia="Palatino Linotype" w:hAnsi="Palatino Linotype" w:cs="Palatino Linotype"/>
        <w:noProof/>
        <w:color w:val="000000"/>
        <w:szCs w:val="20"/>
      </w:rPr>
      <w:t>21</w:t>
    </w:r>
    <w:r w:rsidRPr="00F33246">
      <w:rPr>
        <w:rFonts w:ascii="Palatino Linotype" w:eastAsia="Palatino Linotype" w:hAnsi="Palatino Linotype" w:cs="Palatino Linotype"/>
        <w:color w:val="000000"/>
        <w:szCs w:val="20"/>
      </w:rPr>
      <w:fldChar w:fldCharType="end"/>
    </w:r>
  </w:p>
  <w:p w:rsidR="001C42D0" w:rsidRDefault="001C42D0">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D0" w:rsidRPr="00F33246" w:rsidRDefault="008D1B7C">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F33246">
      <w:rPr>
        <w:rFonts w:ascii="Palatino Linotype" w:eastAsia="Palatino Linotype" w:hAnsi="Palatino Linotype" w:cs="Palatino Linotype"/>
        <w:color w:val="000000"/>
        <w:szCs w:val="20"/>
      </w:rPr>
      <w:t xml:space="preserve">Página </w:t>
    </w:r>
    <w:r w:rsidRPr="00F33246">
      <w:rPr>
        <w:rFonts w:ascii="Palatino Linotype" w:eastAsia="Palatino Linotype" w:hAnsi="Palatino Linotype" w:cs="Palatino Linotype"/>
        <w:color w:val="000000"/>
        <w:szCs w:val="20"/>
      </w:rPr>
      <w:fldChar w:fldCharType="begin"/>
    </w:r>
    <w:r w:rsidRPr="00F33246">
      <w:rPr>
        <w:rFonts w:ascii="Palatino Linotype" w:eastAsia="Palatino Linotype" w:hAnsi="Palatino Linotype" w:cs="Palatino Linotype"/>
        <w:color w:val="000000"/>
        <w:szCs w:val="20"/>
      </w:rPr>
      <w:instrText>PAGE</w:instrText>
    </w:r>
    <w:r w:rsidRPr="00F33246">
      <w:rPr>
        <w:rFonts w:ascii="Palatino Linotype" w:eastAsia="Palatino Linotype" w:hAnsi="Palatino Linotype" w:cs="Palatino Linotype"/>
        <w:color w:val="000000"/>
        <w:szCs w:val="20"/>
      </w:rPr>
      <w:fldChar w:fldCharType="separate"/>
    </w:r>
    <w:r w:rsidR="00AF648A">
      <w:rPr>
        <w:rFonts w:ascii="Palatino Linotype" w:eastAsia="Palatino Linotype" w:hAnsi="Palatino Linotype" w:cs="Palatino Linotype"/>
        <w:noProof/>
        <w:color w:val="000000"/>
        <w:szCs w:val="20"/>
      </w:rPr>
      <w:t>1</w:t>
    </w:r>
    <w:r w:rsidRPr="00F33246">
      <w:rPr>
        <w:rFonts w:ascii="Palatino Linotype" w:eastAsia="Palatino Linotype" w:hAnsi="Palatino Linotype" w:cs="Palatino Linotype"/>
        <w:color w:val="000000"/>
        <w:szCs w:val="20"/>
      </w:rPr>
      <w:fldChar w:fldCharType="end"/>
    </w:r>
    <w:r w:rsidRPr="00F33246">
      <w:rPr>
        <w:rFonts w:ascii="Palatino Linotype" w:eastAsia="Palatino Linotype" w:hAnsi="Palatino Linotype" w:cs="Palatino Linotype"/>
        <w:color w:val="000000"/>
        <w:szCs w:val="20"/>
      </w:rPr>
      <w:t xml:space="preserve"> de </w:t>
    </w:r>
    <w:r w:rsidRPr="00F33246">
      <w:rPr>
        <w:rFonts w:ascii="Palatino Linotype" w:eastAsia="Palatino Linotype" w:hAnsi="Palatino Linotype" w:cs="Palatino Linotype"/>
        <w:color w:val="000000"/>
        <w:szCs w:val="20"/>
      </w:rPr>
      <w:fldChar w:fldCharType="begin"/>
    </w:r>
    <w:r w:rsidRPr="00F33246">
      <w:rPr>
        <w:rFonts w:ascii="Palatino Linotype" w:eastAsia="Palatino Linotype" w:hAnsi="Palatino Linotype" w:cs="Palatino Linotype"/>
        <w:color w:val="000000"/>
        <w:szCs w:val="20"/>
      </w:rPr>
      <w:instrText>NUMPAGES</w:instrText>
    </w:r>
    <w:r w:rsidRPr="00F33246">
      <w:rPr>
        <w:rFonts w:ascii="Palatino Linotype" w:eastAsia="Palatino Linotype" w:hAnsi="Palatino Linotype" w:cs="Palatino Linotype"/>
        <w:color w:val="000000"/>
        <w:szCs w:val="20"/>
      </w:rPr>
      <w:fldChar w:fldCharType="separate"/>
    </w:r>
    <w:r w:rsidR="00AF648A">
      <w:rPr>
        <w:rFonts w:ascii="Palatino Linotype" w:eastAsia="Palatino Linotype" w:hAnsi="Palatino Linotype" w:cs="Palatino Linotype"/>
        <w:noProof/>
        <w:color w:val="000000"/>
        <w:szCs w:val="20"/>
      </w:rPr>
      <w:t>21</w:t>
    </w:r>
    <w:r w:rsidRPr="00F33246">
      <w:rPr>
        <w:rFonts w:ascii="Palatino Linotype" w:eastAsia="Palatino Linotype" w:hAnsi="Palatino Linotype" w:cs="Palatino Linotype"/>
        <w:color w:val="000000"/>
        <w:szCs w:val="20"/>
      </w:rPr>
      <w:fldChar w:fldCharType="end"/>
    </w:r>
  </w:p>
  <w:p w:rsidR="001C42D0" w:rsidRDefault="001C42D0">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BE8" w:rsidRDefault="00F27BE8">
      <w:pPr>
        <w:spacing w:after="0" w:line="240" w:lineRule="auto"/>
      </w:pPr>
      <w:r>
        <w:separator/>
      </w:r>
    </w:p>
  </w:footnote>
  <w:footnote w:type="continuationSeparator" w:id="0">
    <w:p w:rsidR="00F27BE8" w:rsidRDefault="00F27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2D0" w:rsidRDefault="00F27BE8">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229" w:type="dxa"/>
      <w:tblInd w:w="3119" w:type="dxa"/>
      <w:tblLayout w:type="fixed"/>
      <w:tblLook w:val="0400" w:firstRow="0" w:lastRow="0" w:firstColumn="0" w:lastColumn="0" w:noHBand="0" w:noVBand="1"/>
    </w:tblPr>
    <w:tblGrid>
      <w:gridCol w:w="2976"/>
      <w:gridCol w:w="4253"/>
    </w:tblGrid>
    <w:tr w:rsidR="001C42D0" w:rsidTr="00F33246">
      <w:trPr>
        <w:trHeight w:val="227"/>
      </w:trPr>
      <w:tc>
        <w:tcPr>
          <w:tcW w:w="2976" w:type="dxa"/>
          <w:vAlign w:val="center"/>
        </w:tcPr>
        <w:p w:rsidR="001C42D0" w:rsidRPr="00F33246" w:rsidRDefault="008D1B7C">
          <w:pPr>
            <w:spacing w:after="0"/>
            <w:ind w:right="34"/>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Recurso de Revisión:</w:t>
          </w:r>
        </w:p>
      </w:tc>
      <w:tc>
        <w:tcPr>
          <w:tcW w:w="4253" w:type="dxa"/>
          <w:vAlign w:val="center"/>
        </w:tcPr>
        <w:p w:rsidR="001C42D0" w:rsidRPr="00F33246" w:rsidRDefault="00FD2C0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 1673/INFOEM/IP/RR/2026</w:t>
          </w:r>
        </w:p>
      </w:tc>
    </w:tr>
    <w:tr w:rsidR="001C42D0" w:rsidTr="00F33246">
      <w:trPr>
        <w:trHeight w:val="242"/>
      </w:trPr>
      <w:tc>
        <w:tcPr>
          <w:tcW w:w="2976" w:type="dxa"/>
          <w:vAlign w:val="center"/>
        </w:tcPr>
        <w:p w:rsidR="001C42D0" w:rsidRPr="00F33246" w:rsidRDefault="008D1B7C">
          <w:pPr>
            <w:spacing w:after="0"/>
            <w:ind w:right="34"/>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Sujeto Obligado:</w:t>
          </w:r>
        </w:p>
      </w:tc>
      <w:tc>
        <w:tcPr>
          <w:tcW w:w="4253" w:type="dxa"/>
          <w:vAlign w:val="center"/>
        </w:tcPr>
        <w:p w:rsidR="001C42D0" w:rsidRPr="00F33246" w:rsidRDefault="008D1B7C">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Ayuntamiento de Mexicaltzingo</w:t>
          </w:r>
        </w:p>
      </w:tc>
    </w:tr>
    <w:tr w:rsidR="001C42D0" w:rsidTr="00F33246">
      <w:trPr>
        <w:trHeight w:val="342"/>
      </w:trPr>
      <w:tc>
        <w:tcPr>
          <w:tcW w:w="2976" w:type="dxa"/>
          <w:vAlign w:val="center"/>
        </w:tcPr>
        <w:p w:rsidR="001C42D0" w:rsidRPr="00F33246" w:rsidRDefault="008D1B7C">
          <w:pPr>
            <w:spacing w:after="0"/>
            <w:ind w:right="34"/>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Comisionada Ponente:</w:t>
          </w:r>
        </w:p>
      </w:tc>
      <w:tc>
        <w:tcPr>
          <w:tcW w:w="4253" w:type="dxa"/>
          <w:vAlign w:val="center"/>
        </w:tcPr>
        <w:p w:rsidR="001C42D0" w:rsidRPr="00F33246" w:rsidRDefault="008D1B7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María del Rosario Mejía Ayala</w:t>
          </w:r>
        </w:p>
      </w:tc>
    </w:tr>
  </w:tbl>
  <w:p w:rsidR="001C42D0" w:rsidRDefault="00F27BE8">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2.3pt;margin-top:-131.85pt;width:609.4pt;height:793.75pt;z-index:-251659776;mso-position-horizontal-relative:margin;mso-position-vertical-relative:margin">
          <v:imagedata r:id="rId1" o:title="image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660" w:type="dxa"/>
      <w:tblInd w:w="3119" w:type="dxa"/>
      <w:tblLayout w:type="fixed"/>
      <w:tblLook w:val="0400" w:firstRow="0" w:lastRow="0" w:firstColumn="0" w:lastColumn="0" w:noHBand="0" w:noVBand="1"/>
    </w:tblPr>
    <w:tblGrid>
      <w:gridCol w:w="2977"/>
      <w:gridCol w:w="3683"/>
    </w:tblGrid>
    <w:tr w:rsidR="001C42D0" w:rsidTr="00F33246">
      <w:trPr>
        <w:trHeight w:val="227"/>
      </w:trPr>
      <w:tc>
        <w:tcPr>
          <w:tcW w:w="2977" w:type="dxa"/>
          <w:vAlign w:val="center"/>
        </w:tcPr>
        <w:p w:rsidR="001C42D0" w:rsidRPr="00F33246" w:rsidRDefault="008D1B7C">
          <w:pPr>
            <w:spacing w:after="0" w:line="240" w:lineRule="auto"/>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Recurso de Revisión:</w:t>
          </w:r>
        </w:p>
      </w:tc>
      <w:tc>
        <w:tcPr>
          <w:tcW w:w="3683" w:type="dxa"/>
          <w:vAlign w:val="center"/>
        </w:tcPr>
        <w:p w:rsidR="001C42D0" w:rsidRPr="00F33246" w:rsidRDefault="00FD2C05">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 </w:t>
          </w:r>
          <w:r w:rsidR="008D1B7C" w:rsidRPr="00F33246">
            <w:rPr>
              <w:rFonts w:ascii="Palatino Linotype" w:eastAsia="Palatino Linotype" w:hAnsi="Palatino Linotype" w:cs="Palatino Linotype"/>
              <w:b/>
              <w:bCs/>
              <w:color w:val="000000"/>
              <w:sz w:val="24"/>
            </w:rPr>
            <w:t>1673/INFOEM/IP/RR/2026</w:t>
          </w:r>
        </w:p>
      </w:tc>
    </w:tr>
    <w:tr w:rsidR="001C42D0" w:rsidTr="00F33246">
      <w:trPr>
        <w:trHeight w:val="242"/>
      </w:trPr>
      <w:tc>
        <w:tcPr>
          <w:tcW w:w="2977" w:type="dxa"/>
          <w:vAlign w:val="center"/>
        </w:tcPr>
        <w:p w:rsidR="001C42D0" w:rsidRPr="00F33246" w:rsidRDefault="008D1B7C">
          <w:pPr>
            <w:spacing w:after="0" w:line="240" w:lineRule="auto"/>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Recurrente:</w:t>
          </w:r>
        </w:p>
      </w:tc>
      <w:tc>
        <w:tcPr>
          <w:tcW w:w="3683" w:type="dxa"/>
        </w:tcPr>
        <w:p w:rsidR="001C42D0" w:rsidRPr="00F33246" w:rsidRDefault="008D1B7C" w:rsidP="00AF648A">
          <w:pPr>
            <w:pBdr>
              <w:top w:val="nil"/>
              <w:left w:val="nil"/>
              <w:bottom w:val="nil"/>
              <w:right w:val="nil"/>
              <w:between w:val="nil"/>
            </w:pBdr>
            <w:tabs>
              <w:tab w:val="center" w:pos="4419"/>
              <w:tab w:val="right" w:pos="8838"/>
              <w:tab w:val="left" w:pos="521"/>
            </w:tabs>
            <w:spacing w:after="0" w:line="276" w:lineRule="auto"/>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 xml:space="preserve"> </w:t>
          </w:r>
          <w:r w:rsidR="00AF648A">
            <w:rPr>
              <w:rFonts w:ascii="Palatino Linotype" w:eastAsia="Palatino Linotype" w:hAnsi="Palatino Linotype" w:cs="Palatino Linotype"/>
              <w:b/>
              <w:bCs/>
              <w:color w:val="000000"/>
              <w:sz w:val="24"/>
            </w:rPr>
            <w:t>XXXX</w:t>
          </w:r>
        </w:p>
      </w:tc>
    </w:tr>
    <w:tr w:rsidR="001C42D0" w:rsidTr="00F33246">
      <w:trPr>
        <w:trHeight w:val="342"/>
      </w:trPr>
      <w:tc>
        <w:tcPr>
          <w:tcW w:w="2977" w:type="dxa"/>
          <w:vAlign w:val="center"/>
        </w:tcPr>
        <w:p w:rsidR="001C42D0" w:rsidRPr="00F33246" w:rsidRDefault="008D1B7C">
          <w:pPr>
            <w:spacing w:after="0" w:line="240" w:lineRule="auto"/>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Sujeto Obligado:</w:t>
          </w:r>
        </w:p>
      </w:tc>
      <w:tc>
        <w:tcPr>
          <w:tcW w:w="3683" w:type="dxa"/>
          <w:vAlign w:val="center"/>
        </w:tcPr>
        <w:p w:rsidR="001C42D0" w:rsidRPr="00F33246" w:rsidRDefault="008D1B7C">
          <w:pPr>
            <w:pBdr>
              <w:top w:val="nil"/>
              <w:left w:val="nil"/>
              <w:bottom w:val="nil"/>
              <w:right w:val="nil"/>
              <w:between w:val="nil"/>
            </w:pBdr>
            <w:tabs>
              <w:tab w:val="center" w:pos="4419"/>
              <w:tab w:val="right" w:pos="8838"/>
            </w:tabs>
            <w:spacing w:after="0" w:line="276" w:lineRule="auto"/>
            <w:jc w:val="both"/>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Ayuntamiento de Mexicaltzingo</w:t>
          </w:r>
        </w:p>
      </w:tc>
    </w:tr>
    <w:tr w:rsidR="001C42D0" w:rsidTr="00F33246">
      <w:trPr>
        <w:trHeight w:val="342"/>
      </w:trPr>
      <w:tc>
        <w:tcPr>
          <w:tcW w:w="2977" w:type="dxa"/>
          <w:vAlign w:val="center"/>
        </w:tcPr>
        <w:p w:rsidR="001C42D0" w:rsidRPr="00F33246" w:rsidRDefault="008D1B7C">
          <w:pPr>
            <w:spacing w:after="0" w:line="240" w:lineRule="auto"/>
            <w:jc w:val="right"/>
            <w:rPr>
              <w:rFonts w:ascii="Palatino Linotype" w:eastAsia="Palatino Linotype" w:hAnsi="Palatino Linotype" w:cs="Palatino Linotype"/>
              <w:b/>
              <w:bCs/>
              <w:sz w:val="24"/>
            </w:rPr>
          </w:pPr>
          <w:r w:rsidRPr="00F33246">
            <w:rPr>
              <w:rFonts w:ascii="Palatino Linotype" w:eastAsia="Palatino Linotype" w:hAnsi="Palatino Linotype" w:cs="Palatino Linotype"/>
              <w:b/>
              <w:bCs/>
              <w:sz w:val="24"/>
            </w:rPr>
            <w:t>Comisionada Ponente:</w:t>
          </w:r>
        </w:p>
      </w:tc>
      <w:tc>
        <w:tcPr>
          <w:tcW w:w="3683" w:type="dxa"/>
          <w:vAlign w:val="center"/>
        </w:tcPr>
        <w:p w:rsidR="001C42D0" w:rsidRPr="00F33246" w:rsidRDefault="008D1B7C">
          <w:pPr>
            <w:pBdr>
              <w:top w:val="nil"/>
              <w:left w:val="nil"/>
              <w:bottom w:val="nil"/>
              <w:right w:val="nil"/>
              <w:between w:val="nil"/>
            </w:pBdr>
            <w:tabs>
              <w:tab w:val="center" w:pos="4419"/>
              <w:tab w:val="right" w:pos="8838"/>
            </w:tabs>
            <w:spacing w:after="0" w:line="276" w:lineRule="auto"/>
            <w:rPr>
              <w:rFonts w:ascii="Palatino Linotype" w:eastAsia="Palatino Linotype" w:hAnsi="Palatino Linotype" w:cs="Palatino Linotype"/>
              <w:b/>
              <w:bCs/>
              <w:color w:val="000000"/>
              <w:sz w:val="24"/>
            </w:rPr>
          </w:pPr>
          <w:r w:rsidRPr="00F33246">
            <w:rPr>
              <w:rFonts w:ascii="Palatino Linotype" w:eastAsia="Palatino Linotype" w:hAnsi="Palatino Linotype" w:cs="Palatino Linotype"/>
              <w:b/>
              <w:bCs/>
              <w:color w:val="000000"/>
              <w:sz w:val="24"/>
            </w:rPr>
            <w:t>María del Rosario Mejía Ayala</w:t>
          </w:r>
        </w:p>
      </w:tc>
    </w:tr>
  </w:tbl>
  <w:p w:rsidR="001C42D0" w:rsidRDefault="00F27BE8">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32B34"/>
    <w:multiLevelType w:val="multilevel"/>
    <w:tmpl w:val="2CC26BA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C852ECF"/>
    <w:multiLevelType w:val="hybridMultilevel"/>
    <w:tmpl w:val="7A105ADE"/>
    <w:lvl w:ilvl="0" w:tplc="080A0019">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B990C3A"/>
    <w:multiLevelType w:val="multilevel"/>
    <w:tmpl w:val="A2B0C16A"/>
    <w:lvl w:ilvl="0">
      <w:start w:val="12"/>
      <w:numFmt w:val="decimal"/>
      <w:lvlText w:val="%1."/>
      <w:lvlJc w:val="left"/>
      <w:pPr>
        <w:ind w:left="3054" w:hanging="360"/>
      </w:pPr>
      <w:rPr>
        <w:rFonts w:ascii="Palatino Linotype" w:eastAsia="Palatino Linotype" w:hAnsi="Palatino Linotype" w:cs="Palatino Linotype"/>
        <w:b/>
        <w:bCs/>
        <w:i w:val="0"/>
        <w:iCs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3" w15:restartNumberingAfterBreak="0">
    <w:nsid w:val="3F974979"/>
    <w:multiLevelType w:val="multilevel"/>
    <w:tmpl w:val="EE8E6A3A"/>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E670D87"/>
    <w:multiLevelType w:val="multilevel"/>
    <w:tmpl w:val="3008E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AA7F55"/>
    <w:multiLevelType w:val="multilevel"/>
    <w:tmpl w:val="70BA217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60CD551A"/>
    <w:multiLevelType w:val="multilevel"/>
    <w:tmpl w:val="00E47288"/>
    <w:lvl w:ilvl="0">
      <w:start w:val="1"/>
      <w:numFmt w:val="lowerLetter"/>
      <w:lvlText w:val="%1."/>
      <w:lvlJc w:val="left"/>
      <w:pPr>
        <w:ind w:left="0" w:firstLine="0"/>
      </w:pPr>
      <w:rPr>
        <w:rFonts w:ascii="Palatino Linotype" w:eastAsia="Palatino Linotype" w:hAnsi="Palatino Linotype" w:cs="Palatino Linotyp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1B86D4F"/>
    <w:multiLevelType w:val="multilevel"/>
    <w:tmpl w:val="9C6E8E90"/>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num w:numId="1">
    <w:abstractNumId w:val="3"/>
  </w:num>
  <w:num w:numId="2">
    <w:abstractNumId w:val="4"/>
  </w:num>
  <w:num w:numId="3">
    <w:abstractNumId w:val="6"/>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2D0"/>
    <w:rsid w:val="001C42D0"/>
    <w:rsid w:val="00737231"/>
    <w:rsid w:val="008D1B7C"/>
    <w:rsid w:val="009B5790"/>
    <w:rsid w:val="00AF648A"/>
    <w:rsid w:val="00B438BE"/>
    <w:rsid w:val="00DB70FC"/>
    <w:rsid w:val="00F27BE8"/>
    <w:rsid w:val="00F33246"/>
    <w:rsid w:val="00FD2C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1EE6F95-CB20-41F3-A9CE-7AB0FAB7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Piedepgina">
    <w:name w:val="footer"/>
    <w:basedOn w:val="Normal"/>
    <w:link w:val="PiedepginaCar"/>
    <w:uiPriority w:val="99"/>
    <w:unhideWhenUsed/>
    <w:rsid w:val="00FD2C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C05"/>
  </w:style>
  <w:style w:type="paragraph" w:styleId="Prrafodelista">
    <w:name w:val="List Paragraph"/>
    <w:basedOn w:val="Normal"/>
    <w:uiPriority w:val="34"/>
    <w:qFormat/>
    <w:rsid w:val="00F33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61185.page"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jCYNUeKsSHLbHyi/4/hMEBhEA==">CgMxLjAyDmgueDVnemJta3BvNWhpMg5oLngxYzUzYmxlM2xjcjIOaC5mamJqeW4zOHZtd3IyDmgubW1hbWJhcHRnaWtwMg5oLmVoZXllZHczd2o3ZzIOaC5odWkybTF3cHcwM3QyDmguZXV1bWp3anAxNXVzMg5oLnl6aG8xdXY3d3R3cjIOaC5wbTZpM25mdmM3NXcyCGgubG54Yno5MgloLjM1bmt1bjI4AHIhMVR3bE92M3U2Y2ZaQmZodE9mbTYxYXgwWHFXT254UmZP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21</Pages>
  <Words>4045</Words>
  <Characters>22249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6</cp:revision>
  <cp:lastPrinted>2026-04-29T18:00:00Z</cp:lastPrinted>
  <dcterms:created xsi:type="dcterms:W3CDTF">2026-04-28T19:47:00Z</dcterms:created>
  <dcterms:modified xsi:type="dcterms:W3CDTF">2026-05-07T23:51:00Z</dcterms:modified>
</cp:coreProperties>
</file>