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Palatino Linotype" w:eastAsiaTheme="minorHAnsi" w:hAnsi="Palatino Linotype" w:cstheme="minorBidi"/>
          <w:color w:val="000000" w:themeColor="text1"/>
          <w:sz w:val="22"/>
          <w:szCs w:val="22"/>
          <w:lang w:val="es-ES" w:eastAsia="en-US"/>
        </w:rPr>
        <w:id w:val="1717619485"/>
        <w:docPartObj>
          <w:docPartGallery w:val="Table of Contents"/>
          <w:docPartUnique/>
        </w:docPartObj>
      </w:sdtPr>
      <w:sdtEndPr>
        <w:rPr>
          <w:b/>
          <w:bCs/>
        </w:rPr>
      </w:sdtEndPr>
      <w:sdtContent>
        <w:p w14:paraId="1ACC7A77" w14:textId="6DA02175" w:rsidR="0047171B" w:rsidRPr="006623E1" w:rsidRDefault="0047171B">
          <w:pPr>
            <w:pStyle w:val="TtuloTDC"/>
          </w:pPr>
          <w:r w:rsidRPr="006623E1">
            <w:rPr>
              <w:lang w:val="es-ES"/>
            </w:rPr>
            <w:t>Contenido</w:t>
          </w:r>
        </w:p>
        <w:p w14:paraId="724DCAA7" w14:textId="77777777" w:rsidR="006623E1" w:rsidRPr="006623E1" w:rsidRDefault="0047171B">
          <w:pPr>
            <w:pStyle w:val="TDC1"/>
            <w:tabs>
              <w:tab w:val="right" w:leader="dot" w:pos="8921"/>
            </w:tabs>
            <w:rPr>
              <w:rFonts w:asciiTheme="minorHAnsi" w:eastAsiaTheme="minorEastAsia" w:hAnsiTheme="minorHAnsi"/>
              <w:noProof/>
              <w:color w:val="auto"/>
              <w:lang w:eastAsia="es-MX"/>
            </w:rPr>
          </w:pPr>
          <w:r w:rsidRPr="006623E1">
            <w:fldChar w:fldCharType="begin"/>
          </w:r>
          <w:r w:rsidRPr="006623E1">
            <w:instrText xml:space="preserve"> TOC \o "1-3" \h \z \u </w:instrText>
          </w:r>
          <w:r w:rsidRPr="006623E1">
            <w:fldChar w:fldCharType="separate"/>
          </w:r>
          <w:hyperlink w:anchor="_Toc219386013" w:history="1">
            <w:r w:rsidR="006623E1" w:rsidRPr="006623E1">
              <w:rPr>
                <w:rStyle w:val="Hipervnculo"/>
                <w:rFonts w:eastAsia="Calibri"/>
                <w:bCs/>
                <w:noProof/>
                <w:lang w:val="es-ES"/>
              </w:rPr>
              <w:t>A N T E C E D E N T E S</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_Toc219386013 \h </w:instrText>
            </w:r>
            <w:r w:rsidR="006623E1" w:rsidRPr="006623E1">
              <w:rPr>
                <w:noProof/>
                <w:webHidden/>
              </w:rPr>
            </w:r>
            <w:r w:rsidR="006623E1" w:rsidRPr="006623E1">
              <w:rPr>
                <w:noProof/>
                <w:webHidden/>
              </w:rPr>
              <w:fldChar w:fldCharType="separate"/>
            </w:r>
            <w:r w:rsidR="00A15CA2">
              <w:rPr>
                <w:noProof/>
                <w:webHidden/>
              </w:rPr>
              <w:t>2</w:t>
            </w:r>
            <w:r w:rsidR="006623E1" w:rsidRPr="006623E1">
              <w:rPr>
                <w:noProof/>
                <w:webHidden/>
              </w:rPr>
              <w:fldChar w:fldCharType="end"/>
            </w:r>
          </w:hyperlink>
        </w:p>
        <w:p w14:paraId="2D644D60" w14:textId="77777777" w:rsidR="006623E1" w:rsidRPr="006623E1" w:rsidRDefault="00000000">
          <w:pPr>
            <w:pStyle w:val="TDC2"/>
            <w:tabs>
              <w:tab w:val="right" w:leader="dot" w:pos="8921"/>
            </w:tabs>
            <w:rPr>
              <w:rFonts w:asciiTheme="minorHAnsi" w:eastAsiaTheme="minorEastAsia" w:hAnsiTheme="minorHAnsi"/>
              <w:noProof/>
              <w:color w:val="auto"/>
              <w:lang w:eastAsia="es-MX"/>
            </w:rPr>
          </w:pPr>
          <w:hyperlink w:anchor="_Toc219386014" w:history="1">
            <w:r w:rsidR="006623E1" w:rsidRPr="006623E1">
              <w:rPr>
                <w:rStyle w:val="Hipervnculo"/>
                <w:rFonts w:eastAsia="Calibri"/>
                <w:bCs/>
                <w:noProof/>
                <w:lang w:val="es-ES"/>
              </w:rPr>
              <w:t>I. Presentación de la solicitud de información</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_Toc219386014 \h </w:instrText>
            </w:r>
            <w:r w:rsidR="006623E1" w:rsidRPr="006623E1">
              <w:rPr>
                <w:noProof/>
                <w:webHidden/>
              </w:rPr>
            </w:r>
            <w:r w:rsidR="006623E1" w:rsidRPr="006623E1">
              <w:rPr>
                <w:noProof/>
                <w:webHidden/>
              </w:rPr>
              <w:fldChar w:fldCharType="separate"/>
            </w:r>
            <w:r w:rsidR="00A15CA2">
              <w:rPr>
                <w:noProof/>
                <w:webHidden/>
              </w:rPr>
              <w:t>2</w:t>
            </w:r>
            <w:r w:rsidR="006623E1" w:rsidRPr="006623E1">
              <w:rPr>
                <w:noProof/>
                <w:webHidden/>
              </w:rPr>
              <w:fldChar w:fldCharType="end"/>
            </w:r>
          </w:hyperlink>
        </w:p>
        <w:p w14:paraId="7BF91425" w14:textId="77777777" w:rsidR="006623E1" w:rsidRPr="006623E1" w:rsidRDefault="00000000">
          <w:pPr>
            <w:pStyle w:val="TDC2"/>
            <w:tabs>
              <w:tab w:val="right" w:leader="dot" w:pos="8921"/>
            </w:tabs>
            <w:rPr>
              <w:rFonts w:asciiTheme="minorHAnsi" w:eastAsiaTheme="minorEastAsia" w:hAnsiTheme="minorHAnsi"/>
              <w:noProof/>
              <w:color w:val="auto"/>
              <w:lang w:eastAsia="es-MX"/>
            </w:rPr>
          </w:pPr>
          <w:hyperlink w:anchor="_Toc219386015" w:history="1">
            <w:r w:rsidR="006623E1" w:rsidRPr="006623E1">
              <w:rPr>
                <w:rStyle w:val="Hipervnculo"/>
                <w:rFonts w:eastAsia="Palatino Linotype"/>
                <w:bCs/>
                <w:noProof/>
                <w:lang w:eastAsia="es-ES_tradnl"/>
              </w:rPr>
              <w:t>II. Respuesta del Sujeto Obligado</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_Toc219386015 \h </w:instrText>
            </w:r>
            <w:r w:rsidR="006623E1" w:rsidRPr="006623E1">
              <w:rPr>
                <w:noProof/>
                <w:webHidden/>
              </w:rPr>
            </w:r>
            <w:r w:rsidR="006623E1" w:rsidRPr="006623E1">
              <w:rPr>
                <w:noProof/>
                <w:webHidden/>
              </w:rPr>
              <w:fldChar w:fldCharType="separate"/>
            </w:r>
            <w:r w:rsidR="00A15CA2">
              <w:rPr>
                <w:noProof/>
                <w:webHidden/>
              </w:rPr>
              <w:t>3</w:t>
            </w:r>
            <w:r w:rsidR="006623E1" w:rsidRPr="006623E1">
              <w:rPr>
                <w:noProof/>
                <w:webHidden/>
              </w:rPr>
              <w:fldChar w:fldCharType="end"/>
            </w:r>
          </w:hyperlink>
        </w:p>
        <w:p w14:paraId="1D86B918" w14:textId="77777777" w:rsidR="006623E1" w:rsidRPr="006623E1" w:rsidRDefault="00000000">
          <w:pPr>
            <w:pStyle w:val="TDC2"/>
            <w:tabs>
              <w:tab w:val="right" w:leader="dot" w:pos="8921"/>
            </w:tabs>
            <w:rPr>
              <w:rFonts w:asciiTheme="minorHAnsi" w:eastAsiaTheme="minorEastAsia" w:hAnsiTheme="minorHAnsi"/>
              <w:noProof/>
              <w:color w:val="auto"/>
              <w:lang w:eastAsia="es-MX"/>
            </w:rPr>
          </w:pPr>
          <w:hyperlink w:anchor="_Toc219386016" w:history="1">
            <w:r w:rsidR="006623E1" w:rsidRPr="006623E1">
              <w:rPr>
                <w:rStyle w:val="Hipervnculo"/>
                <w:rFonts w:eastAsia="Palatino Linotype"/>
                <w:bCs/>
                <w:noProof/>
                <w:lang w:eastAsia="es-ES_tradnl"/>
              </w:rPr>
              <w:t>III. Interposición del Recurso de Revisión</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_Toc219386016 \h </w:instrText>
            </w:r>
            <w:r w:rsidR="006623E1" w:rsidRPr="006623E1">
              <w:rPr>
                <w:noProof/>
                <w:webHidden/>
              </w:rPr>
            </w:r>
            <w:r w:rsidR="006623E1" w:rsidRPr="006623E1">
              <w:rPr>
                <w:noProof/>
                <w:webHidden/>
              </w:rPr>
              <w:fldChar w:fldCharType="separate"/>
            </w:r>
            <w:r w:rsidR="00A15CA2">
              <w:rPr>
                <w:noProof/>
                <w:webHidden/>
              </w:rPr>
              <w:t>3</w:t>
            </w:r>
            <w:r w:rsidR="006623E1" w:rsidRPr="006623E1">
              <w:rPr>
                <w:noProof/>
                <w:webHidden/>
              </w:rPr>
              <w:fldChar w:fldCharType="end"/>
            </w:r>
          </w:hyperlink>
        </w:p>
        <w:p w14:paraId="547785B0" w14:textId="77777777" w:rsidR="006623E1" w:rsidRPr="006623E1" w:rsidRDefault="00000000">
          <w:pPr>
            <w:pStyle w:val="TDC2"/>
            <w:tabs>
              <w:tab w:val="right" w:leader="dot" w:pos="8921"/>
            </w:tabs>
            <w:rPr>
              <w:rFonts w:asciiTheme="minorHAnsi" w:eastAsiaTheme="minorEastAsia" w:hAnsiTheme="minorHAnsi"/>
              <w:noProof/>
              <w:color w:val="auto"/>
              <w:lang w:eastAsia="es-MX"/>
            </w:rPr>
          </w:pPr>
          <w:hyperlink w:anchor="_Toc219386017" w:history="1">
            <w:r w:rsidR="006623E1" w:rsidRPr="006623E1">
              <w:rPr>
                <w:rStyle w:val="Hipervnculo"/>
                <w:rFonts w:eastAsia="Palatino Linotype"/>
                <w:bCs/>
                <w:noProof/>
                <w:lang w:eastAsia="es-ES_tradnl"/>
              </w:rPr>
              <w:t>IV. Trámite del Recurso de Revisión ante este Instituto</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_Toc219386017 \h </w:instrText>
            </w:r>
            <w:r w:rsidR="006623E1" w:rsidRPr="006623E1">
              <w:rPr>
                <w:noProof/>
                <w:webHidden/>
              </w:rPr>
            </w:r>
            <w:r w:rsidR="006623E1" w:rsidRPr="006623E1">
              <w:rPr>
                <w:noProof/>
                <w:webHidden/>
              </w:rPr>
              <w:fldChar w:fldCharType="separate"/>
            </w:r>
            <w:r w:rsidR="00A15CA2">
              <w:rPr>
                <w:noProof/>
                <w:webHidden/>
              </w:rPr>
              <w:t>5</w:t>
            </w:r>
            <w:r w:rsidR="006623E1" w:rsidRPr="006623E1">
              <w:rPr>
                <w:noProof/>
                <w:webHidden/>
              </w:rPr>
              <w:fldChar w:fldCharType="end"/>
            </w:r>
          </w:hyperlink>
        </w:p>
        <w:p w14:paraId="0850A514" w14:textId="77777777" w:rsidR="006623E1" w:rsidRPr="006623E1" w:rsidRDefault="00000000">
          <w:pPr>
            <w:pStyle w:val="TDC1"/>
            <w:tabs>
              <w:tab w:val="right" w:leader="dot" w:pos="8921"/>
            </w:tabs>
            <w:rPr>
              <w:rFonts w:asciiTheme="minorHAnsi" w:eastAsiaTheme="minorEastAsia" w:hAnsiTheme="minorHAnsi"/>
              <w:noProof/>
              <w:color w:val="auto"/>
              <w:lang w:eastAsia="es-MX"/>
            </w:rPr>
          </w:pPr>
          <w:hyperlink w:anchor="_Toc219386018" w:history="1">
            <w:r w:rsidR="006623E1" w:rsidRPr="006623E1">
              <w:rPr>
                <w:rStyle w:val="Hipervnculo"/>
                <w:rFonts w:eastAsia="Palatino Linotype"/>
                <w:bCs/>
                <w:noProof/>
                <w:lang w:eastAsia="es-ES_tradnl"/>
              </w:rPr>
              <w:t>C O N S I D E R A N D O S</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_Toc219386018 \h </w:instrText>
            </w:r>
            <w:r w:rsidR="006623E1" w:rsidRPr="006623E1">
              <w:rPr>
                <w:noProof/>
                <w:webHidden/>
              </w:rPr>
            </w:r>
            <w:r w:rsidR="006623E1" w:rsidRPr="006623E1">
              <w:rPr>
                <w:noProof/>
                <w:webHidden/>
              </w:rPr>
              <w:fldChar w:fldCharType="separate"/>
            </w:r>
            <w:r w:rsidR="00A15CA2">
              <w:rPr>
                <w:noProof/>
                <w:webHidden/>
              </w:rPr>
              <w:t>6</w:t>
            </w:r>
            <w:r w:rsidR="006623E1" w:rsidRPr="006623E1">
              <w:rPr>
                <w:noProof/>
                <w:webHidden/>
              </w:rPr>
              <w:fldChar w:fldCharType="end"/>
            </w:r>
          </w:hyperlink>
        </w:p>
        <w:p w14:paraId="18D9B893" w14:textId="77777777" w:rsidR="006623E1" w:rsidRPr="006623E1" w:rsidRDefault="00000000">
          <w:pPr>
            <w:pStyle w:val="TDC2"/>
            <w:tabs>
              <w:tab w:val="right" w:leader="dot" w:pos="8921"/>
            </w:tabs>
            <w:rPr>
              <w:rFonts w:asciiTheme="minorHAnsi" w:eastAsiaTheme="minorEastAsia" w:hAnsiTheme="minorHAnsi"/>
              <w:noProof/>
              <w:color w:val="auto"/>
              <w:lang w:eastAsia="es-MX"/>
            </w:rPr>
          </w:pPr>
          <w:hyperlink w:anchor="_Toc219386019" w:history="1">
            <w:r w:rsidR="006623E1" w:rsidRPr="006623E1">
              <w:rPr>
                <w:rStyle w:val="Hipervnculo"/>
                <w:bCs/>
                <w:noProof/>
              </w:rPr>
              <w:t>PRIMERO. Competencia</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_Toc219386019 \h </w:instrText>
            </w:r>
            <w:r w:rsidR="006623E1" w:rsidRPr="006623E1">
              <w:rPr>
                <w:noProof/>
                <w:webHidden/>
              </w:rPr>
            </w:r>
            <w:r w:rsidR="006623E1" w:rsidRPr="006623E1">
              <w:rPr>
                <w:noProof/>
                <w:webHidden/>
              </w:rPr>
              <w:fldChar w:fldCharType="separate"/>
            </w:r>
            <w:r w:rsidR="00A15CA2">
              <w:rPr>
                <w:noProof/>
                <w:webHidden/>
              </w:rPr>
              <w:t>6</w:t>
            </w:r>
            <w:r w:rsidR="006623E1" w:rsidRPr="006623E1">
              <w:rPr>
                <w:noProof/>
                <w:webHidden/>
              </w:rPr>
              <w:fldChar w:fldCharType="end"/>
            </w:r>
          </w:hyperlink>
        </w:p>
        <w:p w14:paraId="738A9DBD" w14:textId="77777777" w:rsidR="006623E1" w:rsidRPr="006623E1" w:rsidRDefault="00000000">
          <w:pPr>
            <w:pStyle w:val="TDC2"/>
            <w:tabs>
              <w:tab w:val="right" w:leader="dot" w:pos="8921"/>
            </w:tabs>
            <w:rPr>
              <w:rFonts w:asciiTheme="minorHAnsi" w:eastAsiaTheme="minorEastAsia" w:hAnsiTheme="minorHAnsi"/>
              <w:noProof/>
              <w:color w:val="auto"/>
              <w:lang w:eastAsia="es-MX"/>
            </w:rPr>
          </w:pPr>
          <w:hyperlink w:anchor="_Toc219386020" w:history="1">
            <w:r w:rsidR="006623E1" w:rsidRPr="006623E1">
              <w:rPr>
                <w:rStyle w:val="Hipervnculo"/>
                <w:rFonts w:eastAsia="Palatino Linotype"/>
                <w:bCs/>
                <w:noProof/>
                <w:lang w:eastAsia="es-ES_tradnl"/>
              </w:rPr>
              <w:t>SEGUNDO. Causales de improcedencia y sobreseimiento</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_Toc219386020 \h </w:instrText>
            </w:r>
            <w:r w:rsidR="006623E1" w:rsidRPr="006623E1">
              <w:rPr>
                <w:noProof/>
                <w:webHidden/>
              </w:rPr>
            </w:r>
            <w:r w:rsidR="006623E1" w:rsidRPr="006623E1">
              <w:rPr>
                <w:noProof/>
                <w:webHidden/>
              </w:rPr>
              <w:fldChar w:fldCharType="separate"/>
            </w:r>
            <w:r w:rsidR="00A15CA2">
              <w:rPr>
                <w:noProof/>
                <w:webHidden/>
              </w:rPr>
              <w:t>7</w:t>
            </w:r>
            <w:r w:rsidR="006623E1" w:rsidRPr="006623E1">
              <w:rPr>
                <w:noProof/>
                <w:webHidden/>
              </w:rPr>
              <w:fldChar w:fldCharType="end"/>
            </w:r>
          </w:hyperlink>
        </w:p>
        <w:p w14:paraId="27D260A9" w14:textId="77777777" w:rsidR="006623E1" w:rsidRPr="006623E1" w:rsidRDefault="00000000">
          <w:pPr>
            <w:pStyle w:val="TDC2"/>
            <w:tabs>
              <w:tab w:val="right" w:leader="dot" w:pos="8921"/>
            </w:tabs>
            <w:rPr>
              <w:rFonts w:asciiTheme="minorHAnsi" w:eastAsiaTheme="minorEastAsia" w:hAnsiTheme="minorHAnsi"/>
              <w:noProof/>
              <w:color w:val="auto"/>
              <w:lang w:eastAsia="es-MX"/>
            </w:rPr>
          </w:pPr>
          <w:hyperlink w:anchor="_Toc219386021" w:history="1">
            <w:r w:rsidR="006623E1" w:rsidRPr="006623E1">
              <w:rPr>
                <w:rStyle w:val="Hipervnculo"/>
                <w:rFonts w:eastAsia="Palatino Linotype"/>
                <w:bCs/>
                <w:noProof/>
                <w:lang w:eastAsia="es-ES_tradnl"/>
              </w:rPr>
              <w:t>TERCERO. Determinación de la Controversia.</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_Toc219386021 \h </w:instrText>
            </w:r>
            <w:r w:rsidR="006623E1" w:rsidRPr="006623E1">
              <w:rPr>
                <w:noProof/>
                <w:webHidden/>
              </w:rPr>
            </w:r>
            <w:r w:rsidR="006623E1" w:rsidRPr="006623E1">
              <w:rPr>
                <w:noProof/>
                <w:webHidden/>
              </w:rPr>
              <w:fldChar w:fldCharType="separate"/>
            </w:r>
            <w:r w:rsidR="00A15CA2">
              <w:rPr>
                <w:noProof/>
                <w:webHidden/>
              </w:rPr>
              <w:t>9</w:t>
            </w:r>
            <w:r w:rsidR="006623E1" w:rsidRPr="006623E1">
              <w:rPr>
                <w:noProof/>
                <w:webHidden/>
              </w:rPr>
              <w:fldChar w:fldCharType="end"/>
            </w:r>
          </w:hyperlink>
        </w:p>
        <w:p w14:paraId="4CD2F6C1" w14:textId="77777777" w:rsidR="006623E1" w:rsidRPr="006623E1" w:rsidRDefault="00000000">
          <w:pPr>
            <w:pStyle w:val="TDC2"/>
            <w:tabs>
              <w:tab w:val="right" w:leader="dot" w:pos="8921"/>
            </w:tabs>
            <w:rPr>
              <w:rFonts w:asciiTheme="minorHAnsi" w:eastAsiaTheme="minorEastAsia" w:hAnsiTheme="minorHAnsi"/>
              <w:noProof/>
              <w:color w:val="auto"/>
              <w:lang w:eastAsia="es-MX"/>
            </w:rPr>
          </w:pPr>
          <w:hyperlink w:anchor="_Toc219386022" w:history="1">
            <w:r w:rsidR="006623E1" w:rsidRPr="006623E1">
              <w:rPr>
                <w:rStyle w:val="Hipervnculo"/>
                <w:rFonts w:eastAsia="Palatino Linotype"/>
                <w:bCs/>
                <w:noProof/>
                <w:lang w:eastAsia="es-ES_tradnl"/>
              </w:rPr>
              <w:t>CUARTO. Marco normativo aplicable en materia de transparencia y acceso a la información pública</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_Toc219386022 \h </w:instrText>
            </w:r>
            <w:r w:rsidR="006623E1" w:rsidRPr="006623E1">
              <w:rPr>
                <w:noProof/>
                <w:webHidden/>
              </w:rPr>
            </w:r>
            <w:r w:rsidR="006623E1" w:rsidRPr="006623E1">
              <w:rPr>
                <w:noProof/>
                <w:webHidden/>
              </w:rPr>
              <w:fldChar w:fldCharType="separate"/>
            </w:r>
            <w:r w:rsidR="00A15CA2">
              <w:rPr>
                <w:noProof/>
                <w:webHidden/>
              </w:rPr>
              <w:t>9</w:t>
            </w:r>
            <w:r w:rsidR="006623E1" w:rsidRPr="006623E1">
              <w:rPr>
                <w:noProof/>
                <w:webHidden/>
              </w:rPr>
              <w:fldChar w:fldCharType="end"/>
            </w:r>
          </w:hyperlink>
        </w:p>
        <w:p w14:paraId="54512F44" w14:textId="77777777" w:rsidR="006623E1" w:rsidRPr="006623E1" w:rsidRDefault="00000000">
          <w:pPr>
            <w:pStyle w:val="TDC2"/>
            <w:tabs>
              <w:tab w:val="right" w:leader="dot" w:pos="8921"/>
            </w:tabs>
            <w:rPr>
              <w:rFonts w:asciiTheme="minorHAnsi" w:eastAsiaTheme="minorEastAsia" w:hAnsiTheme="minorHAnsi"/>
              <w:noProof/>
              <w:color w:val="auto"/>
              <w:lang w:eastAsia="es-MX"/>
            </w:rPr>
          </w:pPr>
          <w:hyperlink w:anchor="_Toc219386023" w:history="1">
            <w:r w:rsidR="006623E1" w:rsidRPr="006623E1">
              <w:rPr>
                <w:rStyle w:val="Hipervnculo"/>
                <w:rFonts w:eastAsia="Palatino Linotype"/>
                <w:bCs/>
                <w:noProof/>
                <w:lang w:eastAsia="es-ES_tradnl"/>
              </w:rPr>
              <w:t>QUINTO. Estudio de Fondo</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_Toc219386023 \h </w:instrText>
            </w:r>
            <w:r w:rsidR="006623E1" w:rsidRPr="006623E1">
              <w:rPr>
                <w:noProof/>
                <w:webHidden/>
              </w:rPr>
            </w:r>
            <w:r w:rsidR="006623E1" w:rsidRPr="006623E1">
              <w:rPr>
                <w:noProof/>
                <w:webHidden/>
              </w:rPr>
              <w:fldChar w:fldCharType="separate"/>
            </w:r>
            <w:r w:rsidR="00A15CA2">
              <w:rPr>
                <w:noProof/>
                <w:webHidden/>
              </w:rPr>
              <w:t>10</w:t>
            </w:r>
            <w:r w:rsidR="006623E1" w:rsidRPr="006623E1">
              <w:rPr>
                <w:noProof/>
                <w:webHidden/>
              </w:rPr>
              <w:fldChar w:fldCharType="end"/>
            </w:r>
          </w:hyperlink>
        </w:p>
        <w:p w14:paraId="498F25C9" w14:textId="77777777" w:rsidR="006623E1" w:rsidRPr="006623E1" w:rsidRDefault="00000000">
          <w:pPr>
            <w:pStyle w:val="TDC2"/>
            <w:tabs>
              <w:tab w:val="right" w:leader="dot" w:pos="8921"/>
            </w:tabs>
            <w:rPr>
              <w:rFonts w:asciiTheme="minorHAnsi" w:eastAsiaTheme="minorEastAsia" w:hAnsiTheme="minorHAnsi"/>
              <w:noProof/>
              <w:color w:val="auto"/>
              <w:lang w:eastAsia="es-MX"/>
            </w:rPr>
          </w:pPr>
          <w:hyperlink w:anchor="_Toc219386024" w:history="1">
            <w:r w:rsidR="006623E1" w:rsidRPr="006623E1">
              <w:rPr>
                <w:rStyle w:val="Hipervnculo"/>
                <w:rFonts w:eastAsia="Times New Roman"/>
                <w:bCs/>
                <w:noProof/>
                <w:lang w:val="es-ES" w:eastAsia="es-ES"/>
              </w:rPr>
              <w:t>SEXTO. Decisión</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_Toc219386024 \h </w:instrText>
            </w:r>
            <w:r w:rsidR="006623E1" w:rsidRPr="006623E1">
              <w:rPr>
                <w:noProof/>
                <w:webHidden/>
              </w:rPr>
            </w:r>
            <w:r w:rsidR="006623E1" w:rsidRPr="006623E1">
              <w:rPr>
                <w:noProof/>
                <w:webHidden/>
              </w:rPr>
              <w:fldChar w:fldCharType="separate"/>
            </w:r>
            <w:r w:rsidR="00A15CA2">
              <w:rPr>
                <w:noProof/>
                <w:webHidden/>
              </w:rPr>
              <w:t>32</w:t>
            </w:r>
            <w:r w:rsidR="006623E1" w:rsidRPr="006623E1">
              <w:rPr>
                <w:noProof/>
                <w:webHidden/>
              </w:rPr>
              <w:fldChar w:fldCharType="end"/>
            </w:r>
          </w:hyperlink>
        </w:p>
        <w:p w14:paraId="13A960F2" w14:textId="77777777" w:rsidR="006623E1" w:rsidRPr="006623E1" w:rsidRDefault="00000000">
          <w:pPr>
            <w:pStyle w:val="TDC1"/>
            <w:tabs>
              <w:tab w:val="right" w:leader="dot" w:pos="8921"/>
            </w:tabs>
            <w:rPr>
              <w:rFonts w:asciiTheme="minorHAnsi" w:eastAsiaTheme="minorEastAsia" w:hAnsiTheme="minorHAnsi"/>
              <w:noProof/>
              <w:color w:val="auto"/>
              <w:lang w:eastAsia="es-MX"/>
            </w:rPr>
          </w:pPr>
          <w:hyperlink w:anchor="_Toc219386025" w:history="1">
            <w:r w:rsidR="006623E1" w:rsidRPr="006623E1">
              <w:rPr>
                <w:rStyle w:val="Hipervnculo"/>
                <w:bCs/>
                <w:noProof/>
              </w:rPr>
              <w:t>R E S U E L V E</w:t>
            </w:r>
            <w:r w:rsidR="006623E1" w:rsidRPr="006623E1">
              <w:rPr>
                <w:noProof/>
                <w:webHidden/>
              </w:rPr>
              <w:tab/>
            </w:r>
            <w:r w:rsidR="006623E1" w:rsidRPr="006623E1">
              <w:rPr>
                <w:noProof/>
                <w:webHidden/>
              </w:rPr>
              <w:fldChar w:fldCharType="begin"/>
            </w:r>
            <w:r w:rsidR="006623E1" w:rsidRPr="006623E1">
              <w:rPr>
                <w:noProof/>
                <w:webHidden/>
              </w:rPr>
              <w:instrText xml:space="preserve"> PAGEREF _Toc219386025 \h </w:instrText>
            </w:r>
            <w:r w:rsidR="006623E1" w:rsidRPr="006623E1">
              <w:rPr>
                <w:noProof/>
                <w:webHidden/>
              </w:rPr>
            </w:r>
            <w:r w:rsidR="006623E1" w:rsidRPr="006623E1">
              <w:rPr>
                <w:noProof/>
                <w:webHidden/>
              </w:rPr>
              <w:fldChar w:fldCharType="separate"/>
            </w:r>
            <w:r w:rsidR="00A15CA2">
              <w:rPr>
                <w:noProof/>
                <w:webHidden/>
              </w:rPr>
              <w:t>33</w:t>
            </w:r>
            <w:r w:rsidR="006623E1" w:rsidRPr="006623E1">
              <w:rPr>
                <w:noProof/>
                <w:webHidden/>
              </w:rPr>
              <w:fldChar w:fldCharType="end"/>
            </w:r>
          </w:hyperlink>
        </w:p>
        <w:p w14:paraId="3182D7EF" w14:textId="1AB6B08F" w:rsidR="0047171B" w:rsidRDefault="0047171B">
          <w:r w:rsidRPr="006623E1">
            <w:rPr>
              <w:bCs/>
              <w:lang w:val="es-ES"/>
            </w:rPr>
            <w:fldChar w:fldCharType="end"/>
          </w:r>
        </w:p>
      </w:sdtContent>
    </w:sdt>
    <w:p w14:paraId="4C2BF662" w14:textId="428CC61F" w:rsidR="0047171B" w:rsidRDefault="0047171B" w:rsidP="0019381D">
      <w:pPr>
        <w:tabs>
          <w:tab w:val="left" w:pos="8931"/>
        </w:tabs>
        <w:spacing w:after="0" w:line="360" w:lineRule="auto"/>
        <w:contextualSpacing/>
        <w:rPr>
          <w:rFonts w:cs="Tahoma"/>
          <w:bCs/>
          <w:color w:val="auto"/>
        </w:rPr>
      </w:pPr>
    </w:p>
    <w:p w14:paraId="2D996CA7" w14:textId="71EA10E4" w:rsidR="0047171B" w:rsidRDefault="0047171B">
      <w:pPr>
        <w:jc w:val="left"/>
        <w:rPr>
          <w:rFonts w:cs="Tahoma"/>
          <w:bCs/>
          <w:color w:val="auto"/>
        </w:rPr>
      </w:pPr>
      <w:r>
        <w:rPr>
          <w:rFonts w:cs="Tahoma"/>
          <w:bCs/>
          <w:color w:val="auto"/>
        </w:rPr>
        <w:br w:type="page"/>
      </w:r>
    </w:p>
    <w:p w14:paraId="3B96ECF2" w14:textId="77777777" w:rsidR="0047171B" w:rsidRDefault="0047171B" w:rsidP="0019381D">
      <w:pPr>
        <w:tabs>
          <w:tab w:val="left" w:pos="8931"/>
        </w:tabs>
        <w:spacing w:after="0" w:line="360" w:lineRule="auto"/>
        <w:contextualSpacing/>
        <w:rPr>
          <w:rFonts w:cs="Tahoma"/>
          <w:bCs/>
          <w:color w:val="auto"/>
        </w:rPr>
      </w:pPr>
    </w:p>
    <w:p w14:paraId="3200F1A8" w14:textId="7E9F9BE1" w:rsidR="00F505D5" w:rsidRPr="000515C8" w:rsidRDefault="00F505D5" w:rsidP="0019381D">
      <w:pPr>
        <w:tabs>
          <w:tab w:val="left" w:pos="8931"/>
        </w:tabs>
        <w:spacing w:after="0" w:line="360" w:lineRule="auto"/>
        <w:contextualSpacing/>
        <w:rPr>
          <w:rFonts w:eastAsia="Calibri" w:cs="Tahoma"/>
          <w:color w:val="auto"/>
          <w:lang w:val="es-ES"/>
        </w:rPr>
      </w:pPr>
      <w:r w:rsidRPr="000515C8">
        <w:rPr>
          <w:rFonts w:cs="Tahoma"/>
          <w:bCs/>
          <w:color w:val="auto"/>
        </w:rPr>
        <w:t xml:space="preserve">Resolución del Pleno del Instituto de Transparencia, Acceso a la Información Pública y Protección de Datos Personales del Estado de México y Municipios, con domicilio en Metepec, </w:t>
      </w:r>
      <w:r w:rsidRPr="000515C8">
        <w:rPr>
          <w:rFonts w:eastAsia="Calibri" w:cs="Tahoma"/>
          <w:color w:val="auto"/>
          <w:lang w:val="es-ES"/>
        </w:rPr>
        <w:t xml:space="preserve">Estado de México, de </w:t>
      </w:r>
      <w:r w:rsidR="00591F8C" w:rsidRPr="000515C8">
        <w:rPr>
          <w:rFonts w:eastAsia="Calibri" w:cs="Tahoma"/>
          <w:color w:val="auto"/>
          <w:lang w:val="es-ES"/>
        </w:rPr>
        <w:t xml:space="preserve">fecha </w:t>
      </w:r>
      <w:r w:rsidR="006A2B15" w:rsidRPr="000515C8">
        <w:rPr>
          <w:rFonts w:eastAsia="Calibri" w:cs="Tahoma"/>
          <w:color w:val="auto"/>
          <w:lang w:val="es-ES"/>
        </w:rPr>
        <w:t>catorce de enero</w:t>
      </w:r>
      <w:r w:rsidR="00773791" w:rsidRPr="000515C8">
        <w:rPr>
          <w:rFonts w:eastAsia="Calibri" w:cs="Tahoma"/>
          <w:color w:val="auto"/>
          <w:lang w:val="es-ES"/>
        </w:rPr>
        <w:t xml:space="preserve"> de dos mil </w:t>
      </w:r>
      <w:r w:rsidR="006A2B15" w:rsidRPr="000515C8">
        <w:rPr>
          <w:rFonts w:eastAsia="Calibri" w:cs="Tahoma"/>
          <w:color w:val="auto"/>
          <w:lang w:val="es-ES"/>
        </w:rPr>
        <w:t>veintiséis</w:t>
      </w:r>
      <w:r w:rsidR="0046693C" w:rsidRPr="000515C8">
        <w:rPr>
          <w:rFonts w:eastAsia="Calibri" w:cs="Tahoma"/>
          <w:color w:val="auto"/>
          <w:lang w:val="es-ES"/>
        </w:rPr>
        <w:t>.</w:t>
      </w:r>
    </w:p>
    <w:p w14:paraId="69437AEB" w14:textId="77777777" w:rsidR="00F505D5" w:rsidRPr="000515C8" w:rsidRDefault="00F505D5" w:rsidP="0019381D">
      <w:pPr>
        <w:spacing w:after="0" w:line="360" w:lineRule="auto"/>
        <w:contextualSpacing/>
        <w:rPr>
          <w:rFonts w:eastAsia="Calibri" w:cs="Tahoma"/>
          <w:b/>
          <w:bCs/>
          <w:color w:val="auto"/>
          <w:lang w:val="es-ES"/>
        </w:rPr>
      </w:pPr>
    </w:p>
    <w:p w14:paraId="5CCF6EBF" w14:textId="184CC2A9" w:rsidR="00F505D5" w:rsidRPr="000515C8" w:rsidRDefault="00F505D5" w:rsidP="0019381D">
      <w:pPr>
        <w:spacing w:after="0" w:line="360" w:lineRule="auto"/>
        <w:contextualSpacing/>
        <w:rPr>
          <w:b/>
          <w:bCs/>
          <w:color w:val="auto"/>
        </w:rPr>
      </w:pPr>
      <w:r w:rsidRPr="000515C8">
        <w:rPr>
          <w:rFonts w:eastAsia="Calibri" w:cs="Tahoma"/>
          <w:b/>
          <w:bCs/>
          <w:color w:val="auto"/>
          <w:lang w:val="es-ES"/>
        </w:rPr>
        <w:t xml:space="preserve">VISTO </w:t>
      </w:r>
      <w:r w:rsidRPr="000515C8">
        <w:rPr>
          <w:rFonts w:eastAsia="Calibri" w:cs="Tahoma"/>
          <w:color w:val="auto"/>
          <w:lang w:val="es-ES"/>
        </w:rPr>
        <w:t xml:space="preserve">el expediente conformado con motivo del Recurso de Revisión </w:t>
      </w:r>
      <w:r w:rsidR="006A2B15" w:rsidRPr="000515C8">
        <w:rPr>
          <w:rFonts w:eastAsia="Calibri" w:cs="Tahoma"/>
          <w:b/>
          <w:bCs/>
          <w:color w:val="auto"/>
        </w:rPr>
        <w:t>13371</w:t>
      </w:r>
      <w:r w:rsidR="00773791" w:rsidRPr="000515C8">
        <w:rPr>
          <w:rFonts w:eastAsia="Calibri" w:cs="Tahoma"/>
          <w:b/>
          <w:bCs/>
          <w:color w:val="auto"/>
        </w:rPr>
        <w:t>/INFOEM/IP/RR/2025</w:t>
      </w:r>
      <w:r w:rsidRPr="000515C8">
        <w:rPr>
          <w:rFonts w:eastAsia="Calibri" w:cs="Tahoma"/>
          <w:color w:val="auto"/>
        </w:rPr>
        <w:t xml:space="preserve">, </w:t>
      </w:r>
      <w:r w:rsidR="00661311" w:rsidRPr="000515C8">
        <w:rPr>
          <w:color w:val="auto"/>
        </w:rPr>
        <w:t xml:space="preserve">interpuesto por </w:t>
      </w:r>
      <w:r w:rsidR="000622EA" w:rsidRPr="000622EA">
        <w:rPr>
          <w:rFonts w:eastAsia="Calibri" w:cs="Tahoma"/>
          <w:color w:val="auto"/>
          <w:highlight w:val="black"/>
        </w:rPr>
        <w:t>XXXXXXXXXXXXXXXXXXXXX</w:t>
      </w:r>
      <w:r w:rsidR="0046693C" w:rsidRPr="000515C8">
        <w:rPr>
          <w:rFonts w:eastAsia="Calibri" w:cs="Tahoma"/>
          <w:color w:val="auto"/>
        </w:rPr>
        <w:t>, en lo sucesivo</w:t>
      </w:r>
      <w:r w:rsidR="00544F32" w:rsidRPr="000515C8">
        <w:rPr>
          <w:rFonts w:eastAsia="Calibri" w:cs="Tahoma"/>
          <w:color w:val="auto"/>
        </w:rPr>
        <w:t xml:space="preserve"> </w:t>
      </w:r>
      <w:r w:rsidRPr="000515C8">
        <w:rPr>
          <w:rFonts w:cs="Tahoma"/>
          <w:color w:val="auto"/>
        </w:rPr>
        <w:t xml:space="preserve">Recurrente o Particular, en contra de la falta de respuesta del Sujeto Obligado, </w:t>
      </w:r>
      <w:r w:rsidR="006A2B15" w:rsidRPr="00F27393">
        <w:rPr>
          <w:rFonts w:cs="Tahoma"/>
          <w:b/>
          <w:color w:val="auto"/>
        </w:rPr>
        <w:t>Ayuntamiento de Chiconcuac</w:t>
      </w:r>
      <w:r w:rsidRPr="00F27393">
        <w:rPr>
          <w:rFonts w:cs="Tahoma"/>
          <w:b/>
          <w:color w:val="auto"/>
        </w:rPr>
        <w:t>,</w:t>
      </w:r>
      <w:r w:rsidRPr="000515C8">
        <w:rPr>
          <w:rFonts w:cs="Tahoma"/>
          <w:color w:val="auto"/>
        </w:rPr>
        <w:t xml:space="preserve"> a la solicitud de acceso a la información pública</w:t>
      </w:r>
      <w:r w:rsidRPr="000515C8">
        <w:rPr>
          <w:b/>
          <w:bCs/>
          <w:color w:val="auto"/>
        </w:rPr>
        <w:t> </w:t>
      </w:r>
      <w:r w:rsidR="006A2B15" w:rsidRPr="000515C8">
        <w:rPr>
          <w:rFonts w:cs="Tahoma"/>
          <w:b/>
          <w:bCs/>
          <w:color w:val="auto"/>
        </w:rPr>
        <w:t>00139/CHICONCU/IP/2025</w:t>
      </w:r>
      <w:r w:rsidRPr="000515C8">
        <w:rPr>
          <w:rFonts w:cs="Tahoma"/>
          <w:iCs/>
          <w:color w:val="auto"/>
        </w:rPr>
        <w:t>,</w:t>
      </w:r>
      <w:r w:rsidRPr="000515C8">
        <w:rPr>
          <w:rFonts w:cs="Tahoma"/>
          <w:color w:val="auto"/>
        </w:rPr>
        <w:t xml:space="preserve"> se emite</w:t>
      </w:r>
      <w:r w:rsidRPr="000515C8">
        <w:rPr>
          <w:rFonts w:cs="Tahoma"/>
          <w:bCs/>
          <w:color w:val="auto"/>
        </w:rPr>
        <w:t xml:space="preserve"> la presente Resolución, con base en los Antecedentes y Considerandos que se exponen a continuación:</w:t>
      </w:r>
    </w:p>
    <w:p w14:paraId="1CD88C60" w14:textId="77777777" w:rsidR="00F505D5" w:rsidRPr="000515C8" w:rsidRDefault="00F505D5" w:rsidP="0019381D">
      <w:pPr>
        <w:spacing w:after="0" w:line="360" w:lineRule="auto"/>
        <w:contextualSpacing/>
        <w:rPr>
          <w:rFonts w:eastAsia="Calibri" w:cs="Tahoma"/>
          <w:b/>
          <w:bCs/>
          <w:color w:val="auto"/>
        </w:rPr>
      </w:pPr>
    </w:p>
    <w:p w14:paraId="3A8E036F" w14:textId="34A85CD9" w:rsidR="00F505D5" w:rsidRPr="0047171B" w:rsidRDefault="0046693C" w:rsidP="0047171B">
      <w:pPr>
        <w:pStyle w:val="Ttulo1"/>
        <w:jc w:val="center"/>
        <w:rPr>
          <w:rFonts w:ascii="Palatino Linotype" w:eastAsia="Calibri" w:hAnsi="Palatino Linotype"/>
          <w:b/>
          <w:bCs/>
          <w:color w:val="auto"/>
          <w:sz w:val="22"/>
          <w:szCs w:val="22"/>
          <w:lang w:val="es-ES"/>
        </w:rPr>
      </w:pPr>
      <w:bookmarkStart w:id="0" w:name="_Toc219386013"/>
      <w:r w:rsidRPr="0047171B">
        <w:rPr>
          <w:rFonts w:ascii="Palatino Linotype" w:eastAsia="Calibri" w:hAnsi="Palatino Linotype"/>
          <w:b/>
          <w:bCs/>
          <w:color w:val="auto"/>
          <w:sz w:val="22"/>
          <w:szCs w:val="22"/>
          <w:lang w:val="es-ES"/>
        </w:rPr>
        <w:t>A N T E C E D E N T E S</w:t>
      </w:r>
      <w:bookmarkEnd w:id="0"/>
    </w:p>
    <w:p w14:paraId="75269AE1" w14:textId="77777777" w:rsidR="00F505D5" w:rsidRPr="0047171B" w:rsidRDefault="00F505D5" w:rsidP="0019381D">
      <w:pPr>
        <w:spacing w:after="0" w:line="360" w:lineRule="auto"/>
        <w:contextualSpacing/>
        <w:rPr>
          <w:b/>
          <w:bCs/>
          <w:color w:val="auto"/>
          <w:lang w:val="es-ES"/>
        </w:rPr>
      </w:pPr>
    </w:p>
    <w:p w14:paraId="6510969B" w14:textId="4DFBB1C1" w:rsidR="00F505D5" w:rsidRPr="0047171B" w:rsidRDefault="00F505D5" w:rsidP="0047171B">
      <w:pPr>
        <w:pStyle w:val="Ttulo2"/>
        <w:rPr>
          <w:rFonts w:ascii="Palatino Linotype" w:eastAsia="Calibri" w:hAnsi="Palatino Linotype"/>
          <w:b/>
          <w:bCs/>
          <w:color w:val="auto"/>
          <w:sz w:val="22"/>
          <w:szCs w:val="22"/>
          <w:lang w:val="es-ES"/>
        </w:rPr>
      </w:pPr>
      <w:bookmarkStart w:id="1" w:name="_Toc219386014"/>
      <w:r w:rsidRPr="0047171B">
        <w:rPr>
          <w:rFonts w:ascii="Palatino Linotype" w:eastAsia="Calibri" w:hAnsi="Palatino Linotype"/>
          <w:b/>
          <w:bCs/>
          <w:color w:val="auto"/>
          <w:sz w:val="22"/>
          <w:szCs w:val="22"/>
          <w:lang w:val="es-ES"/>
        </w:rPr>
        <w:t>I. Presentación</w:t>
      </w:r>
      <w:r w:rsidR="00917D11" w:rsidRPr="0047171B">
        <w:rPr>
          <w:rFonts w:ascii="Palatino Linotype" w:eastAsia="Calibri" w:hAnsi="Palatino Linotype"/>
          <w:b/>
          <w:bCs/>
          <w:color w:val="auto"/>
          <w:sz w:val="22"/>
          <w:szCs w:val="22"/>
          <w:lang w:val="es-ES"/>
        </w:rPr>
        <w:t xml:space="preserve"> de la solicitud de información</w:t>
      </w:r>
      <w:bookmarkEnd w:id="1"/>
    </w:p>
    <w:p w14:paraId="486EB5AA" w14:textId="77777777" w:rsidR="00F505D5" w:rsidRPr="000515C8" w:rsidRDefault="00F505D5" w:rsidP="0019381D">
      <w:pPr>
        <w:spacing w:after="0" w:line="360" w:lineRule="auto"/>
        <w:contextualSpacing/>
        <w:rPr>
          <w:rFonts w:eastAsia="Calibri" w:cs="Tahoma"/>
          <w:b/>
          <w:bCs/>
          <w:color w:val="auto"/>
          <w:lang w:val="es-ES"/>
        </w:rPr>
      </w:pPr>
    </w:p>
    <w:p w14:paraId="5A3C102D" w14:textId="67212F27" w:rsidR="00F505D5" w:rsidRPr="000515C8" w:rsidRDefault="00544F32" w:rsidP="0019381D">
      <w:pPr>
        <w:spacing w:after="0" w:line="360" w:lineRule="auto"/>
        <w:contextualSpacing/>
        <w:rPr>
          <w:rFonts w:eastAsia="Calibri" w:cs="Tahoma"/>
          <w:color w:val="auto"/>
          <w:lang w:val="es-ES"/>
        </w:rPr>
      </w:pPr>
      <w:r w:rsidRPr="000515C8">
        <w:rPr>
          <w:rFonts w:eastAsia="Calibri" w:cs="Tahoma"/>
          <w:color w:val="auto"/>
          <w:lang w:val="es-ES"/>
        </w:rPr>
        <w:t xml:space="preserve">El </w:t>
      </w:r>
      <w:r w:rsidR="007F2A65" w:rsidRPr="000515C8">
        <w:rPr>
          <w:rFonts w:eastAsia="Calibri" w:cs="Tahoma"/>
          <w:color w:val="auto"/>
          <w:lang w:val="es-ES"/>
        </w:rPr>
        <w:t>catorce de noviembre de dos mil veinticinco</w:t>
      </w:r>
      <w:r w:rsidR="00917D11" w:rsidRPr="000515C8">
        <w:rPr>
          <w:rFonts w:eastAsia="Calibri" w:cs="Tahoma"/>
          <w:color w:val="auto"/>
          <w:lang w:val="es-ES"/>
        </w:rPr>
        <w:t xml:space="preserve"> </w:t>
      </w:r>
      <w:r w:rsidR="00F505D5" w:rsidRPr="000515C8">
        <w:rPr>
          <w:rFonts w:eastAsia="Calibri" w:cs="Tahoma"/>
          <w:color w:val="auto"/>
          <w:lang w:val="es-ES"/>
        </w:rPr>
        <w:t xml:space="preserve">se presentó una solicitud de información del Particular, </w:t>
      </w:r>
      <w:r w:rsidR="00661311" w:rsidRPr="000515C8">
        <w:rPr>
          <w:rFonts w:cs="Tahoma"/>
          <w:color w:val="auto"/>
        </w:rPr>
        <w:t>a través de</w:t>
      </w:r>
      <w:r w:rsidR="001A3135" w:rsidRPr="000515C8">
        <w:rPr>
          <w:rFonts w:cs="Tahoma"/>
          <w:color w:val="auto"/>
        </w:rPr>
        <w:t>l Sistema de Acceso a la Información Mexiquense SAIMEX</w:t>
      </w:r>
      <w:r w:rsidR="00F505D5" w:rsidRPr="000515C8">
        <w:rPr>
          <w:rFonts w:eastAsia="Calibri" w:cs="Tahoma"/>
          <w:color w:val="auto"/>
          <w:lang w:val="es-ES"/>
        </w:rPr>
        <w:t>, ante el</w:t>
      </w:r>
      <w:r w:rsidR="00F505D5" w:rsidRPr="000515C8">
        <w:rPr>
          <w:color w:val="auto"/>
        </w:rPr>
        <w:t xml:space="preserve"> </w:t>
      </w:r>
      <w:r w:rsidR="006A2B15" w:rsidRPr="000515C8">
        <w:rPr>
          <w:color w:val="auto"/>
        </w:rPr>
        <w:t>Ayuntamiento de Chiconcuac</w:t>
      </w:r>
      <w:r w:rsidR="00F505D5" w:rsidRPr="000515C8">
        <w:rPr>
          <w:rFonts w:eastAsia="Calibri" w:cs="Tahoma"/>
          <w:color w:val="auto"/>
        </w:rPr>
        <w:t xml:space="preserve">, </w:t>
      </w:r>
      <w:r w:rsidR="00F505D5" w:rsidRPr="000515C8">
        <w:rPr>
          <w:rFonts w:cs="Tahoma"/>
          <w:color w:val="auto"/>
        </w:rPr>
        <w:t>en los siguientes términos:</w:t>
      </w:r>
    </w:p>
    <w:p w14:paraId="4D456AE2" w14:textId="77777777" w:rsidR="00F505D5" w:rsidRPr="000515C8" w:rsidRDefault="00F505D5" w:rsidP="0019381D">
      <w:pPr>
        <w:spacing w:after="0" w:line="360" w:lineRule="auto"/>
        <w:contextualSpacing/>
        <w:rPr>
          <w:rFonts w:cs="Tahoma"/>
          <w:color w:val="auto"/>
        </w:rPr>
      </w:pPr>
    </w:p>
    <w:p w14:paraId="7B224673" w14:textId="77777777" w:rsidR="00F505D5" w:rsidRPr="000515C8" w:rsidRDefault="00F505D5" w:rsidP="0019381D">
      <w:pPr>
        <w:tabs>
          <w:tab w:val="left" w:pos="4667"/>
        </w:tabs>
        <w:spacing w:after="0" w:line="360" w:lineRule="auto"/>
        <w:ind w:left="567" w:right="567"/>
        <w:contextualSpacing/>
        <w:rPr>
          <w:rFonts w:cs="Tahoma"/>
          <w:b/>
          <w:bCs/>
          <w:i/>
          <w:color w:val="auto"/>
          <w:sz w:val="20"/>
          <w:szCs w:val="20"/>
        </w:rPr>
      </w:pPr>
      <w:r w:rsidRPr="000515C8">
        <w:rPr>
          <w:rFonts w:cs="Tahoma"/>
          <w:b/>
          <w:bCs/>
          <w:i/>
          <w:color w:val="auto"/>
          <w:sz w:val="20"/>
          <w:szCs w:val="20"/>
        </w:rPr>
        <w:t>“DESCRIPCIÓN CLARA Y PRECISA DE LA INFORMACIÓN SOLICITADA</w:t>
      </w:r>
    </w:p>
    <w:p w14:paraId="16958E9A" w14:textId="7A74D49E" w:rsidR="00A40551" w:rsidRPr="000515C8" w:rsidRDefault="006A2B15" w:rsidP="0019381D">
      <w:pPr>
        <w:tabs>
          <w:tab w:val="left" w:pos="4667"/>
        </w:tabs>
        <w:spacing w:after="0" w:line="360" w:lineRule="auto"/>
        <w:ind w:left="567" w:right="567"/>
        <w:contextualSpacing/>
        <w:rPr>
          <w:rFonts w:eastAsia="Palatino Linotype" w:cs="Palatino Linotype"/>
          <w:bCs/>
          <w:i/>
          <w:color w:val="auto"/>
          <w:sz w:val="20"/>
          <w:szCs w:val="20"/>
          <w:lang w:eastAsia="es-MX"/>
        </w:rPr>
      </w:pPr>
      <w:r w:rsidRPr="000515C8">
        <w:rPr>
          <w:rFonts w:eastAsia="Palatino Linotype" w:cs="Palatino Linotype"/>
          <w:bCs/>
          <w:i/>
          <w:color w:val="auto"/>
          <w:sz w:val="20"/>
          <w:szCs w:val="20"/>
          <w:lang w:eastAsia="es-MX"/>
        </w:rPr>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00F505D5" w:rsidRPr="000515C8">
        <w:rPr>
          <w:rFonts w:eastAsia="Palatino Linotype" w:cs="Palatino Linotype"/>
          <w:bCs/>
          <w:i/>
          <w:color w:val="auto"/>
          <w:sz w:val="20"/>
          <w:szCs w:val="20"/>
          <w:lang w:eastAsia="es-MX"/>
        </w:rPr>
        <w:t xml:space="preserve">” </w:t>
      </w:r>
      <w:r w:rsidR="00917D11" w:rsidRPr="000515C8">
        <w:rPr>
          <w:rFonts w:eastAsia="Palatino Linotype" w:cs="Palatino Linotype"/>
          <w:bCs/>
          <w:i/>
          <w:color w:val="auto"/>
          <w:sz w:val="20"/>
          <w:szCs w:val="20"/>
          <w:lang w:eastAsia="es-MX"/>
        </w:rPr>
        <w:t>(Sic)</w:t>
      </w:r>
    </w:p>
    <w:p w14:paraId="7FBC4EFE" w14:textId="77777777" w:rsidR="00917D11" w:rsidRPr="000515C8" w:rsidRDefault="00917D11" w:rsidP="0019381D">
      <w:pPr>
        <w:tabs>
          <w:tab w:val="left" w:pos="4667"/>
        </w:tabs>
        <w:spacing w:after="0" w:line="360" w:lineRule="auto"/>
        <w:ind w:left="567" w:right="567"/>
        <w:contextualSpacing/>
        <w:rPr>
          <w:rFonts w:eastAsia="Palatino Linotype" w:cs="Palatino Linotype"/>
          <w:b/>
          <w:i/>
          <w:color w:val="auto"/>
          <w:sz w:val="20"/>
          <w:szCs w:val="20"/>
          <w:lang w:eastAsia="es-MX"/>
        </w:rPr>
      </w:pPr>
    </w:p>
    <w:p w14:paraId="0FA614C1" w14:textId="77777777" w:rsidR="00661311" w:rsidRPr="000515C8" w:rsidRDefault="00661311" w:rsidP="0019381D">
      <w:pPr>
        <w:tabs>
          <w:tab w:val="left" w:pos="4667"/>
        </w:tabs>
        <w:spacing w:after="0" w:line="360" w:lineRule="auto"/>
        <w:ind w:left="567" w:right="567"/>
        <w:contextualSpacing/>
        <w:rPr>
          <w:rFonts w:eastAsia="Palatino Linotype" w:cs="Palatino Linotype"/>
          <w:b/>
          <w:i/>
          <w:color w:val="auto"/>
          <w:sz w:val="20"/>
          <w:szCs w:val="20"/>
          <w:lang w:eastAsia="es-MX"/>
        </w:rPr>
      </w:pPr>
    </w:p>
    <w:p w14:paraId="36DB2141" w14:textId="77777777" w:rsidR="0019381D" w:rsidRDefault="0019381D" w:rsidP="0019381D">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lastRenderedPageBreak/>
        <w:t>“MODALIDAD DE ENTREGA</w:t>
      </w:r>
    </w:p>
    <w:p w14:paraId="0F977AFB" w14:textId="77777777" w:rsidR="0019381D" w:rsidRDefault="0019381D" w:rsidP="0019381D">
      <w:pPr>
        <w:tabs>
          <w:tab w:val="left" w:pos="4667"/>
        </w:tabs>
        <w:spacing w:after="0" w:line="360" w:lineRule="auto"/>
        <w:ind w:left="567" w:right="567"/>
        <w:rPr>
          <w:rFonts w:eastAsia="Times New Roman" w:cs="Tahoma"/>
          <w:b/>
          <w:bCs/>
          <w:i/>
          <w:iCs/>
          <w:color w:val="auto"/>
          <w:sz w:val="20"/>
          <w:lang w:eastAsia="es-ES"/>
        </w:rPr>
      </w:pPr>
      <w:r>
        <w:rPr>
          <w:rFonts w:eastAsia="Times New Roman" w:cs="Arial"/>
          <w:bCs/>
          <w:i/>
          <w:iCs/>
          <w:color w:val="auto"/>
          <w:sz w:val="20"/>
          <w:lang w:eastAsia="es-ES"/>
        </w:rPr>
        <w:t>A través del SAIMEX”</w:t>
      </w:r>
    </w:p>
    <w:p w14:paraId="15DDD9ED" w14:textId="77777777" w:rsidR="00917D11" w:rsidRPr="000515C8" w:rsidRDefault="00917D11" w:rsidP="0019381D">
      <w:pPr>
        <w:spacing w:after="0" w:line="360" w:lineRule="auto"/>
        <w:contextualSpacing/>
        <w:rPr>
          <w:rFonts w:eastAsia="Palatino Linotype" w:cs="Palatino Linotype"/>
          <w:color w:val="auto"/>
          <w:lang w:eastAsia="es-MX"/>
        </w:rPr>
      </w:pPr>
    </w:p>
    <w:p w14:paraId="52FB3433" w14:textId="77777777" w:rsidR="001A3135" w:rsidRPr="000515C8" w:rsidRDefault="001A3135" w:rsidP="0047171B">
      <w:pPr>
        <w:pStyle w:val="Ttulo2"/>
        <w:rPr>
          <w:rFonts w:eastAsia="Palatino Linotype"/>
          <w:lang w:eastAsia="es-ES_tradnl"/>
        </w:rPr>
      </w:pPr>
      <w:bookmarkStart w:id="2" w:name="_Toc219386015"/>
      <w:r w:rsidRPr="0047171B">
        <w:rPr>
          <w:rFonts w:ascii="Palatino Linotype" w:eastAsia="Palatino Linotype" w:hAnsi="Palatino Linotype"/>
          <w:b/>
          <w:bCs/>
          <w:color w:val="auto"/>
          <w:sz w:val="22"/>
          <w:szCs w:val="22"/>
          <w:lang w:eastAsia="es-ES_tradnl"/>
        </w:rPr>
        <w:t>II. Respuesta del Sujeto Obligado</w:t>
      </w:r>
      <w:bookmarkEnd w:id="2"/>
    </w:p>
    <w:p w14:paraId="0A0E7CF8" w14:textId="77777777" w:rsidR="001A3135" w:rsidRPr="000515C8" w:rsidRDefault="001A3135" w:rsidP="0019381D">
      <w:pPr>
        <w:spacing w:after="0" w:line="360" w:lineRule="auto"/>
        <w:contextualSpacing/>
        <w:rPr>
          <w:rFonts w:eastAsia="Palatino Linotype" w:cs="Palatino Linotype"/>
          <w:b/>
          <w:color w:val="auto"/>
          <w:lang w:eastAsia="es-ES_tradnl"/>
        </w:rPr>
      </w:pPr>
    </w:p>
    <w:p w14:paraId="23C76424" w14:textId="6BD86DBF" w:rsidR="006A2B1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 xml:space="preserve">Con fecha </w:t>
      </w:r>
      <w:r w:rsidR="006A2B15" w:rsidRPr="000515C8">
        <w:rPr>
          <w:rFonts w:eastAsia="Palatino Linotype" w:cs="Palatino Linotype"/>
          <w:color w:val="auto"/>
          <w:lang w:eastAsia="es-ES_tradnl"/>
        </w:rPr>
        <w:t>dos de diciembre</w:t>
      </w:r>
      <w:r w:rsidRPr="000515C8">
        <w:rPr>
          <w:rFonts w:eastAsia="Palatino Linotype" w:cs="Palatino Linotype"/>
          <w:color w:val="auto"/>
          <w:lang w:eastAsia="es-ES_tradnl"/>
        </w:rPr>
        <w:t xml:space="preserve"> dos mil veinticinco, el Sujeto Obligado notificó, a través del Sistema de Acceso a la Información Mexiquense (SAIMEX), la respuesta a la solicitud de acceso a la información pública, por medio </w:t>
      </w:r>
      <w:r w:rsidR="00733AAE" w:rsidRPr="000515C8">
        <w:rPr>
          <w:rFonts w:eastAsia="Palatino Linotype" w:cs="Palatino Linotype"/>
          <w:color w:val="auto"/>
          <w:lang w:eastAsia="es-ES_tradnl"/>
        </w:rPr>
        <w:t>de</w:t>
      </w:r>
      <w:r w:rsidR="006A2B15" w:rsidRPr="000515C8">
        <w:rPr>
          <w:rFonts w:eastAsia="Palatino Linotype" w:cs="Palatino Linotype"/>
          <w:color w:val="auto"/>
          <w:lang w:eastAsia="es-ES_tradnl"/>
        </w:rPr>
        <w:t>l cual el Director de Desarrollo Económico y Mejora Regulatoria, señaló que tiene registradas cinco unidades económicas con dicha actividad, pero que so número telefónico y correo electrónico era confidencial.</w:t>
      </w:r>
    </w:p>
    <w:p w14:paraId="66C28982" w14:textId="77777777" w:rsidR="006A2B15" w:rsidRPr="000515C8" w:rsidRDefault="006A2B15" w:rsidP="0019381D">
      <w:pPr>
        <w:spacing w:after="0" w:line="360" w:lineRule="auto"/>
        <w:contextualSpacing/>
        <w:rPr>
          <w:rFonts w:eastAsia="Palatino Linotype" w:cs="Palatino Linotype"/>
          <w:color w:val="auto"/>
          <w:lang w:eastAsia="es-ES_tradnl"/>
        </w:rPr>
      </w:pPr>
    </w:p>
    <w:p w14:paraId="539BCF6B" w14:textId="77777777" w:rsidR="001A3135" w:rsidRPr="0047171B" w:rsidRDefault="001A3135" w:rsidP="0047171B">
      <w:pPr>
        <w:pStyle w:val="Ttulo2"/>
        <w:rPr>
          <w:rFonts w:ascii="Palatino Linotype" w:eastAsia="Palatino Linotype" w:hAnsi="Palatino Linotype"/>
          <w:b/>
          <w:bCs/>
          <w:color w:val="auto"/>
          <w:sz w:val="22"/>
          <w:szCs w:val="22"/>
          <w:lang w:eastAsia="es-ES_tradnl"/>
        </w:rPr>
      </w:pPr>
      <w:bookmarkStart w:id="3" w:name="_Toc219386016"/>
      <w:r w:rsidRPr="0047171B">
        <w:rPr>
          <w:rFonts w:ascii="Palatino Linotype" w:eastAsia="Palatino Linotype" w:hAnsi="Palatino Linotype"/>
          <w:b/>
          <w:bCs/>
          <w:color w:val="auto"/>
          <w:sz w:val="22"/>
          <w:szCs w:val="22"/>
          <w:lang w:eastAsia="es-ES_tradnl"/>
        </w:rPr>
        <w:t>III. Interposición del Recurso de Revisión</w:t>
      </w:r>
      <w:bookmarkEnd w:id="3"/>
    </w:p>
    <w:p w14:paraId="1B711783" w14:textId="77777777" w:rsidR="001A3135" w:rsidRPr="000515C8" w:rsidRDefault="001A3135" w:rsidP="0019381D">
      <w:pPr>
        <w:spacing w:after="0" w:line="360" w:lineRule="auto"/>
        <w:contextualSpacing/>
        <w:rPr>
          <w:rFonts w:eastAsia="Palatino Linotype" w:cs="Palatino Linotype"/>
          <w:b/>
          <w:color w:val="auto"/>
          <w:lang w:eastAsia="es-ES_tradnl"/>
        </w:rPr>
      </w:pPr>
    </w:p>
    <w:p w14:paraId="5C9FB5AF" w14:textId="11B747FF"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 xml:space="preserve">Con fecha </w:t>
      </w:r>
      <w:r w:rsidR="006A2B15" w:rsidRPr="000515C8">
        <w:rPr>
          <w:rFonts w:eastAsia="Palatino Linotype" w:cs="Palatino Linotype"/>
          <w:color w:val="auto"/>
          <w:lang w:eastAsia="es-ES_tradnl"/>
        </w:rPr>
        <w:t>dos de diciembre</w:t>
      </w:r>
      <w:r w:rsidRPr="000515C8">
        <w:rPr>
          <w:rFonts w:eastAsia="Palatino Linotype" w:cs="Palatino Linotype"/>
          <w:color w:val="auto"/>
          <w:lang w:eastAsia="es-ES_tradnl"/>
        </w:rPr>
        <w:t xml:space="preserve"> de dos mil veinticinco,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7609E425" w14:textId="77777777" w:rsidR="001A3135" w:rsidRPr="000515C8" w:rsidRDefault="001A3135" w:rsidP="0019381D">
      <w:pPr>
        <w:spacing w:after="0" w:line="360" w:lineRule="auto"/>
        <w:contextualSpacing/>
        <w:rPr>
          <w:rFonts w:eastAsia="Palatino Linotype" w:cs="Palatino Linotype"/>
          <w:b/>
          <w:color w:val="auto"/>
          <w:lang w:eastAsia="es-ES_tradnl"/>
        </w:rPr>
      </w:pPr>
    </w:p>
    <w:p w14:paraId="74825D05" w14:textId="77777777" w:rsidR="001A3135" w:rsidRPr="000515C8" w:rsidRDefault="001A3135" w:rsidP="0019381D">
      <w:pPr>
        <w:spacing w:after="0" w:line="360" w:lineRule="auto"/>
        <w:ind w:left="567" w:right="567"/>
        <w:contextualSpacing/>
        <w:rPr>
          <w:rFonts w:eastAsia="Palatino Linotype" w:cs="Palatino Linotype"/>
          <w:b/>
          <w:i/>
          <w:iCs/>
          <w:color w:val="auto"/>
          <w:sz w:val="20"/>
          <w:szCs w:val="20"/>
          <w:lang w:eastAsia="es-ES_tradnl"/>
        </w:rPr>
      </w:pPr>
      <w:r w:rsidRPr="000515C8">
        <w:rPr>
          <w:rFonts w:eastAsia="Palatino Linotype" w:cs="Palatino Linotype"/>
          <w:b/>
          <w:color w:val="auto"/>
          <w:lang w:eastAsia="es-ES_tradnl"/>
        </w:rPr>
        <w:t>“</w:t>
      </w:r>
      <w:r w:rsidRPr="000515C8">
        <w:rPr>
          <w:rFonts w:eastAsia="Palatino Linotype" w:cs="Palatino Linotype"/>
          <w:b/>
          <w:i/>
          <w:iCs/>
          <w:color w:val="auto"/>
          <w:sz w:val="20"/>
          <w:szCs w:val="20"/>
          <w:lang w:eastAsia="es-ES_tradnl"/>
        </w:rPr>
        <w:t>ACTO IMPUGNADO</w:t>
      </w:r>
    </w:p>
    <w:p w14:paraId="48377324" w14:textId="7A25D82D" w:rsidR="001A3135" w:rsidRPr="000515C8" w:rsidRDefault="006A2B15" w:rsidP="0019381D">
      <w:pPr>
        <w:spacing w:after="0" w:line="360" w:lineRule="auto"/>
        <w:ind w:left="567" w:right="567"/>
        <w:contextualSpacing/>
        <w:rPr>
          <w:rFonts w:eastAsia="Palatino Linotype" w:cs="Palatino Linotype"/>
          <w:i/>
          <w:iCs/>
          <w:color w:val="auto"/>
          <w:sz w:val="20"/>
          <w:szCs w:val="20"/>
          <w:lang w:eastAsia="es-ES_tradnl"/>
        </w:rPr>
      </w:pPr>
      <w:r w:rsidRPr="000515C8">
        <w:rPr>
          <w:rFonts w:eastAsia="Palatino Linotype" w:cs="Palatino Linotype"/>
          <w:i/>
          <w:iCs/>
          <w:color w:val="auto"/>
          <w:sz w:val="20"/>
          <w:szCs w:val="20"/>
          <w:lang w:eastAsia="es-ES_tradnl"/>
        </w:rPr>
        <w:t xml:space="preserve">Oficio CHIC/DDEYMR/096/2025 y la </w:t>
      </w:r>
      <w:proofErr w:type="spellStart"/>
      <w:r w:rsidRPr="000515C8">
        <w:rPr>
          <w:rFonts w:eastAsia="Palatino Linotype" w:cs="Palatino Linotype"/>
          <w:i/>
          <w:iCs/>
          <w:color w:val="auto"/>
          <w:sz w:val="20"/>
          <w:szCs w:val="20"/>
          <w:lang w:eastAsia="es-ES_tradnl"/>
        </w:rPr>
        <w:t>segund</w:t>
      </w:r>
      <w:proofErr w:type="spellEnd"/>
      <w:r w:rsidRPr="000515C8">
        <w:rPr>
          <w:rFonts w:eastAsia="Palatino Linotype" w:cs="Palatino Linotype"/>
          <w:i/>
          <w:iCs/>
          <w:color w:val="auto"/>
          <w:sz w:val="20"/>
          <w:szCs w:val="20"/>
          <w:lang w:eastAsia="es-ES_tradnl"/>
        </w:rPr>
        <w:t xml:space="preserve"> </w:t>
      </w:r>
      <w:proofErr w:type="spellStart"/>
      <w:r w:rsidRPr="000515C8">
        <w:rPr>
          <w:rFonts w:eastAsia="Palatino Linotype" w:cs="Palatino Linotype"/>
          <w:i/>
          <w:iCs/>
          <w:color w:val="auto"/>
          <w:sz w:val="20"/>
          <w:szCs w:val="20"/>
          <w:lang w:eastAsia="es-ES_tradnl"/>
        </w:rPr>
        <w:t>sesion</w:t>
      </w:r>
      <w:proofErr w:type="spellEnd"/>
      <w:r w:rsidRPr="000515C8">
        <w:rPr>
          <w:rFonts w:eastAsia="Palatino Linotype" w:cs="Palatino Linotype"/>
          <w:i/>
          <w:iCs/>
          <w:color w:val="auto"/>
          <w:sz w:val="20"/>
          <w:szCs w:val="20"/>
          <w:lang w:eastAsia="es-ES_tradnl"/>
        </w:rPr>
        <w:t xml:space="preserve"> extraordinaria 2025 del </w:t>
      </w:r>
      <w:proofErr w:type="spellStart"/>
      <w:r w:rsidRPr="000515C8">
        <w:rPr>
          <w:rFonts w:eastAsia="Palatino Linotype" w:cs="Palatino Linotype"/>
          <w:i/>
          <w:iCs/>
          <w:color w:val="auto"/>
          <w:sz w:val="20"/>
          <w:szCs w:val="20"/>
          <w:lang w:eastAsia="es-ES_tradnl"/>
        </w:rPr>
        <w:t>Comite</w:t>
      </w:r>
      <w:proofErr w:type="spellEnd"/>
      <w:r w:rsidRPr="000515C8">
        <w:rPr>
          <w:rFonts w:eastAsia="Palatino Linotype" w:cs="Palatino Linotype"/>
          <w:i/>
          <w:iCs/>
          <w:color w:val="auto"/>
          <w:sz w:val="20"/>
          <w:szCs w:val="20"/>
          <w:lang w:eastAsia="es-ES_tradnl"/>
        </w:rPr>
        <w:t xml:space="preserve"> de transparencia del H. Ayuntamiento de </w:t>
      </w:r>
      <w:proofErr w:type="spellStart"/>
      <w:r w:rsidRPr="000515C8">
        <w:rPr>
          <w:rFonts w:eastAsia="Palatino Linotype" w:cs="Palatino Linotype"/>
          <w:i/>
          <w:iCs/>
          <w:color w:val="auto"/>
          <w:sz w:val="20"/>
          <w:szCs w:val="20"/>
          <w:lang w:eastAsia="es-ES_tradnl"/>
        </w:rPr>
        <w:t>Chinconcuac</w:t>
      </w:r>
      <w:proofErr w:type="spellEnd"/>
      <w:r w:rsidRPr="000515C8">
        <w:rPr>
          <w:rFonts w:eastAsia="Palatino Linotype" w:cs="Palatino Linotype"/>
          <w:i/>
          <w:iCs/>
          <w:color w:val="auto"/>
          <w:sz w:val="20"/>
          <w:szCs w:val="20"/>
          <w:lang w:eastAsia="es-ES_tradnl"/>
        </w:rPr>
        <w:t xml:space="preserve">, estado de </w:t>
      </w:r>
      <w:proofErr w:type="spellStart"/>
      <w:r w:rsidRPr="000515C8">
        <w:rPr>
          <w:rFonts w:eastAsia="Palatino Linotype" w:cs="Palatino Linotype"/>
          <w:i/>
          <w:iCs/>
          <w:color w:val="auto"/>
          <w:sz w:val="20"/>
          <w:szCs w:val="20"/>
          <w:lang w:eastAsia="es-ES_tradnl"/>
        </w:rPr>
        <w:t>mexico</w:t>
      </w:r>
      <w:proofErr w:type="spellEnd"/>
      <w:r w:rsidR="001A3135" w:rsidRPr="000515C8">
        <w:rPr>
          <w:rFonts w:eastAsia="Palatino Linotype" w:cs="Palatino Linotype"/>
          <w:i/>
          <w:iCs/>
          <w:color w:val="auto"/>
          <w:sz w:val="20"/>
          <w:szCs w:val="20"/>
          <w:lang w:eastAsia="es-ES_tradnl"/>
        </w:rPr>
        <w:t>” (Sic.)</w:t>
      </w:r>
    </w:p>
    <w:p w14:paraId="1248FC54" w14:textId="77777777" w:rsidR="001A3135" w:rsidRPr="000515C8" w:rsidRDefault="001A3135" w:rsidP="0019381D">
      <w:pPr>
        <w:spacing w:after="0" w:line="360" w:lineRule="auto"/>
        <w:ind w:left="567" w:right="567"/>
        <w:contextualSpacing/>
        <w:rPr>
          <w:rFonts w:eastAsia="Palatino Linotype" w:cs="Palatino Linotype"/>
          <w:b/>
          <w:i/>
          <w:iCs/>
          <w:color w:val="auto"/>
          <w:sz w:val="20"/>
          <w:szCs w:val="20"/>
          <w:lang w:eastAsia="es-ES_tradnl"/>
        </w:rPr>
      </w:pPr>
    </w:p>
    <w:p w14:paraId="1504EA99" w14:textId="77777777" w:rsidR="001A3135" w:rsidRPr="000515C8" w:rsidRDefault="001A3135" w:rsidP="0019381D">
      <w:pPr>
        <w:spacing w:after="0" w:line="360" w:lineRule="auto"/>
        <w:ind w:left="567" w:right="567"/>
        <w:contextualSpacing/>
        <w:rPr>
          <w:rFonts w:eastAsia="Palatino Linotype" w:cs="Palatino Linotype"/>
          <w:b/>
          <w:i/>
          <w:iCs/>
          <w:color w:val="auto"/>
          <w:sz w:val="20"/>
          <w:szCs w:val="20"/>
          <w:lang w:eastAsia="es-ES_tradnl"/>
        </w:rPr>
      </w:pPr>
      <w:r w:rsidRPr="000515C8">
        <w:rPr>
          <w:rFonts w:eastAsia="Palatino Linotype" w:cs="Palatino Linotype"/>
          <w:b/>
          <w:i/>
          <w:iCs/>
          <w:color w:val="auto"/>
          <w:sz w:val="20"/>
          <w:szCs w:val="20"/>
          <w:lang w:eastAsia="es-ES_tradnl"/>
        </w:rPr>
        <w:t>“RAZONES O MOTIVOS DE LA INCONFORMIDAD</w:t>
      </w:r>
    </w:p>
    <w:p w14:paraId="78A8BF61" w14:textId="34628E5F" w:rsidR="001A3135" w:rsidRPr="000515C8" w:rsidRDefault="006A2B15" w:rsidP="0019381D">
      <w:pPr>
        <w:spacing w:after="0" w:line="360" w:lineRule="auto"/>
        <w:ind w:left="567" w:right="567"/>
        <w:contextualSpacing/>
        <w:rPr>
          <w:rFonts w:eastAsia="Palatino Linotype" w:cs="Palatino Linotype"/>
          <w:i/>
          <w:iCs/>
          <w:color w:val="auto"/>
          <w:sz w:val="20"/>
          <w:szCs w:val="20"/>
          <w:lang w:eastAsia="es-ES_tradnl"/>
        </w:rPr>
      </w:pPr>
      <w:r w:rsidRPr="000515C8">
        <w:rPr>
          <w:rFonts w:eastAsia="Palatino Linotype" w:cs="Palatino Linotype"/>
          <w:i/>
          <w:iCs/>
          <w:color w:val="auto"/>
          <w:sz w:val="20"/>
          <w:szCs w:val="20"/>
          <w:lang w:eastAsia="es-ES_tradnl"/>
        </w:rPr>
        <w:t xml:space="preserve">La resolución resulta ilegal a derecho, toda vez que la autoridad respondió que únicamente se identificaron cinco unidades económicas con el giro solicitado, pero omitió entregar la información expresamente requerida consistente en razón social y domicilio, y además clasificó datos sin aplicar correctamente el procedimiento previsto por la Ley de Transparencia y Acceso a la Información Pública del Estado de México y Municipios. La resolución no satisface la solicitud original, no </w:t>
      </w:r>
      <w:r w:rsidRPr="000515C8">
        <w:rPr>
          <w:rFonts w:eastAsia="Palatino Linotype" w:cs="Palatino Linotype"/>
          <w:i/>
          <w:iCs/>
          <w:color w:val="auto"/>
          <w:sz w:val="20"/>
          <w:szCs w:val="20"/>
          <w:lang w:eastAsia="es-ES_tradnl"/>
        </w:rPr>
        <w:lastRenderedPageBreak/>
        <w:t>cumple con los principios de máxima publicidad y no entrega la información que sí es pública, pese a que el propio expediente demuestra su existencia. Primera consideración. La autoridad reconoce expresamente que existen cinco establecimientos con actividad relacionada con la fabricación de productos metálicos, según se observa en el oficio CHIC/</w:t>
      </w:r>
      <w:proofErr w:type="spellStart"/>
      <w:r w:rsidRPr="000515C8">
        <w:rPr>
          <w:rFonts w:eastAsia="Palatino Linotype" w:cs="Palatino Linotype"/>
          <w:i/>
          <w:iCs/>
          <w:color w:val="auto"/>
          <w:sz w:val="20"/>
          <w:szCs w:val="20"/>
          <w:lang w:eastAsia="es-ES_tradnl"/>
        </w:rPr>
        <w:t>DDEyMR</w:t>
      </w:r>
      <w:proofErr w:type="spellEnd"/>
      <w:r w:rsidRPr="000515C8">
        <w:rPr>
          <w:rFonts w:eastAsia="Palatino Linotype" w:cs="Palatino Linotype"/>
          <w:i/>
          <w:iCs/>
          <w:color w:val="auto"/>
          <w:sz w:val="20"/>
          <w:szCs w:val="20"/>
          <w:lang w:eastAsia="es-ES_tradnl"/>
        </w:rPr>
        <w:t xml:space="preserve">/096/2025, página 1, donde el Director de Desarrollo Económico informa que se localizaron cinco unidades económicas registradas con dicho giro. Sin embargo, pese a confirmar la existencia de estas empresas, la autoridad no entrega razón social ni domicilio, a pesar de que ambos datos son indispensables para identificar al establecimiento y forman parte de la información solicitada. El municipio únicamente menciona que puede proporcionar “el giro del establecimiento”, pero omite los demás datos públicos que legalmente debe entregar. Esto convierte la respuesta en incompleta y contraria al principio de máxima publicidad. Segunda consideración. La omisión de entregar razón social y domicilio vulnera el artículo 18 de la Ley de Transparencia y Acceso a la Información Pública del Estado de México y Municipios, que obliga a los sujetos obligados a documentar y conservar información derivada del ejercicio de sus funciones. El padrón de unidades económicas es un instrumento administrativo obligatorio, y su contenido incluye razón social, domicilio, actividad económica y situación administrativa. La afirmación de que los datos no se entregan porque serán “evaluados por el Comité” no exime al municipio de proporcionar lo que sí es público. La respuesta demuestra que el municipio tiene identificadas las empresas, pero decide no entregar la información solicitada sin justificación legal válida. Tercera consideración. La clasificación realizada por el Comité de Transparencia es jurídicamente deficiente porque únicamente analiza el número telefónico y el correo electrónico, pero no revisa ni valora la procedencia de entregar razón social y domicilio, que son datos estrictamente públicos. En el acta del Comité, visible en las páginas 3 y 4 del documento 00139CHICONCUIP2025, se observa que el Comité solo consideró como susceptibles de clasificación el número telefónico y el correo electrónico, pero no argumentó por qué razón social y domicilio no se entregan, ni ordenó su entrega en versión pública. Esta omisión viola el artículo 19 de la Ley de Transparencia y Acceso a la Información Pública del Estado de México y Municipios, que exige que el Comité determine con claridad qué partes son públicas y qué partes son confidenciales, y ordene la entrega de la información pública. Cuarta consideración. El Comité no cumplió con el procedimiento previsto en el artículo 169 del mismo ordenamiento, pues aunque sesionó, no realizó el análisis sobre si la información debió existir, ni valoró si se trata </w:t>
      </w:r>
      <w:r w:rsidRPr="000515C8">
        <w:rPr>
          <w:rFonts w:eastAsia="Palatino Linotype" w:cs="Palatino Linotype"/>
          <w:i/>
          <w:iCs/>
          <w:color w:val="auto"/>
          <w:sz w:val="20"/>
          <w:szCs w:val="20"/>
          <w:lang w:eastAsia="es-ES_tradnl"/>
        </w:rPr>
        <w:lastRenderedPageBreak/>
        <w:t>de datos que deben formar parte del padrón de unidades económicas del municipio. Tampoco se observa que haya ordenado generar o reponer información faltante, en caso de existir omisión administrativa. La sesión se limitó a votar la clasificación de datos personales, sin abordar la obligación del municipio de entregar razón social y domicilio, lo cual evidencia un análisis incompleto. Quinta consideración. La respuesta incumple lo previsto en el artículo 170 de la Ley de Transparencia y Acceso a la Información Pública del Estado de México y Municipios, ya que el municipio no realiza una exposición detallada sobre la búsqueda de la información. Aunque en el oficio se afirma haber realizado búsqueda en “archivos físicos y digitales”, no se explica cómo se efectuó dicha búsqueda, qué registros fueron revisados, qué bases de datos fueron consultadas, ni por qué no se entregan datos que evidentemente obran en los expedientes administrativos. La falta de una descripción precisa de la metodología convierte la respuesta en deficiente. Sexta consideración. La respuesta actualiza la causal de impugnación prevista en el artículo 179 del citado ordenamiento, ya que carece de fundamentación y motivación suficientes. No se explica jurídicamente por qué no se entregan razón social y domicilio, no se cita disposición legal alguna que impida su entrega, no se motiva la ausencia de esos datos y tampoco se explica por qué no se elaboró una versión pública que contuviera la información que sí es accesible al público. La resolución se limita a adjuntar el acta del Comité, la cual no resuelve la totalidad de lo solicitado, ni justifica la omisión de entregar la información que legalmente es pública.</w:t>
      </w:r>
      <w:r w:rsidR="001A3135" w:rsidRPr="000515C8">
        <w:rPr>
          <w:rFonts w:eastAsia="Palatino Linotype" w:cs="Palatino Linotype"/>
          <w:i/>
          <w:iCs/>
          <w:color w:val="auto"/>
          <w:sz w:val="20"/>
          <w:szCs w:val="20"/>
          <w:lang w:eastAsia="es-ES_tradnl"/>
        </w:rPr>
        <w:t>” (Sic.)</w:t>
      </w:r>
    </w:p>
    <w:p w14:paraId="7CC2D73C" w14:textId="77777777" w:rsidR="001A3135" w:rsidRPr="000515C8" w:rsidRDefault="001A3135" w:rsidP="0019381D">
      <w:pPr>
        <w:spacing w:after="0" w:line="360" w:lineRule="auto"/>
        <w:contextualSpacing/>
        <w:rPr>
          <w:rFonts w:eastAsia="Palatino Linotype" w:cs="Palatino Linotype"/>
          <w:b/>
          <w:color w:val="auto"/>
          <w:lang w:eastAsia="es-ES_tradnl"/>
        </w:rPr>
      </w:pPr>
    </w:p>
    <w:p w14:paraId="49BB97F4" w14:textId="5E3CE9B9" w:rsidR="006A2B15" w:rsidRPr="000515C8" w:rsidRDefault="006A2B15" w:rsidP="0019381D">
      <w:pPr>
        <w:spacing w:after="0" w:line="360" w:lineRule="auto"/>
        <w:contextualSpacing/>
        <w:rPr>
          <w:rFonts w:eastAsia="Palatino Linotype" w:cs="Palatino Linotype"/>
          <w:bCs/>
          <w:color w:val="auto"/>
          <w:lang w:eastAsia="es-ES_tradnl"/>
        </w:rPr>
      </w:pPr>
      <w:r w:rsidRPr="000515C8">
        <w:rPr>
          <w:rFonts w:eastAsia="Palatino Linotype" w:cs="Palatino Linotype"/>
          <w:bCs/>
          <w:color w:val="auto"/>
          <w:lang w:eastAsia="es-ES_tradnl"/>
        </w:rPr>
        <w:t>El Particular adjuntó los archivos que le fueron remitidos en respuesta.</w:t>
      </w:r>
    </w:p>
    <w:p w14:paraId="4F52EB88" w14:textId="195E1796" w:rsidR="006A2B15" w:rsidRPr="000515C8" w:rsidRDefault="006A2B15" w:rsidP="0019381D">
      <w:pPr>
        <w:spacing w:after="0" w:line="360" w:lineRule="auto"/>
        <w:contextualSpacing/>
        <w:rPr>
          <w:rFonts w:eastAsia="Palatino Linotype" w:cs="Palatino Linotype"/>
          <w:b/>
          <w:color w:val="auto"/>
          <w:lang w:eastAsia="es-ES_tradnl"/>
        </w:rPr>
      </w:pPr>
      <w:r w:rsidRPr="000515C8">
        <w:rPr>
          <w:rFonts w:eastAsia="Palatino Linotype" w:cs="Palatino Linotype"/>
          <w:b/>
          <w:color w:val="auto"/>
          <w:lang w:eastAsia="es-ES_tradnl"/>
        </w:rPr>
        <w:t xml:space="preserve"> </w:t>
      </w:r>
    </w:p>
    <w:p w14:paraId="59C80152" w14:textId="77777777" w:rsidR="001A3135" w:rsidRPr="0047171B" w:rsidRDefault="001A3135" w:rsidP="0047171B">
      <w:pPr>
        <w:pStyle w:val="Ttulo2"/>
        <w:rPr>
          <w:rFonts w:ascii="Palatino Linotype" w:eastAsia="Palatino Linotype" w:hAnsi="Palatino Linotype"/>
          <w:b/>
          <w:bCs/>
          <w:color w:val="auto"/>
          <w:sz w:val="22"/>
          <w:szCs w:val="22"/>
          <w:lang w:eastAsia="es-ES_tradnl"/>
        </w:rPr>
      </w:pPr>
      <w:bookmarkStart w:id="4" w:name="_Toc219386017"/>
      <w:r w:rsidRPr="0047171B">
        <w:rPr>
          <w:rFonts w:ascii="Palatino Linotype" w:eastAsia="Palatino Linotype" w:hAnsi="Palatino Linotype"/>
          <w:b/>
          <w:bCs/>
          <w:color w:val="auto"/>
          <w:sz w:val="22"/>
          <w:szCs w:val="22"/>
          <w:lang w:eastAsia="es-ES_tradnl"/>
        </w:rPr>
        <w:t>IV. Trámite del Recurso de Revisión ante este Instituto</w:t>
      </w:r>
      <w:bookmarkEnd w:id="4"/>
    </w:p>
    <w:p w14:paraId="68E78F9D" w14:textId="77777777" w:rsidR="001A3135" w:rsidRPr="000515C8" w:rsidRDefault="001A3135" w:rsidP="0019381D">
      <w:pPr>
        <w:spacing w:after="0" w:line="360" w:lineRule="auto"/>
        <w:contextualSpacing/>
        <w:rPr>
          <w:rFonts w:eastAsia="Palatino Linotype" w:cs="Palatino Linotype"/>
          <w:b/>
          <w:color w:val="auto"/>
          <w:lang w:eastAsia="es-ES_tradnl"/>
        </w:rPr>
      </w:pPr>
    </w:p>
    <w:p w14:paraId="167D584C" w14:textId="0559F280"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 xml:space="preserve">a) </w:t>
      </w:r>
      <w:r w:rsidRPr="000515C8">
        <w:rPr>
          <w:rFonts w:eastAsia="Palatino Linotype" w:cs="Palatino Linotype"/>
          <w:b/>
          <w:color w:val="auto"/>
          <w:lang w:eastAsia="es-ES_tradnl"/>
        </w:rPr>
        <w:t>Turno del Medio de Impugnación</w:t>
      </w:r>
      <w:r w:rsidRPr="000515C8">
        <w:rPr>
          <w:rFonts w:eastAsia="Palatino Linotype" w:cs="Palatino Linotype"/>
          <w:color w:val="auto"/>
          <w:lang w:eastAsia="es-ES_tradnl"/>
        </w:rPr>
        <w:t xml:space="preserve">. El </w:t>
      </w:r>
      <w:r w:rsidR="006A2B15" w:rsidRPr="000515C8">
        <w:rPr>
          <w:rFonts w:eastAsia="Palatino Linotype" w:cs="Palatino Linotype"/>
          <w:color w:val="auto"/>
          <w:lang w:eastAsia="es-ES_tradnl"/>
        </w:rPr>
        <w:t xml:space="preserve">dos de diciembre </w:t>
      </w:r>
      <w:r w:rsidR="006F269E" w:rsidRPr="000515C8">
        <w:rPr>
          <w:rFonts w:eastAsia="Palatino Linotype" w:cs="Palatino Linotype"/>
          <w:color w:val="auto"/>
          <w:lang w:eastAsia="es-ES_tradnl"/>
        </w:rPr>
        <w:t xml:space="preserve"> de dos mil veinticinco</w:t>
      </w:r>
      <w:r w:rsidRPr="000515C8">
        <w:rPr>
          <w:rFonts w:eastAsia="Palatino Linotype" w:cs="Palatino Linotype"/>
          <w:color w:val="auto"/>
          <w:lang w:eastAsia="es-ES_tradnl"/>
        </w:rPr>
        <w:t xml:space="preserve">, el Sistema de Acceso a la Información Mexiquense (SAIMEX), asignó el número de expediente </w:t>
      </w:r>
      <w:r w:rsidR="006F269E" w:rsidRPr="000515C8">
        <w:rPr>
          <w:rFonts w:eastAsia="Palatino Linotype" w:cs="Palatino Linotype"/>
          <w:b/>
          <w:color w:val="auto"/>
          <w:lang w:eastAsia="es-ES_tradnl"/>
        </w:rPr>
        <w:t>13</w:t>
      </w:r>
      <w:r w:rsidR="006A2B15" w:rsidRPr="000515C8">
        <w:rPr>
          <w:rFonts w:eastAsia="Palatino Linotype" w:cs="Palatino Linotype"/>
          <w:b/>
          <w:color w:val="auto"/>
          <w:lang w:eastAsia="es-ES_tradnl"/>
        </w:rPr>
        <w:t>371</w:t>
      </w:r>
      <w:r w:rsidRPr="000515C8">
        <w:rPr>
          <w:rFonts w:eastAsia="Palatino Linotype" w:cs="Palatino Linotype"/>
          <w:b/>
          <w:color w:val="auto"/>
          <w:lang w:eastAsia="es-ES_tradnl"/>
        </w:rPr>
        <w:t>/INFOEM/IP/RR/2025</w:t>
      </w:r>
      <w:r w:rsidRPr="000515C8">
        <w:rPr>
          <w:rFonts w:eastAsia="Palatino Linotype" w:cs="Palatino Linotype"/>
          <w:color w:val="auto"/>
          <w:lang w:eastAsia="es-ES_tradnl"/>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1B1226A"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63822F4C" w14:textId="70AED709"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b/>
          <w:bCs/>
          <w:color w:val="auto"/>
          <w:lang w:eastAsia="es-ES_tradnl"/>
        </w:rPr>
        <w:t>b) Admisión</w:t>
      </w:r>
      <w:r w:rsidRPr="000515C8">
        <w:rPr>
          <w:rFonts w:eastAsia="Palatino Linotype" w:cs="Palatino Linotype"/>
          <w:b/>
          <w:color w:val="auto"/>
          <w:lang w:eastAsia="es-ES_tradnl"/>
        </w:rPr>
        <w:t xml:space="preserve"> del Recurso de Revisión</w:t>
      </w:r>
      <w:r w:rsidRPr="000515C8">
        <w:rPr>
          <w:rFonts w:eastAsia="Palatino Linotype" w:cs="Palatino Linotype"/>
          <w:color w:val="auto"/>
          <w:lang w:eastAsia="es-ES_tradnl"/>
        </w:rPr>
        <w:t xml:space="preserve">. El </w:t>
      </w:r>
      <w:r w:rsidR="00994E18" w:rsidRPr="000515C8">
        <w:rPr>
          <w:rFonts w:eastAsia="Palatino Linotype" w:cs="Palatino Linotype"/>
          <w:color w:val="auto"/>
          <w:lang w:eastAsia="es-ES_tradnl"/>
        </w:rPr>
        <w:t>cinco de diciembre</w:t>
      </w:r>
      <w:r w:rsidRPr="000515C8">
        <w:rPr>
          <w:rFonts w:eastAsia="Palatino Linotype" w:cs="Palatino Linotype"/>
          <w:color w:val="auto"/>
          <w:lang w:eastAsia="es-ES_tradnl"/>
        </w:rPr>
        <w:t xml:space="preserve">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once de dicho mes y año, a través del Sistema de Acceso a la Información Mexiquense (SAIMEX), en el que se les otorgó un plazo de siete días hábiles posteriores a la misma, para que manifestaran lo que a su derecho conviniera y formularan alegatos.</w:t>
      </w:r>
    </w:p>
    <w:p w14:paraId="145D5AF1"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5C768B58" w14:textId="6A8ADCAA"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b/>
          <w:bCs/>
          <w:color w:val="auto"/>
          <w:lang w:eastAsia="es-ES_tradnl"/>
        </w:rPr>
        <w:t>c) Informe Justificado</w:t>
      </w:r>
      <w:r w:rsidRPr="000515C8">
        <w:rPr>
          <w:rFonts w:eastAsia="Palatino Linotype" w:cs="Palatino Linotype"/>
          <w:b/>
          <w:color w:val="auto"/>
          <w:lang w:eastAsia="es-ES_tradnl"/>
        </w:rPr>
        <w:t xml:space="preserve"> o Manifestaciones</w:t>
      </w:r>
      <w:r w:rsidRPr="000515C8">
        <w:rPr>
          <w:rFonts w:eastAsia="Palatino Linotype" w:cs="Palatino Linotype"/>
          <w:color w:val="auto"/>
          <w:lang w:eastAsia="es-ES_tradnl"/>
        </w:rPr>
        <w:t xml:space="preserve">. El </w:t>
      </w:r>
      <w:r w:rsidR="00427ED7" w:rsidRPr="000515C8">
        <w:rPr>
          <w:rFonts w:eastAsia="Palatino Linotype" w:cs="Palatino Linotype"/>
          <w:color w:val="auto"/>
          <w:lang w:eastAsia="es-ES_tradnl"/>
        </w:rPr>
        <w:t>Sujeto Obligado fue omiso en rendir su informe justificado</w:t>
      </w:r>
      <w:r w:rsidRPr="000515C8">
        <w:rPr>
          <w:rFonts w:eastAsia="Palatino Linotype" w:cs="Palatino Linotype"/>
          <w:color w:val="auto"/>
          <w:lang w:eastAsia="es-ES_tradnl"/>
        </w:rPr>
        <w:t xml:space="preserve">. Por otro </w:t>
      </w:r>
      <w:r w:rsidR="0019381D" w:rsidRPr="000515C8">
        <w:rPr>
          <w:rFonts w:eastAsia="Palatino Linotype" w:cs="Palatino Linotype"/>
          <w:color w:val="auto"/>
          <w:lang w:eastAsia="es-ES_tradnl"/>
        </w:rPr>
        <w:t>lado,</w:t>
      </w:r>
      <w:r w:rsidRPr="000515C8">
        <w:rPr>
          <w:rFonts w:eastAsia="Palatino Linotype" w:cs="Palatino Linotype"/>
          <w:color w:val="auto"/>
          <w:lang w:eastAsia="es-ES_tradnl"/>
        </w:rPr>
        <w:t xml:space="preserve"> el Particular no realizó manifestación alguna vía alegatos.</w:t>
      </w:r>
    </w:p>
    <w:p w14:paraId="4ACC86DC"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37EA7A5F" w14:textId="2CB04BF4" w:rsidR="001A3135" w:rsidRPr="000515C8" w:rsidRDefault="00994E18" w:rsidP="0019381D">
      <w:pPr>
        <w:spacing w:after="0" w:line="360" w:lineRule="auto"/>
        <w:contextualSpacing/>
        <w:rPr>
          <w:rFonts w:eastAsia="Palatino Linotype" w:cs="Palatino Linotype"/>
          <w:color w:val="auto"/>
          <w:lang w:eastAsia="es-ES_tradnl"/>
        </w:rPr>
      </w:pPr>
      <w:r w:rsidRPr="000515C8">
        <w:rPr>
          <w:rFonts w:eastAsia="Palatino Linotype" w:cs="Palatino Linotype"/>
          <w:b/>
          <w:bCs/>
          <w:color w:val="auto"/>
          <w:lang w:eastAsia="es-ES_tradnl"/>
        </w:rPr>
        <w:t>d</w:t>
      </w:r>
      <w:r w:rsidR="001A3135" w:rsidRPr="000515C8">
        <w:rPr>
          <w:rFonts w:eastAsia="Palatino Linotype" w:cs="Palatino Linotype"/>
          <w:b/>
          <w:bCs/>
          <w:color w:val="auto"/>
          <w:lang w:eastAsia="es-ES_tradnl"/>
        </w:rPr>
        <w:t>)</w:t>
      </w:r>
      <w:r w:rsidR="001A3135" w:rsidRPr="000515C8">
        <w:rPr>
          <w:rFonts w:eastAsia="Palatino Linotype" w:cs="Palatino Linotype"/>
          <w:color w:val="auto"/>
          <w:lang w:eastAsia="es-ES_tradnl"/>
        </w:rPr>
        <w:t xml:space="preserve"> </w:t>
      </w:r>
      <w:r w:rsidR="001A3135" w:rsidRPr="000515C8">
        <w:rPr>
          <w:rFonts w:eastAsia="Palatino Linotype" w:cs="Palatino Linotype"/>
          <w:b/>
          <w:color w:val="auto"/>
          <w:lang w:eastAsia="es-ES_tradnl"/>
        </w:rPr>
        <w:t>Cierre de instrucción</w:t>
      </w:r>
      <w:r w:rsidR="00427ED7" w:rsidRPr="000515C8">
        <w:rPr>
          <w:rFonts w:eastAsia="Palatino Linotype" w:cs="Palatino Linotype"/>
          <w:color w:val="auto"/>
          <w:lang w:eastAsia="es-ES_tradnl"/>
        </w:rPr>
        <w:t xml:space="preserve">. El </w:t>
      </w:r>
      <w:r w:rsidRPr="000515C8">
        <w:rPr>
          <w:rFonts w:eastAsia="Palatino Linotype" w:cs="Palatino Linotype"/>
          <w:color w:val="auto"/>
          <w:lang w:eastAsia="es-ES_tradnl"/>
        </w:rPr>
        <w:t>diecisiete de diciembre</w:t>
      </w:r>
      <w:r w:rsidR="001A3135" w:rsidRPr="000515C8">
        <w:rPr>
          <w:rFonts w:eastAsia="Palatino Linotype" w:cs="Palatino Linotype"/>
          <w:color w:val="auto"/>
          <w:lang w:eastAsia="es-ES_tradnl"/>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39656940"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028394D2"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 xml:space="preserve">En razón de que fue debidamente sustanciado e integrado el expediente electrónico y no existe diligencia pendiente de desahogo, se emite la resolución que conforme a Derecho proceda, de acuerdo a los siguientes: </w:t>
      </w:r>
    </w:p>
    <w:p w14:paraId="0CF0E43B"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40E4E599" w14:textId="5BFECC87" w:rsidR="001A3135" w:rsidRDefault="001A3135" w:rsidP="0047171B">
      <w:pPr>
        <w:pStyle w:val="Ttulo1"/>
        <w:jc w:val="center"/>
        <w:rPr>
          <w:rFonts w:ascii="Palatino Linotype" w:eastAsia="Palatino Linotype" w:hAnsi="Palatino Linotype"/>
          <w:b/>
          <w:bCs/>
          <w:color w:val="auto"/>
          <w:sz w:val="22"/>
          <w:szCs w:val="22"/>
          <w:lang w:eastAsia="es-ES_tradnl"/>
        </w:rPr>
      </w:pPr>
      <w:bookmarkStart w:id="5" w:name="_Toc219386018"/>
      <w:r w:rsidRPr="0047171B">
        <w:rPr>
          <w:rFonts w:ascii="Palatino Linotype" w:eastAsia="Palatino Linotype" w:hAnsi="Palatino Linotype"/>
          <w:b/>
          <w:bCs/>
          <w:color w:val="auto"/>
          <w:sz w:val="22"/>
          <w:szCs w:val="22"/>
          <w:lang w:eastAsia="es-ES_tradnl"/>
        </w:rPr>
        <w:t>C O N S I D E R A N D O S</w:t>
      </w:r>
      <w:bookmarkEnd w:id="5"/>
    </w:p>
    <w:p w14:paraId="58F938AC" w14:textId="77777777" w:rsidR="0047171B" w:rsidRPr="0047171B" w:rsidRDefault="0047171B" w:rsidP="0047171B">
      <w:pPr>
        <w:rPr>
          <w:lang w:eastAsia="es-ES_tradnl"/>
        </w:rPr>
      </w:pPr>
    </w:p>
    <w:p w14:paraId="4B9B700C" w14:textId="77777777" w:rsidR="00427ED7" w:rsidRDefault="00427ED7" w:rsidP="0047171B">
      <w:pPr>
        <w:pStyle w:val="Ttulo2"/>
        <w:rPr>
          <w:rFonts w:ascii="Palatino Linotype" w:hAnsi="Palatino Linotype"/>
          <w:b/>
          <w:bCs/>
          <w:color w:val="auto"/>
          <w:sz w:val="22"/>
          <w:szCs w:val="22"/>
        </w:rPr>
      </w:pPr>
      <w:bookmarkStart w:id="6" w:name="_Toc219386019"/>
      <w:r w:rsidRPr="0047171B">
        <w:rPr>
          <w:rFonts w:ascii="Palatino Linotype" w:hAnsi="Palatino Linotype"/>
          <w:b/>
          <w:bCs/>
          <w:color w:val="auto"/>
          <w:sz w:val="22"/>
          <w:szCs w:val="22"/>
        </w:rPr>
        <w:t>PRIMERO. Competencia</w:t>
      </w:r>
      <w:bookmarkEnd w:id="6"/>
    </w:p>
    <w:p w14:paraId="63F8DDFB" w14:textId="77777777" w:rsidR="006623E1" w:rsidRPr="006623E1" w:rsidRDefault="006623E1" w:rsidP="006623E1"/>
    <w:p w14:paraId="252668B5" w14:textId="77777777" w:rsidR="00427ED7" w:rsidRPr="000515C8" w:rsidRDefault="00427ED7" w:rsidP="0019381D">
      <w:pPr>
        <w:spacing w:after="0" w:line="360" w:lineRule="auto"/>
        <w:contextualSpacing/>
        <w:rPr>
          <w:color w:val="auto"/>
        </w:rPr>
      </w:pPr>
      <w:r w:rsidRPr="000515C8">
        <w:rPr>
          <w:color w:val="auto"/>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3D69B0B" w14:textId="77777777" w:rsidR="001A3135" w:rsidRPr="000515C8" w:rsidRDefault="001A3135" w:rsidP="0019381D">
      <w:pPr>
        <w:spacing w:after="0" w:line="360" w:lineRule="auto"/>
        <w:contextualSpacing/>
        <w:rPr>
          <w:rFonts w:eastAsia="Palatino Linotype" w:cs="Palatino Linotype"/>
          <w:b/>
          <w:color w:val="auto"/>
          <w:lang w:eastAsia="es-ES_tradnl"/>
        </w:rPr>
      </w:pPr>
    </w:p>
    <w:p w14:paraId="2B06B510" w14:textId="77777777" w:rsidR="001A3135" w:rsidRPr="0047171B" w:rsidRDefault="001A3135" w:rsidP="0047171B">
      <w:pPr>
        <w:pStyle w:val="Ttulo2"/>
        <w:rPr>
          <w:rFonts w:ascii="Palatino Linotype" w:eastAsia="Palatino Linotype" w:hAnsi="Palatino Linotype"/>
          <w:b/>
          <w:bCs/>
          <w:color w:val="auto"/>
          <w:sz w:val="22"/>
          <w:szCs w:val="22"/>
          <w:lang w:eastAsia="es-ES_tradnl"/>
        </w:rPr>
      </w:pPr>
      <w:bookmarkStart w:id="7" w:name="_Toc219386020"/>
      <w:r w:rsidRPr="0047171B">
        <w:rPr>
          <w:rFonts w:ascii="Palatino Linotype" w:eastAsia="Palatino Linotype" w:hAnsi="Palatino Linotype"/>
          <w:b/>
          <w:bCs/>
          <w:color w:val="auto"/>
          <w:sz w:val="22"/>
          <w:szCs w:val="22"/>
          <w:lang w:eastAsia="es-ES_tradnl"/>
        </w:rPr>
        <w:t>SEGUNDO. Causales de improcedencia y sobreseimiento</w:t>
      </w:r>
      <w:bookmarkEnd w:id="7"/>
    </w:p>
    <w:p w14:paraId="3B5CE5E7"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75ECA682"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De las constancias que forma parte del Recurso de Revisión que se analiza, se advierte que previo al estudio del fondo de la litis, es necesario estudiar las causales de improcedencia y sobreseimiento que se adviertan, para determinar lo que en Derecho proceda.</w:t>
      </w:r>
    </w:p>
    <w:p w14:paraId="12BCB008"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6BB9DE79" w14:textId="77777777" w:rsidR="001A3135" w:rsidRPr="000515C8" w:rsidRDefault="001A3135" w:rsidP="0019381D">
      <w:pPr>
        <w:spacing w:after="0" w:line="360" w:lineRule="auto"/>
        <w:contextualSpacing/>
        <w:rPr>
          <w:rFonts w:eastAsia="Palatino Linotype" w:cs="Palatino Linotype"/>
          <w:b/>
          <w:color w:val="auto"/>
          <w:lang w:eastAsia="es-ES_tradnl"/>
        </w:rPr>
      </w:pPr>
      <w:r w:rsidRPr="000515C8">
        <w:rPr>
          <w:rFonts w:eastAsia="Palatino Linotype" w:cs="Palatino Linotype"/>
          <w:b/>
          <w:color w:val="auto"/>
          <w:lang w:eastAsia="es-ES_tradnl"/>
        </w:rPr>
        <w:t>Causales de improcedencia</w:t>
      </w:r>
    </w:p>
    <w:p w14:paraId="5498B14E"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00D6E62A"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 xml:space="preserve">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 (Semanario Judicial de la Federación y su Gaceta, Novena Época, 2006, página 319), toda vez que, si de las constancias que obran en el expediente electrónico, se actualiza una causal de improcedencia establecidas en el artículo 191 de la Ley de Transparencia y </w:t>
      </w:r>
      <w:r w:rsidRPr="000515C8">
        <w:rPr>
          <w:rFonts w:eastAsia="Palatino Linotype" w:cs="Palatino Linotype"/>
          <w:color w:val="auto"/>
          <w:lang w:eastAsia="es-ES_tradnl"/>
        </w:rPr>
        <w:lastRenderedPageBreak/>
        <w:t xml:space="preserve">Acceso a la Información Pública del Estado de México y Municipios, dará lugar a que el presente Recurso de Revisión sea sobreseído. </w:t>
      </w:r>
    </w:p>
    <w:p w14:paraId="4F489127"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2DF57257"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En el presente caso, no se actualiza ninguna de las causales de improcedencia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3C304B7F"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16D5A98F" w14:textId="1B0AE4C5" w:rsidR="001A3135" w:rsidRPr="000515C8" w:rsidRDefault="006623E1" w:rsidP="0019381D">
      <w:pPr>
        <w:spacing w:after="0" w:line="360" w:lineRule="auto"/>
        <w:contextualSpacing/>
        <w:rPr>
          <w:rFonts w:eastAsia="Palatino Linotype" w:cs="Palatino Linotype"/>
          <w:b/>
          <w:color w:val="auto"/>
          <w:lang w:eastAsia="es-ES_tradnl"/>
        </w:rPr>
      </w:pPr>
      <w:r>
        <w:rPr>
          <w:rFonts w:eastAsia="Palatino Linotype" w:cs="Palatino Linotype"/>
          <w:b/>
          <w:color w:val="auto"/>
          <w:lang w:eastAsia="es-ES_tradnl"/>
        </w:rPr>
        <w:t>Causales de sobreseimiento</w:t>
      </w:r>
    </w:p>
    <w:p w14:paraId="1DD6872D"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4A0C93FA"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Por ser de previo y especial pronunciamiento, este Instituto analiza si se actualiza alguna causal de sobreseimiento.</w:t>
      </w:r>
    </w:p>
    <w:p w14:paraId="5F95B45C"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0D3525C3"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4AF65260"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66C310FA"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Por tales motivos, se considera procedente entrar al fondo del presente asunto.</w:t>
      </w:r>
    </w:p>
    <w:p w14:paraId="646F3A6F"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1A219895" w14:textId="22EF6BD0" w:rsidR="001A3135" w:rsidRPr="0047171B" w:rsidRDefault="001A3135" w:rsidP="0047171B">
      <w:pPr>
        <w:pStyle w:val="Ttulo2"/>
        <w:rPr>
          <w:rFonts w:ascii="Palatino Linotype" w:eastAsia="Palatino Linotype" w:hAnsi="Palatino Linotype"/>
          <w:b/>
          <w:bCs/>
          <w:lang w:eastAsia="es-ES_tradnl"/>
        </w:rPr>
      </w:pPr>
      <w:bookmarkStart w:id="8" w:name="_Toc219386021"/>
      <w:r w:rsidRPr="0047171B">
        <w:rPr>
          <w:rFonts w:ascii="Palatino Linotype" w:eastAsia="Palatino Linotype" w:hAnsi="Palatino Linotype"/>
          <w:b/>
          <w:bCs/>
          <w:color w:val="auto"/>
          <w:sz w:val="22"/>
          <w:szCs w:val="22"/>
          <w:lang w:eastAsia="es-ES_tradnl"/>
        </w:rPr>
        <w:lastRenderedPageBreak/>
        <w:t>TERCERO. Determinación de la Controversia</w:t>
      </w:r>
      <w:bookmarkEnd w:id="8"/>
    </w:p>
    <w:p w14:paraId="15E740F5"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42396E69" w14:textId="77777777" w:rsidR="0019381D"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 xml:space="preserve">Una vez realizado el estudio de las constancias que integran el expediente en que se actúa, se desprende que el Recurrente requirió </w:t>
      </w:r>
      <w:r w:rsidR="00247D52" w:rsidRPr="000515C8">
        <w:rPr>
          <w:rFonts w:eastAsia="Palatino Linotype" w:cs="Palatino Linotype"/>
          <w:color w:val="auto"/>
          <w:lang w:eastAsia="es-ES_tradnl"/>
        </w:rPr>
        <w:t xml:space="preserve">acceder </w:t>
      </w:r>
      <w:r w:rsidR="00E35932" w:rsidRPr="000515C8">
        <w:rPr>
          <w:rFonts w:eastAsia="Palatino Linotype" w:cs="Palatino Linotype"/>
          <w:color w:val="auto"/>
          <w:lang w:eastAsia="es-ES_tradnl"/>
        </w:rPr>
        <w:t xml:space="preserve">al </w:t>
      </w:r>
      <w:r w:rsidR="00247D52" w:rsidRPr="000515C8">
        <w:rPr>
          <w:rFonts w:eastAsia="Palatino Linotype" w:cs="Palatino Linotype"/>
          <w:color w:val="auto"/>
          <w:lang w:eastAsia="es-ES_tradnl"/>
        </w:rPr>
        <w:t xml:space="preserve">padrón de las empresas que se dediquen a la </w:t>
      </w:r>
      <w:r w:rsidR="00E35932" w:rsidRPr="000515C8">
        <w:rPr>
          <w:rFonts w:eastAsia="Palatino Linotype" w:cs="Palatino Linotype"/>
          <w:color w:val="auto"/>
          <w:lang w:eastAsia="es-ES_tradnl"/>
        </w:rPr>
        <w:t>fabricación</w:t>
      </w:r>
      <w:r w:rsidR="00247D52" w:rsidRPr="000515C8">
        <w:rPr>
          <w:rFonts w:eastAsia="Palatino Linotype" w:cs="Palatino Linotype"/>
          <w:color w:val="auto"/>
          <w:lang w:eastAsia="es-ES_tradnl"/>
        </w:rPr>
        <w:t xml:space="preserve"> de productos </w:t>
      </w:r>
      <w:r w:rsidR="0019381D" w:rsidRPr="000515C8">
        <w:rPr>
          <w:rFonts w:eastAsia="Palatino Linotype" w:cs="Palatino Linotype"/>
          <w:color w:val="auto"/>
          <w:lang w:eastAsia="es-ES_tradnl"/>
        </w:rPr>
        <w:t>metálicos donde</w:t>
      </w:r>
      <w:r w:rsidR="00247D52" w:rsidRPr="000515C8">
        <w:rPr>
          <w:rFonts w:eastAsia="Palatino Linotype" w:cs="Palatino Linotype"/>
          <w:color w:val="auto"/>
          <w:lang w:eastAsia="es-ES_tradnl"/>
        </w:rPr>
        <w:t xml:space="preserve"> se infor</w:t>
      </w:r>
      <w:r w:rsidR="00E35932" w:rsidRPr="000515C8">
        <w:rPr>
          <w:rFonts w:eastAsia="Palatino Linotype" w:cs="Palatino Linotype"/>
          <w:color w:val="auto"/>
          <w:lang w:eastAsia="es-ES_tradnl"/>
        </w:rPr>
        <w:t>me la razón social, domicilio, número</w:t>
      </w:r>
      <w:r w:rsidR="00247D52" w:rsidRPr="000515C8">
        <w:rPr>
          <w:rFonts w:eastAsia="Palatino Linotype" w:cs="Palatino Linotype"/>
          <w:color w:val="auto"/>
          <w:lang w:eastAsia="es-ES_tradnl"/>
        </w:rPr>
        <w:t xml:space="preserve"> </w:t>
      </w:r>
      <w:r w:rsidR="00E35932" w:rsidRPr="000515C8">
        <w:rPr>
          <w:rFonts w:eastAsia="Palatino Linotype" w:cs="Palatino Linotype"/>
          <w:color w:val="auto"/>
          <w:lang w:eastAsia="es-ES_tradnl"/>
        </w:rPr>
        <w:t xml:space="preserve">telefónico y </w:t>
      </w:r>
      <w:r w:rsidR="00247D52" w:rsidRPr="000515C8">
        <w:rPr>
          <w:rFonts w:eastAsia="Palatino Linotype" w:cs="Palatino Linotype"/>
          <w:color w:val="auto"/>
          <w:lang w:eastAsia="es-ES_tradnl"/>
        </w:rPr>
        <w:t xml:space="preserve">correo </w:t>
      </w:r>
      <w:r w:rsidR="00E35932" w:rsidRPr="000515C8">
        <w:rPr>
          <w:rFonts w:eastAsia="Palatino Linotype" w:cs="Palatino Linotype"/>
          <w:color w:val="auto"/>
          <w:lang w:eastAsia="es-ES_tradnl"/>
        </w:rPr>
        <w:t>electrónico.</w:t>
      </w:r>
      <w:r w:rsidR="00994E18" w:rsidRPr="000515C8">
        <w:rPr>
          <w:rFonts w:eastAsia="Palatino Linotype" w:cs="Palatino Linotype"/>
          <w:color w:val="auto"/>
          <w:lang w:eastAsia="es-ES_tradnl"/>
        </w:rPr>
        <w:t xml:space="preserve"> </w:t>
      </w:r>
    </w:p>
    <w:p w14:paraId="2BF71D97" w14:textId="77777777" w:rsidR="0019381D" w:rsidRDefault="0019381D" w:rsidP="0019381D">
      <w:pPr>
        <w:spacing w:after="0" w:line="360" w:lineRule="auto"/>
        <w:contextualSpacing/>
        <w:rPr>
          <w:rFonts w:eastAsia="Palatino Linotype" w:cs="Palatino Linotype"/>
          <w:color w:val="auto"/>
          <w:lang w:eastAsia="es-ES_tradnl"/>
        </w:rPr>
      </w:pPr>
    </w:p>
    <w:p w14:paraId="14BB7978" w14:textId="4EECAB01" w:rsidR="003C005C"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 xml:space="preserve">En respuesta, el Sujeto Obligado, </w:t>
      </w:r>
      <w:r w:rsidR="00994E18" w:rsidRPr="000515C8">
        <w:rPr>
          <w:rFonts w:eastAsia="Palatino Linotype" w:cs="Palatino Linotype"/>
          <w:color w:val="auto"/>
          <w:lang w:eastAsia="es-ES_tradnl"/>
        </w:rPr>
        <w:t>señalo contar con cinco empresas, pero no proporcionó los documentos en las que constaran, además de señalar que era confidencial su número telefónico y correo electrónico</w:t>
      </w:r>
      <w:r w:rsidRPr="000515C8">
        <w:rPr>
          <w:rFonts w:eastAsia="Palatino Linotype" w:cs="Palatino Linotype"/>
          <w:color w:val="auto"/>
          <w:lang w:eastAsia="es-ES_tradnl"/>
        </w:rPr>
        <w:t xml:space="preserve">; ante dicha respuesta, el Particular se inconformó, de la </w:t>
      </w:r>
      <w:proofErr w:type="spellStart"/>
      <w:r w:rsidR="00640A92" w:rsidRPr="000515C8">
        <w:rPr>
          <w:rFonts w:eastAsia="Palatino Linotype" w:cs="Palatino Linotype"/>
          <w:color w:val="auto"/>
          <w:lang w:eastAsia="es-ES_tradnl"/>
        </w:rPr>
        <w:t>la</w:t>
      </w:r>
      <w:proofErr w:type="spellEnd"/>
      <w:r w:rsidR="00640A92" w:rsidRPr="000515C8">
        <w:rPr>
          <w:rFonts w:eastAsia="Palatino Linotype" w:cs="Palatino Linotype"/>
          <w:color w:val="auto"/>
          <w:lang w:eastAsia="es-ES_tradnl"/>
        </w:rPr>
        <w:t xml:space="preserve"> clasificación</w:t>
      </w:r>
      <w:r w:rsidR="00E35932" w:rsidRPr="000515C8">
        <w:rPr>
          <w:rFonts w:eastAsia="Palatino Linotype" w:cs="Palatino Linotype"/>
          <w:color w:val="auto"/>
          <w:lang w:eastAsia="es-ES_tradnl"/>
        </w:rPr>
        <w:t>,</w:t>
      </w:r>
      <w:r w:rsidRPr="000515C8">
        <w:rPr>
          <w:rFonts w:eastAsia="Palatino Linotype" w:cs="Palatino Linotype"/>
          <w:color w:val="auto"/>
          <w:lang w:eastAsia="es-ES_tradnl"/>
        </w:rPr>
        <w:t xml:space="preserve"> lo cual actualiza el supuesto de procedencia establecido en el a</w:t>
      </w:r>
      <w:r w:rsidR="003C005C" w:rsidRPr="000515C8">
        <w:rPr>
          <w:rFonts w:eastAsia="Palatino Linotype" w:cs="Palatino Linotype"/>
          <w:color w:val="auto"/>
          <w:lang w:eastAsia="es-ES_tradnl"/>
        </w:rPr>
        <w:t xml:space="preserve">rtículo 179, fracción </w:t>
      </w:r>
      <w:r w:rsidR="00640A92" w:rsidRPr="000515C8">
        <w:rPr>
          <w:rFonts w:eastAsia="Palatino Linotype" w:cs="Palatino Linotype"/>
          <w:color w:val="auto"/>
          <w:lang w:eastAsia="es-ES_tradnl"/>
        </w:rPr>
        <w:t>II</w:t>
      </w:r>
      <w:r w:rsidRPr="000515C8">
        <w:rPr>
          <w:rFonts w:eastAsia="Palatino Linotype" w:cs="Palatino Linotype"/>
          <w:color w:val="auto"/>
          <w:lang w:eastAsia="es-ES_tradnl"/>
        </w:rPr>
        <w:t xml:space="preserve"> de dicho dispositivo legal. </w:t>
      </w:r>
    </w:p>
    <w:p w14:paraId="79A1F91D" w14:textId="77777777" w:rsidR="003C005C" w:rsidRPr="000515C8" w:rsidRDefault="003C005C" w:rsidP="0019381D">
      <w:pPr>
        <w:spacing w:after="0" w:line="360" w:lineRule="auto"/>
        <w:contextualSpacing/>
        <w:rPr>
          <w:rFonts w:eastAsia="Palatino Linotype" w:cs="Palatino Linotype"/>
          <w:color w:val="auto"/>
          <w:lang w:eastAsia="es-ES_tradnl"/>
        </w:rPr>
      </w:pPr>
    </w:p>
    <w:p w14:paraId="4CE5BE08" w14:textId="7CA7586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 xml:space="preserve">Así las cosas, una vez admitido y notificado el Recurso de Revisión, el Sujeto Obligado </w:t>
      </w:r>
      <w:r w:rsidR="003C005C" w:rsidRPr="000515C8">
        <w:rPr>
          <w:rFonts w:eastAsia="Palatino Linotype" w:cs="Palatino Linotype"/>
          <w:color w:val="auto"/>
          <w:lang w:eastAsia="es-ES_tradnl"/>
        </w:rPr>
        <w:t xml:space="preserve">fue omiso en remitir su informe justificado, por su parte la Particular no realizó manifestación alguna vía alegatos. </w:t>
      </w:r>
    </w:p>
    <w:p w14:paraId="3AF77183" w14:textId="77777777" w:rsidR="003C005C" w:rsidRPr="000515C8" w:rsidRDefault="003C005C" w:rsidP="0019381D">
      <w:pPr>
        <w:spacing w:after="0" w:line="360" w:lineRule="auto"/>
        <w:contextualSpacing/>
        <w:rPr>
          <w:rFonts w:eastAsia="Palatino Linotype" w:cs="Palatino Linotype"/>
          <w:color w:val="auto"/>
          <w:lang w:eastAsia="es-ES_tradnl"/>
        </w:rPr>
      </w:pPr>
    </w:p>
    <w:p w14:paraId="24B81F8F" w14:textId="123DCEE3"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 xml:space="preserve">Lo anterior, se desprende de las documentales que obran en los expedientes de referencia, materia de la presente resolución, consistente en: la solicitud de acceso a la información; la </w:t>
      </w:r>
      <w:r w:rsidR="003C005C" w:rsidRPr="000515C8">
        <w:rPr>
          <w:rFonts w:eastAsia="Palatino Linotype" w:cs="Palatino Linotype"/>
          <w:color w:val="auto"/>
          <w:lang w:eastAsia="es-ES_tradnl"/>
        </w:rPr>
        <w:t xml:space="preserve">respuesta del Sujeto Obligado </w:t>
      </w:r>
      <w:r w:rsidR="0019381D" w:rsidRPr="000515C8">
        <w:rPr>
          <w:rFonts w:eastAsia="Palatino Linotype" w:cs="Palatino Linotype"/>
          <w:color w:val="auto"/>
          <w:lang w:eastAsia="es-ES_tradnl"/>
        </w:rPr>
        <w:t>y el</w:t>
      </w:r>
      <w:r w:rsidRPr="000515C8">
        <w:rPr>
          <w:rFonts w:eastAsia="Palatino Linotype" w:cs="Palatino Linotype"/>
          <w:color w:val="auto"/>
          <w:lang w:eastAsia="es-ES_tradnl"/>
        </w:rPr>
        <w:t xml:space="preserve">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469F84F2"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70BC0324" w14:textId="77777777" w:rsidR="001A3135" w:rsidRPr="0047171B" w:rsidRDefault="001A3135" w:rsidP="0047171B">
      <w:pPr>
        <w:pStyle w:val="Ttulo2"/>
        <w:rPr>
          <w:rFonts w:ascii="Palatino Linotype" w:eastAsia="Palatino Linotype" w:hAnsi="Palatino Linotype"/>
          <w:b/>
          <w:bCs/>
          <w:color w:val="auto"/>
          <w:sz w:val="22"/>
          <w:szCs w:val="22"/>
          <w:lang w:eastAsia="es-ES_tradnl"/>
        </w:rPr>
      </w:pPr>
      <w:bookmarkStart w:id="9" w:name="_Toc219386022"/>
      <w:r w:rsidRPr="0047171B">
        <w:rPr>
          <w:rFonts w:ascii="Palatino Linotype" w:eastAsia="Palatino Linotype" w:hAnsi="Palatino Linotype"/>
          <w:b/>
          <w:bCs/>
          <w:color w:val="auto"/>
          <w:sz w:val="22"/>
          <w:szCs w:val="22"/>
          <w:lang w:eastAsia="es-ES_tradnl"/>
        </w:rPr>
        <w:t>CUARTO. Marco normativo aplicable en materia de transparencia y acceso a la información pública</w:t>
      </w:r>
      <w:bookmarkEnd w:id="9"/>
    </w:p>
    <w:p w14:paraId="77D16400"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36F651CE"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2AD24C7"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4B015D8C"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E6E9383"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431DBF4A"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Por su parte, la Ley de Transparencia y Acceso a la Información Pública del Estado de México y Municipios (Reglamentaria del artículo 5° de la Constitución Local), establece lo siguiente:</w:t>
      </w:r>
    </w:p>
    <w:p w14:paraId="67404449"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27888C86"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El artículo 12, que, quienes generen, recopilen, administren, manejen, procesen, archiven o conserven información pública serán responsables de la misma.</w:t>
      </w:r>
    </w:p>
    <w:p w14:paraId="3C83A8A7"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21E9DC72"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El artículo 18, que, los Sujetos Obligados deberán documentar todo acto que derive del ejercicio de sus facultades, competencias o funciones, considerando desde su origen la eventual publicidad y reutilización de la información que generen.</w:t>
      </w:r>
    </w:p>
    <w:p w14:paraId="23BAC9B9"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4FD97C8C" w14:textId="77777777"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58BE57E"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42EFFC6C" w14:textId="77777777" w:rsidR="001A3135" w:rsidRPr="0047171B" w:rsidRDefault="001A3135" w:rsidP="0047171B">
      <w:pPr>
        <w:pStyle w:val="Ttulo2"/>
        <w:rPr>
          <w:rFonts w:ascii="Palatino Linotype" w:eastAsia="Palatino Linotype" w:hAnsi="Palatino Linotype"/>
          <w:b/>
          <w:bCs/>
          <w:color w:val="auto"/>
          <w:sz w:val="22"/>
          <w:szCs w:val="22"/>
          <w:lang w:eastAsia="es-ES_tradnl"/>
        </w:rPr>
      </w:pPr>
      <w:bookmarkStart w:id="10" w:name="_Toc219386023"/>
      <w:r w:rsidRPr="0047171B">
        <w:rPr>
          <w:rFonts w:ascii="Palatino Linotype" w:eastAsia="Palatino Linotype" w:hAnsi="Palatino Linotype"/>
          <w:b/>
          <w:bCs/>
          <w:color w:val="auto"/>
          <w:sz w:val="22"/>
          <w:szCs w:val="22"/>
          <w:lang w:eastAsia="es-ES_tradnl"/>
        </w:rPr>
        <w:t>QUINTO. Estudio de Fondo</w:t>
      </w:r>
      <w:bookmarkEnd w:id="10"/>
    </w:p>
    <w:p w14:paraId="0BB3996C"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04118414" w14:textId="7EDFA873" w:rsidR="001A3135" w:rsidRPr="000515C8" w:rsidRDefault="001A3135" w:rsidP="0019381D">
      <w:pPr>
        <w:spacing w:after="0" w:line="360" w:lineRule="auto"/>
        <w:contextualSpacing/>
        <w:rPr>
          <w:rFonts w:eastAsia="Palatino Linotype" w:cs="Palatino Linotype"/>
          <w:color w:val="auto"/>
          <w:lang w:eastAsia="es-ES_tradnl"/>
        </w:rPr>
      </w:pPr>
      <w:r w:rsidRPr="000515C8">
        <w:rPr>
          <w:rFonts w:eastAsia="Palatino Linotype" w:cs="Palatino Linotype"/>
          <w:color w:val="auto"/>
          <w:lang w:eastAsia="es-ES_tradnl"/>
        </w:rPr>
        <w:lastRenderedPageBreak/>
        <w:t>Expuestas las posturas de las partes, se procede al análisis del agravio hecho valer por el Recurrente, concerniente a la negativa de la información, para lo cual en principio en conveniente contextualizar el requerimiento.</w:t>
      </w:r>
    </w:p>
    <w:p w14:paraId="2F049D74" w14:textId="77777777" w:rsidR="001A3135" w:rsidRPr="000515C8" w:rsidRDefault="001A3135" w:rsidP="0019381D">
      <w:pPr>
        <w:spacing w:after="0" w:line="360" w:lineRule="auto"/>
        <w:contextualSpacing/>
        <w:rPr>
          <w:rFonts w:eastAsia="Palatino Linotype" w:cs="Palatino Linotype"/>
          <w:color w:val="auto"/>
          <w:lang w:eastAsia="es-ES_tradnl"/>
        </w:rPr>
      </w:pPr>
    </w:p>
    <w:p w14:paraId="63815F97" w14:textId="0AD776DC" w:rsidR="00640A92" w:rsidRPr="000515C8" w:rsidRDefault="00511C0A" w:rsidP="0019381D">
      <w:pPr>
        <w:spacing w:after="0" w:line="360" w:lineRule="auto"/>
        <w:contextualSpacing/>
        <w:rPr>
          <w:rFonts w:eastAsia="Calibri" w:cs="Tahoma"/>
          <w:bCs/>
          <w:color w:val="auto"/>
        </w:rPr>
      </w:pPr>
      <w:r w:rsidRPr="000515C8">
        <w:rPr>
          <w:rFonts w:eastAsia="Times New Roman" w:cs="Tahoma"/>
          <w:color w:val="auto"/>
          <w:lang w:eastAsia="es-ES"/>
        </w:rPr>
        <w:t xml:space="preserve">Al respecto, </w:t>
      </w:r>
      <w:r w:rsidR="00640A92" w:rsidRPr="000515C8">
        <w:rPr>
          <w:color w:val="auto"/>
        </w:rPr>
        <w:t xml:space="preserve">sobre el tema de la solicitud, </w:t>
      </w:r>
      <w:r w:rsidR="00640A92" w:rsidRPr="000515C8">
        <w:rPr>
          <w:rFonts w:eastAsia="Calibri" w:cs="Tahoma"/>
          <w:bCs/>
          <w:color w:val="auto"/>
        </w:rPr>
        <w:t>el artículo 2°, fracciones XV y XXXVIII, 5°, fracción X, 7°, fracción V, 15, 16 y 33 de la Ley de Competitividad y Ordenamiento Comercial del Estado de México, establecen que la licencia de funcionamiento, es el acto administrativo emitido por 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p>
    <w:p w14:paraId="753D076F" w14:textId="77777777" w:rsidR="00640A92" w:rsidRPr="000515C8" w:rsidRDefault="00640A92" w:rsidP="0019381D">
      <w:pPr>
        <w:spacing w:after="0" w:line="360" w:lineRule="auto"/>
        <w:contextualSpacing/>
        <w:rPr>
          <w:rFonts w:eastAsia="Calibri" w:cs="Tahoma"/>
          <w:b/>
          <w:bCs/>
          <w:color w:val="auto"/>
        </w:rPr>
      </w:pPr>
    </w:p>
    <w:p w14:paraId="41531686" w14:textId="77777777" w:rsidR="00640A92" w:rsidRPr="000515C8" w:rsidRDefault="00640A92" w:rsidP="0019381D">
      <w:pPr>
        <w:spacing w:after="0" w:line="360" w:lineRule="auto"/>
        <w:contextualSpacing/>
        <w:rPr>
          <w:rFonts w:eastAsia="Calibri" w:cs="Tahoma"/>
          <w:bCs/>
          <w:color w:val="auto"/>
        </w:rPr>
      </w:pPr>
      <w:r w:rsidRPr="000515C8">
        <w:rPr>
          <w:rFonts w:eastAsia="Calibri" w:cs="Tahoma"/>
          <w:bCs/>
          <w:color w:val="auto"/>
        </w:rPr>
        <w:t>En ese contexto, la operación de la Ventanilla Única y la expedición de las licencias de funcionamiento,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2B93ED6B" w14:textId="77777777" w:rsidR="00640A92" w:rsidRPr="000515C8" w:rsidRDefault="00640A92" w:rsidP="0019381D">
      <w:pPr>
        <w:spacing w:after="0" w:line="360" w:lineRule="auto"/>
        <w:ind w:right="-28"/>
        <w:contextualSpacing/>
        <w:rPr>
          <w:rFonts w:eastAsia="Times New Roman" w:cs="Tahoma"/>
          <w:color w:val="auto"/>
          <w:lang w:eastAsia="es-ES"/>
        </w:rPr>
      </w:pPr>
    </w:p>
    <w:p w14:paraId="6507FA6F" w14:textId="77777777" w:rsidR="00640A92" w:rsidRPr="000515C8" w:rsidRDefault="00640A92" w:rsidP="0019381D">
      <w:pPr>
        <w:spacing w:after="0" w:line="360" w:lineRule="auto"/>
        <w:contextualSpacing/>
        <w:rPr>
          <w:rFonts w:eastAsia="Calibri" w:cs="Times New Roman"/>
          <w:color w:val="auto"/>
        </w:rPr>
      </w:pPr>
      <w:r w:rsidRPr="000515C8">
        <w:rPr>
          <w:rFonts w:eastAsia="Calibri" w:cs="Times New Roman"/>
          <w:color w:val="auto"/>
        </w:rPr>
        <w:t xml:space="preserve">Además, los artículos 10 y 11 de la </w:t>
      </w:r>
      <w:r w:rsidRPr="000515C8">
        <w:rPr>
          <w:rFonts w:eastAsia="Times New Roman" w:cs="Tahoma"/>
          <w:iCs/>
          <w:color w:val="auto"/>
          <w:lang w:val="es-ES" w:eastAsia="es-ES"/>
        </w:rPr>
        <w:t>Ley de Competitividad y Ordenamiento Comercial del Estado de México</w:t>
      </w:r>
      <w:r w:rsidRPr="000515C8">
        <w:rPr>
          <w:rFonts w:eastAsia="Calibri" w:cs="Times New Roman"/>
          <w:color w:val="auto"/>
        </w:rPr>
        <w:t xml:space="preserve">, mencionan que los registros tienen como finalidad crear una base de datos confiable, actualizada e integrada a nivel municipal de las unidades económicas que se apertura en el territorio, e incluirá al menos los datos siguientes: </w:t>
      </w:r>
    </w:p>
    <w:p w14:paraId="7E1F68FC" w14:textId="77777777" w:rsidR="00640A92" w:rsidRPr="000515C8" w:rsidRDefault="00640A92" w:rsidP="0019381D">
      <w:pPr>
        <w:spacing w:after="0" w:line="360" w:lineRule="auto"/>
        <w:contextualSpacing/>
        <w:rPr>
          <w:rFonts w:eastAsia="Calibri" w:cs="Times New Roman"/>
          <w:b/>
          <w:bCs/>
          <w:color w:val="auto"/>
        </w:rPr>
      </w:pPr>
    </w:p>
    <w:p w14:paraId="160B84A2" w14:textId="77777777" w:rsidR="00640A92" w:rsidRPr="000515C8" w:rsidRDefault="00640A92" w:rsidP="0019381D">
      <w:pPr>
        <w:numPr>
          <w:ilvl w:val="0"/>
          <w:numId w:val="34"/>
        </w:numPr>
        <w:spacing w:after="0" w:line="360" w:lineRule="auto"/>
        <w:contextualSpacing/>
        <w:rPr>
          <w:rFonts w:eastAsia="Calibri" w:cs="Tahoma"/>
          <w:bCs/>
          <w:color w:val="auto"/>
        </w:rPr>
      </w:pPr>
      <w:r w:rsidRPr="000515C8">
        <w:rPr>
          <w:rFonts w:eastAsia="Calibri" w:cs="Tahoma"/>
          <w:bCs/>
          <w:color w:val="auto"/>
        </w:rPr>
        <w:t xml:space="preserve">Clave única, que se integrará de una serie alfanumérica. </w:t>
      </w:r>
    </w:p>
    <w:p w14:paraId="52EC02B5" w14:textId="77777777" w:rsidR="00640A92" w:rsidRPr="000515C8" w:rsidRDefault="00640A92" w:rsidP="0019381D">
      <w:pPr>
        <w:numPr>
          <w:ilvl w:val="0"/>
          <w:numId w:val="34"/>
        </w:numPr>
        <w:spacing w:after="0" w:line="360" w:lineRule="auto"/>
        <w:contextualSpacing/>
        <w:rPr>
          <w:rFonts w:eastAsia="Calibri" w:cs="Tahoma"/>
          <w:bCs/>
          <w:color w:val="auto"/>
        </w:rPr>
      </w:pPr>
      <w:r w:rsidRPr="000515C8">
        <w:rPr>
          <w:rFonts w:eastAsia="Calibri" w:cs="Tahoma"/>
          <w:bCs/>
          <w:color w:val="auto"/>
        </w:rPr>
        <w:t xml:space="preserve">Nombre del municipio. </w:t>
      </w:r>
    </w:p>
    <w:p w14:paraId="4330BB03" w14:textId="77777777" w:rsidR="00640A92" w:rsidRPr="000515C8" w:rsidRDefault="00640A92" w:rsidP="0019381D">
      <w:pPr>
        <w:numPr>
          <w:ilvl w:val="0"/>
          <w:numId w:val="34"/>
        </w:numPr>
        <w:spacing w:after="0" w:line="360" w:lineRule="auto"/>
        <w:contextualSpacing/>
        <w:rPr>
          <w:rFonts w:eastAsia="Calibri" w:cs="Tahoma"/>
          <w:bCs/>
          <w:color w:val="auto"/>
        </w:rPr>
      </w:pPr>
      <w:r w:rsidRPr="000515C8">
        <w:rPr>
          <w:rFonts w:eastAsia="Calibri" w:cs="Tahoma"/>
          <w:bCs/>
          <w:color w:val="auto"/>
        </w:rPr>
        <w:t>Nombre del titular.</w:t>
      </w:r>
    </w:p>
    <w:p w14:paraId="3F833316" w14:textId="77777777" w:rsidR="00640A92" w:rsidRPr="000515C8" w:rsidRDefault="00640A92" w:rsidP="0019381D">
      <w:pPr>
        <w:numPr>
          <w:ilvl w:val="0"/>
          <w:numId w:val="34"/>
        </w:numPr>
        <w:spacing w:after="0" w:line="360" w:lineRule="auto"/>
        <w:contextualSpacing/>
        <w:rPr>
          <w:rFonts w:eastAsia="Calibri" w:cs="Tahoma"/>
          <w:bCs/>
          <w:color w:val="auto"/>
        </w:rPr>
      </w:pPr>
      <w:r w:rsidRPr="000515C8">
        <w:rPr>
          <w:rFonts w:eastAsia="Calibri" w:cs="Tahoma"/>
          <w:bCs/>
          <w:color w:val="auto"/>
        </w:rPr>
        <w:lastRenderedPageBreak/>
        <w:t xml:space="preserve">Actividad económica. </w:t>
      </w:r>
    </w:p>
    <w:p w14:paraId="274BBA65" w14:textId="77777777" w:rsidR="00640A92" w:rsidRPr="000515C8" w:rsidRDefault="00640A92" w:rsidP="0019381D">
      <w:pPr>
        <w:numPr>
          <w:ilvl w:val="0"/>
          <w:numId w:val="34"/>
        </w:numPr>
        <w:spacing w:after="0" w:line="360" w:lineRule="auto"/>
        <w:contextualSpacing/>
        <w:rPr>
          <w:rFonts w:eastAsia="Calibri" w:cs="Tahoma"/>
          <w:bCs/>
          <w:color w:val="auto"/>
        </w:rPr>
      </w:pPr>
      <w:r w:rsidRPr="000515C8">
        <w:rPr>
          <w:rFonts w:eastAsia="Calibri" w:cs="Tahoma"/>
          <w:bCs/>
          <w:color w:val="auto"/>
        </w:rPr>
        <w:t xml:space="preserve">Fecha de inicio de actividades. </w:t>
      </w:r>
    </w:p>
    <w:p w14:paraId="1F3A81A5" w14:textId="77777777" w:rsidR="00640A92" w:rsidRPr="000515C8" w:rsidRDefault="00640A92" w:rsidP="0019381D">
      <w:pPr>
        <w:numPr>
          <w:ilvl w:val="0"/>
          <w:numId w:val="34"/>
        </w:numPr>
        <w:spacing w:after="0" w:line="360" w:lineRule="auto"/>
        <w:contextualSpacing/>
        <w:rPr>
          <w:rFonts w:eastAsia="Calibri" w:cs="Tahoma"/>
          <w:bCs/>
          <w:color w:val="auto"/>
        </w:rPr>
      </w:pPr>
      <w:r w:rsidRPr="000515C8">
        <w:rPr>
          <w:rFonts w:eastAsia="Calibri" w:cs="Tahoma"/>
          <w:bCs/>
          <w:color w:val="auto"/>
        </w:rPr>
        <w:t xml:space="preserve">Tipo de impacto. </w:t>
      </w:r>
    </w:p>
    <w:p w14:paraId="228C5F53" w14:textId="77777777" w:rsidR="00640A92" w:rsidRPr="000515C8" w:rsidRDefault="00640A92" w:rsidP="0019381D">
      <w:pPr>
        <w:numPr>
          <w:ilvl w:val="0"/>
          <w:numId w:val="34"/>
        </w:numPr>
        <w:spacing w:after="0" w:line="360" w:lineRule="auto"/>
        <w:contextualSpacing/>
        <w:rPr>
          <w:rFonts w:eastAsia="Calibri" w:cs="Tahoma"/>
          <w:bCs/>
          <w:color w:val="auto"/>
        </w:rPr>
      </w:pPr>
      <w:r w:rsidRPr="000515C8">
        <w:rPr>
          <w:rFonts w:eastAsia="Calibri" w:cs="Tahoma"/>
          <w:bCs/>
          <w:color w:val="auto"/>
        </w:rPr>
        <w:t xml:space="preserve">Domicilio de la unidad económica. </w:t>
      </w:r>
    </w:p>
    <w:p w14:paraId="7E31B875" w14:textId="77777777" w:rsidR="00640A92" w:rsidRPr="000515C8" w:rsidRDefault="00640A92" w:rsidP="0019381D">
      <w:pPr>
        <w:numPr>
          <w:ilvl w:val="0"/>
          <w:numId w:val="34"/>
        </w:numPr>
        <w:spacing w:after="0" w:line="360" w:lineRule="auto"/>
        <w:contextualSpacing/>
        <w:rPr>
          <w:rFonts w:eastAsia="Calibri" w:cs="Tahoma"/>
          <w:bCs/>
          <w:color w:val="auto"/>
        </w:rPr>
      </w:pPr>
      <w:r w:rsidRPr="000515C8">
        <w:rPr>
          <w:rFonts w:eastAsia="Calibri" w:cs="Tahoma"/>
          <w:bCs/>
          <w:color w:val="auto"/>
        </w:rPr>
        <w:t xml:space="preserve">Visitas y procedimientos de verificación en su caso. </w:t>
      </w:r>
    </w:p>
    <w:p w14:paraId="547E6161" w14:textId="77777777" w:rsidR="00640A92" w:rsidRPr="000515C8" w:rsidRDefault="00640A92" w:rsidP="0019381D">
      <w:pPr>
        <w:numPr>
          <w:ilvl w:val="0"/>
          <w:numId w:val="34"/>
        </w:numPr>
        <w:spacing w:after="0" w:line="360" w:lineRule="auto"/>
        <w:contextualSpacing/>
        <w:rPr>
          <w:rFonts w:eastAsia="Calibri" w:cs="Tahoma"/>
          <w:bCs/>
          <w:color w:val="auto"/>
        </w:rPr>
      </w:pPr>
      <w:r w:rsidRPr="000515C8">
        <w:rPr>
          <w:rFonts w:eastAsia="Calibri" w:cs="Tahoma"/>
          <w:bCs/>
          <w:color w:val="auto"/>
        </w:rPr>
        <w:t xml:space="preserve">Sanciones en su caso. </w:t>
      </w:r>
    </w:p>
    <w:p w14:paraId="0F6AB044" w14:textId="77777777" w:rsidR="00640A92" w:rsidRPr="000515C8" w:rsidRDefault="00640A92" w:rsidP="0019381D">
      <w:pPr>
        <w:spacing w:after="0" w:line="360" w:lineRule="auto"/>
        <w:contextualSpacing/>
        <w:rPr>
          <w:rFonts w:eastAsia="Calibri" w:cs="Tahoma"/>
          <w:bCs/>
          <w:color w:val="auto"/>
        </w:rPr>
      </w:pPr>
    </w:p>
    <w:p w14:paraId="0AF8D502" w14:textId="77777777" w:rsidR="00640A92" w:rsidRPr="000515C8" w:rsidRDefault="00640A92" w:rsidP="0019381D">
      <w:pPr>
        <w:spacing w:after="0" w:line="360" w:lineRule="auto"/>
        <w:contextualSpacing/>
        <w:rPr>
          <w:rFonts w:eastAsia="Calibri" w:cs="Tahoma"/>
          <w:bCs/>
          <w:color w:val="auto"/>
        </w:rPr>
      </w:pPr>
      <w:r w:rsidRPr="000515C8">
        <w:rPr>
          <w:rFonts w:eastAsia="Times New Roman" w:cs="Tahoma"/>
          <w:color w:val="auto"/>
          <w:lang w:val="es-ES" w:eastAsia="es-ES"/>
        </w:rPr>
        <w:t xml:space="preserve">En ese sentido, </w:t>
      </w:r>
      <w:r w:rsidRPr="000515C8">
        <w:rPr>
          <w:rFonts w:eastAsia="Calibri" w:cs="Tahoma"/>
          <w:bCs/>
          <w:color w:val="auto"/>
        </w:rPr>
        <w:t xml:space="preserve">el artículo 31, fracciones, XXIV </w:t>
      </w:r>
      <w:proofErr w:type="spellStart"/>
      <w:r w:rsidRPr="000515C8">
        <w:rPr>
          <w:rFonts w:eastAsia="Calibri" w:cs="Tahoma"/>
          <w:bCs/>
          <w:color w:val="auto"/>
        </w:rPr>
        <w:t>Quáter</w:t>
      </w:r>
      <w:proofErr w:type="spellEnd"/>
      <w:r w:rsidRPr="000515C8">
        <w:rPr>
          <w:rFonts w:eastAsia="Calibri" w:cs="Tahoma"/>
          <w:bCs/>
          <w:color w:val="auto"/>
        </w:rPr>
        <w:t xml:space="preserve"> y XLIV, de la Ley Orgánica Municipal el Estado de México, establece que los Ayuntamientos, entre los que se encuentra el Ayuntamiento de Tenango del Valle, son los encargados de crear </w:t>
      </w:r>
      <w:r w:rsidRPr="000515C8">
        <w:rPr>
          <w:rFonts w:eastAsia="Calibri" w:cs="Tahoma"/>
          <w:b/>
          <w:bCs/>
          <w:color w:val="auto"/>
        </w:rPr>
        <w:t>el Registro Municipal de Unidades Económicas</w:t>
      </w:r>
      <w:r w:rsidRPr="000515C8">
        <w:rPr>
          <w:rFonts w:eastAsia="Calibri" w:cs="Tahoma"/>
          <w:bCs/>
          <w:color w:val="auto"/>
        </w:rPr>
        <w:t xml:space="preserve">, así como, de otorgar licencias para el funcionamiento de esas unidades económicas. </w:t>
      </w:r>
    </w:p>
    <w:p w14:paraId="071058F7" w14:textId="77777777" w:rsidR="00640A92" w:rsidRPr="000515C8" w:rsidRDefault="00640A92" w:rsidP="0019381D">
      <w:pPr>
        <w:spacing w:after="0" w:line="360" w:lineRule="auto"/>
        <w:contextualSpacing/>
        <w:rPr>
          <w:rFonts w:eastAsia="Times New Roman" w:cs="Tahoma"/>
          <w:bCs/>
          <w:iCs/>
          <w:color w:val="auto"/>
          <w:lang w:eastAsia="es-ES"/>
        </w:rPr>
      </w:pPr>
    </w:p>
    <w:p w14:paraId="1931A7CA" w14:textId="77777777" w:rsidR="00640A92" w:rsidRPr="000515C8" w:rsidRDefault="00640A92" w:rsidP="0019381D">
      <w:pPr>
        <w:spacing w:after="0" w:line="360" w:lineRule="auto"/>
        <w:contextualSpacing/>
        <w:rPr>
          <w:rFonts w:eastAsia="Calibri" w:cs="Tahoma"/>
          <w:bCs/>
          <w:color w:val="auto"/>
        </w:rPr>
      </w:pPr>
      <w:r w:rsidRPr="000515C8">
        <w:rPr>
          <w:rFonts w:eastAsia="Calibri" w:cs="Tahoma"/>
          <w:bCs/>
          <w:color w:val="auto"/>
        </w:rPr>
        <w:t xml:space="preserve">Para lograr lo anterior, los Ayuntamientos contarán con un </w:t>
      </w:r>
      <w:r w:rsidRPr="000515C8">
        <w:rPr>
          <w:rFonts w:eastAsia="Calibri" w:cs="Tahoma"/>
          <w:b/>
          <w:color w:val="auto"/>
        </w:rPr>
        <w:t>Director de Desarrollo Económico o equivalente</w:t>
      </w:r>
      <w:r w:rsidRPr="000515C8">
        <w:rPr>
          <w:rFonts w:eastAsia="Calibri" w:cs="Tahoma"/>
          <w:bCs/>
          <w:color w:val="auto"/>
        </w:rPr>
        <w:t xml:space="preserve"> que impulsa la simplificación de trámites y reducción de plazos para el otorgamiento de permisos, licencias y autorizaciones del orden municipal, así como de operar y actualizar el Registro Municipal de Unidades Económicas de los permisos o licencias de funcionamiento otorgadas, de conformidad con el artículo 96 </w:t>
      </w:r>
      <w:proofErr w:type="spellStart"/>
      <w:r w:rsidRPr="000515C8">
        <w:rPr>
          <w:rFonts w:eastAsia="Calibri" w:cs="Tahoma"/>
          <w:bCs/>
          <w:color w:val="auto"/>
        </w:rPr>
        <w:t>Quáter</w:t>
      </w:r>
      <w:proofErr w:type="spellEnd"/>
      <w:r w:rsidRPr="000515C8">
        <w:rPr>
          <w:rFonts w:eastAsia="Calibri" w:cs="Tahoma"/>
          <w:bCs/>
          <w:color w:val="auto"/>
        </w:rPr>
        <w:t xml:space="preserve"> de la Ley previamente señalada.</w:t>
      </w:r>
    </w:p>
    <w:p w14:paraId="20FEC2BB" w14:textId="77777777" w:rsidR="00640A92" w:rsidRPr="000515C8" w:rsidRDefault="00640A92" w:rsidP="0019381D">
      <w:pPr>
        <w:spacing w:after="0" w:line="360" w:lineRule="auto"/>
        <w:ind w:left="720" w:hanging="720"/>
        <w:contextualSpacing/>
        <w:rPr>
          <w:rFonts w:eastAsia="Times New Roman" w:cs="Tahoma"/>
          <w:bCs/>
          <w:iCs/>
          <w:color w:val="auto"/>
          <w:lang w:eastAsia="es-ES"/>
        </w:rPr>
      </w:pPr>
    </w:p>
    <w:p w14:paraId="184F6271" w14:textId="33F61D0C" w:rsidR="00640A92" w:rsidRPr="000515C8" w:rsidRDefault="00640A92" w:rsidP="0019381D">
      <w:pPr>
        <w:spacing w:after="0" w:line="360" w:lineRule="auto"/>
        <w:contextualSpacing/>
        <w:rPr>
          <w:rFonts w:eastAsia="Times New Roman" w:cs="Tahoma"/>
          <w:bCs/>
          <w:iCs/>
          <w:color w:val="auto"/>
          <w:lang w:eastAsia="es-ES"/>
        </w:rPr>
      </w:pPr>
      <w:r w:rsidRPr="000515C8">
        <w:rPr>
          <w:rFonts w:eastAsia="Times New Roman" w:cs="Tahoma"/>
          <w:bCs/>
          <w:iCs/>
          <w:color w:val="auto"/>
          <w:lang w:eastAsia="es-ES"/>
        </w:rPr>
        <w:t xml:space="preserve">Así, se logra vislumbrar que la pretensión de la persona Recurrente, es obtener, el padrón de las Empresas que se dediquen a la fabricación de productos metálicos al </w:t>
      </w:r>
      <w:r w:rsidR="00602C72" w:rsidRPr="000515C8">
        <w:rPr>
          <w:rFonts w:eastAsia="Times New Roman" w:cs="Tahoma"/>
          <w:bCs/>
          <w:iCs/>
          <w:color w:val="auto"/>
          <w:lang w:eastAsia="es-ES"/>
        </w:rPr>
        <w:t>catorce</w:t>
      </w:r>
      <w:r w:rsidRPr="000515C8">
        <w:rPr>
          <w:rFonts w:eastAsia="Times New Roman" w:cs="Tahoma"/>
          <w:bCs/>
          <w:iCs/>
          <w:color w:val="auto"/>
          <w:lang w:eastAsia="es-ES"/>
        </w:rPr>
        <w:t xml:space="preserve"> de noviembre de dos mil veinticinco, que contenga razón social, domicilio, número telefónico y correo electrónico.</w:t>
      </w:r>
    </w:p>
    <w:p w14:paraId="38803556" w14:textId="77777777" w:rsidR="00640A92" w:rsidRPr="000515C8" w:rsidRDefault="00640A92" w:rsidP="0019381D">
      <w:pPr>
        <w:spacing w:after="0" w:line="360" w:lineRule="auto"/>
        <w:contextualSpacing/>
        <w:rPr>
          <w:rFonts w:eastAsia="Times New Roman" w:cs="Tahoma"/>
          <w:bCs/>
          <w:iCs/>
          <w:color w:val="auto"/>
          <w:lang w:eastAsia="es-ES"/>
        </w:rPr>
      </w:pPr>
    </w:p>
    <w:p w14:paraId="298AE522" w14:textId="741673E8" w:rsidR="00640A92" w:rsidRPr="000515C8" w:rsidRDefault="00640A92" w:rsidP="0019381D">
      <w:pPr>
        <w:spacing w:after="0" w:line="360" w:lineRule="auto"/>
        <w:contextualSpacing/>
        <w:rPr>
          <w:rFonts w:eastAsia="Times New Roman" w:cs="Tahoma"/>
          <w:bCs/>
          <w:iCs/>
          <w:color w:val="auto"/>
          <w:lang w:eastAsia="es-ES"/>
        </w:rPr>
      </w:pPr>
      <w:r w:rsidRPr="000515C8">
        <w:rPr>
          <w:rFonts w:eastAsia="Times New Roman" w:cs="Tahoma"/>
          <w:bCs/>
          <w:iCs/>
          <w:color w:val="auto"/>
          <w:lang w:eastAsia="es-ES"/>
        </w:rPr>
        <w:t xml:space="preserve">Establecida dicha circunstancia, de las constancias que obran en el expediente electrónico, se advierte que el Sujeto Obligado turno la solicitud de información a la Dirección de Desarrollo </w:t>
      </w:r>
      <w:r w:rsidRPr="000515C8">
        <w:rPr>
          <w:rFonts w:eastAsia="Times New Roman" w:cs="Tahoma"/>
          <w:bCs/>
          <w:iCs/>
          <w:color w:val="auto"/>
          <w:lang w:eastAsia="es-ES"/>
        </w:rPr>
        <w:lastRenderedPageBreak/>
        <w:t xml:space="preserve">Económico y </w:t>
      </w:r>
      <w:r w:rsidR="00602C72" w:rsidRPr="000515C8">
        <w:rPr>
          <w:rFonts w:eastAsia="Times New Roman" w:cs="Tahoma"/>
          <w:bCs/>
          <w:iCs/>
          <w:color w:val="auto"/>
          <w:lang w:eastAsia="es-ES"/>
        </w:rPr>
        <w:t>Mejora regulatoria</w:t>
      </w:r>
      <w:r w:rsidRPr="000515C8">
        <w:rPr>
          <w:rFonts w:eastAsia="Times New Roman" w:cs="Tahoma"/>
          <w:bCs/>
          <w:iCs/>
          <w:color w:val="auto"/>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085085E" w14:textId="77777777" w:rsidR="00640A92" w:rsidRPr="000515C8" w:rsidRDefault="00640A92" w:rsidP="0019381D">
      <w:pPr>
        <w:spacing w:after="0" w:line="360" w:lineRule="auto"/>
        <w:contextualSpacing/>
        <w:rPr>
          <w:rFonts w:eastAsia="Times New Roman" w:cs="Tahoma"/>
          <w:bCs/>
          <w:iCs/>
          <w:color w:val="auto"/>
          <w:lang w:eastAsia="es-ES"/>
        </w:rPr>
      </w:pPr>
    </w:p>
    <w:p w14:paraId="1A9ECEC6" w14:textId="77777777" w:rsidR="00640A92" w:rsidRPr="000515C8" w:rsidRDefault="00640A92" w:rsidP="0019381D">
      <w:pPr>
        <w:spacing w:after="0" w:line="360" w:lineRule="auto"/>
        <w:contextualSpacing/>
        <w:rPr>
          <w:rFonts w:eastAsia="Times New Roman" w:cs="Tahoma"/>
          <w:bCs/>
          <w:iCs/>
          <w:color w:val="auto"/>
          <w:lang w:eastAsia="es-ES"/>
        </w:rPr>
      </w:pPr>
      <w:r w:rsidRPr="000515C8">
        <w:rPr>
          <w:rFonts w:eastAsia="Times New Roman" w:cs="Tahoma"/>
          <w:bCs/>
          <w:iCs/>
          <w:color w:val="auto"/>
          <w:lang w:eastAsia="es-ES"/>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la solicitud de información al área competente de conocer del padrón solicitado. </w:t>
      </w:r>
    </w:p>
    <w:p w14:paraId="596F467D" w14:textId="77777777" w:rsidR="00640A92" w:rsidRPr="000515C8" w:rsidRDefault="00640A92" w:rsidP="0019381D">
      <w:pPr>
        <w:spacing w:after="0" w:line="360" w:lineRule="auto"/>
        <w:contextualSpacing/>
        <w:rPr>
          <w:rFonts w:eastAsia="Times New Roman" w:cs="Tahoma"/>
          <w:bCs/>
          <w:iCs/>
          <w:color w:val="auto"/>
          <w:lang w:eastAsia="es-ES"/>
        </w:rPr>
      </w:pPr>
    </w:p>
    <w:p w14:paraId="04CD4AAA" w14:textId="1D4D07DB" w:rsidR="000515C8" w:rsidRPr="000515C8" w:rsidRDefault="00640A92" w:rsidP="0019381D">
      <w:pPr>
        <w:spacing w:after="0" w:line="360" w:lineRule="auto"/>
        <w:contextualSpacing/>
        <w:rPr>
          <w:color w:val="auto"/>
        </w:rPr>
      </w:pPr>
      <w:r w:rsidRPr="000515C8">
        <w:rPr>
          <w:rFonts w:eastAsia="Times New Roman" w:cs="Tahoma"/>
          <w:bCs/>
          <w:iCs/>
          <w:color w:val="auto"/>
          <w:lang w:eastAsia="es-ES"/>
        </w:rPr>
        <w:t xml:space="preserve">Ahora bien, en respuesta, la Dirección de Desarrollo Económico y </w:t>
      </w:r>
      <w:r w:rsidR="00602C72" w:rsidRPr="000515C8">
        <w:rPr>
          <w:rFonts w:eastAsia="Times New Roman" w:cs="Tahoma"/>
          <w:bCs/>
          <w:iCs/>
          <w:color w:val="auto"/>
          <w:lang w:eastAsia="es-ES"/>
        </w:rPr>
        <w:t xml:space="preserve">Mejora Regulatoria </w:t>
      </w:r>
      <w:r w:rsidRPr="000515C8">
        <w:rPr>
          <w:rFonts w:eastAsia="Times New Roman" w:cs="Tahoma"/>
          <w:bCs/>
          <w:iCs/>
          <w:color w:val="auto"/>
          <w:lang w:eastAsia="es-ES"/>
        </w:rPr>
        <w:t xml:space="preserve">señaló que </w:t>
      </w:r>
      <w:r w:rsidR="00CA5051" w:rsidRPr="000515C8">
        <w:rPr>
          <w:rFonts w:eastAsia="Times New Roman" w:cs="Tahoma"/>
          <w:bCs/>
          <w:iCs/>
          <w:color w:val="auto"/>
          <w:lang w:eastAsia="es-ES"/>
        </w:rPr>
        <w:t>contaba con</w:t>
      </w:r>
      <w:r w:rsidR="000515C8" w:rsidRPr="000515C8">
        <w:rPr>
          <w:rFonts w:eastAsia="Times New Roman" w:cs="Tahoma"/>
          <w:bCs/>
          <w:iCs/>
          <w:color w:val="auto"/>
          <w:lang w:eastAsia="es-ES"/>
        </w:rPr>
        <w:t xml:space="preserve"> cinco unidades económicas registradas con la actividad interés del Particular</w:t>
      </w:r>
      <w:r w:rsidRPr="000515C8">
        <w:rPr>
          <w:rFonts w:eastAsia="Times New Roman" w:cs="Tahoma"/>
          <w:bCs/>
          <w:iCs/>
          <w:color w:val="auto"/>
          <w:lang w:eastAsia="es-ES"/>
        </w:rPr>
        <w:t xml:space="preserve">, sin embargo </w:t>
      </w:r>
      <w:r w:rsidR="000515C8" w:rsidRPr="000515C8">
        <w:rPr>
          <w:rFonts w:eastAsia="Times New Roman" w:cs="Tahoma"/>
          <w:bCs/>
          <w:iCs/>
          <w:color w:val="auto"/>
          <w:lang w:eastAsia="es-ES"/>
        </w:rPr>
        <w:t>no proporcionó los documentos en los que constara su nombre y razón social, además de que clasificó su número telefónico y correo electrónico como confidenciales</w:t>
      </w:r>
      <w:r w:rsidR="000515C8" w:rsidRPr="000515C8">
        <w:rPr>
          <w:color w:val="auto"/>
        </w:rPr>
        <w:t>; sobre el tema</w:t>
      </w:r>
      <w:r w:rsidR="000515C8">
        <w:rPr>
          <w:color w:val="auto"/>
        </w:rPr>
        <w:t xml:space="preserve"> de clasificación</w:t>
      </w:r>
      <w:r w:rsidR="000515C8" w:rsidRPr="000515C8">
        <w:rPr>
          <w:color w:val="auto"/>
        </w:rPr>
        <w:t xml:space="preserve">, en los artículos 122, 128 y 130 de la Ley Transparencia y Acceso a la Información Pública del Estado de México y Municipios, se prevé que </w:t>
      </w:r>
      <w:r w:rsidR="000515C8" w:rsidRPr="000515C8">
        <w:rPr>
          <w:b/>
          <w:bCs/>
          <w:color w:val="auto"/>
        </w:rPr>
        <w:t>la clasificación</w:t>
      </w:r>
      <w:r w:rsidR="000515C8" w:rsidRPr="000515C8">
        <w:rPr>
          <w:color w:val="auto"/>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52B60F88" w14:textId="77777777" w:rsidR="000515C8" w:rsidRPr="000515C8" w:rsidRDefault="000515C8" w:rsidP="0019381D">
      <w:pPr>
        <w:spacing w:after="0" w:line="360" w:lineRule="auto"/>
        <w:contextualSpacing/>
        <w:rPr>
          <w:color w:val="auto"/>
        </w:rPr>
      </w:pPr>
    </w:p>
    <w:p w14:paraId="2D7EC1F4" w14:textId="77777777" w:rsidR="000515C8" w:rsidRPr="000515C8" w:rsidRDefault="000515C8" w:rsidP="0019381D">
      <w:pPr>
        <w:spacing w:after="0" w:line="360" w:lineRule="auto"/>
        <w:contextualSpacing/>
        <w:rPr>
          <w:color w:val="auto"/>
        </w:rPr>
      </w:pPr>
      <w:r w:rsidRPr="000515C8">
        <w:rPr>
          <w:color w:val="auto"/>
        </w:rPr>
        <w:t xml:space="preserve">Por lo cual, en los casos en que se niegue el acceso a la información, por actualizarse alguno de los supuestos de clasificación, </w:t>
      </w:r>
      <w:r w:rsidRPr="000515C8">
        <w:rPr>
          <w:b/>
          <w:bCs/>
          <w:color w:val="auto"/>
        </w:rPr>
        <w:t xml:space="preserve">el Comité de Transparencia deberá confirmar, modificar </w:t>
      </w:r>
      <w:r w:rsidRPr="000515C8">
        <w:rPr>
          <w:b/>
          <w:bCs/>
          <w:color w:val="auto"/>
        </w:rPr>
        <w:lastRenderedPageBreak/>
        <w:t>o revocar la decisión;</w:t>
      </w:r>
      <w:r w:rsidRPr="000515C8">
        <w:rPr>
          <w:color w:val="auto"/>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2E3768B" w14:textId="77777777" w:rsidR="000515C8" w:rsidRPr="000515C8" w:rsidRDefault="000515C8" w:rsidP="0019381D">
      <w:pPr>
        <w:spacing w:after="0" w:line="360" w:lineRule="auto"/>
        <w:contextualSpacing/>
        <w:rPr>
          <w:color w:val="auto"/>
        </w:rPr>
      </w:pPr>
    </w:p>
    <w:p w14:paraId="1B47A896" w14:textId="77777777" w:rsidR="000515C8" w:rsidRPr="000515C8" w:rsidRDefault="000515C8" w:rsidP="0019381D">
      <w:pPr>
        <w:spacing w:after="0" w:line="360" w:lineRule="auto"/>
        <w:contextualSpacing/>
        <w:rPr>
          <w:b/>
          <w:bCs/>
          <w:color w:val="auto"/>
        </w:rPr>
      </w:pPr>
      <w:r w:rsidRPr="000515C8">
        <w:rPr>
          <w:color w:val="auto"/>
        </w:rPr>
        <w:t xml:space="preserve">En ese contexto, de la interpretación del artículo 134 de la Ley de Transparencia y Acceso a la Información Pública del Estado de México y Municipios, se logra observar que </w:t>
      </w:r>
      <w:r w:rsidRPr="000515C8">
        <w:rPr>
          <w:b/>
          <w:bCs/>
          <w:color w:val="auto"/>
        </w:rPr>
        <w:t>la clasificación depende del contenido de los documentos, pues de su análisis se establece si corresponde a una clasificación total o parcial.</w:t>
      </w:r>
    </w:p>
    <w:p w14:paraId="271B4029" w14:textId="77777777" w:rsidR="000515C8" w:rsidRPr="000515C8" w:rsidRDefault="000515C8" w:rsidP="0019381D">
      <w:pPr>
        <w:spacing w:after="0" w:line="360" w:lineRule="auto"/>
        <w:contextualSpacing/>
        <w:rPr>
          <w:color w:val="auto"/>
        </w:rPr>
      </w:pPr>
    </w:p>
    <w:p w14:paraId="5B792B2D" w14:textId="77777777" w:rsidR="000515C8" w:rsidRPr="000515C8" w:rsidRDefault="000515C8" w:rsidP="0019381D">
      <w:pPr>
        <w:spacing w:after="0" w:line="360" w:lineRule="auto"/>
        <w:contextualSpacing/>
        <w:rPr>
          <w:color w:val="auto"/>
        </w:rPr>
      </w:pPr>
      <w:r w:rsidRPr="000515C8">
        <w:rPr>
          <w:color w:val="auto"/>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527A45B9" w14:textId="77777777" w:rsidR="000515C8" w:rsidRPr="000515C8" w:rsidRDefault="000515C8" w:rsidP="0019381D">
      <w:pPr>
        <w:spacing w:after="0" w:line="360" w:lineRule="auto"/>
        <w:contextualSpacing/>
        <w:rPr>
          <w:color w:val="auto"/>
        </w:rPr>
      </w:pPr>
    </w:p>
    <w:p w14:paraId="37D1A505" w14:textId="77777777" w:rsidR="000515C8" w:rsidRPr="000515C8" w:rsidRDefault="000515C8" w:rsidP="0019381D">
      <w:pPr>
        <w:spacing w:after="0" w:line="360" w:lineRule="auto"/>
        <w:contextualSpacing/>
        <w:rPr>
          <w:b/>
          <w:bCs/>
          <w:color w:val="auto"/>
        </w:rPr>
      </w:pPr>
      <w:r w:rsidRPr="000515C8">
        <w:rPr>
          <w:color w:val="auto"/>
        </w:rPr>
        <w:t xml:space="preserve">En ese contexto, según Bonifaz, Leticia (2016), en la “Ley General de Transparencia y Acceso a la Información Pública Comentada” (p. 342), </w:t>
      </w:r>
      <w:r w:rsidRPr="000515C8">
        <w:rPr>
          <w:b/>
          <w:bCs/>
          <w:color w:val="auto"/>
        </w:rPr>
        <w:t>la clasificación de la información</w:t>
      </w:r>
      <w:r w:rsidRPr="000515C8">
        <w:rPr>
          <w:color w:val="auto"/>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0515C8">
        <w:rPr>
          <w:b/>
          <w:bCs/>
          <w:color w:val="auto"/>
        </w:rPr>
        <w:t>de manera adecuada la negativa de información.</w:t>
      </w:r>
    </w:p>
    <w:p w14:paraId="00B4905B" w14:textId="77777777" w:rsidR="000515C8" w:rsidRPr="000515C8" w:rsidRDefault="000515C8" w:rsidP="0019381D">
      <w:pPr>
        <w:spacing w:after="0" w:line="360" w:lineRule="auto"/>
        <w:contextualSpacing/>
        <w:rPr>
          <w:color w:val="auto"/>
        </w:rPr>
      </w:pPr>
    </w:p>
    <w:p w14:paraId="2A1296E0" w14:textId="77777777" w:rsidR="000515C8" w:rsidRPr="000515C8" w:rsidRDefault="000515C8" w:rsidP="0019381D">
      <w:pPr>
        <w:spacing w:after="0" w:line="360" w:lineRule="auto"/>
        <w:contextualSpacing/>
        <w:rPr>
          <w:b/>
          <w:bCs/>
          <w:color w:val="auto"/>
        </w:rPr>
      </w:pPr>
      <w:r w:rsidRPr="000515C8">
        <w:rPr>
          <w:color w:val="auto"/>
        </w:rPr>
        <w:t xml:space="preserve">Además, conforme al artículo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Generales-,a manera de analogía, los sujetos obligados no podrán emitir acuerdos de carácter general que clasifiquen documentos o expedientes; </w:t>
      </w:r>
      <w:r w:rsidRPr="000515C8">
        <w:rPr>
          <w:color w:val="auto"/>
        </w:rPr>
        <w:lastRenderedPageBreak/>
        <w:t xml:space="preserve">por lo que, la clasificación de información se llevará a cabo mediante un </w:t>
      </w:r>
      <w:r w:rsidRPr="000515C8">
        <w:rPr>
          <w:b/>
          <w:bCs/>
          <w:color w:val="auto"/>
        </w:rPr>
        <w:t>análisis caso por caso.</w:t>
      </w:r>
    </w:p>
    <w:p w14:paraId="2632E279" w14:textId="77777777" w:rsidR="000515C8" w:rsidRPr="000515C8" w:rsidRDefault="000515C8" w:rsidP="0019381D">
      <w:pPr>
        <w:spacing w:after="0" w:line="360" w:lineRule="auto"/>
        <w:contextualSpacing/>
        <w:rPr>
          <w:b/>
          <w:bCs/>
          <w:color w:val="auto"/>
        </w:rPr>
      </w:pPr>
    </w:p>
    <w:p w14:paraId="09270BCC" w14:textId="77777777" w:rsidR="000515C8" w:rsidRPr="000515C8" w:rsidRDefault="000515C8" w:rsidP="0019381D">
      <w:pPr>
        <w:spacing w:after="0" w:line="360" w:lineRule="auto"/>
        <w:contextualSpacing/>
        <w:rPr>
          <w:color w:val="auto"/>
        </w:rPr>
      </w:pPr>
      <w:r w:rsidRPr="000515C8">
        <w:rPr>
          <w:color w:val="auto"/>
        </w:rPr>
        <w:t xml:space="preserve">Sobre lo anterior, el artículo 131 de la Ley referida, así como el Quinto de los Lineamientos Generales, establecen que los sujetos obligados </w:t>
      </w:r>
      <w:r w:rsidRPr="000515C8">
        <w:rPr>
          <w:b/>
          <w:bCs/>
          <w:color w:val="auto"/>
        </w:rPr>
        <w:t>deberán fundar y motivar</w:t>
      </w:r>
      <w:r w:rsidRPr="000515C8">
        <w:rPr>
          <w:color w:val="auto"/>
        </w:rPr>
        <w:t xml:space="preserve"> debidamente la clasificación de la información.</w:t>
      </w:r>
    </w:p>
    <w:p w14:paraId="39FC460C" w14:textId="77777777" w:rsidR="000515C8" w:rsidRPr="000515C8" w:rsidRDefault="000515C8" w:rsidP="0019381D">
      <w:pPr>
        <w:spacing w:after="0" w:line="360" w:lineRule="auto"/>
        <w:contextualSpacing/>
        <w:rPr>
          <w:color w:val="auto"/>
        </w:rPr>
      </w:pPr>
    </w:p>
    <w:p w14:paraId="1E180DA5" w14:textId="77777777" w:rsidR="000515C8" w:rsidRDefault="000515C8" w:rsidP="0019381D">
      <w:pPr>
        <w:spacing w:after="0" w:line="360" w:lineRule="auto"/>
        <w:contextualSpacing/>
        <w:rPr>
          <w:color w:val="auto"/>
        </w:rPr>
      </w:pPr>
      <w:r w:rsidRPr="000515C8">
        <w:rPr>
          <w:color w:val="auto"/>
        </w:rPr>
        <w:t>Al respecto, el Octavo de los Lineamientos Generales, precisa lo siguiente:</w:t>
      </w:r>
    </w:p>
    <w:p w14:paraId="453B6A6A" w14:textId="77777777" w:rsidR="0019381D" w:rsidRDefault="0019381D" w:rsidP="0019381D">
      <w:pPr>
        <w:spacing w:after="0" w:line="360" w:lineRule="auto"/>
        <w:contextualSpacing/>
        <w:rPr>
          <w:color w:val="auto"/>
        </w:rPr>
      </w:pPr>
    </w:p>
    <w:p w14:paraId="1DA06E8D" w14:textId="77777777" w:rsidR="000515C8" w:rsidRDefault="000515C8" w:rsidP="0019381D">
      <w:pPr>
        <w:pStyle w:val="Prrafodelista"/>
        <w:numPr>
          <w:ilvl w:val="0"/>
          <w:numId w:val="43"/>
        </w:numPr>
        <w:spacing w:after="0" w:line="360" w:lineRule="auto"/>
        <w:rPr>
          <w:color w:val="auto"/>
        </w:rPr>
      </w:pPr>
      <w:r w:rsidRPr="000515C8">
        <w:rPr>
          <w:b/>
          <w:bCs/>
          <w:color w:val="auto"/>
        </w:rPr>
        <w:t>Para fundar la clasificación</w:t>
      </w:r>
      <w:r w:rsidRPr="000515C8">
        <w:rPr>
          <w:color w:val="auto"/>
        </w:rPr>
        <w:t xml:space="preserve"> de la información se deberán señalar el artículo, fracción, inciso, párrafo o numeral de la Ley aplicable;</w:t>
      </w:r>
    </w:p>
    <w:p w14:paraId="1CCA367E" w14:textId="77777777" w:rsidR="0019381D" w:rsidRPr="000515C8" w:rsidRDefault="0019381D" w:rsidP="0019381D">
      <w:pPr>
        <w:pStyle w:val="Prrafodelista"/>
        <w:spacing w:after="0" w:line="360" w:lineRule="auto"/>
        <w:rPr>
          <w:color w:val="auto"/>
        </w:rPr>
      </w:pPr>
    </w:p>
    <w:p w14:paraId="445D8C72" w14:textId="77777777" w:rsidR="000515C8" w:rsidRPr="000515C8" w:rsidRDefault="000515C8" w:rsidP="0019381D">
      <w:pPr>
        <w:pStyle w:val="Prrafodelista"/>
        <w:numPr>
          <w:ilvl w:val="0"/>
          <w:numId w:val="43"/>
        </w:numPr>
        <w:spacing w:after="0" w:line="360" w:lineRule="auto"/>
        <w:rPr>
          <w:color w:val="auto"/>
        </w:rPr>
      </w:pPr>
      <w:r w:rsidRPr="000515C8">
        <w:rPr>
          <w:b/>
          <w:bCs/>
          <w:color w:val="auto"/>
        </w:rPr>
        <w:t>Para motivar la clasificación</w:t>
      </w:r>
      <w:r w:rsidRPr="000515C8">
        <w:rPr>
          <w:color w:val="auto"/>
        </w:rPr>
        <w:t xml:space="preserve"> se deberán indicar las razones y circunstancias especiales que lo llevaron a concluir que el caso particular se ajusta al supuesto previsto por la norma legal invocada.</w:t>
      </w:r>
    </w:p>
    <w:p w14:paraId="53E1D238" w14:textId="77777777" w:rsidR="000515C8" w:rsidRPr="000515C8" w:rsidRDefault="000515C8" w:rsidP="0019381D">
      <w:pPr>
        <w:spacing w:after="0" w:line="360" w:lineRule="auto"/>
        <w:contextualSpacing/>
        <w:rPr>
          <w:color w:val="auto"/>
        </w:rPr>
      </w:pPr>
    </w:p>
    <w:p w14:paraId="194AA243" w14:textId="77777777" w:rsidR="000515C8" w:rsidRPr="000515C8" w:rsidRDefault="000515C8" w:rsidP="0019381D">
      <w:pPr>
        <w:spacing w:after="0" w:line="360" w:lineRule="auto"/>
        <w:contextualSpacing/>
        <w:rPr>
          <w:color w:val="auto"/>
        </w:rPr>
      </w:pPr>
      <w:r w:rsidRPr="000515C8">
        <w:rPr>
          <w:color w:val="auto"/>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5F3F97BD" w14:textId="77777777" w:rsidR="000515C8" w:rsidRPr="000515C8" w:rsidRDefault="000515C8" w:rsidP="0019381D">
      <w:pPr>
        <w:spacing w:after="0" w:line="360" w:lineRule="auto"/>
        <w:ind w:left="567" w:right="539"/>
        <w:contextualSpacing/>
        <w:rPr>
          <w:rFonts w:cs="Tahoma"/>
          <w:bCs/>
          <w:i/>
          <w:color w:val="auto"/>
        </w:rPr>
      </w:pPr>
    </w:p>
    <w:p w14:paraId="25AD1EBB" w14:textId="77777777" w:rsidR="000515C8" w:rsidRPr="000515C8" w:rsidRDefault="000515C8" w:rsidP="0019381D">
      <w:pPr>
        <w:spacing w:after="0" w:line="360" w:lineRule="auto"/>
        <w:ind w:left="567" w:right="539"/>
        <w:contextualSpacing/>
        <w:rPr>
          <w:rFonts w:cs="Tahoma"/>
          <w:bCs/>
          <w:i/>
          <w:color w:val="auto"/>
          <w:sz w:val="20"/>
          <w:szCs w:val="20"/>
        </w:rPr>
      </w:pPr>
      <w:r w:rsidRPr="000515C8">
        <w:rPr>
          <w:rFonts w:cs="Tahoma"/>
          <w:b/>
          <w:i/>
          <w:color w:val="auto"/>
          <w:sz w:val="20"/>
          <w:szCs w:val="20"/>
        </w:rPr>
        <w:t>“FUNDAMENTACION Y MOTIVACION, CONCEPTO DE.</w:t>
      </w:r>
      <w:r w:rsidRPr="000515C8">
        <w:rPr>
          <w:rFonts w:cs="Tahoma"/>
          <w:bCs/>
          <w:i/>
          <w:color w:val="auto"/>
          <w:sz w:val="20"/>
          <w:szCs w:val="20"/>
        </w:rPr>
        <w:t xml:space="preserve"> La garantía de legalidad consagrada en el artículo 16 de nuestra Carta Magna, establece que todo acto de autoridad precisa encontrarse debidamente fundado y motivado, entendiéndose por lo primero la obligación de la </w:t>
      </w:r>
      <w:r w:rsidRPr="000515C8">
        <w:rPr>
          <w:rFonts w:cs="Tahoma"/>
          <w:bCs/>
          <w:i/>
          <w:color w:val="auto"/>
          <w:sz w:val="20"/>
          <w:szCs w:val="20"/>
        </w:rPr>
        <w:lastRenderedPageBreak/>
        <w:t>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7D80A314" w14:textId="77777777" w:rsidR="000515C8" w:rsidRPr="000515C8" w:rsidRDefault="000515C8" w:rsidP="0019381D">
      <w:pPr>
        <w:spacing w:after="0" w:line="360" w:lineRule="auto"/>
        <w:contextualSpacing/>
        <w:rPr>
          <w:rFonts w:cs="Tahoma"/>
          <w:color w:val="auto"/>
        </w:rPr>
      </w:pPr>
    </w:p>
    <w:p w14:paraId="4AFD2A7B" w14:textId="77777777" w:rsidR="000515C8" w:rsidRPr="000515C8" w:rsidRDefault="000515C8" w:rsidP="0019381D">
      <w:pPr>
        <w:spacing w:after="0" w:line="360" w:lineRule="auto"/>
        <w:contextualSpacing/>
        <w:rPr>
          <w:color w:val="auto"/>
        </w:rPr>
      </w:pPr>
      <w:r w:rsidRPr="000515C8">
        <w:rPr>
          <w:color w:val="auto"/>
        </w:rPr>
        <w:t>Conforme a lo anterior, se advierte lo siguiente:</w:t>
      </w:r>
    </w:p>
    <w:p w14:paraId="6D538008" w14:textId="77777777" w:rsidR="000515C8" w:rsidRPr="000515C8" w:rsidRDefault="000515C8" w:rsidP="0019381D">
      <w:pPr>
        <w:spacing w:after="0" w:line="360" w:lineRule="auto"/>
        <w:contextualSpacing/>
        <w:rPr>
          <w:rFonts w:cs="Tahoma"/>
          <w:color w:val="auto"/>
        </w:rPr>
      </w:pPr>
    </w:p>
    <w:p w14:paraId="37639A75" w14:textId="77777777" w:rsidR="000515C8" w:rsidRPr="000515C8" w:rsidRDefault="000515C8" w:rsidP="0019381D">
      <w:pPr>
        <w:pStyle w:val="Prrafodelista"/>
        <w:numPr>
          <w:ilvl w:val="0"/>
          <w:numId w:val="44"/>
        </w:numPr>
        <w:spacing w:after="0" w:line="360" w:lineRule="auto"/>
        <w:rPr>
          <w:color w:val="auto"/>
        </w:rPr>
      </w:pPr>
      <w:r w:rsidRPr="000515C8">
        <w:rPr>
          <w:b/>
          <w:bCs/>
          <w:color w:val="auto"/>
        </w:rPr>
        <w:t>Fundamentación:</w:t>
      </w:r>
      <w:r w:rsidRPr="000515C8">
        <w:rPr>
          <w:color w:val="auto"/>
        </w:rPr>
        <w:t xml:space="preserve"> Obligación de la autoridad que emite un acto, para citar los preceptos legales, sustantivos y adjetivos, en que se apoye para la determinación tomada.</w:t>
      </w:r>
    </w:p>
    <w:p w14:paraId="63C38392" w14:textId="77777777" w:rsidR="000515C8" w:rsidRPr="000515C8" w:rsidRDefault="000515C8" w:rsidP="0019381D">
      <w:pPr>
        <w:pStyle w:val="Prrafodelista"/>
        <w:numPr>
          <w:ilvl w:val="0"/>
          <w:numId w:val="44"/>
        </w:numPr>
        <w:spacing w:after="0" w:line="360" w:lineRule="auto"/>
        <w:rPr>
          <w:color w:val="auto"/>
        </w:rPr>
      </w:pPr>
      <w:r w:rsidRPr="000515C8">
        <w:rPr>
          <w:b/>
          <w:bCs/>
          <w:color w:val="auto"/>
        </w:rPr>
        <w:t>Motivación:</w:t>
      </w:r>
      <w:r w:rsidRPr="000515C8">
        <w:rPr>
          <w:color w:val="auto"/>
        </w:rPr>
        <w:t xml:space="preserve"> Razonamientos lógico-jurídicos sobre porque se consideró en el caso en concreto, que se ajusta a la hipótesis normativa.</w:t>
      </w:r>
    </w:p>
    <w:p w14:paraId="5E9B5C38" w14:textId="77777777" w:rsidR="000515C8" w:rsidRPr="000515C8" w:rsidRDefault="000515C8" w:rsidP="0019381D">
      <w:pPr>
        <w:spacing w:after="0" w:line="360" w:lineRule="auto"/>
        <w:contextualSpacing/>
        <w:rPr>
          <w:color w:val="auto"/>
        </w:rPr>
      </w:pPr>
    </w:p>
    <w:p w14:paraId="092DBB92" w14:textId="77777777" w:rsidR="000515C8" w:rsidRPr="000515C8" w:rsidRDefault="000515C8" w:rsidP="0019381D">
      <w:pPr>
        <w:spacing w:after="0" w:line="360" w:lineRule="auto"/>
        <w:contextualSpacing/>
        <w:rPr>
          <w:color w:val="auto"/>
        </w:rPr>
      </w:pPr>
      <w:r w:rsidRPr="000515C8">
        <w:rPr>
          <w:color w:val="auto"/>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3A8180BE" w14:textId="77777777" w:rsidR="000515C8" w:rsidRPr="000515C8" w:rsidRDefault="000515C8" w:rsidP="0019381D">
      <w:pPr>
        <w:spacing w:after="0" w:line="360" w:lineRule="auto"/>
        <w:contextualSpacing/>
        <w:rPr>
          <w:color w:val="auto"/>
        </w:rPr>
      </w:pPr>
    </w:p>
    <w:p w14:paraId="16F5807F" w14:textId="0BAF251B" w:rsidR="00340F0C" w:rsidRDefault="000515C8" w:rsidP="0019381D">
      <w:pPr>
        <w:spacing w:after="0" w:line="360" w:lineRule="auto"/>
        <w:contextualSpacing/>
        <w:rPr>
          <w:color w:val="auto"/>
        </w:rPr>
      </w:pPr>
      <w:r w:rsidRPr="000515C8">
        <w:rPr>
          <w:color w:val="auto"/>
        </w:rPr>
        <w:t xml:space="preserve">En ese contexto, es de señalar que Ayuntamiento de </w:t>
      </w:r>
      <w:r>
        <w:rPr>
          <w:color w:val="auto"/>
        </w:rPr>
        <w:t>Chiconcuac</w:t>
      </w:r>
      <w:r w:rsidRPr="000515C8">
        <w:rPr>
          <w:color w:val="auto"/>
        </w:rPr>
        <w:t xml:space="preserve">, no precisó de manera fundada y motivada las razones por las cuales, consideraba que los documentos solicitados eran clasificados; además si bien, proporciono el Acuerdo del Comité de Transparencia por el cual se </w:t>
      </w:r>
      <w:r w:rsidR="00340F0C" w:rsidRPr="000515C8">
        <w:rPr>
          <w:color w:val="auto"/>
        </w:rPr>
        <w:t>confirmó</w:t>
      </w:r>
      <w:r w:rsidRPr="000515C8">
        <w:rPr>
          <w:color w:val="auto"/>
        </w:rPr>
        <w:t xml:space="preserve"> la clasificación como confidencial de la información </w:t>
      </w:r>
      <w:r w:rsidR="00340F0C">
        <w:rPr>
          <w:color w:val="auto"/>
        </w:rPr>
        <w:t>fundamentó como si la información fuera clasificada como reservada y/o confidencial, por lo que cabe señalar que la información clasificada como confidencial a diferencia de la reservada no está sujeta a una temporalidad y la primera hace identificable a una persona, a cambio de la reservada cuya divulgación presenta un riesgo real demostrable e identificable, razón por la cual no resulta aplicable una clasificación por ambos supuestos.</w:t>
      </w:r>
    </w:p>
    <w:p w14:paraId="1EDBA2EA" w14:textId="77777777" w:rsidR="00340F0C" w:rsidRDefault="00340F0C" w:rsidP="0019381D">
      <w:pPr>
        <w:spacing w:after="0" w:line="360" w:lineRule="auto"/>
        <w:contextualSpacing/>
        <w:rPr>
          <w:color w:val="auto"/>
        </w:rPr>
      </w:pPr>
    </w:p>
    <w:p w14:paraId="6C849421" w14:textId="19695D60" w:rsidR="004F12FB" w:rsidRPr="000515C8" w:rsidRDefault="000C4658" w:rsidP="0019381D">
      <w:pPr>
        <w:widowControl w:val="0"/>
        <w:spacing w:after="0" w:line="360" w:lineRule="auto"/>
        <w:contextualSpacing/>
        <w:rPr>
          <w:rFonts w:eastAsia="Calibri" w:cs="Tahoma"/>
          <w:iCs/>
          <w:color w:val="auto"/>
          <w:lang w:val="es-ES" w:eastAsia="es-ES_tradnl"/>
        </w:rPr>
      </w:pPr>
      <w:r w:rsidRPr="000515C8">
        <w:rPr>
          <w:rFonts w:eastAsia="Calibri" w:cs="Tahoma"/>
          <w:iCs/>
          <w:color w:val="auto"/>
          <w:lang w:val="es-ES" w:eastAsia="es-ES_tradnl"/>
        </w:rPr>
        <w:t xml:space="preserve">Por lo anterior, la respuesta proporcionada por el </w:t>
      </w:r>
      <w:r w:rsidR="006A2B15" w:rsidRPr="000515C8">
        <w:rPr>
          <w:rFonts w:eastAsia="Calibri" w:cs="Tahoma"/>
          <w:iCs/>
          <w:color w:val="auto"/>
          <w:lang w:val="es-ES" w:eastAsia="es-ES_tradnl"/>
        </w:rPr>
        <w:t>Ayuntamiento de Chiconcuac</w:t>
      </w:r>
      <w:r w:rsidRPr="000515C8">
        <w:rPr>
          <w:rFonts w:eastAsia="Calibri" w:cs="Tahoma"/>
          <w:iCs/>
          <w:color w:val="auto"/>
          <w:lang w:val="es-ES" w:eastAsia="es-ES_tradnl"/>
        </w:rPr>
        <w:t xml:space="preserve"> no satisface el requerimiento informativo, al</w:t>
      </w:r>
      <w:r w:rsidR="00340F0C">
        <w:rPr>
          <w:rFonts w:eastAsia="Calibri" w:cs="Tahoma"/>
          <w:iCs/>
          <w:color w:val="auto"/>
          <w:lang w:val="es-ES" w:eastAsia="es-ES_tradnl"/>
        </w:rPr>
        <w:t xml:space="preserve"> no</w:t>
      </w:r>
      <w:r w:rsidRPr="000515C8">
        <w:rPr>
          <w:rFonts w:eastAsia="Calibri" w:cs="Tahoma"/>
          <w:iCs/>
          <w:color w:val="auto"/>
          <w:lang w:val="es-ES" w:eastAsia="es-ES_tradnl"/>
        </w:rPr>
        <w:t xml:space="preserve"> proporcionarse </w:t>
      </w:r>
      <w:r w:rsidR="00340F0C">
        <w:rPr>
          <w:rFonts w:eastAsia="Calibri" w:cs="Tahoma"/>
          <w:iCs/>
          <w:color w:val="auto"/>
          <w:lang w:val="es-ES" w:eastAsia="es-ES_tradnl"/>
        </w:rPr>
        <w:t>la información interés del Particular.</w:t>
      </w:r>
      <w:r w:rsidRPr="000515C8">
        <w:rPr>
          <w:rFonts w:eastAsia="Calibri" w:cs="Tahoma"/>
          <w:iCs/>
          <w:color w:val="auto"/>
          <w:lang w:val="es-ES" w:eastAsia="es-ES_tradnl"/>
        </w:rPr>
        <w:t xml:space="preserve"> </w:t>
      </w:r>
    </w:p>
    <w:p w14:paraId="44149C23" w14:textId="77777777" w:rsidR="0044742B" w:rsidRPr="000515C8" w:rsidRDefault="0044742B" w:rsidP="0019381D">
      <w:pPr>
        <w:widowControl w:val="0"/>
        <w:spacing w:after="0" w:line="360" w:lineRule="auto"/>
        <w:contextualSpacing/>
        <w:rPr>
          <w:rFonts w:eastAsia="Calibri" w:cs="Tahoma"/>
          <w:iCs/>
          <w:color w:val="auto"/>
          <w:lang w:val="es-ES" w:eastAsia="es-ES_tradnl"/>
        </w:rPr>
      </w:pPr>
    </w:p>
    <w:p w14:paraId="27A37036" w14:textId="23D56309" w:rsidR="0044742B" w:rsidRPr="000515C8" w:rsidRDefault="0044742B" w:rsidP="0019381D">
      <w:pPr>
        <w:spacing w:after="0" w:line="360" w:lineRule="auto"/>
        <w:contextualSpacing/>
        <w:rPr>
          <w:rFonts w:cs="Tahoma"/>
          <w:b/>
          <w:color w:val="auto"/>
        </w:rPr>
      </w:pPr>
      <w:r w:rsidRPr="000515C8">
        <w:rPr>
          <w:rFonts w:cs="Tahoma"/>
          <w:color w:val="auto"/>
        </w:rPr>
        <w:t xml:space="preserve">En resumidas cuentas, el Ayuntamiento de  </w:t>
      </w:r>
      <w:r w:rsidR="00340F0C">
        <w:rPr>
          <w:rFonts w:cs="Tahoma"/>
          <w:color w:val="auto"/>
        </w:rPr>
        <w:t xml:space="preserve">Chiconcuac </w:t>
      </w:r>
      <w:r w:rsidRPr="000515C8">
        <w:rPr>
          <w:rFonts w:cs="Tahoma"/>
          <w:color w:val="auto"/>
        </w:rPr>
        <w:t xml:space="preserve">no fue </w:t>
      </w:r>
      <w:r w:rsidR="00B52EFD" w:rsidRPr="000515C8">
        <w:rPr>
          <w:rFonts w:cs="Tahoma"/>
          <w:color w:val="auto"/>
        </w:rPr>
        <w:t>congruente</w:t>
      </w:r>
      <w:r w:rsidRPr="000515C8">
        <w:rPr>
          <w:rFonts w:cs="Tahoma"/>
          <w:color w:val="auto"/>
        </w:rPr>
        <w:t xml:space="preserve"> en la respuesta que otorgó al particular, pues </w:t>
      </w:r>
      <w:r w:rsidR="00340F0C">
        <w:rPr>
          <w:rFonts w:cs="Tahoma"/>
          <w:color w:val="auto"/>
        </w:rPr>
        <w:t>no remitió los documentos en los que constaran las empresas con el giro interés del Particular</w:t>
      </w:r>
      <w:r w:rsidRPr="000515C8">
        <w:rPr>
          <w:rFonts w:cs="Tahoma"/>
          <w:color w:val="auto"/>
        </w:rPr>
        <w:t xml:space="preserve">. De lo anterior, se cuenta con los elementos suficientes para determinar que el agravio deviene de </w:t>
      </w:r>
      <w:r w:rsidRPr="000515C8">
        <w:rPr>
          <w:rFonts w:cs="Tahoma"/>
          <w:b/>
          <w:color w:val="auto"/>
        </w:rPr>
        <w:t>FUNDADO.</w:t>
      </w:r>
    </w:p>
    <w:p w14:paraId="5921AB4C" w14:textId="77777777" w:rsidR="00040F8A" w:rsidRPr="000515C8" w:rsidRDefault="00040F8A" w:rsidP="0019381D">
      <w:pPr>
        <w:spacing w:after="0" w:line="360" w:lineRule="auto"/>
        <w:contextualSpacing/>
        <w:rPr>
          <w:rFonts w:cs="Tahoma"/>
          <w:color w:val="auto"/>
        </w:rPr>
      </w:pPr>
    </w:p>
    <w:p w14:paraId="6D6925B3" w14:textId="35804C78" w:rsidR="000846B3" w:rsidRPr="000515C8" w:rsidRDefault="00830CB9" w:rsidP="0019381D">
      <w:pPr>
        <w:widowControl w:val="0"/>
        <w:spacing w:after="0" w:line="360" w:lineRule="auto"/>
        <w:contextualSpacing/>
        <w:rPr>
          <w:rFonts w:eastAsia="Palatino Linotype" w:cs="Arial"/>
          <w:color w:val="auto"/>
          <w:lang w:val="es-ES" w:eastAsia="es-MX"/>
        </w:rPr>
      </w:pPr>
      <w:r w:rsidRPr="000515C8">
        <w:rPr>
          <w:rFonts w:eastAsia="Calibri" w:cs="Tahoma"/>
          <w:iCs/>
          <w:color w:val="auto"/>
          <w:lang w:val="es-ES" w:eastAsia="es-ES_tradnl"/>
        </w:rPr>
        <w:t xml:space="preserve">Por lo que para atender el </w:t>
      </w:r>
      <w:r w:rsidRPr="000515C8">
        <w:rPr>
          <w:rFonts w:eastAsia="Palatino Linotype" w:cs="Palatino Linotype"/>
          <w:color w:val="auto"/>
          <w:lang w:eastAsia="es-MX"/>
        </w:rPr>
        <w:t xml:space="preserve">requerimiento de información, el Sujeto Obligado deberá realizar una búsqueda exhaustiva y razonable en </w:t>
      </w:r>
      <w:r w:rsidR="00B52EFD" w:rsidRPr="000515C8">
        <w:rPr>
          <w:rFonts w:eastAsia="Palatino Linotype" w:cs="Palatino Linotype"/>
          <w:color w:val="auto"/>
          <w:lang w:eastAsia="es-MX"/>
        </w:rPr>
        <w:t>todas las áreas competentes</w:t>
      </w:r>
      <w:r w:rsidRPr="000515C8">
        <w:rPr>
          <w:rFonts w:eastAsia="Palatino Linotype" w:cs="Palatino Linotype"/>
          <w:color w:val="auto"/>
          <w:lang w:eastAsia="es-MX"/>
        </w:rPr>
        <w:t>, en términos del artículo 162 de la Ley de Transparencia y Acceso a la Información Pública del Estado de México y Municipi</w:t>
      </w:r>
      <w:r w:rsidR="00DC6C16" w:rsidRPr="000515C8">
        <w:rPr>
          <w:rFonts w:eastAsia="Palatino Linotype" w:cs="Palatino Linotype"/>
          <w:color w:val="auto"/>
          <w:lang w:eastAsia="es-MX"/>
        </w:rPr>
        <w:t>os, a efecto de que proporcione la información solicitada</w:t>
      </w:r>
      <w:r w:rsidR="000846B3" w:rsidRPr="000515C8">
        <w:rPr>
          <w:rFonts w:eastAsia="Palatino Linotype" w:cs="Arial"/>
          <w:color w:val="auto"/>
          <w:lang w:val="es-ES" w:eastAsia="es-MX"/>
        </w:rPr>
        <w:t>;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5D823DC" w14:textId="77777777" w:rsidR="000846B3" w:rsidRPr="000515C8" w:rsidRDefault="000846B3" w:rsidP="0019381D">
      <w:pPr>
        <w:widowControl w:val="0"/>
        <w:spacing w:after="0" w:line="360" w:lineRule="auto"/>
        <w:contextualSpacing/>
        <w:rPr>
          <w:rFonts w:eastAsia="Palatino Linotype" w:cs="Palatino Linotype"/>
          <w:color w:val="auto"/>
          <w:lang w:eastAsia="es-MX"/>
        </w:rPr>
      </w:pPr>
    </w:p>
    <w:p w14:paraId="7FE4950C" w14:textId="77777777" w:rsidR="000846B3" w:rsidRPr="000515C8" w:rsidRDefault="000846B3" w:rsidP="0019381D">
      <w:pPr>
        <w:widowControl w:val="0"/>
        <w:spacing w:after="0" w:line="360" w:lineRule="auto"/>
        <w:contextualSpacing/>
        <w:rPr>
          <w:rFonts w:eastAsia="Palatino Linotype" w:cs="Palatino Linotype"/>
          <w:color w:val="auto"/>
          <w:lang w:eastAsia="es-MX"/>
        </w:rPr>
      </w:pPr>
      <w:r w:rsidRPr="000515C8">
        <w:rPr>
          <w:rFonts w:eastAsia="Palatino Linotype" w:cs="Palatino Linotype"/>
          <w:color w:val="auto"/>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0515C8">
        <w:rPr>
          <w:rFonts w:eastAsia="Palatino Linotype" w:cs="Palatino Linotype"/>
          <w:i/>
          <w:iCs/>
          <w:color w:val="auto"/>
          <w:lang w:eastAsia="es-MX"/>
        </w:rPr>
        <w:t>ad hoc</w:t>
      </w:r>
      <w:r w:rsidRPr="000515C8">
        <w:rPr>
          <w:rFonts w:eastAsia="Palatino Linotype" w:cs="Palatino Linotype"/>
          <w:color w:val="auto"/>
          <w:lang w:eastAsia="es-MX"/>
        </w:rPr>
        <w:t>; lo cual, toma sustento en el artículo 160 de la Ley de Transparencia y Acceso a la Información Pública del Estado de México y Municipios, el cual refiere que los sujetos obligados deberán entregar la información que obre en sus archivos.</w:t>
      </w:r>
    </w:p>
    <w:p w14:paraId="7F36DD60" w14:textId="77777777" w:rsidR="000846B3" w:rsidRPr="000515C8" w:rsidRDefault="000846B3" w:rsidP="0019381D">
      <w:pPr>
        <w:widowControl w:val="0"/>
        <w:spacing w:after="0" w:line="360" w:lineRule="auto"/>
        <w:contextualSpacing/>
        <w:rPr>
          <w:rFonts w:eastAsia="Palatino Linotype" w:cs="Palatino Linotype"/>
          <w:color w:val="auto"/>
          <w:lang w:eastAsia="es-MX"/>
        </w:rPr>
      </w:pPr>
    </w:p>
    <w:p w14:paraId="659AEB83" w14:textId="77777777" w:rsidR="00395324" w:rsidRPr="000515C8" w:rsidRDefault="000846B3" w:rsidP="0019381D">
      <w:pPr>
        <w:widowControl w:val="0"/>
        <w:spacing w:after="0" w:line="360" w:lineRule="auto"/>
        <w:contextualSpacing/>
        <w:rPr>
          <w:rFonts w:eastAsia="Palatino Linotype" w:cs="Palatino Linotype"/>
          <w:color w:val="auto"/>
          <w:lang w:eastAsia="es-MX"/>
        </w:rPr>
      </w:pPr>
      <w:r w:rsidRPr="000515C8">
        <w:rPr>
          <w:rFonts w:eastAsia="Palatino Linotype" w:cs="Palatino Linotype"/>
          <w:color w:val="auto"/>
          <w:lang w:eastAsia="es-MX"/>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C02A36" w:rsidRPr="000515C8">
        <w:rPr>
          <w:rFonts w:eastAsia="Palatino Linotype" w:cs="Palatino Linotype"/>
          <w:color w:val="auto"/>
          <w:lang w:eastAsia="es-MX"/>
        </w:rPr>
        <w:t xml:space="preserve">; por lo que, en el </w:t>
      </w:r>
      <w:proofErr w:type="spellStart"/>
      <w:r w:rsidR="00C02A36" w:rsidRPr="000515C8">
        <w:rPr>
          <w:rFonts w:eastAsia="Palatino Linotype" w:cs="Palatino Linotype"/>
          <w:color w:val="auto"/>
          <w:lang w:eastAsia="es-MX"/>
        </w:rPr>
        <w:t>presnete</w:t>
      </w:r>
      <w:proofErr w:type="spellEnd"/>
      <w:r w:rsidR="00C02A36" w:rsidRPr="000515C8">
        <w:rPr>
          <w:rFonts w:eastAsia="Palatino Linotype" w:cs="Palatino Linotype"/>
          <w:color w:val="auto"/>
          <w:lang w:eastAsia="es-MX"/>
        </w:rPr>
        <w:t xml:space="preserve"> caso, deberá entregar </w:t>
      </w:r>
      <w:r w:rsidR="00395324" w:rsidRPr="000515C8">
        <w:rPr>
          <w:rFonts w:eastAsia="Palatino Linotype" w:cs="Palatino Linotype"/>
          <w:color w:val="auto"/>
          <w:lang w:eastAsia="es-MX"/>
        </w:rPr>
        <w:t>el documento donde conste la información solicitada.</w:t>
      </w:r>
    </w:p>
    <w:p w14:paraId="47F38A17" w14:textId="77777777" w:rsidR="00395324" w:rsidRPr="000515C8" w:rsidRDefault="00395324" w:rsidP="0019381D">
      <w:pPr>
        <w:widowControl w:val="0"/>
        <w:spacing w:after="0" w:line="360" w:lineRule="auto"/>
        <w:contextualSpacing/>
        <w:rPr>
          <w:rFonts w:eastAsia="Palatino Linotype" w:cs="Palatino Linotype"/>
          <w:color w:val="auto"/>
          <w:lang w:eastAsia="es-MX"/>
        </w:rPr>
      </w:pPr>
    </w:p>
    <w:p w14:paraId="16A46F3E" w14:textId="6979DA4D" w:rsidR="00C02A36" w:rsidRPr="000515C8" w:rsidRDefault="00C02A36" w:rsidP="0019381D">
      <w:pPr>
        <w:spacing w:after="0" w:line="360" w:lineRule="auto"/>
        <w:contextualSpacing/>
        <w:rPr>
          <w:rFonts w:eastAsia="Times New Roman" w:cs="Tahoma"/>
          <w:color w:val="auto"/>
          <w:szCs w:val="24"/>
          <w:lang w:val="es-ES" w:eastAsia="es-ES"/>
        </w:rPr>
      </w:pPr>
      <w:r w:rsidRPr="000515C8">
        <w:rPr>
          <w:rFonts w:eastAsia="Times New Roman" w:cs="Tahoma"/>
          <w:color w:val="auto"/>
          <w:szCs w:val="24"/>
          <w:lang w:val="es-ES" w:eastAsia="es-ES"/>
        </w:rPr>
        <w:t xml:space="preserve">Ahora bien, </w:t>
      </w:r>
      <w:r w:rsidR="00040F8A" w:rsidRPr="000515C8">
        <w:rPr>
          <w:rFonts w:eastAsia="Times New Roman" w:cs="Tahoma"/>
          <w:color w:val="auto"/>
          <w:szCs w:val="24"/>
          <w:lang w:val="es-ES" w:eastAsia="es-ES"/>
        </w:rPr>
        <w:t xml:space="preserve">toda vez </w:t>
      </w:r>
      <w:r w:rsidR="00395324" w:rsidRPr="000515C8">
        <w:rPr>
          <w:rFonts w:eastAsia="Times New Roman" w:cs="Tahoma"/>
          <w:color w:val="auto"/>
          <w:szCs w:val="24"/>
          <w:lang w:val="es-ES" w:eastAsia="es-ES"/>
        </w:rPr>
        <w:t>que,</w:t>
      </w:r>
      <w:r w:rsidR="00040F8A" w:rsidRPr="000515C8">
        <w:rPr>
          <w:rFonts w:eastAsia="Times New Roman" w:cs="Tahoma"/>
          <w:color w:val="auto"/>
          <w:szCs w:val="24"/>
          <w:lang w:val="es-ES" w:eastAsia="es-ES"/>
        </w:rPr>
        <w:t xml:space="preserve"> dentro del Registro Municipal de Unidades Económicas, se contemplan los datos de las licencias de </w:t>
      </w:r>
      <w:r w:rsidR="00395324" w:rsidRPr="000515C8">
        <w:rPr>
          <w:rFonts w:eastAsia="Times New Roman" w:cs="Tahoma"/>
          <w:color w:val="auto"/>
          <w:szCs w:val="24"/>
          <w:lang w:val="es-ES" w:eastAsia="es-ES"/>
        </w:rPr>
        <w:t>funcionamiento, tales</w:t>
      </w:r>
      <w:r w:rsidRPr="000515C8">
        <w:rPr>
          <w:rFonts w:eastAsia="Times New Roman" w:cs="Tahoma"/>
          <w:color w:val="auto"/>
          <w:szCs w:val="24"/>
          <w:lang w:val="es-ES" w:eastAsia="es-ES"/>
        </w:rPr>
        <w:t xml:space="preserve"> como el nombre y el domicilio del establecimiento</w:t>
      </w:r>
      <w:r w:rsidR="00395324" w:rsidRPr="000515C8">
        <w:rPr>
          <w:rFonts w:eastAsia="Times New Roman" w:cs="Tahoma"/>
          <w:color w:val="auto"/>
          <w:szCs w:val="24"/>
          <w:lang w:val="es-ES" w:eastAsia="es-ES"/>
        </w:rPr>
        <w:t xml:space="preserve"> y datos de contacto</w:t>
      </w:r>
      <w:r w:rsidRPr="000515C8">
        <w:rPr>
          <w:rFonts w:eastAsia="Times New Roman" w:cs="Tahoma"/>
          <w:color w:val="auto"/>
          <w:szCs w:val="24"/>
          <w:lang w:val="es-ES" w:eastAsia="es-ES"/>
        </w:rPr>
        <w:t xml:space="preserve">; </w:t>
      </w:r>
      <w:r w:rsidR="00C41517">
        <w:rPr>
          <w:rFonts w:eastAsia="Times New Roman" w:cs="Tahoma"/>
          <w:color w:val="auto"/>
          <w:szCs w:val="24"/>
          <w:lang w:val="es-ES" w:eastAsia="es-ES"/>
        </w:rPr>
        <w:t xml:space="preserve">para dar mayor claridad de los datos públicos y/o confidenciales </w:t>
      </w:r>
      <w:r w:rsidRPr="000515C8">
        <w:rPr>
          <w:rFonts w:eastAsia="Times New Roman" w:cs="Tahoma"/>
          <w:color w:val="auto"/>
          <w:szCs w:val="24"/>
          <w:lang w:val="es-ES" w:eastAsia="es-ES"/>
        </w:rPr>
        <w:t>es necesario analizar</w:t>
      </w:r>
      <w:r w:rsidR="00C41517">
        <w:rPr>
          <w:rFonts w:eastAsia="Times New Roman" w:cs="Tahoma"/>
          <w:color w:val="auto"/>
          <w:szCs w:val="24"/>
          <w:lang w:val="es-ES" w:eastAsia="es-ES"/>
        </w:rPr>
        <w:t>los de la siguiente manera:</w:t>
      </w:r>
    </w:p>
    <w:p w14:paraId="3D4C6A66" w14:textId="77777777" w:rsidR="00C02A36" w:rsidRPr="00340F0C" w:rsidRDefault="00C02A36" w:rsidP="0019381D">
      <w:pPr>
        <w:spacing w:after="0" w:line="360" w:lineRule="auto"/>
        <w:contextualSpacing/>
        <w:rPr>
          <w:rFonts w:eastAsia="Times New Roman" w:cs="Tahoma"/>
          <w:bCs/>
          <w:color w:val="auto"/>
          <w:lang w:val="es-ES" w:eastAsia="es-ES"/>
        </w:rPr>
      </w:pPr>
    </w:p>
    <w:p w14:paraId="04FEA3F4" w14:textId="77777777" w:rsidR="00C02A36" w:rsidRPr="000515C8" w:rsidRDefault="00C02A36" w:rsidP="0019381D">
      <w:pPr>
        <w:numPr>
          <w:ilvl w:val="0"/>
          <w:numId w:val="36"/>
        </w:numPr>
        <w:spacing w:after="0" w:line="360" w:lineRule="auto"/>
        <w:ind w:right="-93"/>
        <w:contextualSpacing/>
        <w:jc w:val="left"/>
        <w:rPr>
          <w:rFonts w:eastAsia="Calibri" w:cs="Tahoma"/>
          <w:bCs/>
          <w:color w:val="auto"/>
        </w:rPr>
      </w:pPr>
      <w:r w:rsidRPr="000515C8">
        <w:rPr>
          <w:rFonts w:eastAsia="Calibri" w:cs="Tahoma"/>
          <w:b/>
          <w:bCs/>
          <w:color w:val="auto"/>
        </w:rPr>
        <w:t>Nombre del titular de la Licencia de funcionamiento (persona física)</w:t>
      </w:r>
    </w:p>
    <w:p w14:paraId="37E486BB" w14:textId="77777777" w:rsidR="00C02A36" w:rsidRPr="000515C8" w:rsidRDefault="00C02A36" w:rsidP="0019381D">
      <w:pPr>
        <w:spacing w:after="0" w:line="360" w:lineRule="auto"/>
        <w:contextualSpacing/>
        <w:rPr>
          <w:rFonts w:eastAsia="Calibri" w:cs="Tahoma"/>
          <w:bCs/>
          <w:color w:val="auto"/>
          <w:lang w:val="es-ES"/>
        </w:rPr>
      </w:pPr>
    </w:p>
    <w:p w14:paraId="55118B86" w14:textId="77777777" w:rsidR="00C02A36" w:rsidRPr="000515C8" w:rsidRDefault="00C02A36" w:rsidP="0019381D">
      <w:pPr>
        <w:spacing w:after="0" w:line="360" w:lineRule="auto"/>
        <w:ind w:right="-93"/>
        <w:contextualSpacing/>
        <w:rPr>
          <w:rFonts w:eastAsia="Calibri" w:cs="Tahoma"/>
          <w:b/>
          <w:bCs/>
          <w:color w:val="auto"/>
          <w:lang w:val="es-ES_tradnl"/>
        </w:rPr>
      </w:pPr>
      <w:r w:rsidRPr="000515C8">
        <w:rPr>
          <w:rFonts w:eastAsia="Calibri" w:cs="Tahoma"/>
          <w:bCs/>
          <w:color w:val="auto"/>
        </w:rPr>
        <w:t xml:space="preserve">Al respecto, se considera que el nombre de una persona se integra </w:t>
      </w:r>
      <w:r w:rsidRPr="000515C8">
        <w:rPr>
          <w:rFonts w:eastAsia="Calibri" w:cs="Tahoma"/>
          <w:bCs/>
          <w:color w:val="auto"/>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0515C8">
        <w:rPr>
          <w:rFonts w:eastAsia="Calibri" w:cs="Tahoma"/>
          <w:bCs/>
          <w:i/>
          <w:color w:val="auto"/>
          <w:lang w:val="es-ES_tradnl"/>
        </w:rPr>
        <w:t>per se</w:t>
      </w:r>
      <w:r w:rsidRPr="000515C8">
        <w:rPr>
          <w:rFonts w:eastAsia="Calibri" w:cs="Tahoma"/>
          <w:bCs/>
          <w:color w:val="auto"/>
          <w:lang w:val="es-ES_tradnl"/>
        </w:rPr>
        <w:t xml:space="preserve"> es un elemento que hace a una persona física identificada o identificable, por lo que, </w:t>
      </w:r>
      <w:r w:rsidRPr="000515C8">
        <w:rPr>
          <w:rFonts w:eastAsia="Calibri" w:cs="Tahoma"/>
          <w:b/>
          <w:bCs/>
          <w:color w:val="auto"/>
          <w:lang w:val="es-ES_tradnl"/>
        </w:rPr>
        <w:t>se considera un dato personal.</w:t>
      </w:r>
    </w:p>
    <w:p w14:paraId="1D227A7C" w14:textId="77777777" w:rsidR="00C02A36" w:rsidRPr="000515C8" w:rsidRDefault="00C02A36" w:rsidP="0019381D">
      <w:pPr>
        <w:spacing w:after="0" w:line="360" w:lineRule="auto"/>
        <w:ind w:right="-93"/>
        <w:contextualSpacing/>
        <w:rPr>
          <w:rFonts w:eastAsia="Calibri" w:cs="Tahoma"/>
          <w:b/>
          <w:bCs/>
          <w:color w:val="auto"/>
          <w:lang w:val="es-ES_tradnl"/>
        </w:rPr>
      </w:pPr>
    </w:p>
    <w:p w14:paraId="4EC1A29D" w14:textId="77777777" w:rsidR="00C02A36" w:rsidRPr="000515C8" w:rsidRDefault="00C02A36" w:rsidP="0019381D">
      <w:pPr>
        <w:spacing w:after="0" w:line="360" w:lineRule="auto"/>
        <w:contextualSpacing/>
        <w:rPr>
          <w:rFonts w:eastAsia="Calibri" w:cs="Tahoma"/>
          <w:bCs/>
          <w:color w:val="auto"/>
          <w:lang w:val="es-ES_tradnl"/>
        </w:rPr>
      </w:pPr>
      <w:r w:rsidRPr="000515C8">
        <w:rPr>
          <w:rFonts w:eastAsia="Calibri" w:cs="Tahoma"/>
          <w:bCs/>
          <w:color w:val="auto"/>
          <w:lang w:val="es-ES_tradnl"/>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75884A62" w14:textId="77777777" w:rsidR="00C02A36" w:rsidRPr="000515C8" w:rsidRDefault="00C02A36" w:rsidP="0019381D">
      <w:pPr>
        <w:spacing w:after="0" w:line="360" w:lineRule="auto"/>
        <w:contextualSpacing/>
        <w:rPr>
          <w:rFonts w:eastAsia="Calibri" w:cs="Tahoma"/>
          <w:bCs/>
          <w:color w:val="auto"/>
          <w:sz w:val="20"/>
          <w:lang w:val="es-ES_tradnl"/>
        </w:rPr>
      </w:pPr>
    </w:p>
    <w:p w14:paraId="089A7A48" w14:textId="77777777" w:rsidR="00C02A36" w:rsidRPr="000515C8" w:rsidRDefault="00C02A36" w:rsidP="0019381D">
      <w:pPr>
        <w:spacing w:after="0" w:line="360" w:lineRule="auto"/>
        <w:ind w:left="567" w:right="567"/>
        <w:contextualSpacing/>
        <w:rPr>
          <w:rFonts w:eastAsia="Calibri" w:cs="Tahoma"/>
          <w:bCs/>
          <w:i/>
          <w:color w:val="auto"/>
          <w:sz w:val="20"/>
          <w:lang w:eastAsia="es-MX"/>
        </w:rPr>
      </w:pPr>
      <w:r w:rsidRPr="000515C8">
        <w:rPr>
          <w:rFonts w:eastAsia="Calibri" w:cs="Tahoma"/>
          <w:b/>
          <w:bCs/>
          <w:i/>
          <w:color w:val="auto"/>
          <w:sz w:val="20"/>
          <w:lang w:eastAsia="es-MX"/>
        </w:rPr>
        <w:t xml:space="preserve">“Nombre del titular de una licencia que no involucre el aprovechamiento de bienes, servicios y/o recursos públicos, constituye un dato personal susceptible de clasificar </w:t>
      </w:r>
      <w:r w:rsidRPr="000515C8">
        <w:rPr>
          <w:rFonts w:eastAsia="Calibri" w:cs="Tahoma"/>
          <w:b/>
          <w:bCs/>
          <w:i/>
          <w:color w:val="auto"/>
          <w:sz w:val="20"/>
          <w:lang w:eastAsia="es-MX"/>
        </w:rPr>
        <w:lastRenderedPageBreak/>
        <w:t>como confidencial.</w:t>
      </w:r>
      <w:r w:rsidRPr="000515C8">
        <w:rPr>
          <w:rFonts w:eastAsia="Calibri" w:cs="Tahoma"/>
          <w:bCs/>
          <w:i/>
          <w:color w:val="auto"/>
          <w:sz w:val="20"/>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2951C631" w14:textId="77777777" w:rsidR="00C02A36" w:rsidRPr="000515C8" w:rsidRDefault="00C02A36" w:rsidP="0019381D">
      <w:pPr>
        <w:spacing w:after="0" w:line="360" w:lineRule="auto"/>
        <w:ind w:right="-93"/>
        <w:contextualSpacing/>
        <w:rPr>
          <w:rFonts w:eastAsia="Calibri" w:cs="Tahoma"/>
          <w:bCs/>
          <w:color w:val="auto"/>
        </w:rPr>
      </w:pPr>
    </w:p>
    <w:p w14:paraId="412D1BD2"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7A910ED8" w14:textId="77777777" w:rsidR="00C02A36" w:rsidRPr="000515C8" w:rsidRDefault="00C02A36" w:rsidP="0019381D">
      <w:pPr>
        <w:spacing w:after="0" w:line="360" w:lineRule="auto"/>
        <w:ind w:right="-93"/>
        <w:contextualSpacing/>
        <w:rPr>
          <w:rFonts w:eastAsia="Calibri" w:cs="Tahoma"/>
          <w:bCs/>
          <w:color w:val="auto"/>
        </w:rPr>
      </w:pPr>
    </w:p>
    <w:p w14:paraId="29F36038" w14:textId="533044E3" w:rsidR="00C02A36" w:rsidRPr="000515C8" w:rsidRDefault="00C02A36" w:rsidP="0019381D">
      <w:pPr>
        <w:spacing w:after="0" w:line="360" w:lineRule="auto"/>
        <w:ind w:right="-93"/>
        <w:contextualSpacing/>
        <w:rPr>
          <w:rFonts w:eastAsia="Calibri" w:cs="Tahoma"/>
          <w:bCs/>
          <w:color w:val="auto"/>
          <w:lang w:val="es-ES_tradnl"/>
        </w:rPr>
      </w:pPr>
      <w:r w:rsidRPr="000515C8">
        <w:rPr>
          <w:rFonts w:eastAsia="Calibri" w:cs="Tahoma"/>
          <w:bCs/>
          <w:color w:val="auto"/>
          <w:lang w:val="es-ES_tradnl"/>
        </w:rPr>
        <w:t xml:space="preserve">No obstante, se considera que el nombre localizado en una licencia de funcionamiento, guarda cierto interés público, dado que cualquier actividad comercial, industrial o económica, es regulada por el </w:t>
      </w:r>
      <w:r w:rsidR="00C41517">
        <w:rPr>
          <w:rFonts w:eastAsia="Calibri" w:cs="Tahoma"/>
          <w:bCs/>
          <w:color w:val="auto"/>
          <w:lang w:val="es-ES_tradnl"/>
        </w:rPr>
        <w:t>Ayuntamiento de Chiconcuac</w:t>
      </w:r>
      <w:r w:rsidRPr="000515C8">
        <w:rPr>
          <w:rFonts w:eastAsia="Calibri" w:cs="Tahoma"/>
          <w:bCs/>
          <w:color w:val="auto"/>
          <w:lang w:val="es-ES_tradnl"/>
        </w:rPr>
        <w:t xml:space="preserve"> dentro de su circunscripción territorial, pues ayuda a transparentar la gestión pública.</w:t>
      </w:r>
    </w:p>
    <w:p w14:paraId="78BEFF76" w14:textId="77777777" w:rsidR="00C02A36" w:rsidRPr="000515C8" w:rsidRDefault="00C02A36" w:rsidP="0019381D">
      <w:pPr>
        <w:spacing w:after="0" w:line="360" w:lineRule="auto"/>
        <w:ind w:right="-93"/>
        <w:contextualSpacing/>
        <w:rPr>
          <w:rFonts w:eastAsia="Calibri" w:cs="Tahoma"/>
          <w:bCs/>
          <w:color w:val="auto"/>
        </w:rPr>
      </w:pPr>
    </w:p>
    <w:p w14:paraId="525B37C5" w14:textId="546FBA0B"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 xml:space="preserve">Al respecto, cabe puntualizar que las licencias, tal como se estableció en párrafos anteriores, se refiere a los documentos que contienen la autorización por parte del </w:t>
      </w:r>
      <w:r w:rsidR="006A2B15" w:rsidRPr="000515C8">
        <w:rPr>
          <w:rFonts w:eastAsia="Calibri" w:cs="Tahoma"/>
          <w:bCs/>
          <w:color w:val="auto"/>
        </w:rPr>
        <w:t>Ayuntamiento de Chiconcuac</w:t>
      </w:r>
      <w:r w:rsidRPr="000515C8">
        <w:rPr>
          <w:rFonts w:eastAsia="Calibri" w:cs="Tahoma"/>
          <w:bCs/>
          <w:color w:val="auto"/>
        </w:rPr>
        <w:t>, a través de la Dirección de Desarrollo Económico, para que un particular o persona jurídica colectiva pueda realizar una actividad económica, comercial o industrial, regulada por las Leyes respectivas.</w:t>
      </w:r>
    </w:p>
    <w:p w14:paraId="637020D6" w14:textId="77777777" w:rsidR="00395324" w:rsidRPr="000515C8" w:rsidRDefault="00395324" w:rsidP="0019381D">
      <w:pPr>
        <w:spacing w:after="0" w:line="360" w:lineRule="auto"/>
        <w:ind w:right="-93"/>
        <w:contextualSpacing/>
        <w:rPr>
          <w:rFonts w:eastAsia="Calibri" w:cs="Tahoma"/>
          <w:bCs/>
          <w:color w:val="auto"/>
        </w:rPr>
      </w:pPr>
    </w:p>
    <w:p w14:paraId="4E021762"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 xml:space="preserve">En ese sentido, de acuerdo con el artículo 92, fracción XXXII de la Ley en cita, el legislador contempló como información de interés público y que debe estar disponible para consulta, aquellas licencias otorgadas, especificando </w:t>
      </w:r>
      <w:r w:rsidRPr="000515C8">
        <w:rPr>
          <w:rFonts w:eastAsia="Calibri" w:cs="Tahoma"/>
          <w:b/>
          <w:bCs/>
          <w:color w:val="auto"/>
        </w:rPr>
        <w:t>el nombre de su titular</w:t>
      </w:r>
      <w:r w:rsidRPr="000515C8">
        <w:rPr>
          <w:rFonts w:eastAsia="Calibri" w:cs="Tahoma"/>
          <w:bCs/>
          <w:color w:val="auto"/>
        </w:rPr>
        <w:t xml:space="preserve"> y las características principales. Lo anterior, en concordancia a lo establecido en la Ley General de Transparencia y Acceso a la Información Pública. </w:t>
      </w:r>
    </w:p>
    <w:p w14:paraId="4147EEC8" w14:textId="77777777" w:rsidR="00C02A36" w:rsidRPr="000515C8" w:rsidRDefault="00C02A36" w:rsidP="0019381D">
      <w:pPr>
        <w:spacing w:after="0" w:line="360" w:lineRule="auto"/>
        <w:ind w:right="-93"/>
        <w:contextualSpacing/>
        <w:rPr>
          <w:rFonts w:eastAsia="Calibri" w:cs="Tahoma"/>
          <w:bCs/>
          <w:color w:val="auto"/>
        </w:rPr>
      </w:pPr>
    </w:p>
    <w:p w14:paraId="7FA042DF"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w:t>
      </w:r>
      <w:r w:rsidRPr="000515C8">
        <w:rPr>
          <w:rFonts w:eastAsia="Times New Roman" w:cs="Tahoma"/>
          <w:color w:val="auto"/>
          <w:lang w:eastAsia="es-ES"/>
        </w:rPr>
        <w:t xml:space="preserve"> </w:t>
      </w:r>
      <w:r w:rsidRPr="000515C8">
        <w:rPr>
          <w:rFonts w:eastAsia="Calibri" w:cs="Tahoma"/>
          <w:bCs/>
          <w:color w:val="auto"/>
        </w:rPr>
        <w:t>Además, se incluyó el deber para los sujetos obligados de proporcionar, en la medida de lo posible, esta información con valor agregado, a efecto de facilitar su uso, comprensión y permitir evaluar su calidad, confiabilidad, oportunidad y veracidad.</w:t>
      </w:r>
    </w:p>
    <w:p w14:paraId="42326B82" w14:textId="77777777" w:rsidR="00C02A36" w:rsidRPr="000515C8" w:rsidRDefault="00C02A36" w:rsidP="0019381D">
      <w:pPr>
        <w:spacing w:after="0" w:line="360" w:lineRule="auto"/>
        <w:ind w:right="-93"/>
        <w:contextualSpacing/>
        <w:rPr>
          <w:rFonts w:eastAsia="Calibri" w:cs="Tahoma"/>
          <w:bCs/>
          <w:color w:val="auto"/>
        </w:rPr>
      </w:pPr>
    </w:p>
    <w:p w14:paraId="235335DE"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lastRenderedPageBreak/>
        <w:t>Toma sustento, dicha situación,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4A463EBE" w14:textId="77777777" w:rsidR="00C02A36" w:rsidRPr="000515C8" w:rsidRDefault="00C02A36" w:rsidP="0019381D">
      <w:pPr>
        <w:spacing w:after="0" w:line="360" w:lineRule="auto"/>
        <w:ind w:right="-93"/>
        <w:contextualSpacing/>
        <w:rPr>
          <w:rFonts w:eastAsia="Calibri" w:cs="Tahoma"/>
          <w:bCs/>
          <w:color w:val="auto"/>
        </w:rPr>
      </w:pPr>
    </w:p>
    <w:p w14:paraId="03E1E89A"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Igualmente, se destacó que aún determinando causales de reserva en las leyes especiales diversas a la Ley General o las Estatales de Transparencia, todos los sujetos obligados deben de dar cumplimiento con todos los principios y procedimientos establecidos en la Ley General de Transparencia y Acceso a la Información Pública, así como con los recursos y criterios de la misma.</w:t>
      </w:r>
    </w:p>
    <w:p w14:paraId="0CA50CCD" w14:textId="77777777" w:rsidR="00C02A36" w:rsidRPr="000515C8" w:rsidRDefault="00C02A36" w:rsidP="0019381D">
      <w:pPr>
        <w:spacing w:after="0" w:line="360" w:lineRule="auto"/>
        <w:ind w:right="-93"/>
        <w:contextualSpacing/>
        <w:rPr>
          <w:rFonts w:eastAsia="Calibri" w:cs="Tahoma"/>
          <w:bCs/>
          <w:color w:val="auto"/>
        </w:rPr>
      </w:pPr>
    </w:p>
    <w:p w14:paraId="32E8D86F"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persona física de una licencia de funcionamiento, por lo que no es dable, como se asienta en el Criterio Relevante, considerar que el nombre de los titulares estas, deba ser considerado confidencial, aún y cuando el mismo no involucre aprovechamiento de bienes o recursos públicos.</w:t>
      </w:r>
    </w:p>
    <w:p w14:paraId="29C3EA80" w14:textId="77777777" w:rsidR="00C02A36" w:rsidRPr="000515C8" w:rsidRDefault="00C02A36" w:rsidP="0019381D">
      <w:pPr>
        <w:spacing w:after="0" w:line="360" w:lineRule="auto"/>
        <w:ind w:right="-93"/>
        <w:contextualSpacing/>
        <w:rPr>
          <w:rFonts w:eastAsia="Calibri" w:cs="Tahoma"/>
          <w:bCs/>
          <w:color w:val="auto"/>
        </w:rPr>
      </w:pPr>
    </w:p>
    <w:p w14:paraId="5C07F19C"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 xml:space="preserve">A mayor abundamiento se puede referir que, el artículo 91 de dicho ordenamiento jurídico, establece que la información pública será restringida excepcionalmente, cuando ésta sea clasificada como reservada o confidencial; por lo que, se colige que las obligaciones de </w:t>
      </w:r>
      <w:r w:rsidRPr="000515C8">
        <w:rPr>
          <w:rFonts w:eastAsia="Calibri" w:cs="Tahoma"/>
          <w:bCs/>
          <w:color w:val="auto"/>
        </w:rPr>
        <w:lastRenderedPageBreak/>
        <w:t>transparencia no superan de forma automática la prohibición de no difundir datos personales sin el consentimiento de su titular, como sucede en el caso concreto.</w:t>
      </w:r>
    </w:p>
    <w:p w14:paraId="37CCE7F5" w14:textId="77777777" w:rsidR="00C02A36" w:rsidRPr="000515C8" w:rsidRDefault="00C02A36" w:rsidP="0019381D">
      <w:pPr>
        <w:spacing w:after="0" w:line="360" w:lineRule="auto"/>
        <w:ind w:right="-93"/>
        <w:contextualSpacing/>
        <w:rPr>
          <w:rFonts w:eastAsia="Calibri" w:cs="Tahoma"/>
          <w:bCs/>
          <w:color w:val="auto"/>
        </w:rPr>
      </w:pPr>
    </w:p>
    <w:p w14:paraId="4AEB6643"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 xml:space="preserve">Ante tales circunstancias, se desprende que, en el caso concreto, sobreviene una </w:t>
      </w:r>
      <w:r w:rsidRPr="000515C8">
        <w:rPr>
          <w:rFonts w:eastAsia="Calibri" w:cs="Tahoma"/>
          <w:b/>
          <w:bCs/>
          <w:color w:val="auto"/>
        </w:rPr>
        <w:t>colisión de derechos fundamentales,</w:t>
      </w:r>
      <w:r w:rsidRPr="000515C8">
        <w:rPr>
          <w:rFonts w:eastAsia="Calibri" w:cs="Tahoma"/>
          <w:bCs/>
          <w:color w:val="auto"/>
        </w:rPr>
        <w:t xml:space="preserve"> esto es, por una parte, se tiene el derecho de acceso a la información del Particular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43BF0463" w14:textId="77777777" w:rsidR="00C02A36" w:rsidRPr="000515C8" w:rsidRDefault="00C02A36" w:rsidP="0019381D">
      <w:pPr>
        <w:spacing w:after="0" w:line="360" w:lineRule="auto"/>
        <w:ind w:right="-93"/>
        <w:contextualSpacing/>
        <w:rPr>
          <w:rFonts w:eastAsia="Calibri" w:cs="Tahoma"/>
          <w:bCs/>
          <w:color w:val="auto"/>
        </w:rPr>
      </w:pPr>
    </w:p>
    <w:p w14:paraId="121820F6"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42B52C6C" w14:textId="77777777" w:rsidR="00C02A36" w:rsidRPr="000515C8" w:rsidRDefault="00C02A36" w:rsidP="0019381D">
      <w:pPr>
        <w:spacing w:after="0" w:line="360" w:lineRule="auto"/>
        <w:ind w:right="-93"/>
        <w:contextualSpacing/>
        <w:rPr>
          <w:rFonts w:eastAsia="Calibri" w:cs="Tahoma"/>
          <w:bCs/>
          <w:color w:val="auto"/>
        </w:rPr>
      </w:pPr>
    </w:p>
    <w:p w14:paraId="3B7607C5"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 xml:space="preserve">Por cuanto hace a la colisión entre el derecho a la información y el derecho a la intimidad o a la vida privada, el Poder Judicial de la Federación ha sostenido la </w:t>
      </w:r>
      <w:r w:rsidRPr="000515C8">
        <w:rPr>
          <w:rFonts w:eastAsia="Calibri" w:cs="Tahoma"/>
          <w:b/>
          <w:bCs/>
          <w:color w:val="auto"/>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0515C8">
        <w:rPr>
          <w:rFonts w:eastAsia="Calibri" w:cs="Tahoma"/>
          <w:bCs/>
          <w:color w:val="auto"/>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A14F6EB" w14:textId="77777777" w:rsidR="00C02A36" w:rsidRPr="000515C8" w:rsidRDefault="00C02A36" w:rsidP="0019381D">
      <w:pPr>
        <w:spacing w:after="0" w:line="360" w:lineRule="auto"/>
        <w:contextualSpacing/>
        <w:jc w:val="left"/>
        <w:rPr>
          <w:rFonts w:eastAsia="Calibri" w:cs="Tahoma"/>
          <w:bCs/>
          <w:color w:val="auto"/>
        </w:rPr>
      </w:pPr>
    </w:p>
    <w:p w14:paraId="515173DB" w14:textId="77777777" w:rsidR="00C02A36" w:rsidRPr="000515C8" w:rsidRDefault="00C02A36" w:rsidP="0019381D">
      <w:pPr>
        <w:spacing w:after="0" w:line="360" w:lineRule="auto"/>
        <w:contextualSpacing/>
        <w:rPr>
          <w:rFonts w:eastAsia="Times New Roman" w:cs="Tahoma"/>
          <w:bCs/>
          <w:iCs/>
          <w:color w:val="auto"/>
          <w:lang w:eastAsia="es-ES"/>
        </w:rPr>
      </w:pPr>
      <w:r w:rsidRPr="000515C8">
        <w:rPr>
          <w:rFonts w:eastAsia="Calibri" w:cs="Tahoma"/>
          <w:bCs/>
          <w:color w:val="auto"/>
        </w:rPr>
        <w:lastRenderedPageBreak/>
        <w:t>En ese mismo sentido y atendiendo a la naturaleza del derecho a la protección de datos personales, por analogía, este debe ceder cuando exista un interés público mayor de acuerdo a las circunstancias del caso.</w:t>
      </w:r>
      <w:r w:rsidRPr="000515C8">
        <w:rPr>
          <w:rFonts w:eastAsia="Times New Roman" w:cs="Tahoma"/>
          <w:bCs/>
          <w:iCs/>
          <w:color w:val="auto"/>
          <w:lang w:eastAsia="es-ES"/>
        </w:rPr>
        <w:t xml:space="preserve"> Precisado lo anterior, resulta necesario realizar una ponderación de los dos intereses jurídicos tutelados que convergen en la controversia que se dirime; para lo cual, el artículo </w:t>
      </w:r>
      <w:r w:rsidRPr="000515C8">
        <w:rPr>
          <w:rFonts w:eastAsia="Calibri" w:cs="Tahoma"/>
          <w:bCs/>
          <w:color w:val="auto"/>
        </w:rPr>
        <w:t>184 de la Ley de Transparencia y Acceso a la Información Pública del Estado de México y Municipios</w:t>
      </w:r>
      <w:r w:rsidRPr="000515C8">
        <w:rPr>
          <w:rFonts w:eastAsia="Times New Roman" w:cs="Tahoma"/>
          <w:bCs/>
          <w:iCs/>
          <w:color w:val="auto"/>
          <w:lang w:eastAsia="es-E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3CD67445" w14:textId="77777777" w:rsidR="00C02A36" w:rsidRPr="000515C8" w:rsidRDefault="00C02A36" w:rsidP="0019381D">
      <w:pPr>
        <w:spacing w:after="0" w:line="360" w:lineRule="auto"/>
        <w:ind w:right="49"/>
        <w:contextualSpacing/>
        <w:rPr>
          <w:rFonts w:eastAsia="Times New Roman" w:cs="Tahoma"/>
          <w:bCs/>
          <w:iCs/>
          <w:color w:val="auto"/>
          <w:lang w:eastAsia="es-ES"/>
        </w:rPr>
      </w:pPr>
    </w:p>
    <w:p w14:paraId="0A37617F" w14:textId="77777777" w:rsidR="00C02A36" w:rsidRPr="000515C8" w:rsidRDefault="00C02A36" w:rsidP="0019381D">
      <w:pPr>
        <w:numPr>
          <w:ilvl w:val="0"/>
          <w:numId w:val="35"/>
        </w:numPr>
        <w:spacing w:after="0" w:line="360" w:lineRule="auto"/>
        <w:ind w:left="426" w:right="49" w:hanging="426"/>
        <w:contextualSpacing/>
        <w:rPr>
          <w:rFonts w:eastAsia="Times New Roman" w:cs="Tahoma"/>
          <w:bCs/>
          <w:iCs/>
          <w:color w:val="auto"/>
          <w:lang w:eastAsia="es-ES"/>
        </w:rPr>
      </w:pPr>
      <w:r w:rsidRPr="000515C8">
        <w:rPr>
          <w:rFonts w:eastAsia="Times New Roman" w:cs="Tahoma"/>
          <w:b/>
          <w:bCs/>
          <w:iCs/>
          <w:color w:val="auto"/>
          <w:lang w:eastAsia="es-ES"/>
        </w:rPr>
        <w:t>Idoneidad:</w:t>
      </w:r>
      <w:r w:rsidRPr="000515C8">
        <w:rPr>
          <w:rFonts w:eastAsia="Times New Roman" w:cs="Tahoma"/>
          <w:bCs/>
          <w:iCs/>
          <w:color w:val="auto"/>
          <w:lang w:eastAsia="es-ES"/>
        </w:rPr>
        <w:t xml:space="preserve"> La legitimidad del derecho adoptado como preferente, que sea el adecuado para el logro de un fin constitucionalmente válido o apto para conseguir el fin pretendido;</w:t>
      </w:r>
    </w:p>
    <w:p w14:paraId="09A4043B" w14:textId="77777777" w:rsidR="00C02A36" w:rsidRPr="000515C8" w:rsidRDefault="00C02A36" w:rsidP="0019381D">
      <w:pPr>
        <w:spacing w:after="0" w:line="360" w:lineRule="auto"/>
        <w:ind w:left="426" w:right="49"/>
        <w:contextualSpacing/>
        <w:rPr>
          <w:rFonts w:eastAsia="Times New Roman" w:cs="Tahoma"/>
          <w:bCs/>
          <w:iCs/>
          <w:color w:val="auto"/>
          <w:lang w:eastAsia="es-ES"/>
        </w:rPr>
      </w:pPr>
    </w:p>
    <w:p w14:paraId="7442FCA9" w14:textId="77777777" w:rsidR="00C02A36" w:rsidRPr="000515C8" w:rsidRDefault="00C02A36" w:rsidP="0019381D">
      <w:pPr>
        <w:numPr>
          <w:ilvl w:val="0"/>
          <w:numId w:val="35"/>
        </w:numPr>
        <w:spacing w:after="0" w:line="360" w:lineRule="auto"/>
        <w:ind w:left="426" w:right="49" w:hanging="426"/>
        <w:contextualSpacing/>
        <w:rPr>
          <w:rFonts w:eastAsia="Times New Roman" w:cs="Tahoma"/>
          <w:bCs/>
          <w:iCs/>
          <w:color w:val="auto"/>
          <w:lang w:eastAsia="es-ES"/>
        </w:rPr>
      </w:pPr>
      <w:r w:rsidRPr="000515C8">
        <w:rPr>
          <w:rFonts w:eastAsia="Times New Roman" w:cs="Tahoma"/>
          <w:b/>
          <w:bCs/>
          <w:iCs/>
          <w:color w:val="auto"/>
          <w:lang w:eastAsia="es-ES"/>
        </w:rPr>
        <w:t>Necesidad:</w:t>
      </w:r>
      <w:r w:rsidRPr="000515C8">
        <w:rPr>
          <w:rFonts w:eastAsia="Times New Roman" w:cs="Tahoma"/>
          <w:bCs/>
          <w:iCs/>
          <w:color w:val="auto"/>
          <w:lang w:eastAsia="es-ES"/>
        </w:rPr>
        <w:t xml:space="preserve"> La falta de un medio alternativo menos lesivo a la apertura de la información, para satisfacer el interés público, y</w:t>
      </w:r>
    </w:p>
    <w:p w14:paraId="48E3C632" w14:textId="77777777" w:rsidR="00C02A36" w:rsidRPr="000515C8" w:rsidRDefault="00C02A36" w:rsidP="0019381D">
      <w:pPr>
        <w:spacing w:after="0" w:line="360" w:lineRule="auto"/>
        <w:ind w:left="426" w:right="49"/>
        <w:contextualSpacing/>
        <w:rPr>
          <w:rFonts w:eastAsia="Times New Roman" w:cs="Tahoma"/>
          <w:bCs/>
          <w:iCs/>
          <w:color w:val="auto"/>
          <w:lang w:eastAsia="es-ES"/>
        </w:rPr>
      </w:pPr>
    </w:p>
    <w:p w14:paraId="65374E18" w14:textId="77777777" w:rsidR="00C02A36" w:rsidRPr="000515C8" w:rsidRDefault="00C02A36" w:rsidP="0019381D">
      <w:pPr>
        <w:widowControl w:val="0"/>
        <w:numPr>
          <w:ilvl w:val="0"/>
          <w:numId w:val="35"/>
        </w:numPr>
        <w:spacing w:after="0" w:line="360" w:lineRule="auto"/>
        <w:ind w:left="425" w:right="51" w:hanging="425"/>
        <w:contextualSpacing/>
        <w:jc w:val="left"/>
        <w:rPr>
          <w:rFonts w:eastAsia="Times New Roman" w:cs="Tahoma"/>
          <w:bCs/>
          <w:iCs/>
          <w:color w:val="auto"/>
          <w:lang w:eastAsia="es-ES"/>
        </w:rPr>
      </w:pPr>
      <w:r w:rsidRPr="000515C8">
        <w:rPr>
          <w:rFonts w:eastAsia="Times New Roman" w:cs="Tahoma"/>
          <w:b/>
          <w:bCs/>
          <w:iCs/>
          <w:color w:val="auto"/>
          <w:lang w:eastAsia="es-ES"/>
        </w:rPr>
        <w:t>Proporcionalidad:</w:t>
      </w:r>
      <w:r w:rsidRPr="000515C8">
        <w:rPr>
          <w:rFonts w:eastAsia="Times New Roman" w:cs="Tahoma"/>
          <w:bCs/>
          <w:iCs/>
          <w:color w:val="auto"/>
          <w:lang w:eastAsia="es-ES"/>
        </w:rPr>
        <w:t xml:space="preserve"> El equilibrio entre perjuicio y beneficio a favor del interés público, a fin de que la decisión tomada represente un beneficio mayor al perjuicio que podría causar a la población.</w:t>
      </w:r>
    </w:p>
    <w:p w14:paraId="15BBD812" w14:textId="77777777" w:rsidR="00C02A36" w:rsidRPr="000515C8" w:rsidRDefault="00C02A36" w:rsidP="0019381D">
      <w:pPr>
        <w:spacing w:after="0" w:line="360" w:lineRule="auto"/>
        <w:ind w:right="-93"/>
        <w:contextualSpacing/>
        <w:rPr>
          <w:rFonts w:eastAsia="Calibri" w:cs="Tahoma"/>
          <w:bCs/>
          <w:color w:val="auto"/>
        </w:rPr>
      </w:pPr>
    </w:p>
    <w:p w14:paraId="625CECD9" w14:textId="77777777" w:rsidR="00C02A36" w:rsidRPr="000515C8" w:rsidRDefault="00C02A36" w:rsidP="0019381D">
      <w:pPr>
        <w:spacing w:after="0" w:line="360" w:lineRule="auto"/>
        <w:ind w:right="-1"/>
        <w:contextualSpacing/>
        <w:rPr>
          <w:rFonts w:eastAsia="Calibri" w:cs="Tahoma"/>
          <w:color w:val="auto"/>
          <w:lang w:eastAsia="es-ES"/>
        </w:rPr>
      </w:pPr>
      <w:r w:rsidRPr="000515C8">
        <w:rPr>
          <w:rFonts w:eastAsia="Calibri" w:cs="Tahoma"/>
          <w:color w:val="auto"/>
          <w:lang w:eastAsia="es-ES"/>
        </w:rPr>
        <w:t>En ese orden de ideas, resulta procedente analizar cada uno de los elementos referidos, partiendo de que, en el caso concreto, se estima como preferente el derecho de acceso a la información, bajo las consideraciones que se verterán a continuación.</w:t>
      </w:r>
    </w:p>
    <w:p w14:paraId="21F73785" w14:textId="77777777" w:rsidR="00C02A36" w:rsidRPr="000515C8" w:rsidRDefault="00C02A36" w:rsidP="0019381D">
      <w:pPr>
        <w:spacing w:after="0" w:line="360" w:lineRule="auto"/>
        <w:ind w:right="-1"/>
        <w:contextualSpacing/>
        <w:rPr>
          <w:rFonts w:eastAsia="Calibri" w:cs="Tahoma"/>
          <w:color w:val="auto"/>
          <w:lang w:eastAsia="es-ES"/>
        </w:rPr>
      </w:pPr>
    </w:p>
    <w:p w14:paraId="2419B85E" w14:textId="1E2417E8"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
          <w:bCs/>
          <w:iCs/>
          <w:color w:val="auto"/>
          <w:lang w:eastAsia="es-ES"/>
        </w:rPr>
        <w:t>a) Idoneidad</w:t>
      </w:r>
      <w:r w:rsidRPr="000515C8">
        <w:rPr>
          <w:rFonts w:eastAsia="Calibri" w:cs="Tahoma"/>
          <w:bCs/>
          <w:color w:val="auto"/>
        </w:rPr>
        <w:t xml:space="preserve">. Existe un fin constitucionalmente válido para dar a conocer el nombre de aquellas personas físicas a quienes les fue otorgada una licencia para realizar una actividad </w:t>
      </w:r>
      <w:r w:rsidRPr="000515C8">
        <w:rPr>
          <w:rFonts w:eastAsia="Calibri" w:cs="Tahoma"/>
          <w:bCs/>
          <w:color w:val="auto"/>
        </w:rPr>
        <w:lastRenderedPageBreak/>
        <w:t xml:space="preserve">económica, comercial o industrial en el </w:t>
      </w:r>
      <w:r w:rsidR="00C41517">
        <w:rPr>
          <w:rFonts w:eastAsia="Calibri" w:cs="Tahoma"/>
          <w:bCs/>
          <w:color w:val="auto"/>
        </w:rPr>
        <w:t>Ayuntamiento de Chiconcuac</w:t>
      </w:r>
      <w:r w:rsidRPr="000515C8">
        <w:rPr>
          <w:rFonts w:eastAsia="Calibri" w:cs="Tahoma"/>
          <w:bCs/>
          <w:color w:val="auto"/>
        </w:rPr>
        <w:t>; dicho fin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la normatividad aplicable.</w:t>
      </w:r>
    </w:p>
    <w:p w14:paraId="09C2B9D4" w14:textId="77777777" w:rsidR="00C02A36" w:rsidRPr="000515C8" w:rsidRDefault="00C02A36" w:rsidP="0019381D">
      <w:pPr>
        <w:spacing w:after="0" w:line="360" w:lineRule="auto"/>
        <w:ind w:right="-93"/>
        <w:contextualSpacing/>
        <w:rPr>
          <w:rFonts w:eastAsia="Calibri" w:cs="Tahoma"/>
          <w:bCs/>
          <w:color w:val="auto"/>
        </w:rPr>
      </w:pPr>
    </w:p>
    <w:p w14:paraId="0E5FBF07" w14:textId="77777777" w:rsidR="00C02A36" w:rsidRDefault="00C02A36" w:rsidP="0019381D">
      <w:pPr>
        <w:spacing w:after="0" w:line="360" w:lineRule="auto"/>
        <w:ind w:right="-93"/>
        <w:contextualSpacing/>
        <w:rPr>
          <w:rFonts w:eastAsia="Calibri" w:cs="Tahoma"/>
          <w:bCs/>
          <w:color w:val="auto"/>
        </w:rPr>
      </w:pPr>
      <w:r w:rsidRPr="000515C8">
        <w:rPr>
          <w:rFonts w:eastAsia="Calibri" w:cs="Tahoma"/>
          <w:bCs/>
          <w:color w:val="auto"/>
        </w:rPr>
        <w:t xml:space="preserve">Al respecto, es de señalar que la </w:t>
      </w:r>
      <w:r w:rsidRPr="000515C8">
        <w:rPr>
          <w:rFonts w:eastAsia="Calibri" w:cs="Tahoma"/>
          <w:b/>
          <w:bCs/>
          <w:color w:val="auto"/>
        </w:rPr>
        <w:t xml:space="preserve">transparencia </w:t>
      </w:r>
      <w:r w:rsidRPr="000515C8">
        <w:rPr>
          <w:rFonts w:eastAsia="Calibri" w:cs="Tahoma"/>
          <w:bCs/>
          <w:color w:val="auto"/>
        </w:rPr>
        <w:t xml:space="preserve">está orientada a maximizar el uso social de la información de los organismos gubernamentales, misma que sirve para exigir cuentas a las autoridades; mientras que la </w:t>
      </w:r>
      <w:r w:rsidRPr="000515C8">
        <w:rPr>
          <w:rFonts w:eastAsia="Calibri" w:cs="Tahoma"/>
          <w:b/>
          <w:bCs/>
          <w:color w:val="auto"/>
        </w:rPr>
        <w:t>rendición de cuentas</w:t>
      </w:r>
      <w:r w:rsidRPr="000515C8">
        <w:rPr>
          <w:rFonts w:eastAsia="Calibri" w:cs="Tahoma"/>
          <w:bCs/>
          <w:color w:val="auto"/>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41CBAC47" w14:textId="77777777" w:rsidR="00C41517" w:rsidRPr="000515C8" w:rsidRDefault="00C41517" w:rsidP="0019381D">
      <w:pPr>
        <w:spacing w:after="0" w:line="360" w:lineRule="auto"/>
        <w:ind w:right="-93"/>
        <w:contextualSpacing/>
        <w:rPr>
          <w:rFonts w:eastAsia="Calibri" w:cs="Tahoma"/>
          <w:bCs/>
          <w:color w:val="auto"/>
        </w:rPr>
      </w:pPr>
    </w:p>
    <w:p w14:paraId="75689537" w14:textId="77777777" w:rsidR="00C02A36" w:rsidRPr="000515C8" w:rsidRDefault="00C02A36" w:rsidP="0019381D">
      <w:pPr>
        <w:spacing w:after="0" w:line="360" w:lineRule="auto"/>
        <w:ind w:right="-93"/>
        <w:contextualSpacing/>
        <w:rPr>
          <w:rFonts w:eastAsia="Calibri" w:cs="Tahoma"/>
          <w:b/>
          <w:bCs/>
          <w:color w:val="auto"/>
        </w:rPr>
      </w:pPr>
      <w:r w:rsidRPr="000515C8">
        <w:rPr>
          <w:rFonts w:eastAsia="Calibri" w:cs="Tahoma"/>
          <w:bCs/>
          <w:color w:val="auto"/>
        </w:rPr>
        <w:t xml:space="preserve">En ese orden de ideas, la transparencia, al permitir y ayudar a la rendición de cuentas, funciona de doble manera, </w:t>
      </w:r>
      <w:r w:rsidRPr="000515C8">
        <w:rPr>
          <w:rFonts w:eastAsia="Calibri" w:cs="Tahoma"/>
          <w:bCs/>
          <w:color w:val="auto"/>
          <w:u w:val="single"/>
        </w:rPr>
        <w:t>capacitadora</w:t>
      </w:r>
      <w:r w:rsidRPr="000515C8">
        <w:rPr>
          <w:rFonts w:eastAsia="Calibri" w:cs="Tahoma"/>
          <w:bCs/>
          <w:color w:val="auto"/>
        </w:rPr>
        <w:t xml:space="preserve">, al permitir a la sociedad premiar o castigar el desempeño de los entes públicos, y cómo </w:t>
      </w:r>
      <w:r w:rsidRPr="000515C8">
        <w:rPr>
          <w:rFonts w:eastAsia="Calibri" w:cs="Tahoma"/>
          <w:bCs/>
          <w:color w:val="auto"/>
          <w:u w:val="single"/>
        </w:rPr>
        <w:t>inhibidora</w:t>
      </w:r>
      <w:r w:rsidRPr="000515C8">
        <w:rPr>
          <w:rFonts w:eastAsia="Calibri" w:cs="Tahoma"/>
          <w:bCs/>
          <w:color w:val="auto"/>
        </w:rPr>
        <w:t xml:space="preserve"> de conductas y acciones que atenten contra </w:t>
      </w:r>
      <w:r w:rsidRPr="000515C8">
        <w:rPr>
          <w:rFonts w:eastAsia="Calibri" w:cs="Tahoma"/>
          <w:b/>
          <w:bCs/>
          <w:color w:val="auto"/>
        </w:rPr>
        <w:t xml:space="preserve">el interés público. </w:t>
      </w:r>
    </w:p>
    <w:p w14:paraId="48315E82" w14:textId="77777777" w:rsidR="00C02A36" w:rsidRPr="000515C8" w:rsidRDefault="00C02A36" w:rsidP="0019381D">
      <w:pPr>
        <w:spacing w:after="0" w:line="360" w:lineRule="auto"/>
        <w:ind w:right="-93"/>
        <w:contextualSpacing/>
        <w:rPr>
          <w:rFonts w:eastAsia="Calibri" w:cs="Tahoma"/>
          <w:bCs/>
          <w:color w:val="auto"/>
        </w:rPr>
      </w:pPr>
    </w:p>
    <w:p w14:paraId="290380E9" w14:textId="22EBE0B6" w:rsidR="00C02A36" w:rsidRPr="000515C8" w:rsidRDefault="00C02A36" w:rsidP="0019381D">
      <w:pPr>
        <w:spacing w:after="0" w:line="360" w:lineRule="auto"/>
        <w:ind w:right="-93"/>
        <w:contextualSpacing/>
        <w:rPr>
          <w:rFonts w:eastAsia="Calibri" w:cs="Tahoma"/>
          <w:b/>
          <w:bCs/>
          <w:color w:val="auto"/>
        </w:rPr>
      </w:pPr>
      <w:r w:rsidRPr="000515C8">
        <w:rPr>
          <w:rFonts w:eastAsia="Calibri" w:cs="Tahoma"/>
          <w:bCs/>
          <w:color w:val="auto"/>
        </w:rPr>
        <w:t xml:space="preserve">Ahora bien, tal como se estableció en párrafos anteriores, cualquier actividad comercial, industrial o económica, únicamente podrá ser llevada a cabo, bajo el amparo de una licencia de funcionamiento expedida, en el presente caso, por el </w:t>
      </w:r>
      <w:r w:rsidR="006A2B15" w:rsidRPr="000515C8">
        <w:rPr>
          <w:rFonts w:eastAsia="Calibri" w:cs="Tahoma"/>
          <w:bCs/>
          <w:color w:val="auto"/>
        </w:rPr>
        <w:t>Ayuntamiento de Chiconcuac</w:t>
      </w:r>
      <w:r w:rsidRPr="000515C8">
        <w:rPr>
          <w:rFonts w:eastAsia="Calibri" w:cs="Tahoma"/>
          <w:bCs/>
          <w:color w:val="auto"/>
        </w:rPr>
        <w:t xml:space="preserve">, siempre y cuando cumplan con los requisitos establecidos en la Ley de Competitividad y Ordenamiento Comercial del Estado de México, su Reglamento, entre otras normatividades; en tal virtud, los nombres de las personas que tienen una autorización para poder realizar </w:t>
      </w:r>
      <w:r w:rsidRPr="000515C8">
        <w:rPr>
          <w:rFonts w:eastAsia="Calibri" w:cs="Tahoma"/>
          <w:bCs/>
          <w:color w:val="auto"/>
        </w:rPr>
        <w:lastRenderedPageBreak/>
        <w:t xml:space="preserve">diversas unidades económicas, </w:t>
      </w:r>
      <w:r w:rsidRPr="000515C8">
        <w:rPr>
          <w:rFonts w:eastAsia="Calibri" w:cs="Tahoma"/>
          <w:b/>
          <w:bCs/>
          <w:color w:val="auto"/>
        </w:rPr>
        <w:t>se traduce en información que permite transparentar el otorgamiento por parte del Estado de dichos documentos a diversos particulares.</w:t>
      </w:r>
    </w:p>
    <w:p w14:paraId="067542C4" w14:textId="77777777" w:rsidR="00C02A36" w:rsidRPr="000515C8" w:rsidRDefault="00C02A36" w:rsidP="0019381D">
      <w:pPr>
        <w:spacing w:after="0" w:line="360" w:lineRule="auto"/>
        <w:ind w:right="-93"/>
        <w:contextualSpacing/>
        <w:rPr>
          <w:rFonts w:eastAsia="Calibri" w:cs="Tahoma"/>
          <w:bCs/>
          <w:color w:val="auto"/>
        </w:rPr>
      </w:pPr>
    </w:p>
    <w:p w14:paraId="5B8EFDB1" w14:textId="77777777" w:rsidR="00C02A36" w:rsidRPr="000515C8" w:rsidRDefault="00C02A36" w:rsidP="0019381D">
      <w:pPr>
        <w:widowControl w:val="0"/>
        <w:spacing w:after="0" w:line="360" w:lineRule="auto"/>
        <w:ind w:right="-91"/>
        <w:contextualSpacing/>
        <w:rPr>
          <w:rFonts w:eastAsia="Calibri" w:cs="Tahoma"/>
          <w:bCs/>
          <w:color w:val="auto"/>
        </w:rPr>
      </w:pPr>
      <w:r w:rsidRPr="000515C8">
        <w:rPr>
          <w:rFonts w:eastAsia="Calibri" w:cs="Tahoma"/>
          <w:bCs/>
          <w:color w:val="auto"/>
        </w:rPr>
        <w:t>En ese orden de ideas, la Suprema Corte de Justicia de la Nación, ha definido el acceso a la información como un derecho en sí mismo y como un medio o instrumento para el ejercicio de otros derechos,</w:t>
      </w:r>
      <w:r w:rsidRPr="000515C8">
        <w:rPr>
          <w:rFonts w:eastAsia="Calibri" w:cs="Tahoma"/>
          <w:b/>
          <w:bCs/>
          <w:color w:val="auto"/>
        </w:rPr>
        <w:t xml:space="preserve"> para que los gobernados ejerzan un control respecto del funcionamiento institucional de los poderes públicos, por lo que se constituye como una exigencia social de todo Estado de Derecho, y como un derecho colectivo o garantía social</w:t>
      </w:r>
      <w:r w:rsidRPr="000515C8">
        <w:rPr>
          <w:rFonts w:eastAsia="Calibri" w:cs="Tahoma"/>
          <w:bCs/>
          <w:color w:val="auto"/>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17A75AC0" w14:textId="77777777" w:rsidR="00C02A36" w:rsidRPr="000515C8" w:rsidRDefault="00C02A36" w:rsidP="0019381D">
      <w:pPr>
        <w:spacing w:after="0" w:line="360" w:lineRule="auto"/>
        <w:ind w:right="-93"/>
        <w:contextualSpacing/>
        <w:rPr>
          <w:rFonts w:eastAsia="Calibri" w:cs="Tahoma"/>
          <w:bCs/>
          <w:color w:val="auto"/>
        </w:rPr>
      </w:pPr>
    </w:p>
    <w:p w14:paraId="0A513D5D"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A mayor precisión, la transparencia de la información requerida permitiría a la sociedad, en general, conocer los nombres de las personas que acreditaron los elementos necesarios para poder realizar una actividad económica dentro del territorio del Municipio; esto es, de los requisitos establecidos en las leyes respectivas.</w:t>
      </w:r>
    </w:p>
    <w:p w14:paraId="69ABC271" w14:textId="77777777" w:rsidR="00C02A36" w:rsidRPr="000515C8" w:rsidRDefault="00C02A36" w:rsidP="0019381D">
      <w:pPr>
        <w:spacing w:after="0" w:line="360" w:lineRule="auto"/>
        <w:ind w:right="-93"/>
        <w:contextualSpacing/>
        <w:rPr>
          <w:rFonts w:eastAsia="Calibri" w:cs="Tahoma"/>
          <w:bCs/>
          <w:color w:val="auto"/>
        </w:rPr>
      </w:pPr>
    </w:p>
    <w:p w14:paraId="7D4F68F3"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 xml:space="preserve">En ese orden de ideas, resulta necesario precisar, que en el artículo 21, fracción III de la Ley de Competitividad y Ordenamiento Comercial del Estado de México, prevé que es obligación de los propietarios de establecimientos, tener en un lugar visible dentro de la unidad económica, el original o copia certificada de la licencia de funcionamiento. </w:t>
      </w:r>
    </w:p>
    <w:p w14:paraId="6A7A34CD" w14:textId="77777777" w:rsidR="00C02A36" w:rsidRPr="000515C8" w:rsidRDefault="00C02A36" w:rsidP="0019381D">
      <w:pPr>
        <w:spacing w:after="0" w:line="360" w:lineRule="auto"/>
        <w:ind w:right="-93"/>
        <w:contextualSpacing/>
        <w:rPr>
          <w:rFonts w:eastAsia="Calibri" w:cs="Tahoma"/>
          <w:bCs/>
          <w:color w:val="auto"/>
        </w:rPr>
      </w:pPr>
    </w:p>
    <w:p w14:paraId="6D488658" w14:textId="046AF437" w:rsidR="00C02A36" w:rsidRPr="000515C8" w:rsidRDefault="00C02A36" w:rsidP="0019381D">
      <w:pPr>
        <w:spacing w:after="0" w:line="360" w:lineRule="auto"/>
        <w:ind w:right="-93"/>
        <w:contextualSpacing/>
        <w:rPr>
          <w:rFonts w:eastAsia="Calibri" w:cs="Tahoma"/>
          <w:bCs/>
          <w:color w:val="auto"/>
          <w:u w:val="single"/>
        </w:rPr>
      </w:pPr>
      <w:r w:rsidRPr="000515C8">
        <w:rPr>
          <w:rFonts w:eastAsia="Calibri" w:cs="Tahoma"/>
          <w:bCs/>
          <w:color w:val="auto"/>
        </w:rPr>
        <w:t xml:space="preserve">Por ende, otorgar el nombre de la persona autorizada, a través de una licencia de funcionamiento, </w:t>
      </w:r>
      <w:r w:rsidRPr="000515C8">
        <w:rPr>
          <w:rFonts w:eastAsia="Calibri" w:cs="Tahoma"/>
          <w:bCs/>
          <w:color w:val="auto"/>
          <w:u w:val="single"/>
        </w:rPr>
        <w:t xml:space="preserve">permite corroborar que la exhibida en el establecimiento comercial, fue emitida efectivamente por la autoridad competente, en el presente caso, por el </w:t>
      </w:r>
      <w:r w:rsidR="00C41517">
        <w:rPr>
          <w:rFonts w:eastAsia="Calibri" w:cs="Tahoma"/>
          <w:bCs/>
          <w:color w:val="auto"/>
          <w:u w:val="single"/>
        </w:rPr>
        <w:t>Ayuntamiento de Chiconcuac</w:t>
      </w:r>
      <w:r w:rsidRPr="000515C8">
        <w:rPr>
          <w:rFonts w:eastAsia="Calibri" w:cs="Tahoma"/>
          <w:bCs/>
          <w:color w:val="auto"/>
          <w:u w:val="single"/>
        </w:rPr>
        <w:t>.</w:t>
      </w:r>
    </w:p>
    <w:p w14:paraId="1256D110" w14:textId="77777777" w:rsidR="00C02A36" w:rsidRPr="000515C8" w:rsidRDefault="00C02A36" w:rsidP="0019381D">
      <w:pPr>
        <w:spacing w:after="0" w:line="360" w:lineRule="auto"/>
        <w:ind w:right="-93"/>
        <w:contextualSpacing/>
        <w:rPr>
          <w:rFonts w:eastAsia="Calibri" w:cs="Tahoma"/>
          <w:bCs/>
          <w:color w:val="auto"/>
          <w:u w:val="single"/>
        </w:rPr>
      </w:pPr>
    </w:p>
    <w:p w14:paraId="279F064A"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1AC1168F" w14:textId="77777777" w:rsidR="00C02A36" w:rsidRPr="000515C8" w:rsidRDefault="00C02A36" w:rsidP="0019381D">
      <w:pPr>
        <w:spacing w:after="0" w:line="360" w:lineRule="auto"/>
        <w:ind w:right="-93"/>
        <w:contextualSpacing/>
        <w:rPr>
          <w:rFonts w:eastAsia="Calibri" w:cs="Tahoma"/>
          <w:bCs/>
          <w:color w:val="auto"/>
        </w:rPr>
      </w:pPr>
    </w:p>
    <w:p w14:paraId="7C8B1EF9" w14:textId="06D4443B"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 xml:space="preserve">Así, mediante la difusión de los nombres de aquellas personas que cuentan con la licencia de funcionamiento, permitiría una debida rendición de cuentas, pues es indispensable que se conozcan aquellos que están autorizados por parte del </w:t>
      </w:r>
      <w:r w:rsidR="00C41517">
        <w:rPr>
          <w:rFonts w:eastAsia="Calibri" w:cs="Tahoma"/>
          <w:bCs/>
          <w:color w:val="auto"/>
        </w:rPr>
        <w:t>Ayuntamiento de Chiconcuac</w:t>
      </w:r>
      <w:r w:rsidRPr="000515C8">
        <w:rPr>
          <w:rFonts w:eastAsia="Calibri" w:cs="Tahoma"/>
          <w:bCs/>
          <w:color w:val="auto"/>
        </w:rPr>
        <w:t xml:space="preserve"> para realizar actividades económicas, mismas que se encuentran reguladas, por lo que, con ello se garantizaría que la sociedad tenga certeza de que las autorizaciones colocadas en los establecimientos, fueron efectivamente emitidas por el sujeto obligado, y no funcionan fuera del marco de la normatividad aplicable.</w:t>
      </w:r>
    </w:p>
    <w:p w14:paraId="00302B0D" w14:textId="77777777" w:rsidR="00C02A36" w:rsidRPr="000515C8" w:rsidRDefault="00C02A36" w:rsidP="0019381D">
      <w:pPr>
        <w:spacing w:after="0" w:line="360" w:lineRule="auto"/>
        <w:ind w:right="-93"/>
        <w:contextualSpacing/>
        <w:rPr>
          <w:rFonts w:eastAsia="Calibri" w:cs="Tahoma"/>
          <w:bCs/>
          <w:color w:val="auto"/>
        </w:rPr>
      </w:pPr>
    </w:p>
    <w:p w14:paraId="52F0371C"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Es bajo ese contexto, que se considera que el derecho de acceso a la información debe prevalecer frente a la protección del nombre de los titules de licencias de funcionamiento, pues resulta de interés público, el que la sociedad pueda identificar a quiénes están autorizados para ejercer la actividad comercial; lo cual permite corroborar que la localizada en el establecimiento fue efectivamente emitida por el Sujeto Obligado.</w:t>
      </w:r>
    </w:p>
    <w:p w14:paraId="647F1F83" w14:textId="77777777" w:rsidR="00C02A36" w:rsidRPr="000515C8" w:rsidRDefault="00C02A36" w:rsidP="0019381D">
      <w:pPr>
        <w:spacing w:after="0" w:line="360" w:lineRule="auto"/>
        <w:ind w:right="-93"/>
        <w:contextualSpacing/>
        <w:rPr>
          <w:rFonts w:eastAsia="Calibri" w:cs="Tahoma"/>
          <w:bCs/>
          <w:color w:val="auto"/>
        </w:rPr>
      </w:pPr>
    </w:p>
    <w:p w14:paraId="7BE8D3DB"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Igualmente, permitiría el escrutinio de la actividad de la autoridad encargada de emitir dichas licencias, en tanto que la sociedad podría advertir si se autorizaron a quienes cumplen con los requisitos establecidos la normatividad aplicable e incluso si dicha licencia se encuentra vigente.</w:t>
      </w:r>
    </w:p>
    <w:p w14:paraId="2E146EA6" w14:textId="77777777" w:rsidR="00C02A36" w:rsidRPr="000515C8" w:rsidRDefault="00C02A36" w:rsidP="0019381D">
      <w:pPr>
        <w:spacing w:after="0" w:line="360" w:lineRule="auto"/>
        <w:ind w:right="-93"/>
        <w:contextualSpacing/>
        <w:rPr>
          <w:rFonts w:eastAsia="Calibri" w:cs="Tahoma"/>
          <w:b/>
          <w:color w:val="auto"/>
          <w:lang w:eastAsia="es-ES"/>
        </w:rPr>
      </w:pPr>
    </w:p>
    <w:p w14:paraId="60E593F8" w14:textId="77777777" w:rsidR="00C02A36" w:rsidRPr="000515C8" w:rsidRDefault="00C02A36" w:rsidP="0019381D">
      <w:pPr>
        <w:spacing w:after="0" w:line="360" w:lineRule="auto"/>
        <w:ind w:right="-93"/>
        <w:contextualSpacing/>
        <w:rPr>
          <w:rFonts w:eastAsia="Calibri" w:cs="Tahoma"/>
          <w:b/>
          <w:bCs/>
          <w:color w:val="auto"/>
        </w:rPr>
      </w:pPr>
      <w:r w:rsidRPr="000515C8">
        <w:rPr>
          <w:rFonts w:eastAsia="Calibri" w:cs="Tahoma"/>
          <w:b/>
          <w:color w:val="auto"/>
          <w:lang w:eastAsia="es-ES"/>
        </w:rPr>
        <w:t>b) Necesidad.</w:t>
      </w:r>
      <w:r w:rsidRPr="000515C8">
        <w:rPr>
          <w:rFonts w:eastAsia="Calibri" w:cs="Tahoma"/>
          <w:bCs/>
          <w:color w:val="auto"/>
        </w:rPr>
        <w:t xml:space="preserve"> El sacrifico de la protección del nombre de aquellas personas que se les otorgó una licencia de funcionamiento, como medio para lograr el fin constitucionalmente válido señalado previamente, se justifica en razón de que se satisface el interés mayor de los </w:t>
      </w:r>
      <w:r w:rsidRPr="000515C8">
        <w:rPr>
          <w:rFonts w:eastAsia="Calibri" w:cs="Tahoma"/>
          <w:bCs/>
          <w:color w:val="auto"/>
        </w:rPr>
        <w:lastRenderedPageBreak/>
        <w:t xml:space="preserve">ciudadanos de conocer si los establecimientos comerciales cuentan con la autorización correspondiente. Además, corrobora si la localizada en el inmueble para llevar a cabo la actividad, fue emitida por el Sujeto Obligado, </w:t>
      </w:r>
      <w:r w:rsidRPr="000515C8">
        <w:rPr>
          <w:rFonts w:eastAsia="Calibri" w:cs="Tahoma"/>
          <w:b/>
          <w:bCs/>
          <w:color w:val="auto"/>
        </w:rPr>
        <w:t>como regulador de las actividades económicas del Municipio, además de que permite identificar a las personas que acceden al servicio quién es el responsable del local.</w:t>
      </w:r>
    </w:p>
    <w:p w14:paraId="626A7DBD" w14:textId="77777777" w:rsidR="00C02A36" w:rsidRPr="000515C8" w:rsidRDefault="00C02A36" w:rsidP="0019381D">
      <w:pPr>
        <w:spacing w:after="0" w:line="360" w:lineRule="auto"/>
        <w:ind w:right="-93"/>
        <w:contextualSpacing/>
        <w:rPr>
          <w:rFonts w:eastAsia="Calibri" w:cs="Tahoma"/>
          <w:bCs/>
          <w:color w:val="auto"/>
        </w:rPr>
      </w:pPr>
    </w:p>
    <w:p w14:paraId="2A66A409"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participación ciudadana en la toma de las decisiones públicas, a fin de contribuir a la consolidación de la democracia.</w:t>
      </w:r>
    </w:p>
    <w:p w14:paraId="3EAFC815" w14:textId="77777777" w:rsidR="00C02A36" w:rsidRPr="000515C8" w:rsidRDefault="00C02A36" w:rsidP="0019381D">
      <w:pPr>
        <w:spacing w:after="0" w:line="360" w:lineRule="auto"/>
        <w:ind w:right="-93"/>
        <w:contextualSpacing/>
        <w:rPr>
          <w:rFonts w:eastAsia="Calibri" w:cs="Tahoma"/>
          <w:bCs/>
          <w:color w:val="auto"/>
        </w:rPr>
      </w:pPr>
    </w:p>
    <w:p w14:paraId="789BAD29" w14:textId="7647A0B0"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 xml:space="preserve">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w:t>
      </w:r>
      <w:r w:rsidR="00C41517">
        <w:rPr>
          <w:rFonts w:eastAsia="Calibri" w:cs="Tahoma"/>
          <w:bCs/>
          <w:color w:val="auto"/>
        </w:rPr>
        <w:t>Ayuntamiento de Chiconcuac</w:t>
      </w:r>
      <w:r w:rsidRPr="000515C8">
        <w:rPr>
          <w:rFonts w:eastAsia="Calibri" w:cs="Tahoma"/>
          <w:bCs/>
          <w:color w:val="auto"/>
        </w:rPr>
        <w:t>, a través de la Dirección de Desarrollo Económico,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074EEE71" w14:textId="77777777" w:rsidR="00C02A36" w:rsidRPr="000515C8" w:rsidRDefault="00C02A36" w:rsidP="0019381D">
      <w:pPr>
        <w:spacing w:after="0" w:line="360" w:lineRule="auto"/>
        <w:ind w:right="-93"/>
        <w:contextualSpacing/>
        <w:rPr>
          <w:rFonts w:eastAsia="Calibri" w:cs="Tahoma"/>
          <w:bCs/>
          <w:color w:val="auto"/>
        </w:rPr>
      </w:pPr>
    </w:p>
    <w:p w14:paraId="7A1E11C8"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 xml:space="preserve">En otras palabras, se considera que sólo con la difusión del nombre del titular de las licencias de funcionamiento, se podrían aportar los elementos necesarios a la ciudadanía para conocer </w:t>
      </w:r>
      <w:r w:rsidRPr="000515C8">
        <w:rPr>
          <w:rFonts w:eastAsia="Calibri" w:cs="Tahoma"/>
          <w:bCs/>
          <w:color w:val="auto"/>
        </w:rPr>
        <w:lastRenderedPageBreak/>
        <w:t>que cualquier establecimiento comercial cuenta con la autorización emitida por el Ayuntamiento.</w:t>
      </w:r>
    </w:p>
    <w:p w14:paraId="6E9D105A" w14:textId="77777777" w:rsidR="00C02A36" w:rsidRPr="000515C8" w:rsidRDefault="00C02A36" w:rsidP="0019381D">
      <w:pPr>
        <w:spacing w:after="0" w:line="360" w:lineRule="auto"/>
        <w:ind w:right="-93"/>
        <w:contextualSpacing/>
        <w:rPr>
          <w:rFonts w:eastAsia="Calibri" w:cs="Tahoma"/>
          <w:bCs/>
          <w:color w:val="auto"/>
        </w:rPr>
      </w:pPr>
    </w:p>
    <w:p w14:paraId="1A893FB6"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Es decir, si se negara el derecho de acceso a la información al nombre localizado en dicho documento, se impediría que los ciudadanos pudieran corroborar que las autorizaciones, que por Ley deben de estar visibles en los establecimientos, efectivamente fueron emitidas por el Sujeto Obligado, pues al proteger dicho dato no se tendría certeza de que el titular corresponda con el emitido por el Municipio en comento, además de que impediría conocer o identificar a la persona responsable del mismo, para atender asuntos relacionados con este,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1E5DFC11" w14:textId="77777777" w:rsidR="00C02A36" w:rsidRPr="000515C8" w:rsidRDefault="00C02A36" w:rsidP="0019381D">
      <w:pPr>
        <w:spacing w:after="0" w:line="360" w:lineRule="auto"/>
        <w:ind w:right="-93"/>
        <w:contextualSpacing/>
        <w:rPr>
          <w:rFonts w:eastAsia="Calibri" w:cs="Tahoma"/>
          <w:bCs/>
          <w:color w:val="auto"/>
        </w:rPr>
      </w:pPr>
    </w:p>
    <w:p w14:paraId="169BCE94" w14:textId="77777777" w:rsidR="00C02A36" w:rsidRPr="000515C8" w:rsidRDefault="00C02A36" w:rsidP="0019381D">
      <w:pPr>
        <w:spacing w:after="0" w:line="360" w:lineRule="auto"/>
        <w:ind w:right="-93"/>
        <w:contextualSpacing/>
        <w:rPr>
          <w:rFonts w:eastAsia="Calibri" w:cs="Tahoma"/>
          <w:bCs/>
          <w:color w:val="auto"/>
        </w:rPr>
      </w:pPr>
      <w:r w:rsidRPr="000515C8">
        <w:rPr>
          <w:rFonts w:eastAsia="Times New Roman" w:cs="Tahoma"/>
          <w:b/>
          <w:color w:val="auto"/>
          <w:lang w:eastAsia="es-ES"/>
        </w:rPr>
        <w:t>c) Proporcionalidad en sentido estricto</w:t>
      </w:r>
      <w:r w:rsidRPr="000515C8">
        <w:rPr>
          <w:rFonts w:eastAsia="Times New Roman" w:cs="Tahoma"/>
          <w:color w:val="auto"/>
          <w:lang w:eastAsia="es-ES"/>
        </w:rPr>
        <w:t xml:space="preserve">. </w:t>
      </w:r>
      <w:r w:rsidRPr="000515C8">
        <w:rPr>
          <w:rFonts w:eastAsia="Calibri" w:cs="Tahoma"/>
          <w:bCs/>
          <w:color w:val="auto"/>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7250B24B" w14:textId="77777777" w:rsidR="00C02A36" w:rsidRPr="000515C8" w:rsidRDefault="00C02A36" w:rsidP="0019381D">
      <w:pPr>
        <w:spacing w:after="0" w:line="360" w:lineRule="auto"/>
        <w:ind w:right="-93"/>
        <w:contextualSpacing/>
        <w:rPr>
          <w:rFonts w:eastAsia="Calibri" w:cs="Tahoma"/>
          <w:bCs/>
          <w:color w:val="auto"/>
        </w:rPr>
      </w:pPr>
    </w:p>
    <w:p w14:paraId="1CD4DFBC"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2D97E5C5" w14:textId="77777777" w:rsidR="00C02A36" w:rsidRPr="000515C8" w:rsidRDefault="00C02A36" w:rsidP="0019381D">
      <w:pPr>
        <w:spacing w:after="0" w:line="360" w:lineRule="auto"/>
        <w:ind w:right="-93"/>
        <w:contextualSpacing/>
        <w:rPr>
          <w:rFonts w:eastAsia="Calibri" w:cs="Tahoma"/>
          <w:bCs/>
          <w:color w:val="auto"/>
        </w:rPr>
      </w:pPr>
    </w:p>
    <w:p w14:paraId="3756926E" w14:textId="7052F2F1" w:rsidR="00C02A36" w:rsidRPr="000515C8" w:rsidRDefault="00C02A36" w:rsidP="0019381D">
      <w:pPr>
        <w:widowControl w:val="0"/>
        <w:spacing w:after="0" w:line="360" w:lineRule="auto"/>
        <w:ind w:right="-91"/>
        <w:contextualSpacing/>
        <w:rPr>
          <w:rFonts w:eastAsia="Calibri" w:cs="Tahoma"/>
          <w:bCs/>
          <w:color w:val="auto"/>
        </w:rPr>
      </w:pPr>
      <w:r w:rsidRPr="000515C8">
        <w:rPr>
          <w:rFonts w:eastAsia="Calibri" w:cs="Tahoma"/>
          <w:bCs/>
          <w:color w:val="auto"/>
        </w:rPr>
        <w:t xml:space="preserve">Conforme a lo anterior, el </w:t>
      </w:r>
      <w:r w:rsidRPr="000515C8">
        <w:rPr>
          <w:rFonts w:eastAsia="Times New Roman" w:cs="Tahoma"/>
          <w:color w:val="auto"/>
          <w:lang w:val="es-ES_tradnl" w:eastAsia="es-ES"/>
        </w:rPr>
        <w:t xml:space="preserve">bien jurídico tutelado por el supuesto de confidencialidad previsto </w:t>
      </w:r>
      <w:r w:rsidRPr="000515C8">
        <w:rPr>
          <w:rFonts w:eastAsia="Times New Roman" w:cs="Tahoma"/>
          <w:color w:val="auto"/>
          <w:lang w:val="es-ES_tradnl" w:eastAsia="es-ES"/>
        </w:rPr>
        <w:lastRenderedPageBreak/>
        <w:t xml:space="preserve">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w:t>
      </w:r>
      <w:r w:rsidR="00C41517">
        <w:rPr>
          <w:rFonts w:eastAsia="Times New Roman" w:cs="Tahoma"/>
          <w:color w:val="auto"/>
          <w:lang w:val="es-ES_tradnl" w:eastAsia="es-ES"/>
        </w:rPr>
        <w:t>Ayuntamiento de Chiconcuac</w:t>
      </w:r>
      <w:r w:rsidRPr="000515C8">
        <w:rPr>
          <w:rFonts w:eastAsia="Times New Roman" w:cs="Tahoma"/>
          <w:color w:val="auto"/>
          <w:lang w:val="es-ES_tradnl" w:eastAsia="es-ES"/>
        </w:rPr>
        <w:t xml:space="preserve"> y permite a los usuarios del local comercial identificar al responsable del mismo.</w:t>
      </w:r>
    </w:p>
    <w:p w14:paraId="0F3C53F7" w14:textId="77777777" w:rsidR="00C02A36" w:rsidRPr="000515C8" w:rsidRDefault="00C02A36" w:rsidP="0019381D">
      <w:pPr>
        <w:spacing w:after="0" w:line="360" w:lineRule="auto"/>
        <w:ind w:right="-93"/>
        <w:contextualSpacing/>
        <w:rPr>
          <w:rFonts w:eastAsia="Calibri" w:cs="Tahoma"/>
          <w:bCs/>
          <w:color w:val="auto"/>
        </w:rPr>
      </w:pPr>
    </w:p>
    <w:p w14:paraId="186DE195" w14:textId="77D1AEF1"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Ente Recurrido, a través de la Dirección de Desarrollo Económico, como regulador de cualquier actividad económica, comercial o industrial dentro de su territorio; lo anterior, conforme a la Ley Orgánica Municipal el Estado de México, la Ley de Competitividad y Ordenamiento Comercial del Estado de México.</w:t>
      </w:r>
    </w:p>
    <w:p w14:paraId="3FD927DA" w14:textId="77777777" w:rsidR="00E62296" w:rsidRPr="000515C8" w:rsidRDefault="00E62296" w:rsidP="0019381D">
      <w:pPr>
        <w:spacing w:after="0" w:line="360" w:lineRule="auto"/>
        <w:ind w:right="-93"/>
        <w:contextualSpacing/>
        <w:rPr>
          <w:rFonts w:eastAsia="Calibri" w:cs="Tahoma"/>
          <w:bCs/>
          <w:color w:val="auto"/>
        </w:rPr>
      </w:pPr>
    </w:p>
    <w:p w14:paraId="4A73C31B" w14:textId="77777777" w:rsidR="00C02A36" w:rsidRPr="000515C8" w:rsidRDefault="00C02A36" w:rsidP="0019381D">
      <w:pPr>
        <w:spacing w:after="0" w:line="360" w:lineRule="auto"/>
        <w:ind w:right="-93"/>
        <w:contextualSpacing/>
        <w:rPr>
          <w:rFonts w:eastAsia="Calibri" w:cs="Tahoma"/>
          <w:bCs/>
          <w:color w:val="auto"/>
        </w:rPr>
      </w:pPr>
      <w:r w:rsidRPr="000515C8">
        <w:rPr>
          <w:rFonts w:eastAsia="Calibri" w:cs="Tahoma"/>
          <w:bCs/>
          <w:color w:val="auto"/>
        </w:rPr>
        <w:t xml:space="preserve">Por todo lo expuesto, </w:t>
      </w:r>
      <w:r w:rsidRPr="000515C8">
        <w:rPr>
          <w:rFonts w:eastAsia="Calibri" w:cs="Tahoma"/>
          <w:b/>
          <w:bCs/>
          <w:color w:val="auto"/>
        </w:rPr>
        <w:t>dar a conocer el nombre de los titulares de licencias, prevalece sobre la protección de los datos personales confidenciales de dichas personas, en razón del interés público que reviste;</w:t>
      </w:r>
      <w:r w:rsidRPr="000515C8">
        <w:rPr>
          <w:rFonts w:eastAsia="Calibri" w:cs="Tahoma"/>
          <w:bCs/>
          <w:color w:val="auto"/>
        </w:rPr>
        <w:t xml:space="preserve"> por lo que, no resulta aplicable, en el presente caso, el artículo 143, fracción I, de la Ley de Transparencia y Acceso a la Información Pública del Estado de México y Municipios.</w:t>
      </w:r>
    </w:p>
    <w:p w14:paraId="5610C291" w14:textId="77777777" w:rsidR="00C02A36" w:rsidRPr="000515C8" w:rsidRDefault="00C02A36" w:rsidP="0019381D">
      <w:pPr>
        <w:spacing w:after="0" w:line="360" w:lineRule="auto"/>
        <w:contextualSpacing/>
        <w:rPr>
          <w:rFonts w:eastAsia="Times New Roman" w:cs="Tahoma"/>
          <w:color w:val="auto"/>
          <w:lang w:val="es-ES" w:eastAsia="es-ES"/>
        </w:rPr>
      </w:pPr>
    </w:p>
    <w:p w14:paraId="5C0513C2" w14:textId="04375E9B" w:rsidR="00C02A36" w:rsidRPr="000515C8" w:rsidRDefault="006623E1" w:rsidP="0019381D">
      <w:pPr>
        <w:spacing w:after="0" w:line="360" w:lineRule="auto"/>
        <w:ind w:right="-93"/>
        <w:contextualSpacing/>
        <w:rPr>
          <w:rFonts w:eastAsia="Calibri" w:cs="Tahoma"/>
          <w:b/>
          <w:bCs/>
          <w:color w:val="auto"/>
        </w:rPr>
      </w:pPr>
      <w:r>
        <w:rPr>
          <w:rFonts w:eastAsia="Calibri" w:cs="Tahoma"/>
          <w:b/>
          <w:bCs/>
          <w:color w:val="auto"/>
        </w:rPr>
        <w:t>Persona Jurídico-Colectiva</w:t>
      </w:r>
    </w:p>
    <w:p w14:paraId="49D3E692" w14:textId="77777777" w:rsidR="00C02A36" w:rsidRPr="000515C8" w:rsidRDefault="00C02A36" w:rsidP="0019381D">
      <w:pPr>
        <w:spacing w:after="0" w:line="360" w:lineRule="auto"/>
        <w:ind w:right="-93"/>
        <w:contextualSpacing/>
        <w:rPr>
          <w:rFonts w:eastAsia="Calibri" w:cs="Tahoma"/>
          <w:b/>
          <w:bCs/>
          <w:color w:val="auto"/>
        </w:rPr>
      </w:pPr>
    </w:p>
    <w:p w14:paraId="61415ADC" w14:textId="77777777" w:rsidR="00C02A36" w:rsidRPr="000515C8" w:rsidRDefault="00C02A36" w:rsidP="0019381D">
      <w:pPr>
        <w:spacing w:after="0" w:line="360" w:lineRule="auto"/>
        <w:contextualSpacing/>
        <w:rPr>
          <w:rFonts w:eastAsia="Calibri" w:cs="Tahoma"/>
          <w:bCs/>
          <w:color w:val="auto"/>
        </w:rPr>
      </w:pPr>
      <w:r w:rsidRPr="000515C8">
        <w:rPr>
          <w:rFonts w:eastAsia="Calibri" w:cs="Tahoma"/>
          <w:bCs/>
          <w:color w:val="auto"/>
        </w:rPr>
        <w:t>Al respecto, se considera que la denominación o razón social de una persona moral, es pública, pues dichos datos se encuentran inscritos en el Registro Público del Comercio; lo anterior, toma sustento en el Criterio de interpretación, con clave de control SO/008/2019, de la Segunda Época, emitido por el Pleno del Instituto Nacional de Transparencia, Acceso a la Información y Protección de Datos Personales, el cual establece lo siguiente:</w:t>
      </w:r>
    </w:p>
    <w:p w14:paraId="23479260" w14:textId="77777777" w:rsidR="00C02A36" w:rsidRPr="000515C8" w:rsidRDefault="00C02A36" w:rsidP="0019381D">
      <w:pPr>
        <w:spacing w:after="0" w:line="360" w:lineRule="auto"/>
        <w:contextualSpacing/>
        <w:rPr>
          <w:rFonts w:eastAsia="Calibri" w:cs="Tahoma"/>
          <w:bCs/>
          <w:color w:val="auto"/>
        </w:rPr>
      </w:pPr>
    </w:p>
    <w:p w14:paraId="0BC7284C" w14:textId="77777777" w:rsidR="00C02A36" w:rsidRPr="000515C8" w:rsidRDefault="00C02A36" w:rsidP="0019381D">
      <w:pPr>
        <w:spacing w:after="0" w:line="360" w:lineRule="auto"/>
        <w:ind w:left="567" w:right="567"/>
        <w:contextualSpacing/>
        <w:rPr>
          <w:rFonts w:eastAsia="Calibri" w:cs="Tahoma"/>
          <w:bCs/>
          <w:i/>
          <w:color w:val="auto"/>
          <w:sz w:val="20"/>
          <w:szCs w:val="20"/>
        </w:rPr>
      </w:pPr>
      <w:r w:rsidRPr="000515C8">
        <w:rPr>
          <w:rFonts w:eastAsia="Calibri" w:cs="Tahoma"/>
          <w:b/>
          <w:bCs/>
          <w:i/>
          <w:color w:val="auto"/>
          <w:sz w:val="20"/>
          <w:szCs w:val="20"/>
        </w:rPr>
        <w:t xml:space="preserve">“Razón social y RFC de personas morales. </w:t>
      </w:r>
      <w:r w:rsidRPr="000515C8">
        <w:rPr>
          <w:rFonts w:eastAsia="Calibri" w:cs="Tahoma"/>
          <w:bCs/>
          <w:i/>
          <w:color w:val="auto"/>
          <w:sz w:val="20"/>
          <w:szCs w:val="20"/>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7261A0A8" w14:textId="77777777" w:rsidR="00C02A36" w:rsidRPr="000515C8" w:rsidRDefault="00C02A36" w:rsidP="0019381D">
      <w:pPr>
        <w:spacing w:after="0" w:line="360" w:lineRule="auto"/>
        <w:contextualSpacing/>
        <w:rPr>
          <w:rFonts w:eastAsia="Calibri" w:cs="Tahoma"/>
          <w:b/>
          <w:bCs/>
          <w:color w:val="auto"/>
        </w:rPr>
      </w:pPr>
    </w:p>
    <w:p w14:paraId="42C5FB29" w14:textId="21A82034" w:rsidR="00C02A36" w:rsidRPr="000515C8" w:rsidRDefault="00C02A36" w:rsidP="0019381D">
      <w:pPr>
        <w:spacing w:after="0" w:line="360" w:lineRule="auto"/>
        <w:contextualSpacing/>
        <w:rPr>
          <w:rFonts w:eastAsia="Calibri" w:cs="Tahoma"/>
          <w:bCs/>
          <w:color w:val="auto"/>
          <w:lang w:val="es-ES_tradnl"/>
        </w:rPr>
      </w:pPr>
      <w:r w:rsidRPr="000515C8">
        <w:rPr>
          <w:rFonts w:eastAsia="Calibri" w:cs="Tahoma"/>
          <w:bCs/>
          <w:color w:val="auto"/>
        </w:rPr>
        <w:t xml:space="preserve">Lo anterior, se robustece con el hecho de que el Ente Recurrido tiene como obligación común de transparencia, poner a disposición del público las concesiones, contratos, convenios, permisos, licencias o autorizaciones, el cual debe incluir la razón social del titular, de conformidad con los </w:t>
      </w:r>
      <w:r w:rsidRPr="000515C8">
        <w:rPr>
          <w:rFonts w:eastAsia="Calibri" w:cs="Tahoma"/>
          <w:bCs/>
          <w:color w:val="auto"/>
          <w:lang w:val="es-ES_tradnl"/>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den de difundir los sujetos obligados en los portales de Internet y en la Plataforma Nacional de Transparencia –Lineamientos técnicos generales</w:t>
      </w:r>
      <w:r w:rsidR="00C41517">
        <w:rPr>
          <w:rFonts w:eastAsia="Calibri" w:cs="Tahoma"/>
          <w:bCs/>
          <w:color w:val="auto"/>
          <w:lang w:val="es-ES_tradnl"/>
        </w:rPr>
        <w:t>-.</w:t>
      </w:r>
    </w:p>
    <w:p w14:paraId="40411E4C" w14:textId="77777777" w:rsidR="00C02A36" w:rsidRPr="000515C8" w:rsidRDefault="00C02A36" w:rsidP="0019381D">
      <w:pPr>
        <w:spacing w:after="0" w:line="360" w:lineRule="auto"/>
        <w:contextualSpacing/>
        <w:rPr>
          <w:rFonts w:eastAsia="Calibri" w:cs="Tahoma"/>
          <w:bCs/>
          <w:color w:val="auto"/>
          <w:lang w:val="es-ES_tradnl"/>
        </w:rPr>
      </w:pPr>
    </w:p>
    <w:p w14:paraId="1D34319D" w14:textId="77777777" w:rsidR="00C02A36" w:rsidRPr="000515C8" w:rsidRDefault="00C02A36" w:rsidP="0019381D">
      <w:pPr>
        <w:spacing w:after="0" w:line="360" w:lineRule="auto"/>
        <w:contextualSpacing/>
        <w:rPr>
          <w:rFonts w:eastAsia="Calibri" w:cs="Tahoma"/>
          <w:bCs/>
          <w:color w:val="auto"/>
          <w:lang w:val="es-ES_tradnl"/>
        </w:rPr>
      </w:pPr>
      <w:r w:rsidRPr="000515C8">
        <w:rPr>
          <w:rFonts w:eastAsia="Calibri" w:cs="Tahoma"/>
          <w:bCs/>
          <w:color w:val="auto"/>
          <w:lang w:val="es-ES_tradnl"/>
        </w:rPr>
        <w:t xml:space="preserve">Por lo tanto, </w:t>
      </w:r>
      <w:r w:rsidRPr="000515C8">
        <w:rPr>
          <w:rFonts w:eastAsia="Calibri" w:cs="Tahoma"/>
          <w:b/>
          <w:bCs/>
          <w:color w:val="auto"/>
          <w:lang w:val="es-ES_tradnl"/>
        </w:rPr>
        <w:t>no procede la clasificación del nombre de las personas morales localizadas en las licencias de funcionamiento</w:t>
      </w:r>
      <w:r w:rsidRPr="000515C8">
        <w:rPr>
          <w:rFonts w:eastAsia="Calibri" w:cs="Tahoma"/>
          <w:bCs/>
          <w:color w:val="auto"/>
          <w:lang w:val="es-ES_tradnl"/>
        </w:rPr>
        <w:t>, en términos del artículo 143, fracción I de la Ley de Transparencia y Acceso a la Información Pública del Estado de México y Municipios; situación que se robustece, con el hecho de que permite corroborar que la exhibida en el establecimiento comercial, fue emitida efectivamente por la autoridad competente y que su titular corresponde al establecimiento en cuestión.</w:t>
      </w:r>
    </w:p>
    <w:p w14:paraId="76600C01" w14:textId="77777777" w:rsidR="00C02A36" w:rsidRPr="000515C8" w:rsidRDefault="00C02A36" w:rsidP="0019381D">
      <w:pPr>
        <w:spacing w:after="0" w:line="360" w:lineRule="auto"/>
        <w:contextualSpacing/>
        <w:rPr>
          <w:rFonts w:eastAsia="Calibri" w:cs="Tahoma"/>
          <w:bCs/>
          <w:color w:val="auto"/>
          <w:lang w:val="es-ES_tradnl"/>
        </w:rPr>
      </w:pPr>
    </w:p>
    <w:p w14:paraId="5DB97680" w14:textId="20F99887" w:rsidR="00C02A36" w:rsidRPr="000515C8" w:rsidRDefault="00C02A36" w:rsidP="0019381D">
      <w:pPr>
        <w:numPr>
          <w:ilvl w:val="0"/>
          <w:numId w:val="36"/>
        </w:numPr>
        <w:spacing w:after="0" w:line="360" w:lineRule="auto"/>
        <w:contextualSpacing/>
        <w:jc w:val="left"/>
        <w:rPr>
          <w:rFonts w:eastAsia="Times New Roman" w:cs="Tahoma"/>
          <w:bCs/>
          <w:color w:val="auto"/>
          <w:lang w:eastAsia="es-ES"/>
        </w:rPr>
      </w:pPr>
      <w:r w:rsidRPr="000515C8">
        <w:rPr>
          <w:rFonts w:eastAsia="Times New Roman" w:cs="Tahoma"/>
          <w:b/>
          <w:bCs/>
          <w:color w:val="auto"/>
          <w:lang w:eastAsia="es-ES"/>
        </w:rPr>
        <w:t>Ubicación de la unidad económi</w:t>
      </w:r>
      <w:r w:rsidR="006623E1">
        <w:rPr>
          <w:rFonts w:eastAsia="Times New Roman" w:cs="Tahoma"/>
          <w:b/>
          <w:bCs/>
          <w:color w:val="auto"/>
          <w:lang w:eastAsia="es-ES"/>
        </w:rPr>
        <w:t>ca</w:t>
      </w:r>
    </w:p>
    <w:p w14:paraId="2F03FB2C" w14:textId="77777777" w:rsidR="00C02A36" w:rsidRPr="000515C8" w:rsidRDefault="00C02A36" w:rsidP="0019381D">
      <w:pPr>
        <w:spacing w:after="0" w:line="360" w:lineRule="auto"/>
        <w:contextualSpacing/>
        <w:rPr>
          <w:rFonts w:eastAsia="Times New Roman" w:cs="Tahoma"/>
          <w:b/>
          <w:bCs/>
          <w:color w:val="auto"/>
          <w:lang w:eastAsia="es-ES"/>
        </w:rPr>
      </w:pPr>
    </w:p>
    <w:p w14:paraId="46C78553" w14:textId="77777777" w:rsidR="00C02A36" w:rsidRPr="000515C8" w:rsidRDefault="00C02A36" w:rsidP="0019381D">
      <w:pPr>
        <w:spacing w:after="0" w:line="360" w:lineRule="auto"/>
        <w:contextualSpacing/>
        <w:rPr>
          <w:rFonts w:eastAsia="Times New Roman" w:cs="Tahoma"/>
          <w:bCs/>
          <w:color w:val="auto"/>
          <w:lang w:eastAsia="es-ES"/>
        </w:rPr>
      </w:pPr>
      <w:r w:rsidRPr="000515C8">
        <w:rPr>
          <w:rFonts w:eastAsia="Times New Roman" w:cs="Tahoma"/>
          <w:bCs/>
          <w:color w:val="auto"/>
          <w:lang w:eastAsia="es-ES"/>
        </w:rPr>
        <w:t xml:space="preserve">Sobre dicho dato, resulta necesario precisar que este no corresponde al domicilio particular del titular de dichas autorizaciones, sino que corresponde a aquel donde se localiza la unidad </w:t>
      </w:r>
      <w:r w:rsidRPr="000515C8">
        <w:rPr>
          <w:rFonts w:eastAsia="Times New Roman" w:cs="Tahoma"/>
          <w:bCs/>
          <w:color w:val="auto"/>
          <w:lang w:eastAsia="es-ES"/>
        </w:rPr>
        <w:lastRenderedPageBreak/>
        <w:t>económica, es decir, en el lugar en donde se realizará la actividad comercial, industrial o de servicios.</w:t>
      </w:r>
    </w:p>
    <w:p w14:paraId="6F529FC9" w14:textId="77777777" w:rsidR="00C02A36" w:rsidRPr="000515C8" w:rsidRDefault="00C02A36" w:rsidP="0019381D">
      <w:pPr>
        <w:spacing w:after="0" w:line="360" w:lineRule="auto"/>
        <w:contextualSpacing/>
        <w:rPr>
          <w:rFonts w:eastAsia="Times New Roman" w:cs="Tahoma"/>
          <w:bCs/>
          <w:color w:val="auto"/>
          <w:lang w:eastAsia="es-ES"/>
        </w:rPr>
      </w:pPr>
    </w:p>
    <w:p w14:paraId="4FC8CBAB" w14:textId="77777777" w:rsidR="00C02A36" w:rsidRPr="000515C8" w:rsidRDefault="00C02A36" w:rsidP="0019381D">
      <w:pPr>
        <w:widowControl w:val="0"/>
        <w:spacing w:after="0" w:line="360" w:lineRule="auto"/>
        <w:ind w:right="-91"/>
        <w:contextualSpacing/>
        <w:rPr>
          <w:rFonts w:eastAsia="Calibri" w:cs="Tahoma"/>
          <w:bCs/>
          <w:color w:val="auto"/>
        </w:rPr>
      </w:pPr>
      <w:r w:rsidRPr="000515C8">
        <w:rPr>
          <w:rFonts w:eastAsia="Times New Roman" w:cs="Tahoma"/>
          <w:bCs/>
          <w:color w:val="auto"/>
          <w:lang w:eastAsia="es-ES"/>
        </w:rPr>
        <w:t xml:space="preserve">Por lo cual, el dato en comento </w:t>
      </w:r>
      <w:r w:rsidRPr="000515C8">
        <w:rPr>
          <w:rFonts w:eastAsia="Calibri" w:cs="Tahoma"/>
          <w:bCs/>
          <w:color w:val="auto"/>
        </w:rPr>
        <w:t>únicamente identifica la ubicación donde se realiza una actividad económica regulada por el Municipio, respecto del cual se expidió una licencia o permiso.</w:t>
      </w:r>
    </w:p>
    <w:p w14:paraId="1616E1AF" w14:textId="77777777" w:rsidR="00C02A36" w:rsidRPr="000515C8" w:rsidRDefault="00C02A36" w:rsidP="0019381D">
      <w:pPr>
        <w:spacing w:after="0" w:line="360" w:lineRule="auto"/>
        <w:contextualSpacing/>
        <w:rPr>
          <w:rFonts w:eastAsia="Times New Roman" w:cs="Tahoma"/>
          <w:bCs/>
          <w:color w:val="auto"/>
          <w:lang w:eastAsia="es-ES"/>
        </w:rPr>
      </w:pPr>
    </w:p>
    <w:p w14:paraId="06DCB42B" w14:textId="77777777" w:rsidR="00C02A36" w:rsidRPr="000515C8" w:rsidRDefault="00C02A36" w:rsidP="0019381D">
      <w:pPr>
        <w:spacing w:after="0" w:line="360" w:lineRule="auto"/>
        <w:contextualSpacing/>
        <w:rPr>
          <w:rFonts w:eastAsia="Times New Roman" w:cs="Tahoma"/>
          <w:bCs/>
          <w:color w:val="auto"/>
          <w:lang w:eastAsia="es-ES"/>
        </w:rPr>
      </w:pPr>
      <w:r w:rsidRPr="000515C8">
        <w:rPr>
          <w:rFonts w:eastAsia="Times New Roman" w:cs="Tahoma"/>
          <w:bCs/>
          <w:color w:val="auto"/>
          <w:lang w:eastAsia="es-ES"/>
        </w:rPr>
        <w:t>De tales circunstancias, dicho dato guarda la naturaleza de pública, pues permite identificar, que la ubicación de la unidad económica (puesto o establecimiento) corresponde con la licencia o permiso (esto es, que no se puso a la vista una licencia que no corresponda), y que está debidamente registrada ante la autoridad Municipal; por lo que se trata de un dato de acceso a público, pues como se precisó dichos documentos deben de estar a la vista del público en general. Así no resulta procedente, la clasificación, en términos del artículo 143, fracción I de la Ley de Transparencia y Acceso a la Información Pública del Estado de México y Municipios.</w:t>
      </w:r>
    </w:p>
    <w:p w14:paraId="5BF894EF" w14:textId="77777777" w:rsidR="00C02A36" w:rsidRPr="000515C8" w:rsidRDefault="00C02A36" w:rsidP="0019381D">
      <w:pPr>
        <w:widowControl w:val="0"/>
        <w:spacing w:after="0" w:line="360" w:lineRule="auto"/>
        <w:contextualSpacing/>
        <w:rPr>
          <w:rFonts w:ascii="Arial" w:eastAsia="Palatino Linotype" w:hAnsi="Arial" w:cs="Arial"/>
          <w:color w:val="auto"/>
          <w:shd w:val="clear" w:color="auto" w:fill="FFFFFF"/>
          <w:lang w:eastAsia="es-MX"/>
        </w:rPr>
      </w:pPr>
    </w:p>
    <w:p w14:paraId="1E20EADF" w14:textId="3D11F377" w:rsidR="00395324" w:rsidRPr="000515C8" w:rsidRDefault="00395324" w:rsidP="0019381D">
      <w:pPr>
        <w:numPr>
          <w:ilvl w:val="0"/>
          <w:numId w:val="40"/>
        </w:numPr>
        <w:spacing w:after="0" w:line="360" w:lineRule="auto"/>
        <w:ind w:right="-93"/>
        <w:contextualSpacing/>
        <w:rPr>
          <w:rFonts w:eastAsia="Calibri" w:cs="Tahoma"/>
          <w:b/>
          <w:bCs/>
          <w:color w:val="auto"/>
        </w:rPr>
      </w:pPr>
      <w:r w:rsidRPr="000515C8">
        <w:rPr>
          <w:rFonts w:eastAsia="Calibri" w:cs="Tahoma"/>
          <w:b/>
          <w:bCs/>
          <w:color w:val="auto"/>
        </w:rPr>
        <w:t>Teléfono y correo electrónico de establecimiento</w:t>
      </w:r>
    </w:p>
    <w:p w14:paraId="6FDF4041" w14:textId="77777777" w:rsidR="00395324" w:rsidRPr="000515C8" w:rsidRDefault="00395324" w:rsidP="0019381D">
      <w:pPr>
        <w:spacing w:after="0" w:line="360" w:lineRule="auto"/>
        <w:ind w:right="-93"/>
        <w:contextualSpacing/>
        <w:rPr>
          <w:rFonts w:eastAsia="Calibri" w:cs="Tahoma"/>
          <w:b/>
          <w:bCs/>
          <w:color w:val="auto"/>
        </w:rPr>
      </w:pPr>
    </w:p>
    <w:p w14:paraId="62B0F63F" w14:textId="065617E7" w:rsidR="00395324" w:rsidRDefault="00395324" w:rsidP="0019381D">
      <w:pPr>
        <w:spacing w:after="0" w:line="360" w:lineRule="auto"/>
        <w:ind w:right="-93"/>
        <w:contextualSpacing/>
        <w:rPr>
          <w:rFonts w:cs="Tahoma"/>
          <w:color w:val="auto"/>
        </w:rPr>
      </w:pPr>
      <w:r w:rsidRPr="000515C8">
        <w:rPr>
          <w:rFonts w:eastAsia="Calibri" w:cs="Tahoma"/>
          <w:color w:val="auto"/>
        </w:rPr>
        <w:t xml:space="preserve">El dato en cuestión corresponde a datos de contacto que pueden utilizar los clientes o personas interesadas para comunicarse con un establecimiento económico, para realizar consultas, solicitar ventas o informes sobre las actividades que se realizan en el mismo; el cual no corresponde a un número particular, al contrario este es utilizado como medio de comunicación en el establecimiento de manera específica, por lo que, se considera que al no dar a conocer información de la vida privada o íntima de las personas titulares se trata de información que no actualiza la </w:t>
      </w:r>
      <w:r w:rsidRPr="000515C8">
        <w:rPr>
          <w:rFonts w:cs="Tahoma"/>
          <w:color w:val="auto"/>
        </w:rPr>
        <w:t>fracción I, del artículo 143 de la Ley de Transparencia y Acceso a la Información Pública del Estado de México y Municipios.</w:t>
      </w:r>
    </w:p>
    <w:p w14:paraId="69D06316" w14:textId="77777777" w:rsidR="00C41517" w:rsidRDefault="00C41517" w:rsidP="0019381D">
      <w:pPr>
        <w:spacing w:after="0" w:line="360" w:lineRule="auto"/>
        <w:ind w:right="-93"/>
        <w:contextualSpacing/>
        <w:rPr>
          <w:rFonts w:cs="Tahoma"/>
          <w:color w:val="auto"/>
        </w:rPr>
      </w:pPr>
    </w:p>
    <w:p w14:paraId="423383F7" w14:textId="77777777" w:rsidR="0019381D" w:rsidRDefault="00C41517" w:rsidP="0019381D">
      <w:pPr>
        <w:spacing w:after="0" w:line="360" w:lineRule="auto"/>
        <w:ind w:right="-93"/>
        <w:contextualSpacing/>
        <w:rPr>
          <w:rFonts w:cs="Tahoma"/>
          <w:color w:val="auto"/>
        </w:rPr>
      </w:pPr>
      <w:r>
        <w:rPr>
          <w:rFonts w:cs="Tahoma"/>
          <w:color w:val="auto"/>
        </w:rPr>
        <w:lastRenderedPageBreak/>
        <w:t xml:space="preserve">No obstante, para el caso de que dichos datos, sean </w:t>
      </w:r>
      <w:r w:rsidR="0019381D">
        <w:rPr>
          <w:rFonts w:cs="Tahoma"/>
          <w:color w:val="auto"/>
        </w:rPr>
        <w:t>datos de contacto particulares, es decir, que no guarden relación con la unidad económica</w:t>
      </w:r>
      <w:r>
        <w:rPr>
          <w:rFonts w:cs="Tahoma"/>
          <w:color w:val="auto"/>
        </w:rPr>
        <w:t xml:space="preserve">, se trata de información confidencial que actualiza el supuesto de clasificación, razón por la cual el Sujeto Obligado deberá hacer tal diferencia y en su caso clasificarlos o dejarlos visibles. </w:t>
      </w:r>
    </w:p>
    <w:p w14:paraId="24112160" w14:textId="77777777" w:rsidR="0019381D" w:rsidRDefault="0019381D" w:rsidP="0019381D">
      <w:pPr>
        <w:spacing w:after="0" w:line="360" w:lineRule="auto"/>
        <w:ind w:right="-93"/>
        <w:contextualSpacing/>
        <w:rPr>
          <w:rFonts w:cs="Tahoma"/>
          <w:color w:val="auto"/>
        </w:rPr>
      </w:pPr>
    </w:p>
    <w:p w14:paraId="6A768151" w14:textId="108943E9" w:rsidR="00C02A36" w:rsidRPr="000515C8" w:rsidRDefault="00C02A36" w:rsidP="0019381D">
      <w:pPr>
        <w:spacing w:after="0" w:line="360" w:lineRule="auto"/>
        <w:ind w:right="-93"/>
        <w:contextualSpacing/>
        <w:rPr>
          <w:rFonts w:eastAsia="Palatino Linotype" w:cs="Palatino Linotype"/>
          <w:color w:val="auto"/>
          <w:lang w:eastAsia="es-MX"/>
        </w:rPr>
      </w:pPr>
      <w:r w:rsidRPr="000515C8">
        <w:rPr>
          <w:rFonts w:eastAsia="Palatino Linotype" w:cs="Palatino Linotype"/>
          <w:color w:val="auto"/>
          <w:lang w:eastAsia="es-MX"/>
        </w:rPr>
        <w:t xml:space="preserve">Finalmente, no pasa desapercibido para este Instituto que los documentos que den cuenta de lo solicitado, pudieran contener datos confidenciales, tales como el Registro Federal de Contribuyentes de los Titulares de las Unidades </w:t>
      </w:r>
      <w:r w:rsidR="0019381D" w:rsidRPr="000515C8">
        <w:rPr>
          <w:rFonts w:eastAsia="Palatino Linotype" w:cs="Palatino Linotype"/>
          <w:color w:val="auto"/>
          <w:lang w:eastAsia="es-MX"/>
        </w:rPr>
        <w:t>Económicas</w:t>
      </w:r>
      <w:r w:rsidRPr="000515C8">
        <w:rPr>
          <w:rFonts w:eastAsia="Palatino Linotype" w:cs="Palatino Linotype"/>
          <w:color w:val="auto"/>
          <w:lang w:eastAsia="es-MX"/>
        </w:rPr>
        <w:t>;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F4C013A" w14:textId="77777777" w:rsidR="00C02A36" w:rsidRPr="000515C8" w:rsidRDefault="00C02A36" w:rsidP="0019381D">
      <w:pPr>
        <w:widowControl w:val="0"/>
        <w:spacing w:after="0" w:line="360" w:lineRule="auto"/>
        <w:contextualSpacing/>
        <w:rPr>
          <w:rFonts w:eastAsia="Palatino Linotype" w:cs="Palatino Linotype"/>
          <w:color w:val="auto"/>
          <w:lang w:eastAsia="es-MX"/>
        </w:rPr>
      </w:pPr>
    </w:p>
    <w:p w14:paraId="01D7F121" w14:textId="77777777" w:rsidR="00C02A36" w:rsidRPr="000515C8" w:rsidRDefault="00C02A36" w:rsidP="0019381D">
      <w:pPr>
        <w:widowControl w:val="0"/>
        <w:spacing w:after="0" w:line="360" w:lineRule="auto"/>
        <w:contextualSpacing/>
        <w:rPr>
          <w:rFonts w:eastAsia="Palatino Linotype" w:cs="Palatino Linotype"/>
          <w:color w:val="auto"/>
          <w:lang w:eastAsia="es-MX"/>
        </w:rPr>
      </w:pPr>
      <w:r w:rsidRPr="000515C8">
        <w:rPr>
          <w:rFonts w:eastAsia="Palatino Linotype" w:cs="Palatino Linotype"/>
          <w:color w:val="auto"/>
          <w:lang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320656F" w14:textId="77777777" w:rsidR="00C02A36" w:rsidRPr="000515C8" w:rsidRDefault="00C02A36" w:rsidP="0019381D">
      <w:pPr>
        <w:spacing w:after="0" w:line="360" w:lineRule="auto"/>
        <w:contextualSpacing/>
        <w:rPr>
          <w:rFonts w:eastAsia="Palatino Linotype" w:cs="Palatino Linotype"/>
          <w:color w:val="auto"/>
          <w:lang w:eastAsia="es-MX"/>
        </w:rPr>
      </w:pPr>
    </w:p>
    <w:p w14:paraId="7D02C26E" w14:textId="77777777" w:rsidR="00117AA9" w:rsidRPr="0047171B" w:rsidRDefault="00117AA9" w:rsidP="0047171B">
      <w:pPr>
        <w:pStyle w:val="Ttulo2"/>
        <w:rPr>
          <w:rFonts w:ascii="Palatino Linotype" w:eastAsia="Times New Roman" w:hAnsi="Palatino Linotype"/>
          <w:b/>
          <w:bCs/>
          <w:color w:val="auto"/>
          <w:sz w:val="22"/>
          <w:szCs w:val="22"/>
          <w:lang w:val="es-ES" w:eastAsia="es-ES"/>
        </w:rPr>
      </w:pPr>
      <w:bookmarkStart w:id="11" w:name="_Toc219386024"/>
      <w:r w:rsidRPr="0047171B">
        <w:rPr>
          <w:rFonts w:ascii="Palatino Linotype" w:eastAsia="Times New Roman" w:hAnsi="Palatino Linotype"/>
          <w:b/>
          <w:bCs/>
          <w:color w:val="auto"/>
          <w:sz w:val="22"/>
          <w:szCs w:val="22"/>
          <w:lang w:val="es-ES" w:eastAsia="es-ES"/>
        </w:rPr>
        <w:t>SEXTO. Decisión</w:t>
      </w:r>
      <w:bookmarkEnd w:id="11"/>
    </w:p>
    <w:p w14:paraId="6DE9F88F" w14:textId="77777777" w:rsidR="00117AA9" w:rsidRPr="000515C8" w:rsidRDefault="00117AA9" w:rsidP="0019381D">
      <w:pPr>
        <w:spacing w:after="0" w:line="360" w:lineRule="auto"/>
        <w:contextualSpacing/>
        <w:rPr>
          <w:rFonts w:eastAsia="Times New Roman" w:cs="Tahoma"/>
          <w:iCs/>
          <w:color w:val="auto"/>
          <w:lang w:val="es-ES" w:eastAsia="es-ES"/>
        </w:rPr>
      </w:pPr>
    </w:p>
    <w:p w14:paraId="2169F24D" w14:textId="4AF90914" w:rsidR="00117AA9" w:rsidRPr="000515C8" w:rsidRDefault="00117AA9" w:rsidP="0019381D">
      <w:pPr>
        <w:spacing w:after="0" w:line="360" w:lineRule="auto"/>
        <w:contextualSpacing/>
        <w:rPr>
          <w:rFonts w:eastAsia="Times New Roman" w:cs="Tahoma"/>
          <w:iCs/>
          <w:color w:val="auto"/>
          <w:lang w:val="es-ES" w:eastAsia="es-ES"/>
        </w:rPr>
      </w:pPr>
      <w:r w:rsidRPr="000515C8">
        <w:rPr>
          <w:rFonts w:eastAsia="Times New Roman" w:cs="Tahoma"/>
          <w:iCs/>
          <w:color w:val="auto"/>
          <w:lang w:val="es-ES" w:eastAsia="es-ES"/>
        </w:rPr>
        <w:t>Con fundamento en el artículo 186, fracción III, de la Ley de Transparencia y Acceso a la Información Pública del Estado de México y Municipios, este Instituto considera procedente</w:t>
      </w:r>
      <w:r w:rsidR="00C41517">
        <w:rPr>
          <w:rFonts w:eastAsia="Times New Roman" w:cs="Tahoma"/>
          <w:iCs/>
          <w:color w:val="auto"/>
          <w:lang w:val="es-ES" w:eastAsia="es-ES"/>
        </w:rPr>
        <w:t xml:space="preserve"> </w:t>
      </w:r>
      <w:r w:rsidR="00C41517">
        <w:rPr>
          <w:rFonts w:eastAsia="Times New Roman" w:cs="Tahoma"/>
          <w:b/>
          <w:bCs/>
          <w:iCs/>
          <w:color w:val="auto"/>
          <w:lang w:val="es-ES" w:eastAsia="es-ES"/>
        </w:rPr>
        <w:t>MODIFICAR</w:t>
      </w:r>
      <w:r w:rsidRPr="000515C8">
        <w:rPr>
          <w:rFonts w:eastAsia="Times New Roman" w:cs="Tahoma"/>
          <w:iCs/>
          <w:color w:val="auto"/>
          <w:lang w:val="es-ES" w:eastAsia="es-ES"/>
        </w:rPr>
        <w:t xml:space="preserve"> la respuesta otorgada a la solicitud de información </w:t>
      </w:r>
      <w:r w:rsidR="00C41517" w:rsidRPr="00C41517">
        <w:rPr>
          <w:rFonts w:eastAsia="Times New Roman" w:cs="Tahoma"/>
          <w:b/>
          <w:iCs/>
          <w:color w:val="auto"/>
          <w:lang w:val="es-ES" w:eastAsia="es-ES"/>
        </w:rPr>
        <w:t>00139/CHICONCU/IP/2025</w:t>
      </w:r>
      <w:r w:rsidRPr="000515C8">
        <w:rPr>
          <w:rFonts w:eastAsia="Times New Roman" w:cs="Tahoma"/>
          <w:b/>
          <w:iCs/>
          <w:color w:val="auto"/>
          <w:lang w:val="es-ES" w:eastAsia="es-ES"/>
        </w:rPr>
        <w:t xml:space="preserve">, </w:t>
      </w:r>
      <w:r w:rsidRPr="000515C8">
        <w:rPr>
          <w:rFonts w:eastAsia="Times New Roman" w:cs="Tahoma"/>
          <w:iCs/>
          <w:color w:val="auto"/>
          <w:lang w:val="es-ES" w:eastAsia="es-ES"/>
        </w:rPr>
        <w:t>por resultar fundados los motivos de inconformidad</w:t>
      </w:r>
      <w:r w:rsidRPr="000515C8">
        <w:rPr>
          <w:rFonts w:eastAsia="Times New Roman" w:cs="Tahoma"/>
          <w:b/>
          <w:iCs/>
          <w:color w:val="auto"/>
          <w:lang w:val="es-ES" w:eastAsia="es-ES"/>
        </w:rPr>
        <w:t xml:space="preserve">, </w:t>
      </w:r>
      <w:r w:rsidRPr="000515C8">
        <w:rPr>
          <w:rFonts w:eastAsia="Times New Roman" w:cs="Tahoma"/>
          <w:iCs/>
          <w:color w:val="auto"/>
          <w:lang w:val="es-ES" w:eastAsia="es-ES"/>
        </w:rPr>
        <w:t xml:space="preserve">a efecto </w:t>
      </w:r>
      <w:r w:rsidRPr="000515C8">
        <w:rPr>
          <w:rFonts w:eastAsia="Times New Roman" w:cs="Tahoma"/>
          <w:iCs/>
          <w:color w:val="auto"/>
          <w:lang w:val="es-ES" w:eastAsia="es-ES"/>
        </w:rPr>
        <w:lastRenderedPageBreak/>
        <w:t xml:space="preserve">de que, previa búsqueda exhaustiva y razonable en las unidades administrativas competentes, entregue, en su caso, en versión pública, los documentos donde conste </w:t>
      </w:r>
      <w:r w:rsidR="006C0980" w:rsidRPr="000515C8">
        <w:rPr>
          <w:rFonts w:eastAsia="Times New Roman" w:cs="Tahoma"/>
          <w:iCs/>
          <w:color w:val="auto"/>
          <w:lang w:val="es-ES" w:eastAsia="es-ES"/>
        </w:rPr>
        <w:t>lo solicitado.</w:t>
      </w:r>
    </w:p>
    <w:p w14:paraId="78812AAB" w14:textId="77777777" w:rsidR="00117AA9" w:rsidRPr="000515C8" w:rsidRDefault="00117AA9" w:rsidP="0019381D">
      <w:pPr>
        <w:tabs>
          <w:tab w:val="left" w:pos="4962"/>
        </w:tabs>
        <w:spacing w:after="0" w:line="360" w:lineRule="auto"/>
        <w:contextualSpacing/>
        <w:rPr>
          <w:rFonts w:eastAsia="Times New Roman" w:cs="Tahoma"/>
          <w:iCs/>
          <w:color w:val="auto"/>
          <w:lang w:eastAsia="es-ES"/>
        </w:rPr>
      </w:pPr>
    </w:p>
    <w:p w14:paraId="0E4ED2E4" w14:textId="77777777" w:rsidR="00117AA9" w:rsidRPr="000515C8" w:rsidRDefault="00117AA9" w:rsidP="0019381D">
      <w:pPr>
        <w:spacing w:after="0" w:line="360" w:lineRule="auto"/>
        <w:contextualSpacing/>
        <w:rPr>
          <w:rFonts w:eastAsia="Times New Roman" w:cs="Tahoma"/>
          <w:b/>
          <w:bCs/>
          <w:iCs/>
          <w:color w:val="auto"/>
          <w:lang w:val="es-ES" w:eastAsia="es-ES"/>
        </w:rPr>
      </w:pPr>
      <w:r w:rsidRPr="000515C8">
        <w:rPr>
          <w:rFonts w:eastAsia="Times New Roman" w:cs="Tahoma"/>
          <w:b/>
          <w:bCs/>
          <w:iCs/>
          <w:color w:val="auto"/>
          <w:lang w:val="es-ES" w:eastAsia="es-ES"/>
        </w:rPr>
        <w:t>Términos de la Resolución para conocimiento del Particular</w:t>
      </w:r>
    </w:p>
    <w:p w14:paraId="00FD368B" w14:textId="77777777" w:rsidR="00117AA9" w:rsidRPr="000515C8" w:rsidRDefault="00117AA9" w:rsidP="0019381D">
      <w:pPr>
        <w:spacing w:after="0" w:line="360" w:lineRule="auto"/>
        <w:contextualSpacing/>
        <w:rPr>
          <w:rFonts w:eastAsia="Times New Roman" w:cs="Tahoma"/>
          <w:iCs/>
          <w:color w:val="auto"/>
          <w:lang w:val="es-ES" w:eastAsia="es-ES"/>
        </w:rPr>
      </w:pPr>
    </w:p>
    <w:p w14:paraId="0D223170" w14:textId="72305109" w:rsidR="00117AA9" w:rsidRPr="000515C8" w:rsidRDefault="00117AA9" w:rsidP="0019381D">
      <w:pPr>
        <w:spacing w:after="0" w:line="360" w:lineRule="auto"/>
        <w:contextualSpacing/>
        <w:rPr>
          <w:color w:val="auto"/>
        </w:rPr>
      </w:pPr>
      <w:r w:rsidRPr="000515C8">
        <w:rPr>
          <w:color w:val="auto"/>
        </w:rPr>
        <w:t xml:space="preserve">Se le hace del conocimiento a la Particular, que, en el presente caso, se le concede la razón, toda vez que el Sujeto Obligado no entregó la información </w:t>
      </w:r>
      <w:r w:rsidR="006C0980" w:rsidRPr="000515C8">
        <w:rPr>
          <w:color w:val="auto"/>
        </w:rPr>
        <w:t>requerida</w:t>
      </w:r>
      <w:r w:rsidRPr="000515C8">
        <w:rPr>
          <w:color w:val="auto"/>
        </w:rPr>
        <w:t>, por lo que deberá entregarla vía SAIMEX</w:t>
      </w:r>
    </w:p>
    <w:p w14:paraId="73CF5F57" w14:textId="77777777" w:rsidR="00117AA9" w:rsidRPr="000515C8" w:rsidRDefault="00117AA9" w:rsidP="0019381D">
      <w:pPr>
        <w:spacing w:after="0" w:line="360" w:lineRule="auto"/>
        <w:contextualSpacing/>
        <w:rPr>
          <w:color w:val="auto"/>
        </w:rPr>
      </w:pPr>
    </w:p>
    <w:p w14:paraId="75898726" w14:textId="77777777" w:rsidR="00117AA9" w:rsidRPr="000515C8" w:rsidRDefault="00117AA9" w:rsidP="0019381D">
      <w:pPr>
        <w:spacing w:after="0" w:line="360" w:lineRule="auto"/>
        <w:contextualSpacing/>
        <w:rPr>
          <w:color w:val="auto"/>
        </w:rPr>
      </w:pPr>
      <w:r w:rsidRPr="000515C8">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812ACAC" w14:textId="77777777" w:rsidR="00117AA9" w:rsidRPr="000515C8" w:rsidRDefault="00117AA9" w:rsidP="0019381D">
      <w:pPr>
        <w:spacing w:after="0" w:line="360" w:lineRule="auto"/>
        <w:contextualSpacing/>
        <w:rPr>
          <w:color w:val="auto"/>
        </w:rPr>
      </w:pPr>
    </w:p>
    <w:p w14:paraId="3F7723AB" w14:textId="77777777" w:rsidR="00117AA9" w:rsidRPr="000515C8" w:rsidRDefault="00117AA9" w:rsidP="0019381D">
      <w:pPr>
        <w:spacing w:after="0" w:line="360" w:lineRule="auto"/>
        <w:contextualSpacing/>
        <w:rPr>
          <w:color w:val="auto"/>
        </w:rPr>
      </w:pPr>
      <w:r w:rsidRPr="000515C8">
        <w:rPr>
          <w:color w:val="auto"/>
        </w:rPr>
        <w:t>Por lo expuesto y fundado, este Pleno:</w:t>
      </w:r>
    </w:p>
    <w:p w14:paraId="58A02126" w14:textId="77777777" w:rsidR="00117AA9" w:rsidRPr="000515C8" w:rsidRDefault="00117AA9" w:rsidP="0019381D">
      <w:pPr>
        <w:spacing w:after="0" w:line="360" w:lineRule="auto"/>
        <w:contextualSpacing/>
        <w:rPr>
          <w:color w:val="auto"/>
        </w:rPr>
      </w:pPr>
    </w:p>
    <w:p w14:paraId="12249A54" w14:textId="77777777" w:rsidR="00117AA9" w:rsidRPr="0047171B" w:rsidRDefault="00117AA9" w:rsidP="0047171B">
      <w:pPr>
        <w:pStyle w:val="Ttulo1"/>
        <w:jc w:val="center"/>
        <w:rPr>
          <w:rFonts w:ascii="Palatino Linotype" w:hAnsi="Palatino Linotype"/>
          <w:b/>
          <w:bCs/>
          <w:color w:val="auto"/>
          <w:sz w:val="22"/>
          <w:szCs w:val="22"/>
        </w:rPr>
      </w:pPr>
      <w:bookmarkStart w:id="12" w:name="_Toc219386025"/>
      <w:r w:rsidRPr="0047171B">
        <w:rPr>
          <w:rFonts w:ascii="Palatino Linotype" w:hAnsi="Palatino Linotype"/>
          <w:b/>
          <w:bCs/>
          <w:color w:val="auto"/>
          <w:sz w:val="22"/>
          <w:szCs w:val="22"/>
        </w:rPr>
        <w:t>R E S U E L V E</w:t>
      </w:r>
      <w:bookmarkEnd w:id="12"/>
    </w:p>
    <w:p w14:paraId="21415518" w14:textId="77777777" w:rsidR="00117AA9" w:rsidRPr="000515C8" w:rsidRDefault="00117AA9" w:rsidP="0019381D">
      <w:pPr>
        <w:spacing w:after="0" w:line="360" w:lineRule="auto"/>
        <w:contextualSpacing/>
        <w:jc w:val="center"/>
        <w:rPr>
          <w:b/>
          <w:bCs/>
          <w:color w:val="auto"/>
        </w:rPr>
      </w:pPr>
    </w:p>
    <w:p w14:paraId="626A459F" w14:textId="28721F91" w:rsidR="00117AA9" w:rsidRPr="000515C8" w:rsidRDefault="00117AA9" w:rsidP="0019381D">
      <w:pPr>
        <w:spacing w:after="0" w:line="360" w:lineRule="auto"/>
        <w:contextualSpacing/>
        <w:rPr>
          <w:color w:val="auto"/>
        </w:rPr>
      </w:pPr>
      <w:r w:rsidRPr="000515C8">
        <w:rPr>
          <w:b/>
          <w:bCs/>
          <w:color w:val="auto"/>
        </w:rPr>
        <w:t>PRIMERO.</w:t>
      </w:r>
      <w:r w:rsidRPr="000515C8">
        <w:rPr>
          <w:color w:val="auto"/>
        </w:rPr>
        <w:t xml:space="preserve"> Se </w:t>
      </w:r>
      <w:r w:rsidR="00C41517">
        <w:rPr>
          <w:b/>
          <w:bCs/>
          <w:color w:val="auto"/>
        </w:rPr>
        <w:t xml:space="preserve">MODIFICA </w:t>
      </w:r>
      <w:r w:rsidRPr="000515C8">
        <w:rPr>
          <w:color w:val="auto"/>
        </w:rPr>
        <w:t xml:space="preserve">la respuesta entregada por el </w:t>
      </w:r>
      <w:r w:rsidR="006A2B15" w:rsidRPr="000515C8">
        <w:rPr>
          <w:color w:val="auto"/>
        </w:rPr>
        <w:t xml:space="preserve">Ayuntamiento de </w:t>
      </w:r>
      <w:r w:rsidR="0019381D" w:rsidRPr="000515C8">
        <w:rPr>
          <w:color w:val="auto"/>
        </w:rPr>
        <w:t>Chiconcuac a</w:t>
      </w:r>
      <w:r w:rsidRPr="000515C8">
        <w:rPr>
          <w:color w:val="auto"/>
        </w:rPr>
        <w:t xml:space="preserve"> la solicitud de información</w:t>
      </w:r>
      <w:r w:rsidRPr="000515C8">
        <w:rPr>
          <w:rFonts w:ascii="Verdana" w:hAnsi="Verdana"/>
          <w:color w:val="auto"/>
        </w:rPr>
        <w:t xml:space="preserve"> </w:t>
      </w:r>
      <w:r w:rsidR="00C41517" w:rsidRPr="0019381D">
        <w:rPr>
          <w:bCs/>
          <w:color w:val="auto"/>
        </w:rPr>
        <w:t>00139/CHICONCU/IP/2025</w:t>
      </w:r>
      <w:r w:rsidR="006C0980" w:rsidRPr="0019381D">
        <w:rPr>
          <w:bCs/>
          <w:color w:val="auto"/>
        </w:rPr>
        <w:t xml:space="preserve">, </w:t>
      </w:r>
      <w:r w:rsidRPr="0019381D">
        <w:rPr>
          <w:bCs/>
          <w:color w:val="auto"/>
        </w:rPr>
        <w:t>por</w:t>
      </w:r>
      <w:r w:rsidRPr="000515C8">
        <w:rPr>
          <w:color w:val="auto"/>
        </w:rPr>
        <w:t xml:space="preserve"> resultar </w:t>
      </w:r>
      <w:r w:rsidRPr="000515C8">
        <w:rPr>
          <w:b/>
          <w:bCs/>
          <w:color w:val="auto"/>
        </w:rPr>
        <w:t xml:space="preserve">FUNDADAS </w:t>
      </w:r>
      <w:r w:rsidRPr="000515C8">
        <w:rPr>
          <w:color w:val="auto"/>
        </w:rPr>
        <w:t>las razones o motivos de inconformidad hechos valer por el Recurrente, en términos de los considerandos QUINTO y SEXTO de la presente Resolución.</w:t>
      </w:r>
    </w:p>
    <w:p w14:paraId="21FDBEAE" w14:textId="77777777" w:rsidR="00117AA9" w:rsidRPr="000515C8" w:rsidRDefault="00117AA9" w:rsidP="0019381D">
      <w:pPr>
        <w:spacing w:after="0" w:line="360" w:lineRule="auto"/>
        <w:contextualSpacing/>
        <w:jc w:val="left"/>
        <w:rPr>
          <w:b/>
          <w:bCs/>
          <w:color w:val="auto"/>
        </w:rPr>
      </w:pPr>
    </w:p>
    <w:p w14:paraId="1E88CB7D" w14:textId="4995B94C" w:rsidR="00117AA9" w:rsidRPr="000515C8" w:rsidRDefault="00117AA9" w:rsidP="0019381D">
      <w:pPr>
        <w:spacing w:after="0" w:line="360" w:lineRule="auto"/>
        <w:contextualSpacing/>
        <w:rPr>
          <w:color w:val="auto"/>
        </w:rPr>
      </w:pPr>
      <w:r w:rsidRPr="000515C8">
        <w:rPr>
          <w:b/>
          <w:bCs/>
          <w:color w:val="auto"/>
        </w:rPr>
        <w:t>SEGUNDO</w:t>
      </w:r>
      <w:r w:rsidRPr="000515C8">
        <w:rPr>
          <w:color w:val="auto"/>
        </w:rPr>
        <w:t xml:space="preserve">. Se </w:t>
      </w:r>
      <w:r w:rsidRPr="000515C8">
        <w:rPr>
          <w:b/>
          <w:bCs/>
          <w:color w:val="auto"/>
        </w:rPr>
        <w:t>ORDENA</w:t>
      </w:r>
      <w:r w:rsidRPr="000515C8">
        <w:rPr>
          <w:color w:val="auto"/>
        </w:rPr>
        <w:t xml:space="preserve"> al Sujeto Obligado, a efecto de que previa búsqueda exhaustiva y razonable, en los archivos de las unidades administrativas competentes, entregue a través del Sistema de Acceso a la Información Mexiquense (SAIMEX), en su caso</w:t>
      </w:r>
      <w:r w:rsidR="0019381D">
        <w:rPr>
          <w:color w:val="auto"/>
        </w:rPr>
        <w:t>,</w:t>
      </w:r>
      <w:r w:rsidRPr="000515C8">
        <w:rPr>
          <w:color w:val="auto"/>
        </w:rPr>
        <w:t xml:space="preserve"> en versión </w:t>
      </w:r>
      <w:r w:rsidRPr="000515C8">
        <w:rPr>
          <w:color w:val="auto"/>
        </w:rPr>
        <w:lastRenderedPageBreak/>
        <w:t xml:space="preserve">pública, </w:t>
      </w:r>
      <w:r w:rsidR="0019381D">
        <w:rPr>
          <w:color w:val="auto"/>
        </w:rPr>
        <w:t xml:space="preserve">respecto a las cinco empresas dedicadas a la fabricación de productos metálicos, aludidas en respuesta, </w:t>
      </w:r>
      <w:r w:rsidRPr="000515C8">
        <w:rPr>
          <w:color w:val="auto"/>
        </w:rPr>
        <w:t xml:space="preserve">los documentos donde conste lo siguiente: </w:t>
      </w:r>
    </w:p>
    <w:p w14:paraId="00F34FAF" w14:textId="77777777" w:rsidR="00117AA9" w:rsidRPr="000515C8" w:rsidRDefault="00117AA9" w:rsidP="0019381D">
      <w:pPr>
        <w:spacing w:after="0" w:line="360" w:lineRule="auto"/>
        <w:contextualSpacing/>
        <w:rPr>
          <w:rFonts w:eastAsia="Calibri" w:cs="Times New Roman"/>
          <w:bCs/>
          <w:color w:val="auto"/>
          <w:highlight w:val="cyan"/>
        </w:rPr>
      </w:pPr>
    </w:p>
    <w:p w14:paraId="31ADCF13" w14:textId="32B48BB4" w:rsidR="00AB55DC" w:rsidRPr="000515C8" w:rsidRDefault="0062243B" w:rsidP="0019381D">
      <w:pPr>
        <w:pStyle w:val="Prrafodelista"/>
        <w:numPr>
          <w:ilvl w:val="0"/>
          <w:numId w:val="42"/>
        </w:numPr>
        <w:spacing w:after="0" w:line="360" w:lineRule="auto"/>
        <w:rPr>
          <w:b/>
          <w:bCs/>
          <w:color w:val="auto"/>
        </w:rPr>
      </w:pPr>
      <w:r w:rsidRPr="000515C8">
        <w:rPr>
          <w:color w:val="auto"/>
        </w:rPr>
        <w:t xml:space="preserve">El </w:t>
      </w:r>
      <w:r w:rsidR="00C41517">
        <w:rPr>
          <w:color w:val="auto"/>
        </w:rPr>
        <w:t xml:space="preserve">nombre </w:t>
      </w:r>
      <w:r w:rsidR="0019381D">
        <w:rPr>
          <w:color w:val="auto"/>
        </w:rPr>
        <w:t xml:space="preserve">o </w:t>
      </w:r>
      <w:r w:rsidR="006B6798" w:rsidRPr="000515C8">
        <w:rPr>
          <w:color w:val="auto"/>
        </w:rPr>
        <w:t xml:space="preserve">razón </w:t>
      </w:r>
      <w:r w:rsidR="00CA61FE" w:rsidRPr="000515C8">
        <w:rPr>
          <w:color w:val="auto"/>
        </w:rPr>
        <w:t>social, domicilio</w:t>
      </w:r>
      <w:r w:rsidR="00395324" w:rsidRPr="000515C8">
        <w:rPr>
          <w:color w:val="auto"/>
        </w:rPr>
        <w:t>, teléfono y correo electrónico</w:t>
      </w:r>
      <w:r w:rsidR="00CA61FE">
        <w:rPr>
          <w:color w:val="auto"/>
        </w:rPr>
        <w:t>.</w:t>
      </w:r>
    </w:p>
    <w:p w14:paraId="377AA681" w14:textId="7752719C" w:rsidR="004A10C3" w:rsidRPr="000515C8" w:rsidRDefault="004A10C3" w:rsidP="0019381D">
      <w:pPr>
        <w:spacing w:after="0" w:line="360" w:lineRule="auto"/>
        <w:contextualSpacing/>
        <w:rPr>
          <w:color w:val="auto"/>
        </w:rPr>
      </w:pPr>
    </w:p>
    <w:p w14:paraId="6A612531" w14:textId="2A8F6A78" w:rsidR="009F6194" w:rsidRDefault="009F6194" w:rsidP="0019381D">
      <w:pPr>
        <w:spacing w:after="0" w:line="360" w:lineRule="auto"/>
        <w:contextualSpacing/>
        <w:rPr>
          <w:color w:val="auto"/>
        </w:rPr>
      </w:pPr>
      <w:r w:rsidRPr="000515C8">
        <w:rPr>
          <w:color w:val="auto"/>
        </w:rPr>
        <w:t xml:space="preserve">Además, </w:t>
      </w:r>
      <w:r w:rsidR="00CA61FE">
        <w:rPr>
          <w:color w:val="auto"/>
        </w:rPr>
        <w:t xml:space="preserve">de ser necesario </w:t>
      </w:r>
      <w:r w:rsidRPr="000515C8">
        <w:rPr>
          <w:color w:val="auto"/>
        </w:rPr>
        <w:t>deberá proporcionar el Acuerdo de Clasificación donde el Comité 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14:paraId="52784032" w14:textId="77777777" w:rsidR="00C41517" w:rsidRPr="000515C8" w:rsidRDefault="00C41517" w:rsidP="0019381D">
      <w:pPr>
        <w:spacing w:after="0" w:line="360" w:lineRule="auto"/>
        <w:contextualSpacing/>
        <w:rPr>
          <w:color w:val="auto"/>
        </w:rPr>
      </w:pPr>
    </w:p>
    <w:p w14:paraId="4B5813BD" w14:textId="77777777" w:rsidR="009F6194" w:rsidRPr="000515C8" w:rsidRDefault="009F6194" w:rsidP="0019381D">
      <w:pPr>
        <w:spacing w:after="0" w:line="360" w:lineRule="auto"/>
        <w:contextualSpacing/>
        <w:rPr>
          <w:color w:val="auto"/>
        </w:rPr>
      </w:pPr>
      <w:r w:rsidRPr="000515C8">
        <w:rPr>
          <w:b/>
          <w:bCs/>
          <w:color w:val="auto"/>
        </w:rPr>
        <w:t>TERCERO. NOTIFÍQUESE</w:t>
      </w:r>
      <w:r w:rsidRPr="000515C8">
        <w:rPr>
          <w:color w:val="auto"/>
        </w:rPr>
        <w:t xml:space="preserve"> </w:t>
      </w:r>
      <w:r w:rsidRPr="000515C8">
        <w:rPr>
          <w:b/>
          <w:color w:val="auto"/>
        </w:rPr>
        <w:t>VÍA SAIMEX</w:t>
      </w:r>
      <w:r w:rsidRPr="000515C8">
        <w:rPr>
          <w:color w:val="auto"/>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0CFA23E9" w14:textId="77777777" w:rsidR="009F6194" w:rsidRPr="000515C8" w:rsidRDefault="009F6194" w:rsidP="0019381D">
      <w:pPr>
        <w:spacing w:after="0" w:line="360" w:lineRule="auto"/>
        <w:contextualSpacing/>
        <w:rPr>
          <w:color w:val="auto"/>
        </w:rPr>
      </w:pPr>
    </w:p>
    <w:p w14:paraId="73406AD9" w14:textId="77777777" w:rsidR="009F6194" w:rsidRPr="000515C8" w:rsidRDefault="009F6194" w:rsidP="0019381D">
      <w:pPr>
        <w:spacing w:after="0" w:line="360" w:lineRule="auto"/>
        <w:contextualSpacing/>
        <w:rPr>
          <w:color w:val="auto"/>
        </w:rPr>
      </w:pPr>
      <w:r w:rsidRPr="000515C8">
        <w:rPr>
          <w:color w:val="auto"/>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4FF26F" w14:textId="77777777" w:rsidR="009F6194" w:rsidRPr="000515C8" w:rsidRDefault="009F6194" w:rsidP="0019381D">
      <w:pPr>
        <w:spacing w:after="0" w:line="360" w:lineRule="auto"/>
        <w:contextualSpacing/>
        <w:rPr>
          <w:color w:val="auto"/>
        </w:rPr>
      </w:pPr>
    </w:p>
    <w:p w14:paraId="5B143981" w14:textId="77777777" w:rsidR="009F6194" w:rsidRPr="000515C8" w:rsidRDefault="009F6194" w:rsidP="0019381D">
      <w:pPr>
        <w:spacing w:after="0" w:line="360" w:lineRule="auto"/>
        <w:contextualSpacing/>
        <w:rPr>
          <w:color w:val="auto"/>
        </w:rPr>
      </w:pPr>
      <w:r w:rsidRPr="000515C8">
        <w:rPr>
          <w:b/>
          <w:bCs/>
          <w:color w:val="auto"/>
        </w:rPr>
        <w:t>CUARTO. NOTIFÍQUESE</w:t>
      </w:r>
      <w:r w:rsidRPr="000515C8">
        <w:rPr>
          <w:color w:val="auto"/>
        </w:rPr>
        <w:t xml:space="preserve"> </w:t>
      </w:r>
      <w:r w:rsidRPr="000515C8">
        <w:rPr>
          <w:b/>
          <w:color w:val="auto"/>
        </w:rPr>
        <w:t>VÍA SAIMEX</w:t>
      </w:r>
      <w:r w:rsidRPr="000515C8">
        <w:rPr>
          <w:color w:val="auto"/>
        </w:rPr>
        <w:t xml:space="preserve"> al Recurrente la presente Resolución, asimismo, se hace de su conocimiento que de conformidad con lo establecido en el artículo 196 de la </w:t>
      </w:r>
      <w:r w:rsidRPr="000515C8">
        <w:rPr>
          <w:color w:val="auto"/>
        </w:rPr>
        <w:lastRenderedPageBreak/>
        <w:t xml:space="preserve">Ley de Transparencia y Acceso a la Información Pública del Estado de México y Municipios podrá promover el Juicio de Amparo en los términos de las leyes aplicables. </w:t>
      </w:r>
    </w:p>
    <w:p w14:paraId="31EEF802" w14:textId="77777777" w:rsidR="009F6194" w:rsidRPr="000515C8" w:rsidRDefault="009F6194" w:rsidP="0019381D">
      <w:pPr>
        <w:spacing w:after="0" w:line="360" w:lineRule="auto"/>
        <w:contextualSpacing/>
        <w:rPr>
          <w:color w:val="auto"/>
        </w:rPr>
      </w:pPr>
    </w:p>
    <w:p w14:paraId="37AD3F04" w14:textId="2F6AB931" w:rsidR="009F6194" w:rsidRPr="000515C8" w:rsidRDefault="009F6194" w:rsidP="0019381D">
      <w:pPr>
        <w:spacing w:after="0" w:line="360" w:lineRule="auto"/>
        <w:contextualSpacing/>
        <w:rPr>
          <w:color w:val="auto"/>
        </w:rPr>
      </w:pPr>
      <w:r w:rsidRPr="000515C8">
        <w:rPr>
          <w:color w:val="auto"/>
        </w:rPr>
        <w:t xml:space="preserve">ASÍ LO RESUELVE, POR </w:t>
      </w:r>
      <w:r w:rsidRPr="00F27393">
        <w:rPr>
          <w:b/>
          <w:color w:val="auto"/>
        </w:rPr>
        <w:t>UNANIMIDAD</w:t>
      </w:r>
      <w:r w:rsidRPr="000515C8">
        <w:rPr>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41517">
        <w:rPr>
          <w:color w:val="auto"/>
        </w:rPr>
        <w:t xml:space="preserve">PRIMERA </w:t>
      </w:r>
      <w:r w:rsidRPr="000515C8">
        <w:rPr>
          <w:color w:val="auto"/>
        </w:rPr>
        <w:t xml:space="preserve">SESIÓN ORDINARIA, CELEBRADA EL </w:t>
      </w:r>
      <w:r w:rsidR="00C41517">
        <w:rPr>
          <w:color w:val="auto"/>
        </w:rPr>
        <w:t xml:space="preserve">CATORCE DE </w:t>
      </w:r>
      <w:r w:rsidR="001E2310">
        <w:rPr>
          <w:color w:val="auto"/>
        </w:rPr>
        <w:t>ENERO</w:t>
      </w:r>
      <w:r w:rsidR="00C41517">
        <w:rPr>
          <w:color w:val="auto"/>
        </w:rPr>
        <w:t xml:space="preserve"> </w:t>
      </w:r>
      <w:r w:rsidRPr="000515C8">
        <w:rPr>
          <w:color w:val="auto"/>
        </w:rPr>
        <w:t xml:space="preserve">DE DOS MIL </w:t>
      </w:r>
      <w:r w:rsidR="00C41517">
        <w:rPr>
          <w:color w:val="auto"/>
        </w:rPr>
        <w:t>VEINTISÉIS</w:t>
      </w:r>
      <w:r w:rsidRPr="000515C8">
        <w:rPr>
          <w:color w:val="auto"/>
        </w:rPr>
        <w:t>, ANTE EL SECRETARIO TÉCNICO DEL PLENO, ALEXIS TAPIA RAMÍREZ.</w:t>
      </w:r>
    </w:p>
    <w:p w14:paraId="5B5D8840" w14:textId="77777777" w:rsidR="00C80E91" w:rsidRPr="000515C8" w:rsidRDefault="00C80E91" w:rsidP="0019381D">
      <w:pPr>
        <w:spacing w:after="0" w:line="360" w:lineRule="auto"/>
        <w:contextualSpacing/>
        <w:rPr>
          <w:color w:val="auto"/>
        </w:rPr>
      </w:pPr>
    </w:p>
    <w:p w14:paraId="2E40E681" w14:textId="77777777" w:rsidR="00C80E91" w:rsidRPr="000515C8" w:rsidRDefault="00C80E91" w:rsidP="0019381D">
      <w:pPr>
        <w:spacing w:after="0" w:line="360" w:lineRule="auto"/>
        <w:contextualSpacing/>
        <w:rPr>
          <w:color w:val="auto"/>
        </w:rPr>
      </w:pPr>
    </w:p>
    <w:p w14:paraId="0AD7A1E2" w14:textId="77777777" w:rsidR="00C80E91" w:rsidRPr="000515C8" w:rsidRDefault="00C80E91" w:rsidP="0019381D">
      <w:pPr>
        <w:spacing w:after="0" w:line="360" w:lineRule="auto"/>
        <w:contextualSpacing/>
        <w:rPr>
          <w:color w:val="auto"/>
        </w:rPr>
      </w:pPr>
    </w:p>
    <w:p w14:paraId="0D6A055D" w14:textId="77777777" w:rsidR="00C80E91" w:rsidRPr="000515C8" w:rsidRDefault="00C80E91" w:rsidP="0019381D">
      <w:pPr>
        <w:spacing w:after="0" w:line="360" w:lineRule="auto"/>
        <w:contextualSpacing/>
        <w:rPr>
          <w:color w:val="auto"/>
        </w:rPr>
      </w:pPr>
    </w:p>
    <w:p w14:paraId="375C8558" w14:textId="77777777" w:rsidR="00C80E91" w:rsidRPr="000515C8" w:rsidRDefault="00C80E91" w:rsidP="0019381D">
      <w:pPr>
        <w:spacing w:after="0" w:line="360" w:lineRule="auto"/>
        <w:contextualSpacing/>
        <w:rPr>
          <w:color w:val="auto"/>
        </w:rPr>
      </w:pPr>
    </w:p>
    <w:p w14:paraId="73746286" w14:textId="77777777" w:rsidR="00C80E91" w:rsidRPr="000515C8" w:rsidRDefault="00C80E91" w:rsidP="0019381D">
      <w:pPr>
        <w:spacing w:after="0" w:line="360" w:lineRule="auto"/>
        <w:contextualSpacing/>
        <w:rPr>
          <w:color w:val="auto"/>
        </w:rPr>
      </w:pPr>
    </w:p>
    <w:p w14:paraId="52F49B8D" w14:textId="77777777" w:rsidR="00C80E91" w:rsidRPr="000515C8" w:rsidRDefault="00C80E91" w:rsidP="0019381D">
      <w:pPr>
        <w:spacing w:after="0" w:line="360" w:lineRule="auto"/>
        <w:contextualSpacing/>
        <w:rPr>
          <w:color w:val="auto"/>
        </w:rPr>
      </w:pPr>
    </w:p>
    <w:p w14:paraId="0D004738" w14:textId="77777777" w:rsidR="00C80E91" w:rsidRPr="000515C8" w:rsidRDefault="00C80E91" w:rsidP="0019381D">
      <w:pPr>
        <w:spacing w:after="0" w:line="360" w:lineRule="auto"/>
        <w:contextualSpacing/>
        <w:rPr>
          <w:color w:val="auto"/>
        </w:rPr>
      </w:pPr>
    </w:p>
    <w:p w14:paraId="5EB8DE66" w14:textId="77777777" w:rsidR="00C80E91" w:rsidRPr="000515C8" w:rsidRDefault="00C80E91" w:rsidP="0019381D">
      <w:pPr>
        <w:spacing w:after="0" w:line="360" w:lineRule="auto"/>
        <w:contextualSpacing/>
        <w:rPr>
          <w:color w:val="auto"/>
        </w:rPr>
      </w:pPr>
    </w:p>
    <w:p w14:paraId="7538CB97" w14:textId="77777777" w:rsidR="00C80E91" w:rsidRPr="000515C8" w:rsidRDefault="00C80E91" w:rsidP="0019381D">
      <w:pPr>
        <w:spacing w:after="0" w:line="360" w:lineRule="auto"/>
        <w:contextualSpacing/>
        <w:rPr>
          <w:color w:val="auto"/>
        </w:rPr>
      </w:pPr>
    </w:p>
    <w:p w14:paraId="1EE74636" w14:textId="77777777" w:rsidR="00C80E91" w:rsidRPr="000515C8" w:rsidRDefault="00C80E91" w:rsidP="0019381D">
      <w:pPr>
        <w:spacing w:after="0" w:line="360" w:lineRule="auto"/>
        <w:contextualSpacing/>
        <w:rPr>
          <w:color w:val="auto"/>
        </w:rPr>
      </w:pPr>
    </w:p>
    <w:p w14:paraId="297D3DE4" w14:textId="77777777" w:rsidR="00C80E91" w:rsidRPr="000515C8" w:rsidRDefault="00C80E91" w:rsidP="0019381D">
      <w:pPr>
        <w:spacing w:after="0" w:line="360" w:lineRule="auto"/>
        <w:contextualSpacing/>
        <w:rPr>
          <w:color w:val="auto"/>
        </w:rPr>
      </w:pPr>
    </w:p>
    <w:p w14:paraId="44BC171D" w14:textId="77777777" w:rsidR="00C80E91" w:rsidRPr="000515C8" w:rsidRDefault="00C80E91" w:rsidP="0019381D">
      <w:pPr>
        <w:spacing w:after="0" w:line="360" w:lineRule="auto"/>
        <w:contextualSpacing/>
        <w:rPr>
          <w:color w:val="auto"/>
        </w:rPr>
      </w:pPr>
    </w:p>
    <w:p w14:paraId="7ECF91B7" w14:textId="77777777" w:rsidR="00C80E91" w:rsidRPr="000515C8" w:rsidRDefault="00C80E91" w:rsidP="0019381D">
      <w:pPr>
        <w:spacing w:after="0" w:line="360" w:lineRule="auto"/>
        <w:contextualSpacing/>
        <w:rPr>
          <w:color w:val="auto"/>
        </w:rPr>
      </w:pPr>
    </w:p>
    <w:p w14:paraId="7C16260B" w14:textId="77777777" w:rsidR="00C80E91" w:rsidRPr="000515C8" w:rsidRDefault="00C80E91" w:rsidP="0019381D">
      <w:pPr>
        <w:spacing w:after="0" w:line="360" w:lineRule="auto"/>
        <w:contextualSpacing/>
        <w:rPr>
          <w:color w:val="auto"/>
        </w:rPr>
      </w:pPr>
    </w:p>
    <w:p w14:paraId="78BE6AE7" w14:textId="77777777" w:rsidR="00C80E91" w:rsidRPr="000515C8" w:rsidRDefault="00C80E91" w:rsidP="0019381D">
      <w:pPr>
        <w:spacing w:after="0" w:line="360" w:lineRule="auto"/>
        <w:contextualSpacing/>
        <w:rPr>
          <w:color w:val="auto"/>
        </w:rPr>
      </w:pPr>
    </w:p>
    <w:p w14:paraId="3C182A50" w14:textId="77777777" w:rsidR="00C80E91" w:rsidRPr="000515C8" w:rsidRDefault="00C80E91" w:rsidP="0019381D">
      <w:pPr>
        <w:spacing w:after="0" w:line="360" w:lineRule="auto"/>
        <w:contextualSpacing/>
        <w:rPr>
          <w:color w:val="auto"/>
        </w:rPr>
      </w:pPr>
    </w:p>
    <w:p w14:paraId="0C575193" w14:textId="77777777" w:rsidR="009F6194" w:rsidRPr="000515C8" w:rsidRDefault="009F6194" w:rsidP="0019381D">
      <w:pPr>
        <w:spacing w:after="0" w:line="360" w:lineRule="auto"/>
        <w:contextualSpacing/>
        <w:rPr>
          <w:color w:val="auto"/>
        </w:rPr>
      </w:pPr>
    </w:p>
    <w:p w14:paraId="0CE13512" w14:textId="77777777" w:rsidR="009F6194" w:rsidRPr="000515C8" w:rsidRDefault="009F6194" w:rsidP="0019381D">
      <w:pPr>
        <w:spacing w:after="0" w:line="360" w:lineRule="auto"/>
        <w:contextualSpacing/>
        <w:rPr>
          <w:color w:val="auto"/>
        </w:rPr>
      </w:pPr>
    </w:p>
    <w:p w14:paraId="36BD9DA6" w14:textId="77777777" w:rsidR="009F6194" w:rsidRPr="000515C8" w:rsidRDefault="009F6194" w:rsidP="0019381D">
      <w:pPr>
        <w:spacing w:after="0" w:line="360" w:lineRule="auto"/>
        <w:contextualSpacing/>
        <w:rPr>
          <w:color w:val="auto"/>
        </w:rPr>
      </w:pPr>
    </w:p>
    <w:p w14:paraId="2355C64B" w14:textId="77777777" w:rsidR="009F6194" w:rsidRPr="000515C8" w:rsidRDefault="009F6194" w:rsidP="0019381D">
      <w:pPr>
        <w:spacing w:after="0" w:line="360" w:lineRule="auto"/>
        <w:contextualSpacing/>
        <w:rPr>
          <w:color w:val="auto"/>
        </w:rPr>
      </w:pPr>
    </w:p>
    <w:p w14:paraId="2CA4EEAF" w14:textId="77777777" w:rsidR="009F6194" w:rsidRPr="000515C8" w:rsidRDefault="009F6194" w:rsidP="0019381D">
      <w:pPr>
        <w:spacing w:after="0" w:line="360" w:lineRule="auto"/>
        <w:contextualSpacing/>
        <w:rPr>
          <w:color w:val="auto"/>
        </w:rPr>
      </w:pPr>
    </w:p>
    <w:p w14:paraId="4E657555" w14:textId="77777777" w:rsidR="009F6194" w:rsidRPr="000515C8" w:rsidRDefault="009F6194" w:rsidP="0019381D">
      <w:pPr>
        <w:spacing w:after="0" w:line="360" w:lineRule="auto"/>
        <w:contextualSpacing/>
        <w:rPr>
          <w:color w:val="auto"/>
        </w:rPr>
      </w:pPr>
    </w:p>
    <w:p w14:paraId="25531BD7" w14:textId="77777777" w:rsidR="009F6194" w:rsidRPr="000515C8" w:rsidRDefault="009F6194" w:rsidP="0019381D">
      <w:pPr>
        <w:spacing w:after="0" w:line="360" w:lineRule="auto"/>
        <w:contextualSpacing/>
        <w:rPr>
          <w:color w:val="auto"/>
        </w:rPr>
      </w:pPr>
    </w:p>
    <w:p w14:paraId="005FD868" w14:textId="77777777" w:rsidR="009F6194" w:rsidRPr="000515C8" w:rsidRDefault="009F6194" w:rsidP="0019381D">
      <w:pPr>
        <w:spacing w:after="0" w:line="360" w:lineRule="auto"/>
        <w:contextualSpacing/>
        <w:rPr>
          <w:color w:val="auto"/>
        </w:rPr>
      </w:pPr>
    </w:p>
    <w:p w14:paraId="30DD6A34" w14:textId="39402289" w:rsidR="004A10C3" w:rsidRPr="000515C8" w:rsidRDefault="004A10C3" w:rsidP="0019381D">
      <w:pPr>
        <w:spacing w:after="0" w:line="360" w:lineRule="auto"/>
        <w:contextualSpacing/>
        <w:rPr>
          <w:color w:val="auto"/>
        </w:rPr>
      </w:pPr>
    </w:p>
    <w:p w14:paraId="6C79ACD8" w14:textId="12E8DAD3" w:rsidR="004A10C3" w:rsidRPr="000515C8" w:rsidRDefault="004A10C3" w:rsidP="0019381D">
      <w:pPr>
        <w:spacing w:after="0" w:line="360" w:lineRule="auto"/>
        <w:contextualSpacing/>
        <w:rPr>
          <w:color w:val="auto"/>
        </w:rPr>
      </w:pPr>
    </w:p>
    <w:p w14:paraId="0A1F89FA" w14:textId="76FCED92" w:rsidR="004A10C3" w:rsidRPr="000515C8" w:rsidRDefault="004A10C3" w:rsidP="0019381D">
      <w:pPr>
        <w:spacing w:after="0" w:line="360" w:lineRule="auto"/>
        <w:contextualSpacing/>
        <w:rPr>
          <w:color w:val="auto"/>
        </w:rPr>
      </w:pPr>
    </w:p>
    <w:p w14:paraId="6032EB41" w14:textId="1C780823" w:rsidR="004A10C3" w:rsidRPr="000515C8" w:rsidRDefault="004A10C3" w:rsidP="0019381D">
      <w:pPr>
        <w:spacing w:after="0" w:line="360" w:lineRule="auto"/>
        <w:contextualSpacing/>
        <w:rPr>
          <w:color w:val="auto"/>
        </w:rPr>
      </w:pPr>
    </w:p>
    <w:sectPr w:rsidR="004A10C3" w:rsidRPr="000515C8" w:rsidSect="00661311">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57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1C6CC" w14:textId="77777777" w:rsidR="001C2982" w:rsidRDefault="001C2982" w:rsidP="00F505D5">
      <w:pPr>
        <w:spacing w:after="0" w:line="240" w:lineRule="auto"/>
      </w:pPr>
      <w:r>
        <w:separator/>
      </w:r>
    </w:p>
  </w:endnote>
  <w:endnote w:type="continuationSeparator" w:id="0">
    <w:p w14:paraId="10A053AF" w14:textId="77777777" w:rsidR="001C2982" w:rsidRDefault="001C2982" w:rsidP="00F5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399054"/>
      <w:docPartObj>
        <w:docPartGallery w:val="Page Numbers (Bottom of Page)"/>
        <w:docPartUnique/>
      </w:docPartObj>
    </w:sdtPr>
    <w:sdtContent>
      <w:sdt>
        <w:sdtPr>
          <w:id w:val="1261569716"/>
          <w:docPartObj>
            <w:docPartGallery w:val="Page Numbers (Top of Page)"/>
            <w:docPartUnique/>
          </w:docPartObj>
        </w:sdtPr>
        <w:sdtContent>
          <w:p w14:paraId="5851F8BA" w14:textId="77777777" w:rsidR="0044742B" w:rsidRDefault="0044742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15CA2">
              <w:rPr>
                <w:b/>
                <w:bCs/>
                <w:noProof/>
              </w:rPr>
              <w:t>36</w:t>
            </w:r>
            <w:r>
              <w:rPr>
                <w:b/>
                <w:bCs/>
                <w:sz w:val="24"/>
                <w:szCs w:val="24"/>
              </w:rPr>
              <w:fldChar w:fldCharType="end"/>
            </w:r>
          </w:p>
        </w:sdtContent>
      </w:sdt>
    </w:sdtContent>
  </w:sdt>
  <w:p w14:paraId="5BBFD5E7" w14:textId="77777777" w:rsidR="0044742B" w:rsidRDefault="004474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14:paraId="1FE24EC2" w14:textId="77777777" w:rsidR="0044742B" w:rsidRDefault="0044742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15CA2">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15CA2">
              <w:rPr>
                <w:b/>
                <w:bCs/>
                <w:noProof/>
              </w:rPr>
              <w:t>36</w:t>
            </w:r>
            <w:r>
              <w:rPr>
                <w:b/>
                <w:bCs/>
                <w:sz w:val="24"/>
                <w:szCs w:val="24"/>
              </w:rPr>
              <w:fldChar w:fldCharType="end"/>
            </w:r>
          </w:p>
        </w:sdtContent>
      </w:sdt>
    </w:sdtContent>
  </w:sdt>
  <w:p w14:paraId="47F426D1" w14:textId="77777777" w:rsidR="0044742B" w:rsidRDefault="0044742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0841749"/>
      <w:docPartObj>
        <w:docPartGallery w:val="Page Numbers (Bottom of Page)"/>
        <w:docPartUnique/>
      </w:docPartObj>
    </w:sdtPr>
    <w:sdtContent>
      <w:sdt>
        <w:sdtPr>
          <w:id w:val="2049646426"/>
          <w:docPartObj>
            <w:docPartGallery w:val="Page Numbers (Top of Page)"/>
            <w:docPartUnique/>
          </w:docPartObj>
        </w:sdtPr>
        <w:sdtContent>
          <w:p w14:paraId="7F5315F4" w14:textId="77777777" w:rsidR="0044742B" w:rsidRDefault="0044742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15CA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15CA2">
              <w:rPr>
                <w:b/>
                <w:bCs/>
                <w:noProof/>
              </w:rPr>
              <w:t>36</w:t>
            </w:r>
            <w:r>
              <w:rPr>
                <w:b/>
                <w:bCs/>
                <w:sz w:val="24"/>
                <w:szCs w:val="24"/>
              </w:rPr>
              <w:fldChar w:fldCharType="end"/>
            </w:r>
          </w:p>
        </w:sdtContent>
      </w:sdt>
    </w:sdtContent>
  </w:sdt>
  <w:p w14:paraId="317E36CA" w14:textId="77777777" w:rsidR="0044742B" w:rsidRDefault="004474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740CD" w14:textId="77777777" w:rsidR="001C2982" w:rsidRDefault="001C2982" w:rsidP="00F505D5">
      <w:pPr>
        <w:spacing w:after="0" w:line="240" w:lineRule="auto"/>
      </w:pPr>
      <w:r>
        <w:separator/>
      </w:r>
    </w:p>
  </w:footnote>
  <w:footnote w:type="continuationSeparator" w:id="0">
    <w:p w14:paraId="325B74D1" w14:textId="77777777" w:rsidR="001C2982" w:rsidRDefault="001C2982" w:rsidP="00F50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44742B" w:rsidRPr="00E152D8" w14:paraId="4BF64706" w14:textId="77777777" w:rsidTr="00FE373C">
      <w:trPr>
        <w:trHeight w:val="132"/>
      </w:trPr>
      <w:tc>
        <w:tcPr>
          <w:tcW w:w="2691" w:type="dxa"/>
        </w:tcPr>
        <w:p w14:paraId="35045B20" w14:textId="77777777" w:rsidR="0044742B" w:rsidRPr="00E152D8" w:rsidRDefault="0044742B" w:rsidP="00FE373C">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0328B6B7" w14:textId="77777777" w:rsidR="0044742B" w:rsidRPr="00EE1572" w:rsidRDefault="0044742B" w:rsidP="00FE373C">
          <w:pPr>
            <w:tabs>
              <w:tab w:val="right" w:pos="8838"/>
            </w:tabs>
            <w:ind w:left="-28" w:right="-32"/>
            <w:rPr>
              <w:rFonts w:eastAsia="Calibri" w:cs="Tahoma"/>
            </w:rPr>
          </w:pPr>
          <w:r w:rsidRPr="00EE1572">
            <w:rPr>
              <w:rFonts w:eastAsia="Calibri" w:cs="Tahoma"/>
            </w:rPr>
            <w:t>03846/INFOEM/IP/RR/2020</w:t>
          </w:r>
        </w:p>
      </w:tc>
    </w:tr>
    <w:tr w:rsidR="0044742B" w:rsidRPr="00E152D8" w14:paraId="51D73A37" w14:textId="77777777" w:rsidTr="00FE373C">
      <w:trPr>
        <w:trHeight w:val="261"/>
      </w:trPr>
      <w:tc>
        <w:tcPr>
          <w:tcW w:w="2691" w:type="dxa"/>
        </w:tcPr>
        <w:p w14:paraId="420F8208" w14:textId="77777777" w:rsidR="0044742B" w:rsidRPr="00E152D8" w:rsidRDefault="0044742B" w:rsidP="00FE373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67FC3702" w14:textId="77777777" w:rsidR="0044742B" w:rsidRPr="00EE1572" w:rsidRDefault="0044742B" w:rsidP="00FE373C">
          <w:pPr>
            <w:tabs>
              <w:tab w:val="right" w:pos="8838"/>
            </w:tabs>
            <w:ind w:right="-32"/>
            <w:rPr>
              <w:rFonts w:eastAsia="Calibri" w:cs="Tahoma"/>
              <w:lang w:val="es-MX"/>
            </w:rPr>
          </w:pPr>
          <w:r>
            <w:rPr>
              <w:rFonts w:eastAsia="Calibri" w:cs="Tahoma"/>
              <w:lang w:val="es-MX"/>
            </w:rPr>
            <w:t>Ayuntamiento de Valle de Chalco Solidaridad</w:t>
          </w:r>
        </w:p>
      </w:tc>
    </w:tr>
    <w:tr w:rsidR="0044742B" w:rsidRPr="00E152D8" w14:paraId="35303E25" w14:textId="77777777" w:rsidTr="00FE373C">
      <w:trPr>
        <w:trHeight w:val="261"/>
      </w:trPr>
      <w:tc>
        <w:tcPr>
          <w:tcW w:w="2691" w:type="dxa"/>
        </w:tcPr>
        <w:p w14:paraId="48E13ECD" w14:textId="77777777" w:rsidR="0044742B" w:rsidRPr="00E152D8" w:rsidRDefault="0044742B" w:rsidP="00FE373C">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04330AC1" w14:textId="77777777" w:rsidR="0044742B" w:rsidRPr="00E152D8" w:rsidRDefault="0044742B" w:rsidP="00FE373C">
          <w:pPr>
            <w:tabs>
              <w:tab w:val="right" w:pos="8838"/>
            </w:tabs>
            <w:ind w:right="-32"/>
            <w:rPr>
              <w:rFonts w:eastAsia="Calibri" w:cs="Tahoma"/>
              <w:b/>
              <w:lang w:val="es-MX"/>
            </w:rPr>
          </w:pPr>
          <w:r w:rsidRPr="00E152D8">
            <w:rPr>
              <w:rFonts w:eastAsia="Calibri" w:cs="Tahoma"/>
              <w:lang w:val="es-MX"/>
            </w:rPr>
            <w:t>Luis Gustavo Parra Noriega</w:t>
          </w:r>
        </w:p>
      </w:tc>
    </w:tr>
  </w:tbl>
  <w:p w14:paraId="16CCD57B" w14:textId="77777777" w:rsidR="0044742B" w:rsidRDefault="00000000">
    <w:pPr>
      <w:pStyle w:val="Encabezado"/>
    </w:pPr>
    <w:r>
      <w:rPr>
        <w:noProof/>
      </w:rPr>
      <w:pict w14:anchorId="0C34D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E837F" w14:textId="77777777" w:rsidR="0044742B" w:rsidRDefault="0044742B"/>
  <w:tbl>
    <w:tblPr>
      <w:tblStyle w:val="Tablaconcuadrcula"/>
      <w:tblW w:w="6096"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544"/>
    </w:tblGrid>
    <w:tr w:rsidR="0044742B" w:rsidRPr="00E152D8" w14:paraId="74758C19" w14:textId="77777777" w:rsidTr="00395324">
      <w:trPr>
        <w:trHeight w:val="138"/>
      </w:trPr>
      <w:tc>
        <w:tcPr>
          <w:tcW w:w="2552" w:type="dxa"/>
          <w:vAlign w:val="center"/>
        </w:tcPr>
        <w:p w14:paraId="1F1B1239" w14:textId="77777777" w:rsidR="0044742B" w:rsidRPr="00E152D8" w:rsidRDefault="0044742B" w:rsidP="00FE373C">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14:paraId="6C96E900" w14:textId="235B2C2C" w:rsidR="0044742B" w:rsidRPr="00051642" w:rsidRDefault="0044742B" w:rsidP="0046693C">
          <w:pPr>
            <w:tabs>
              <w:tab w:val="right" w:pos="8838"/>
            </w:tabs>
            <w:ind w:left="-28" w:right="-32"/>
            <w:rPr>
              <w:rFonts w:eastAsia="Calibri" w:cs="Tahoma"/>
            </w:rPr>
          </w:pPr>
          <w:r>
            <w:rPr>
              <w:color w:val="000000"/>
            </w:rPr>
            <w:t>13</w:t>
          </w:r>
          <w:r w:rsidR="006A2B15">
            <w:rPr>
              <w:color w:val="000000"/>
            </w:rPr>
            <w:t>371</w:t>
          </w:r>
          <w:r>
            <w:rPr>
              <w:color w:val="000000"/>
            </w:rPr>
            <w:t>/INFOEM/IP/RR/2025</w:t>
          </w:r>
        </w:p>
      </w:tc>
    </w:tr>
    <w:tr w:rsidR="0044742B" w:rsidRPr="00E152D8" w14:paraId="4E8C018F" w14:textId="77777777" w:rsidTr="00395324">
      <w:trPr>
        <w:trHeight w:val="273"/>
      </w:trPr>
      <w:tc>
        <w:tcPr>
          <w:tcW w:w="2552" w:type="dxa"/>
        </w:tcPr>
        <w:p w14:paraId="5C8C98E3" w14:textId="77777777" w:rsidR="0044742B" w:rsidRPr="00E152D8" w:rsidRDefault="0044742B" w:rsidP="00FE373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14:paraId="18D21568" w14:textId="541091A6" w:rsidR="0044742B" w:rsidRPr="00051642" w:rsidRDefault="006A2B15" w:rsidP="00FE373C">
          <w:pPr>
            <w:tabs>
              <w:tab w:val="right" w:pos="8838"/>
            </w:tabs>
            <w:ind w:left="-28" w:right="-32"/>
            <w:rPr>
              <w:rFonts w:eastAsia="Calibri" w:cs="Tahoma"/>
              <w:lang w:val="es-MX"/>
            </w:rPr>
          </w:pPr>
          <w:r>
            <w:rPr>
              <w:color w:val="000000"/>
            </w:rPr>
            <w:t>Ayuntamiento de Chiconcuac</w:t>
          </w:r>
        </w:p>
      </w:tc>
    </w:tr>
    <w:tr w:rsidR="0044742B" w:rsidRPr="00E152D8" w14:paraId="5C07CDF3" w14:textId="77777777" w:rsidTr="00395324">
      <w:trPr>
        <w:trHeight w:val="273"/>
      </w:trPr>
      <w:tc>
        <w:tcPr>
          <w:tcW w:w="2552" w:type="dxa"/>
        </w:tcPr>
        <w:p w14:paraId="6C24AF6D" w14:textId="77777777" w:rsidR="0044742B" w:rsidRPr="00E152D8" w:rsidRDefault="0044742B" w:rsidP="00FE373C">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14:paraId="566AD8B0" w14:textId="77777777" w:rsidR="0044742B" w:rsidRPr="00E152D8" w:rsidRDefault="0044742B" w:rsidP="00FE373C">
          <w:pPr>
            <w:tabs>
              <w:tab w:val="right" w:pos="8838"/>
            </w:tabs>
            <w:ind w:left="-28" w:right="-32"/>
            <w:rPr>
              <w:rFonts w:eastAsia="Calibri" w:cs="Tahoma"/>
              <w:b/>
              <w:lang w:val="es-MX"/>
            </w:rPr>
          </w:pPr>
          <w:r w:rsidRPr="00E152D8">
            <w:rPr>
              <w:rFonts w:eastAsia="Calibri" w:cs="Tahoma"/>
              <w:lang w:val="es-MX"/>
            </w:rPr>
            <w:t>Luis Gustavo Parra Noriega</w:t>
          </w:r>
        </w:p>
      </w:tc>
    </w:tr>
  </w:tbl>
  <w:p w14:paraId="3274C057" w14:textId="77777777" w:rsidR="0044742B" w:rsidRDefault="00000000" w:rsidP="00FE373C">
    <w:pPr>
      <w:pStyle w:val="Encabezado"/>
    </w:pPr>
    <w:r>
      <w:rPr>
        <w:noProof/>
      </w:rPr>
      <w:pict w14:anchorId="622CB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84.6pt;margin-top:-122.95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6804"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44742B" w:rsidRPr="00E152D8" w14:paraId="2F7E0926" w14:textId="77777777" w:rsidTr="00661311">
      <w:trPr>
        <w:trHeight w:val="132"/>
      </w:trPr>
      <w:tc>
        <w:tcPr>
          <w:tcW w:w="2552" w:type="dxa"/>
        </w:tcPr>
        <w:p w14:paraId="220F9D9A" w14:textId="77777777" w:rsidR="0044742B" w:rsidRPr="00E152D8" w:rsidRDefault="0044742B" w:rsidP="00FE373C">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4252" w:type="dxa"/>
        </w:tcPr>
        <w:p w14:paraId="4C1DD4EB" w14:textId="40252424" w:rsidR="0044742B" w:rsidRPr="00051642" w:rsidRDefault="0044742B" w:rsidP="00FE373C">
          <w:pPr>
            <w:tabs>
              <w:tab w:val="right" w:pos="8838"/>
            </w:tabs>
            <w:ind w:left="-111" w:right="-32"/>
            <w:rPr>
              <w:rFonts w:eastAsia="Calibri" w:cs="Tahoma"/>
            </w:rPr>
          </w:pPr>
          <w:r>
            <w:rPr>
              <w:color w:val="000000"/>
            </w:rPr>
            <w:t>13</w:t>
          </w:r>
          <w:r w:rsidR="006A2B15">
            <w:rPr>
              <w:color w:val="000000"/>
            </w:rPr>
            <w:t>371</w:t>
          </w:r>
          <w:r>
            <w:rPr>
              <w:color w:val="000000"/>
            </w:rPr>
            <w:t>/INFOEM/IP/RR/2025</w:t>
          </w:r>
        </w:p>
      </w:tc>
    </w:tr>
    <w:tr w:rsidR="0044742B" w:rsidRPr="00E152D8" w14:paraId="34B96503" w14:textId="77777777" w:rsidTr="00661311">
      <w:trPr>
        <w:trHeight w:val="132"/>
      </w:trPr>
      <w:tc>
        <w:tcPr>
          <w:tcW w:w="2552" w:type="dxa"/>
        </w:tcPr>
        <w:p w14:paraId="1131BF1D" w14:textId="77777777" w:rsidR="0044742B" w:rsidRPr="00E152D8" w:rsidRDefault="0044742B" w:rsidP="00FE373C">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2" w:type="dxa"/>
        </w:tcPr>
        <w:p w14:paraId="3C7D79E0" w14:textId="09AD3D6D" w:rsidR="0044742B" w:rsidRPr="00E152D8" w:rsidRDefault="000622EA" w:rsidP="00661311">
          <w:pPr>
            <w:tabs>
              <w:tab w:val="right" w:pos="8838"/>
            </w:tabs>
            <w:ind w:left="-111" w:right="1161"/>
            <w:rPr>
              <w:rFonts w:eastAsia="Calibri" w:cs="Tahoma"/>
              <w:lang w:val="es-MX"/>
            </w:rPr>
          </w:pPr>
          <w:r w:rsidRPr="000622EA">
            <w:rPr>
              <w:rFonts w:eastAsia="Calibri" w:cs="Tahoma"/>
              <w:highlight w:val="black"/>
              <w:lang w:val="es-MX"/>
            </w:rPr>
            <w:t>XXXXXXXXXXXXXXXXXXXXXXXXX</w:t>
          </w:r>
        </w:p>
      </w:tc>
    </w:tr>
    <w:tr w:rsidR="0044742B" w:rsidRPr="00E152D8" w14:paraId="656021A6" w14:textId="77777777" w:rsidTr="00661311">
      <w:trPr>
        <w:trHeight w:val="261"/>
      </w:trPr>
      <w:tc>
        <w:tcPr>
          <w:tcW w:w="2552" w:type="dxa"/>
        </w:tcPr>
        <w:p w14:paraId="4764E760" w14:textId="77777777" w:rsidR="0044742B" w:rsidRPr="00E152D8" w:rsidRDefault="0044742B" w:rsidP="00FE373C">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50D2C10" w14:textId="7DFE7643" w:rsidR="0044742B" w:rsidRPr="0046693C" w:rsidRDefault="006A2B15" w:rsidP="0046693C">
          <w:pPr>
            <w:tabs>
              <w:tab w:val="right" w:pos="8838"/>
            </w:tabs>
            <w:ind w:left="-111" w:right="-32"/>
            <w:rPr>
              <w:color w:val="000000"/>
            </w:rPr>
          </w:pPr>
          <w:r>
            <w:rPr>
              <w:color w:val="000000"/>
            </w:rPr>
            <w:t>Ayuntamiento de Chiconcuac</w:t>
          </w:r>
        </w:p>
      </w:tc>
    </w:tr>
    <w:tr w:rsidR="0044742B" w:rsidRPr="00E152D8" w14:paraId="05DD2781" w14:textId="77777777" w:rsidTr="00661311">
      <w:trPr>
        <w:trHeight w:val="261"/>
      </w:trPr>
      <w:tc>
        <w:tcPr>
          <w:tcW w:w="2552" w:type="dxa"/>
        </w:tcPr>
        <w:p w14:paraId="33F7D438" w14:textId="77777777" w:rsidR="0044742B" w:rsidRPr="00E152D8" w:rsidRDefault="0044742B" w:rsidP="00FE373C">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459525EF" w14:textId="77777777" w:rsidR="0044742B" w:rsidRPr="00E152D8" w:rsidRDefault="0044742B" w:rsidP="00FE373C">
          <w:pPr>
            <w:tabs>
              <w:tab w:val="right" w:pos="8838"/>
            </w:tabs>
            <w:ind w:left="-111" w:right="-32"/>
            <w:rPr>
              <w:rFonts w:eastAsia="Calibri" w:cs="Tahoma"/>
              <w:b/>
              <w:lang w:val="es-MX"/>
            </w:rPr>
          </w:pPr>
          <w:r w:rsidRPr="00E152D8">
            <w:rPr>
              <w:rFonts w:eastAsia="Calibri" w:cs="Tahoma"/>
              <w:lang w:val="es-MX"/>
            </w:rPr>
            <w:t>Luis Gustavo Parra Noriega</w:t>
          </w:r>
        </w:p>
      </w:tc>
    </w:tr>
  </w:tbl>
  <w:p w14:paraId="10414600" w14:textId="77777777" w:rsidR="0044742B" w:rsidRDefault="00000000" w:rsidP="00FE373C">
    <w:pPr>
      <w:pStyle w:val="Encabezado"/>
      <w:tabs>
        <w:tab w:val="left" w:pos="5812"/>
      </w:tabs>
    </w:pPr>
    <w:r>
      <w:rPr>
        <w:noProof/>
      </w:rPr>
      <w:pict w14:anchorId="68699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 style="position:absolute;left:0;text-align:left;margin-left:-82.4pt;margin-top:-131.9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3F0F08"/>
    <w:multiLevelType w:val="hybridMultilevel"/>
    <w:tmpl w:val="AA445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B35542"/>
    <w:multiLevelType w:val="multilevel"/>
    <w:tmpl w:val="A9B2A7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7B60315"/>
    <w:multiLevelType w:val="hybridMultilevel"/>
    <w:tmpl w:val="DEDE9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D55AB"/>
    <w:multiLevelType w:val="hybridMultilevel"/>
    <w:tmpl w:val="A094F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1D56EF"/>
    <w:multiLevelType w:val="hybridMultilevel"/>
    <w:tmpl w:val="A860F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066C8D"/>
    <w:multiLevelType w:val="hybridMultilevel"/>
    <w:tmpl w:val="5446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F0BFE"/>
    <w:multiLevelType w:val="hybridMultilevel"/>
    <w:tmpl w:val="A992FB26"/>
    <w:lvl w:ilvl="0" w:tplc="AA4216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7A67EF"/>
    <w:multiLevelType w:val="hybridMultilevel"/>
    <w:tmpl w:val="0418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D710367"/>
    <w:multiLevelType w:val="hybridMultilevel"/>
    <w:tmpl w:val="4D1CC1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2E82B87"/>
    <w:multiLevelType w:val="hybridMultilevel"/>
    <w:tmpl w:val="1AC41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4E85F19"/>
    <w:multiLevelType w:val="hybridMultilevel"/>
    <w:tmpl w:val="FA1E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54C49"/>
    <w:multiLevelType w:val="hybridMultilevel"/>
    <w:tmpl w:val="8CDC71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5F3C87"/>
    <w:multiLevelType w:val="multilevel"/>
    <w:tmpl w:val="A9B2A7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3D680D76"/>
    <w:multiLevelType w:val="hybridMultilevel"/>
    <w:tmpl w:val="9F64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D3523"/>
    <w:multiLevelType w:val="hybridMultilevel"/>
    <w:tmpl w:val="6C8C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D7FD1"/>
    <w:multiLevelType w:val="hybridMultilevel"/>
    <w:tmpl w:val="AA4CC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4BDE51EB"/>
    <w:multiLevelType w:val="hybridMultilevel"/>
    <w:tmpl w:val="DCD0C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005937"/>
    <w:multiLevelType w:val="hybridMultilevel"/>
    <w:tmpl w:val="9D22BE8E"/>
    <w:lvl w:ilvl="0" w:tplc="080A0001">
      <w:start w:val="1"/>
      <w:numFmt w:val="bullet"/>
      <w:lvlText w:val=""/>
      <w:lvlJc w:val="left"/>
      <w:pPr>
        <w:ind w:left="2871" w:hanging="360"/>
      </w:pPr>
      <w:rPr>
        <w:rFonts w:ascii="Symbol" w:hAnsi="Symbol" w:hint="default"/>
      </w:rPr>
    </w:lvl>
    <w:lvl w:ilvl="1" w:tplc="080A0003" w:tentative="1">
      <w:start w:val="1"/>
      <w:numFmt w:val="bullet"/>
      <w:lvlText w:val="o"/>
      <w:lvlJc w:val="left"/>
      <w:pPr>
        <w:ind w:left="3591" w:hanging="360"/>
      </w:pPr>
      <w:rPr>
        <w:rFonts w:ascii="Courier New" w:hAnsi="Courier New" w:cs="Courier New" w:hint="default"/>
      </w:rPr>
    </w:lvl>
    <w:lvl w:ilvl="2" w:tplc="080A0005" w:tentative="1">
      <w:start w:val="1"/>
      <w:numFmt w:val="bullet"/>
      <w:lvlText w:val=""/>
      <w:lvlJc w:val="left"/>
      <w:pPr>
        <w:ind w:left="4311" w:hanging="360"/>
      </w:pPr>
      <w:rPr>
        <w:rFonts w:ascii="Wingdings" w:hAnsi="Wingdings" w:hint="default"/>
      </w:rPr>
    </w:lvl>
    <w:lvl w:ilvl="3" w:tplc="080A0001" w:tentative="1">
      <w:start w:val="1"/>
      <w:numFmt w:val="bullet"/>
      <w:lvlText w:val=""/>
      <w:lvlJc w:val="left"/>
      <w:pPr>
        <w:ind w:left="5031" w:hanging="360"/>
      </w:pPr>
      <w:rPr>
        <w:rFonts w:ascii="Symbol" w:hAnsi="Symbol" w:hint="default"/>
      </w:rPr>
    </w:lvl>
    <w:lvl w:ilvl="4" w:tplc="080A0003" w:tentative="1">
      <w:start w:val="1"/>
      <w:numFmt w:val="bullet"/>
      <w:lvlText w:val="o"/>
      <w:lvlJc w:val="left"/>
      <w:pPr>
        <w:ind w:left="5751" w:hanging="360"/>
      </w:pPr>
      <w:rPr>
        <w:rFonts w:ascii="Courier New" w:hAnsi="Courier New" w:cs="Courier New" w:hint="default"/>
      </w:rPr>
    </w:lvl>
    <w:lvl w:ilvl="5" w:tplc="080A0005" w:tentative="1">
      <w:start w:val="1"/>
      <w:numFmt w:val="bullet"/>
      <w:lvlText w:val=""/>
      <w:lvlJc w:val="left"/>
      <w:pPr>
        <w:ind w:left="6471" w:hanging="360"/>
      </w:pPr>
      <w:rPr>
        <w:rFonts w:ascii="Wingdings" w:hAnsi="Wingdings" w:hint="default"/>
      </w:rPr>
    </w:lvl>
    <w:lvl w:ilvl="6" w:tplc="080A0001" w:tentative="1">
      <w:start w:val="1"/>
      <w:numFmt w:val="bullet"/>
      <w:lvlText w:val=""/>
      <w:lvlJc w:val="left"/>
      <w:pPr>
        <w:ind w:left="7191" w:hanging="360"/>
      </w:pPr>
      <w:rPr>
        <w:rFonts w:ascii="Symbol" w:hAnsi="Symbol" w:hint="default"/>
      </w:rPr>
    </w:lvl>
    <w:lvl w:ilvl="7" w:tplc="080A0003" w:tentative="1">
      <w:start w:val="1"/>
      <w:numFmt w:val="bullet"/>
      <w:lvlText w:val="o"/>
      <w:lvlJc w:val="left"/>
      <w:pPr>
        <w:ind w:left="7911" w:hanging="360"/>
      </w:pPr>
      <w:rPr>
        <w:rFonts w:ascii="Courier New" w:hAnsi="Courier New" w:cs="Courier New" w:hint="default"/>
      </w:rPr>
    </w:lvl>
    <w:lvl w:ilvl="8" w:tplc="080A0005" w:tentative="1">
      <w:start w:val="1"/>
      <w:numFmt w:val="bullet"/>
      <w:lvlText w:val=""/>
      <w:lvlJc w:val="left"/>
      <w:pPr>
        <w:ind w:left="8631" w:hanging="360"/>
      </w:pPr>
      <w:rPr>
        <w:rFonts w:ascii="Wingdings" w:hAnsi="Wingdings" w:hint="default"/>
      </w:rPr>
    </w:lvl>
  </w:abstractNum>
  <w:abstractNum w:abstractNumId="28" w15:restartNumberingAfterBreak="0">
    <w:nsid w:val="512F3F5A"/>
    <w:multiLevelType w:val="hybridMultilevel"/>
    <w:tmpl w:val="3D1EF3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D76DB7"/>
    <w:multiLevelType w:val="hybridMultilevel"/>
    <w:tmpl w:val="E606FE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4C130FE"/>
    <w:multiLevelType w:val="hybridMultilevel"/>
    <w:tmpl w:val="12CA4730"/>
    <w:lvl w:ilvl="0" w:tplc="98B86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5E25F1"/>
    <w:multiLevelType w:val="hybridMultilevel"/>
    <w:tmpl w:val="A080D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AA0AE4"/>
    <w:multiLevelType w:val="hybridMultilevel"/>
    <w:tmpl w:val="EB62D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A150BB"/>
    <w:multiLevelType w:val="hybridMultilevel"/>
    <w:tmpl w:val="D6228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791F66D9"/>
    <w:multiLevelType w:val="hybridMultilevel"/>
    <w:tmpl w:val="B7D29946"/>
    <w:lvl w:ilvl="0" w:tplc="1FFC79E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827285166">
    <w:abstractNumId w:val="13"/>
  </w:num>
  <w:num w:numId="2" w16cid:durableId="430244908">
    <w:abstractNumId w:val="37"/>
  </w:num>
  <w:num w:numId="3" w16cid:durableId="3387763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4973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266009">
    <w:abstractNumId w:val="35"/>
  </w:num>
  <w:num w:numId="6" w16cid:durableId="1199702575">
    <w:abstractNumId w:val="6"/>
  </w:num>
  <w:num w:numId="7" w16cid:durableId="1221089302">
    <w:abstractNumId w:val="27"/>
  </w:num>
  <w:num w:numId="8" w16cid:durableId="622538275">
    <w:abstractNumId w:val="1"/>
  </w:num>
  <w:num w:numId="9" w16cid:durableId="1972593961">
    <w:abstractNumId w:val="12"/>
  </w:num>
  <w:num w:numId="10" w16cid:durableId="1833787375">
    <w:abstractNumId w:val="34"/>
  </w:num>
  <w:num w:numId="11" w16cid:durableId="48698843">
    <w:abstractNumId w:val="19"/>
  </w:num>
  <w:num w:numId="12" w16cid:durableId="351762704">
    <w:abstractNumId w:val="14"/>
  </w:num>
  <w:num w:numId="13" w16cid:durableId="869732175">
    <w:abstractNumId w:val="22"/>
  </w:num>
  <w:num w:numId="14" w16cid:durableId="678510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6660541">
    <w:abstractNumId w:val="21"/>
  </w:num>
  <w:num w:numId="16" w16cid:durableId="1567570071">
    <w:abstractNumId w:val="30"/>
  </w:num>
  <w:num w:numId="17" w16cid:durableId="1844084614">
    <w:abstractNumId w:val="38"/>
  </w:num>
  <w:num w:numId="18" w16cid:durableId="1115948368">
    <w:abstractNumId w:val="5"/>
  </w:num>
  <w:num w:numId="19" w16cid:durableId="2200985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9710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9756335">
    <w:abstractNumId w:val="10"/>
  </w:num>
  <w:num w:numId="22" w16cid:durableId="363987181">
    <w:abstractNumId w:val="4"/>
  </w:num>
  <w:num w:numId="23" w16cid:durableId="1546720066">
    <w:abstractNumId w:val="40"/>
  </w:num>
  <w:num w:numId="24" w16cid:durableId="867792626">
    <w:abstractNumId w:val="18"/>
  </w:num>
  <w:num w:numId="25" w16cid:durableId="3802040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7005293">
    <w:abstractNumId w:val="8"/>
  </w:num>
  <w:num w:numId="27" w16cid:durableId="1114056152">
    <w:abstractNumId w:val="9"/>
  </w:num>
  <w:num w:numId="28" w16cid:durableId="1765877693">
    <w:abstractNumId w:val="11"/>
  </w:num>
  <w:num w:numId="29" w16cid:durableId="1323704565">
    <w:abstractNumId w:val="20"/>
  </w:num>
  <w:num w:numId="30" w16cid:durableId="1729574176">
    <w:abstractNumId w:val="15"/>
  </w:num>
  <w:num w:numId="31" w16cid:durableId="1183784129">
    <w:abstractNumId w:val="32"/>
  </w:num>
  <w:num w:numId="32" w16cid:durableId="695930497">
    <w:abstractNumId w:val="2"/>
  </w:num>
  <w:num w:numId="33" w16cid:durableId="1562522330">
    <w:abstractNumId w:val="24"/>
  </w:num>
  <w:num w:numId="34" w16cid:durableId="1432120319">
    <w:abstractNumId w:val="23"/>
  </w:num>
  <w:num w:numId="35" w16cid:durableId="934754707">
    <w:abstractNumId w:val="17"/>
  </w:num>
  <w:num w:numId="36" w16cid:durableId="26764427">
    <w:abstractNumId w:val="0"/>
  </w:num>
  <w:num w:numId="37" w16cid:durableId="452755085">
    <w:abstractNumId w:val="7"/>
  </w:num>
  <w:num w:numId="38" w16cid:durableId="533739233">
    <w:abstractNumId w:val="28"/>
  </w:num>
  <w:num w:numId="39" w16cid:durableId="91820160">
    <w:abstractNumId w:val="39"/>
  </w:num>
  <w:num w:numId="40" w16cid:durableId="884410856">
    <w:abstractNumId w:val="31"/>
  </w:num>
  <w:num w:numId="41" w16cid:durableId="806239460">
    <w:abstractNumId w:val="29"/>
  </w:num>
  <w:num w:numId="42" w16cid:durableId="1070616296">
    <w:abstractNumId w:val="16"/>
  </w:num>
  <w:num w:numId="43" w16cid:durableId="2111196009">
    <w:abstractNumId w:val="33"/>
  </w:num>
  <w:num w:numId="44" w16cid:durableId="14413391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D5"/>
    <w:rsid w:val="000041B5"/>
    <w:rsid w:val="000117EF"/>
    <w:rsid w:val="0002183B"/>
    <w:rsid w:val="00022AE7"/>
    <w:rsid w:val="00026103"/>
    <w:rsid w:val="00030874"/>
    <w:rsid w:val="00031DFF"/>
    <w:rsid w:val="00036DC7"/>
    <w:rsid w:val="00040F8A"/>
    <w:rsid w:val="00047E71"/>
    <w:rsid w:val="000515C8"/>
    <w:rsid w:val="000622EA"/>
    <w:rsid w:val="00062DA8"/>
    <w:rsid w:val="00064219"/>
    <w:rsid w:val="00065D42"/>
    <w:rsid w:val="000705FD"/>
    <w:rsid w:val="000711A4"/>
    <w:rsid w:val="000846B3"/>
    <w:rsid w:val="00090187"/>
    <w:rsid w:val="00095302"/>
    <w:rsid w:val="000969E0"/>
    <w:rsid w:val="000A0E7E"/>
    <w:rsid w:val="000A4599"/>
    <w:rsid w:val="000B1391"/>
    <w:rsid w:val="000B3A0A"/>
    <w:rsid w:val="000B4608"/>
    <w:rsid w:val="000B75A6"/>
    <w:rsid w:val="000C3C48"/>
    <w:rsid w:val="000C4658"/>
    <w:rsid w:val="000C6AAB"/>
    <w:rsid w:val="000D20D4"/>
    <w:rsid w:val="000D37F5"/>
    <w:rsid w:val="00117AA9"/>
    <w:rsid w:val="0013454A"/>
    <w:rsid w:val="0014022E"/>
    <w:rsid w:val="00140B80"/>
    <w:rsid w:val="00141764"/>
    <w:rsid w:val="0014324A"/>
    <w:rsid w:val="001476BF"/>
    <w:rsid w:val="00151ECD"/>
    <w:rsid w:val="0015219A"/>
    <w:rsid w:val="00156063"/>
    <w:rsid w:val="0015641C"/>
    <w:rsid w:val="00164EAA"/>
    <w:rsid w:val="00170F4B"/>
    <w:rsid w:val="001742B3"/>
    <w:rsid w:val="001746FB"/>
    <w:rsid w:val="001935BB"/>
    <w:rsid w:val="0019381D"/>
    <w:rsid w:val="001A093D"/>
    <w:rsid w:val="001A18CD"/>
    <w:rsid w:val="001A3135"/>
    <w:rsid w:val="001C2982"/>
    <w:rsid w:val="001C61A1"/>
    <w:rsid w:val="001C6F61"/>
    <w:rsid w:val="001D0DA3"/>
    <w:rsid w:val="001D2164"/>
    <w:rsid w:val="001D29D4"/>
    <w:rsid w:val="001D508F"/>
    <w:rsid w:val="001E0AA7"/>
    <w:rsid w:val="001E2310"/>
    <w:rsid w:val="001E2325"/>
    <w:rsid w:val="001F5F7D"/>
    <w:rsid w:val="00200F86"/>
    <w:rsid w:val="0021724E"/>
    <w:rsid w:val="002252F0"/>
    <w:rsid w:val="00241022"/>
    <w:rsid w:val="00243CE1"/>
    <w:rsid w:val="00244A45"/>
    <w:rsid w:val="00245250"/>
    <w:rsid w:val="00247D52"/>
    <w:rsid w:val="00252E15"/>
    <w:rsid w:val="002576F6"/>
    <w:rsid w:val="002628B5"/>
    <w:rsid w:val="00263048"/>
    <w:rsid w:val="0027067E"/>
    <w:rsid w:val="0028139F"/>
    <w:rsid w:val="002904DA"/>
    <w:rsid w:val="00292944"/>
    <w:rsid w:val="002958BA"/>
    <w:rsid w:val="002A7502"/>
    <w:rsid w:val="002B2879"/>
    <w:rsid w:val="002B2F08"/>
    <w:rsid w:val="002B364F"/>
    <w:rsid w:val="002B540B"/>
    <w:rsid w:val="002E1258"/>
    <w:rsid w:val="002E61D5"/>
    <w:rsid w:val="002F21AF"/>
    <w:rsid w:val="003004FB"/>
    <w:rsid w:val="0030052C"/>
    <w:rsid w:val="00313D21"/>
    <w:rsid w:val="003144C8"/>
    <w:rsid w:val="00315CF9"/>
    <w:rsid w:val="00322020"/>
    <w:rsid w:val="00322720"/>
    <w:rsid w:val="00323F2D"/>
    <w:rsid w:val="00325704"/>
    <w:rsid w:val="00334012"/>
    <w:rsid w:val="00335C06"/>
    <w:rsid w:val="00335F29"/>
    <w:rsid w:val="00340F0C"/>
    <w:rsid w:val="00344EAB"/>
    <w:rsid w:val="00352190"/>
    <w:rsid w:val="003528A8"/>
    <w:rsid w:val="00357AEA"/>
    <w:rsid w:val="00395324"/>
    <w:rsid w:val="003A3053"/>
    <w:rsid w:val="003B23D9"/>
    <w:rsid w:val="003B3511"/>
    <w:rsid w:val="003B3E1B"/>
    <w:rsid w:val="003C005C"/>
    <w:rsid w:val="003D2D28"/>
    <w:rsid w:val="003D59E8"/>
    <w:rsid w:val="003D7B2C"/>
    <w:rsid w:val="003F1A41"/>
    <w:rsid w:val="003F4677"/>
    <w:rsid w:val="00401911"/>
    <w:rsid w:val="0042016E"/>
    <w:rsid w:val="00427ED7"/>
    <w:rsid w:val="00431556"/>
    <w:rsid w:val="0043202F"/>
    <w:rsid w:val="00432992"/>
    <w:rsid w:val="00443B1B"/>
    <w:rsid w:val="00446D36"/>
    <w:rsid w:val="0044742B"/>
    <w:rsid w:val="0045000E"/>
    <w:rsid w:val="004552C7"/>
    <w:rsid w:val="0046693C"/>
    <w:rsid w:val="00466FD5"/>
    <w:rsid w:val="0047171B"/>
    <w:rsid w:val="0047397F"/>
    <w:rsid w:val="00473ACE"/>
    <w:rsid w:val="00475A22"/>
    <w:rsid w:val="0048603F"/>
    <w:rsid w:val="00487C3A"/>
    <w:rsid w:val="00493197"/>
    <w:rsid w:val="004A10C3"/>
    <w:rsid w:val="004A1EC9"/>
    <w:rsid w:val="004A5B4A"/>
    <w:rsid w:val="004A6424"/>
    <w:rsid w:val="004B1720"/>
    <w:rsid w:val="004C1C99"/>
    <w:rsid w:val="004C69A0"/>
    <w:rsid w:val="004D14B7"/>
    <w:rsid w:val="004D3646"/>
    <w:rsid w:val="004F12FB"/>
    <w:rsid w:val="004F6A0B"/>
    <w:rsid w:val="0050414B"/>
    <w:rsid w:val="00507F98"/>
    <w:rsid w:val="00511C0A"/>
    <w:rsid w:val="005164E0"/>
    <w:rsid w:val="00517FD9"/>
    <w:rsid w:val="00532C19"/>
    <w:rsid w:val="00536EF3"/>
    <w:rsid w:val="00543B1C"/>
    <w:rsid w:val="00544F32"/>
    <w:rsid w:val="00560A00"/>
    <w:rsid w:val="005616B3"/>
    <w:rsid w:val="00584645"/>
    <w:rsid w:val="00586D9A"/>
    <w:rsid w:val="00587727"/>
    <w:rsid w:val="0059016D"/>
    <w:rsid w:val="00591F8C"/>
    <w:rsid w:val="00593234"/>
    <w:rsid w:val="005A7387"/>
    <w:rsid w:val="005D2678"/>
    <w:rsid w:val="005D6027"/>
    <w:rsid w:val="005D75C8"/>
    <w:rsid w:val="005F0C58"/>
    <w:rsid w:val="005F31DB"/>
    <w:rsid w:val="00602C72"/>
    <w:rsid w:val="00605FE6"/>
    <w:rsid w:val="0060611D"/>
    <w:rsid w:val="00611385"/>
    <w:rsid w:val="0061718D"/>
    <w:rsid w:val="00620917"/>
    <w:rsid w:val="00621EB1"/>
    <w:rsid w:val="0062243B"/>
    <w:rsid w:val="00636BEC"/>
    <w:rsid w:val="00640A92"/>
    <w:rsid w:val="0064365C"/>
    <w:rsid w:val="00647AAC"/>
    <w:rsid w:val="0065622C"/>
    <w:rsid w:val="00661311"/>
    <w:rsid w:val="006623E1"/>
    <w:rsid w:val="0066349C"/>
    <w:rsid w:val="00666493"/>
    <w:rsid w:val="00667C3B"/>
    <w:rsid w:val="00674D03"/>
    <w:rsid w:val="00685895"/>
    <w:rsid w:val="00686DC4"/>
    <w:rsid w:val="006900F8"/>
    <w:rsid w:val="006912D7"/>
    <w:rsid w:val="006953C3"/>
    <w:rsid w:val="006A2B15"/>
    <w:rsid w:val="006A2C1C"/>
    <w:rsid w:val="006B42F7"/>
    <w:rsid w:val="006B65F3"/>
    <w:rsid w:val="006B6798"/>
    <w:rsid w:val="006C0980"/>
    <w:rsid w:val="006C2CA4"/>
    <w:rsid w:val="006D3012"/>
    <w:rsid w:val="006D4098"/>
    <w:rsid w:val="006E325D"/>
    <w:rsid w:val="006F21F7"/>
    <w:rsid w:val="006F269E"/>
    <w:rsid w:val="006F60FC"/>
    <w:rsid w:val="007003A4"/>
    <w:rsid w:val="00702E47"/>
    <w:rsid w:val="007116D8"/>
    <w:rsid w:val="00733AAE"/>
    <w:rsid w:val="007359D8"/>
    <w:rsid w:val="0074099B"/>
    <w:rsid w:val="007440FC"/>
    <w:rsid w:val="00747075"/>
    <w:rsid w:val="00750190"/>
    <w:rsid w:val="00771BB3"/>
    <w:rsid w:val="00773791"/>
    <w:rsid w:val="00777392"/>
    <w:rsid w:val="007832E1"/>
    <w:rsid w:val="00783B11"/>
    <w:rsid w:val="00785F88"/>
    <w:rsid w:val="0079312F"/>
    <w:rsid w:val="007A005A"/>
    <w:rsid w:val="007A2059"/>
    <w:rsid w:val="007B66AD"/>
    <w:rsid w:val="007C2875"/>
    <w:rsid w:val="007C4278"/>
    <w:rsid w:val="007D7FA0"/>
    <w:rsid w:val="007F2A65"/>
    <w:rsid w:val="008006E7"/>
    <w:rsid w:val="00812BAE"/>
    <w:rsid w:val="0081328A"/>
    <w:rsid w:val="008171F9"/>
    <w:rsid w:val="00826909"/>
    <w:rsid w:val="00830CB9"/>
    <w:rsid w:val="00832DE0"/>
    <w:rsid w:val="00850615"/>
    <w:rsid w:val="00853056"/>
    <w:rsid w:val="0086125E"/>
    <w:rsid w:val="00877658"/>
    <w:rsid w:val="00881E16"/>
    <w:rsid w:val="008828DD"/>
    <w:rsid w:val="008B2312"/>
    <w:rsid w:val="008B4835"/>
    <w:rsid w:val="008D159F"/>
    <w:rsid w:val="008D3208"/>
    <w:rsid w:val="008D351C"/>
    <w:rsid w:val="008D7DBF"/>
    <w:rsid w:val="008E4843"/>
    <w:rsid w:val="00902C12"/>
    <w:rsid w:val="00917D11"/>
    <w:rsid w:val="00923BB8"/>
    <w:rsid w:val="00952DB8"/>
    <w:rsid w:val="00953EC9"/>
    <w:rsid w:val="00953F76"/>
    <w:rsid w:val="00963ACA"/>
    <w:rsid w:val="00964295"/>
    <w:rsid w:val="00964384"/>
    <w:rsid w:val="00972110"/>
    <w:rsid w:val="00972B62"/>
    <w:rsid w:val="00973C11"/>
    <w:rsid w:val="00975213"/>
    <w:rsid w:val="00983A27"/>
    <w:rsid w:val="00991581"/>
    <w:rsid w:val="009928BA"/>
    <w:rsid w:val="0099414F"/>
    <w:rsid w:val="00994E18"/>
    <w:rsid w:val="0099678E"/>
    <w:rsid w:val="009B065A"/>
    <w:rsid w:val="009B4019"/>
    <w:rsid w:val="009C6CE8"/>
    <w:rsid w:val="009D6125"/>
    <w:rsid w:val="009E4931"/>
    <w:rsid w:val="009E6D2A"/>
    <w:rsid w:val="009F6194"/>
    <w:rsid w:val="00A05B93"/>
    <w:rsid w:val="00A06881"/>
    <w:rsid w:val="00A129BA"/>
    <w:rsid w:val="00A15CA2"/>
    <w:rsid w:val="00A26255"/>
    <w:rsid w:val="00A33AB9"/>
    <w:rsid w:val="00A40551"/>
    <w:rsid w:val="00A4232A"/>
    <w:rsid w:val="00A46464"/>
    <w:rsid w:val="00A66F19"/>
    <w:rsid w:val="00A70F68"/>
    <w:rsid w:val="00A8130F"/>
    <w:rsid w:val="00A84756"/>
    <w:rsid w:val="00A92492"/>
    <w:rsid w:val="00AA4A95"/>
    <w:rsid w:val="00AB55DC"/>
    <w:rsid w:val="00AC5150"/>
    <w:rsid w:val="00AC5F66"/>
    <w:rsid w:val="00AE0E68"/>
    <w:rsid w:val="00AF2B3E"/>
    <w:rsid w:val="00B06498"/>
    <w:rsid w:val="00B11A47"/>
    <w:rsid w:val="00B13D7D"/>
    <w:rsid w:val="00B23193"/>
    <w:rsid w:val="00B250BD"/>
    <w:rsid w:val="00B52EFD"/>
    <w:rsid w:val="00B53457"/>
    <w:rsid w:val="00B64C37"/>
    <w:rsid w:val="00B75D4A"/>
    <w:rsid w:val="00B76274"/>
    <w:rsid w:val="00B77426"/>
    <w:rsid w:val="00B91932"/>
    <w:rsid w:val="00B9621A"/>
    <w:rsid w:val="00BA280C"/>
    <w:rsid w:val="00BA5113"/>
    <w:rsid w:val="00BA72E8"/>
    <w:rsid w:val="00BA7EB4"/>
    <w:rsid w:val="00BB7314"/>
    <w:rsid w:val="00BB740A"/>
    <w:rsid w:val="00BB7B62"/>
    <w:rsid w:val="00BC20C6"/>
    <w:rsid w:val="00BC696F"/>
    <w:rsid w:val="00BD2C64"/>
    <w:rsid w:val="00BD2E11"/>
    <w:rsid w:val="00BD3BAA"/>
    <w:rsid w:val="00BD3FFA"/>
    <w:rsid w:val="00BE631C"/>
    <w:rsid w:val="00BF0CE3"/>
    <w:rsid w:val="00BF2358"/>
    <w:rsid w:val="00C01749"/>
    <w:rsid w:val="00C02A36"/>
    <w:rsid w:val="00C30D1C"/>
    <w:rsid w:val="00C41517"/>
    <w:rsid w:val="00C5406B"/>
    <w:rsid w:val="00C55053"/>
    <w:rsid w:val="00C60C18"/>
    <w:rsid w:val="00C63DD7"/>
    <w:rsid w:val="00C7033F"/>
    <w:rsid w:val="00C721CF"/>
    <w:rsid w:val="00C742B4"/>
    <w:rsid w:val="00C80E91"/>
    <w:rsid w:val="00C83225"/>
    <w:rsid w:val="00C90A76"/>
    <w:rsid w:val="00C960D2"/>
    <w:rsid w:val="00CA5051"/>
    <w:rsid w:val="00CA61FE"/>
    <w:rsid w:val="00CB6E11"/>
    <w:rsid w:val="00CE7452"/>
    <w:rsid w:val="00CF4430"/>
    <w:rsid w:val="00CF54A8"/>
    <w:rsid w:val="00D0212B"/>
    <w:rsid w:val="00D06E12"/>
    <w:rsid w:val="00D2533B"/>
    <w:rsid w:val="00D344B2"/>
    <w:rsid w:val="00D4088F"/>
    <w:rsid w:val="00D43F73"/>
    <w:rsid w:val="00D44C56"/>
    <w:rsid w:val="00D45950"/>
    <w:rsid w:val="00D471CC"/>
    <w:rsid w:val="00D52173"/>
    <w:rsid w:val="00D60717"/>
    <w:rsid w:val="00D6379E"/>
    <w:rsid w:val="00D66177"/>
    <w:rsid w:val="00D72358"/>
    <w:rsid w:val="00D74155"/>
    <w:rsid w:val="00D74FBF"/>
    <w:rsid w:val="00D90A03"/>
    <w:rsid w:val="00D94C95"/>
    <w:rsid w:val="00DA0F06"/>
    <w:rsid w:val="00DB079F"/>
    <w:rsid w:val="00DC1989"/>
    <w:rsid w:val="00DC34ED"/>
    <w:rsid w:val="00DC6C16"/>
    <w:rsid w:val="00DD098B"/>
    <w:rsid w:val="00DE44EA"/>
    <w:rsid w:val="00DE655A"/>
    <w:rsid w:val="00E00F35"/>
    <w:rsid w:val="00E07383"/>
    <w:rsid w:val="00E1659A"/>
    <w:rsid w:val="00E21A58"/>
    <w:rsid w:val="00E2240A"/>
    <w:rsid w:val="00E255B7"/>
    <w:rsid w:val="00E35932"/>
    <w:rsid w:val="00E42634"/>
    <w:rsid w:val="00E442CA"/>
    <w:rsid w:val="00E62296"/>
    <w:rsid w:val="00E6691D"/>
    <w:rsid w:val="00E75697"/>
    <w:rsid w:val="00E83841"/>
    <w:rsid w:val="00E8646B"/>
    <w:rsid w:val="00EA1706"/>
    <w:rsid w:val="00EB4D24"/>
    <w:rsid w:val="00EB6F6F"/>
    <w:rsid w:val="00ED3C38"/>
    <w:rsid w:val="00ED43D3"/>
    <w:rsid w:val="00EE21B3"/>
    <w:rsid w:val="00EF2809"/>
    <w:rsid w:val="00EF3A0A"/>
    <w:rsid w:val="00F101C6"/>
    <w:rsid w:val="00F22F78"/>
    <w:rsid w:val="00F258C1"/>
    <w:rsid w:val="00F26138"/>
    <w:rsid w:val="00F27393"/>
    <w:rsid w:val="00F34BB2"/>
    <w:rsid w:val="00F34F58"/>
    <w:rsid w:val="00F402EB"/>
    <w:rsid w:val="00F41342"/>
    <w:rsid w:val="00F505D5"/>
    <w:rsid w:val="00F5522A"/>
    <w:rsid w:val="00F55550"/>
    <w:rsid w:val="00F64655"/>
    <w:rsid w:val="00FA36E1"/>
    <w:rsid w:val="00FB1771"/>
    <w:rsid w:val="00FB5CD4"/>
    <w:rsid w:val="00FC15C9"/>
    <w:rsid w:val="00FC3AA5"/>
    <w:rsid w:val="00FC63E0"/>
    <w:rsid w:val="00FD37B1"/>
    <w:rsid w:val="00FE373C"/>
    <w:rsid w:val="00FE5577"/>
    <w:rsid w:val="00FE67DB"/>
    <w:rsid w:val="00FF15F4"/>
    <w:rsid w:val="00FF3C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EC06D"/>
  <w15:chartTrackingRefBased/>
  <w15:docId w15:val="{2D205AC9-F07F-4AA7-B4F1-E0D6C6AF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D5"/>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4717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717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05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05D5"/>
    <w:rPr>
      <w:rFonts w:ascii="Palatino Linotype" w:hAnsi="Palatino Linotype"/>
      <w:color w:val="000000" w:themeColor="text1"/>
    </w:rPr>
  </w:style>
  <w:style w:type="paragraph" w:styleId="Piedepgina">
    <w:name w:val="footer"/>
    <w:basedOn w:val="Normal"/>
    <w:link w:val="PiedepginaCar"/>
    <w:uiPriority w:val="99"/>
    <w:unhideWhenUsed/>
    <w:rsid w:val="00F505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05D5"/>
    <w:rPr>
      <w:rFonts w:ascii="Palatino Linotype" w:hAnsi="Palatino Linotype"/>
      <w:color w:val="000000" w:themeColor="text1"/>
    </w:rPr>
  </w:style>
  <w:style w:type="table" w:styleId="Tablaconcuadrcula">
    <w:name w:val="Table Grid"/>
    <w:basedOn w:val="Tablanormal"/>
    <w:uiPriority w:val="39"/>
    <w:qFormat/>
    <w:rsid w:val="00F505D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505D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505D5"/>
    <w:rPr>
      <w:rFonts w:ascii="Palatino Linotype" w:hAnsi="Palatino Linotype"/>
      <w:color w:val="000000" w:themeColor="text1"/>
    </w:rPr>
  </w:style>
  <w:style w:type="character" w:customStyle="1" w:styleId="normaltextrun">
    <w:name w:val="normaltextrun"/>
    <w:basedOn w:val="Fuentedeprrafopredeter"/>
    <w:rsid w:val="00F505D5"/>
  </w:style>
  <w:style w:type="paragraph" w:customStyle="1" w:styleId="paragraph">
    <w:name w:val="paragraph"/>
    <w:basedOn w:val="Normal"/>
    <w:rsid w:val="00F505D5"/>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F505D5"/>
  </w:style>
  <w:style w:type="character" w:styleId="Hipervnculo">
    <w:name w:val="Hyperlink"/>
    <w:basedOn w:val="Fuentedeprrafopredeter"/>
    <w:uiPriority w:val="99"/>
    <w:unhideWhenUsed/>
    <w:rsid w:val="00507F98"/>
    <w:rPr>
      <w:color w:val="0563C1" w:themeColor="hyperlink"/>
      <w:u w:val="single"/>
    </w:rPr>
  </w:style>
  <w:style w:type="character" w:customStyle="1" w:styleId="Mencinsinresolver1">
    <w:name w:val="Mención sin resolver1"/>
    <w:basedOn w:val="Fuentedeprrafopredeter"/>
    <w:uiPriority w:val="99"/>
    <w:semiHidden/>
    <w:unhideWhenUsed/>
    <w:rsid w:val="00507F98"/>
    <w:rPr>
      <w:color w:val="605E5C"/>
      <w:shd w:val="clear" w:color="auto" w:fill="E1DFDD"/>
    </w:rPr>
  </w:style>
  <w:style w:type="paragraph" w:styleId="NormalWeb">
    <w:name w:val="Normal (Web)"/>
    <w:basedOn w:val="Normal"/>
    <w:uiPriority w:val="99"/>
    <w:unhideWhenUsed/>
    <w:rsid w:val="00D2533B"/>
    <w:rPr>
      <w:rFonts w:ascii="Times New Roman" w:hAnsi="Times New Roman" w:cs="Times New Roman"/>
      <w:sz w:val="24"/>
      <w:szCs w:val="24"/>
    </w:rPr>
  </w:style>
  <w:style w:type="character" w:customStyle="1" w:styleId="Ttulo1Car">
    <w:name w:val="Título 1 Car"/>
    <w:basedOn w:val="Fuentedeprrafopredeter"/>
    <w:link w:val="Ttulo1"/>
    <w:uiPriority w:val="9"/>
    <w:rsid w:val="0047171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47171B"/>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47171B"/>
    <w:pPr>
      <w:jc w:val="left"/>
      <w:outlineLvl w:val="9"/>
    </w:pPr>
    <w:rPr>
      <w:lang w:eastAsia="es-MX"/>
    </w:rPr>
  </w:style>
  <w:style w:type="paragraph" w:styleId="TDC1">
    <w:name w:val="toc 1"/>
    <w:basedOn w:val="Normal"/>
    <w:next w:val="Normal"/>
    <w:autoRedefine/>
    <w:uiPriority w:val="39"/>
    <w:unhideWhenUsed/>
    <w:rsid w:val="0047171B"/>
    <w:pPr>
      <w:spacing w:after="100"/>
    </w:pPr>
  </w:style>
  <w:style w:type="paragraph" w:styleId="TDC2">
    <w:name w:val="toc 2"/>
    <w:basedOn w:val="Normal"/>
    <w:next w:val="Normal"/>
    <w:autoRedefine/>
    <w:uiPriority w:val="39"/>
    <w:unhideWhenUsed/>
    <w:rsid w:val="0047171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0142">
      <w:bodyDiv w:val="1"/>
      <w:marLeft w:val="0"/>
      <w:marRight w:val="0"/>
      <w:marTop w:val="0"/>
      <w:marBottom w:val="0"/>
      <w:divBdr>
        <w:top w:val="none" w:sz="0" w:space="0" w:color="auto"/>
        <w:left w:val="none" w:sz="0" w:space="0" w:color="auto"/>
        <w:bottom w:val="none" w:sz="0" w:space="0" w:color="auto"/>
        <w:right w:val="none" w:sz="0" w:space="0" w:color="auto"/>
      </w:divBdr>
    </w:div>
    <w:div w:id="81530791">
      <w:bodyDiv w:val="1"/>
      <w:marLeft w:val="0"/>
      <w:marRight w:val="0"/>
      <w:marTop w:val="0"/>
      <w:marBottom w:val="0"/>
      <w:divBdr>
        <w:top w:val="none" w:sz="0" w:space="0" w:color="auto"/>
        <w:left w:val="none" w:sz="0" w:space="0" w:color="auto"/>
        <w:bottom w:val="none" w:sz="0" w:space="0" w:color="auto"/>
        <w:right w:val="none" w:sz="0" w:space="0" w:color="auto"/>
      </w:divBdr>
    </w:div>
    <w:div w:id="141429162">
      <w:bodyDiv w:val="1"/>
      <w:marLeft w:val="0"/>
      <w:marRight w:val="0"/>
      <w:marTop w:val="0"/>
      <w:marBottom w:val="0"/>
      <w:divBdr>
        <w:top w:val="none" w:sz="0" w:space="0" w:color="auto"/>
        <w:left w:val="none" w:sz="0" w:space="0" w:color="auto"/>
        <w:bottom w:val="none" w:sz="0" w:space="0" w:color="auto"/>
        <w:right w:val="none" w:sz="0" w:space="0" w:color="auto"/>
      </w:divBdr>
    </w:div>
    <w:div w:id="176695363">
      <w:bodyDiv w:val="1"/>
      <w:marLeft w:val="0"/>
      <w:marRight w:val="0"/>
      <w:marTop w:val="0"/>
      <w:marBottom w:val="0"/>
      <w:divBdr>
        <w:top w:val="none" w:sz="0" w:space="0" w:color="auto"/>
        <w:left w:val="none" w:sz="0" w:space="0" w:color="auto"/>
        <w:bottom w:val="none" w:sz="0" w:space="0" w:color="auto"/>
        <w:right w:val="none" w:sz="0" w:space="0" w:color="auto"/>
      </w:divBdr>
    </w:div>
    <w:div w:id="252515918">
      <w:bodyDiv w:val="1"/>
      <w:marLeft w:val="0"/>
      <w:marRight w:val="0"/>
      <w:marTop w:val="0"/>
      <w:marBottom w:val="0"/>
      <w:divBdr>
        <w:top w:val="none" w:sz="0" w:space="0" w:color="auto"/>
        <w:left w:val="none" w:sz="0" w:space="0" w:color="auto"/>
        <w:bottom w:val="none" w:sz="0" w:space="0" w:color="auto"/>
        <w:right w:val="none" w:sz="0" w:space="0" w:color="auto"/>
      </w:divBdr>
    </w:div>
    <w:div w:id="342050330">
      <w:bodyDiv w:val="1"/>
      <w:marLeft w:val="0"/>
      <w:marRight w:val="0"/>
      <w:marTop w:val="0"/>
      <w:marBottom w:val="0"/>
      <w:divBdr>
        <w:top w:val="none" w:sz="0" w:space="0" w:color="auto"/>
        <w:left w:val="none" w:sz="0" w:space="0" w:color="auto"/>
        <w:bottom w:val="none" w:sz="0" w:space="0" w:color="auto"/>
        <w:right w:val="none" w:sz="0" w:space="0" w:color="auto"/>
      </w:divBdr>
    </w:div>
    <w:div w:id="360133634">
      <w:bodyDiv w:val="1"/>
      <w:marLeft w:val="0"/>
      <w:marRight w:val="0"/>
      <w:marTop w:val="0"/>
      <w:marBottom w:val="0"/>
      <w:divBdr>
        <w:top w:val="none" w:sz="0" w:space="0" w:color="auto"/>
        <w:left w:val="none" w:sz="0" w:space="0" w:color="auto"/>
        <w:bottom w:val="none" w:sz="0" w:space="0" w:color="auto"/>
        <w:right w:val="none" w:sz="0" w:space="0" w:color="auto"/>
      </w:divBdr>
    </w:div>
    <w:div w:id="367491830">
      <w:bodyDiv w:val="1"/>
      <w:marLeft w:val="0"/>
      <w:marRight w:val="0"/>
      <w:marTop w:val="0"/>
      <w:marBottom w:val="0"/>
      <w:divBdr>
        <w:top w:val="none" w:sz="0" w:space="0" w:color="auto"/>
        <w:left w:val="none" w:sz="0" w:space="0" w:color="auto"/>
        <w:bottom w:val="none" w:sz="0" w:space="0" w:color="auto"/>
        <w:right w:val="none" w:sz="0" w:space="0" w:color="auto"/>
      </w:divBdr>
    </w:div>
    <w:div w:id="438648282">
      <w:bodyDiv w:val="1"/>
      <w:marLeft w:val="0"/>
      <w:marRight w:val="0"/>
      <w:marTop w:val="0"/>
      <w:marBottom w:val="0"/>
      <w:divBdr>
        <w:top w:val="none" w:sz="0" w:space="0" w:color="auto"/>
        <w:left w:val="none" w:sz="0" w:space="0" w:color="auto"/>
        <w:bottom w:val="none" w:sz="0" w:space="0" w:color="auto"/>
        <w:right w:val="none" w:sz="0" w:space="0" w:color="auto"/>
      </w:divBdr>
    </w:div>
    <w:div w:id="687367227">
      <w:bodyDiv w:val="1"/>
      <w:marLeft w:val="0"/>
      <w:marRight w:val="0"/>
      <w:marTop w:val="0"/>
      <w:marBottom w:val="0"/>
      <w:divBdr>
        <w:top w:val="none" w:sz="0" w:space="0" w:color="auto"/>
        <w:left w:val="none" w:sz="0" w:space="0" w:color="auto"/>
        <w:bottom w:val="none" w:sz="0" w:space="0" w:color="auto"/>
        <w:right w:val="none" w:sz="0" w:space="0" w:color="auto"/>
      </w:divBdr>
    </w:div>
    <w:div w:id="691995701">
      <w:bodyDiv w:val="1"/>
      <w:marLeft w:val="0"/>
      <w:marRight w:val="0"/>
      <w:marTop w:val="0"/>
      <w:marBottom w:val="0"/>
      <w:divBdr>
        <w:top w:val="none" w:sz="0" w:space="0" w:color="auto"/>
        <w:left w:val="none" w:sz="0" w:space="0" w:color="auto"/>
        <w:bottom w:val="none" w:sz="0" w:space="0" w:color="auto"/>
        <w:right w:val="none" w:sz="0" w:space="0" w:color="auto"/>
      </w:divBdr>
    </w:div>
    <w:div w:id="700055628">
      <w:bodyDiv w:val="1"/>
      <w:marLeft w:val="0"/>
      <w:marRight w:val="0"/>
      <w:marTop w:val="0"/>
      <w:marBottom w:val="0"/>
      <w:divBdr>
        <w:top w:val="none" w:sz="0" w:space="0" w:color="auto"/>
        <w:left w:val="none" w:sz="0" w:space="0" w:color="auto"/>
        <w:bottom w:val="none" w:sz="0" w:space="0" w:color="auto"/>
        <w:right w:val="none" w:sz="0" w:space="0" w:color="auto"/>
      </w:divBdr>
    </w:div>
    <w:div w:id="751780284">
      <w:bodyDiv w:val="1"/>
      <w:marLeft w:val="0"/>
      <w:marRight w:val="0"/>
      <w:marTop w:val="0"/>
      <w:marBottom w:val="0"/>
      <w:divBdr>
        <w:top w:val="none" w:sz="0" w:space="0" w:color="auto"/>
        <w:left w:val="none" w:sz="0" w:space="0" w:color="auto"/>
        <w:bottom w:val="none" w:sz="0" w:space="0" w:color="auto"/>
        <w:right w:val="none" w:sz="0" w:space="0" w:color="auto"/>
      </w:divBdr>
    </w:div>
    <w:div w:id="898398139">
      <w:bodyDiv w:val="1"/>
      <w:marLeft w:val="0"/>
      <w:marRight w:val="0"/>
      <w:marTop w:val="0"/>
      <w:marBottom w:val="0"/>
      <w:divBdr>
        <w:top w:val="none" w:sz="0" w:space="0" w:color="auto"/>
        <w:left w:val="none" w:sz="0" w:space="0" w:color="auto"/>
        <w:bottom w:val="none" w:sz="0" w:space="0" w:color="auto"/>
        <w:right w:val="none" w:sz="0" w:space="0" w:color="auto"/>
      </w:divBdr>
    </w:div>
    <w:div w:id="900019804">
      <w:bodyDiv w:val="1"/>
      <w:marLeft w:val="0"/>
      <w:marRight w:val="0"/>
      <w:marTop w:val="0"/>
      <w:marBottom w:val="0"/>
      <w:divBdr>
        <w:top w:val="none" w:sz="0" w:space="0" w:color="auto"/>
        <w:left w:val="none" w:sz="0" w:space="0" w:color="auto"/>
        <w:bottom w:val="none" w:sz="0" w:space="0" w:color="auto"/>
        <w:right w:val="none" w:sz="0" w:space="0" w:color="auto"/>
      </w:divBdr>
    </w:div>
    <w:div w:id="905070264">
      <w:bodyDiv w:val="1"/>
      <w:marLeft w:val="0"/>
      <w:marRight w:val="0"/>
      <w:marTop w:val="0"/>
      <w:marBottom w:val="0"/>
      <w:divBdr>
        <w:top w:val="none" w:sz="0" w:space="0" w:color="auto"/>
        <w:left w:val="none" w:sz="0" w:space="0" w:color="auto"/>
        <w:bottom w:val="none" w:sz="0" w:space="0" w:color="auto"/>
        <w:right w:val="none" w:sz="0" w:space="0" w:color="auto"/>
      </w:divBdr>
    </w:div>
    <w:div w:id="964502150">
      <w:bodyDiv w:val="1"/>
      <w:marLeft w:val="0"/>
      <w:marRight w:val="0"/>
      <w:marTop w:val="0"/>
      <w:marBottom w:val="0"/>
      <w:divBdr>
        <w:top w:val="none" w:sz="0" w:space="0" w:color="auto"/>
        <w:left w:val="none" w:sz="0" w:space="0" w:color="auto"/>
        <w:bottom w:val="none" w:sz="0" w:space="0" w:color="auto"/>
        <w:right w:val="none" w:sz="0" w:space="0" w:color="auto"/>
      </w:divBdr>
    </w:div>
    <w:div w:id="1093164157">
      <w:bodyDiv w:val="1"/>
      <w:marLeft w:val="0"/>
      <w:marRight w:val="0"/>
      <w:marTop w:val="0"/>
      <w:marBottom w:val="0"/>
      <w:divBdr>
        <w:top w:val="none" w:sz="0" w:space="0" w:color="auto"/>
        <w:left w:val="none" w:sz="0" w:space="0" w:color="auto"/>
        <w:bottom w:val="none" w:sz="0" w:space="0" w:color="auto"/>
        <w:right w:val="none" w:sz="0" w:space="0" w:color="auto"/>
      </w:divBdr>
    </w:div>
    <w:div w:id="1093357303">
      <w:bodyDiv w:val="1"/>
      <w:marLeft w:val="0"/>
      <w:marRight w:val="0"/>
      <w:marTop w:val="0"/>
      <w:marBottom w:val="0"/>
      <w:divBdr>
        <w:top w:val="none" w:sz="0" w:space="0" w:color="auto"/>
        <w:left w:val="none" w:sz="0" w:space="0" w:color="auto"/>
        <w:bottom w:val="none" w:sz="0" w:space="0" w:color="auto"/>
        <w:right w:val="none" w:sz="0" w:space="0" w:color="auto"/>
      </w:divBdr>
    </w:div>
    <w:div w:id="1110904110">
      <w:bodyDiv w:val="1"/>
      <w:marLeft w:val="0"/>
      <w:marRight w:val="0"/>
      <w:marTop w:val="0"/>
      <w:marBottom w:val="0"/>
      <w:divBdr>
        <w:top w:val="none" w:sz="0" w:space="0" w:color="auto"/>
        <w:left w:val="none" w:sz="0" w:space="0" w:color="auto"/>
        <w:bottom w:val="none" w:sz="0" w:space="0" w:color="auto"/>
        <w:right w:val="none" w:sz="0" w:space="0" w:color="auto"/>
      </w:divBdr>
    </w:div>
    <w:div w:id="1144855382">
      <w:bodyDiv w:val="1"/>
      <w:marLeft w:val="0"/>
      <w:marRight w:val="0"/>
      <w:marTop w:val="0"/>
      <w:marBottom w:val="0"/>
      <w:divBdr>
        <w:top w:val="none" w:sz="0" w:space="0" w:color="auto"/>
        <w:left w:val="none" w:sz="0" w:space="0" w:color="auto"/>
        <w:bottom w:val="none" w:sz="0" w:space="0" w:color="auto"/>
        <w:right w:val="none" w:sz="0" w:space="0" w:color="auto"/>
      </w:divBdr>
    </w:div>
    <w:div w:id="1665157619">
      <w:bodyDiv w:val="1"/>
      <w:marLeft w:val="0"/>
      <w:marRight w:val="0"/>
      <w:marTop w:val="0"/>
      <w:marBottom w:val="0"/>
      <w:divBdr>
        <w:top w:val="none" w:sz="0" w:space="0" w:color="auto"/>
        <w:left w:val="none" w:sz="0" w:space="0" w:color="auto"/>
        <w:bottom w:val="none" w:sz="0" w:space="0" w:color="auto"/>
        <w:right w:val="none" w:sz="0" w:space="0" w:color="auto"/>
      </w:divBdr>
    </w:div>
    <w:div w:id="1687486698">
      <w:bodyDiv w:val="1"/>
      <w:marLeft w:val="0"/>
      <w:marRight w:val="0"/>
      <w:marTop w:val="0"/>
      <w:marBottom w:val="0"/>
      <w:divBdr>
        <w:top w:val="none" w:sz="0" w:space="0" w:color="auto"/>
        <w:left w:val="none" w:sz="0" w:space="0" w:color="auto"/>
        <w:bottom w:val="none" w:sz="0" w:space="0" w:color="auto"/>
        <w:right w:val="none" w:sz="0" w:space="0" w:color="auto"/>
      </w:divBdr>
    </w:div>
    <w:div w:id="1955746342">
      <w:bodyDiv w:val="1"/>
      <w:marLeft w:val="0"/>
      <w:marRight w:val="0"/>
      <w:marTop w:val="0"/>
      <w:marBottom w:val="0"/>
      <w:divBdr>
        <w:top w:val="none" w:sz="0" w:space="0" w:color="auto"/>
        <w:left w:val="none" w:sz="0" w:space="0" w:color="auto"/>
        <w:bottom w:val="none" w:sz="0" w:space="0" w:color="auto"/>
        <w:right w:val="none" w:sz="0" w:space="0" w:color="auto"/>
      </w:divBdr>
    </w:div>
    <w:div w:id="207326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7B959-798B-4C0D-9D5E-31FC2C82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9610</Words>
  <Characters>52859</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inf03m_31@outlook.com</cp:lastModifiedBy>
  <cp:revision>4</cp:revision>
  <cp:lastPrinted>2026-01-16T15:32:00Z</cp:lastPrinted>
  <dcterms:created xsi:type="dcterms:W3CDTF">2026-01-16T15:31:00Z</dcterms:created>
  <dcterms:modified xsi:type="dcterms:W3CDTF">2026-02-13T20:26:00Z</dcterms:modified>
</cp:coreProperties>
</file>