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5DD81" w14:textId="74B636A6" w:rsidR="004C1E80" w:rsidRPr="00DB6056" w:rsidRDefault="00B67F9C">
      <w:pPr>
        <w:tabs>
          <w:tab w:val="left" w:pos="3465"/>
        </w:tabs>
        <w:spacing w:line="360" w:lineRule="auto"/>
        <w:jc w:val="both"/>
        <w:rPr>
          <w:rFonts w:ascii="Palatino Linotype" w:eastAsia="Palatino Linotype" w:hAnsi="Palatino Linotype" w:cs="Palatino Linotype"/>
          <w:b/>
        </w:rPr>
      </w:pPr>
      <w:r w:rsidRPr="00DB605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E4075B" w:rsidRPr="00DB6056">
        <w:rPr>
          <w:rFonts w:ascii="Palatino Linotype" w:eastAsia="Palatino Linotype" w:hAnsi="Palatino Linotype" w:cs="Palatino Linotype"/>
        </w:rPr>
        <w:t xml:space="preserve"> de México; de </w:t>
      </w:r>
      <w:r w:rsidR="00E4075B" w:rsidRPr="00DB6056">
        <w:rPr>
          <w:rFonts w:ascii="Palatino Linotype" w:eastAsia="Palatino Linotype" w:hAnsi="Palatino Linotype" w:cs="Palatino Linotype"/>
          <w:b/>
        </w:rPr>
        <w:t>fecha veinticinco</w:t>
      </w:r>
      <w:r w:rsidR="00DB6056" w:rsidRPr="00DB6056">
        <w:rPr>
          <w:rFonts w:ascii="Palatino Linotype" w:eastAsia="Palatino Linotype" w:hAnsi="Palatino Linotype" w:cs="Palatino Linotype"/>
          <w:b/>
        </w:rPr>
        <w:t xml:space="preserve"> (25)</w:t>
      </w:r>
      <w:r w:rsidRPr="00DB6056">
        <w:rPr>
          <w:rFonts w:ascii="Palatino Linotype" w:eastAsia="Palatino Linotype" w:hAnsi="Palatino Linotype" w:cs="Palatino Linotype"/>
          <w:b/>
        </w:rPr>
        <w:t xml:space="preserve"> de junio de dos mil veintiséis.</w:t>
      </w:r>
    </w:p>
    <w:p w14:paraId="0105DD82" w14:textId="77777777" w:rsidR="004C1E80" w:rsidRPr="00DB6056" w:rsidRDefault="004C1E80">
      <w:pPr>
        <w:tabs>
          <w:tab w:val="left" w:pos="3465"/>
        </w:tabs>
        <w:spacing w:line="360" w:lineRule="auto"/>
        <w:jc w:val="both"/>
        <w:rPr>
          <w:rFonts w:ascii="Palatino Linotype" w:eastAsia="Palatino Linotype" w:hAnsi="Palatino Linotype" w:cs="Palatino Linotype"/>
        </w:rPr>
      </w:pPr>
    </w:p>
    <w:p w14:paraId="0105DD83" w14:textId="77777777" w:rsidR="004C1E80" w:rsidRPr="00DB6056" w:rsidRDefault="00B67F9C">
      <w:pPr>
        <w:spacing w:line="360" w:lineRule="auto"/>
        <w:jc w:val="both"/>
        <w:rPr>
          <w:rFonts w:ascii="Palatino Linotype" w:eastAsia="Palatino Linotype" w:hAnsi="Palatino Linotype" w:cs="Palatino Linotype"/>
        </w:rPr>
      </w:pPr>
      <w:r w:rsidRPr="00DB6056">
        <w:rPr>
          <w:rFonts w:ascii="Palatino Linotype" w:eastAsia="Palatino Linotype" w:hAnsi="Palatino Linotype" w:cs="Palatino Linotype"/>
          <w:b/>
          <w:bCs/>
        </w:rPr>
        <w:t>VISTO</w:t>
      </w:r>
      <w:r w:rsidRPr="00DB6056">
        <w:rPr>
          <w:rFonts w:ascii="Palatino Linotype" w:eastAsia="Palatino Linotype" w:hAnsi="Palatino Linotype" w:cs="Palatino Linotype"/>
        </w:rPr>
        <w:t xml:space="preserve"> el expediente electrónico formado con motivo del Recurso de Revisión </w:t>
      </w:r>
      <w:r w:rsidRPr="00DB6056">
        <w:rPr>
          <w:rFonts w:ascii="Palatino Linotype" w:eastAsia="Palatino Linotype" w:hAnsi="Palatino Linotype" w:cs="Palatino Linotype"/>
          <w:b/>
          <w:bCs/>
        </w:rPr>
        <w:t xml:space="preserve">03293/INFOEM/IP/RR/2026, </w:t>
      </w:r>
      <w:r w:rsidRPr="00DB6056">
        <w:rPr>
          <w:rFonts w:ascii="Palatino Linotype" w:eastAsia="Palatino Linotype" w:hAnsi="Palatino Linotype" w:cs="Palatino Linotype"/>
        </w:rPr>
        <w:t>promovido por</w:t>
      </w:r>
      <w:r w:rsidRPr="00DB6056">
        <w:rPr>
          <w:rFonts w:ascii="Palatino Linotype" w:eastAsia="Palatino Linotype" w:hAnsi="Palatino Linotype" w:cs="Palatino Linotype"/>
          <w:b/>
          <w:bCs/>
        </w:rPr>
        <w:t xml:space="preserve"> </w:t>
      </w:r>
      <w:r w:rsidRPr="00D53BFA">
        <w:rPr>
          <w:rFonts w:ascii="Palatino Linotype" w:eastAsia="Palatino Linotype" w:hAnsi="Palatino Linotype" w:cs="Palatino Linotype"/>
          <w:b/>
        </w:rPr>
        <w:t>una persona que no aportó datos para ser reconocido,</w:t>
      </w:r>
      <w:r w:rsidRPr="00DB6056">
        <w:rPr>
          <w:rFonts w:ascii="Palatino Linotype" w:eastAsia="Palatino Linotype" w:hAnsi="Palatino Linotype" w:cs="Palatino Linotype"/>
        </w:rPr>
        <w:t xml:space="preserve"> a quien en lo sucesivo se le identificará como </w:t>
      </w:r>
      <w:r w:rsidRPr="00DB6056">
        <w:rPr>
          <w:rFonts w:ascii="Palatino Linotype" w:eastAsia="Palatino Linotype" w:hAnsi="Palatino Linotype" w:cs="Palatino Linotype"/>
          <w:b/>
          <w:bCs/>
        </w:rPr>
        <w:t>EL RECURRENTE</w:t>
      </w:r>
      <w:r w:rsidRPr="00DB6056">
        <w:rPr>
          <w:rFonts w:ascii="Palatino Linotype" w:eastAsia="Palatino Linotype" w:hAnsi="Palatino Linotype" w:cs="Palatino Linotype"/>
        </w:rPr>
        <w:t xml:space="preserve">, en contra de la respuesta del </w:t>
      </w:r>
      <w:r w:rsidRPr="00DB6056">
        <w:rPr>
          <w:rFonts w:ascii="Palatino Linotype" w:eastAsia="Palatino Linotype" w:hAnsi="Palatino Linotype" w:cs="Palatino Linotype"/>
          <w:b/>
          <w:bCs/>
        </w:rPr>
        <w:t>Partido del Trab</w:t>
      </w:r>
      <w:bookmarkStart w:id="0" w:name="_GoBack"/>
      <w:bookmarkEnd w:id="0"/>
      <w:r w:rsidRPr="00DB6056">
        <w:rPr>
          <w:rFonts w:ascii="Palatino Linotype" w:eastAsia="Palatino Linotype" w:hAnsi="Palatino Linotype" w:cs="Palatino Linotype"/>
          <w:b/>
          <w:bCs/>
        </w:rPr>
        <w:t xml:space="preserve">ajo, </w:t>
      </w:r>
      <w:r w:rsidRPr="00DB6056">
        <w:rPr>
          <w:rFonts w:ascii="Palatino Linotype" w:eastAsia="Palatino Linotype" w:hAnsi="Palatino Linotype" w:cs="Palatino Linotype"/>
        </w:rPr>
        <w:t>en adelante el</w:t>
      </w:r>
      <w:r w:rsidRPr="00DB6056">
        <w:rPr>
          <w:rFonts w:ascii="Palatino Linotype" w:eastAsia="Palatino Linotype" w:hAnsi="Palatino Linotype" w:cs="Palatino Linotype"/>
          <w:b/>
          <w:bCs/>
        </w:rPr>
        <w:t xml:space="preserve"> SUJETO OBLIGADO</w:t>
      </w:r>
      <w:r w:rsidRPr="00DB6056">
        <w:rPr>
          <w:rFonts w:ascii="Palatino Linotype" w:eastAsia="Palatino Linotype" w:hAnsi="Palatino Linotype" w:cs="Palatino Linotype"/>
        </w:rPr>
        <w:t>, se procede a dictar la presente Resolución, con base en los siguientes:</w:t>
      </w:r>
    </w:p>
    <w:p w14:paraId="0105DD84" w14:textId="77777777" w:rsidR="004C1E80" w:rsidRPr="00DB6056" w:rsidRDefault="004C1E80">
      <w:pPr>
        <w:spacing w:line="360" w:lineRule="auto"/>
        <w:jc w:val="both"/>
        <w:rPr>
          <w:rFonts w:ascii="Palatino Linotype" w:eastAsia="Palatino Linotype" w:hAnsi="Palatino Linotype" w:cs="Palatino Linotype"/>
          <w:b/>
          <w:bCs/>
        </w:rPr>
      </w:pPr>
    </w:p>
    <w:p w14:paraId="0105DD85" w14:textId="77777777" w:rsidR="004C1E80" w:rsidRPr="00DB6056" w:rsidRDefault="00B67F9C">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gjdgxs" w:colFirst="0" w:colLast="0"/>
      <w:bookmarkEnd w:id="1"/>
      <w:r w:rsidRPr="00DB6056">
        <w:rPr>
          <w:rFonts w:ascii="Palatino Linotype" w:eastAsia="Palatino Linotype" w:hAnsi="Palatino Linotype" w:cs="Palatino Linotype"/>
          <w:b/>
          <w:bCs/>
          <w:color w:val="000000"/>
          <w:sz w:val="24"/>
          <w:szCs w:val="24"/>
        </w:rPr>
        <w:t>A N T E C E D E N T E S</w:t>
      </w:r>
    </w:p>
    <w:p w14:paraId="0105DD86" w14:textId="77777777" w:rsidR="004C1E80" w:rsidRPr="00DB6056" w:rsidRDefault="004C1E80">
      <w:pPr>
        <w:spacing w:line="360" w:lineRule="auto"/>
        <w:rPr>
          <w:rFonts w:ascii="Palatino Linotype" w:eastAsia="Palatino Linotype" w:hAnsi="Palatino Linotype" w:cs="Palatino Linotype"/>
        </w:rPr>
      </w:pPr>
    </w:p>
    <w:p w14:paraId="0105DD87"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El día</w:t>
      </w:r>
      <w:r w:rsidRPr="00DB6056">
        <w:rPr>
          <w:rFonts w:ascii="Palatino Linotype" w:eastAsia="Palatino Linotype" w:hAnsi="Palatino Linotype" w:cs="Palatino Linotype"/>
          <w:b/>
          <w:bCs/>
          <w:color w:val="000000"/>
        </w:rPr>
        <w:t xml:space="preserve"> diecinueve de febrero dos mil veintiséis, </w:t>
      </w:r>
      <w:r w:rsidRPr="00DB6056">
        <w:rPr>
          <w:rFonts w:ascii="Palatino Linotype" w:eastAsia="Palatino Linotype" w:hAnsi="Palatino Linotype" w:cs="Palatino Linotype"/>
          <w:color w:val="000000"/>
        </w:rPr>
        <w:t xml:space="preserve">se presentó ante el </w:t>
      </w:r>
      <w:r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sidRPr="00DB6056">
        <w:rPr>
          <w:rFonts w:ascii="Palatino Linotype" w:eastAsia="Palatino Linotype" w:hAnsi="Palatino Linotype" w:cs="Palatino Linotype"/>
          <w:b/>
          <w:bCs/>
          <w:color w:val="000000"/>
        </w:rPr>
        <w:t xml:space="preserve">  00007/PT/IP/2026; </w:t>
      </w:r>
      <w:r w:rsidRPr="00DB6056">
        <w:rPr>
          <w:rFonts w:ascii="Palatino Linotype" w:eastAsia="Palatino Linotype" w:hAnsi="Palatino Linotype" w:cs="Palatino Linotype"/>
        </w:rPr>
        <w:t xml:space="preserve">en la que </w:t>
      </w:r>
      <w:r w:rsidRPr="00DB6056">
        <w:rPr>
          <w:rFonts w:ascii="Palatino Linotype" w:eastAsia="Palatino Linotype" w:hAnsi="Palatino Linotype" w:cs="Palatino Linotype"/>
          <w:color w:val="000000"/>
        </w:rPr>
        <w:t>se solicitó la siguiente información:</w:t>
      </w:r>
    </w:p>
    <w:p w14:paraId="0105DD88" w14:textId="77777777" w:rsidR="004C1E80" w:rsidRPr="00DB6056" w:rsidRDefault="004C1E80">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0105DD89" w14:textId="77777777" w:rsidR="004C1E80" w:rsidRPr="00DB6056" w:rsidRDefault="00B67F9C">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bookmarkStart w:id="2" w:name="_heading=h.l6eytvc2qb3z" w:colFirst="0" w:colLast="0"/>
      <w:bookmarkEnd w:id="2"/>
      <w:r w:rsidRPr="00DB6056">
        <w:rPr>
          <w:rFonts w:ascii="Palatino Linotype" w:eastAsia="Palatino Linotype" w:hAnsi="Palatino Linotype" w:cs="Palatino Linotype"/>
          <w:i/>
          <w:iCs/>
          <w:color w:val="000000"/>
        </w:rPr>
        <w:t xml:space="preserve">“SOLICITO EL NUMERO DE AFILIADOS DURANTE EL PERIODO ENERO, FEBRERO, MARZO, ABRIL, MAYO, JUNIO Y JULIO DEL 2024 CORRESPONDIENTES A LOS MUNICIPIOS DE ECATEPEC, METEPEC, TLALNEPANTLA, TOLUCA, NAUCALPAN DE JUAREZ, CUAUTITLÁN IZCALLI, COACALCO DE BERRIOZABAL, NEZAHUALCOYOTL, LA PAZ, ZINACANTEPEC, IXTLAHUACA, SAN JOSE DEL RINCON, VILLA DEL CARBON, CALIMAYA, SAN FELIPE DEL PROGRESO, TLATLAYA, ZACAZONAPAN, LUVIANOS, </w:t>
      </w:r>
      <w:r w:rsidRPr="00DB6056">
        <w:rPr>
          <w:rFonts w:ascii="Palatino Linotype" w:eastAsia="Palatino Linotype" w:hAnsi="Palatino Linotype" w:cs="Palatino Linotype"/>
          <w:i/>
          <w:iCs/>
          <w:color w:val="000000"/>
        </w:rPr>
        <w:lastRenderedPageBreak/>
        <w:t>AMECAMECA, VALLE DE CHALCO, COATEPEC HARINAS, NICOLAS ROMERO, ATIZAPAN DE ZARAGOZA, HUIXQUILUCAN, JILOTEPEC, JILOTZINGO, XONACATLAN, ZUMPANGO, TECAMAC, HUEHUETOCA, APAXCO, TEXCOCO Y TEPOTZOTLAN. LO ANTERIOR, DESGLOSADO POR GENERO DE LA PERSONA AFILIADA. ADEMÁS, ES REQUERIDO EN VERSIÓN PÚBLICA Y EN FORMATO DIGITAL POR MEDIO DE LA PLATAFORMA SAIMEX.”</w:t>
      </w:r>
    </w:p>
    <w:p w14:paraId="0105DD8A" w14:textId="77777777" w:rsidR="004C1E80" w:rsidRPr="00DB6056" w:rsidRDefault="004C1E80">
      <w:pPr>
        <w:pBdr>
          <w:top w:val="nil"/>
          <w:left w:val="nil"/>
          <w:bottom w:val="nil"/>
          <w:right w:val="nil"/>
          <w:between w:val="nil"/>
        </w:pBdr>
        <w:spacing w:line="360" w:lineRule="auto"/>
        <w:ind w:left="851" w:right="34"/>
        <w:jc w:val="both"/>
        <w:rPr>
          <w:rFonts w:ascii="Palatino Linotype" w:eastAsia="Palatino Linotype" w:hAnsi="Palatino Linotype" w:cs="Palatino Linotype"/>
          <w:b/>
          <w:bCs/>
          <w:color w:val="000000"/>
        </w:rPr>
      </w:pPr>
    </w:p>
    <w:p w14:paraId="0105DD8B" w14:textId="77777777" w:rsidR="004C1E80" w:rsidRPr="00DB6056" w:rsidRDefault="00B67F9C">
      <w:pPr>
        <w:numPr>
          <w:ilvl w:val="0"/>
          <w:numId w:val="4"/>
        </w:numPr>
        <w:pBdr>
          <w:top w:val="nil"/>
          <w:left w:val="nil"/>
          <w:bottom w:val="nil"/>
          <w:right w:val="nil"/>
          <w:between w:val="nil"/>
        </w:pBdr>
        <w:spacing w:line="360" w:lineRule="auto"/>
        <w:ind w:left="851" w:right="34"/>
        <w:jc w:val="both"/>
        <w:rPr>
          <w:rFonts w:ascii="Palatino Linotype" w:eastAsia="Palatino Linotype" w:hAnsi="Palatino Linotype" w:cs="Palatino Linotype"/>
          <w:b/>
          <w:bCs/>
          <w:color w:val="000000"/>
        </w:rPr>
      </w:pPr>
      <w:r w:rsidRPr="00DB6056">
        <w:rPr>
          <w:rFonts w:ascii="Palatino Linotype" w:eastAsia="Palatino Linotype" w:hAnsi="Palatino Linotype" w:cs="Palatino Linotype"/>
          <w:color w:val="000000"/>
        </w:rPr>
        <w:t xml:space="preserve">Se eligió como modalidad de entrega: </w:t>
      </w:r>
      <w:r w:rsidRPr="00DB6056">
        <w:rPr>
          <w:rFonts w:ascii="Palatino Linotype" w:eastAsia="Palatino Linotype" w:hAnsi="Palatino Linotype" w:cs="Palatino Linotype"/>
          <w:b/>
          <w:bCs/>
          <w:color w:val="000000"/>
        </w:rPr>
        <w:t>SAIMEX.</w:t>
      </w:r>
    </w:p>
    <w:p w14:paraId="0105DD8C" w14:textId="77777777" w:rsidR="004C1E80" w:rsidRPr="00DB6056" w:rsidRDefault="004C1E80">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14:paraId="0105DD8D"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rPr>
      </w:pPr>
      <w:r w:rsidRPr="00DB6056">
        <w:rPr>
          <w:rFonts w:ascii="Palatino Linotype" w:eastAsia="Palatino Linotype" w:hAnsi="Palatino Linotype" w:cs="Palatino Linotype"/>
          <w:color w:val="000000"/>
        </w:rPr>
        <w:t xml:space="preserve">En fecha </w:t>
      </w:r>
      <w:r w:rsidRPr="00DB6056">
        <w:rPr>
          <w:rFonts w:ascii="Palatino Linotype" w:eastAsia="Palatino Linotype" w:hAnsi="Palatino Linotype" w:cs="Palatino Linotype"/>
          <w:b/>
          <w:bCs/>
          <w:color w:val="000000"/>
        </w:rPr>
        <w:t>trece de marzo de dos mil veintiséis</w:t>
      </w:r>
      <w:r w:rsidRPr="00DB6056">
        <w:rPr>
          <w:rFonts w:ascii="Palatino Linotype" w:eastAsia="Palatino Linotype" w:hAnsi="Palatino Linotype" w:cs="Palatino Linotype"/>
          <w:color w:val="000000"/>
        </w:rPr>
        <w:t xml:space="preserve"> el </w:t>
      </w:r>
      <w:r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 xml:space="preserve"> dio respuesta a la solicitud, a través de mediante un archivo denominado </w:t>
      </w:r>
      <w:r w:rsidRPr="00DB6056">
        <w:rPr>
          <w:rFonts w:ascii="Palatino Linotype" w:eastAsia="Palatino Linotype" w:hAnsi="Palatino Linotype" w:cs="Palatino Linotype"/>
          <w:b/>
          <w:bCs/>
          <w:i/>
          <w:iCs/>
          <w:color w:val="000000"/>
        </w:rPr>
        <w:t>RESPUESTA 0007-PT-IP-2026.pdf</w:t>
      </w:r>
      <w:r w:rsidRPr="00DB6056">
        <w:rPr>
          <w:rFonts w:ascii="Palatino Linotype" w:eastAsia="Palatino Linotype" w:hAnsi="Palatino Linotype" w:cs="Palatino Linotype"/>
          <w:color w:val="000000"/>
        </w:rPr>
        <w:t>, cuyo contenido corresponde a un oficio suscrito por la Unidad de Transparencia, mediante el cual se informa que a partir del año 2013, la información correspondiente a los registros de Afiliaciones vigentes en el Padrón de cada uno de los partidos políticos nacionales no se genera ni mensual ni anualmente, sino de manera trianual, toda vez que el Instituto Nacional Electoral realiza cada tres años el proceso de verificación del cumplimiento del número mínimo de los padrones de militantes de los Partidos Políticos Nacionales para garantizar que cada partido político cumple con estos requisitos previos al inicio del Proceso Electoral Federal, en ese contexto se proporcionan cifras por municipio, desagregado por hombres y mujeres relacionadas con la integración de personas Afiliadas al Partido del Trabajo.</w:t>
      </w:r>
    </w:p>
    <w:p w14:paraId="0105DD8E" w14:textId="77777777" w:rsidR="004C1E80" w:rsidRPr="00DB6056" w:rsidRDefault="004C1E8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105DD8F" w14:textId="77777777" w:rsidR="004C1E80" w:rsidRPr="00DB6056" w:rsidRDefault="00B67F9C">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lastRenderedPageBreak/>
        <w:t xml:space="preserve">Inconforme con la respuesta el </w:t>
      </w:r>
      <w:r w:rsidRPr="00DB6056">
        <w:rPr>
          <w:rFonts w:ascii="Palatino Linotype" w:eastAsia="Palatino Linotype" w:hAnsi="Palatino Linotype" w:cs="Palatino Linotype"/>
          <w:b/>
          <w:bCs/>
          <w:color w:val="000000"/>
        </w:rPr>
        <w:t>trece de marzo del año en curso</w:t>
      </w:r>
      <w:r w:rsidRPr="00DB6056">
        <w:rPr>
          <w:rFonts w:ascii="Palatino Linotype" w:eastAsia="Palatino Linotype" w:hAnsi="Palatino Linotype" w:cs="Palatino Linotype"/>
          <w:color w:val="000000"/>
        </w:rPr>
        <w:t>, interpuso el recurso de revisión en contra de la respuesta, manifestando las siguientes razones o motivos de inconformidad:</w:t>
      </w:r>
    </w:p>
    <w:p w14:paraId="0105DD90" w14:textId="77777777" w:rsidR="004C1E80" w:rsidRPr="00DB6056" w:rsidRDefault="004C1E8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105DD91" w14:textId="77777777" w:rsidR="004C1E80" w:rsidRPr="00DB6056" w:rsidRDefault="00B67F9C">
      <w:pPr>
        <w:numPr>
          <w:ilvl w:val="0"/>
          <w:numId w:val="4"/>
        </w:numPr>
        <w:pBdr>
          <w:top w:val="nil"/>
          <w:left w:val="nil"/>
          <w:bottom w:val="nil"/>
          <w:right w:val="nil"/>
          <w:between w:val="nil"/>
        </w:pBdr>
        <w:spacing w:line="360" w:lineRule="auto"/>
        <w:ind w:left="709" w:right="426"/>
        <w:jc w:val="both"/>
        <w:rPr>
          <w:rFonts w:ascii="Palatino Linotype" w:eastAsia="Palatino Linotype" w:hAnsi="Palatino Linotype" w:cs="Palatino Linotype"/>
          <w:i/>
          <w:iCs/>
          <w:color w:val="000000"/>
        </w:rPr>
      </w:pPr>
      <w:bookmarkStart w:id="3" w:name="_heading=h.30j0zll" w:colFirst="0" w:colLast="0"/>
      <w:bookmarkEnd w:id="3"/>
      <w:r w:rsidRPr="00DB6056">
        <w:rPr>
          <w:rFonts w:ascii="Palatino Linotype" w:eastAsia="Palatino Linotype" w:hAnsi="Palatino Linotype" w:cs="Palatino Linotype"/>
          <w:b/>
          <w:bCs/>
          <w:color w:val="000000"/>
        </w:rPr>
        <w:t xml:space="preserve">Acto impugnado: </w:t>
      </w:r>
      <w:r w:rsidRPr="00DB6056">
        <w:rPr>
          <w:rFonts w:ascii="Palatino Linotype" w:eastAsia="Palatino Linotype" w:hAnsi="Palatino Linotype" w:cs="Palatino Linotype"/>
          <w:i/>
          <w:iCs/>
          <w:color w:val="000000"/>
        </w:rPr>
        <w:t>“LA RESPONSABLE DE AFILIACIÓN NO ME ESTÁ DANDO LO QUE ESTOY SOLICITANDO. YA HIZO QUE EL PRD PERDIERA EL REGISTRO Y AHORA VA CON EL PT, LA MUY FRACASADA. YO SOLICITÉ INFORMACIÓN ESPECÍFICA, NO LO QUE ELLA QUIERE ENVIAR. LOS HUEVOS NO SON AL GUSTO.”</w:t>
      </w:r>
    </w:p>
    <w:p w14:paraId="0105DD92" w14:textId="77777777" w:rsidR="004C1E80" w:rsidRPr="00DB6056" w:rsidRDefault="004C1E80">
      <w:pPr>
        <w:pBdr>
          <w:top w:val="nil"/>
          <w:left w:val="nil"/>
          <w:bottom w:val="nil"/>
          <w:right w:val="nil"/>
          <w:between w:val="nil"/>
        </w:pBdr>
        <w:spacing w:line="360" w:lineRule="auto"/>
        <w:ind w:left="709" w:right="426"/>
        <w:jc w:val="both"/>
        <w:rPr>
          <w:rFonts w:ascii="Palatino Linotype" w:eastAsia="Palatino Linotype" w:hAnsi="Palatino Linotype" w:cs="Palatino Linotype"/>
          <w:i/>
          <w:iCs/>
          <w:color w:val="000000"/>
        </w:rPr>
      </w:pPr>
    </w:p>
    <w:p w14:paraId="0105DD93" w14:textId="77777777" w:rsidR="004C1E80" w:rsidRPr="00DB6056" w:rsidRDefault="00B67F9C">
      <w:pPr>
        <w:numPr>
          <w:ilvl w:val="0"/>
          <w:numId w:val="4"/>
        </w:numPr>
        <w:pBdr>
          <w:top w:val="nil"/>
          <w:left w:val="nil"/>
          <w:bottom w:val="nil"/>
          <w:right w:val="nil"/>
          <w:between w:val="nil"/>
        </w:pBdr>
        <w:spacing w:line="360" w:lineRule="auto"/>
        <w:ind w:left="709" w:right="426"/>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b/>
          <w:bCs/>
          <w:color w:val="000000"/>
        </w:rPr>
        <w:t>Razones o Motivos de Inconformidad:</w:t>
      </w:r>
      <w:r w:rsidRPr="00DB6056">
        <w:rPr>
          <w:rFonts w:ascii="Palatino Linotype" w:eastAsia="Palatino Linotype" w:hAnsi="Palatino Linotype" w:cs="Palatino Linotype"/>
          <w:i/>
          <w:iCs/>
          <w:color w:val="000000"/>
        </w:rPr>
        <w:t xml:space="preserve"> “NO ME ENVÍA LA INFORMACIÓN QUE YO REQUIERO. ES UNA INEPTA.”</w:t>
      </w:r>
    </w:p>
    <w:p w14:paraId="0105DD94" w14:textId="77777777" w:rsidR="004C1E80" w:rsidRPr="00DB6056" w:rsidRDefault="004C1E80">
      <w:pPr>
        <w:pBdr>
          <w:top w:val="nil"/>
          <w:left w:val="nil"/>
          <w:bottom w:val="nil"/>
          <w:right w:val="nil"/>
          <w:between w:val="nil"/>
        </w:pBdr>
        <w:spacing w:line="360" w:lineRule="auto"/>
        <w:ind w:left="709" w:right="426"/>
        <w:jc w:val="both"/>
        <w:rPr>
          <w:rFonts w:ascii="Palatino Linotype" w:eastAsia="Palatino Linotype" w:hAnsi="Palatino Linotype" w:cs="Palatino Linotype"/>
          <w:i/>
          <w:iCs/>
          <w:color w:val="000000"/>
        </w:rPr>
      </w:pPr>
    </w:p>
    <w:p w14:paraId="0105DD95"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Pr="00DB6056">
        <w:rPr>
          <w:rFonts w:ascii="Palatino Linotype" w:eastAsia="Palatino Linotype" w:hAnsi="Palatino Linotype" w:cs="Palatino Linotype"/>
          <w:b/>
          <w:bCs/>
          <w:color w:val="000000"/>
        </w:rPr>
        <w:t>diecisiete de marzo de dos mil veintiséis</w:t>
      </w:r>
      <w:r w:rsidRPr="00DB6056">
        <w:rPr>
          <w:rFonts w:ascii="Palatino Linotype" w:eastAsia="Palatino Linotype" w:hAnsi="Palatino Linotype" w:cs="Palatino Linotype"/>
          <w:color w:val="000000"/>
        </w:rPr>
        <w:t xml:space="preserve">, puso a disposición de las partes el expediente electrónico vía </w:t>
      </w:r>
      <w:r w:rsidRPr="00DB6056">
        <w:rPr>
          <w:rFonts w:ascii="Palatino Linotype" w:eastAsia="Palatino Linotype" w:hAnsi="Palatino Linotype" w:cs="Palatino Linotype"/>
          <w:b/>
          <w:bCs/>
          <w:color w:val="000000"/>
        </w:rPr>
        <w:t xml:space="preserve">SAIMEX </w:t>
      </w:r>
      <w:r w:rsidRPr="00DB6056">
        <w:rPr>
          <w:rFonts w:ascii="Palatino Linotype" w:eastAsia="Palatino Linotype" w:hAnsi="Palatino Linotype" w:cs="Palatino Linotype"/>
          <w:color w:val="000000"/>
        </w:rPr>
        <w:t xml:space="preserve">a efecto de que en un plazo máximo de siete días </w:t>
      </w:r>
      <w:r w:rsidRPr="00DB6056">
        <w:rPr>
          <w:rFonts w:ascii="Palatino Linotype" w:eastAsia="Palatino Linotype" w:hAnsi="Palatino Linotype" w:cs="Palatino Linotype"/>
        </w:rPr>
        <w:t>manifestara</w:t>
      </w:r>
      <w:r w:rsidRPr="00DB6056">
        <w:rPr>
          <w:rFonts w:ascii="Palatino Linotype" w:eastAsia="Palatino Linotype" w:hAnsi="Palatino Linotype" w:cs="Palatino Linotype"/>
          <w:color w:val="000000"/>
        </w:rPr>
        <w:t xml:space="preserve"> lo que a su derecho conviniera, </w:t>
      </w:r>
      <w:r w:rsidRPr="00DB6056">
        <w:rPr>
          <w:rFonts w:ascii="Palatino Linotype" w:eastAsia="Palatino Linotype" w:hAnsi="Palatino Linotype" w:cs="Palatino Linotype"/>
        </w:rPr>
        <w:t>ofreciera</w:t>
      </w:r>
      <w:r w:rsidRPr="00DB6056">
        <w:rPr>
          <w:rFonts w:ascii="Palatino Linotype" w:eastAsia="Palatino Linotype" w:hAnsi="Palatino Linotype" w:cs="Palatino Linotype"/>
          <w:color w:val="000000"/>
        </w:rPr>
        <w:t xml:space="preserve"> pruebas y alegatos según corresponda a los casos concretos, y el </w:t>
      </w:r>
      <w:r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 xml:space="preserve"> presentará el Informe Justificado procedente.</w:t>
      </w:r>
    </w:p>
    <w:p w14:paraId="0105DD96" w14:textId="77777777" w:rsidR="004C1E80" w:rsidRPr="00DB6056" w:rsidRDefault="004C1E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05DD97"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De lo anterior, el </w:t>
      </w:r>
      <w:r w:rsidRPr="00DB6056">
        <w:rPr>
          <w:rFonts w:ascii="Palatino Linotype" w:eastAsia="Palatino Linotype" w:hAnsi="Palatino Linotype" w:cs="Palatino Linotype"/>
          <w:b/>
          <w:bCs/>
          <w:color w:val="000000"/>
        </w:rPr>
        <w:t xml:space="preserve">SUJETO OBLIGADO </w:t>
      </w:r>
      <w:r w:rsidRPr="00DB6056">
        <w:rPr>
          <w:rFonts w:ascii="Palatino Linotype" w:eastAsia="Palatino Linotype" w:hAnsi="Palatino Linotype" w:cs="Palatino Linotype"/>
          <w:color w:val="000000"/>
        </w:rPr>
        <w:t xml:space="preserve">rindió informe justificado en fecha </w:t>
      </w:r>
      <w:r w:rsidRPr="00DB6056">
        <w:rPr>
          <w:rFonts w:ascii="Palatino Linotype" w:eastAsia="Palatino Linotype" w:hAnsi="Palatino Linotype" w:cs="Palatino Linotype"/>
          <w:b/>
          <w:bCs/>
          <w:color w:val="000000"/>
        </w:rPr>
        <w:t xml:space="preserve">veinticinco de marzo de dos mil veintiséis, </w:t>
      </w:r>
      <w:r w:rsidRPr="00DB6056">
        <w:rPr>
          <w:rFonts w:ascii="Palatino Linotype" w:eastAsia="Palatino Linotype" w:hAnsi="Palatino Linotype" w:cs="Palatino Linotype"/>
          <w:color w:val="000000"/>
        </w:rPr>
        <w:t xml:space="preserve">confirmando su respuesta inicial; ya que a su decir resulta bastante evidente que no es posible proporcionar la información correspondiente al número de personas afiliadas durante el periodo de enero a julio del 2024, toda vez que el Instituto </w:t>
      </w:r>
      <w:r w:rsidRPr="00DB6056">
        <w:rPr>
          <w:rFonts w:ascii="Palatino Linotype" w:eastAsia="Palatino Linotype" w:hAnsi="Palatino Linotype" w:cs="Palatino Linotype"/>
          <w:color w:val="000000"/>
        </w:rPr>
        <w:lastRenderedPageBreak/>
        <w:t xml:space="preserve">Nacional Electoral verifica en el año previo al Proceso Electoral Federal ordinario, cada tres años, el cumplimiento de los partidos políticos respecto del número mínimo de personas afiliadas establecido en la ley para la conservación de su registro y por supuesto, participar en el Proceso Electoral correspondiente. Por su parte el ahora </w:t>
      </w:r>
      <w:r w:rsidRPr="00DB6056">
        <w:rPr>
          <w:rFonts w:ascii="Palatino Linotype" w:eastAsia="Palatino Linotype" w:hAnsi="Palatino Linotype" w:cs="Palatino Linotype"/>
          <w:b/>
          <w:bCs/>
          <w:color w:val="000000"/>
        </w:rPr>
        <w:t>RECURRENTE</w:t>
      </w:r>
      <w:r w:rsidRPr="00DB6056">
        <w:rPr>
          <w:rFonts w:ascii="Palatino Linotype" w:eastAsia="Palatino Linotype" w:hAnsi="Palatino Linotype" w:cs="Palatino Linotype"/>
          <w:color w:val="000000"/>
        </w:rPr>
        <w:t xml:space="preserve"> fue omiso en realizar las manifestaciones que a su derecho conviniera y asistiera.</w:t>
      </w:r>
    </w:p>
    <w:p w14:paraId="0105DD98" w14:textId="77777777" w:rsidR="004C1E80" w:rsidRPr="00DB6056" w:rsidRDefault="004C1E80">
      <w:pPr>
        <w:spacing w:line="360" w:lineRule="auto"/>
        <w:jc w:val="center"/>
        <w:rPr>
          <w:rFonts w:ascii="Palatino Linotype" w:eastAsia="Palatino Linotype" w:hAnsi="Palatino Linotype" w:cs="Palatino Linotype"/>
          <w:color w:val="000000"/>
        </w:rPr>
      </w:pPr>
    </w:p>
    <w:p w14:paraId="0105DD99"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4" w:name="_heading=h.1fob9te" w:colFirst="0" w:colLast="0"/>
      <w:bookmarkEnd w:id="4"/>
      <w:r w:rsidRPr="00DB6056">
        <w:rPr>
          <w:rFonts w:ascii="Palatino Linotype" w:eastAsia="Palatino Linotype" w:hAnsi="Palatino Linotype" w:cs="Palatino Linotype"/>
          <w:color w:val="000000"/>
        </w:rPr>
        <w:t xml:space="preserve">Seguidamente, mediante acuerdo de fecha </w:t>
      </w:r>
      <w:r w:rsidRPr="00DB6056">
        <w:rPr>
          <w:rFonts w:ascii="Palatino Linotype" w:eastAsia="Palatino Linotype" w:hAnsi="Palatino Linotype" w:cs="Palatino Linotype"/>
          <w:b/>
          <w:bCs/>
          <w:color w:val="000000"/>
        </w:rPr>
        <w:t xml:space="preserve">dieciséis de junio de dos mil veintiséis </w:t>
      </w:r>
      <w:r w:rsidRPr="00DB6056">
        <w:rPr>
          <w:rFonts w:ascii="Palatino Linotype" w:eastAsia="Palatino Linotype" w:hAnsi="Palatino Linotype" w:cs="Palatino Linotype"/>
          <w:color w:val="000000"/>
        </w:rPr>
        <w:t>se amplió el término para resolver. 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105DD9A" w14:textId="77777777" w:rsidR="004C1E80" w:rsidRPr="00DB6056" w:rsidRDefault="004C1E80">
      <w:pPr>
        <w:pBdr>
          <w:top w:val="nil"/>
          <w:left w:val="nil"/>
          <w:bottom w:val="nil"/>
          <w:right w:val="nil"/>
          <w:between w:val="nil"/>
        </w:pBdr>
        <w:spacing w:line="360" w:lineRule="auto"/>
        <w:ind w:left="720" w:right="-839"/>
        <w:rPr>
          <w:rFonts w:ascii="Palatino Linotype" w:eastAsia="Palatino Linotype" w:hAnsi="Palatino Linotype" w:cs="Palatino Linotype"/>
          <w:color w:val="000000"/>
        </w:rPr>
      </w:pPr>
    </w:p>
    <w:p w14:paraId="0105DD9B" w14:textId="3686E59E"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DB6056">
        <w:rPr>
          <w:rFonts w:ascii="Palatino Linotype" w:eastAsia="Palatino Linotype" w:hAnsi="Palatino Linotype" w:cs="Palatino Linotype"/>
          <w:color w:val="000000"/>
        </w:rPr>
        <w:t xml:space="preserve">Finalmente al no existir pendiente o diligencia por desahogar, se decretó el cierre de instrucción mediante Acuerdo de fecha </w:t>
      </w:r>
      <w:r w:rsidRPr="00DB6056">
        <w:rPr>
          <w:rFonts w:ascii="Palatino Linotype" w:eastAsia="Palatino Linotype" w:hAnsi="Palatino Linotype" w:cs="Palatino Linotype"/>
          <w:b/>
          <w:bCs/>
          <w:color w:val="000000"/>
        </w:rPr>
        <w:t>veintidós de junio de dos mil veintiséis</w:t>
      </w:r>
      <w:r w:rsidRPr="00DB6056">
        <w:rPr>
          <w:rFonts w:ascii="Palatino Linotype" w:eastAsia="Palatino Linotype" w:hAnsi="Palatino Linotype" w:cs="Palatino Linotype"/>
          <w:color w:val="000000"/>
        </w:rPr>
        <w:t xml:space="preserve">, por lo que no habiendo más que hacer constar, y </w:t>
      </w:r>
    </w:p>
    <w:p w14:paraId="0105DD9C" w14:textId="77777777" w:rsidR="004C1E80" w:rsidRPr="00DB6056" w:rsidRDefault="004C1E8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14:paraId="0105DD9D" w14:textId="77777777" w:rsidR="004C1E80" w:rsidRPr="00DB6056" w:rsidRDefault="00B67F9C">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DB6056">
        <w:rPr>
          <w:rFonts w:ascii="Palatino Linotype" w:eastAsia="Palatino Linotype" w:hAnsi="Palatino Linotype" w:cs="Palatino Linotype"/>
          <w:b/>
          <w:bCs/>
          <w:color w:val="000000"/>
        </w:rPr>
        <w:t>C O N S I D E R A N D O</w:t>
      </w:r>
    </w:p>
    <w:p w14:paraId="0105DD9E" w14:textId="77777777" w:rsidR="004C1E80" w:rsidRPr="00DB6056" w:rsidRDefault="004C1E8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14:paraId="0105DD9F" w14:textId="77777777" w:rsidR="004C1E80" w:rsidRPr="00DB6056" w:rsidRDefault="00B67F9C">
      <w:pPr>
        <w:pStyle w:val="Ttulo2"/>
        <w:spacing w:before="0" w:line="360" w:lineRule="auto"/>
        <w:rPr>
          <w:rFonts w:ascii="Palatino Linotype" w:eastAsia="Palatino Linotype" w:hAnsi="Palatino Linotype" w:cs="Palatino Linotype"/>
          <w:b/>
          <w:bCs/>
          <w:color w:val="000000"/>
          <w:sz w:val="24"/>
          <w:szCs w:val="24"/>
        </w:rPr>
      </w:pPr>
      <w:bookmarkStart w:id="5" w:name="_heading=h.3znysh7" w:colFirst="0" w:colLast="0"/>
      <w:bookmarkEnd w:id="5"/>
      <w:r w:rsidRPr="00DB6056">
        <w:rPr>
          <w:rFonts w:ascii="Palatino Linotype" w:eastAsia="Palatino Linotype" w:hAnsi="Palatino Linotype" w:cs="Palatino Linotype"/>
          <w:b/>
          <w:bCs/>
          <w:color w:val="000000"/>
          <w:sz w:val="24"/>
          <w:szCs w:val="24"/>
        </w:rPr>
        <w:t>PRIMERO. De la competencia</w:t>
      </w:r>
    </w:p>
    <w:p w14:paraId="0105DDA1" w14:textId="77777777" w:rsidR="004C1E80" w:rsidRPr="00DB6056" w:rsidRDefault="00B67F9C">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DB6056">
        <w:rPr>
          <w:rFonts w:ascii="Palatino Linotype" w:eastAsia="Palatino Linotype" w:hAnsi="Palatino Linotype" w:cs="Palatino Linotype"/>
        </w:rPr>
        <w:lastRenderedPageBreak/>
        <w:t>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105DDA2" w14:textId="77777777" w:rsidR="004C1E80" w:rsidRPr="00DB6056" w:rsidRDefault="004C1E8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14:paraId="0105DDA3" w14:textId="77777777" w:rsidR="004C1E80" w:rsidRPr="00DB6056" w:rsidRDefault="00B67F9C">
      <w:pPr>
        <w:pStyle w:val="Ttulo2"/>
        <w:spacing w:before="0" w:line="360" w:lineRule="auto"/>
        <w:rPr>
          <w:rFonts w:ascii="Palatino Linotype" w:eastAsia="Palatino Linotype" w:hAnsi="Palatino Linotype" w:cs="Palatino Linotype"/>
          <w:b/>
          <w:bCs/>
          <w:color w:val="000000"/>
          <w:sz w:val="24"/>
          <w:szCs w:val="24"/>
        </w:rPr>
      </w:pPr>
      <w:bookmarkStart w:id="6" w:name="_heading=h.2et92p0" w:colFirst="0" w:colLast="0"/>
      <w:bookmarkEnd w:id="6"/>
      <w:r w:rsidRPr="00DB6056">
        <w:rPr>
          <w:rFonts w:ascii="Palatino Linotype" w:eastAsia="Palatino Linotype" w:hAnsi="Palatino Linotype" w:cs="Palatino Linotype"/>
          <w:b/>
          <w:bCs/>
          <w:color w:val="000000"/>
          <w:sz w:val="24"/>
          <w:szCs w:val="24"/>
        </w:rPr>
        <w:t>SEGUNDO. De la oportunidad y procedencia.</w:t>
      </w:r>
    </w:p>
    <w:p w14:paraId="0105DDA5"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Este Órgano Garante considera que el medio de impugnación reúne los requisitos de procedencia </w:t>
      </w:r>
      <w:r w:rsidRPr="00DB6056">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0105DDA6" w14:textId="77777777" w:rsidR="004C1E80" w:rsidRPr="00DB6056" w:rsidRDefault="004C1E8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105DDA7"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Por </w:t>
      </w:r>
      <w:r w:rsidRPr="00DB6056">
        <w:rPr>
          <w:rFonts w:ascii="Palatino Linotype" w:eastAsia="Palatino Linotype" w:hAnsi="Palatino Linotype" w:cs="Palatino Linotype"/>
        </w:rPr>
        <w:t>otro</w:t>
      </w:r>
      <w:r w:rsidRPr="00DB6056">
        <w:rPr>
          <w:rFonts w:ascii="Palatino Linotype" w:eastAsia="Palatino Linotype" w:hAnsi="Palatino Linotype" w:cs="Palatino Linotype"/>
          <w:color w:val="000000"/>
        </w:rPr>
        <w:t xml:space="preserve"> </w:t>
      </w:r>
      <w:r w:rsidRPr="00DB6056">
        <w:rPr>
          <w:rFonts w:ascii="Palatino Linotype" w:eastAsia="Palatino Linotype" w:hAnsi="Palatino Linotype" w:cs="Palatino Linotype"/>
        </w:rPr>
        <w:t>lado</w:t>
      </w:r>
      <w:r w:rsidRPr="00DB6056">
        <w:rPr>
          <w:rFonts w:ascii="Palatino Linotype" w:eastAsia="Palatino Linotype" w:hAnsi="Palatino Linotype" w:cs="Palatino Linotype"/>
          <w:color w:val="000000"/>
        </w:rPr>
        <w:t xml:space="preserve">, es de suma importancia señalar que la parte recurrente no proporciona un </w:t>
      </w:r>
      <w:r w:rsidRPr="00DB6056">
        <w:rPr>
          <w:rFonts w:ascii="Palatino Linotype" w:eastAsia="Palatino Linotype" w:hAnsi="Palatino Linotype" w:cs="Palatino Linotype"/>
          <w:color w:val="000000"/>
          <w:u w:val="single"/>
        </w:rPr>
        <w:t>nombre completo</w:t>
      </w:r>
      <w:r w:rsidRPr="00DB6056">
        <w:rPr>
          <w:rFonts w:ascii="Palatino Linotype" w:eastAsia="Palatino Linotype" w:hAnsi="Palatino Linotype" w:cs="Palatino Linotype"/>
          <w:color w:val="000000"/>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105DDA8"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A9" w14:textId="77777777" w:rsidR="004C1E80" w:rsidRPr="00DB6056" w:rsidRDefault="00B67F9C">
      <w:pPr>
        <w:spacing w:line="360" w:lineRule="auto"/>
        <w:ind w:left="567" w:right="-839"/>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i/>
          <w:iCs/>
          <w:color w:val="000000"/>
        </w:rPr>
        <w:lastRenderedPageBreak/>
        <w:t>"</w:t>
      </w:r>
      <w:r w:rsidRPr="00DB6056">
        <w:rPr>
          <w:rFonts w:ascii="Palatino Linotype" w:eastAsia="Palatino Linotype" w:hAnsi="Palatino Linotype" w:cs="Palatino Linotype"/>
          <w:b/>
          <w:bCs/>
          <w:i/>
          <w:iCs/>
          <w:color w:val="000000"/>
        </w:rPr>
        <w:t>Las solicitudes anónimas</w:t>
      </w:r>
      <w:r w:rsidRPr="00DB6056">
        <w:rPr>
          <w:rFonts w:ascii="Palatino Linotype" w:eastAsia="Palatino Linotype" w:hAnsi="Palatino Linotype" w:cs="Palatino Linotype"/>
          <w:i/>
          <w:iCs/>
          <w:color w:val="000000"/>
        </w:rPr>
        <w:t xml:space="preserve">, con nombre incompleto o seudónimo </w:t>
      </w:r>
      <w:r w:rsidRPr="00DB6056">
        <w:rPr>
          <w:rFonts w:ascii="Palatino Linotype" w:eastAsia="Palatino Linotype" w:hAnsi="Palatino Linotype" w:cs="Palatino Linotype"/>
          <w:b/>
          <w:bCs/>
          <w:i/>
          <w:iCs/>
          <w:color w:val="000000"/>
        </w:rPr>
        <w:t>serán procedentes para su trámite por parte del sujeto obligado ante quien se presente</w:t>
      </w:r>
      <w:r w:rsidRPr="00DB6056">
        <w:rPr>
          <w:rFonts w:ascii="Palatino Linotype" w:eastAsia="Palatino Linotype" w:hAnsi="Palatino Linotype" w:cs="Palatino Linotype"/>
          <w:i/>
          <w:iCs/>
          <w:color w:val="000000"/>
        </w:rPr>
        <w:t>. No podrá requerirse información adicional con motivo del nombre proporcionado por el solicitante."</w:t>
      </w:r>
    </w:p>
    <w:p w14:paraId="0105DDAA" w14:textId="77777777" w:rsidR="004C1E80" w:rsidRPr="00DB6056" w:rsidRDefault="004C1E80">
      <w:pPr>
        <w:pBdr>
          <w:top w:val="nil"/>
          <w:left w:val="nil"/>
          <w:bottom w:val="nil"/>
          <w:right w:val="nil"/>
          <w:between w:val="nil"/>
        </w:pBdr>
        <w:spacing w:line="360" w:lineRule="auto"/>
        <w:ind w:right="-839"/>
        <w:jc w:val="both"/>
        <w:rPr>
          <w:rFonts w:ascii="Palatino Linotype" w:eastAsia="Palatino Linotype" w:hAnsi="Palatino Linotype" w:cs="Palatino Linotype"/>
        </w:rPr>
      </w:pPr>
    </w:p>
    <w:p w14:paraId="0105DDAB"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Consecuencia de lo anterior, este Órgano Garante advierte que el escrito contiene las </w:t>
      </w:r>
      <w:r w:rsidRPr="00DB6056">
        <w:rPr>
          <w:rFonts w:ascii="Palatino Linotype" w:eastAsia="Palatino Linotype" w:hAnsi="Palatino Linotype" w:cs="Palatino Linotype"/>
        </w:rPr>
        <w:t>formalidades</w:t>
      </w:r>
      <w:r w:rsidRPr="00DB6056">
        <w:rPr>
          <w:rFonts w:ascii="Palatino Linotype" w:eastAsia="Palatino Linotype" w:hAnsi="Palatino Linotype" w:cs="Palatino Linotype"/>
          <w:color w:val="000000"/>
        </w:rPr>
        <w:t xml:space="preserve"> previstas por el artículo 180 último párrafo de la Ley de </w:t>
      </w:r>
      <w:r w:rsidRPr="00DB6056">
        <w:rPr>
          <w:rFonts w:ascii="Palatino Linotype" w:eastAsia="Palatino Linotype" w:hAnsi="Palatino Linotype" w:cs="Palatino Linotype"/>
        </w:rPr>
        <w:t>Transparencia</w:t>
      </w:r>
      <w:r w:rsidRPr="00DB6056">
        <w:rPr>
          <w:rFonts w:ascii="Palatino Linotype" w:eastAsia="Palatino Linotype" w:hAnsi="Palatino Linotype" w:cs="Palatino Linotype"/>
          <w:color w:val="000000"/>
        </w:rPr>
        <w:t xml:space="preserve"> y Acceso a la </w:t>
      </w:r>
      <w:r w:rsidRPr="00DB6056">
        <w:rPr>
          <w:rFonts w:ascii="Palatino Linotype" w:eastAsia="Palatino Linotype" w:hAnsi="Palatino Linotype" w:cs="Palatino Linotype"/>
        </w:rPr>
        <w:t>Información</w:t>
      </w:r>
      <w:r w:rsidRPr="00DB6056">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14:paraId="0105DDAC" w14:textId="77777777" w:rsidR="004C1E80" w:rsidRPr="00DB6056" w:rsidRDefault="004C1E80">
      <w:pPr>
        <w:spacing w:line="360" w:lineRule="auto"/>
        <w:ind w:right="-929"/>
        <w:jc w:val="both"/>
        <w:rPr>
          <w:rFonts w:ascii="Palatino Linotype" w:eastAsia="Palatino Linotype" w:hAnsi="Palatino Linotype" w:cs="Palatino Linotype"/>
        </w:rPr>
      </w:pPr>
    </w:p>
    <w:p w14:paraId="0105DDAD"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14:paraId="0105DDAE"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AF" w14:textId="77777777" w:rsidR="004C1E80" w:rsidRPr="00DB6056" w:rsidRDefault="00B67F9C">
      <w:pPr>
        <w:pStyle w:val="Ttulo1"/>
        <w:spacing w:before="0" w:line="360" w:lineRule="auto"/>
        <w:rPr>
          <w:rFonts w:ascii="Palatino Linotype" w:eastAsia="Palatino Linotype" w:hAnsi="Palatino Linotype" w:cs="Palatino Linotype"/>
          <w:b/>
          <w:bCs/>
          <w:color w:val="000000"/>
          <w:sz w:val="24"/>
          <w:szCs w:val="24"/>
        </w:rPr>
      </w:pPr>
      <w:bookmarkStart w:id="7" w:name="_heading=h.tyjcwt" w:colFirst="0" w:colLast="0"/>
      <w:bookmarkEnd w:id="7"/>
      <w:r w:rsidRPr="00DB6056">
        <w:rPr>
          <w:rFonts w:ascii="Palatino Linotype" w:eastAsia="Palatino Linotype" w:hAnsi="Palatino Linotype" w:cs="Palatino Linotype"/>
          <w:b/>
          <w:bCs/>
          <w:color w:val="000000"/>
          <w:sz w:val="24"/>
          <w:szCs w:val="24"/>
        </w:rPr>
        <w:t xml:space="preserve">TERCERO. Del planteamiento de la </w:t>
      </w:r>
      <w:r w:rsidRPr="00DB6056">
        <w:rPr>
          <w:rFonts w:ascii="Palatino Linotype" w:eastAsia="Palatino Linotype" w:hAnsi="Palatino Linotype" w:cs="Palatino Linotype"/>
          <w:b/>
          <w:bCs/>
          <w:i/>
          <w:iCs/>
          <w:color w:val="000000"/>
          <w:sz w:val="24"/>
          <w:szCs w:val="24"/>
        </w:rPr>
        <w:t>Litis</w:t>
      </w:r>
      <w:r w:rsidRPr="00DB6056">
        <w:rPr>
          <w:rFonts w:ascii="Palatino Linotype" w:eastAsia="Palatino Linotype" w:hAnsi="Palatino Linotype" w:cs="Palatino Linotype"/>
          <w:b/>
          <w:bCs/>
          <w:color w:val="000000"/>
          <w:sz w:val="24"/>
          <w:szCs w:val="24"/>
        </w:rPr>
        <w:t>.</w:t>
      </w:r>
    </w:p>
    <w:p w14:paraId="0105DDB1" w14:textId="77777777" w:rsidR="004C1E80" w:rsidRPr="00DB6056" w:rsidRDefault="00B67F9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Se solicitó tener acceso, a la información que a continuación se desagrega:</w:t>
      </w:r>
    </w:p>
    <w:p w14:paraId="0105DDB3" w14:textId="77777777" w:rsidR="004C1E80" w:rsidRPr="00DB6056" w:rsidRDefault="00B67F9C">
      <w:pPr>
        <w:numPr>
          <w:ilvl w:val="0"/>
          <w:numId w:val="6"/>
        </w:numPr>
        <w:pBdr>
          <w:top w:val="nil"/>
          <w:left w:val="nil"/>
          <w:bottom w:val="nil"/>
          <w:right w:val="nil"/>
          <w:between w:val="nil"/>
        </w:pBdr>
        <w:spacing w:line="360" w:lineRule="auto"/>
        <w:ind w:left="851" w:right="476"/>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Número de afiliados en los meses de enero, febrero, marzo, abril, mayo, junio y julio del 2024 correspondientes a los municipios de Ecatepec, Metepec, Tlalnepantla, Toluca, Naucalpan de Juárez, Cuautitlán Izcalli, Coacalco de Berriozábal, Nezahualcóyotl, La Paz, Zinacantepec, Ixtlahuaca, San José del Rincón, Villa del Carbón, Calimaya, San Felipe del Progreso, Tlatlaya, Zacazonapan, Luvianos, Amecameca, Valle de Chalco, Coatepec Harinas, Nicolás Romero, Atizapán de Zaragoza, Huixquilucan, Jilotepec, Jilotzingo, </w:t>
      </w:r>
      <w:r w:rsidRPr="00DB6056">
        <w:rPr>
          <w:rFonts w:ascii="Palatino Linotype" w:eastAsia="Palatino Linotype" w:hAnsi="Palatino Linotype" w:cs="Palatino Linotype"/>
          <w:color w:val="000000"/>
        </w:rPr>
        <w:lastRenderedPageBreak/>
        <w:t>Xonacatlan, Zumpango, Tecámac, Huehuetoca, Apaxco, Texcoco y Tepotzotlán, desglosado por sexo.</w:t>
      </w:r>
    </w:p>
    <w:p w14:paraId="0105DDB4" w14:textId="77777777" w:rsidR="004C1E80" w:rsidRPr="00DB6056" w:rsidRDefault="004C1E80">
      <w:pPr>
        <w:pBdr>
          <w:top w:val="nil"/>
          <w:left w:val="nil"/>
          <w:bottom w:val="nil"/>
          <w:right w:val="nil"/>
          <w:between w:val="nil"/>
        </w:pBdr>
        <w:spacing w:line="360" w:lineRule="auto"/>
        <w:ind w:left="349" w:right="476"/>
        <w:jc w:val="both"/>
        <w:rPr>
          <w:rFonts w:ascii="Palatino Linotype" w:eastAsia="Palatino Linotype" w:hAnsi="Palatino Linotype" w:cs="Palatino Linotype"/>
          <w:color w:val="000000"/>
        </w:rPr>
      </w:pPr>
    </w:p>
    <w:p w14:paraId="0105DDB5"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En respuesta, el </w:t>
      </w:r>
      <w:r w:rsidRPr="00DB6056">
        <w:rPr>
          <w:rFonts w:ascii="Palatino Linotype" w:eastAsia="Palatino Linotype" w:hAnsi="Palatino Linotype" w:cs="Palatino Linotype"/>
          <w:b/>
          <w:bCs/>
        </w:rPr>
        <w:t xml:space="preserve">SUJETO OBLIGADO </w:t>
      </w:r>
      <w:r w:rsidRPr="00DB6056">
        <w:rPr>
          <w:rFonts w:ascii="Palatino Linotype" w:eastAsia="Palatino Linotype" w:hAnsi="Palatino Linotype" w:cs="Palatino Linotype"/>
        </w:rPr>
        <w:t xml:space="preserve">remitió la información ya descrita en el párrafo 2. Inconforme con la misma, se interpuso recurso de revisión en contra de la entrega de información diversa; por lo tanto la </w:t>
      </w:r>
      <w:r w:rsidRPr="00DB6056">
        <w:rPr>
          <w:rFonts w:ascii="Palatino Linotype" w:eastAsia="Palatino Linotype" w:hAnsi="Palatino Linotype" w:cs="Palatino Linotype"/>
          <w:i/>
          <w:iCs/>
        </w:rPr>
        <w:t>Litis</w:t>
      </w:r>
      <w:r w:rsidRPr="00DB6056">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DB6056">
        <w:rPr>
          <w:rFonts w:ascii="Palatino Linotype" w:eastAsia="Palatino Linotype" w:hAnsi="Palatino Linotype" w:cs="Palatino Linotype"/>
          <w:b/>
          <w:bCs/>
        </w:rPr>
        <w:t xml:space="preserve">fracción VI </w:t>
      </w:r>
      <w:r w:rsidRPr="00DB6056">
        <w:rPr>
          <w:rFonts w:ascii="Palatino Linotype" w:eastAsia="Palatino Linotype" w:hAnsi="Palatino Linotype" w:cs="Palatino Linotype"/>
        </w:rPr>
        <w:t xml:space="preserve">de la </w:t>
      </w:r>
      <w:r w:rsidRPr="00DB6056">
        <w:rPr>
          <w:rFonts w:ascii="Palatino Linotype" w:eastAsia="Palatino Linotype" w:hAnsi="Palatino Linotype" w:cs="Palatino Linotype"/>
          <w:b/>
          <w:bCs/>
        </w:rPr>
        <w:t xml:space="preserve">Ley de </w:t>
      </w:r>
      <w:r w:rsidRPr="00DB6056">
        <w:rPr>
          <w:rFonts w:ascii="Palatino Linotype" w:eastAsia="Palatino Linotype" w:hAnsi="Palatino Linotype" w:cs="Palatino Linotype"/>
        </w:rPr>
        <w:t>Transparencia</w:t>
      </w:r>
      <w:r w:rsidRPr="00DB6056">
        <w:rPr>
          <w:rFonts w:ascii="Palatino Linotype" w:eastAsia="Palatino Linotype" w:hAnsi="Palatino Linotype" w:cs="Palatino Linotype"/>
          <w:b/>
          <w:bCs/>
        </w:rPr>
        <w:t xml:space="preserve"> y Acceso a la Información Pública del Estado de México y Municipios</w:t>
      </w:r>
      <w:r w:rsidRPr="00DB6056">
        <w:rPr>
          <w:rFonts w:ascii="Palatino Linotype" w:eastAsia="Palatino Linotype" w:hAnsi="Palatino Linotype" w:cs="Palatino Linotype"/>
          <w:color w:val="000000"/>
        </w:rPr>
        <w:t>;</w:t>
      </w:r>
      <w:r w:rsidRPr="00DB6056">
        <w:rPr>
          <w:rFonts w:ascii="Palatino Linotype" w:eastAsia="Palatino Linotype" w:hAnsi="Palatino Linotype" w:cs="Palatino Linotype"/>
        </w:rPr>
        <w:t xml:space="preserve"> fracción que determina la hipótesis jurídica relativa a la entrega de información que no corresponda con lo solicitado; contexto del cual se dolió </w:t>
      </w:r>
      <w:r w:rsidRPr="00DB6056">
        <w:rPr>
          <w:rFonts w:ascii="Palatino Linotype" w:eastAsia="Palatino Linotype" w:hAnsi="Palatino Linotype" w:cs="Palatino Linotype"/>
          <w:b/>
          <w:bCs/>
        </w:rPr>
        <w:t xml:space="preserve">LA RECURRENTE </w:t>
      </w:r>
      <w:r w:rsidRPr="00DB6056">
        <w:rPr>
          <w:rFonts w:ascii="Palatino Linotype" w:eastAsia="Palatino Linotype" w:hAnsi="Palatino Linotype" w:cs="Palatino Linotype"/>
        </w:rPr>
        <w:t>al momento de interponer su inconformidad.</w:t>
      </w:r>
    </w:p>
    <w:p w14:paraId="0105DDB6"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B7"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color w:val="000000"/>
        </w:rPr>
        <w:t xml:space="preserve">De modo tal que el presente recurso de revisión se </w:t>
      </w:r>
      <w:r w:rsidRPr="00DB6056">
        <w:rPr>
          <w:rFonts w:ascii="Palatino Linotype" w:eastAsia="Palatino Linotype" w:hAnsi="Palatino Linotype" w:cs="Palatino Linotype"/>
        </w:rPr>
        <w:t>abocará</w:t>
      </w:r>
      <w:r w:rsidRPr="00DB6056">
        <w:rPr>
          <w:rFonts w:ascii="Palatino Linotype" w:eastAsia="Palatino Linotype" w:hAnsi="Palatino Linotype" w:cs="Palatino Linotype"/>
          <w:color w:val="000000"/>
        </w:rPr>
        <w:t xml:space="preserve"> en determinar si el </w:t>
      </w:r>
      <w:r w:rsidRPr="00DB6056">
        <w:rPr>
          <w:rFonts w:ascii="Palatino Linotype" w:eastAsia="Palatino Linotype" w:hAnsi="Palatino Linotype" w:cs="Palatino Linotype"/>
          <w:b/>
          <w:bCs/>
          <w:color w:val="000000"/>
        </w:rPr>
        <w:t>SUJETO</w:t>
      </w:r>
      <w:r w:rsidRPr="00DB6056">
        <w:rPr>
          <w:rFonts w:ascii="Palatino Linotype" w:eastAsia="Palatino Linotype" w:hAnsi="Palatino Linotype" w:cs="Palatino Linotype"/>
          <w:color w:val="000000"/>
        </w:rPr>
        <w:t xml:space="preserve"> </w:t>
      </w:r>
      <w:r w:rsidRPr="00DB6056">
        <w:rPr>
          <w:rFonts w:ascii="Palatino Linotype" w:eastAsia="Palatino Linotype" w:hAnsi="Palatino Linotype" w:cs="Palatino Linotype"/>
          <w:b/>
          <w:bCs/>
          <w:color w:val="000000"/>
        </w:rPr>
        <w:t>OBLIGADO</w:t>
      </w:r>
      <w:r w:rsidRPr="00DB6056">
        <w:rPr>
          <w:rFonts w:ascii="Palatino Linotype" w:eastAsia="Palatino Linotype" w:hAnsi="Palatino Linotype" w:cs="Palatino Linotype"/>
          <w:color w:val="000000"/>
        </w:rPr>
        <w:t xml:space="preserve"> con su respuesta ciertamente actualiza la causal de procedencia</w:t>
      </w:r>
      <w:r w:rsidRPr="00DB6056">
        <w:rPr>
          <w:rFonts w:ascii="Palatino Linotype" w:eastAsia="Palatino Linotype" w:hAnsi="Palatino Linotype" w:cs="Palatino Linotype"/>
          <w:b/>
          <w:bCs/>
          <w:color w:val="000000"/>
        </w:rPr>
        <w:t xml:space="preserve"> </w:t>
      </w:r>
      <w:r w:rsidRPr="00DB6056">
        <w:rPr>
          <w:rFonts w:ascii="Palatino Linotype" w:eastAsia="Palatino Linotype" w:hAnsi="Palatino Linotype" w:cs="Palatino Linotype"/>
          <w:color w:val="000000"/>
        </w:rPr>
        <w:t xml:space="preserve">antes señalada. </w:t>
      </w:r>
    </w:p>
    <w:p w14:paraId="0105DDB8" w14:textId="77777777" w:rsidR="004C1E80" w:rsidRPr="00DB6056" w:rsidRDefault="004C1E80">
      <w:pPr>
        <w:spacing w:line="360" w:lineRule="auto"/>
        <w:jc w:val="both"/>
        <w:rPr>
          <w:rFonts w:ascii="Palatino Linotype" w:eastAsia="Palatino Linotype" w:hAnsi="Palatino Linotype" w:cs="Palatino Linotype"/>
          <w:color w:val="000000"/>
        </w:rPr>
      </w:pPr>
    </w:p>
    <w:p w14:paraId="0105DDB9" w14:textId="77777777" w:rsidR="004C1E80" w:rsidRPr="00DB6056" w:rsidRDefault="00B67F9C">
      <w:pPr>
        <w:pStyle w:val="Ttulo2"/>
        <w:spacing w:before="0" w:line="360" w:lineRule="auto"/>
        <w:rPr>
          <w:rFonts w:ascii="Palatino Linotype" w:eastAsia="Palatino Linotype" w:hAnsi="Palatino Linotype" w:cs="Palatino Linotype"/>
          <w:b/>
          <w:bCs/>
          <w:color w:val="000000"/>
          <w:sz w:val="24"/>
          <w:szCs w:val="24"/>
        </w:rPr>
      </w:pPr>
      <w:bookmarkStart w:id="8" w:name="_heading=h.3dy6vkm" w:colFirst="0" w:colLast="0"/>
      <w:bookmarkEnd w:id="8"/>
      <w:r w:rsidRPr="00DB6056">
        <w:rPr>
          <w:rFonts w:ascii="Palatino Linotype" w:eastAsia="Palatino Linotype" w:hAnsi="Palatino Linotype" w:cs="Palatino Linotype"/>
          <w:b/>
          <w:bCs/>
          <w:color w:val="000000"/>
          <w:sz w:val="24"/>
          <w:szCs w:val="24"/>
        </w:rPr>
        <w:t>CUARTO. Del estudio y resolución del asunto.</w:t>
      </w:r>
    </w:p>
    <w:p w14:paraId="0105DDBB"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sidRPr="00DB6056">
        <w:rPr>
          <w:rFonts w:ascii="Palatino Linotype" w:eastAsia="Palatino Linotype" w:hAnsi="Palatino Linotype" w:cs="Palatino Linotype"/>
          <w:color w:val="000000"/>
        </w:rPr>
        <w:t>determina</w:t>
      </w:r>
      <w:r w:rsidRPr="00DB6056">
        <w:rPr>
          <w:rFonts w:ascii="Palatino Linotype" w:eastAsia="Palatino Linotype" w:hAnsi="Palatino Linotype" w:cs="Palatino Linotype"/>
        </w:rPr>
        <w:t xml:space="preserve">,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w:t>
      </w:r>
      <w:r w:rsidRPr="00DB6056">
        <w:rPr>
          <w:rFonts w:ascii="Palatino Linotype" w:eastAsia="Palatino Linotype" w:hAnsi="Palatino Linotype" w:cs="Palatino Linotype"/>
        </w:rPr>
        <w:lastRenderedPageBreak/>
        <w:t>funciones desde su origen la eventual publicidad y reutilización de la información que generen.</w:t>
      </w:r>
    </w:p>
    <w:p w14:paraId="0105DDBC" w14:textId="77777777" w:rsidR="004C1E80" w:rsidRPr="00DB6056" w:rsidRDefault="004C1E80">
      <w:pPr>
        <w:spacing w:line="360" w:lineRule="auto"/>
        <w:ind w:right="-929"/>
        <w:jc w:val="both"/>
        <w:rPr>
          <w:rFonts w:ascii="Palatino Linotype" w:eastAsia="Palatino Linotype" w:hAnsi="Palatino Linotype" w:cs="Palatino Linotype"/>
        </w:rPr>
      </w:pPr>
    </w:p>
    <w:p w14:paraId="0105DDBD"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105DDBE"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BF" w14:textId="29669085"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0105DDC0"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C1"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Una vez precisado lo anterior, resulta oportuno traer a contexto la respuesta emitida por el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de cuyo análisis se advierte que, si bien proporciona información de carácter estadístico relacionada con la materia de la solicitud, ésta no satisface plenamente los alcances del requerimiento formulado por la persona solicitante, toda vez que carece del nivel de desagregación expresamente solicitado; esto es, la información no se </w:t>
      </w:r>
      <w:r w:rsidRPr="00DB6056">
        <w:rPr>
          <w:rFonts w:ascii="Palatino Linotype" w:eastAsia="Palatino Linotype" w:hAnsi="Palatino Linotype" w:cs="Palatino Linotype"/>
        </w:rPr>
        <w:lastRenderedPageBreak/>
        <w:t>presenta diferenciada por cada uno de los municipios señalados en la solicitud de acceso a la información, desglosada de manera mensual, ni de la anualidad requerida.</w:t>
      </w:r>
    </w:p>
    <w:p w14:paraId="0105DDC2"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C3" w14:textId="77777777" w:rsidR="004C1E80"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Ahora bien, refiere el </w:t>
      </w:r>
      <w:r w:rsidRPr="00DB6056">
        <w:rPr>
          <w:rFonts w:ascii="Palatino Linotype" w:eastAsia="Palatino Linotype" w:hAnsi="Palatino Linotype" w:cs="Palatino Linotype"/>
          <w:b/>
          <w:bCs/>
        </w:rPr>
        <w:t xml:space="preserve">SUJETO OBLIGADO </w:t>
      </w:r>
      <w:r w:rsidRPr="00DB6056">
        <w:rPr>
          <w:rFonts w:ascii="Palatino Linotype" w:eastAsia="Palatino Linotype" w:hAnsi="Palatino Linotype" w:cs="Palatino Linotype"/>
        </w:rPr>
        <w:t>que esto se debe a que la información correspondiente a los registros de afiliaciones vigentes en el padrón de cada uno de los partidos políticos, a partir del año 2013, no se genera con una periodicidad mensual ni anual, sino de manera trianual. Lo anterior derivado que el Instituto Nacional Electoral lleva a cabo, cada tres años, el procedimiento de verificación del cumplimiento del número mínimo de personas afiliadas inscritas en los padrones de militantes de los Partidos Políticos Nacionales, con la finalidad de constatar que éstos satisfacen los requisitos legalmente exigidos para la conservación de su registro, previo al inicio del Proceso Electoral Federal correspondiente.</w:t>
      </w:r>
    </w:p>
    <w:p w14:paraId="7023B22A" w14:textId="77777777" w:rsidR="00DB6056" w:rsidRPr="00DB6056" w:rsidRDefault="00DB6056" w:rsidP="00DB6056">
      <w:pPr>
        <w:spacing w:line="360" w:lineRule="auto"/>
        <w:jc w:val="both"/>
        <w:rPr>
          <w:rFonts w:ascii="Palatino Linotype" w:eastAsia="Palatino Linotype" w:hAnsi="Palatino Linotype" w:cs="Palatino Linotype"/>
        </w:rPr>
      </w:pPr>
    </w:p>
    <w:p w14:paraId="0105DDC4"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Al respecto, este Órgano Colegiado estima que el argumento planteado por el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resulta insuficiente para eximirlo del cumplimiento de las obligaciones derivadas del derecho de acceso a la información pública. Lo anterior, toda vez que las atribuciones conferidas a un ente público distinto, como lo es el Instituto Nacional Electoral, no pueden constituir una causa válida para restringir, limitar o condicionar la entrega de la información que obre en los archivos del sujeto obligado al que fue dirigida la solicitud de información.</w:t>
      </w:r>
    </w:p>
    <w:p w14:paraId="0105DDC5"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C6"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En ese sentido, debe recordarse que el derecho de acceso a la información pública tiene por objeto garantizar el acceso a los documentos que los sujetos obligados generen, obtengan, adquieran, transformen, administren o posean en ejercicio de sus atribuciones. Por tanto, la existencia de competencias concurrentes o diferenciadas a cargo de otros entes públicos no </w:t>
      </w:r>
      <w:r w:rsidRPr="00DB6056">
        <w:rPr>
          <w:rFonts w:ascii="Palatino Linotype" w:eastAsia="Palatino Linotype" w:hAnsi="Palatino Linotype" w:cs="Palatino Linotype"/>
        </w:rPr>
        <w:lastRenderedPageBreak/>
        <w:t xml:space="preserve">releva al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de realizar una búsqueda exhaustiva y de proporcionar la información que, en el ámbito de sus atribuciones, obre en su poder.</w:t>
      </w:r>
    </w:p>
    <w:p w14:paraId="0105DDC7"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C8"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Retomando, la respuesta refiere que con base en dicha normatividad (LINEAMIENTOS PARA LA VERIFICACIÓN DE LOS PADRONES DE PERSONAS AFILIADAS A LOS PARTIDOS POLÍTICOS NACIONALES Y LOCALES), en el año 2023, el INE llevó a cabo el proceso de verificación de Padrones de Afiliaciones de los Partidos Políticos Nacionales, previo al inicio del Proceso Electoral Federal 2023 – 2024, y precisamente la versión del Padrón de Afiliaciones del Partido del Trabajo que aparece en la publicación albergada en el portal oficial del INE (https://www.ine.mx/actores-politicos/partidos-politicos-nacionales/padron-afiliados), así como en la consulta pública de Obligaciones de Transparencia en la Plataforma Nacional de Transparencia (https://consultapublicamx.plataformadetransparencia.org.mx/vut-web/faces/view/consultaPublica.xhtml#obligaciones)</w:t>
      </w:r>
    </w:p>
    <w:p w14:paraId="0105DDC9"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CA"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Del análisis al primer enlace entregado, se obtiene el siguiente resultado:</w:t>
      </w:r>
    </w:p>
    <w:p w14:paraId="0105DDCB"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CC" w14:textId="77777777" w:rsidR="004C1E80" w:rsidRPr="00DB6056" w:rsidRDefault="00B67F9C">
      <w:pPr>
        <w:spacing w:line="360" w:lineRule="auto"/>
        <w:jc w:val="both"/>
        <w:rPr>
          <w:rFonts w:ascii="Palatino Linotype" w:eastAsia="Palatino Linotype" w:hAnsi="Palatino Linotype" w:cs="Palatino Linotype"/>
        </w:rPr>
      </w:pPr>
      <w:r w:rsidRPr="00DB6056">
        <w:rPr>
          <w:rFonts w:ascii="Palatino Linotype" w:eastAsia="Palatino Linotype" w:hAnsi="Palatino Linotype" w:cs="Palatino Linotype"/>
          <w:noProof/>
          <w:lang w:val="es-MX"/>
        </w:rPr>
        <w:lastRenderedPageBreak/>
        <w:drawing>
          <wp:inline distT="0" distB="0" distL="0" distR="0" wp14:anchorId="0105DEC7" wp14:editId="0105DEC8">
            <wp:extent cx="5671185" cy="36868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71185" cy="3686810"/>
                    </a:xfrm>
                    <a:prstGeom prst="rect">
                      <a:avLst/>
                    </a:prstGeom>
                    <a:ln/>
                  </pic:spPr>
                </pic:pic>
              </a:graphicData>
            </a:graphic>
          </wp:inline>
        </w:drawing>
      </w:r>
    </w:p>
    <w:p w14:paraId="0105DDCD"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CE"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De lo anterior se concluye, que el hipervínculo entregado incumple lo dispuesto por el Artículo 161 de la Ley de Transparencia y Acceso a la Información Pública del Estado de México y Municipios, el cual regula un supuesto conocido como orientación hacia información previamente publicada; cuya finalidad es evitar que el sujeto obligado tenga que volver a entregar información que ya se encuentra accesible al público, siempre que indique de manera clara y precisa dónde puede consultarse.</w:t>
      </w:r>
    </w:p>
    <w:p w14:paraId="0105DDCF" w14:textId="77777777" w:rsidR="004C1E80" w:rsidRPr="00DB6056" w:rsidRDefault="004C1E80">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105DDD0"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En ese sentido, el enlace entregado incumple al no indicar de manera clara dónde puede consultarse lo solicitado, pues al remitir sólo la página de inicio, implica que el solicitante deba realizar una búsqueda en todo el universo de información que allí obre; en todo caso se debió indicar los pasos a seguir para alcanzar la información solicitada. Por tanto, </w:t>
      </w:r>
      <w:r w:rsidRPr="00DB6056">
        <w:rPr>
          <w:rFonts w:ascii="Palatino Linotype" w:eastAsia="Palatino Linotype" w:hAnsi="Palatino Linotype" w:cs="Palatino Linotype"/>
        </w:rPr>
        <w:lastRenderedPageBreak/>
        <w:t>se determina que el enlace entregado no satisface la solicitud de información, sin embargo se desprende un aspecto importante.</w:t>
      </w:r>
    </w:p>
    <w:p w14:paraId="0105DDD1"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D2"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Que del enlace entregado, se puede descargar la siguiente información:</w:t>
      </w:r>
    </w:p>
    <w:p w14:paraId="0105DDD3"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D4" w14:textId="77777777" w:rsidR="004C1E80" w:rsidRDefault="00B67F9C">
      <w:pPr>
        <w:spacing w:line="360" w:lineRule="auto"/>
        <w:jc w:val="both"/>
        <w:rPr>
          <w:rFonts w:ascii="Palatino Linotype" w:eastAsia="Palatino Linotype" w:hAnsi="Palatino Linotype" w:cs="Palatino Linotype"/>
        </w:rPr>
      </w:pPr>
      <w:r w:rsidRPr="00DB6056">
        <w:rPr>
          <w:rFonts w:ascii="Palatino Linotype" w:eastAsia="Palatino Linotype" w:hAnsi="Palatino Linotype" w:cs="Palatino Linotype"/>
          <w:noProof/>
          <w:lang w:val="es-MX"/>
        </w:rPr>
        <w:drawing>
          <wp:inline distT="0" distB="0" distL="0" distR="0" wp14:anchorId="0105DEC9" wp14:editId="0105DECA">
            <wp:extent cx="5671185" cy="338645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71185" cy="3386455"/>
                    </a:xfrm>
                    <a:prstGeom prst="rect">
                      <a:avLst/>
                    </a:prstGeom>
                    <a:ln/>
                  </pic:spPr>
                </pic:pic>
              </a:graphicData>
            </a:graphic>
          </wp:inline>
        </w:drawing>
      </w:r>
    </w:p>
    <w:p w14:paraId="0320BCB4" w14:textId="77777777" w:rsidR="00DB6056" w:rsidRPr="00DB6056" w:rsidRDefault="00DB6056">
      <w:pPr>
        <w:spacing w:line="360" w:lineRule="auto"/>
        <w:jc w:val="both"/>
        <w:rPr>
          <w:rFonts w:ascii="Palatino Linotype" w:eastAsia="Palatino Linotype" w:hAnsi="Palatino Linotype" w:cs="Palatino Linotype"/>
        </w:rPr>
      </w:pPr>
    </w:p>
    <w:p w14:paraId="0105DDD5"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En efecto, del contenido del hipervínculo proporcionado por el propio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se desprende que éste dispone de información vinculada con lo requerido por la persona recurrente, con el nivel de desagregación solicitado, al advertirse la existencia del dato relativo a la fecha de afiliación. Aunado a ello, el propio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reconoció que la información respectiva es proporcionada por los institutos políticos (al INE) con motivo del procedimiento de verificación de los padrones de afiliaciones de los partidos políticos nacionales que lleva a cabo la autoridad electoral competente. En consecuencia, los </w:t>
      </w:r>
      <w:r w:rsidRPr="00DB6056">
        <w:rPr>
          <w:rFonts w:ascii="Palatino Linotype" w:eastAsia="Palatino Linotype" w:hAnsi="Palatino Linotype" w:cs="Palatino Linotype"/>
        </w:rPr>
        <w:lastRenderedPageBreak/>
        <w:t>argumentos esgrimidos respecto de la imposibilidad de proporcionar la información en los términos requeridos resultan inconsistentes con las constancias que obran en la fuente de acceso público, al existir indicios objetivos de que cuenta con elementos documentales que permitirían atender de manera integral la solicitud de información.</w:t>
      </w:r>
    </w:p>
    <w:p w14:paraId="0105DDD6" w14:textId="77777777" w:rsidR="004C1E80" w:rsidRPr="00DB6056" w:rsidRDefault="004C1E80">
      <w:pPr>
        <w:spacing w:line="360" w:lineRule="auto"/>
        <w:jc w:val="both"/>
        <w:rPr>
          <w:rFonts w:ascii="Palatino Linotype" w:eastAsia="Palatino Linotype" w:hAnsi="Palatino Linotype" w:cs="Palatino Linotype"/>
        </w:rPr>
      </w:pPr>
    </w:p>
    <w:p w14:paraId="0105DDD7"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Por otra parte, el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señaló en su respuesta lo siguiente:</w:t>
      </w:r>
      <w:r w:rsidRPr="00DB6056">
        <w:rPr>
          <w:rFonts w:ascii="Palatino Linotype" w:eastAsia="Palatino Linotype" w:hAnsi="Palatino Linotype" w:cs="Palatino Linotype"/>
          <w:i/>
          <w:iCs/>
        </w:rPr>
        <w:t xml:space="preserve"> "...hemos de advertir que no necesariamente todas las personas validadas en 2023 permanecen como militantes en la actualidad, debido a las compulsas que realiza la autoridad electoral administrativa en atención a las solicitudes del ejercicio de los Derechos ARCO de los datos personales de las personas titulares que, en su caso, las hayan interpuesto".</w:t>
      </w:r>
    </w:p>
    <w:p w14:paraId="0105DDD8"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D9"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No obstante, si bien dicha manifestación constituye información adicional que puede contribuir al conocimiento del contexto general de la materia consultada, la misma resulta inatendible para la resolución del caso concreto. Ello es así, toda vez que, para tener por satisfecho el derecho de acceso a la información pública, los sujetos obligados deben proporcionar la información que haya generado, obtenido, administrado o poseído en el ejercicio de sus atribuciones y que obre en sus archivos respecto del periodo expresamente requerido por la persona solicitante, atendiendo al estado que guardaba al momento de la presentación de la solicitud de información.</w:t>
      </w:r>
    </w:p>
    <w:p w14:paraId="0105DDDA"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DB"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En consecuencia, la circunstancia de que, con posterioridad al periodo solicitado, la información haya sido objeto de actualización, modificación o depuración, resulta jurídicamente irrelevante para efectos del presente asunto, pues la obligación del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consiste en proporcionar la información correspondiente al lapso temporal </w:t>
      </w:r>
      <w:r w:rsidRPr="00DB6056">
        <w:rPr>
          <w:rFonts w:ascii="Palatino Linotype" w:eastAsia="Palatino Linotype" w:hAnsi="Palatino Linotype" w:cs="Palatino Linotype"/>
        </w:rPr>
        <w:lastRenderedPageBreak/>
        <w:t>requerido, esto es, aquella generada y disponible respecto del año 2023 (del que se hizo alusión), en los términos en que ésta obraba en sus archivos para ese momento.</w:t>
      </w:r>
    </w:p>
    <w:p w14:paraId="0105DDDC" w14:textId="77777777" w:rsidR="004C1E80" w:rsidRPr="00DB6056" w:rsidRDefault="004C1E80">
      <w:pPr>
        <w:spacing w:line="360" w:lineRule="auto"/>
        <w:jc w:val="both"/>
        <w:rPr>
          <w:rFonts w:ascii="Palatino Linotype" w:eastAsia="Palatino Linotype" w:hAnsi="Palatino Linotype" w:cs="Palatino Linotype"/>
        </w:rPr>
      </w:pPr>
    </w:p>
    <w:p w14:paraId="0105DDDD" w14:textId="77777777" w:rsidR="004C1E80"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Bajo esa tesitura, se estima procedente ordenar al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la entrega de la información requerida en los términos y con el nivel de desagregación originalmente solicitados. Ello, en razón de que el propio Partido ha reconocido expresamente la existencia y disponibilidad de elementos vinculados con la información materia de análisis, por lo que resulta ocioso realizar un estudio exhaustivo de la fuente obligacional de sus atribuciones para determinar si genera, posee o administra la información de mérito, cuando dicho extremo ha sido asumido de manera expresa por aquél. En consecuencia, tal reconocimiento constituye un elemento suficiente para concluir la procedencia de la entrega de la información en los términos precisados en la presente Resolución.</w:t>
      </w:r>
    </w:p>
    <w:p w14:paraId="19F3FC3E" w14:textId="77777777" w:rsidR="00DB6056" w:rsidRPr="00DB6056" w:rsidRDefault="00DB6056" w:rsidP="00DB6056">
      <w:pPr>
        <w:spacing w:line="360" w:lineRule="auto"/>
        <w:jc w:val="both"/>
        <w:rPr>
          <w:rFonts w:ascii="Palatino Linotype" w:eastAsia="Palatino Linotype" w:hAnsi="Palatino Linotype" w:cs="Palatino Linotype"/>
        </w:rPr>
      </w:pPr>
    </w:p>
    <w:p w14:paraId="0105DDDE"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Finalmente, no pasa desapercibido para este Órgano Garante que la información materia de la solicitud corresponde, en estricto sentido, a información de carácter estadístico, al versar sobre datos cuantitativos relacionados con el número de personas afiliadas y su distribución por sexo. En consecuencia, se estima que dicha información reviste naturaleza eminentemente pública, de conformidad con el Criterio 008/2023 emitido por el entonces Instituto Nacional de Transparencia, Acceso a la Información y Protección de Datos Personales (INAI), cuyo contenido establece lo siguiente:</w:t>
      </w:r>
    </w:p>
    <w:p w14:paraId="0105DDE0" w14:textId="77777777" w:rsidR="004C1E80" w:rsidRPr="00DB6056" w:rsidRDefault="00B67F9C">
      <w:pPr>
        <w:spacing w:line="360" w:lineRule="auto"/>
        <w:ind w:left="426" w:right="426"/>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w:t>
      </w:r>
      <w:r w:rsidRPr="00DB6056">
        <w:rPr>
          <w:rFonts w:ascii="Palatino Linotype" w:eastAsia="Palatino Linotype" w:hAnsi="Palatino Linotype" w:cs="Palatino Linotype"/>
          <w:i/>
          <w:iCs/>
        </w:rPr>
        <w:lastRenderedPageBreak/>
        <w:t>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w:t>
      </w:r>
    </w:p>
    <w:p w14:paraId="0105DDE1"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E2"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Empero; toda vez que este Instituto no cuenta con certeza respecto del tipo de soporte documental mediante el cual el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dará cumplimiento a la presente Resolución, deberá precisarse que, de ser el caso, la información deberá ser entregada en versión pública, previa clasificación y testado de aquellos datos personales cuya divulgación no se encuentre legalmente autorizada, en términos de la normativa aplicable.</w:t>
      </w:r>
    </w:p>
    <w:p w14:paraId="0105DDE3" w14:textId="77777777" w:rsidR="004C1E80" w:rsidRPr="00DB6056" w:rsidRDefault="004C1E80">
      <w:pPr>
        <w:spacing w:line="360" w:lineRule="auto"/>
        <w:jc w:val="both"/>
        <w:rPr>
          <w:rFonts w:ascii="Palatino Linotype" w:eastAsia="Palatino Linotype" w:hAnsi="Palatino Linotype" w:cs="Palatino Linotype"/>
        </w:rPr>
      </w:pPr>
    </w:p>
    <w:p w14:paraId="0105DDE4"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En esa tesitura, al realizar dicho ejercicio de clasificación, el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deberá considerar que, en el caso concreto, el nombre de las personas afiliadas (para el caso de que obre) no constituye información confidencial susceptible de protección, al existir una disposición legal expresa que determina su carácter público.</w:t>
      </w:r>
    </w:p>
    <w:p w14:paraId="0105DDE5" w14:textId="77777777" w:rsidR="004C1E80" w:rsidRPr="00DB6056" w:rsidRDefault="004C1E80">
      <w:pPr>
        <w:pBdr>
          <w:top w:val="nil"/>
          <w:left w:val="nil"/>
          <w:bottom w:val="nil"/>
          <w:right w:val="nil"/>
          <w:between w:val="nil"/>
        </w:pBdr>
        <w:ind w:left="720"/>
        <w:rPr>
          <w:rFonts w:ascii="Palatino Linotype" w:eastAsia="Palatino Linotype" w:hAnsi="Palatino Linotype" w:cs="Palatino Linotype"/>
          <w:color w:val="000000"/>
        </w:rPr>
      </w:pPr>
    </w:p>
    <w:p w14:paraId="0105DDE6"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Lo anterior es así, en virtud de que el nombre de las personas afiliadas a un partido político reviste el carácter de información pública, derivado de una habilitación legal específica prevista en la Ley General de Partidos Políticos, Artículo 30, numeral 1, inciso d), a saber:</w:t>
      </w:r>
    </w:p>
    <w:p w14:paraId="0105DDE8" w14:textId="77777777" w:rsidR="004C1E80" w:rsidRPr="00DB6056" w:rsidRDefault="00B67F9C">
      <w:pPr>
        <w:spacing w:line="360" w:lineRule="auto"/>
        <w:ind w:left="567" w:right="426"/>
        <w:rPr>
          <w:rFonts w:ascii="Palatino Linotype" w:eastAsia="Palatino Linotype" w:hAnsi="Palatino Linotype" w:cs="Palatino Linotype"/>
          <w:i/>
          <w:iCs/>
        </w:rPr>
      </w:pPr>
      <w:r w:rsidRPr="00DB6056">
        <w:rPr>
          <w:rFonts w:ascii="Palatino Linotype" w:eastAsia="Palatino Linotype" w:hAnsi="Palatino Linotype" w:cs="Palatino Linotype"/>
          <w:i/>
          <w:iCs/>
        </w:rPr>
        <w:t>"Artículo 30.</w:t>
      </w:r>
    </w:p>
    <w:p w14:paraId="0105DDE9" w14:textId="77777777" w:rsidR="004C1E80" w:rsidRPr="00DB6056" w:rsidRDefault="00B67F9C">
      <w:pPr>
        <w:numPr>
          <w:ilvl w:val="0"/>
          <w:numId w:val="3"/>
        </w:numPr>
        <w:spacing w:line="360" w:lineRule="auto"/>
        <w:ind w:left="567" w:right="426"/>
        <w:rPr>
          <w:rFonts w:ascii="Palatino Linotype" w:eastAsia="Palatino Linotype" w:hAnsi="Palatino Linotype" w:cs="Palatino Linotype"/>
          <w:i/>
          <w:iCs/>
        </w:rPr>
      </w:pPr>
      <w:r w:rsidRPr="00DB6056">
        <w:rPr>
          <w:rFonts w:ascii="Palatino Linotype" w:eastAsia="Palatino Linotype" w:hAnsi="Palatino Linotype" w:cs="Palatino Linotype"/>
          <w:i/>
          <w:iCs/>
        </w:rPr>
        <w:lastRenderedPageBreak/>
        <w:t>Se considera información pública de los partidos políticos:</w:t>
      </w:r>
      <w:r w:rsidRPr="00DB6056">
        <w:rPr>
          <w:rFonts w:ascii="Palatino Linotype" w:eastAsia="Palatino Linotype" w:hAnsi="Palatino Linotype" w:cs="Palatino Linotype"/>
          <w:i/>
          <w:iCs/>
        </w:rPr>
        <w:br/>
        <w:t>(...)</w:t>
      </w:r>
      <w:r w:rsidRPr="00DB6056">
        <w:rPr>
          <w:rFonts w:ascii="Palatino Linotype" w:eastAsia="Palatino Linotype" w:hAnsi="Palatino Linotype" w:cs="Palatino Linotype"/>
          <w:i/>
          <w:iCs/>
        </w:rPr>
        <w:br/>
        <w:t>d) El padrón de sus militantes, conteniendo exclusivamente el apellido paterno, materno, nombre o nombres, fecha de afiliación y entidad de residencia."</w:t>
      </w:r>
    </w:p>
    <w:p w14:paraId="0105DDEA" w14:textId="77777777" w:rsidR="004C1E80" w:rsidRPr="00DB6056" w:rsidRDefault="004C1E80">
      <w:pPr>
        <w:spacing w:line="360" w:lineRule="auto"/>
        <w:ind w:left="567" w:right="426"/>
        <w:rPr>
          <w:rFonts w:ascii="Palatino Linotype" w:eastAsia="Palatino Linotype" w:hAnsi="Palatino Linotype" w:cs="Palatino Linotype"/>
          <w:i/>
          <w:iCs/>
        </w:rPr>
      </w:pPr>
    </w:p>
    <w:p w14:paraId="0105DDEB"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De la interpretación del precepto transcrito se desprenden dos consecuencias jurídicas relevantes. La primera consiste en que el padrón de personas militantes posee el carácter de información pública por mandato legal expreso; la segunda radica en que dicha publicidad se encuentra limitada exclusivamente a determinados datos, a saber: apellido paterno, apellido materno, nombre o nombres, fecha de afiliación y entidad de residencia.</w:t>
      </w:r>
    </w:p>
    <w:p w14:paraId="0105DDEC" w14:textId="77777777" w:rsidR="004C1E80" w:rsidRPr="00DB6056" w:rsidRDefault="004C1E80">
      <w:pPr>
        <w:spacing w:line="360" w:lineRule="auto"/>
        <w:jc w:val="both"/>
        <w:rPr>
          <w:rFonts w:ascii="Palatino Linotype" w:eastAsia="Palatino Linotype" w:hAnsi="Palatino Linotype" w:cs="Palatino Linotype"/>
        </w:rPr>
      </w:pPr>
    </w:p>
    <w:p w14:paraId="0105DDED"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Por tanto, </w:t>
      </w:r>
      <w:r w:rsidRPr="00DB6056">
        <w:rPr>
          <w:rFonts w:ascii="Palatino Linotype" w:eastAsia="Palatino Linotype" w:hAnsi="Palatino Linotype" w:cs="Palatino Linotype"/>
          <w:i/>
          <w:iCs/>
        </w:rPr>
        <w:t>a contrario sensu</w:t>
      </w:r>
      <w:r w:rsidRPr="00DB6056">
        <w:rPr>
          <w:rFonts w:ascii="Palatino Linotype" w:eastAsia="Palatino Linotype" w:hAnsi="Palatino Linotype" w:cs="Palatino Linotype"/>
        </w:rPr>
        <w:t>, cualquier otro dato personal que obre en la documentación relacionada con la afiliación partidista, tales como domicilio, clave de elector, Clave Única de Registro de Población (CURP), número telefónico, correo electrónico, firma autógrafa, huella dactilar o cualquier otro que exceda los supuestos expresamente autorizados por la ley, deberá clasificarse como información confidencial, al no existir disposición normativa que habilite su difusión.</w:t>
      </w:r>
    </w:p>
    <w:p w14:paraId="0105DDEE"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DEF" w14:textId="77777777" w:rsidR="004C1E80" w:rsidRPr="00DB6056" w:rsidRDefault="00B67F9C">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Aunado a ello, dicha obligación de transparencia encuentra correspondencia en el artículo 100, fracción I, de la Ley de Transparencia y Acceso a la Información Pública del Estado de México y Municipios, el cual dispone que los partidos políticos nacionales acreditados para participar en elecciones locales y los partidos políticos locales deberán poner a disposición del público al caso concreto, lo siguiente:</w:t>
      </w:r>
    </w:p>
    <w:p w14:paraId="0105DDF0" w14:textId="77777777" w:rsidR="004C1E80" w:rsidRPr="00DB6056" w:rsidRDefault="004C1E80">
      <w:pPr>
        <w:pBdr>
          <w:top w:val="nil"/>
          <w:left w:val="nil"/>
          <w:bottom w:val="nil"/>
          <w:right w:val="nil"/>
          <w:between w:val="nil"/>
        </w:pBdr>
        <w:ind w:left="720"/>
        <w:rPr>
          <w:rFonts w:ascii="Palatino Linotype" w:eastAsia="Palatino Linotype" w:hAnsi="Palatino Linotype" w:cs="Palatino Linotype"/>
          <w:color w:val="000000"/>
        </w:rPr>
      </w:pPr>
    </w:p>
    <w:p w14:paraId="0105DDF1" w14:textId="77777777" w:rsidR="004C1E80" w:rsidRPr="00DB6056" w:rsidRDefault="00B67F9C">
      <w:pPr>
        <w:spacing w:line="360" w:lineRule="auto"/>
        <w:ind w:left="567" w:right="567"/>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lastRenderedPageBreak/>
        <w:t>"Artículo 100.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0105DDF2" w14:textId="77777777" w:rsidR="004C1E80" w:rsidRPr="00DB6056" w:rsidRDefault="00B67F9C">
      <w:pPr>
        <w:spacing w:line="360" w:lineRule="auto"/>
        <w:ind w:left="567" w:right="567"/>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 xml:space="preserve">I. El padrón de afiliados o militantes de los partidos políticos estatales, que contendrá exclusivamente: </w:t>
      </w:r>
      <w:r w:rsidRPr="00DB6056">
        <w:rPr>
          <w:rFonts w:ascii="Palatino Linotype" w:eastAsia="Palatino Linotype" w:hAnsi="Palatino Linotype" w:cs="Palatino Linotype"/>
          <w:b/>
          <w:bCs/>
          <w:i/>
          <w:iCs/>
          <w:u w:val="single"/>
        </w:rPr>
        <w:t>apellidos, nombre o nombres, fechas de afiliación y entidad de residencia</w:t>
      </w:r>
      <w:r w:rsidRPr="00DB6056">
        <w:rPr>
          <w:rFonts w:ascii="Palatino Linotype" w:eastAsia="Palatino Linotype" w:hAnsi="Palatino Linotype" w:cs="Palatino Linotype"/>
          <w:i/>
          <w:iCs/>
        </w:rPr>
        <w:t>;</w:t>
      </w:r>
    </w:p>
    <w:p w14:paraId="0105DDF3" w14:textId="77777777" w:rsidR="004C1E80" w:rsidRPr="00DB6056" w:rsidRDefault="00B67F9C">
      <w:pPr>
        <w:spacing w:line="360" w:lineRule="auto"/>
        <w:ind w:left="567" w:right="567"/>
        <w:jc w:val="both"/>
        <w:rPr>
          <w:rFonts w:ascii="Palatino Linotype" w:eastAsia="Palatino Linotype" w:hAnsi="Palatino Linotype" w:cs="Palatino Linotype"/>
        </w:rPr>
      </w:pPr>
      <w:r w:rsidRPr="00DB6056">
        <w:rPr>
          <w:rFonts w:ascii="Palatino Linotype" w:eastAsia="Palatino Linotype" w:hAnsi="Palatino Linotype" w:cs="Palatino Linotype"/>
          <w:i/>
          <w:iCs/>
        </w:rPr>
        <w:br/>
        <w:t>(...)."</w:t>
      </w:r>
      <w:r w:rsidRPr="00DB6056">
        <w:rPr>
          <w:rFonts w:ascii="Palatino Linotype" w:eastAsia="Palatino Linotype" w:hAnsi="Palatino Linotype" w:cs="Palatino Linotype"/>
        </w:rPr>
        <w:t xml:space="preserve"> Énfasis propio</w:t>
      </w:r>
    </w:p>
    <w:p w14:paraId="0105DDF4" w14:textId="77777777" w:rsidR="004C1E80" w:rsidRPr="00DB6056" w:rsidRDefault="004C1E80">
      <w:pPr>
        <w:spacing w:line="360" w:lineRule="auto"/>
        <w:ind w:left="567" w:right="567"/>
        <w:jc w:val="both"/>
        <w:rPr>
          <w:rFonts w:ascii="Palatino Linotype" w:eastAsia="Palatino Linotype" w:hAnsi="Palatino Linotype" w:cs="Palatino Linotype"/>
        </w:rPr>
      </w:pPr>
    </w:p>
    <w:p w14:paraId="36D84977" w14:textId="77777777" w:rsidR="00DB6056" w:rsidRDefault="00B67F9C" w:rsidP="00DB6056">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En consecuencia, del contenido de la disposición legal citada se desprende no sólo que el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genera, posee o administra información vinculada con el padrón de personas afiliadas o militantes, sino además que existe una </w:t>
      </w:r>
      <w:r w:rsidRPr="00DB6056">
        <w:rPr>
          <w:rFonts w:ascii="Palatino Linotype" w:eastAsia="Palatino Linotype" w:hAnsi="Palatino Linotype" w:cs="Palatino Linotype"/>
          <w:u w:val="single"/>
        </w:rPr>
        <w:t>obligación de transparencia específica</w:t>
      </w:r>
      <w:r w:rsidRPr="00DB6056">
        <w:rPr>
          <w:rFonts w:ascii="Palatino Linotype" w:eastAsia="Palatino Linotype" w:hAnsi="Palatino Linotype" w:cs="Palatino Linotype"/>
        </w:rPr>
        <w:t>, que impone contar con lo solicitado de manera primigenia. Por ende, la entrega de la información materia del presente asunto deberá realizarse atendiendo a los parámetros legales antes precisados, garantizando, por una parte, el ejercicio efectivo del derecho de acceso a la información pública y, por otra, la protección de aquellos datos personales respecto de los cuales no exista habilitación legal para su difusión, de ser el caso mediante una versión pública.</w:t>
      </w:r>
    </w:p>
    <w:p w14:paraId="38E81C93" w14:textId="77777777" w:rsidR="00DB6056" w:rsidRDefault="00DB6056" w:rsidP="00DB6056">
      <w:pPr>
        <w:spacing w:line="360" w:lineRule="auto"/>
        <w:jc w:val="both"/>
        <w:rPr>
          <w:rFonts w:ascii="Palatino Linotype" w:eastAsia="Palatino Linotype" w:hAnsi="Palatino Linotype" w:cs="Palatino Linotype"/>
        </w:rPr>
      </w:pPr>
    </w:p>
    <w:p w14:paraId="11EC7D8D" w14:textId="77777777" w:rsidR="00DB6056" w:rsidRDefault="00B67F9C" w:rsidP="00DB6056">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color w:val="000000"/>
        </w:rPr>
        <w:t xml:space="preserve">Con la determinación anterior quedará por colmado el derecho de acceso a la información del ahora Recurrente; toda vez que el Derecho que tutela este Órgano Garante </w:t>
      </w:r>
      <w:r w:rsidRPr="00DB6056">
        <w:rPr>
          <w:rFonts w:ascii="Palatino Linotype" w:eastAsia="Palatino Linotype" w:hAnsi="Palatino Linotype" w:cs="Palatino Linotype"/>
          <w:color w:val="000000"/>
        </w:rPr>
        <w:lastRenderedPageBreak/>
        <w:t xml:space="preserve">corresponde a la  </w:t>
      </w:r>
      <w:r w:rsidRPr="00DB6056">
        <w:rPr>
          <w:rFonts w:ascii="Palatino Linotype" w:eastAsia="Palatino Linotype" w:hAnsi="Palatino Linotype" w:cs="Palatino Linotype"/>
          <w:i/>
          <w:iCs/>
          <w:color w:val="000000"/>
        </w:rPr>
        <w:t>igualdad de oportunidades para recibir, buscar e impartir información</w:t>
      </w:r>
      <w:r w:rsidRPr="00DB6056">
        <w:rPr>
          <w:rFonts w:ascii="Palatino Linotype" w:eastAsia="Palatino Linotype" w:hAnsi="Palatino Linotype" w:cs="Palatino Linotype"/>
          <w:i/>
          <w:iCs/>
          <w:color w:val="000000"/>
          <w:vertAlign w:val="superscript"/>
        </w:rPr>
        <w:footnoteReference w:id="1"/>
      </w:r>
      <w:r w:rsidRPr="00DB6056">
        <w:rPr>
          <w:rFonts w:ascii="Palatino Linotype" w:eastAsia="Palatino Linotype" w:hAnsi="Palatino Linotype" w:cs="Palatino Linotype"/>
          <w:i/>
          <w:iCs/>
          <w:color w:val="000000"/>
        </w:rPr>
        <w:t xml:space="preserve"> en posesión de cualquier autoridad, entidad, órgano y organismo de los </w:t>
      </w:r>
      <w:r w:rsidRPr="00DB6056">
        <w:rPr>
          <w:rFonts w:ascii="Palatino Linotype" w:eastAsia="Palatino Linotype" w:hAnsi="Palatino Linotype" w:cs="Palatino Linotype"/>
          <w:color w:val="000000"/>
        </w:rPr>
        <w:t>poderes</w:t>
      </w:r>
      <w:r w:rsidRPr="00DB6056">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B6056">
        <w:rPr>
          <w:rFonts w:ascii="Palatino Linotype" w:eastAsia="Palatino Linotype" w:hAnsi="Palatino Linotype" w:cs="Palatino Linotype"/>
          <w:color w:val="000000"/>
          <w:vertAlign w:val="superscript"/>
        </w:rPr>
        <w:footnoteReference w:id="2"/>
      </w:r>
      <w:r w:rsidRPr="00DB6056">
        <w:rPr>
          <w:rFonts w:ascii="Palatino Linotype" w:eastAsia="Palatino Linotype" w:hAnsi="Palatino Linotype" w:cs="Palatino Linotype"/>
          <w:i/>
          <w:iCs/>
          <w:color w:val="000000"/>
        </w:rPr>
        <w:t xml:space="preserve"> </w:t>
      </w:r>
      <w:r w:rsidRPr="00DB6056">
        <w:rPr>
          <w:rFonts w:ascii="Palatino Linotype" w:eastAsia="Palatino Linotype" w:hAnsi="Palatino Linotype" w:cs="Palatino Linotype"/>
          <w:color w:val="000000"/>
        </w:rPr>
        <w:t xml:space="preserve">que se constituye como una herramienta fundamental para </w:t>
      </w:r>
      <w:r w:rsidRPr="00DB6056">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sidRPr="00DB6056">
        <w:rPr>
          <w:rFonts w:ascii="Palatino Linotype" w:eastAsia="Palatino Linotype" w:hAnsi="Palatino Linotype" w:cs="Palatino Linotype"/>
          <w:i/>
          <w:iCs/>
          <w:color w:val="000000"/>
          <w:vertAlign w:val="superscript"/>
        </w:rPr>
        <w:footnoteReference w:id="3"/>
      </w:r>
      <w:r w:rsidRPr="00DB6056">
        <w:rPr>
          <w:rFonts w:ascii="Palatino Linotype" w:eastAsia="Palatino Linotype" w:hAnsi="Palatino Linotype" w:cs="Palatino Linotype"/>
          <w:color w:val="000000"/>
        </w:rPr>
        <w:t>fomentando</w:t>
      </w:r>
      <w:r w:rsidRPr="00DB6056">
        <w:rPr>
          <w:rFonts w:ascii="Palatino Linotype" w:eastAsia="Palatino Linotype" w:hAnsi="Palatino Linotype" w:cs="Palatino Linotype"/>
          <w:i/>
          <w:iCs/>
          <w:color w:val="000000"/>
        </w:rPr>
        <w:t xml:space="preserve"> la transparencia de las actividades estatales y</w:t>
      </w:r>
      <w:r w:rsidRPr="00DB6056">
        <w:rPr>
          <w:rFonts w:ascii="Palatino Linotype" w:eastAsia="Palatino Linotype" w:hAnsi="Palatino Linotype" w:cs="Palatino Linotype"/>
          <w:color w:val="000000"/>
        </w:rPr>
        <w:t xml:space="preserve"> promoviendo</w:t>
      </w:r>
      <w:r w:rsidRPr="00DB6056">
        <w:rPr>
          <w:rFonts w:ascii="Palatino Linotype" w:eastAsia="Palatino Linotype" w:hAnsi="Palatino Linotype" w:cs="Palatino Linotype"/>
          <w:i/>
          <w:iCs/>
          <w:color w:val="000000"/>
        </w:rPr>
        <w:t xml:space="preserve"> la responsabilidad de los funcionarios sobre su gestión pública</w:t>
      </w:r>
      <w:r w:rsidRPr="00DB6056">
        <w:rPr>
          <w:rFonts w:ascii="Palatino Linotype" w:eastAsia="Palatino Linotype" w:hAnsi="Palatino Linotype" w:cs="Palatino Linotype"/>
          <w:i/>
          <w:iCs/>
          <w:color w:val="000000"/>
          <w:vertAlign w:val="superscript"/>
        </w:rPr>
        <w:footnoteReference w:id="4"/>
      </w:r>
      <w:r w:rsidRPr="00DB6056">
        <w:rPr>
          <w:rFonts w:ascii="Palatino Linotype" w:eastAsia="Palatino Linotype" w:hAnsi="Palatino Linotype" w:cs="Palatino Linotype"/>
          <w:i/>
          <w:iCs/>
          <w:color w:val="000000"/>
        </w:rPr>
        <w:t xml:space="preserve"> </w:t>
      </w:r>
      <w:r w:rsidRPr="00DB6056">
        <w:rPr>
          <w:rFonts w:ascii="Palatino Linotype" w:eastAsia="Palatino Linotype" w:hAnsi="Palatino Linotype" w:cs="Palatino Linotype"/>
          <w:color w:val="000000"/>
        </w:rPr>
        <w:t>que permite</w:t>
      </w:r>
      <w:r w:rsidRPr="00DB6056">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DB6056">
        <w:rPr>
          <w:rFonts w:ascii="Palatino Linotype" w:eastAsia="Palatino Linotype" w:hAnsi="Palatino Linotype" w:cs="Palatino Linotype"/>
          <w:i/>
          <w:iCs/>
          <w:color w:val="000000"/>
          <w:vertAlign w:val="superscript"/>
        </w:rPr>
        <w:footnoteReference w:id="5"/>
      </w:r>
      <w:r w:rsidRPr="00DB6056">
        <w:rPr>
          <w:rFonts w:ascii="Palatino Linotype" w:eastAsia="Palatino Linotype" w:hAnsi="Palatino Linotype" w:cs="Palatino Linotype"/>
          <w:color w:val="000000"/>
        </w:rPr>
        <w:t xml:space="preserve"> ” </w:t>
      </w:r>
    </w:p>
    <w:p w14:paraId="6D4206C5" w14:textId="77777777" w:rsidR="00DB6056" w:rsidRDefault="00DB6056" w:rsidP="00DB6056">
      <w:pPr>
        <w:spacing w:line="360" w:lineRule="auto"/>
        <w:jc w:val="both"/>
        <w:rPr>
          <w:rFonts w:ascii="Palatino Linotype" w:eastAsia="Palatino Linotype" w:hAnsi="Palatino Linotype" w:cs="Palatino Linotype"/>
        </w:rPr>
      </w:pPr>
    </w:p>
    <w:p w14:paraId="0105DDF9" w14:textId="38995441" w:rsidR="004C1E80" w:rsidRPr="00DB6056" w:rsidRDefault="00B67F9C" w:rsidP="00DB6056">
      <w:pPr>
        <w:numPr>
          <w:ilvl w:val="0"/>
          <w:numId w:val="1"/>
        </w:numPr>
        <w:spacing w:line="360" w:lineRule="auto"/>
        <w:ind w:left="0" w:firstLine="0"/>
        <w:jc w:val="both"/>
        <w:rPr>
          <w:rFonts w:ascii="Palatino Linotype" w:eastAsia="Palatino Linotype" w:hAnsi="Palatino Linotype" w:cs="Palatino Linotype"/>
        </w:rPr>
      </w:pPr>
      <w:r w:rsidRPr="00DB6056">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90AA682" w14:textId="77777777" w:rsidR="00DB6056" w:rsidRPr="00DB6056" w:rsidRDefault="00DB6056" w:rsidP="00DB6056">
      <w:pPr>
        <w:spacing w:line="360" w:lineRule="auto"/>
        <w:jc w:val="both"/>
        <w:rPr>
          <w:rFonts w:ascii="Palatino Linotype" w:eastAsia="Palatino Linotype" w:hAnsi="Palatino Linotype" w:cs="Palatino Linotype"/>
        </w:rPr>
      </w:pPr>
    </w:p>
    <w:p w14:paraId="0105DDFA" w14:textId="77777777" w:rsidR="004C1E80" w:rsidRPr="00DB6056" w:rsidRDefault="00B67F9C">
      <w:pPr>
        <w:spacing w:line="360" w:lineRule="auto"/>
        <w:ind w:left="426" w:right="474"/>
        <w:jc w:val="both"/>
        <w:rPr>
          <w:rFonts w:ascii="Palatino Linotype" w:eastAsia="Palatino Linotype" w:hAnsi="Palatino Linotype" w:cs="Palatino Linotype"/>
          <w:b/>
          <w:bCs/>
          <w:i/>
          <w:iCs/>
          <w:color w:val="000000"/>
        </w:rPr>
      </w:pPr>
      <w:r w:rsidRPr="00DB6056">
        <w:rPr>
          <w:rFonts w:ascii="Palatino Linotype" w:eastAsia="Palatino Linotype" w:hAnsi="Palatino Linotype" w:cs="Palatino Linotype"/>
          <w:b/>
          <w:bCs/>
          <w:i/>
          <w:iCs/>
          <w:color w:val="000000"/>
        </w:rPr>
        <w:lastRenderedPageBreak/>
        <w:t>“CRITERIO 0002-11</w:t>
      </w:r>
    </w:p>
    <w:p w14:paraId="0105DDFB" w14:textId="77777777" w:rsidR="004C1E80" w:rsidRPr="00DB6056" w:rsidRDefault="00B67F9C">
      <w:pPr>
        <w:spacing w:line="360" w:lineRule="auto"/>
        <w:ind w:left="426" w:right="474"/>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sidRPr="00DB6056">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05DDFC" w14:textId="77777777" w:rsidR="004C1E80" w:rsidRPr="00DB6056" w:rsidRDefault="00B67F9C">
      <w:pPr>
        <w:spacing w:line="360" w:lineRule="auto"/>
        <w:ind w:left="426" w:right="474"/>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i/>
          <w:iCs/>
          <w:color w:val="000000"/>
        </w:rPr>
        <w:t>En consecuencia el acceso a la información se refiere a que se cumplan cualquiera de los siguientes tres supuestos:</w:t>
      </w:r>
    </w:p>
    <w:p w14:paraId="0105DDFD" w14:textId="77777777" w:rsidR="004C1E80" w:rsidRPr="00DB6056" w:rsidRDefault="00B67F9C">
      <w:pPr>
        <w:spacing w:line="360" w:lineRule="auto"/>
        <w:ind w:left="426" w:right="474"/>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14:paraId="0105DDFE" w14:textId="77777777" w:rsidR="004C1E80" w:rsidRPr="00DB6056" w:rsidRDefault="00B67F9C">
      <w:pPr>
        <w:spacing w:line="360" w:lineRule="auto"/>
        <w:ind w:left="426" w:right="474"/>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14:paraId="0105DDFF" w14:textId="77777777" w:rsidR="004C1E80" w:rsidRPr="00DB6056" w:rsidRDefault="00B67F9C">
      <w:pPr>
        <w:spacing w:line="360" w:lineRule="auto"/>
        <w:ind w:left="426" w:right="474"/>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14:paraId="0105DE00" w14:textId="77777777" w:rsidR="004C1E80" w:rsidRPr="00DB6056" w:rsidRDefault="004C1E80">
      <w:pPr>
        <w:spacing w:line="360" w:lineRule="auto"/>
        <w:ind w:left="567" w:right="567"/>
        <w:jc w:val="both"/>
        <w:rPr>
          <w:rFonts w:ascii="Palatino Linotype" w:eastAsia="Palatino Linotype" w:hAnsi="Palatino Linotype" w:cs="Palatino Linotype"/>
          <w:i/>
          <w:iCs/>
          <w:color w:val="000000"/>
        </w:rPr>
      </w:pPr>
    </w:p>
    <w:p w14:paraId="0105DE01" w14:textId="28BB50F6" w:rsidR="004C1E80" w:rsidRPr="00DB6056" w:rsidRDefault="00B67F9C" w:rsidP="00DB6056">
      <w:pPr>
        <w:pStyle w:val="Prrafodelista"/>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0105DE03" w14:textId="77777777" w:rsidR="004C1E80" w:rsidRPr="00DB6056" w:rsidRDefault="00B67F9C">
      <w:pPr>
        <w:spacing w:line="360" w:lineRule="auto"/>
        <w:ind w:left="426" w:right="474"/>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b/>
          <w:bCs/>
          <w:i/>
          <w:iCs/>
          <w:color w:val="000000"/>
        </w:rPr>
        <w:t xml:space="preserve">XI. Documento: </w:t>
      </w:r>
      <w:r w:rsidRPr="00DB6056">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sidRPr="00DB6056">
        <w:rPr>
          <w:rFonts w:ascii="Palatino Linotype" w:eastAsia="Palatino Linotype" w:hAnsi="Palatino Linotype" w:cs="Palatino Linotype"/>
          <w:b/>
          <w:bCs/>
          <w:i/>
          <w:iCs/>
          <w:color w:val="000000"/>
        </w:rPr>
        <w:t>cualquier otro registro</w:t>
      </w:r>
      <w:r w:rsidRPr="00DB6056">
        <w:rPr>
          <w:rFonts w:ascii="Palatino Linotype" w:eastAsia="Palatino Linotype" w:hAnsi="Palatino Linotype" w:cs="Palatino Linotype"/>
          <w:i/>
          <w:iCs/>
          <w:color w:val="000000"/>
        </w:rPr>
        <w:t xml:space="preserve"> que documente el ejercicio de las facultades, funciones y competencias de los sujetos obligados, sus servidores </w:t>
      </w:r>
      <w:r w:rsidRPr="00DB6056">
        <w:rPr>
          <w:rFonts w:ascii="Palatino Linotype" w:eastAsia="Palatino Linotype" w:hAnsi="Palatino Linotype" w:cs="Palatino Linotype"/>
          <w:i/>
          <w:iCs/>
          <w:color w:val="000000"/>
        </w:rPr>
        <w:lastRenderedPageBreak/>
        <w:t>públicos e integrantes, sin importar su fuente o fecha de elaboración. Los documentos podrán estar en cualquier medio, sea escrito, impreso, sonoro, visual, electrónico, informático u holográfico;</w:t>
      </w:r>
    </w:p>
    <w:p w14:paraId="0105DE04" w14:textId="77777777" w:rsidR="004C1E80" w:rsidRPr="00DB6056" w:rsidRDefault="004C1E80">
      <w:pPr>
        <w:spacing w:line="360" w:lineRule="auto"/>
        <w:ind w:left="567" w:right="567"/>
        <w:jc w:val="both"/>
        <w:rPr>
          <w:rFonts w:ascii="Palatino Linotype" w:eastAsia="Palatino Linotype" w:hAnsi="Palatino Linotype" w:cs="Palatino Linotype"/>
          <w:i/>
          <w:iCs/>
          <w:color w:val="000000"/>
        </w:rPr>
      </w:pPr>
    </w:p>
    <w:p w14:paraId="0105DE05" w14:textId="77777777" w:rsidR="004C1E80" w:rsidRPr="00DB6056" w:rsidRDefault="00B67F9C" w:rsidP="00DB6056">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Es así que, todos los actos de autoridad que realicen los Sujetos Obligados </w:t>
      </w:r>
      <w:r w:rsidRPr="00DB6056">
        <w:rPr>
          <w:rFonts w:ascii="Palatino Linotype" w:eastAsia="Palatino Linotype" w:hAnsi="Palatino Linotype" w:cs="Palatino Linotype"/>
          <w:b/>
          <w:bCs/>
          <w:color w:val="000000"/>
        </w:rPr>
        <w:t xml:space="preserve">deben estar </w:t>
      </w:r>
      <w:r w:rsidRPr="00DB6056">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14:paraId="0105DE06" w14:textId="77777777" w:rsidR="004C1E80" w:rsidRPr="00DB6056" w:rsidRDefault="004C1E80">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0105DE07" w14:textId="77777777" w:rsidR="004C1E80" w:rsidRPr="00DB6056" w:rsidRDefault="00B67F9C" w:rsidP="00DB6056">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14:paraId="0105DE09" w14:textId="77777777" w:rsidR="004C1E80" w:rsidRPr="00DB6056" w:rsidRDefault="00B67F9C">
      <w:pPr>
        <w:spacing w:line="360" w:lineRule="auto"/>
        <w:ind w:left="426" w:right="567"/>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b/>
          <w:bCs/>
          <w:i/>
          <w:iCs/>
          <w:color w:val="000000"/>
        </w:rPr>
        <w:t xml:space="preserve">“Artículo 4. </w:t>
      </w:r>
      <w:r w:rsidRPr="00DB6056">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14:paraId="0105DE0A" w14:textId="77777777" w:rsidR="004C1E80" w:rsidRPr="00DB6056" w:rsidRDefault="00B67F9C">
      <w:pPr>
        <w:spacing w:line="360" w:lineRule="auto"/>
        <w:ind w:left="426" w:right="567"/>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b/>
          <w:bCs/>
          <w:i/>
          <w:iCs/>
          <w:color w:val="000000"/>
        </w:rPr>
        <w:t>Toda la información</w:t>
      </w:r>
      <w:r w:rsidRPr="00DB6056">
        <w:rPr>
          <w:rFonts w:ascii="Palatino Linotype" w:eastAsia="Palatino Linotype" w:hAnsi="Palatino Linotype" w:cs="Palatino Linotype"/>
          <w:i/>
          <w:iCs/>
          <w:color w:val="000000"/>
        </w:rPr>
        <w:t xml:space="preserve"> generada, obtenida, adquirida, transformada, administrada o </w:t>
      </w:r>
      <w:r w:rsidRPr="00DB6056">
        <w:rPr>
          <w:rFonts w:ascii="Palatino Linotype" w:eastAsia="Palatino Linotype" w:hAnsi="Palatino Linotype" w:cs="Palatino Linotype"/>
          <w:b/>
          <w:bCs/>
          <w:i/>
          <w:iCs/>
          <w:color w:val="000000"/>
        </w:rPr>
        <w:t>en posesión de los sujetos obligados es pública</w:t>
      </w:r>
      <w:r w:rsidRPr="00DB6056">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105DE0B" w14:textId="77777777" w:rsidR="004C1E80" w:rsidRPr="00DB6056" w:rsidRDefault="00B67F9C">
      <w:pPr>
        <w:spacing w:line="360" w:lineRule="auto"/>
        <w:ind w:left="426" w:right="567"/>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i/>
          <w:iCs/>
          <w:color w:val="000000"/>
        </w:rPr>
        <w:lastRenderedPageBreak/>
        <w:t>Los sujetos obligados deben poner en práctica, políticas y programas de acceso a la información que se apeguen a criterios de publicidad, veracidad, oportunidad, precisión y suficiencia en beneficio de los solicitantes.”</w:t>
      </w:r>
    </w:p>
    <w:p w14:paraId="0105DE0C" w14:textId="77777777" w:rsidR="004C1E80" w:rsidRPr="00DB6056" w:rsidRDefault="004C1E80">
      <w:pPr>
        <w:spacing w:line="360" w:lineRule="auto"/>
        <w:ind w:left="567" w:right="567"/>
        <w:jc w:val="both"/>
        <w:rPr>
          <w:rFonts w:ascii="Palatino Linotype" w:eastAsia="Palatino Linotype" w:hAnsi="Palatino Linotype" w:cs="Palatino Linotype"/>
          <w:i/>
          <w:iCs/>
          <w:color w:val="000000"/>
        </w:rPr>
      </w:pPr>
    </w:p>
    <w:p w14:paraId="0105DE0D" w14:textId="77777777" w:rsidR="004C1E80" w:rsidRPr="00DB6056" w:rsidRDefault="00B67F9C" w:rsidP="00DB6056">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B6056">
        <w:rPr>
          <w:rFonts w:ascii="Palatino Linotype" w:eastAsia="Palatino Linotype" w:hAnsi="Palatino Linotype" w:cs="Palatino Linotype"/>
          <w:color w:val="000000"/>
          <w:vertAlign w:val="superscript"/>
        </w:rPr>
        <w:footnoteReference w:id="6"/>
      </w:r>
      <w:r w:rsidRPr="00DB6056">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105DE0E" w14:textId="77777777" w:rsidR="004C1E80" w:rsidRPr="00DB6056" w:rsidRDefault="004C1E80">
      <w:pPr>
        <w:spacing w:line="360" w:lineRule="auto"/>
        <w:jc w:val="both"/>
        <w:rPr>
          <w:rFonts w:ascii="Palatino Linotype" w:eastAsia="Palatino Linotype" w:hAnsi="Palatino Linotype" w:cs="Palatino Linotype"/>
          <w:color w:val="000000"/>
        </w:rPr>
      </w:pPr>
    </w:p>
    <w:p w14:paraId="0105DE0F" w14:textId="77777777" w:rsidR="004C1E80" w:rsidRPr="00DB6056" w:rsidRDefault="00B67F9C" w:rsidP="00DB6056">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105DE11" w14:textId="77777777" w:rsidR="004C1E80" w:rsidRDefault="00B67F9C">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b/>
          <w:bCs/>
          <w:i/>
          <w:iCs/>
          <w:color w:val="000000"/>
        </w:rPr>
        <w:t>ACCESO A LA INFORMACIÓN. IMPLICACIÓN DEL PRINCIPIO DE MÁXIMA PUBLICIDAD EN EL DERECHO FUNDAMENTAL RELATIVO.</w:t>
      </w:r>
      <w:r w:rsidRPr="00DB6056">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w:t>
      </w:r>
      <w:r w:rsidRPr="00DB6056">
        <w:rPr>
          <w:rFonts w:ascii="Palatino Linotype" w:eastAsia="Palatino Linotype" w:hAnsi="Palatino Linotype" w:cs="Palatino Linotype"/>
          <w:i/>
          <w:iCs/>
          <w:color w:val="000000"/>
        </w:rPr>
        <w:lastRenderedPageBreak/>
        <w:t>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9A8228C" w14:textId="77777777" w:rsidR="00DB6056" w:rsidRPr="00DB6056" w:rsidRDefault="00DB6056">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iCs/>
          <w:color w:val="000000"/>
        </w:rPr>
      </w:pPr>
    </w:p>
    <w:p w14:paraId="0105DE12" w14:textId="2FD70C51"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En último lugar, respecto de las expresiones vertidas en el escrito recursal, </w:t>
      </w:r>
      <w:r w:rsidRPr="00DB6056">
        <w:rPr>
          <w:rFonts w:ascii="Palatino Linotype" w:eastAsia="Palatino Linotype" w:hAnsi="Palatino Linotype" w:cs="Palatino Linotype"/>
          <w:color w:val="000000"/>
          <w:u w:val="single"/>
        </w:rPr>
        <w:t>se conmina</w:t>
      </w:r>
      <w:r w:rsidRPr="00DB6056">
        <w:rPr>
          <w:rFonts w:ascii="Palatino Linotype" w:eastAsia="Palatino Linotype" w:hAnsi="Palatino Linotype" w:cs="Palatino Linotype"/>
          <w:color w:val="000000"/>
        </w:rPr>
        <w:t xml:space="preserve"> al particular a dirigirse de manera pacífica y respetuosa para el ejercicio de su derecho humano de acceso a la información pública, sin usar lenguaje altisonante, groserías o expresiones insultantes, o en doble sentido, cuya finalidad o intensión sea ocasionar agravios en la moral de los </w:t>
      </w:r>
      <w:r w:rsidR="00836A99" w:rsidRPr="00DB6056">
        <w:rPr>
          <w:rFonts w:ascii="Palatino Linotype" w:eastAsia="Palatino Linotype" w:hAnsi="Palatino Linotype" w:cs="Palatino Linotype"/>
          <w:color w:val="000000"/>
        </w:rPr>
        <w:t xml:space="preserve">integrantes del </w:t>
      </w:r>
      <w:r w:rsidR="00836A99"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w:t>
      </w:r>
    </w:p>
    <w:p w14:paraId="0105DE13" w14:textId="77777777" w:rsidR="004C1E80" w:rsidRPr="00DB6056" w:rsidRDefault="004C1E80">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105DE14" w14:textId="74A5114B"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lastRenderedPageBreak/>
        <w:t xml:space="preserve">Se considera que no se puede ejercer el derecho de acceso a la información ni el recurso de revisión para injuriar e insultar a </w:t>
      </w:r>
      <w:r w:rsidR="006B7076" w:rsidRPr="00DB6056">
        <w:rPr>
          <w:rFonts w:ascii="Palatino Linotype" w:eastAsia="Palatino Linotype" w:hAnsi="Palatino Linotype" w:cs="Palatino Linotype"/>
          <w:color w:val="000000"/>
        </w:rPr>
        <w:t xml:space="preserve">los integrantes del </w:t>
      </w:r>
      <w:r w:rsidR="006B7076"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 xml:space="preserve"> es decir, faltando al respeto, y que dicha falta de respeto se normalice, se pase por alto como si los insultos, las injurias, las ofensas no estuvieran escritas en las solicitudes de acceso a la información o en el recurso de revisión, </w:t>
      </w:r>
      <w:r w:rsidRPr="00DB6056">
        <w:rPr>
          <w:rFonts w:ascii="Palatino Linotype" w:eastAsia="Palatino Linotype" w:hAnsi="Palatino Linotype" w:cs="Palatino Linotype"/>
          <w:i/>
          <w:iCs/>
          <w:color w:val="000000"/>
        </w:rPr>
        <w:t>máxime</w:t>
      </w:r>
      <w:r w:rsidRPr="00DB6056">
        <w:rPr>
          <w:rFonts w:ascii="Palatino Linotype" w:eastAsia="Palatino Linotype" w:hAnsi="Palatino Linotype" w:cs="Palatino Linotype"/>
          <w:color w:val="000000"/>
        </w:rPr>
        <w:t xml:space="preserve"> que, como se repite su fin es hacer insultar y/o lastimar la moral de las personas funcionarias públicas.</w:t>
      </w:r>
    </w:p>
    <w:p w14:paraId="0105DE15" w14:textId="77777777" w:rsidR="004C1E80" w:rsidRPr="00DB6056" w:rsidRDefault="004C1E80">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105DE16"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Al respecto, es de hacer notar, como referencia concatenada, lo que establece el artículo 8 de la Constitución Política de los Estados Unidos Mexicanos, que para el caso que nos ocupa, reza:</w:t>
      </w:r>
    </w:p>
    <w:p w14:paraId="0105DE18" w14:textId="77777777" w:rsidR="004C1E80" w:rsidRPr="00DB6056" w:rsidRDefault="00B67F9C">
      <w:pPr>
        <w:pBdr>
          <w:top w:val="nil"/>
          <w:left w:val="nil"/>
          <w:bottom w:val="nil"/>
          <w:right w:val="nil"/>
          <w:between w:val="nil"/>
        </w:pBdr>
        <w:spacing w:line="360" w:lineRule="auto"/>
        <w:ind w:left="360" w:right="851"/>
        <w:jc w:val="both"/>
        <w:rPr>
          <w:rFonts w:ascii="Palatino Linotype" w:eastAsia="Palatino Linotype" w:hAnsi="Palatino Linotype" w:cs="Palatino Linotype"/>
          <w:i/>
          <w:iCs/>
          <w:color w:val="000000"/>
        </w:rPr>
      </w:pPr>
      <w:r w:rsidRPr="00DB6056">
        <w:rPr>
          <w:rFonts w:ascii="Palatino Linotype" w:eastAsia="Palatino Linotype" w:hAnsi="Palatino Linotype" w:cs="Palatino Linotype"/>
          <w:i/>
          <w:iCs/>
          <w:color w:val="000000"/>
        </w:rPr>
        <w:t>“</w:t>
      </w:r>
      <w:r w:rsidRPr="00DB6056">
        <w:rPr>
          <w:rFonts w:ascii="Palatino Linotype" w:eastAsia="Palatino Linotype" w:hAnsi="Palatino Linotype" w:cs="Palatino Linotype"/>
          <w:b/>
          <w:bCs/>
          <w:i/>
          <w:iCs/>
          <w:color w:val="000000"/>
        </w:rPr>
        <w:t>Artículo 8o</w:t>
      </w:r>
      <w:r w:rsidRPr="00DB6056">
        <w:rPr>
          <w:rFonts w:ascii="Palatino Linotype" w:eastAsia="Palatino Linotype" w:hAnsi="Palatino Linotype" w:cs="Palatino Linotype"/>
          <w:i/>
          <w:iCs/>
          <w:color w:val="000000"/>
        </w:rPr>
        <w:t xml:space="preserve">. Los funcionarios y empleados públicos respetarán el ejercicio del derecho de petición, siempre que ésta se formule por escrito, </w:t>
      </w:r>
      <w:r w:rsidRPr="00DB6056">
        <w:rPr>
          <w:rFonts w:ascii="Palatino Linotype" w:eastAsia="Palatino Linotype" w:hAnsi="Palatino Linotype" w:cs="Palatino Linotype"/>
          <w:b/>
          <w:bCs/>
          <w:i/>
          <w:iCs/>
          <w:color w:val="000000"/>
          <w:u w:val="single"/>
        </w:rPr>
        <w:t>de manera pacífica y respetuosa</w:t>
      </w:r>
      <w:r w:rsidRPr="00DB6056">
        <w:rPr>
          <w:rFonts w:ascii="Palatino Linotype" w:eastAsia="Palatino Linotype" w:hAnsi="Palatino Linotype" w:cs="Palatino Linotype"/>
          <w:i/>
          <w:iCs/>
          <w:color w:val="000000"/>
        </w:rPr>
        <w:t>;”</w:t>
      </w:r>
    </w:p>
    <w:p w14:paraId="0105DE19" w14:textId="77777777" w:rsidR="004C1E80" w:rsidRPr="00DB6056" w:rsidRDefault="004C1E80">
      <w:pPr>
        <w:pBdr>
          <w:top w:val="nil"/>
          <w:left w:val="nil"/>
          <w:bottom w:val="nil"/>
          <w:right w:val="nil"/>
          <w:between w:val="nil"/>
        </w:pBdr>
        <w:spacing w:line="360" w:lineRule="auto"/>
        <w:ind w:left="360" w:right="851"/>
        <w:jc w:val="both"/>
        <w:rPr>
          <w:rFonts w:ascii="Palatino Linotype" w:eastAsia="Palatino Linotype" w:hAnsi="Palatino Linotype" w:cs="Palatino Linotype"/>
          <w:i/>
          <w:iCs/>
          <w:color w:val="000000"/>
        </w:rPr>
      </w:pPr>
    </w:p>
    <w:p w14:paraId="0105DE1A"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pacífica e irrespetuosa, no es así, y no se discute en este punto la diferencia del bien jurídico tutelado por cada artículo, sino la similitud de estos dos artículos en la forma de ejercer dichos derechos.</w:t>
      </w:r>
    </w:p>
    <w:p w14:paraId="0105DE1B" w14:textId="77777777" w:rsidR="004C1E80" w:rsidRPr="00DB6056" w:rsidRDefault="004C1E80">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105DE1C"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En ese mismo orden de ideas el artículo 9 Constitucional, refiere:</w:t>
      </w:r>
    </w:p>
    <w:p w14:paraId="0105DE1D" w14:textId="77777777" w:rsidR="004C1E80" w:rsidRPr="00DB6056" w:rsidRDefault="00B67F9C">
      <w:pPr>
        <w:spacing w:line="360" w:lineRule="auto"/>
        <w:ind w:left="851" w:right="851"/>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lastRenderedPageBreak/>
        <w:t xml:space="preserve">“No se considerará ilegal, y no podrá ser disuelta una asamblea o reunión que tenga por objeto hacer una petición o presentar una protesta por algún acto, a una autoridad, </w:t>
      </w:r>
      <w:r w:rsidRPr="00DB6056">
        <w:rPr>
          <w:rFonts w:ascii="Palatino Linotype" w:eastAsia="Palatino Linotype" w:hAnsi="Palatino Linotype" w:cs="Palatino Linotype"/>
          <w:b/>
          <w:bCs/>
          <w:i/>
          <w:iCs/>
          <w:u w:val="single"/>
        </w:rPr>
        <w:t>si no se profieren injurias</w:t>
      </w:r>
      <w:r w:rsidRPr="00DB6056">
        <w:rPr>
          <w:rFonts w:ascii="Palatino Linotype" w:eastAsia="Palatino Linotype" w:hAnsi="Palatino Linotype" w:cs="Palatino Linotype"/>
          <w:i/>
          <w:iCs/>
        </w:rPr>
        <w:t xml:space="preserve"> contra ésta,…”</w:t>
      </w:r>
    </w:p>
    <w:p w14:paraId="0105DE1E" w14:textId="77777777" w:rsidR="004C1E80" w:rsidRPr="00DB6056" w:rsidRDefault="004C1E80">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105DE1F"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ab/>
        <w:t xml:space="preserve">A </w:t>
      </w:r>
      <w:r w:rsidRPr="00DB6056">
        <w:rPr>
          <w:rFonts w:ascii="Palatino Linotype" w:eastAsia="Palatino Linotype" w:hAnsi="Palatino Linotype" w:cs="Palatino Linotype"/>
          <w:i/>
          <w:iCs/>
          <w:color w:val="000000"/>
        </w:rPr>
        <w:t>contrario sensu</w:t>
      </w:r>
      <w:r w:rsidRPr="00DB6056">
        <w:rPr>
          <w:rFonts w:ascii="Palatino Linotype" w:eastAsia="Palatino Linotype" w:hAnsi="Palatino Linotype" w:cs="Palatino Linotype"/>
          <w:color w:val="000000"/>
        </w:rPr>
        <w:t>, el derecho de asociación será ilegal y la asociación que resulte, disuelta, si su petición profiere injurias contra la autoridades, tampoco se discute en el presente apartado la diferencia de bien jurídico tutelado entre el artículo 6° y 9°, sino la similitud en el pedir o solicitar de las autoridades algo, de forma análoga podemos ver que se pueden hacer protestas solicitando algo de la autoridad, pero sin injuriar y sin insultos, lo que conlleva a sus personas funcionarias públicas.</w:t>
      </w:r>
    </w:p>
    <w:p w14:paraId="0105DE20" w14:textId="77777777" w:rsidR="004C1E80" w:rsidRPr="00DB6056" w:rsidRDefault="004C1E80">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105DE21" w14:textId="77777777" w:rsidR="004C1E80" w:rsidRPr="00DB6056" w:rsidRDefault="00B67F9C">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sidRPr="00DB6056">
        <w:rPr>
          <w:rFonts w:ascii="Palatino Linotype" w:eastAsia="Palatino Linotype" w:hAnsi="Palatino Linotype" w:cs="Palatino Linotype"/>
          <w:b/>
          <w:bCs/>
          <w:color w:val="000000"/>
        </w:rPr>
        <w:t>QUINTO. De la versión pública.</w:t>
      </w:r>
    </w:p>
    <w:p w14:paraId="0105DE22"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Como se señaló en el anterior Considerando, al no existir certeza del soporte documental del que se opte, para el cumplimiento de la presente Resolución, </w:t>
      </w:r>
      <w:r w:rsidRPr="00DB6056">
        <w:rPr>
          <w:rFonts w:ascii="Palatino Linotype" w:eastAsia="Palatino Linotype" w:hAnsi="Palatino Linotype" w:cs="Palatino Linotype"/>
          <w:color w:val="000000"/>
          <w:u w:val="single"/>
        </w:rPr>
        <w:t>eventualmente</w:t>
      </w:r>
      <w:r w:rsidRPr="00DB6056">
        <w:rPr>
          <w:rFonts w:ascii="Palatino Linotype" w:eastAsia="Palatino Linotype" w:hAnsi="Palatino Linotype" w:cs="Palatino Linotype"/>
          <w:color w:val="000000"/>
        </w:rPr>
        <w:t xml:space="preserve"> pudiera contener datos personales de particulares; luego entonces, para el caso de que lo remitido contenga datos que deban ser clasificados, el </w:t>
      </w:r>
      <w:r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105DE23" w14:textId="77777777" w:rsidR="004C1E80" w:rsidRPr="00DB6056" w:rsidRDefault="004C1E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05DE24"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0105DE26" w14:textId="77777777" w:rsidR="004C1E80" w:rsidRPr="00DB6056" w:rsidRDefault="00B67F9C">
      <w:pPr>
        <w:spacing w:line="360" w:lineRule="auto"/>
        <w:ind w:left="993" w:right="1041"/>
        <w:jc w:val="both"/>
        <w:rPr>
          <w:rFonts w:ascii="Palatino Linotype" w:eastAsia="Palatino Linotype" w:hAnsi="Palatino Linotype" w:cs="Palatino Linotype"/>
          <w:b/>
          <w:bCs/>
          <w:i/>
          <w:iCs/>
        </w:rPr>
      </w:pPr>
      <w:r w:rsidRPr="00DB6056">
        <w:rPr>
          <w:rFonts w:ascii="Palatino Linotype" w:eastAsia="Palatino Linotype" w:hAnsi="Palatino Linotype" w:cs="Palatino Linotype"/>
          <w:b/>
          <w:bCs/>
          <w:i/>
          <w:iCs/>
        </w:rPr>
        <w:lastRenderedPageBreak/>
        <w:t xml:space="preserve"> “Artículo 3. Para los efectos de la presente Ley se entenderá por:</w:t>
      </w:r>
    </w:p>
    <w:p w14:paraId="0105DE27"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IX. Datos personales:</w:t>
      </w:r>
      <w:r w:rsidRPr="00DB6056">
        <w:rPr>
          <w:rFonts w:ascii="Palatino Linotype" w:eastAsia="Palatino Linotype" w:hAnsi="Palatino Linotype" w:cs="Palatino Linotype"/>
          <w:i/>
          <w:iCs/>
        </w:rPr>
        <w:t xml:space="preserve"> </w:t>
      </w:r>
      <w:r w:rsidRPr="00DB6056">
        <w:rPr>
          <w:rFonts w:ascii="Palatino Linotype" w:eastAsia="Palatino Linotype" w:hAnsi="Palatino Linotype" w:cs="Palatino Linotype"/>
          <w:b/>
          <w:bCs/>
          <w:i/>
          <w:iCs/>
        </w:rPr>
        <w:t>La información concerniente a una persona, identificada o identificable</w:t>
      </w:r>
      <w:r w:rsidRPr="00DB6056">
        <w:rPr>
          <w:rFonts w:ascii="Palatino Linotype" w:eastAsia="Palatino Linotype" w:hAnsi="Palatino Linotype" w:cs="Palatino Linotype"/>
          <w:i/>
          <w:iCs/>
        </w:rPr>
        <w:t xml:space="preserve"> según lo dispuesto por la Ley de Protección de Datos Personales del Estado de México;</w:t>
      </w:r>
    </w:p>
    <w:p w14:paraId="0105DE28"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XX. Información clasificada:</w:t>
      </w:r>
      <w:r w:rsidRPr="00DB6056">
        <w:rPr>
          <w:rFonts w:ascii="Palatino Linotype" w:eastAsia="Palatino Linotype" w:hAnsi="Palatino Linotype" w:cs="Palatino Linotype"/>
          <w:i/>
          <w:iCs/>
        </w:rPr>
        <w:t xml:space="preserve"> Aquella considerada por la presente Ley como reservada o confidencial;</w:t>
      </w:r>
    </w:p>
    <w:p w14:paraId="0105DE29"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XXXII. Protección de Datos Personales:</w:t>
      </w:r>
      <w:r w:rsidRPr="00DB6056">
        <w:rPr>
          <w:rFonts w:ascii="Palatino Linotype" w:eastAsia="Palatino Linotype" w:hAnsi="Palatino Linotype" w:cs="Palatino Linotype"/>
          <w:i/>
          <w:iCs/>
        </w:rPr>
        <w:t xml:space="preserve"> Derecho humano que tutela la privacidad de datos personales en poder de los sujetos obligados y sujetos particulares;</w:t>
      </w:r>
    </w:p>
    <w:p w14:paraId="0105DE2A"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XLV. Versión pública</w:t>
      </w:r>
      <w:r w:rsidRPr="00DB6056">
        <w:rPr>
          <w:rFonts w:ascii="Palatino Linotype" w:eastAsia="Palatino Linotype" w:hAnsi="Palatino Linotype" w:cs="Palatino Linotype"/>
          <w:i/>
          <w:iCs/>
        </w:rPr>
        <w:t>: Documento en el que se elimine, suprime o borra la información clasificada como reservada o confidencial para permitir su acceso.”</w:t>
      </w:r>
    </w:p>
    <w:p w14:paraId="0105DE2B" w14:textId="77777777" w:rsidR="004C1E80" w:rsidRPr="00DB6056" w:rsidRDefault="004C1E80">
      <w:pPr>
        <w:spacing w:line="360" w:lineRule="auto"/>
        <w:ind w:left="993" w:right="1041"/>
        <w:jc w:val="both"/>
        <w:rPr>
          <w:rFonts w:ascii="Palatino Linotype" w:eastAsia="Palatino Linotype" w:hAnsi="Palatino Linotype" w:cs="Palatino Linotype"/>
          <w:i/>
          <w:iCs/>
        </w:rPr>
      </w:pPr>
    </w:p>
    <w:p w14:paraId="0105DE2C"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“Artículo 6.</w:t>
      </w:r>
      <w:r w:rsidRPr="00DB6056">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105DE2D" w14:textId="77777777" w:rsidR="004C1E80" w:rsidRPr="00DB6056" w:rsidRDefault="004C1E80">
      <w:pPr>
        <w:spacing w:line="360" w:lineRule="auto"/>
        <w:ind w:left="993" w:right="1041"/>
        <w:jc w:val="both"/>
        <w:rPr>
          <w:rFonts w:ascii="Palatino Linotype" w:eastAsia="Palatino Linotype" w:hAnsi="Palatino Linotype" w:cs="Palatino Linotype"/>
          <w:i/>
          <w:iCs/>
        </w:rPr>
      </w:pPr>
    </w:p>
    <w:p w14:paraId="0105DE2E"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 </w:t>
      </w:r>
      <w:r w:rsidRPr="00DB6056">
        <w:rPr>
          <w:rFonts w:ascii="Palatino Linotype" w:eastAsia="Palatino Linotype" w:hAnsi="Palatino Linotype" w:cs="Palatino Linotype"/>
          <w:b/>
          <w:bCs/>
          <w:i/>
          <w:iCs/>
        </w:rPr>
        <w:t>Artículo 49.</w:t>
      </w:r>
      <w:r w:rsidRPr="00DB6056">
        <w:rPr>
          <w:rFonts w:ascii="Palatino Linotype" w:eastAsia="Palatino Linotype" w:hAnsi="Palatino Linotype" w:cs="Palatino Linotype"/>
          <w:i/>
          <w:iCs/>
        </w:rPr>
        <w:t> Los Comités de Transparencia tendrán las siguientes atribuciones:</w:t>
      </w:r>
    </w:p>
    <w:p w14:paraId="0105DE2F"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w:t>
      </w:r>
    </w:p>
    <w:p w14:paraId="0105DE30"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VIII</w:t>
      </w:r>
      <w:r w:rsidRPr="00DB6056">
        <w:rPr>
          <w:rFonts w:ascii="Palatino Linotype" w:eastAsia="Palatino Linotype" w:hAnsi="Palatino Linotype" w:cs="Palatino Linotype"/>
          <w:i/>
          <w:iCs/>
        </w:rPr>
        <w:t>. Aprobar, modificar o revocar la clasificación de la información;</w:t>
      </w:r>
    </w:p>
    <w:p w14:paraId="0105DE31"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w:t>
      </w:r>
    </w:p>
    <w:p w14:paraId="0105DE32"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lastRenderedPageBreak/>
        <w:t xml:space="preserve">Artículo 91. </w:t>
      </w:r>
      <w:r w:rsidRPr="00DB6056">
        <w:rPr>
          <w:rFonts w:ascii="Palatino Linotype" w:eastAsia="Palatino Linotype" w:hAnsi="Palatino Linotype" w:cs="Palatino Linotype"/>
          <w:i/>
          <w:iCs/>
        </w:rPr>
        <w:t>El acceso a la información pública será restringido excepcionalmente, cuando ésta sea clasificada como reservada o confidencial.</w:t>
      </w:r>
    </w:p>
    <w:p w14:paraId="0105DE33" w14:textId="77777777" w:rsidR="004C1E80" w:rsidRPr="00DB6056" w:rsidRDefault="004C1E80">
      <w:pPr>
        <w:spacing w:line="360" w:lineRule="auto"/>
        <w:ind w:left="993" w:right="1041"/>
        <w:jc w:val="both"/>
        <w:rPr>
          <w:rFonts w:ascii="Palatino Linotype" w:eastAsia="Palatino Linotype" w:hAnsi="Palatino Linotype" w:cs="Palatino Linotype"/>
          <w:i/>
          <w:iCs/>
        </w:rPr>
      </w:pPr>
    </w:p>
    <w:p w14:paraId="0105DE34" w14:textId="77777777" w:rsidR="004C1E80" w:rsidRPr="00DB6056" w:rsidRDefault="00B67F9C">
      <w:pPr>
        <w:spacing w:line="360" w:lineRule="auto"/>
        <w:ind w:left="993" w:right="1041"/>
        <w:jc w:val="both"/>
        <w:rPr>
          <w:rFonts w:ascii="Palatino Linotype" w:eastAsia="Palatino Linotype" w:hAnsi="Palatino Linotype" w:cs="Palatino Linotype"/>
          <w:b/>
          <w:bCs/>
          <w:i/>
          <w:iCs/>
        </w:rPr>
      </w:pPr>
      <w:r w:rsidRPr="00DB6056">
        <w:rPr>
          <w:rFonts w:ascii="Palatino Linotype" w:eastAsia="Palatino Linotype" w:hAnsi="Palatino Linotype" w:cs="Palatino Linotype"/>
          <w:b/>
          <w:bCs/>
          <w:i/>
          <w:iCs/>
        </w:rPr>
        <w:t>“Artículo 137.</w:t>
      </w:r>
      <w:r w:rsidRPr="00DB6056">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105DE35" w14:textId="77777777" w:rsidR="004C1E80" w:rsidRPr="00DB6056" w:rsidRDefault="004C1E80">
      <w:pPr>
        <w:spacing w:line="360" w:lineRule="auto"/>
        <w:ind w:left="993" w:right="1041"/>
        <w:jc w:val="both"/>
        <w:rPr>
          <w:rFonts w:ascii="Palatino Linotype" w:eastAsia="Palatino Linotype" w:hAnsi="Palatino Linotype" w:cs="Palatino Linotype"/>
          <w:b/>
          <w:bCs/>
          <w:i/>
          <w:iCs/>
        </w:rPr>
      </w:pPr>
    </w:p>
    <w:p w14:paraId="0105DE36"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“Artículo 143</w:t>
      </w:r>
      <w:r w:rsidRPr="00DB6056">
        <w:rPr>
          <w:rFonts w:ascii="Palatino Linotype" w:eastAsia="Palatino Linotype" w:hAnsi="Palatino Linotype" w:cs="Palatino Linotype"/>
          <w:i/>
          <w:iCs/>
        </w:rPr>
        <w:t>. Para los efectos de esta Ley se considera información confidencial, la clasificada como tal, de manera permanente, por su naturaleza, cuando:</w:t>
      </w:r>
    </w:p>
    <w:p w14:paraId="0105DE37"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I.</w:t>
      </w:r>
      <w:r w:rsidRPr="00DB6056">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14:paraId="0105DE38"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14:paraId="0105DE39"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14:paraId="0105DE3A" w14:textId="77777777" w:rsidR="004C1E80" w:rsidRPr="00DB6056" w:rsidRDefault="004C1E80">
      <w:pPr>
        <w:spacing w:line="360" w:lineRule="auto"/>
        <w:ind w:left="993" w:right="1041"/>
        <w:jc w:val="both"/>
        <w:rPr>
          <w:rFonts w:ascii="Palatino Linotype" w:eastAsia="Palatino Linotype" w:hAnsi="Palatino Linotype" w:cs="Palatino Linotype"/>
          <w:i/>
          <w:iCs/>
        </w:rPr>
      </w:pPr>
    </w:p>
    <w:p w14:paraId="0105DE3B"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w:t>
      </w:r>
      <w:r w:rsidRPr="00DB6056">
        <w:rPr>
          <w:rFonts w:ascii="Palatino Linotype" w:eastAsia="Palatino Linotype" w:hAnsi="Palatino Linotype" w:cs="Palatino Linotype"/>
          <w:color w:val="000000"/>
        </w:rPr>
        <w:lastRenderedPageBreak/>
        <w:t>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105DE3C" w14:textId="77777777" w:rsidR="004C1E80" w:rsidRPr="00DB6056" w:rsidRDefault="004C1E80">
      <w:pPr>
        <w:spacing w:line="360" w:lineRule="auto"/>
        <w:ind w:right="51"/>
        <w:jc w:val="both"/>
        <w:rPr>
          <w:rFonts w:ascii="Palatino Linotype" w:eastAsia="Palatino Linotype" w:hAnsi="Palatino Linotype" w:cs="Palatino Linotype"/>
        </w:rPr>
      </w:pPr>
    </w:p>
    <w:p w14:paraId="0105DE3D"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05DE3E" w14:textId="77777777" w:rsidR="004C1E80" w:rsidRPr="00DB6056" w:rsidRDefault="004C1E80">
      <w:pPr>
        <w:spacing w:line="360" w:lineRule="auto"/>
        <w:ind w:right="50"/>
        <w:jc w:val="both"/>
        <w:rPr>
          <w:rFonts w:ascii="Palatino Linotype" w:eastAsia="Palatino Linotype" w:hAnsi="Palatino Linotype" w:cs="Palatino Linotype"/>
        </w:rPr>
      </w:pPr>
    </w:p>
    <w:p w14:paraId="0105DE3F" w14:textId="079DA7AC"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En ese contexto, la clasificación de la información no opera con la simple supresión de datos que se haga en los documentos de que se trate o con la simple decisión que tome el </w:t>
      </w:r>
      <w:r w:rsidR="0066484F" w:rsidRPr="00DB6056">
        <w:rPr>
          <w:rFonts w:ascii="Palatino Linotype" w:eastAsia="Palatino Linotype" w:hAnsi="Palatino Linotype" w:cs="Palatino Linotype"/>
          <w:color w:val="000000"/>
        </w:rPr>
        <w:t>responsable</w:t>
      </w:r>
      <w:r w:rsidRPr="00DB6056">
        <w:rPr>
          <w:rFonts w:ascii="Palatino Linotype" w:eastAsia="Palatino Linotype" w:hAnsi="Palatino Linotype" w:cs="Palatino Linotype"/>
          <w:color w:val="000000"/>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105DE40" w14:textId="77777777" w:rsidR="004C1E80" w:rsidRPr="00DB6056" w:rsidRDefault="00B67F9C">
      <w:pPr>
        <w:spacing w:line="360" w:lineRule="auto"/>
        <w:ind w:left="851" w:right="1043"/>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“Artículo 49.</w:t>
      </w:r>
      <w:r w:rsidRPr="00DB6056">
        <w:rPr>
          <w:rFonts w:ascii="Palatino Linotype" w:eastAsia="Palatino Linotype" w:hAnsi="Palatino Linotype" w:cs="Palatino Linotype"/>
          <w:i/>
          <w:iCs/>
        </w:rPr>
        <w:t xml:space="preserve"> </w:t>
      </w:r>
      <w:r w:rsidRPr="00DB6056">
        <w:rPr>
          <w:rFonts w:ascii="Palatino Linotype" w:eastAsia="Palatino Linotype" w:hAnsi="Palatino Linotype" w:cs="Palatino Linotype"/>
          <w:b/>
          <w:bCs/>
          <w:i/>
          <w:iCs/>
        </w:rPr>
        <w:t>Los Comités de Transparencia</w:t>
      </w:r>
      <w:r w:rsidRPr="00DB6056">
        <w:rPr>
          <w:rFonts w:ascii="Palatino Linotype" w:eastAsia="Palatino Linotype" w:hAnsi="Palatino Linotype" w:cs="Palatino Linotype"/>
          <w:i/>
          <w:iCs/>
        </w:rPr>
        <w:t xml:space="preserve"> tendrán las siguientes atribuciones:</w:t>
      </w:r>
    </w:p>
    <w:p w14:paraId="0105DE41" w14:textId="77777777" w:rsidR="004C1E80" w:rsidRPr="00DB6056" w:rsidRDefault="00B67F9C">
      <w:pPr>
        <w:spacing w:line="360" w:lineRule="auto"/>
        <w:ind w:left="851" w:right="1043"/>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VIII. Aprobar, modificar o revocar la clasificación de la información</w:t>
      </w:r>
      <w:r w:rsidRPr="00DB6056">
        <w:rPr>
          <w:rFonts w:ascii="Palatino Linotype" w:eastAsia="Palatino Linotype" w:hAnsi="Palatino Linotype" w:cs="Palatino Linotype"/>
          <w:i/>
          <w:iCs/>
        </w:rPr>
        <w:t>…”</w:t>
      </w:r>
    </w:p>
    <w:p w14:paraId="0105DE42" w14:textId="77777777" w:rsidR="004C1E80" w:rsidRPr="00DB6056" w:rsidRDefault="00B67F9C">
      <w:pPr>
        <w:spacing w:line="360" w:lineRule="auto"/>
        <w:ind w:left="851" w:right="1043"/>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w:t>
      </w:r>
      <w:r w:rsidRPr="00DB6056">
        <w:rPr>
          <w:rFonts w:ascii="Palatino Linotype" w:eastAsia="Palatino Linotype" w:hAnsi="Palatino Linotype" w:cs="Palatino Linotype"/>
          <w:b/>
          <w:bCs/>
          <w:i/>
          <w:iCs/>
        </w:rPr>
        <w:t>Artículo 53.</w:t>
      </w:r>
      <w:r w:rsidRPr="00DB6056">
        <w:rPr>
          <w:rFonts w:ascii="Palatino Linotype" w:eastAsia="Palatino Linotype" w:hAnsi="Palatino Linotype" w:cs="Palatino Linotype"/>
          <w:i/>
          <w:iCs/>
        </w:rPr>
        <w:t xml:space="preserve"> Las </w:t>
      </w:r>
      <w:r w:rsidRPr="00DB6056">
        <w:rPr>
          <w:rFonts w:ascii="Palatino Linotype" w:eastAsia="Palatino Linotype" w:hAnsi="Palatino Linotype" w:cs="Palatino Linotype"/>
          <w:b/>
          <w:bCs/>
          <w:i/>
          <w:iCs/>
        </w:rPr>
        <w:t>Unidades de Transparencia</w:t>
      </w:r>
      <w:r w:rsidRPr="00DB6056">
        <w:rPr>
          <w:rFonts w:ascii="Palatino Linotype" w:eastAsia="Palatino Linotype" w:hAnsi="Palatino Linotype" w:cs="Palatino Linotype"/>
          <w:i/>
          <w:iCs/>
        </w:rPr>
        <w:t xml:space="preserve"> tendrán las siguientes </w:t>
      </w:r>
      <w:r w:rsidRPr="00DB6056">
        <w:rPr>
          <w:rFonts w:ascii="Palatino Linotype" w:eastAsia="Palatino Linotype" w:hAnsi="Palatino Linotype" w:cs="Palatino Linotype"/>
          <w:b/>
          <w:bCs/>
          <w:i/>
          <w:iCs/>
        </w:rPr>
        <w:t>funciones</w:t>
      </w:r>
      <w:r w:rsidRPr="00DB6056">
        <w:rPr>
          <w:rFonts w:ascii="Palatino Linotype" w:eastAsia="Palatino Linotype" w:hAnsi="Palatino Linotype" w:cs="Palatino Linotype"/>
          <w:i/>
          <w:iCs/>
        </w:rPr>
        <w:t>:</w:t>
      </w:r>
    </w:p>
    <w:p w14:paraId="0105DE43" w14:textId="77777777" w:rsidR="004C1E80" w:rsidRPr="00DB6056" w:rsidRDefault="00B67F9C">
      <w:pPr>
        <w:spacing w:line="360" w:lineRule="auto"/>
        <w:ind w:left="851" w:right="1043"/>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X. Presentar ante el Comité, el proyecto de clasificación de información</w:t>
      </w:r>
      <w:r w:rsidRPr="00DB6056">
        <w:rPr>
          <w:rFonts w:ascii="Palatino Linotype" w:eastAsia="Palatino Linotype" w:hAnsi="Palatino Linotype" w:cs="Palatino Linotype"/>
          <w:i/>
          <w:iCs/>
        </w:rPr>
        <w:t xml:space="preserve">…” </w:t>
      </w:r>
    </w:p>
    <w:p w14:paraId="0105DE44" w14:textId="77777777" w:rsidR="004C1E80" w:rsidRPr="00DB6056" w:rsidRDefault="00B67F9C">
      <w:pPr>
        <w:spacing w:line="360" w:lineRule="auto"/>
        <w:ind w:left="851" w:right="1043"/>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lastRenderedPageBreak/>
        <w:t>“Artículo 59.</w:t>
      </w:r>
      <w:r w:rsidRPr="00DB6056">
        <w:rPr>
          <w:rFonts w:ascii="Palatino Linotype" w:eastAsia="Palatino Linotype" w:hAnsi="Palatino Linotype" w:cs="Palatino Linotype"/>
          <w:i/>
          <w:iCs/>
        </w:rPr>
        <w:t xml:space="preserve"> Los </w:t>
      </w:r>
      <w:r w:rsidRPr="00DB6056">
        <w:rPr>
          <w:rFonts w:ascii="Palatino Linotype" w:eastAsia="Palatino Linotype" w:hAnsi="Palatino Linotype" w:cs="Palatino Linotype"/>
          <w:b/>
          <w:bCs/>
          <w:i/>
          <w:iCs/>
        </w:rPr>
        <w:t>servidores públicos habilitados</w:t>
      </w:r>
      <w:r w:rsidRPr="00DB6056">
        <w:rPr>
          <w:rFonts w:ascii="Palatino Linotype" w:eastAsia="Palatino Linotype" w:hAnsi="Palatino Linotype" w:cs="Palatino Linotype"/>
          <w:i/>
          <w:iCs/>
        </w:rPr>
        <w:t xml:space="preserve"> tendrán las </w:t>
      </w:r>
      <w:r w:rsidRPr="00DB6056">
        <w:rPr>
          <w:rFonts w:ascii="Palatino Linotype" w:eastAsia="Palatino Linotype" w:hAnsi="Palatino Linotype" w:cs="Palatino Linotype"/>
          <w:b/>
          <w:bCs/>
          <w:i/>
          <w:iCs/>
        </w:rPr>
        <w:t>funciones</w:t>
      </w:r>
      <w:r w:rsidRPr="00DB6056">
        <w:rPr>
          <w:rFonts w:ascii="Palatino Linotype" w:eastAsia="Palatino Linotype" w:hAnsi="Palatino Linotype" w:cs="Palatino Linotype"/>
          <w:i/>
          <w:iCs/>
        </w:rPr>
        <w:t xml:space="preserve"> siguientes:</w:t>
      </w:r>
    </w:p>
    <w:p w14:paraId="0105DE45" w14:textId="77777777" w:rsidR="004C1E80" w:rsidRPr="00DB6056" w:rsidRDefault="00B67F9C">
      <w:pPr>
        <w:spacing w:line="360" w:lineRule="auto"/>
        <w:ind w:left="851" w:right="1043"/>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V. Integrar y presentar al responsable de la Unidad de Transparencia la propuesta de clasificación de información</w:t>
      </w:r>
      <w:r w:rsidRPr="00DB6056">
        <w:rPr>
          <w:rFonts w:ascii="Palatino Linotype" w:eastAsia="Palatino Linotype" w:hAnsi="Palatino Linotype" w:cs="Palatino Linotype"/>
          <w:i/>
          <w:iCs/>
        </w:rPr>
        <w:t>, la cual tendrá los fundamentos y argumentos en que se basa dicha propuesta…”</w:t>
      </w:r>
    </w:p>
    <w:p w14:paraId="0105DE46" w14:textId="77777777" w:rsidR="004C1E80" w:rsidRPr="00DB6056" w:rsidRDefault="004C1E80">
      <w:pPr>
        <w:spacing w:line="360" w:lineRule="auto"/>
        <w:ind w:left="851" w:right="1043"/>
        <w:jc w:val="both"/>
        <w:rPr>
          <w:rFonts w:ascii="Palatino Linotype" w:eastAsia="Palatino Linotype" w:hAnsi="Palatino Linotype" w:cs="Palatino Linotype"/>
          <w:i/>
          <w:iCs/>
        </w:rPr>
      </w:pPr>
    </w:p>
    <w:p w14:paraId="0105DE47" w14:textId="5C4ACD34"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Denotándose de dichos elementos normativos que el determinar la clasificación de la información es un trabajo en conjunto tanto de los </w:t>
      </w:r>
      <w:r w:rsidR="006B7076" w:rsidRPr="00DB6056">
        <w:rPr>
          <w:rFonts w:ascii="Palatino Linotype" w:eastAsia="Palatino Linotype" w:hAnsi="Palatino Linotype" w:cs="Palatino Linotype"/>
          <w:color w:val="000000"/>
        </w:rPr>
        <w:t>integrantes</w:t>
      </w:r>
      <w:r w:rsidRPr="00DB6056">
        <w:rPr>
          <w:rFonts w:ascii="Palatino Linotype" w:eastAsia="Palatino Linotype" w:hAnsi="Palatino Linotype" w:cs="Palatino Linotype"/>
          <w:color w:val="000000"/>
        </w:rPr>
        <w:t>, de la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105DE48" w14:textId="77777777" w:rsidR="004C1E80" w:rsidRPr="00DB6056" w:rsidRDefault="004C1E80">
      <w:pPr>
        <w:spacing w:line="360" w:lineRule="auto"/>
        <w:jc w:val="both"/>
        <w:rPr>
          <w:rFonts w:ascii="Palatino Linotype" w:eastAsia="Palatino Linotype" w:hAnsi="Palatino Linotype" w:cs="Palatino Linotype"/>
        </w:rPr>
      </w:pPr>
    </w:p>
    <w:p w14:paraId="0105DE49"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14:paraId="0105DE4A" w14:textId="77777777" w:rsidR="004C1E80" w:rsidRPr="00DB6056" w:rsidRDefault="00B67F9C">
      <w:pPr>
        <w:spacing w:line="360" w:lineRule="auto"/>
        <w:ind w:left="993" w:right="1041"/>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w:t>
      </w:r>
      <w:r w:rsidRPr="00DB6056">
        <w:rPr>
          <w:rFonts w:ascii="Palatino Linotype" w:eastAsia="Palatino Linotype" w:hAnsi="Palatino Linotype" w:cs="Palatino Linotype"/>
          <w:b/>
          <w:bCs/>
          <w:i/>
          <w:iCs/>
        </w:rPr>
        <w:t>Artículo 149.</w:t>
      </w:r>
      <w:r w:rsidRPr="00DB6056">
        <w:rPr>
          <w:rFonts w:ascii="Palatino Linotype" w:eastAsia="Palatino Linotype" w:hAnsi="Palatino Linotype" w:cs="Palatino Linotype"/>
          <w:i/>
          <w:iCs/>
        </w:rPr>
        <w:t xml:space="preserve"> El </w:t>
      </w:r>
      <w:r w:rsidRPr="00DB6056">
        <w:rPr>
          <w:rFonts w:ascii="Palatino Linotype" w:eastAsia="Palatino Linotype" w:hAnsi="Palatino Linotype" w:cs="Palatino Linotype"/>
          <w:b/>
          <w:bCs/>
          <w:i/>
          <w:iCs/>
        </w:rPr>
        <w:t>acuerdo que clasifique la información como confidencial</w:t>
      </w:r>
      <w:r w:rsidRPr="00DB6056">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14:paraId="0105DE4B" w14:textId="77777777" w:rsidR="004C1E80" w:rsidRPr="00DB6056" w:rsidRDefault="004C1E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05DE4C"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w:t>
      </w:r>
      <w:r w:rsidRPr="00DB6056">
        <w:rPr>
          <w:rFonts w:ascii="Palatino Linotype" w:eastAsia="Palatino Linotype" w:hAnsi="Palatino Linotype" w:cs="Palatino Linotype"/>
          <w:color w:val="000000"/>
        </w:rPr>
        <w:lastRenderedPageBreak/>
        <w:t>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105DE4F" w14:textId="77777777" w:rsidR="004C1E80" w:rsidRPr="00DB6056" w:rsidRDefault="004C1E80">
      <w:pPr>
        <w:pBdr>
          <w:top w:val="nil"/>
          <w:left w:val="nil"/>
          <w:bottom w:val="nil"/>
          <w:right w:val="nil"/>
          <w:between w:val="nil"/>
        </w:pBdr>
        <w:ind w:left="720"/>
        <w:rPr>
          <w:rFonts w:ascii="Palatino Linotype" w:eastAsia="Palatino Linotype" w:hAnsi="Palatino Linotype" w:cs="Palatino Linotype"/>
          <w:color w:val="000000"/>
        </w:rPr>
      </w:pPr>
    </w:p>
    <w:p w14:paraId="0105DE50" w14:textId="7609BC18"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w:t>
      </w:r>
      <w:r w:rsidR="00814226" w:rsidRPr="00DB6056">
        <w:rPr>
          <w:rFonts w:ascii="Palatino Linotype" w:eastAsia="Palatino Linotype" w:hAnsi="Palatino Linotype" w:cs="Palatino Linotype"/>
          <w:color w:val="000000"/>
        </w:rPr>
        <w:t>,</w:t>
      </w:r>
      <w:r w:rsidRPr="00DB6056">
        <w:rPr>
          <w:rFonts w:ascii="Palatino Linotype" w:eastAsia="Palatino Linotype" w:hAnsi="Palatino Linotype" w:cs="Palatino Linotype"/>
          <w:color w:val="000000"/>
        </w:rPr>
        <w:t xml:space="preserve"> los sujetos obligados no deben hacer entrega de éstos a persona ajena a su titular, sobre todo cuando traiga implícita que se ponga en riesgo la vida o integridad de una persona.</w:t>
      </w:r>
    </w:p>
    <w:p w14:paraId="0105DE51"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E52"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Sirven de sustento a lo anterior, las tesis jurisprudenciales </w:t>
      </w:r>
      <w:r w:rsidRPr="00DB6056">
        <w:rPr>
          <w:rFonts w:ascii="Palatino Linotype" w:eastAsia="Palatino Linotype" w:hAnsi="Palatino Linotype" w:cs="Palatino Linotype"/>
          <w:i/>
          <w:iCs/>
          <w:color w:val="000000"/>
        </w:rPr>
        <w:t xml:space="preserve">P. LX/2000 </w:t>
      </w:r>
      <w:r w:rsidRPr="00DB6056">
        <w:rPr>
          <w:rFonts w:ascii="Palatino Linotype" w:eastAsia="Palatino Linotype" w:hAnsi="Palatino Linotype" w:cs="Palatino Linotype"/>
          <w:color w:val="000000"/>
        </w:rPr>
        <w:t xml:space="preserve">y </w:t>
      </w:r>
      <w:r w:rsidRPr="00DB6056">
        <w:rPr>
          <w:rFonts w:ascii="Palatino Linotype" w:eastAsia="Palatino Linotype" w:hAnsi="Palatino Linotype" w:cs="Palatino Linotype"/>
          <w:i/>
          <w:iCs/>
          <w:color w:val="000000"/>
        </w:rPr>
        <w:t>2a. XLIII/2008</w:t>
      </w:r>
      <w:r w:rsidRPr="00DB6056">
        <w:rPr>
          <w:rFonts w:ascii="Palatino Linotype" w:eastAsia="Palatino Linotype" w:hAnsi="Palatino Linotype" w:cs="Palatino Linotype"/>
          <w:b/>
          <w:bCs/>
          <w:color w:val="000000"/>
        </w:rPr>
        <w:t xml:space="preserve"> </w:t>
      </w:r>
      <w:r w:rsidRPr="00DB6056">
        <w:rPr>
          <w:rFonts w:ascii="Palatino Linotype" w:eastAsia="Palatino Linotype" w:hAnsi="Palatino Linotype" w:cs="Palatino Linotype"/>
          <w:color w:val="000000"/>
        </w:rPr>
        <w:t>emitidas por el Peno y la Segunda Sala de la Suprema Corte de Justicia de la Nación, respectivamente, que son del tenor literal siguiente:</w:t>
      </w:r>
    </w:p>
    <w:p w14:paraId="0105DE53" w14:textId="77777777" w:rsidR="004C1E80" w:rsidRPr="00DB6056" w:rsidRDefault="00B67F9C">
      <w:pPr>
        <w:spacing w:line="360" w:lineRule="auto"/>
        <w:ind w:left="851" w:right="85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DB6056">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w:t>
      </w:r>
      <w:r w:rsidRPr="00DB6056">
        <w:rPr>
          <w:rFonts w:ascii="Palatino Linotype" w:eastAsia="Palatino Linotype" w:hAnsi="Palatino Linotype" w:cs="Palatino Linotype"/>
          <w:i/>
          <w:iCs/>
        </w:rPr>
        <w:lastRenderedPageBreak/>
        <w:t xml:space="preserve">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B6056">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DB6056">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DB6056">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DB6056">
        <w:rPr>
          <w:rFonts w:ascii="Palatino Linotype" w:eastAsia="Palatino Linotype" w:hAnsi="Palatino Linotype" w:cs="Palatino Linotype"/>
          <w:i/>
          <w:iCs/>
        </w:rPr>
        <w:t>.”</w:t>
      </w:r>
    </w:p>
    <w:p w14:paraId="0105DE54" w14:textId="77777777" w:rsidR="004C1E80" w:rsidRPr="00DB6056" w:rsidRDefault="004C1E80">
      <w:pPr>
        <w:spacing w:line="360" w:lineRule="auto"/>
        <w:ind w:left="851" w:right="851"/>
        <w:jc w:val="both"/>
        <w:rPr>
          <w:rFonts w:ascii="Palatino Linotype" w:eastAsia="Palatino Linotype" w:hAnsi="Palatino Linotype" w:cs="Palatino Linotype"/>
          <w:i/>
          <w:iCs/>
        </w:rPr>
      </w:pPr>
    </w:p>
    <w:p w14:paraId="0105DE55" w14:textId="77777777" w:rsidR="004C1E80" w:rsidRPr="00DB6056" w:rsidRDefault="00B67F9C">
      <w:pPr>
        <w:spacing w:line="360" w:lineRule="auto"/>
        <w:ind w:left="851" w:right="851"/>
        <w:jc w:val="both"/>
        <w:rPr>
          <w:rFonts w:ascii="Palatino Linotype" w:eastAsia="Palatino Linotype" w:hAnsi="Palatino Linotype" w:cs="Palatino Linotype"/>
          <w:i/>
          <w:iCs/>
        </w:rPr>
      </w:pPr>
      <w:r w:rsidRPr="00DB6056">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DB6056">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w:t>
      </w:r>
      <w:r w:rsidRPr="00DB6056">
        <w:rPr>
          <w:rFonts w:ascii="Palatino Linotype" w:eastAsia="Palatino Linotype" w:hAnsi="Palatino Linotype" w:cs="Palatino Linotype"/>
          <w:i/>
          <w:iCs/>
        </w:rPr>
        <w:lastRenderedPageBreak/>
        <w:t xml:space="preserve">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B6056">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B6056">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0105DE56" w14:textId="77777777" w:rsidR="004C1E80" w:rsidRPr="00DB6056" w:rsidRDefault="004C1E8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highlight w:val="white"/>
        </w:rPr>
      </w:pPr>
    </w:p>
    <w:p w14:paraId="0105DE57"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14:paraId="0105DE58"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E59"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w:t>
      </w:r>
      <w:r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 xml:space="preserve"> a testar, </w:t>
      </w:r>
      <w:r w:rsidRPr="00DB6056">
        <w:rPr>
          <w:rFonts w:ascii="Palatino Linotype" w:eastAsia="Palatino Linotype" w:hAnsi="Palatino Linotype" w:cs="Palatino Linotype"/>
          <w:color w:val="000000"/>
        </w:rPr>
        <w:lastRenderedPageBreak/>
        <w:t>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DB6056">
        <w:rPr>
          <w:rFonts w:ascii="Palatino Linotype" w:eastAsia="Palatino Linotype" w:hAnsi="Palatino Linotype" w:cs="Palatino Linotype"/>
          <w:b/>
          <w:bCs/>
          <w:color w:val="000000"/>
        </w:rPr>
        <w:t>RECURRENTE.</w:t>
      </w:r>
    </w:p>
    <w:p w14:paraId="0105DE5A"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E5B" w14:textId="2550BDE4"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r w:rsidR="002A5269" w:rsidRPr="00DB6056">
        <w:rPr>
          <w:rFonts w:ascii="Palatino Linotype" w:eastAsia="Palatino Linotype" w:hAnsi="Palatino Linotype" w:cs="Palatino Linotype"/>
          <w:color w:val="000000"/>
        </w:rPr>
        <w:t>.</w:t>
      </w:r>
    </w:p>
    <w:p w14:paraId="0105DE5C"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E5D"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105DE5E" w14:textId="77777777" w:rsidR="004C1E80" w:rsidRPr="00DB6056" w:rsidRDefault="004C1E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105DE5F"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lastRenderedPageBreak/>
        <w:t>Entorno a lo que aquí nos interesa, los Lineamientos Quincuagésimo sexto, Quincuagésimo séptimo y Quincuagésimo octavo, establecen lo siguiente:</w:t>
      </w:r>
    </w:p>
    <w:p w14:paraId="0105DE60" w14:textId="77777777" w:rsidR="004C1E80" w:rsidRPr="00DB6056" w:rsidRDefault="00B67F9C">
      <w:pPr>
        <w:spacing w:line="360" w:lineRule="auto"/>
        <w:ind w:left="851" w:right="902"/>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“Quincuagésimo sexto</w:t>
      </w:r>
      <w:r w:rsidRPr="00DB6056">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105DE61" w14:textId="77777777" w:rsidR="004C1E80" w:rsidRPr="00DB6056" w:rsidRDefault="00B67F9C">
      <w:pPr>
        <w:spacing w:line="360" w:lineRule="auto"/>
        <w:ind w:left="851" w:right="902"/>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14:paraId="0105DE62" w14:textId="77777777" w:rsidR="004C1E80" w:rsidRPr="00DB6056" w:rsidRDefault="00B67F9C">
      <w:pPr>
        <w:spacing w:line="360" w:lineRule="auto"/>
        <w:ind w:left="851" w:right="902"/>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14:paraId="0105DE63" w14:textId="77777777" w:rsidR="004C1E80" w:rsidRPr="00DB6056" w:rsidRDefault="00B67F9C">
      <w:pPr>
        <w:spacing w:line="360" w:lineRule="auto"/>
        <w:ind w:left="851" w:right="902"/>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14:paraId="0105DE64" w14:textId="77777777" w:rsidR="004C1E80" w:rsidRPr="00DB6056" w:rsidRDefault="00B67F9C">
      <w:pPr>
        <w:spacing w:line="360" w:lineRule="auto"/>
        <w:ind w:left="851" w:right="902"/>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14:paraId="0105DE65" w14:textId="77777777" w:rsidR="004C1E80" w:rsidRPr="00DB6056" w:rsidRDefault="00B67F9C">
      <w:pPr>
        <w:spacing w:line="360" w:lineRule="auto"/>
        <w:ind w:left="851" w:right="902"/>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14:paraId="0105DE66" w14:textId="77777777" w:rsidR="004C1E80" w:rsidRPr="00DB6056" w:rsidRDefault="00B67F9C">
      <w:pPr>
        <w:spacing w:line="360" w:lineRule="auto"/>
        <w:ind w:left="851" w:right="902"/>
        <w:jc w:val="both"/>
        <w:rPr>
          <w:rFonts w:ascii="Palatino Linotype" w:eastAsia="Palatino Linotype" w:hAnsi="Palatino Linotype" w:cs="Palatino Linotype"/>
          <w:i/>
          <w:iCs/>
        </w:rPr>
      </w:pPr>
      <w:r w:rsidRPr="00DB6056">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14:paraId="0105DE67" w14:textId="77777777" w:rsidR="004C1E80" w:rsidRPr="00DB6056" w:rsidRDefault="004C1E80">
      <w:pPr>
        <w:spacing w:line="360" w:lineRule="auto"/>
        <w:ind w:left="851" w:right="902"/>
        <w:jc w:val="both"/>
        <w:rPr>
          <w:rFonts w:ascii="Palatino Linotype" w:eastAsia="Palatino Linotype" w:hAnsi="Palatino Linotype" w:cs="Palatino Linotype"/>
          <w:i/>
          <w:iCs/>
        </w:rPr>
      </w:pPr>
    </w:p>
    <w:p w14:paraId="0105DE68"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Por lo tanto, </w:t>
      </w:r>
      <w:r w:rsidRPr="00DB6056">
        <w:rPr>
          <w:rFonts w:ascii="Palatino Linotype" w:eastAsia="Palatino Linotype" w:hAnsi="Palatino Linotype" w:cs="Palatino Linotype"/>
          <w:b/>
          <w:bCs/>
          <w:color w:val="000000"/>
        </w:rPr>
        <w:t xml:space="preserve">la entrega de documentos en su versión pública debe </w:t>
      </w:r>
      <w:r w:rsidRPr="00DB6056">
        <w:rPr>
          <w:rFonts w:ascii="Palatino Linotype" w:eastAsia="Palatino Linotype" w:hAnsi="Palatino Linotype" w:cs="Palatino Linotype"/>
          <w:color w:val="000000"/>
        </w:rPr>
        <w:t>acompañarse</w:t>
      </w:r>
      <w:r w:rsidRPr="00DB6056">
        <w:rPr>
          <w:rFonts w:ascii="Palatino Linotype" w:eastAsia="Palatino Linotype" w:hAnsi="Palatino Linotype" w:cs="Palatino Linotype"/>
          <w:b/>
          <w:bCs/>
          <w:color w:val="000000"/>
        </w:rPr>
        <w:t xml:space="preserve"> </w:t>
      </w:r>
      <w:r w:rsidRPr="00DB6056">
        <w:rPr>
          <w:rFonts w:ascii="Palatino Linotype" w:eastAsia="Palatino Linotype" w:hAnsi="Palatino Linotype" w:cs="Palatino Linotype"/>
          <w:color w:val="000000"/>
        </w:rPr>
        <w:t>necesariamente</w:t>
      </w:r>
      <w:r w:rsidRPr="00DB6056">
        <w:rPr>
          <w:rFonts w:ascii="Palatino Linotype" w:eastAsia="Palatino Linotype" w:hAnsi="Palatino Linotype" w:cs="Palatino Linotype"/>
          <w:b/>
          <w:bCs/>
          <w:color w:val="000000"/>
        </w:rPr>
        <w:t xml:space="preserve"> del Acuerdo del Comité de Transparencia que la sustente el cual debe estar </w:t>
      </w:r>
      <w:r w:rsidRPr="00DB6056">
        <w:rPr>
          <w:rFonts w:ascii="Palatino Linotype" w:eastAsia="Palatino Linotype" w:hAnsi="Palatino Linotype" w:cs="Palatino Linotype"/>
          <w:b/>
          <w:bCs/>
          <w:color w:val="000000"/>
        </w:rPr>
        <w:lastRenderedPageBreak/>
        <w:t>debidamente fundado y motivado, en el que se expongan los fundamentos y razonamientos que llevaron al Sujeto Obligado a testar, suprimir o eliminar datos de dicho soporte documental</w:t>
      </w:r>
      <w:r w:rsidRPr="00DB6056">
        <w:rPr>
          <w:rFonts w:ascii="Palatino Linotype" w:eastAsia="Palatino Linotype" w:hAnsi="Palatino Linotype" w:cs="Palatino Linotype"/>
          <w:color w:val="000000"/>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105DE69" w14:textId="77777777" w:rsidR="004C1E80" w:rsidRPr="00DB6056" w:rsidRDefault="004C1E8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14:paraId="0105DE6A" w14:textId="77777777"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Los sujetos obligados</w:t>
      </w:r>
      <w:r w:rsidRPr="00DB6056">
        <w:rPr>
          <w:rFonts w:ascii="Palatino Linotype" w:eastAsia="Palatino Linotype" w:hAnsi="Palatino Linotype" w:cs="Palatino Linotype"/>
          <w:b/>
          <w:bCs/>
          <w:color w:val="000000"/>
        </w:rPr>
        <w:t xml:space="preserve"> </w:t>
      </w:r>
      <w:r w:rsidRPr="00DB6056">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105DE6B" w14:textId="77777777" w:rsidR="004C1E80" w:rsidRPr="00DB6056" w:rsidRDefault="004C1E80">
      <w:pPr>
        <w:tabs>
          <w:tab w:val="left" w:pos="284"/>
        </w:tabs>
        <w:spacing w:line="360" w:lineRule="auto"/>
        <w:ind w:right="49"/>
        <w:jc w:val="both"/>
        <w:rPr>
          <w:rFonts w:ascii="Palatino Linotype" w:eastAsia="Palatino Linotype" w:hAnsi="Palatino Linotype" w:cs="Palatino Linotype"/>
          <w:color w:val="000000"/>
        </w:rPr>
      </w:pPr>
    </w:p>
    <w:tbl>
      <w:tblPr>
        <w:tblStyle w:val="a"/>
        <w:tblW w:w="100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371"/>
      </w:tblGrid>
      <w:tr w:rsidR="004C1E80" w:rsidRPr="00DB6056" w14:paraId="0105DE72" w14:textId="77777777" w:rsidTr="00DB6056">
        <w:tc>
          <w:tcPr>
            <w:tcW w:w="2689" w:type="dxa"/>
          </w:tcPr>
          <w:p w14:paraId="0105DE6C" w14:textId="77777777" w:rsidR="004C1E80" w:rsidRPr="00DB6056" w:rsidRDefault="00B67F9C">
            <w:pPr>
              <w:tabs>
                <w:tab w:val="left" w:pos="284"/>
              </w:tabs>
              <w:rPr>
                <w:rFonts w:ascii="Palatino Linotype" w:eastAsia="Palatino Linotype" w:hAnsi="Palatino Linotype" w:cs="Palatino Linotype"/>
              </w:rPr>
            </w:pPr>
            <w:r w:rsidRPr="00DB6056">
              <w:rPr>
                <w:rFonts w:ascii="Palatino Linotype" w:eastAsia="Palatino Linotype" w:hAnsi="Palatino Linotype" w:cs="Palatino Linotype"/>
              </w:rPr>
              <w:t>a) Requisitos previos.</w:t>
            </w:r>
          </w:p>
        </w:tc>
        <w:tc>
          <w:tcPr>
            <w:tcW w:w="7371" w:type="dxa"/>
          </w:tcPr>
          <w:p w14:paraId="0105DE6D"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105DE6E"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0105DE6F"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0105DE70" w14:textId="77777777" w:rsidR="004C1E80" w:rsidRPr="00DB6056" w:rsidRDefault="00B67F9C">
            <w:pPr>
              <w:tabs>
                <w:tab w:val="left" w:pos="284"/>
              </w:tabs>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B6056">
              <w:rPr>
                <w:rFonts w:ascii="Palatino Linotype" w:eastAsia="Palatino Linotype" w:hAnsi="Palatino Linotype" w:cs="Palatino Linotype"/>
                <w:color w:val="000000"/>
                <w:u w:val="single"/>
              </w:rPr>
              <w:t xml:space="preserve">no se puede hacer un acuerdo para clasificar de manera general todos los </w:t>
            </w:r>
            <w:r w:rsidRPr="00DB6056">
              <w:rPr>
                <w:rFonts w:ascii="Palatino Linotype" w:eastAsia="Palatino Linotype" w:hAnsi="Palatino Linotype" w:cs="Palatino Linotype"/>
                <w:color w:val="000000"/>
                <w:u w:val="single"/>
              </w:rPr>
              <w:lastRenderedPageBreak/>
              <w:t>documentos de un expediente o área, sin</w:t>
            </w:r>
            <w:r w:rsidRPr="00DB6056">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14:paraId="0105DE71" w14:textId="77777777" w:rsidR="004C1E80" w:rsidRPr="00DB6056" w:rsidRDefault="004C1E80">
            <w:pPr>
              <w:tabs>
                <w:tab w:val="left" w:pos="284"/>
              </w:tabs>
              <w:jc w:val="both"/>
              <w:rPr>
                <w:rFonts w:ascii="Palatino Linotype" w:eastAsia="Palatino Linotype" w:hAnsi="Palatino Linotype" w:cs="Palatino Linotype"/>
              </w:rPr>
            </w:pPr>
          </w:p>
        </w:tc>
      </w:tr>
      <w:tr w:rsidR="004C1E80" w:rsidRPr="00DB6056" w14:paraId="0105DE78" w14:textId="77777777" w:rsidTr="00DB6056">
        <w:tc>
          <w:tcPr>
            <w:tcW w:w="2689" w:type="dxa"/>
          </w:tcPr>
          <w:p w14:paraId="0105DE73" w14:textId="77777777" w:rsidR="004C1E80" w:rsidRPr="00DB6056" w:rsidRDefault="00B67F9C">
            <w:pPr>
              <w:tabs>
                <w:tab w:val="left" w:pos="284"/>
              </w:tabs>
              <w:rPr>
                <w:rFonts w:ascii="Palatino Linotype" w:eastAsia="Palatino Linotype" w:hAnsi="Palatino Linotype" w:cs="Palatino Linotype"/>
              </w:rPr>
            </w:pPr>
            <w:r w:rsidRPr="00DB6056">
              <w:rPr>
                <w:rFonts w:ascii="Palatino Linotype" w:eastAsia="Palatino Linotype" w:hAnsi="Palatino Linotype" w:cs="Palatino Linotype"/>
              </w:rPr>
              <w:lastRenderedPageBreak/>
              <w:t>b) Supuestos de clasificación.</w:t>
            </w:r>
          </w:p>
        </w:tc>
        <w:tc>
          <w:tcPr>
            <w:tcW w:w="7371" w:type="dxa"/>
          </w:tcPr>
          <w:p w14:paraId="0105DE74"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105DE75"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105DE76" w14:textId="20F16506" w:rsidR="004C1E80" w:rsidRPr="00DB6056" w:rsidRDefault="00B67F9C">
            <w:pPr>
              <w:tabs>
                <w:tab w:val="left" w:pos="284"/>
              </w:tabs>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El </w:t>
            </w:r>
            <w:r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w:t>
            </w:r>
          </w:p>
          <w:p w14:paraId="0105DE77" w14:textId="77777777" w:rsidR="004C1E80" w:rsidRPr="00DB6056" w:rsidRDefault="004C1E80">
            <w:pPr>
              <w:tabs>
                <w:tab w:val="left" w:pos="284"/>
              </w:tabs>
              <w:jc w:val="both"/>
              <w:rPr>
                <w:rFonts w:ascii="Palatino Linotype" w:eastAsia="Palatino Linotype" w:hAnsi="Palatino Linotype" w:cs="Palatino Linotype"/>
              </w:rPr>
            </w:pPr>
          </w:p>
        </w:tc>
      </w:tr>
      <w:tr w:rsidR="004C1E80" w:rsidRPr="00DB6056" w14:paraId="0105DE7E" w14:textId="77777777" w:rsidTr="00DB6056">
        <w:tc>
          <w:tcPr>
            <w:tcW w:w="2689" w:type="dxa"/>
          </w:tcPr>
          <w:p w14:paraId="0105DE79" w14:textId="77777777" w:rsidR="004C1E80" w:rsidRPr="00DB6056" w:rsidRDefault="00B67F9C">
            <w:pPr>
              <w:tabs>
                <w:tab w:val="left" w:pos="284"/>
              </w:tabs>
              <w:rPr>
                <w:rFonts w:ascii="Palatino Linotype" w:eastAsia="Palatino Linotype" w:hAnsi="Palatino Linotype" w:cs="Palatino Linotype"/>
              </w:rPr>
            </w:pPr>
            <w:r w:rsidRPr="00DB6056">
              <w:rPr>
                <w:rFonts w:ascii="Palatino Linotype" w:eastAsia="Palatino Linotype" w:hAnsi="Palatino Linotype" w:cs="Palatino Linotype"/>
              </w:rPr>
              <w:t>c) Formalidades para emitir el acuerdo de clasificación.</w:t>
            </w:r>
          </w:p>
        </w:tc>
        <w:tc>
          <w:tcPr>
            <w:tcW w:w="7371" w:type="dxa"/>
          </w:tcPr>
          <w:p w14:paraId="0105DE7A"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105DE7B"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Es necesario que </w:t>
            </w:r>
            <w:r w:rsidRPr="00DB6056">
              <w:rPr>
                <w:rFonts w:ascii="Palatino Linotype" w:eastAsia="Palatino Linotype" w:hAnsi="Palatino Linotype" w:cs="Palatino Linotype"/>
                <w:b/>
                <w:bCs/>
                <w:color w:val="000000"/>
                <w:u w:val="single"/>
              </w:rPr>
              <w:t>el acto reúna con los requisitos elementales</w:t>
            </w:r>
            <w:r w:rsidRPr="00DB6056">
              <w:rPr>
                <w:rFonts w:ascii="Palatino Linotype" w:eastAsia="Palatino Linotype" w:hAnsi="Palatino Linotype" w:cs="Palatino Linotype"/>
                <w:color w:val="000000"/>
              </w:rPr>
              <w:t>, entre ellos, que la autoridad que va a emitir el acto de autoridad sea la legalmente facultada para ello.</w:t>
            </w:r>
          </w:p>
          <w:p w14:paraId="0105DE7C" w14:textId="77777777" w:rsidR="004C1E80" w:rsidRPr="00DB6056" w:rsidRDefault="00B67F9C">
            <w:pPr>
              <w:tabs>
                <w:tab w:val="left" w:pos="284"/>
              </w:tabs>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105DE7D" w14:textId="77777777" w:rsidR="004C1E80" w:rsidRPr="00DB6056" w:rsidRDefault="004C1E80">
            <w:pPr>
              <w:tabs>
                <w:tab w:val="left" w:pos="284"/>
              </w:tabs>
              <w:jc w:val="both"/>
              <w:rPr>
                <w:rFonts w:ascii="Palatino Linotype" w:eastAsia="Palatino Linotype" w:hAnsi="Palatino Linotype" w:cs="Palatino Linotype"/>
              </w:rPr>
            </w:pPr>
          </w:p>
        </w:tc>
      </w:tr>
      <w:tr w:rsidR="004C1E80" w:rsidRPr="00DB6056" w14:paraId="0105DE87" w14:textId="77777777" w:rsidTr="00DB6056">
        <w:tc>
          <w:tcPr>
            <w:tcW w:w="2689" w:type="dxa"/>
          </w:tcPr>
          <w:p w14:paraId="0105DE7F" w14:textId="77777777" w:rsidR="004C1E80" w:rsidRPr="00DB6056" w:rsidRDefault="004C1E80">
            <w:pPr>
              <w:tabs>
                <w:tab w:val="left" w:pos="284"/>
              </w:tabs>
              <w:rPr>
                <w:rFonts w:ascii="Palatino Linotype" w:eastAsia="Palatino Linotype" w:hAnsi="Palatino Linotype" w:cs="Palatino Linotype"/>
              </w:rPr>
            </w:pPr>
          </w:p>
          <w:p w14:paraId="0105DE80" w14:textId="77777777" w:rsidR="004C1E80" w:rsidRPr="00DB6056" w:rsidRDefault="00B67F9C">
            <w:pPr>
              <w:tabs>
                <w:tab w:val="left" w:pos="284"/>
              </w:tabs>
              <w:jc w:val="both"/>
              <w:rPr>
                <w:rFonts w:ascii="Palatino Linotype" w:eastAsia="Palatino Linotype" w:hAnsi="Palatino Linotype" w:cs="Palatino Linotype"/>
              </w:rPr>
            </w:pPr>
            <w:r w:rsidRPr="00DB6056">
              <w:rPr>
                <w:rFonts w:ascii="Palatino Linotype" w:eastAsia="Palatino Linotype" w:hAnsi="Palatino Linotype" w:cs="Palatino Linotype"/>
                <w:color w:val="000000"/>
              </w:rPr>
              <w:t xml:space="preserve">d) Requisitos de fondo del acuerdo de clasificación. </w:t>
            </w:r>
          </w:p>
        </w:tc>
        <w:tc>
          <w:tcPr>
            <w:tcW w:w="7371" w:type="dxa"/>
          </w:tcPr>
          <w:p w14:paraId="0105DE81"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B6056">
              <w:rPr>
                <w:rFonts w:ascii="Palatino Linotype" w:eastAsia="Palatino Linotype" w:hAnsi="Palatino Linotype" w:cs="Palatino Linotype"/>
                <w:b/>
                <w:bCs/>
                <w:color w:val="000000"/>
              </w:rPr>
              <w:t>Sujetos Obligados</w:t>
            </w:r>
            <w:r w:rsidRPr="00DB6056">
              <w:rPr>
                <w:rFonts w:ascii="Palatino Linotype" w:eastAsia="Palatino Linotype" w:hAnsi="Palatino Linotype" w:cs="Palatino Linotype"/>
                <w:color w:val="000000"/>
              </w:rPr>
              <w:t xml:space="preserve">, por lo que deberán fundar y motivar debidamente la clasificación. </w:t>
            </w:r>
          </w:p>
          <w:p w14:paraId="0105DE82"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De lo anterior, se desprende que para una correcta </w:t>
            </w:r>
            <w:r w:rsidRPr="00DB6056">
              <w:rPr>
                <w:rFonts w:ascii="Palatino Linotype" w:eastAsia="Palatino Linotype" w:hAnsi="Palatino Linotype" w:cs="Palatino Linotype"/>
                <w:b/>
                <w:bCs/>
                <w:color w:val="000000"/>
              </w:rPr>
              <w:t>clasificación total o parcial</w:t>
            </w:r>
            <w:r w:rsidRPr="00DB6056">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105DE83"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105DE84"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0105DE85"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Ahora bien, </w:t>
            </w:r>
            <w:r w:rsidRPr="00DB6056">
              <w:rPr>
                <w:rFonts w:ascii="Palatino Linotype" w:eastAsia="Palatino Linotype" w:hAnsi="Palatino Linotype" w:cs="Palatino Linotype"/>
                <w:b/>
                <w:bCs/>
                <w:color w:val="000000"/>
                <w:u w:val="single"/>
              </w:rPr>
              <w:t>para cada caso además de fundar y motivar</w:t>
            </w:r>
            <w:r w:rsidRPr="00DB6056">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0105DE86" w14:textId="77777777" w:rsidR="004C1E80" w:rsidRPr="00DB6056" w:rsidRDefault="004C1E80">
            <w:pPr>
              <w:tabs>
                <w:tab w:val="left" w:pos="284"/>
              </w:tabs>
              <w:ind w:right="49"/>
              <w:jc w:val="both"/>
              <w:rPr>
                <w:rFonts w:ascii="Palatino Linotype" w:eastAsia="Palatino Linotype" w:hAnsi="Palatino Linotype" w:cs="Palatino Linotype"/>
                <w:color w:val="000000"/>
              </w:rPr>
            </w:pPr>
          </w:p>
        </w:tc>
      </w:tr>
      <w:tr w:rsidR="004C1E80" w:rsidRPr="00DB6056" w14:paraId="0105DE8D" w14:textId="77777777" w:rsidTr="00DB6056">
        <w:tc>
          <w:tcPr>
            <w:tcW w:w="2689" w:type="dxa"/>
          </w:tcPr>
          <w:p w14:paraId="0105DE88" w14:textId="77777777" w:rsidR="004C1E80" w:rsidRPr="00DB6056" w:rsidRDefault="00B67F9C">
            <w:pPr>
              <w:tabs>
                <w:tab w:val="left" w:pos="284"/>
              </w:tabs>
              <w:ind w:right="49"/>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e) Condiciones especiales de la </w:t>
            </w:r>
            <w:r w:rsidRPr="00DB6056">
              <w:rPr>
                <w:rFonts w:ascii="Palatino Linotype" w:eastAsia="Palatino Linotype" w:hAnsi="Palatino Linotype" w:cs="Palatino Linotype"/>
              </w:rPr>
              <w:lastRenderedPageBreak/>
              <w:t xml:space="preserve">clasificación de la información como confidencial. </w:t>
            </w:r>
          </w:p>
        </w:tc>
        <w:tc>
          <w:tcPr>
            <w:tcW w:w="7371" w:type="dxa"/>
          </w:tcPr>
          <w:p w14:paraId="0105DE89" w14:textId="77777777" w:rsidR="004C1E80" w:rsidRPr="00DB6056" w:rsidRDefault="00B67F9C">
            <w:pPr>
              <w:tabs>
                <w:tab w:val="left" w:pos="284"/>
              </w:tabs>
              <w:ind w:right="49"/>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lastRenderedPageBreak/>
              <w:t xml:space="preserve">Los artículos 148 y 120 de la Ley Estatal y de la Ley General, respectivamente, establecen que aun tratándose de datos </w:t>
            </w:r>
            <w:r w:rsidRPr="00DB6056">
              <w:rPr>
                <w:rFonts w:ascii="Palatino Linotype" w:eastAsia="Palatino Linotype" w:hAnsi="Palatino Linotype" w:cs="Palatino Linotype"/>
                <w:color w:val="000000"/>
              </w:rPr>
              <w:lastRenderedPageBreak/>
              <w:t xml:space="preserve">personales, se podrán proporcionar, incluso sin solicitar el consentimiento de su titular. </w:t>
            </w:r>
          </w:p>
          <w:p w14:paraId="0105DE8B" w14:textId="77777777" w:rsidR="004C1E80" w:rsidRPr="00DB6056" w:rsidRDefault="00B67F9C">
            <w:pPr>
              <w:tabs>
                <w:tab w:val="left" w:pos="284"/>
              </w:tabs>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14:paraId="0105DE8C" w14:textId="77777777" w:rsidR="004C1E80" w:rsidRPr="00DB6056" w:rsidRDefault="004C1E80">
            <w:pPr>
              <w:tabs>
                <w:tab w:val="left" w:pos="284"/>
              </w:tabs>
              <w:rPr>
                <w:rFonts w:ascii="Palatino Linotype" w:eastAsia="Palatino Linotype" w:hAnsi="Palatino Linotype" w:cs="Palatino Linotype"/>
              </w:rPr>
            </w:pPr>
          </w:p>
        </w:tc>
      </w:tr>
    </w:tbl>
    <w:p w14:paraId="0105DE8E" w14:textId="77777777" w:rsidR="004C1E80" w:rsidRPr="00DB6056" w:rsidRDefault="004C1E80">
      <w:pPr>
        <w:tabs>
          <w:tab w:val="left" w:pos="284"/>
        </w:tabs>
        <w:spacing w:line="360" w:lineRule="auto"/>
        <w:rPr>
          <w:rFonts w:ascii="Palatino Linotype" w:eastAsia="Palatino Linotype" w:hAnsi="Palatino Linotype" w:cs="Palatino Linotype"/>
          <w:color w:val="000000"/>
        </w:rPr>
      </w:pPr>
    </w:p>
    <w:p w14:paraId="0105DE8F" w14:textId="6FABDCAD" w:rsidR="004C1E80" w:rsidRPr="00DB6056" w:rsidRDefault="00B67F9C" w:rsidP="00DB605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Si el </w:t>
      </w:r>
      <w:r w:rsidR="00D0392F" w:rsidRPr="00DB6056">
        <w:rPr>
          <w:rFonts w:ascii="Palatino Linotype" w:eastAsia="Palatino Linotype" w:hAnsi="Palatino Linotype" w:cs="Palatino Linotype"/>
          <w:b/>
          <w:bCs/>
          <w:color w:val="000000"/>
        </w:rPr>
        <w:t>SUJETO OBLIGADO</w:t>
      </w:r>
      <w:r w:rsidRPr="00DB6056">
        <w:rPr>
          <w:rFonts w:ascii="Palatino Linotype" w:eastAsia="Palatino Linotype" w:hAnsi="Palatino Linotype" w:cs="Palatino Linotype"/>
          <w:color w:val="000000"/>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14:paraId="658C6DB1" w14:textId="77777777" w:rsidR="00D0392F" w:rsidRPr="00DB6056" w:rsidRDefault="00D0392F" w:rsidP="00D0392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05DE90" w14:textId="77777777" w:rsidR="004C1E80" w:rsidRPr="00DB6056" w:rsidRDefault="00B67F9C" w:rsidP="00DB6056">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color w:val="000000"/>
        </w:rPr>
        <w:t xml:space="preserve">Por lo anteriormente expuesto y fundado, este </w:t>
      </w:r>
      <w:r w:rsidRPr="00DB6056">
        <w:rPr>
          <w:rFonts w:ascii="Palatino Linotype" w:eastAsia="Palatino Linotype" w:hAnsi="Palatino Linotype" w:cs="Palatino Linotype"/>
          <w:b/>
          <w:bCs/>
          <w:color w:val="000000"/>
        </w:rPr>
        <w:t>ÓRGANO GARANTE</w:t>
      </w:r>
      <w:r w:rsidRPr="00DB6056">
        <w:rPr>
          <w:rFonts w:ascii="Palatino Linotype" w:eastAsia="Palatino Linotype" w:hAnsi="Palatino Linotype" w:cs="Palatino Linotype"/>
          <w:color w:val="000000"/>
        </w:rPr>
        <w:t xml:space="preserve"> emite los siguientes: </w:t>
      </w:r>
    </w:p>
    <w:p w14:paraId="0105DE91" w14:textId="77777777" w:rsidR="004C1E80" w:rsidRPr="00DB6056" w:rsidRDefault="004C1E80">
      <w:pPr>
        <w:keepNext/>
        <w:keepLines/>
        <w:spacing w:line="360" w:lineRule="auto"/>
        <w:jc w:val="center"/>
        <w:rPr>
          <w:rFonts w:ascii="Palatino Linotype" w:eastAsia="Palatino Linotype" w:hAnsi="Palatino Linotype" w:cs="Palatino Linotype"/>
          <w:b/>
          <w:bCs/>
          <w:color w:val="000000"/>
        </w:rPr>
      </w:pPr>
    </w:p>
    <w:p w14:paraId="0105DE92" w14:textId="77777777" w:rsidR="004C1E80" w:rsidRPr="00DB6056" w:rsidRDefault="00B67F9C">
      <w:pPr>
        <w:keepNext/>
        <w:keepLines/>
        <w:spacing w:line="360" w:lineRule="auto"/>
        <w:jc w:val="center"/>
        <w:rPr>
          <w:rFonts w:ascii="Palatino Linotype" w:eastAsia="Palatino Linotype" w:hAnsi="Palatino Linotype" w:cs="Palatino Linotype"/>
          <w:b/>
          <w:bCs/>
          <w:color w:val="000000"/>
        </w:rPr>
      </w:pPr>
      <w:r w:rsidRPr="00DB6056">
        <w:rPr>
          <w:rFonts w:ascii="Palatino Linotype" w:eastAsia="Palatino Linotype" w:hAnsi="Palatino Linotype" w:cs="Palatino Linotype"/>
          <w:b/>
          <w:bCs/>
          <w:color w:val="000000"/>
        </w:rPr>
        <w:t>R E S O L U T I V O S</w:t>
      </w:r>
    </w:p>
    <w:p w14:paraId="0105DE93" w14:textId="77777777" w:rsidR="004C1E80" w:rsidRPr="00DB6056" w:rsidRDefault="00B67F9C">
      <w:pPr>
        <w:spacing w:line="360" w:lineRule="auto"/>
        <w:ind w:right="-929"/>
        <w:jc w:val="both"/>
        <w:rPr>
          <w:rFonts w:ascii="Palatino Linotype" w:eastAsia="Palatino Linotype" w:hAnsi="Palatino Linotype" w:cs="Palatino Linotype"/>
          <w:b/>
          <w:bCs/>
        </w:rPr>
      </w:pPr>
      <w:r w:rsidRPr="00DB6056">
        <w:rPr>
          <w:rFonts w:ascii="Palatino Linotype" w:eastAsia="Palatino Linotype" w:hAnsi="Palatino Linotype" w:cs="Palatino Linotype"/>
          <w:b/>
          <w:bCs/>
        </w:rPr>
        <w:tab/>
      </w:r>
    </w:p>
    <w:p w14:paraId="0105DE94" w14:textId="77777777" w:rsidR="004C1E80" w:rsidRPr="00DB6056" w:rsidRDefault="00B67F9C">
      <w:pPr>
        <w:spacing w:line="360" w:lineRule="auto"/>
        <w:jc w:val="both"/>
        <w:rPr>
          <w:rFonts w:ascii="Palatino Linotype" w:eastAsia="Palatino Linotype" w:hAnsi="Palatino Linotype" w:cs="Palatino Linotype"/>
        </w:rPr>
      </w:pPr>
      <w:r w:rsidRPr="00DB6056">
        <w:rPr>
          <w:rFonts w:ascii="Palatino Linotype" w:eastAsia="Palatino Linotype" w:hAnsi="Palatino Linotype" w:cs="Palatino Linotype"/>
          <w:b/>
          <w:bCs/>
        </w:rPr>
        <w:t>PRIMERO</w:t>
      </w:r>
      <w:r w:rsidRPr="00DB6056">
        <w:rPr>
          <w:rFonts w:ascii="Palatino Linotype" w:eastAsia="Palatino Linotype" w:hAnsi="Palatino Linotype" w:cs="Palatino Linotype"/>
        </w:rPr>
        <w:t xml:space="preserve">. Resultan parcialmente fundadas las razones o motivos de inconformidad hechos valer en el Recurso de Revisión </w:t>
      </w:r>
      <w:r w:rsidRPr="00DB6056">
        <w:rPr>
          <w:rFonts w:ascii="Palatino Linotype" w:eastAsia="Palatino Linotype" w:hAnsi="Palatino Linotype" w:cs="Palatino Linotype"/>
          <w:b/>
          <w:bCs/>
        </w:rPr>
        <w:t>03293/INFOEM/IP/RR/2026</w:t>
      </w:r>
      <w:r w:rsidRPr="00DB6056">
        <w:rPr>
          <w:rFonts w:ascii="Palatino Linotype" w:eastAsia="Palatino Linotype" w:hAnsi="Palatino Linotype" w:cs="Palatino Linotype"/>
        </w:rPr>
        <w:t>,</w:t>
      </w:r>
      <w:r w:rsidRPr="00DB6056">
        <w:rPr>
          <w:rFonts w:ascii="Palatino Linotype" w:eastAsia="Palatino Linotype" w:hAnsi="Palatino Linotype" w:cs="Palatino Linotype"/>
          <w:b/>
          <w:bCs/>
        </w:rPr>
        <w:t xml:space="preserve"> </w:t>
      </w:r>
      <w:r w:rsidRPr="00DB6056">
        <w:rPr>
          <w:rFonts w:ascii="Palatino Linotype" w:eastAsia="Palatino Linotype" w:hAnsi="Palatino Linotype" w:cs="Palatino Linotype"/>
        </w:rPr>
        <w:t>en términos de los Considerandos Cuarto</w:t>
      </w:r>
      <w:r w:rsidRPr="00DB6056">
        <w:rPr>
          <w:rFonts w:ascii="Palatino Linotype" w:eastAsia="Palatino Linotype" w:hAnsi="Palatino Linotype" w:cs="Palatino Linotype"/>
          <w:b/>
          <w:bCs/>
        </w:rPr>
        <w:t xml:space="preserve"> </w:t>
      </w:r>
      <w:r w:rsidRPr="00DB6056">
        <w:rPr>
          <w:rFonts w:ascii="Palatino Linotype" w:eastAsia="Palatino Linotype" w:hAnsi="Palatino Linotype" w:cs="Palatino Linotype"/>
        </w:rPr>
        <w:t>y Quinto de la presente Resolución.</w:t>
      </w:r>
    </w:p>
    <w:p w14:paraId="0105DE95" w14:textId="77777777" w:rsidR="004C1E80" w:rsidRPr="00DB6056" w:rsidRDefault="004C1E80">
      <w:pPr>
        <w:spacing w:line="360" w:lineRule="auto"/>
        <w:jc w:val="both"/>
        <w:rPr>
          <w:rFonts w:ascii="Palatino Linotype" w:eastAsia="Palatino Linotype" w:hAnsi="Palatino Linotype" w:cs="Palatino Linotype"/>
        </w:rPr>
      </w:pPr>
    </w:p>
    <w:p w14:paraId="0105DE96" w14:textId="77777777" w:rsidR="004C1E80" w:rsidRPr="00DB6056" w:rsidRDefault="00B67F9C">
      <w:pPr>
        <w:pBdr>
          <w:top w:val="nil"/>
          <w:left w:val="nil"/>
          <w:bottom w:val="nil"/>
          <w:right w:val="nil"/>
          <w:between w:val="nil"/>
        </w:pBdr>
        <w:tabs>
          <w:tab w:val="left" w:pos="9639"/>
        </w:tabs>
        <w:spacing w:line="360" w:lineRule="auto"/>
        <w:jc w:val="both"/>
        <w:rPr>
          <w:rFonts w:ascii="Palatino Linotype" w:eastAsia="Palatino Linotype" w:hAnsi="Palatino Linotype" w:cs="Palatino Linotype"/>
          <w:color w:val="000000"/>
        </w:rPr>
      </w:pPr>
      <w:r w:rsidRPr="00DB6056">
        <w:rPr>
          <w:rFonts w:ascii="Palatino Linotype" w:eastAsia="Palatino Linotype" w:hAnsi="Palatino Linotype" w:cs="Palatino Linotype"/>
          <w:b/>
          <w:bCs/>
          <w:color w:val="000000"/>
        </w:rPr>
        <w:t xml:space="preserve">SEGUNDO. </w:t>
      </w:r>
      <w:r w:rsidRPr="00DB6056">
        <w:rPr>
          <w:rFonts w:ascii="Palatino Linotype" w:eastAsia="Palatino Linotype" w:hAnsi="Palatino Linotype" w:cs="Palatino Linotype"/>
          <w:color w:val="000000"/>
        </w:rPr>
        <w:t xml:space="preserve">Se </w:t>
      </w:r>
      <w:r w:rsidRPr="00DB6056">
        <w:rPr>
          <w:rFonts w:ascii="Palatino Linotype" w:eastAsia="Palatino Linotype" w:hAnsi="Palatino Linotype" w:cs="Palatino Linotype"/>
          <w:b/>
          <w:bCs/>
          <w:color w:val="000000"/>
        </w:rPr>
        <w:t>REVOCA</w:t>
      </w:r>
      <w:r w:rsidRPr="00DB6056">
        <w:rPr>
          <w:rFonts w:ascii="Palatino Linotype" w:eastAsia="Palatino Linotype" w:hAnsi="Palatino Linotype" w:cs="Palatino Linotype"/>
          <w:color w:val="000000"/>
        </w:rPr>
        <w:t xml:space="preserve"> la respuesta a la Solicitud de Información </w:t>
      </w:r>
      <w:r w:rsidRPr="00DB6056">
        <w:rPr>
          <w:rFonts w:ascii="Palatino Linotype" w:eastAsia="Palatino Linotype" w:hAnsi="Palatino Linotype" w:cs="Palatino Linotype"/>
          <w:b/>
          <w:bCs/>
          <w:color w:val="000000"/>
        </w:rPr>
        <w:t xml:space="preserve">00007/PT/IP/2026 </w:t>
      </w:r>
      <w:r w:rsidRPr="00DB6056">
        <w:rPr>
          <w:rFonts w:ascii="Palatino Linotype" w:eastAsia="Palatino Linotype" w:hAnsi="Palatino Linotype" w:cs="Palatino Linotype"/>
          <w:color w:val="000000"/>
        </w:rPr>
        <w:t xml:space="preserve">y se </w:t>
      </w:r>
      <w:r w:rsidRPr="00DB6056">
        <w:rPr>
          <w:rFonts w:ascii="Palatino Linotype" w:eastAsia="Palatino Linotype" w:hAnsi="Palatino Linotype" w:cs="Palatino Linotype"/>
          <w:b/>
          <w:bCs/>
          <w:color w:val="000000"/>
        </w:rPr>
        <w:t xml:space="preserve">ORDENA </w:t>
      </w:r>
      <w:r w:rsidRPr="00DB6056">
        <w:rPr>
          <w:rFonts w:ascii="Palatino Linotype" w:eastAsia="Palatino Linotype" w:hAnsi="Palatino Linotype" w:cs="Palatino Linotype"/>
          <w:color w:val="000000"/>
        </w:rPr>
        <w:t xml:space="preserve">al </w:t>
      </w:r>
      <w:r w:rsidRPr="00DB6056">
        <w:rPr>
          <w:rFonts w:ascii="Palatino Linotype" w:eastAsia="Palatino Linotype" w:hAnsi="Palatino Linotype" w:cs="Palatino Linotype"/>
          <w:b/>
          <w:bCs/>
          <w:color w:val="000000"/>
        </w:rPr>
        <w:t xml:space="preserve">Partido del Trabajo </w:t>
      </w:r>
      <w:r w:rsidRPr="00DB6056">
        <w:rPr>
          <w:rFonts w:ascii="Palatino Linotype" w:eastAsia="Palatino Linotype" w:hAnsi="Palatino Linotype" w:cs="Palatino Linotype"/>
          <w:color w:val="000000"/>
        </w:rPr>
        <w:t>entregar, vía SAIMEX, previa búsqueda exhaustiva y razonable, de ser el caso en versión pública, la siguiente información:</w:t>
      </w:r>
    </w:p>
    <w:p w14:paraId="0105DE97" w14:textId="77777777" w:rsidR="004C1E80" w:rsidRPr="00DB6056" w:rsidRDefault="004C1E80">
      <w:pPr>
        <w:pBdr>
          <w:top w:val="nil"/>
          <w:left w:val="nil"/>
          <w:bottom w:val="nil"/>
          <w:right w:val="nil"/>
          <w:between w:val="nil"/>
        </w:pBdr>
        <w:tabs>
          <w:tab w:val="left" w:pos="9639"/>
        </w:tabs>
        <w:spacing w:line="360" w:lineRule="auto"/>
        <w:jc w:val="both"/>
        <w:rPr>
          <w:rFonts w:ascii="Palatino Linotype" w:eastAsia="Palatino Linotype" w:hAnsi="Palatino Linotype" w:cs="Palatino Linotype"/>
          <w:color w:val="000000"/>
        </w:rPr>
      </w:pPr>
    </w:p>
    <w:p w14:paraId="0105DE98" w14:textId="77777777" w:rsidR="004C1E80" w:rsidRPr="00DB6056" w:rsidRDefault="00B67F9C">
      <w:pPr>
        <w:numPr>
          <w:ilvl w:val="0"/>
          <w:numId w:val="5"/>
        </w:numPr>
        <w:pBdr>
          <w:top w:val="nil"/>
          <w:left w:val="nil"/>
          <w:bottom w:val="nil"/>
          <w:right w:val="nil"/>
          <w:between w:val="nil"/>
        </w:pBdr>
        <w:tabs>
          <w:tab w:val="left" w:pos="8080"/>
        </w:tabs>
        <w:spacing w:line="360" w:lineRule="auto"/>
        <w:jc w:val="both"/>
        <w:rPr>
          <w:rFonts w:ascii="Palatino Linotype" w:eastAsia="Palatino Linotype" w:hAnsi="Palatino Linotype" w:cs="Palatino Linotype"/>
          <w:b/>
          <w:bCs/>
          <w:color w:val="000000"/>
        </w:rPr>
      </w:pPr>
      <w:r w:rsidRPr="00DB6056">
        <w:rPr>
          <w:rFonts w:ascii="Palatino Linotype" w:eastAsia="Palatino Linotype" w:hAnsi="Palatino Linotype" w:cs="Palatino Linotype"/>
          <w:b/>
          <w:bCs/>
          <w:color w:val="000000"/>
        </w:rPr>
        <w:lastRenderedPageBreak/>
        <w:t>La expresión documental en la que conste, se contenga o de la que pueda advertirse el número de personas afiliadas, desagregado por sexo, correspondiente a los meses de enero, febrero, marzo, abril, mayo, junio y julio del año 2024, respecto de los municipios de Ecatepec, Metepec, Tlalnepantla, Toluca, Naucalpan de Juárez, Cuautitlán Izcalli, Coacalco de Berriozábal, Nezahualcóyotl, La Paz, Zinacantepec, Ixtlahuaca, San José del Rincón, Villa del Carbón, Calimaya, San Felipe del Progreso, Tlatlaya, Zacazonapan, Luvianos, Amecameca, Valle de Chalco, Coatepec Harinas, Nicolás Romero, Atizapán de Zaragoza, Huixquilucan, Jilotepec, Jilotzingo, Xonacatlán, Zumpango, Tecámac, Huehuetoca, Apaxco, Texcoco y Tepotzotlán.</w:t>
      </w:r>
    </w:p>
    <w:p w14:paraId="0105DE99" w14:textId="77777777" w:rsidR="004C1E80" w:rsidRPr="00DB6056" w:rsidRDefault="004C1E80">
      <w:pPr>
        <w:tabs>
          <w:tab w:val="left" w:pos="8080"/>
        </w:tabs>
        <w:spacing w:line="360" w:lineRule="auto"/>
        <w:ind w:right="49"/>
        <w:jc w:val="both"/>
        <w:rPr>
          <w:rFonts w:ascii="Palatino Linotype" w:eastAsia="Palatino Linotype" w:hAnsi="Palatino Linotype" w:cs="Palatino Linotype"/>
          <w:color w:val="000000"/>
        </w:rPr>
      </w:pPr>
    </w:p>
    <w:p w14:paraId="0105DE9A" w14:textId="77777777" w:rsidR="004C1E80" w:rsidRPr="00DB6056" w:rsidRDefault="00B67F9C">
      <w:pPr>
        <w:tabs>
          <w:tab w:val="left" w:pos="8080"/>
        </w:tabs>
        <w:spacing w:line="360" w:lineRule="auto"/>
        <w:ind w:right="49"/>
        <w:jc w:val="both"/>
        <w:rPr>
          <w:rFonts w:ascii="Palatino Linotype" w:eastAsia="Palatino Linotype" w:hAnsi="Palatino Linotype" w:cs="Palatino Linotype"/>
        </w:rPr>
      </w:pPr>
      <w:r w:rsidRPr="00DB6056">
        <w:rPr>
          <w:rFonts w:ascii="Palatino Linotype" w:eastAsia="Palatino Linotype" w:hAnsi="Palatino Linotype" w:cs="Palatino Linotype"/>
        </w:rPr>
        <w:t xml:space="preserve">De ser procedente la elaboración de una versión pública, se deberá emitir el Acuerdo del Comité de Transparencia en términos de los artículos 49 fracción VIII y </w:t>
      </w:r>
      <w:r w:rsidRPr="00DB6056">
        <w:rPr>
          <w:rFonts w:ascii="Palatino Linotype" w:eastAsia="Palatino Linotype" w:hAnsi="Palatino Linotype" w:cs="Palatino Linotype"/>
          <w:color w:val="222222"/>
          <w:highlight w:val="white"/>
        </w:rPr>
        <w:t>132</w:t>
      </w:r>
      <w:r w:rsidRPr="00DB6056">
        <w:rPr>
          <w:rFonts w:ascii="Palatino Linotype" w:eastAsia="Palatino Linotype" w:hAnsi="Palatino Linotype" w:cs="Palatino Linotype"/>
        </w:rPr>
        <w:t xml:space="preserve">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Pr="00DB6056">
        <w:rPr>
          <w:rFonts w:ascii="Palatino Linotype" w:eastAsia="Palatino Linotype" w:hAnsi="Palatino Linotype" w:cs="Palatino Linotype"/>
          <w:b/>
          <w:bCs/>
        </w:rPr>
        <w:t>RECURRENTE</w:t>
      </w:r>
      <w:r w:rsidRPr="00DB6056">
        <w:rPr>
          <w:rFonts w:ascii="Palatino Linotype" w:eastAsia="Palatino Linotype" w:hAnsi="Palatino Linotype" w:cs="Palatino Linotype"/>
        </w:rPr>
        <w:t>.</w:t>
      </w:r>
    </w:p>
    <w:p w14:paraId="0105DE9B" w14:textId="77777777" w:rsidR="004C1E80" w:rsidRPr="00DB6056" w:rsidRDefault="004C1E80">
      <w:pPr>
        <w:tabs>
          <w:tab w:val="left" w:pos="284"/>
          <w:tab w:val="left" w:pos="8080"/>
        </w:tabs>
        <w:spacing w:line="360" w:lineRule="auto"/>
        <w:ind w:right="49"/>
        <w:jc w:val="both"/>
        <w:rPr>
          <w:rFonts w:ascii="Palatino Linotype" w:eastAsia="Palatino Linotype" w:hAnsi="Palatino Linotype" w:cs="Palatino Linotype"/>
          <w:b/>
          <w:bCs/>
        </w:rPr>
      </w:pPr>
    </w:p>
    <w:p w14:paraId="0105DE9C" w14:textId="77777777" w:rsidR="004C1E80" w:rsidRPr="00DB6056" w:rsidRDefault="00B67F9C">
      <w:pPr>
        <w:tabs>
          <w:tab w:val="left" w:pos="284"/>
          <w:tab w:val="left" w:pos="8080"/>
        </w:tabs>
        <w:spacing w:line="360" w:lineRule="auto"/>
        <w:ind w:right="49"/>
        <w:jc w:val="both"/>
        <w:rPr>
          <w:rFonts w:ascii="Palatino Linotype" w:eastAsia="Palatino Linotype" w:hAnsi="Palatino Linotype" w:cs="Palatino Linotype"/>
          <w:color w:val="222222"/>
        </w:rPr>
      </w:pPr>
      <w:r w:rsidRPr="00DB6056">
        <w:rPr>
          <w:rFonts w:ascii="Palatino Linotype" w:eastAsia="Palatino Linotype" w:hAnsi="Palatino Linotype" w:cs="Palatino Linotype"/>
          <w:b/>
          <w:bCs/>
        </w:rPr>
        <w:t xml:space="preserve">TERCERO. </w:t>
      </w:r>
      <w:r w:rsidRPr="00DB6056">
        <w:rPr>
          <w:rFonts w:ascii="Palatino Linotype" w:eastAsia="Palatino Linotype" w:hAnsi="Palatino Linotype" w:cs="Palatino Linotype"/>
          <w:b/>
          <w:bCs/>
          <w:color w:val="222222"/>
        </w:rPr>
        <w:t>NOTIFÍQUESE</w:t>
      </w:r>
      <w:r w:rsidRPr="00DB6056">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B6056">
        <w:rPr>
          <w:rFonts w:ascii="Palatino Linotype" w:eastAsia="Palatino Linotype" w:hAnsi="Palatino Linotype" w:cs="Palatino Linotype"/>
          <w:b/>
          <w:bCs/>
          <w:color w:val="222222"/>
        </w:rPr>
        <w:t xml:space="preserve">dé cumplimiento a lo ordenado dentro del plazo de diez días hábiles, </w:t>
      </w:r>
      <w:r w:rsidRPr="00DB6056">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w:t>
      </w:r>
      <w:r w:rsidRPr="00DB6056">
        <w:rPr>
          <w:rFonts w:ascii="Palatino Linotype" w:eastAsia="Palatino Linotype" w:hAnsi="Palatino Linotype" w:cs="Palatino Linotype"/>
          <w:color w:val="222222"/>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05DE9D" w14:textId="77777777" w:rsidR="004C1E80" w:rsidRPr="00DB6056" w:rsidRDefault="004C1E80">
      <w:pPr>
        <w:tabs>
          <w:tab w:val="left" w:pos="284"/>
          <w:tab w:val="left" w:pos="8080"/>
        </w:tabs>
        <w:spacing w:line="360" w:lineRule="auto"/>
        <w:ind w:right="49"/>
        <w:jc w:val="both"/>
        <w:rPr>
          <w:rFonts w:ascii="Palatino Linotype" w:eastAsia="Palatino Linotype" w:hAnsi="Palatino Linotype" w:cs="Palatino Linotype"/>
          <w:color w:val="222222"/>
        </w:rPr>
      </w:pPr>
    </w:p>
    <w:p w14:paraId="0105DE9E" w14:textId="77777777" w:rsidR="004C1E80" w:rsidRPr="00DB6056" w:rsidRDefault="00B67F9C">
      <w:pPr>
        <w:shd w:val="clear" w:color="auto" w:fill="FFFFFF"/>
        <w:tabs>
          <w:tab w:val="left" w:pos="284"/>
        </w:tabs>
        <w:spacing w:line="360" w:lineRule="auto"/>
        <w:jc w:val="both"/>
        <w:rPr>
          <w:rFonts w:ascii="Palatino Linotype" w:eastAsia="Palatino Linotype" w:hAnsi="Palatino Linotype" w:cs="Palatino Linotype"/>
        </w:rPr>
      </w:pPr>
      <w:r w:rsidRPr="00DB6056">
        <w:rPr>
          <w:rFonts w:ascii="Palatino Linotype" w:eastAsia="Palatino Linotype" w:hAnsi="Palatino Linotype" w:cs="Palatino Linotype"/>
          <w:b/>
          <w:bCs/>
        </w:rPr>
        <w:t xml:space="preserve">CUARTO. </w:t>
      </w:r>
      <w:r w:rsidRPr="00DB6056">
        <w:rPr>
          <w:rFonts w:ascii="Palatino Linotype" w:eastAsia="Palatino Linotype" w:hAnsi="Palatino Linotype" w:cs="Palatino Linotype"/>
          <w:b/>
          <w:bCs/>
          <w:color w:val="222222"/>
        </w:rPr>
        <w:t xml:space="preserve">Notifíquese </w:t>
      </w:r>
      <w:r w:rsidRPr="00DB6056">
        <w:rPr>
          <w:rFonts w:ascii="Palatino Linotype" w:eastAsia="Palatino Linotype" w:hAnsi="Palatino Linotype" w:cs="Palatino Linotype"/>
          <w:color w:val="222222"/>
        </w:rPr>
        <w:t xml:space="preserve">a </w:t>
      </w:r>
      <w:r w:rsidRPr="00DB6056">
        <w:rPr>
          <w:rFonts w:ascii="Palatino Linotype" w:eastAsia="Palatino Linotype" w:hAnsi="Palatino Linotype" w:cs="Palatino Linotype"/>
          <w:b/>
          <w:bCs/>
          <w:color w:val="222222"/>
        </w:rPr>
        <w:t>LA</w:t>
      </w:r>
      <w:r w:rsidRPr="00DB6056">
        <w:rPr>
          <w:rFonts w:ascii="Palatino Linotype" w:eastAsia="Palatino Linotype" w:hAnsi="Palatino Linotype" w:cs="Palatino Linotype"/>
          <w:color w:val="222222"/>
        </w:rPr>
        <w:t xml:space="preserve"> </w:t>
      </w:r>
      <w:r w:rsidRPr="00DB6056">
        <w:rPr>
          <w:rFonts w:ascii="Palatino Linotype" w:eastAsia="Palatino Linotype" w:hAnsi="Palatino Linotype" w:cs="Palatino Linotype"/>
          <w:b/>
          <w:bCs/>
          <w:color w:val="222222"/>
        </w:rPr>
        <w:t xml:space="preserve">RECURRENTE </w:t>
      </w:r>
      <w:r w:rsidRPr="00DB6056">
        <w:rPr>
          <w:rFonts w:ascii="Palatino Linotype" w:eastAsia="Palatino Linotype" w:hAnsi="Palatino Linotype" w:cs="Palatino Linotype"/>
        </w:rPr>
        <w:t>la presente Resolución a través del Sistema de Acceso a la Información Mexiquense (SAIMEX).</w:t>
      </w:r>
    </w:p>
    <w:p w14:paraId="0105DE9F" w14:textId="77777777" w:rsidR="004C1E80" w:rsidRPr="00DB6056" w:rsidRDefault="004C1E80">
      <w:pPr>
        <w:shd w:val="clear" w:color="auto" w:fill="FFFFFF"/>
        <w:tabs>
          <w:tab w:val="left" w:pos="284"/>
        </w:tabs>
        <w:spacing w:line="360" w:lineRule="auto"/>
        <w:jc w:val="both"/>
        <w:rPr>
          <w:rFonts w:ascii="Palatino Linotype" w:eastAsia="Palatino Linotype" w:hAnsi="Palatino Linotype" w:cs="Palatino Linotype"/>
        </w:rPr>
      </w:pPr>
    </w:p>
    <w:p w14:paraId="0105DEA0" w14:textId="77777777" w:rsidR="004C1E80" w:rsidRPr="00DB6056" w:rsidRDefault="00B67F9C">
      <w:pPr>
        <w:spacing w:line="360" w:lineRule="auto"/>
        <w:jc w:val="both"/>
        <w:rPr>
          <w:rFonts w:ascii="Palatino Linotype" w:eastAsia="Palatino Linotype" w:hAnsi="Palatino Linotype" w:cs="Palatino Linotype"/>
        </w:rPr>
      </w:pPr>
      <w:r w:rsidRPr="00DB6056">
        <w:rPr>
          <w:rFonts w:ascii="Palatino Linotype" w:eastAsia="Palatino Linotype" w:hAnsi="Palatino Linotype" w:cs="Palatino Linotype"/>
          <w:b/>
          <w:bCs/>
        </w:rPr>
        <w:t xml:space="preserve">QUINTO. </w:t>
      </w:r>
      <w:r w:rsidRPr="00DB605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B6056">
        <w:rPr>
          <w:rFonts w:ascii="Palatino Linotype" w:eastAsia="Palatino Linotype" w:hAnsi="Palatino Linotype" w:cs="Palatino Linotype"/>
          <w:b/>
          <w:bCs/>
        </w:rPr>
        <w:t>SUJETO OBLIGADO</w:t>
      </w:r>
      <w:r w:rsidRPr="00DB6056">
        <w:rPr>
          <w:rFonts w:ascii="Palatino Linotype" w:eastAsia="Palatino Linotype" w:hAnsi="Palatino Linotype" w:cs="Palatino Linotype"/>
        </w:rPr>
        <w:t xml:space="preserve"> de manera fundada y motivada, podrá solicitar una ampliación de plazo para el cumplimiento de la presente resolución.</w:t>
      </w:r>
    </w:p>
    <w:p w14:paraId="0105DEA1" w14:textId="77777777" w:rsidR="004C1E80" w:rsidRPr="00DB6056" w:rsidRDefault="004C1E80">
      <w:pPr>
        <w:spacing w:line="360" w:lineRule="auto"/>
        <w:jc w:val="both"/>
        <w:rPr>
          <w:rFonts w:ascii="Palatino Linotype" w:eastAsia="Palatino Linotype" w:hAnsi="Palatino Linotype" w:cs="Palatino Linotype"/>
        </w:rPr>
      </w:pPr>
    </w:p>
    <w:p w14:paraId="0105DEA2" w14:textId="77777777" w:rsidR="004C1E80" w:rsidRPr="00DB6056" w:rsidRDefault="00B67F9C">
      <w:pPr>
        <w:shd w:val="clear" w:color="auto" w:fill="FFFFFF"/>
        <w:spacing w:line="360" w:lineRule="auto"/>
        <w:jc w:val="both"/>
        <w:rPr>
          <w:rFonts w:ascii="Palatino Linotype" w:eastAsia="Palatino Linotype" w:hAnsi="Palatino Linotype" w:cs="Palatino Linotype"/>
        </w:rPr>
      </w:pPr>
      <w:r w:rsidRPr="00DB6056">
        <w:rPr>
          <w:rFonts w:ascii="Palatino Linotype" w:eastAsia="Palatino Linotype" w:hAnsi="Palatino Linotype" w:cs="Palatino Linotype"/>
          <w:b/>
          <w:bCs/>
        </w:rPr>
        <w:t>SEXTO.</w:t>
      </w:r>
      <w:r w:rsidRPr="00DB6056">
        <w:rPr>
          <w:rFonts w:ascii="Palatino Linotype" w:eastAsia="Palatino Linotype" w:hAnsi="Palatino Linotype" w:cs="Palatino Linotype"/>
          <w:color w:val="222222"/>
        </w:rPr>
        <w:t xml:space="preserve"> </w:t>
      </w:r>
      <w:r w:rsidRPr="00DB6056">
        <w:rPr>
          <w:rFonts w:ascii="Palatino Linotype" w:eastAsia="Palatino Linotype" w:hAnsi="Palatino Linotype" w:cs="Palatino Linotype"/>
        </w:rPr>
        <w:t>Se hace del conocimiento de</w:t>
      </w:r>
      <w:r w:rsidRPr="00DB6056">
        <w:rPr>
          <w:rFonts w:ascii="Palatino Linotype" w:eastAsia="Palatino Linotype" w:hAnsi="Palatino Linotype" w:cs="Palatino Linotype"/>
          <w:b/>
          <w:bCs/>
        </w:rPr>
        <w:t xml:space="preserve"> LA RECURRENTE </w:t>
      </w:r>
      <w:r w:rsidRPr="00DB6056">
        <w:rPr>
          <w:rFonts w:ascii="Palatino Linotype" w:eastAsia="Palatino Linotype" w:hAnsi="Palatino Linotype" w:cs="Palatino Linotype"/>
        </w:rPr>
        <w:t xml:space="preserve">que, de conformidad con lo establecido en el artículo 196 de la Ley de Transparencia y Acceso a la Información Pública del Estado de México y Municipios, </w:t>
      </w:r>
      <w:r w:rsidRPr="00DB6056">
        <w:rPr>
          <w:rFonts w:ascii="Palatino Linotype" w:eastAsia="Palatino Linotype" w:hAnsi="Palatino Linotype" w:cs="Palatino Linotype"/>
          <w:color w:val="000000"/>
        </w:rPr>
        <w:t xml:space="preserve">en caso de que considere que la resolución le cause algún perjuicio podrá </w:t>
      </w:r>
      <w:r w:rsidRPr="00DB6056">
        <w:rPr>
          <w:rFonts w:ascii="Palatino Linotype" w:eastAsia="Palatino Linotype" w:hAnsi="Palatino Linotype" w:cs="Palatino Linotype"/>
        </w:rPr>
        <w:t>impugnar vía</w:t>
      </w:r>
      <w:r w:rsidRPr="00DB6056">
        <w:rPr>
          <w:rFonts w:ascii="Palatino Linotype" w:eastAsia="Palatino Linotype" w:hAnsi="Palatino Linotype" w:cs="Palatino Linotype"/>
          <w:color w:val="000000"/>
        </w:rPr>
        <w:t xml:space="preserve"> </w:t>
      </w:r>
      <w:r w:rsidRPr="00DB6056">
        <w:rPr>
          <w:rFonts w:ascii="Palatino Linotype" w:eastAsia="Palatino Linotype" w:hAnsi="Palatino Linotype" w:cs="Palatino Linotype"/>
        </w:rPr>
        <w:t>juicio de amparo en los términos de las leyes aplicables.</w:t>
      </w:r>
    </w:p>
    <w:p w14:paraId="0105DEA3" w14:textId="77777777" w:rsidR="004C1E80" w:rsidRPr="00DB6056" w:rsidRDefault="004C1E80">
      <w:pPr>
        <w:spacing w:line="360" w:lineRule="auto"/>
        <w:jc w:val="both"/>
        <w:rPr>
          <w:rFonts w:ascii="Palatino Linotype" w:eastAsia="Palatino Linotype" w:hAnsi="Palatino Linotype" w:cs="Palatino Linotype"/>
          <w:color w:val="000000"/>
        </w:rPr>
      </w:pPr>
    </w:p>
    <w:p w14:paraId="3F313BB8" w14:textId="77777777" w:rsidR="00E4075B" w:rsidRPr="00DB6056" w:rsidRDefault="00E4075B" w:rsidP="00E4075B">
      <w:pPr>
        <w:spacing w:before="240" w:after="240" w:line="360" w:lineRule="auto"/>
        <w:ind w:firstLine="1"/>
        <w:jc w:val="both"/>
        <w:rPr>
          <w:rFonts w:ascii="Palatino Linotype" w:hAnsi="Palatino Linotype"/>
        </w:rPr>
      </w:pPr>
      <w:bookmarkStart w:id="9" w:name="_Hlk99014733"/>
      <w:r w:rsidRPr="00DB6056">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w:t>
      </w:r>
      <w:r w:rsidRPr="00DB6056">
        <w:rPr>
          <w:rFonts w:ascii="Palatino Linotype" w:hAnsi="Palatino Linotype" w:cs="Palatino Linotype"/>
        </w:rPr>
        <w:lastRenderedPageBreak/>
        <w:t xml:space="preserve">CELEBRADA EL VEINTICINCO (25) DE JUNIO DE DOS MIL VEINTISÉIS, ANTE EL SECRETARIO TÉCNICO DEL PLENO </w:t>
      </w:r>
      <w:r w:rsidRPr="00DB6056">
        <w:rPr>
          <w:rFonts w:ascii="Palatino Linotype" w:hAnsi="Palatino Linotype" w:cs="Palatino Linotype"/>
          <w:color w:val="000000" w:themeColor="text1"/>
        </w:rPr>
        <w:t>ALEXIS TAPIA RAMÍREZ.</w:t>
      </w:r>
    </w:p>
    <w:bookmarkEnd w:id="9"/>
    <w:p w14:paraId="0105DEA7" w14:textId="77777777" w:rsidR="004C1E80" w:rsidRPr="00DB6056" w:rsidRDefault="004C1E80">
      <w:pPr>
        <w:spacing w:line="360" w:lineRule="auto"/>
        <w:jc w:val="both"/>
        <w:rPr>
          <w:rFonts w:ascii="Palatino Linotype" w:eastAsia="Palatino Linotype" w:hAnsi="Palatino Linotype" w:cs="Palatino Linotype"/>
        </w:rPr>
      </w:pPr>
    </w:p>
    <w:p w14:paraId="0105DEA8" w14:textId="77777777" w:rsidR="004C1E80" w:rsidRPr="00DB6056" w:rsidRDefault="004C1E80">
      <w:pPr>
        <w:spacing w:line="360" w:lineRule="auto"/>
        <w:jc w:val="both"/>
        <w:rPr>
          <w:rFonts w:ascii="Palatino Linotype" w:eastAsia="Palatino Linotype" w:hAnsi="Palatino Linotype" w:cs="Palatino Linotype"/>
        </w:rPr>
      </w:pPr>
    </w:p>
    <w:p w14:paraId="0105DEA9" w14:textId="77777777" w:rsidR="004C1E80" w:rsidRPr="00DB6056" w:rsidRDefault="004C1E80">
      <w:pPr>
        <w:spacing w:line="360" w:lineRule="auto"/>
        <w:jc w:val="both"/>
        <w:rPr>
          <w:rFonts w:ascii="Palatino Linotype" w:eastAsia="Palatino Linotype" w:hAnsi="Palatino Linotype" w:cs="Palatino Linotype"/>
        </w:rPr>
      </w:pPr>
    </w:p>
    <w:p w14:paraId="0105DEAA" w14:textId="77777777" w:rsidR="004C1E80" w:rsidRPr="00DB6056" w:rsidRDefault="004C1E80">
      <w:pPr>
        <w:spacing w:line="360" w:lineRule="auto"/>
        <w:jc w:val="both"/>
        <w:rPr>
          <w:rFonts w:ascii="Palatino Linotype" w:eastAsia="Palatino Linotype" w:hAnsi="Palatino Linotype" w:cs="Palatino Linotype"/>
        </w:rPr>
      </w:pPr>
    </w:p>
    <w:p w14:paraId="0105DEAB" w14:textId="77777777" w:rsidR="004C1E80" w:rsidRPr="00DB6056" w:rsidRDefault="004C1E80">
      <w:pPr>
        <w:spacing w:line="360" w:lineRule="auto"/>
        <w:jc w:val="both"/>
        <w:rPr>
          <w:rFonts w:ascii="Palatino Linotype" w:eastAsia="Palatino Linotype" w:hAnsi="Palatino Linotype" w:cs="Palatino Linotype"/>
        </w:rPr>
      </w:pPr>
    </w:p>
    <w:p w14:paraId="0105DEAC" w14:textId="77777777" w:rsidR="004C1E80" w:rsidRPr="00DB6056" w:rsidRDefault="004C1E80">
      <w:pPr>
        <w:spacing w:line="360" w:lineRule="auto"/>
        <w:jc w:val="both"/>
        <w:rPr>
          <w:rFonts w:ascii="Palatino Linotype" w:eastAsia="Palatino Linotype" w:hAnsi="Palatino Linotype" w:cs="Palatino Linotype"/>
        </w:rPr>
      </w:pPr>
    </w:p>
    <w:p w14:paraId="0105DEAD" w14:textId="77777777" w:rsidR="004C1E80" w:rsidRPr="00DB6056" w:rsidRDefault="004C1E80">
      <w:pPr>
        <w:spacing w:line="360" w:lineRule="auto"/>
        <w:jc w:val="both"/>
        <w:rPr>
          <w:rFonts w:ascii="Palatino Linotype" w:eastAsia="Palatino Linotype" w:hAnsi="Palatino Linotype" w:cs="Palatino Linotype"/>
        </w:rPr>
      </w:pPr>
    </w:p>
    <w:p w14:paraId="0105DEAE" w14:textId="77777777" w:rsidR="004C1E80" w:rsidRPr="00DB6056" w:rsidRDefault="004C1E80">
      <w:pPr>
        <w:spacing w:line="360" w:lineRule="auto"/>
        <w:jc w:val="both"/>
        <w:rPr>
          <w:rFonts w:ascii="Palatino Linotype" w:eastAsia="Palatino Linotype" w:hAnsi="Palatino Linotype" w:cs="Palatino Linotype"/>
        </w:rPr>
      </w:pPr>
    </w:p>
    <w:p w14:paraId="0105DEAF" w14:textId="77777777" w:rsidR="004C1E80" w:rsidRPr="00DB6056" w:rsidRDefault="004C1E80">
      <w:pPr>
        <w:spacing w:line="360" w:lineRule="auto"/>
        <w:rPr>
          <w:rFonts w:ascii="Palatino Linotype" w:eastAsia="Palatino Linotype" w:hAnsi="Palatino Linotype" w:cs="Palatino Linotype"/>
        </w:rPr>
      </w:pPr>
    </w:p>
    <w:p w14:paraId="0105DEB0" w14:textId="77777777" w:rsidR="004C1E80" w:rsidRPr="00DB6056" w:rsidRDefault="004C1E80">
      <w:pPr>
        <w:spacing w:line="360" w:lineRule="auto"/>
        <w:rPr>
          <w:rFonts w:ascii="Palatino Linotype" w:eastAsia="Palatino Linotype" w:hAnsi="Palatino Linotype" w:cs="Palatino Linotype"/>
        </w:rPr>
      </w:pPr>
    </w:p>
    <w:p w14:paraId="0105DEB1" w14:textId="77777777" w:rsidR="004C1E80" w:rsidRPr="00DB6056" w:rsidRDefault="004C1E80">
      <w:pPr>
        <w:spacing w:line="360" w:lineRule="auto"/>
        <w:rPr>
          <w:rFonts w:ascii="Palatino Linotype" w:eastAsia="Palatino Linotype" w:hAnsi="Palatino Linotype" w:cs="Palatino Linotype"/>
        </w:rPr>
      </w:pPr>
    </w:p>
    <w:p w14:paraId="0105DEB2" w14:textId="77777777" w:rsidR="004C1E80" w:rsidRPr="00DB6056" w:rsidRDefault="004C1E80">
      <w:pPr>
        <w:spacing w:line="360" w:lineRule="auto"/>
        <w:rPr>
          <w:rFonts w:ascii="Palatino Linotype" w:eastAsia="Palatino Linotype" w:hAnsi="Palatino Linotype" w:cs="Palatino Linotype"/>
        </w:rPr>
      </w:pPr>
    </w:p>
    <w:p w14:paraId="0105DEB3" w14:textId="77777777" w:rsidR="004C1E80" w:rsidRPr="00DB6056" w:rsidRDefault="004C1E80">
      <w:pPr>
        <w:spacing w:line="360" w:lineRule="auto"/>
        <w:rPr>
          <w:rFonts w:ascii="Palatino Linotype" w:eastAsia="Palatino Linotype" w:hAnsi="Palatino Linotype" w:cs="Palatino Linotype"/>
        </w:rPr>
      </w:pPr>
    </w:p>
    <w:p w14:paraId="0105DEB4" w14:textId="77777777" w:rsidR="004C1E80" w:rsidRPr="00DB6056" w:rsidRDefault="004C1E80">
      <w:pPr>
        <w:spacing w:line="360" w:lineRule="auto"/>
        <w:rPr>
          <w:rFonts w:ascii="Palatino Linotype" w:eastAsia="Palatino Linotype" w:hAnsi="Palatino Linotype" w:cs="Palatino Linotype"/>
        </w:rPr>
      </w:pPr>
    </w:p>
    <w:p w14:paraId="0105DEB5" w14:textId="77777777" w:rsidR="004C1E80" w:rsidRPr="00DB6056" w:rsidRDefault="004C1E80">
      <w:pPr>
        <w:spacing w:line="360" w:lineRule="auto"/>
        <w:rPr>
          <w:rFonts w:ascii="Palatino Linotype" w:eastAsia="Palatino Linotype" w:hAnsi="Palatino Linotype" w:cs="Palatino Linotype"/>
        </w:rPr>
      </w:pPr>
    </w:p>
    <w:p w14:paraId="0105DEB6" w14:textId="77777777" w:rsidR="004C1E80" w:rsidRPr="00DB6056" w:rsidRDefault="00B67F9C">
      <w:pPr>
        <w:tabs>
          <w:tab w:val="left" w:pos="3374"/>
        </w:tabs>
        <w:spacing w:line="360" w:lineRule="auto"/>
        <w:rPr>
          <w:rFonts w:ascii="Palatino Linotype" w:eastAsia="Palatino Linotype" w:hAnsi="Palatino Linotype" w:cs="Palatino Linotype"/>
        </w:rPr>
      </w:pPr>
      <w:r w:rsidRPr="00DB6056">
        <w:rPr>
          <w:rFonts w:ascii="Palatino Linotype" w:eastAsia="Palatino Linotype" w:hAnsi="Palatino Linotype" w:cs="Palatino Linotype"/>
        </w:rPr>
        <w:tab/>
      </w:r>
    </w:p>
    <w:p w14:paraId="0105DEB7"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B8"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B9"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BA"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BB"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BC"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BD"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BE"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BF"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C0"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C1"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C2"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C3"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C4"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C5" w14:textId="77777777" w:rsidR="004C1E80" w:rsidRPr="00DB6056" w:rsidRDefault="004C1E80">
      <w:pPr>
        <w:tabs>
          <w:tab w:val="left" w:pos="3374"/>
        </w:tabs>
        <w:spacing w:line="360" w:lineRule="auto"/>
        <w:rPr>
          <w:rFonts w:ascii="Palatino Linotype" w:eastAsia="Palatino Linotype" w:hAnsi="Palatino Linotype" w:cs="Palatino Linotype"/>
        </w:rPr>
      </w:pPr>
    </w:p>
    <w:p w14:paraId="0105DEC6" w14:textId="77777777" w:rsidR="004C1E80" w:rsidRPr="00DB6056" w:rsidRDefault="004C1E80">
      <w:pPr>
        <w:spacing w:line="360" w:lineRule="auto"/>
        <w:rPr>
          <w:rFonts w:ascii="Palatino Linotype" w:eastAsia="Palatino Linotype" w:hAnsi="Palatino Linotype" w:cs="Palatino Linotype"/>
        </w:rPr>
      </w:pPr>
    </w:p>
    <w:p w14:paraId="7D5F9A1F" w14:textId="77777777" w:rsidR="00DB6056" w:rsidRPr="00DB6056" w:rsidRDefault="00DB6056">
      <w:pPr>
        <w:spacing w:line="360" w:lineRule="auto"/>
        <w:rPr>
          <w:rFonts w:ascii="Palatino Linotype" w:eastAsia="Palatino Linotype" w:hAnsi="Palatino Linotype" w:cs="Palatino Linotype"/>
        </w:rPr>
      </w:pPr>
    </w:p>
    <w:sectPr w:rsidR="00DB6056" w:rsidRPr="00DB6056" w:rsidSect="00DB6056">
      <w:headerReference w:type="even" r:id="rId10"/>
      <w:headerReference w:type="default" r:id="rId11"/>
      <w:footerReference w:type="default" r:id="rId12"/>
      <w:headerReference w:type="first" r:id="rId13"/>
      <w:footerReference w:type="first" r:id="rId14"/>
      <w:pgSz w:w="12240" w:h="15840"/>
      <w:pgMar w:top="2268" w:right="758" w:bottom="1843"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2C838" w14:textId="77777777" w:rsidR="00344278" w:rsidRDefault="00344278">
      <w:r>
        <w:separator/>
      </w:r>
    </w:p>
  </w:endnote>
  <w:endnote w:type="continuationSeparator" w:id="0">
    <w:p w14:paraId="66BCC7F9" w14:textId="77777777" w:rsidR="00344278" w:rsidRDefault="00344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1EE36D34-C688-46E1-9014-D687B86F8C3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3211D38-C9CA-48CC-BF35-3EE7288B4102}"/>
    <w:embedBold r:id="rId3" w:fontKey="{2EEF0363-417C-4592-AAAD-5A5741419326}"/>
    <w:embedItalic r:id="rId4" w:fontKey="{A6E4C561-B2A7-4515-BAB4-02F089433AFB}"/>
    <w:embedBoldItalic r:id="rId5" w:fontKey="{A77BBF3E-F06A-4F7E-9B7B-C084008B2589}"/>
  </w:font>
  <w:font w:name="Calibri">
    <w:panose1 w:val="020F0502020204030204"/>
    <w:charset w:val="00"/>
    <w:family w:val="swiss"/>
    <w:pitch w:val="variable"/>
    <w:sig w:usb0="E4002EFF" w:usb1="C200247B" w:usb2="00000009" w:usb3="00000000" w:csb0="000001FF" w:csb1="00000000"/>
    <w:embedRegular r:id="rId6" w:fontKey="{AD1F277F-D178-4379-A114-FC66D082A170}"/>
    <w:embedBold r:id="rId7" w:fontKey="{D2A05CC6-BD55-42FA-816B-5CCD9FF711D2}"/>
  </w:font>
  <w:font w:name="Georgia">
    <w:panose1 w:val="02040502050405020303"/>
    <w:charset w:val="00"/>
    <w:family w:val="roman"/>
    <w:pitch w:val="variable"/>
    <w:sig w:usb0="00000287" w:usb1="00000000" w:usb2="00000000" w:usb3="00000000" w:csb0="0000009F" w:csb1="00000000"/>
    <w:embedItalic r:id="rId8" w:fontKey="{8C25B575-5244-4352-8FBD-0C7596950143}"/>
  </w:font>
  <w:font w:name="Cambria">
    <w:panose1 w:val="02040503050406030204"/>
    <w:charset w:val="00"/>
    <w:family w:val="roman"/>
    <w:pitch w:val="variable"/>
    <w:sig w:usb0="E00006FF" w:usb1="420024FF" w:usb2="02000000" w:usb3="00000000" w:csb0="0000019F" w:csb1="00000000"/>
    <w:embedRegular r:id="rId9" w:fontKey="{A541B884-A0C4-418C-84DB-6625317D30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5DED7" w14:textId="3E7FC1AB" w:rsidR="004C1E80" w:rsidRPr="00DB6056" w:rsidRDefault="00B67F9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DB6056">
      <w:rPr>
        <w:rFonts w:ascii="Palatino Linotype" w:eastAsia="Palatino Linotype" w:hAnsi="Palatino Linotype" w:cs="Palatino Linotype"/>
        <w:color w:val="000000"/>
        <w:sz w:val="22"/>
        <w:szCs w:val="20"/>
      </w:rPr>
      <w:t xml:space="preserve">Página </w:t>
    </w:r>
    <w:r w:rsidRPr="00DB6056">
      <w:rPr>
        <w:rFonts w:ascii="Palatino Linotype" w:eastAsia="Palatino Linotype" w:hAnsi="Palatino Linotype" w:cs="Palatino Linotype"/>
        <w:color w:val="000000"/>
        <w:sz w:val="22"/>
        <w:szCs w:val="20"/>
      </w:rPr>
      <w:fldChar w:fldCharType="begin"/>
    </w:r>
    <w:r w:rsidRPr="00DB6056">
      <w:rPr>
        <w:rFonts w:ascii="Palatino Linotype" w:eastAsia="Palatino Linotype" w:hAnsi="Palatino Linotype" w:cs="Palatino Linotype"/>
        <w:color w:val="000000"/>
        <w:sz w:val="22"/>
        <w:szCs w:val="20"/>
      </w:rPr>
      <w:instrText>PAGE</w:instrText>
    </w:r>
    <w:r w:rsidRPr="00DB6056">
      <w:rPr>
        <w:rFonts w:ascii="Palatino Linotype" w:eastAsia="Palatino Linotype" w:hAnsi="Palatino Linotype" w:cs="Palatino Linotype"/>
        <w:color w:val="000000"/>
        <w:sz w:val="22"/>
        <w:szCs w:val="20"/>
      </w:rPr>
      <w:fldChar w:fldCharType="separate"/>
    </w:r>
    <w:r w:rsidR="00D53BFA">
      <w:rPr>
        <w:rFonts w:ascii="Palatino Linotype" w:eastAsia="Palatino Linotype" w:hAnsi="Palatino Linotype" w:cs="Palatino Linotype"/>
        <w:noProof/>
        <w:color w:val="000000"/>
        <w:sz w:val="22"/>
        <w:szCs w:val="20"/>
      </w:rPr>
      <w:t>21</w:t>
    </w:r>
    <w:r w:rsidRPr="00DB6056">
      <w:rPr>
        <w:rFonts w:ascii="Palatino Linotype" w:eastAsia="Palatino Linotype" w:hAnsi="Palatino Linotype" w:cs="Palatino Linotype"/>
        <w:color w:val="000000"/>
        <w:sz w:val="22"/>
        <w:szCs w:val="20"/>
      </w:rPr>
      <w:fldChar w:fldCharType="end"/>
    </w:r>
    <w:r w:rsidRPr="00DB6056">
      <w:rPr>
        <w:rFonts w:ascii="Palatino Linotype" w:eastAsia="Palatino Linotype" w:hAnsi="Palatino Linotype" w:cs="Palatino Linotype"/>
        <w:color w:val="000000"/>
        <w:sz w:val="22"/>
        <w:szCs w:val="20"/>
      </w:rPr>
      <w:t xml:space="preserve"> de </w:t>
    </w:r>
    <w:r w:rsidRPr="00DB6056">
      <w:rPr>
        <w:rFonts w:ascii="Palatino Linotype" w:eastAsia="Palatino Linotype" w:hAnsi="Palatino Linotype" w:cs="Palatino Linotype"/>
        <w:color w:val="000000"/>
        <w:sz w:val="22"/>
        <w:szCs w:val="20"/>
      </w:rPr>
      <w:fldChar w:fldCharType="begin"/>
    </w:r>
    <w:r w:rsidRPr="00DB6056">
      <w:rPr>
        <w:rFonts w:ascii="Palatino Linotype" w:eastAsia="Palatino Linotype" w:hAnsi="Palatino Linotype" w:cs="Palatino Linotype"/>
        <w:color w:val="000000"/>
        <w:sz w:val="22"/>
        <w:szCs w:val="20"/>
      </w:rPr>
      <w:instrText>NUMPAGES</w:instrText>
    </w:r>
    <w:r w:rsidRPr="00DB6056">
      <w:rPr>
        <w:rFonts w:ascii="Palatino Linotype" w:eastAsia="Palatino Linotype" w:hAnsi="Palatino Linotype" w:cs="Palatino Linotype"/>
        <w:color w:val="000000"/>
        <w:sz w:val="22"/>
        <w:szCs w:val="20"/>
      </w:rPr>
      <w:fldChar w:fldCharType="separate"/>
    </w:r>
    <w:r w:rsidR="00D53BFA">
      <w:rPr>
        <w:rFonts w:ascii="Palatino Linotype" w:eastAsia="Palatino Linotype" w:hAnsi="Palatino Linotype" w:cs="Palatino Linotype"/>
        <w:noProof/>
        <w:color w:val="000000"/>
        <w:sz w:val="22"/>
        <w:szCs w:val="20"/>
      </w:rPr>
      <w:t>41</w:t>
    </w:r>
    <w:r w:rsidRPr="00DB6056">
      <w:rPr>
        <w:rFonts w:ascii="Palatino Linotype" w:eastAsia="Palatino Linotype" w:hAnsi="Palatino Linotype" w:cs="Palatino Linotype"/>
        <w:color w:val="000000"/>
        <w:sz w:val="22"/>
        <w:szCs w:val="20"/>
      </w:rPr>
      <w:fldChar w:fldCharType="end"/>
    </w:r>
  </w:p>
  <w:p w14:paraId="0105DED8" w14:textId="77777777" w:rsidR="004C1E80" w:rsidRDefault="004C1E8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5DEE7" w14:textId="66B46CDD" w:rsidR="004C1E80" w:rsidRPr="00DB6056" w:rsidRDefault="00B67F9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DB6056">
      <w:rPr>
        <w:rFonts w:ascii="Palatino Linotype" w:eastAsia="Palatino Linotype" w:hAnsi="Palatino Linotype" w:cs="Palatino Linotype"/>
        <w:color w:val="000000"/>
        <w:sz w:val="22"/>
        <w:szCs w:val="20"/>
      </w:rPr>
      <w:t xml:space="preserve">Página </w:t>
    </w:r>
    <w:r w:rsidRPr="00DB6056">
      <w:rPr>
        <w:rFonts w:ascii="Palatino Linotype" w:eastAsia="Palatino Linotype" w:hAnsi="Palatino Linotype" w:cs="Palatino Linotype"/>
        <w:color w:val="000000"/>
        <w:sz w:val="22"/>
        <w:szCs w:val="20"/>
      </w:rPr>
      <w:fldChar w:fldCharType="begin"/>
    </w:r>
    <w:r w:rsidRPr="00DB6056">
      <w:rPr>
        <w:rFonts w:ascii="Palatino Linotype" w:eastAsia="Palatino Linotype" w:hAnsi="Palatino Linotype" w:cs="Palatino Linotype"/>
        <w:color w:val="000000"/>
        <w:sz w:val="22"/>
        <w:szCs w:val="20"/>
      </w:rPr>
      <w:instrText>PAGE</w:instrText>
    </w:r>
    <w:r w:rsidRPr="00DB6056">
      <w:rPr>
        <w:rFonts w:ascii="Palatino Linotype" w:eastAsia="Palatino Linotype" w:hAnsi="Palatino Linotype" w:cs="Palatino Linotype"/>
        <w:color w:val="000000"/>
        <w:sz w:val="22"/>
        <w:szCs w:val="20"/>
      </w:rPr>
      <w:fldChar w:fldCharType="separate"/>
    </w:r>
    <w:r w:rsidR="00D53BFA">
      <w:rPr>
        <w:rFonts w:ascii="Palatino Linotype" w:eastAsia="Palatino Linotype" w:hAnsi="Palatino Linotype" w:cs="Palatino Linotype"/>
        <w:noProof/>
        <w:color w:val="000000"/>
        <w:sz w:val="22"/>
        <w:szCs w:val="20"/>
      </w:rPr>
      <w:t>1</w:t>
    </w:r>
    <w:r w:rsidRPr="00DB6056">
      <w:rPr>
        <w:rFonts w:ascii="Palatino Linotype" w:eastAsia="Palatino Linotype" w:hAnsi="Palatino Linotype" w:cs="Palatino Linotype"/>
        <w:color w:val="000000"/>
        <w:sz w:val="22"/>
        <w:szCs w:val="20"/>
      </w:rPr>
      <w:fldChar w:fldCharType="end"/>
    </w:r>
    <w:r w:rsidRPr="00DB6056">
      <w:rPr>
        <w:rFonts w:ascii="Palatino Linotype" w:eastAsia="Palatino Linotype" w:hAnsi="Palatino Linotype" w:cs="Palatino Linotype"/>
        <w:color w:val="000000"/>
        <w:sz w:val="22"/>
        <w:szCs w:val="20"/>
      </w:rPr>
      <w:t xml:space="preserve"> de </w:t>
    </w:r>
    <w:r w:rsidRPr="00DB6056">
      <w:rPr>
        <w:rFonts w:ascii="Palatino Linotype" w:eastAsia="Palatino Linotype" w:hAnsi="Palatino Linotype" w:cs="Palatino Linotype"/>
        <w:color w:val="000000"/>
        <w:sz w:val="22"/>
        <w:szCs w:val="20"/>
      </w:rPr>
      <w:fldChar w:fldCharType="begin"/>
    </w:r>
    <w:r w:rsidRPr="00DB6056">
      <w:rPr>
        <w:rFonts w:ascii="Palatino Linotype" w:eastAsia="Palatino Linotype" w:hAnsi="Palatino Linotype" w:cs="Palatino Linotype"/>
        <w:color w:val="000000"/>
        <w:sz w:val="22"/>
        <w:szCs w:val="20"/>
      </w:rPr>
      <w:instrText>NUMPAGES</w:instrText>
    </w:r>
    <w:r w:rsidRPr="00DB6056">
      <w:rPr>
        <w:rFonts w:ascii="Palatino Linotype" w:eastAsia="Palatino Linotype" w:hAnsi="Palatino Linotype" w:cs="Palatino Linotype"/>
        <w:color w:val="000000"/>
        <w:sz w:val="22"/>
        <w:szCs w:val="20"/>
      </w:rPr>
      <w:fldChar w:fldCharType="separate"/>
    </w:r>
    <w:r w:rsidR="00D53BFA">
      <w:rPr>
        <w:rFonts w:ascii="Palatino Linotype" w:eastAsia="Palatino Linotype" w:hAnsi="Palatino Linotype" w:cs="Palatino Linotype"/>
        <w:noProof/>
        <w:color w:val="000000"/>
        <w:sz w:val="22"/>
        <w:szCs w:val="20"/>
      </w:rPr>
      <w:t>41</w:t>
    </w:r>
    <w:r w:rsidRPr="00DB6056">
      <w:rPr>
        <w:rFonts w:ascii="Palatino Linotype" w:eastAsia="Palatino Linotype" w:hAnsi="Palatino Linotype" w:cs="Palatino Linotype"/>
        <w:color w:val="000000"/>
        <w:sz w:val="22"/>
        <w:szCs w:val="20"/>
      </w:rPr>
      <w:fldChar w:fldCharType="end"/>
    </w:r>
  </w:p>
  <w:p w14:paraId="0105DEE8" w14:textId="77777777" w:rsidR="004C1E80" w:rsidRDefault="004C1E8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29375" w14:textId="77777777" w:rsidR="00344278" w:rsidRDefault="00344278">
      <w:r>
        <w:separator/>
      </w:r>
    </w:p>
  </w:footnote>
  <w:footnote w:type="continuationSeparator" w:id="0">
    <w:p w14:paraId="4752F0CD" w14:textId="77777777" w:rsidR="00344278" w:rsidRDefault="00344278">
      <w:r>
        <w:continuationSeparator/>
      </w:r>
    </w:p>
  </w:footnote>
  <w:footnote w:id="1">
    <w:p w14:paraId="0105DEEC" w14:textId="77777777" w:rsidR="004C1E80" w:rsidRDefault="00B67F9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0105DEED" w14:textId="77777777" w:rsidR="004C1E80" w:rsidRDefault="00B67F9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105DEEE" w14:textId="77777777" w:rsidR="004C1E80" w:rsidRDefault="00B67F9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0105DEEF" w14:textId="77777777" w:rsidR="004C1E80" w:rsidRDefault="00B67F9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14:paraId="0105DEF0" w14:textId="77777777" w:rsidR="004C1E80" w:rsidRDefault="00B67F9C">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14:paraId="0105DEF1" w14:textId="77777777" w:rsidR="004C1E80" w:rsidRDefault="00B67F9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0105DEF2" w14:textId="77777777" w:rsidR="004C1E80" w:rsidRDefault="00B67F9C">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0105DEF3" w14:textId="77777777" w:rsidR="004C1E80" w:rsidRDefault="00B67F9C">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5DECB" w14:textId="77777777" w:rsidR="004C1E80" w:rsidRDefault="00344278">
    <w:pPr>
      <w:pBdr>
        <w:top w:val="nil"/>
        <w:left w:val="nil"/>
        <w:bottom w:val="nil"/>
        <w:right w:val="nil"/>
        <w:between w:val="nil"/>
      </w:pBdr>
      <w:tabs>
        <w:tab w:val="center" w:pos="4419"/>
        <w:tab w:val="right" w:pos="8838"/>
      </w:tabs>
      <w:rPr>
        <w:color w:val="000000"/>
      </w:rPr>
    </w:pPr>
    <w:r>
      <w:rPr>
        <w:color w:val="000000"/>
      </w:rPr>
      <w:pict w14:anchorId="0105D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519" w:type="dxa"/>
      <w:tblInd w:w="3261" w:type="dxa"/>
      <w:tblLayout w:type="fixed"/>
      <w:tblLook w:val="0400" w:firstRow="0" w:lastRow="0" w:firstColumn="0" w:lastColumn="0" w:noHBand="0" w:noVBand="1"/>
    </w:tblPr>
    <w:tblGrid>
      <w:gridCol w:w="2976"/>
      <w:gridCol w:w="3543"/>
    </w:tblGrid>
    <w:tr w:rsidR="004C1E80" w14:paraId="0105DECF" w14:textId="77777777" w:rsidTr="00DB6056">
      <w:trPr>
        <w:trHeight w:val="227"/>
      </w:trPr>
      <w:tc>
        <w:tcPr>
          <w:tcW w:w="2976" w:type="dxa"/>
          <w:vAlign w:val="center"/>
        </w:tcPr>
        <w:p w14:paraId="0105DECD" w14:textId="77777777" w:rsidR="004C1E80" w:rsidRPr="00DB6056" w:rsidRDefault="00B67F9C">
          <w:pPr>
            <w:ind w:right="34"/>
            <w:jc w:val="right"/>
            <w:rPr>
              <w:rFonts w:ascii="Palatino Linotype" w:eastAsia="Palatino Linotype" w:hAnsi="Palatino Linotype" w:cs="Palatino Linotype"/>
              <w:b/>
              <w:bCs/>
              <w:szCs w:val="22"/>
            </w:rPr>
          </w:pPr>
          <w:r w:rsidRPr="00DB6056">
            <w:rPr>
              <w:rFonts w:ascii="Palatino Linotype" w:eastAsia="Palatino Linotype" w:hAnsi="Palatino Linotype" w:cs="Palatino Linotype"/>
              <w:b/>
              <w:bCs/>
              <w:szCs w:val="22"/>
            </w:rPr>
            <w:t>Recurso de Revisión:</w:t>
          </w:r>
        </w:p>
      </w:tc>
      <w:tc>
        <w:tcPr>
          <w:tcW w:w="3543" w:type="dxa"/>
          <w:vAlign w:val="center"/>
        </w:tcPr>
        <w:p w14:paraId="0105DECE" w14:textId="77777777" w:rsidR="004C1E80" w:rsidRPr="00DB6056" w:rsidRDefault="00B67F9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DB6056">
            <w:rPr>
              <w:rFonts w:ascii="Palatino Linotype" w:eastAsia="Palatino Linotype" w:hAnsi="Palatino Linotype" w:cs="Palatino Linotype"/>
              <w:color w:val="000000"/>
              <w:szCs w:val="22"/>
            </w:rPr>
            <w:t>03293/INFOEM/IP/RR/2026</w:t>
          </w:r>
        </w:p>
      </w:tc>
    </w:tr>
    <w:tr w:rsidR="004C1E80" w14:paraId="0105DED2" w14:textId="77777777" w:rsidTr="00DB6056">
      <w:trPr>
        <w:trHeight w:val="242"/>
      </w:trPr>
      <w:tc>
        <w:tcPr>
          <w:tcW w:w="2976" w:type="dxa"/>
          <w:vAlign w:val="center"/>
        </w:tcPr>
        <w:p w14:paraId="0105DED0" w14:textId="77777777" w:rsidR="004C1E80" w:rsidRPr="00DB6056" w:rsidRDefault="00B67F9C">
          <w:pPr>
            <w:ind w:right="34"/>
            <w:jc w:val="right"/>
            <w:rPr>
              <w:rFonts w:ascii="Palatino Linotype" w:eastAsia="Palatino Linotype" w:hAnsi="Palatino Linotype" w:cs="Palatino Linotype"/>
              <w:b/>
              <w:bCs/>
              <w:szCs w:val="22"/>
            </w:rPr>
          </w:pPr>
          <w:r w:rsidRPr="00DB6056">
            <w:rPr>
              <w:rFonts w:ascii="Palatino Linotype" w:eastAsia="Palatino Linotype" w:hAnsi="Palatino Linotype" w:cs="Palatino Linotype"/>
              <w:b/>
              <w:bCs/>
              <w:szCs w:val="22"/>
            </w:rPr>
            <w:t>Sujeto Obligado:</w:t>
          </w:r>
        </w:p>
      </w:tc>
      <w:tc>
        <w:tcPr>
          <w:tcW w:w="3543" w:type="dxa"/>
          <w:vAlign w:val="center"/>
        </w:tcPr>
        <w:p w14:paraId="0105DED1" w14:textId="77777777" w:rsidR="004C1E80" w:rsidRPr="00DB6056" w:rsidRDefault="00B67F9C">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DB6056">
            <w:rPr>
              <w:rFonts w:ascii="Palatino Linotype" w:eastAsia="Palatino Linotype" w:hAnsi="Palatino Linotype" w:cs="Palatino Linotype"/>
              <w:color w:val="000000"/>
              <w:szCs w:val="22"/>
            </w:rPr>
            <w:t>Partido del Trabajo</w:t>
          </w:r>
        </w:p>
      </w:tc>
    </w:tr>
    <w:tr w:rsidR="004C1E80" w14:paraId="0105DED5" w14:textId="77777777" w:rsidTr="00DB6056">
      <w:trPr>
        <w:trHeight w:val="342"/>
      </w:trPr>
      <w:tc>
        <w:tcPr>
          <w:tcW w:w="2976" w:type="dxa"/>
          <w:vAlign w:val="center"/>
        </w:tcPr>
        <w:p w14:paraId="0105DED3" w14:textId="77777777" w:rsidR="004C1E80" w:rsidRPr="00DB6056" w:rsidRDefault="00B67F9C">
          <w:pPr>
            <w:ind w:right="34"/>
            <w:jc w:val="right"/>
            <w:rPr>
              <w:rFonts w:ascii="Palatino Linotype" w:eastAsia="Palatino Linotype" w:hAnsi="Palatino Linotype" w:cs="Palatino Linotype"/>
              <w:b/>
              <w:bCs/>
              <w:szCs w:val="22"/>
            </w:rPr>
          </w:pPr>
          <w:r w:rsidRPr="00DB6056">
            <w:rPr>
              <w:rFonts w:ascii="Palatino Linotype" w:eastAsia="Palatino Linotype" w:hAnsi="Palatino Linotype" w:cs="Palatino Linotype"/>
              <w:b/>
              <w:bCs/>
              <w:szCs w:val="22"/>
            </w:rPr>
            <w:t>Comisionada Ponente:</w:t>
          </w:r>
        </w:p>
      </w:tc>
      <w:tc>
        <w:tcPr>
          <w:tcW w:w="3543" w:type="dxa"/>
          <w:vAlign w:val="center"/>
        </w:tcPr>
        <w:p w14:paraId="0105DED4" w14:textId="77777777" w:rsidR="004C1E80" w:rsidRPr="00DB6056" w:rsidRDefault="00B67F9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DB6056">
            <w:rPr>
              <w:rFonts w:ascii="Palatino Linotype" w:eastAsia="Palatino Linotype" w:hAnsi="Palatino Linotype" w:cs="Palatino Linotype"/>
              <w:color w:val="000000"/>
              <w:szCs w:val="22"/>
            </w:rPr>
            <w:t>María del Rosario Mejía Ayala</w:t>
          </w:r>
        </w:p>
      </w:tc>
    </w:tr>
  </w:tbl>
  <w:p w14:paraId="0105DED6" w14:textId="77777777" w:rsidR="004C1E80" w:rsidRDefault="00344278">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0105D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5.5pt;margin-top:-127.8pt;width:609.4pt;height:793.75pt;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660" w:type="dxa"/>
      <w:tblInd w:w="3402" w:type="dxa"/>
      <w:tblLayout w:type="fixed"/>
      <w:tblLook w:val="0400" w:firstRow="0" w:lastRow="0" w:firstColumn="0" w:lastColumn="0" w:noHBand="0" w:noVBand="1"/>
    </w:tblPr>
    <w:tblGrid>
      <w:gridCol w:w="2977"/>
      <w:gridCol w:w="3683"/>
    </w:tblGrid>
    <w:tr w:rsidR="004C1E80" w14:paraId="0105DEDC" w14:textId="77777777" w:rsidTr="00DB6056">
      <w:trPr>
        <w:trHeight w:val="227"/>
      </w:trPr>
      <w:tc>
        <w:tcPr>
          <w:tcW w:w="2977" w:type="dxa"/>
          <w:vAlign w:val="center"/>
        </w:tcPr>
        <w:p w14:paraId="0105DEDA" w14:textId="0F32B3B9" w:rsidR="004C1E80" w:rsidRPr="00DB6056" w:rsidRDefault="00B67F9C" w:rsidP="00E4075B">
          <w:pPr>
            <w:jc w:val="right"/>
            <w:rPr>
              <w:rFonts w:ascii="Palatino Linotype" w:eastAsia="Palatino Linotype" w:hAnsi="Palatino Linotype" w:cs="Palatino Linotype"/>
              <w:b/>
              <w:bCs/>
              <w:szCs w:val="22"/>
            </w:rPr>
          </w:pPr>
          <w:r w:rsidRPr="00DB6056">
            <w:rPr>
              <w:rFonts w:ascii="Palatino Linotype" w:eastAsia="Palatino Linotype" w:hAnsi="Palatino Linotype" w:cs="Palatino Linotype"/>
              <w:b/>
              <w:bCs/>
              <w:szCs w:val="22"/>
            </w:rPr>
            <w:t>Recurso de Revisión:</w:t>
          </w:r>
        </w:p>
      </w:tc>
      <w:tc>
        <w:tcPr>
          <w:tcW w:w="3683" w:type="dxa"/>
          <w:vAlign w:val="center"/>
        </w:tcPr>
        <w:p w14:paraId="0105DEDB" w14:textId="77777777" w:rsidR="004C1E80" w:rsidRPr="00DB6056" w:rsidRDefault="00B67F9C" w:rsidP="00E4075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DB6056">
            <w:rPr>
              <w:rFonts w:ascii="Palatino Linotype" w:eastAsia="Palatino Linotype" w:hAnsi="Palatino Linotype" w:cs="Palatino Linotype"/>
              <w:color w:val="000000"/>
              <w:szCs w:val="22"/>
            </w:rPr>
            <w:t>03293/INFOEM/IP/RR/2026</w:t>
          </w:r>
        </w:p>
      </w:tc>
    </w:tr>
    <w:tr w:rsidR="004C1E80" w14:paraId="0105DEDF" w14:textId="77777777" w:rsidTr="00DB6056">
      <w:trPr>
        <w:trHeight w:val="242"/>
      </w:trPr>
      <w:tc>
        <w:tcPr>
          <w:tcW w:w="2977" w:type="dxa"/>
          <w:vAlign w:val="center"/>
        </w:tcPr>
        <w:p w14:paraId="0105DEDD" w14:textId="77777777" w:rsidR="004C1E80" w:rsidRPr="00DB6056" w:rsidRDefault="00B67F9C" w:rsidP="00E4075B">
          <w:pPr>
            <w:jc w:val="right"/>
            <w:rPr>
              <w:rFonts w:ascii="Palatino Linotype" w:eastAsia="Palatino Linotype" w:hAnsi="Palatino Linotype" w:cs="Palatino Linotype"/>
              <w:b/>
              <w:bCs/>
              <w:szCs w:val="22"/>
            </w:rPr>
          </w:pPr>
          <w:r w:rsidRPr="00DB6056">
            <w:rPr>
              <w:rFonts w:ascii="Palatino Linotype" w:eastAsia="Palatino Linotype" w:hAnsi="Palatino Linotype" w:cs="Palatino Linotype"/>
              <w:b/>
              <w:bCs/>
              <w:szCs w:val="22"/>
            </w:rPr>
            <w:t>Recurrente:</w:t>
          </w:r>
        </w:p>
      </w:tc>
      <w:tc>
        <w:tcPr>
          <w:tcW w:w="3683" w:type="dxa"/>
        </w:tcPr>
        <w:p w14:paraId="0105DEDE" w14:textId="77777777" w:rsidR="004C1E80" w:rsidRPr="00DB6056" w:rsidRDefault="004C1E80" w:rsidP="00E4075B">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p>
      </w:tc>
    </w:tr>
    <w:tr w:rsidR="004C1E80" w14:paraId="0105DEE2" w14:textId="77777777" w:rsidTr="00DB6056">
      <w:trPr>
        <w:trHeight w:val="342"/>
      </w:trPr>
      <w:tc>
        <w:tcPr>
          <w:tcW w:w="2977" w:type="dxa"/>
          <w:vAlign w:val="center"/>
        </w:tcPr>
        <w:p w14:paraId="0105DEE0" w14:textId="77777777" w:rsidR="004C1E80" w:rsidRPr="00DB6056" w:rsidRDefault="00B67F9C" w:rsidP="00E4075B">
          <w:pPr>
            <w:jc w:val="right"/>
            <w:rPr>
              <w:rFonts w:ascii="Palatino Linotype" w:eastAsia="Palatino Linotype" w:hAnsi="Palatino Linotype" w:cs="Palatino Linotype"/>
              <w:b/>
              <w:bCs/>
              <w:szCs w:val="22"/>
            </w:rPr>
          </w:pPr>
          <w:r w:rsidRPr="00DB6056">
            <w:rPr>
              <w:rFonts w:ascii="Palatino Linotype" w:eastAsia="Palatino Linotype" w:hAnsi="Palatino Linotype" w:cs="Palatino Linotype"/>
              <w:b/>
              <w:bCs/>
              <w:szCs w:val="22"/>
            </w:rPr>
            <w:t>Sujeto Obligado:</w:t>
          </w:r>
        </w:p>
      </w:tc>
      <w:tc>
        <w:tcPr>
          <w:tcW w:w="3683" w:type="dxa"/>
          <w:vAlign w:val="center"/>
        </w:tcPr>
        <w:p w14:paraId="0105DEE1" w14:textId="77777777" w:rsidR="004C1E80" w:rsidRPr="00DB6056" w:rsidRDefault="00B67F9C" w:rsidP="00E4075B">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DB6056">
            <w:rPr>
              <w:rFonts w:ascii="Palatino Linotype" w:eastAsia="Palatino Linotype" w:hAnsi="Palatino Linotype" w:cs="Palatino Linotype"/>
              <w:color w:val="000000"/>
              <w:szCs w:val="22"/>
            </w:rPr>
            <w:t>Partido del Trabajo</w:t>
          </w:r>
        </w:p>
      </w:tc>
    </w:tr>
    <w:tr w:rsidR="004C1E80" w14:paraId="0105DEE5" w14:textId="77777777" w:rsidTr="00DB6056">
      <w:trPr>
        <w:trHeight w:val="342"/>
      </w:trPr>
      <w:tc>
        <w:tcPr>
          <w:tcW w:w="2977" w:type="dxa"/>
          <w:vAlign w:val="center"/>
        </w:tcPr>
        <w:p w14:paraId="0105DEE3" w14:textId="77777777" w:rsidR="004C1E80" w:rsidRPr="00DB6056" w:rsidRDefault="00B67F9C" w:rsidP="00E4075B">
          <w:pPr>
            <w:jc w:val="right"/>
            <w:rPr>
              <w:rFonts w:ascii="Palatino Linotype" w:eastAsia="Palatino Linotype" w:hAnsi="Palatino Linotype" w:cs="Palatino Linotype"/>
              <w:b/>
              <w:bCs/>
              <w:szCs w:val="22"/>
            </w:rPr>
          </w:pPr>
          <w:r w:rsidRPr="00DB6056">
            <w:rPr>
              <w:rFonts w:ascii="Palatino Linotype" w:eastAsia="Palatino Linotype" w:hAnsi="Palatino Linotype" w:cs="Palatino Linotype"/>
              <w:b/>
              <w:bCs/>
              <w:szCs w:val="22"/>
            </w:rPr>
            <w:t>Comisionada Ponente:</w:t>
          </w:r>
        </w:p>
      </w:tc>
      <w:tc>
        <w:tcPr>
          <w:tcW w:w="3683" w:type="dxa"/>
          <w:vAlign w:val="center"/>
        </w:tcPr>
        <w:p w14:paraId="0105DEE4" w14:textId="77777777" w:rsidR="004C1E80" w:rsidRPr="00DB6056" w:rsidRDefault="00B67F9C" w:rsidP="00E4075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DB6056">
            <w:rPr>
              <w:rFonts w:ascii="Palatino Linotype" w:eastAsia="Palatino Linotype" w:hAnsi="Palatino Linotype" w:cs="Palatino Linotype"/>
              <w:color w:val="000000"/>
              <w:szCs w:val="22"/>
            </w:rPr>
            <w:t>María del Rosario Mejía Ayala</w:t>
          </w:r>
        </w:p>
      </w:tc>
    </w:tr>
  </w:tbl>
  <w:p w14:paraId="0105DEE6" w14:textId="27257A81" w:rsidR="004C1E80" w:rsidRDefault="00344278">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0105D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5.55pt;margin-top:-124.3pt;width:609.4pt;height:793.75pt;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57B6C"/>
    <w:multiLevelType w:val="multilevel"/>
    <w:tmpl w:val="551EF260"/>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27CD1C10"/>
    <w:multiLevelType w:val="multilevel"/>
    <w:tmpl w:val="7E3062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8D357A1"/>
    <w:multiLevelType w:val="multilevel"/>
    <w:tmpl w:val="FB5A3F08"/>
    <w:lvl w:ilvl="0">
      <w:start w:val="1"/>
      <w:numFmt w:val="lowerLetter"/>
      <w:lvlText w:val="%1)"/>
      <w:lvlJc w:val="left"/>
      <w:pPr>
        <w:ind w:left="1498" w:hanging="360"/>
      </w:pPr>
      <w:rPr>
        <w:b/>
        <w:bC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abstractNum w:abstractNumId="3" w15:restartNumberingAfterBreak="0">
    <w:nsid w:val="4422141F"/>
    <w:multiLevelType w:val="multilevel"/>
    <w:tmpl w:val="5C7EC970"/>
    <w:lvl w:ilvl="0">
      <w:start w:val="24"/>
      <w:numFmt w:val="decimal"/>
      <w:lvlText w:val="%1."/>
      <w:lvlJc w:val="left"/>
      <w:pPr>
        <w:ind w:left="502"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0E3DCC"/>
    <w:multiLevelType w:val="multilevel"/>
    <w:tmpl w:val="E10C2EFA"/>
    <w:lvl w:ilvl="0">
      <w:start w:val="1"/>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826657"/>
    <w:multiLevelType w:val="multilevel"/>
    <w:tmpl w:val="B46AD1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E80"/>
    <w:rsid w:val="002A5269"/>
    <w:rsid w:val="00344278"/>
    <w:rsid w:val="004C1E80"/>
    <w:rsid w:val="0066484F"/>
    <w:rsid w:val="006B7076"/>
    <w:rsid w:val="00814226"/>
    <w:rsid w:val="00836A99"/>
    <w:rsid w:val="00AF0214"/>
    <w:rsid w:val="00B67F9C"/>
    <w:rsid w:val="00C01C70"/>
    <w:rsid w:val="00C071F6"/>
    <w:rsid w:val="00D0392F"/>
    <w:rsid w:val="00D53BFA"/>
    <w:rsid w:val="00DB6056"/>
    <w:rsid w:val="00DD2FF4"/>
    <w:rsid w:val="00E4075B"/>
    <w:rsid w:val="00F004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5DD81"/>
  <w15:docId w15:val="{89422CD2-306B-459F-8849-FCA9ABC0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styleId="Piedepgina">
    <w:name w:val="footer"/>
    <w:basedOn w:val="Normal"/>
    <w:link w:val="PiedepginaCar"/>
    <w:uiPriority w:val="99"/>
    <w:unhideWhenUsed/>
    <w:rsid w:val="00E4075B"/>
    <w:pPr>
      <w:tabs>
        <w:tab w:val="center" w:pos="4419"/>
        <w:tab w:val="right" w:pos="8838"/>
      </w:tabs>
    </w:pPr>
  </w:style>
  <w:style w:type="character" w:customStyle="1" w:styleId="PiedepginaCar">
    <w:name w:val="Pie de página Car"/>
    <w:basedOn w:val="Fuentedeprrafopredeter"/>
    <w:link w:val="Piedepgina"/>
    <w:uiPriority w:val="99"/>
    <w:rsid w:val="00E4075B"/>
  </w:style>
  <w:style w:type="paragraph" w:styleId="Prrafodelista">
    <w:name w:val="List Paragraph"/>
    <w:basedOn w:val="Normal"/>
    <w:uiPriority w:val="34"/>
    <w:qFormat/>
    <w:rsid w:val="00DB6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4lxMxBbKtEQCdYDnoxxWXeNZQ==">CgMxLjAyCGguZ2pkZ3hzMg5oLmw2ZXl0dmMycWIzejIJaC4zMGowemxsMgloLjFmb2I5dGUyCWguM3pueXNoNzIJaC4yZXQ5MnAwMghoLnR5amN3dDIJaC4zZHk2dmttOAByITFKUXB5NEMyejc4YTVPQUVIUVpnbVNGVkc2aVRqVmFRMQ==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41</Pages>
  <Words>9512</Words>
  <Characters>52317</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13</cp:revision>
  <cp:lastPrinted>2026-06-29T15:58:00Z</cp:lastPrinted>
  <dcterms:created xsi:type="dcterms:W3CDTF">2026-06-22T20:53:00Z</dcterms:created>
  <dcterms:modified xsi:type="dcterms:W3CDTF">2026-07-03T16:51:00Z</dcterms:modified>
</cp:coreProperties>
</file>