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94EB" w14:textId="319DADFC" w:rsidR="00B84DF1" w:rsidRPr="0003493C" w:rsidRDefault="009D3673" w:rsidP="0003493C">
      <w:pPr>
        <w:tabs>
          <w:tab w:val="left" w:pos="3465"/>
        </w:tabs>
        <w:spacing w:line="360" w:lineRule="auto"/>
        <w:ind w:right="49"/>
        <w:jc w:val="both"/>
        <w:rPr>
          <w:rFonts w:ascii="Palatino Linotype" w:eastAsia="Palatino Linotype" w:hAnsi="Palatino Linotype" w:cs="Palatino Linotype"/>
        </w:rPr>
      </w:pPr>
      <w:r w:rsidRPr="0003493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03493C">
        <w:rPr>
          <w:rFonts w:ascii="Palatino Linotype" w:eastAsia="Palatino Linotype" w:hAnsi="Palatino Linotype" w:cs="Palatino Linotype"/>
        </w:rPr>
        <w:t xml:space="preserve">tado de México; de fecha </w:t>
      </w:r>
      <w:r w:rsidR="005D2D83" w:rsidRPr="0003493C">
        <w:rPr>
          <w:rFonts w:ascii="Palatino Linotype" w:eastAsia="Palatino Linotype" w:hAnsi="Palatino Linotype" w:cs="Palatino Linotype"/>
        </w:rPr>
        <w:t>quince</w:t>
      </w:r>
      <w:r w:rsidR="008D5974">
        <w:rPr>
          <w:rFonts w:ascii="Palatino Linotype" w:eastAsia="Palatino Linotype" w:hAnsi="Palatino Linotype" w:cs="Palatino Linotype"/>
        </w:rPr>
        <w:t xml:space="preserve"> (15)</w:t>
      </w:r>
      <w:r w:rsidR="0085701A" w:rsidRPr="0003493C">
        <w:rPr>
          <w:rFonts w:ascii="Palatino Linotype" w:eastAsia="Palatino Linotype" w:hAnsi="Palatino Linotype" w:cs="Palatino Linotype"/>
        </w:rPr>
        <w:t xml:space="preserve"> de </w:t>
      </w:r>
      <w:r w:rsidR="005D2D83" w:rsidRPr="0003493C">
        <w:rPr>
          <w:rFonts w:ascii="Palatino Linotype" w:eastAsia="Palatino Linotype" w:hAnsi="Palatino Linotype" w:cs="Palatino Linotype"/>
        </w:rPr>
        <w:t>abril de dos mil veintiséis</w:t>
      </w:r>
      <w:r w:rsidRPr="0003493C">
        <w:rPr>
          <w:rFonts w:ascii="Palatino Linotype" w:eastAsia="Palatino Linotype" w:hAnsi="Palatino Linotype" w:cs="Palatino Linotype"/>
        </w:rPr>
        <w:t>.</w:t>
      </w:r>
    </w:p>
    <w:p w14:paraId="74BB94EC" w14:textId="77777777" w:rsidR="00B84DF1" w:rsidRPr="0003493C" w:rsidRDefault="00B84DF1" w:rsidP="0003493C">
      <w:pPr>
        <w:tabs>
          <w:tab w:val="left" w:pos="3465"/>
        </w:tabs>
        <w:spacing w:line="360" w:lineRule="auto"/>
        <w:ind w:right="49"/>
        <w:jc w:val="both"/>
        <w:rPr>
          <w:rFonts w:ascii="Palatino Linotype" w:eastAsia="Palatino Linotype" w:hAnsi="Palatino Linotype" w:cs="Palatino Linotype"/>
        </w:rPr>
      </w:pPr>
    </w:p>
    <w:p w14:paraId="74BB94ED" w14:textId="0C0A3745" w:rsidR="00B84DF1" w:rsidRDefault="009D3673" w:rsidP="0003493C">
      <w:pPr>
        <w:spacing w:line="360" w:lineRule="auto"/>
        <w:ind w:right="49"/>
        <w:jc w:val="both"/>
        <w:rPr>
          <w:rFonts w:ascii="Palatino Linotype" w:eastAsia="Palatino Linotype" w:hAnsi="Palatino Linotype" w:cs="Palatino Linotype"/>
        </w:rPr>
      </w:pPr>
      <w:r w:rsidRPr="0003493C">
        <w:rPr>
          <w:rFonts w:ascii="Palatino Linotype" w:eastAsia="Palatino Linotype" w:hAnsi="Palatino Linotype" w:cs="Palatino Linotype"/>
          <w:b/>
        </w:rPr>
        <w:t xml:space="preserve">VISTAS </w:t>
      </w:r>
      <w:r w:rsidRPr="0003493C">
        <w:rPr>
          <w:rFonts w:ascii="Palatino Linotype" w:eastAsia="Palatino Linotype" w:hAnsi="Palatino Linotype" w:cs="Palatino Linotype"/>
        </w:rPr>
        <w:t xml:space="preserve">las constancias para resolver el Recurso de Revisión </w:t>
      </w:r>
      <w:r w:rsidR="005D2D83" w:rsidRPr="0003493C">
        <w:rPr>
          <w:rFonts w:ascii="Palatino Linotype" w:eastAsia="Palatino Linotype" w:hAnsi="Palatino Linotype" w:cs="Palatino Linotype"/>
          <w:b/>
        </w:rPr>
        <w:t>00023/INFOEM/IP/RR/2026</w:t>
      </w:r>
      <w:r w:rsidRPr="0003493C">
        <w:rPr>
          <w:rFonts w:ascii="Palatino Linotype" w:eastAsia="Palatino Linotype" w:hAnsi="Palatino Linotype" w:cs="Palatino Linotype"/>
          <w:b/>
        </w:rPr>
        <w:t>,</w:t>
      </w:r>
      <w:r w:rsidRPr="0003493C">
        <w:rPr>
          <w:rFonts w:ascii="Palatino Linotype" w:eastAsia="Palatino Linotype" w:hAnsi="Palatino Linotype" w:cs="Palatino Linotype"/>
        </w:rPr>
        <w:t xml:space="preserve"> presentado por </w:t>
      </w:r>
      <w:r w:rsidR="00C95F3E">
        <w:rPr>
          <w:rFonts w:ascii="Palatino Linotype" w:eastAsia="Palatino Linotype" w:hAnsi="Palatino Linotype" w:cs="Palatino Linotype"/>
          <w:b/>
        </w:rPr>
        <w:t>XXXX</w:t>
      </w:r>
      <w:r w:rsidRPr="0003493C">
        <w:rPr>
          <w:rFonts w:ascii="Palatino Linotype" w:eastAsia="Palatino Linotype" w:hAnsi="Palatino Linotype" w:cs="Palatino Linotype"/>
          <w:b/>
        </w:rPr>
        <w:t>,</w:t>
      </w:r>
      <w:r w:rsidRPr="0003493C">
        <w:rPr>
          <w:rFonts w:ascii="Palatino Linotype" w:eastAsia="Palatino Linotype" w:hAnsi="Palatino Linotype" w:cs="Palatino Linotype"/>
        </w:rPr>
        <w:t xml:space="preserve"> a quie</w:t>
      </w:r>
      <w:r w:rsidR="0064652D" w:rsidRPr="0003493C">
        <w:rPr>
          <w:rFonts w:ascii="Palatino Linotype" w:eastAsia="Palatino Linotype" w:hAnsi="Palatino Linotype" w:cs="Palatino Linotype"/>
        </w:rPr>
        <w:t xml:space="preserve">n en lo sucesivo se denominará </w:t>
      </w:r>
      <w:r w:rsidR="005D2D83" w:rsidRPr="0003493C">
        <w:rPr>
          <w:rFonts w:ascii="Palatino Linotype" w:eastAsia="Palatino Linotype" w:hAnsi="Palatino Linotype" w:cs="Palatino Linotype"/>
          <w:b/>
        </w:rPr>
        <w:t>LA RECURRENTE</w:t>
      </w:r>
      <w:r w:rsidRPr="0003493C">
        <w:rPr>
          <w:rFonts w:ascii="Palatino Linotype" w:eastAsia="Palatino Linotype" w:hAnsi="Palatino Linotype" w:cs="Palatino Linotype"/>
        </w:rPr>
        <w:t xml:space="preserve">, en contra de la respuesta otorgada a la solicitud de información con número de folio </w:t>
      </w:r>
      <w:r w:rsidR="005D2D83" w:rsidRPr="0003493C">
        <w:rPr>
          <w:rFonts w:ascii="Palatino Linotype" w:eastAsia="Palatino Linotype" w:hAnsi="Palatino Linotype" w:cs="Palatino Linotype"/>
          <w:b/>
        </w:rPr>
        <w:t>01605/TEPOTZOT/IP/2025</w:t>
      </w:r>
      <w:r w:rsidRPr="0003493C">
        <w:rPr>
          <w:rFonts w:ascii="Palatino Linotype" w:eastAsia="Palatino Linotype" w:hAnsi="Palatino Linotype" w:cs="Palatino Linotype"/>
        </w:rPr>
        <w:t>, por parte de</w:t>
      </w:r>
      <w:r w:rsidR="004B5F96" w:rsidRPr="0003493C">
        <w:rPr>
          <w:rFonts w:ascii="Palatino Linotype" w:eastAsia="Palatino Linotype" w:hAnsi="Palatino Linotype" w:cs="Palatino Linotype"/>
        </w:rPr>
        <w:t xml:space="preserve"> </w:t>
      </w:r>
      <w:r w:rsidRPr="0003493C">
        <w:rPr>
          <w:rFonts w:ascii="Palatino Linotype" w:eastAsia="Palatino Linotype" w:hAnsi="Palatino Linotype" w:cs="Palatino Linotype"/>
        </w:rPr>
        <w:t>l</w:t>
      </w:r>
      <w:r w:rsidR="004B5F96" w:rsidRPr="0003493C">
        <w:rPr>
          <w:rFonts w:ascii="Palatino Linotype" w:eastAsia="Palatino Linotype" w:hAnsi="Palatino Linotype" w:cs="Palatino Linotype"/>
        </w:rPr>
        <w:t>a</w:t>
      </w:r>
      <w:r w:rsidRPr="0003493C">
        <w:rPr>
          <w:rFonts w:ascii="Palatino Linotype" w:eastAsia="Palatino Linotype" w:hAnsi="Palatino Linotype" w:cs="Palatino Linotype"/>
        </w:rPr>
        <w:t xml:space="preserve"> </w:t>
      </w:r>
      <w:r w:rsidR="004960FF" w:rsidRPr="0003493C">
        <w:rPr>
          <w:rFonts w:ascii="Palatino Linotype" w:eastAsia="Palatino Linotype" w:hAnsi="Palatino Linotype" w:cs="Palatino Linotype"/>
          <w:b/>
        </w:rPr>
        <w:t>Ayuntamiento de Tepotzotlán</w:t>
      </w:r>
      <w:r w:rsidRPr="0003493C">
        <w:rPr>
          <w:rFonts w:ascii="Palatino Linotype" w:eastAsia="Palatino Linotype" w:hAnsi="Palatino Linotype" w:cs="Palatino Linotype"/>
          <w:b/>
        </w:rPr>
        <w:t xml:space="preserve">, </w:t>
      </w:r>
      <w:r w:rsidRPr="0003493C">
        <w:rPr>
          <w:rFonts w:ascii="Palatino Linotype" w:eastAsia="Palatino Linotype" w:hAnsi="Palatino Linotype" w:cs="Palatino Linotype"/>
        </w:rPr>
        <w:t xml:space="preserve">en adelante </w:t>
      </w:r>
      <w:r w:rsidRPr="0003493C">
        <w:rPr>
          <w:rFonts w:ascii="Palatino Linotype" w:eastAsia="Palatino Linotype" w:hAnsi="Palatino Linotype" w:cs="Palatino Linotype"/>
          <w:b/>
        </w:rPr>
        <w:t>EL SUJETO OBLIGADO,</w:t>
      </w:r>
      <w:r w:rsidRPr="0003493C">
        <w:rPr>
          <w:rFonts w:ascii="Palatino Linotype" w:eastAsia="Palatino Linotype" w:hAnsi="Palatino Linotype" w:cs="Palatino Linotype"/>
        </w:rPr>
        <w:t xml:space="preserve"> se emite la presente </w:t>
      </w:r>
      <w:r w:rsidR="0081462E" w:rsidRPr="0003493C">
        <w:rPr>
          <w:rFonts w:ascii="Palatino Linotype" w:eastAsia="Palatino Linotype" w:hAnsi="Palatino Linotype" w:cs="Palatino Linotype"/>
        </w:rPr>
        <w:t>R</w:t>
      </w:r>
      <w:r w:rsidRPr="0003493C">
        <w:rPr>
          <w:rFonts w:ascii="Palatino Linotype" w:eastAsia="Palatino Linotype" w:hAnsi="Palatino Linotype" w:cs="Palatino Linotype"/>
        </w:rPr>
        <w:t>esolución con base en los siguientes:</w:t>
      </w:r>
    </w:p>
    <w:p w14:paraId="7EF6F940" w14:textId="77777777" w:rsidR="00C95F3E" w:rsidRPr="0003493C" w:rsidRDefault="00C95F3E" w:rsidP="0003493C">
      <w:pPr>
        <w:spacing w:line="360" w:lineRule="auto"/>
        <w:ind w:right="49"/>
        <w:jc w:val="both"/>
        <w:rPr>
          <w:rFonts w:ascii="Palatino Linotype" w:eastAsia="Palatino Linotype" w:hAnsi="Palatino Linotype" w:cs="Palatino Linotype"/>
        </w:rPr>
      </w:pPr>
    </w:p>
    <w:p w14:paraId="74BB94EF" w14:textId="77777777" w:rsidR="00B84DF1" w:rsidRPr="0003493C" w:rsidRDefault="009D3673" w:rsidP="0003493C">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03493C">
        <w:rPr>
          <w:rFonts w:ascii="Palatino Linotype" w:eastAsia="Palatino Linotype" w:hAnsi="Palatino Linotype" w:cs="Palatino Linotype"/>
          <w:b/>
          <w:color w:val="000000"/>
          <w:sz w:val="24"/>
          <w:szCs w:val="24"/>
        </w:rPr>
        <w:t>A N T E C E D E N T E S</w:t>
      </w:r>
    </w:p>
    <w:p w14:paraId="74BB94F0" w14:textId="77777777" w:rsidR="00B84DF1" w:rsidRPr="0003493C" w:rsidRDefault="00B84DF1" w:rsidP="000349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14:paraId="74BB94F1" w14:textId="7D5B9C35" w:rsidR="00B84DF1" w:rsidRPr="0003493C" w:rsidRDefault="009D3673" w:rsidP="0003493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03493C">
        <w:rPr>
          <w:rFonts w:ascii="Palatino Linotype" w:eastAsia="Palatino Linotype" w:hAnsi="Palatino Linotype" w:cs="Palatino Linotype"/>
          <w:color w:val="000000"/>
        </w:rPr>
        <w:t>El día</w:t>
      </w:r>
      <w:r w:rsidRPr="0003493C">
        <w:rPr>
          <w:rFonts w:ascii="Palatino Linotype" w:eastAsia="Palatino Linotype" w:hAnsi="Palatino Linotype" w:cs="Palatino Linotype"/>
          <w:b/>
          <w:color w:val="000000"/>
        </w:rPr>
        <w:t xml:space="preserve"> </w:t>
      </w:r>
      <w:r w:rsidR="005D2D83" w:rsidRPr="0003493C">
        <w:rPr>
          <w:rFonts w:ascii="Palatino Linotype" w:eastAsia="Palatino Linotype" w:hAnsi="Palatino Linotype" w:cs="Palatino Linotype"/>
          <w:b/>
          <w:color w:val="000000"/>
        </w:rPr>
        <w:t>uno de diciembre</w:t>
      </w:r>
      <w:r w:rsidRPr="0003493C">
        <w:rPr>
          <w:rFonts w:ascii="Palatino Linotype" w:eastAsia="Palatino Linotype" w:hAnsi="Palatino Linotype" w:cs="Palatino Linotype"/>
          <w:b/>
          <w:color w:val="000000"/>
        </w:rPr>
        <w:t xml:space="preserve"> dos mil veintic</w:t>
      </w:r>
      <w:r w:rsidR="00AC01CA" w:rsidRPr="0003493C">
        <w:rPr>
          <w:rFonts w:ascii="Palatino Linotype" w:eastAsia="Palatino Linotype" w:hAnsi="Palatino Linotype" w:cs="Palatino Linotype"/>
          <w:b/>
          <w:color w:val="000000"/>
        </w:rPr>
        <w:t>inco</w:t>
      </w:r>
      <w:r w:rsidRPr="0003493C">
        <w:rPr>
          <w:rFonts w:ascii="Palatino Linotype" w:eastAsia="Palatino Linotype" w:hAnsi="Palatino Linotype" w:cs="Palatino Linotype"/>
          <w:color w:val="000000"/>
        </w:rPr>
        <w:t>,</w:t>
      </w:r>
      <w:r w:rsidRPr="0003493C">
        <w:rPr>
          <w:rFonts w:ascii="Palatino Linotype" w:eastAsia="Palatino Linotype" w:hAnsi="Palatino Linotype" w:cs="Palatino Linotype"/>
          <w:b/>
          <w:color w:val="000000"/>
        </w:rPr>
        <w:t xml:space="preserve"> </w:t>
      </w:r>
      <w:r w:rsidRPr="0003493C">
        <w:rPr>
          <w:rFonts w:ascii="Palatino Linotype" w:eastAsia="Palatino Linotype" w:hAnsi="Palatino Linotype" w:cs="Palatino Linotype"/>
          <w:color w:val="000000"/>
        </w:rPr>
        <w:t xml:space="preserve">se presentó ante el </w:t>
      </w:r>
      <w:r w:rsidR="007473DC" w:rsidRPr="0003493C">
        <w:rPr>
          <w:rFonts w:ascii="Palatino Linotype" w:eastAsia="Palatino Linotype" w:hAnsi="Palatino Linotype" w:cs="Palatino Linotype"/>
          <w:b/>
          <w:color w:val="000000"/>
        </w:rPr>
        <w:t>SUJETO OBLIGADO</w:t>
      </w:r>
      <w:r w:rsidR="007473DC" w:rsidRPr="0003493C">
        <w:rPr>
          <w:rFonts w:ascii="Palatino Linotype" w:eastAsia="Palatino Linotype" w:hAnsi="Palatino Linotype" w:cs="Palatino Linotype"/>
          <w:color w:val="000000"/>
        </w:rPr>
        <w:t xml:space="preserve"> </w:t>
      </w:r>
      <w:r w:rsidRPr="0003493C">
        <w:rPr>
          <w:rFonts w:ascii="Palatino Linotype" w:eastAsia="Palatino Linotype" w:hAnsi="Palatino Linotype" w:cs="Palatino Linotype"/>
          <w:color w:val="000000"/>
        </w:rPr>
        <w:t>vía Sistema de Acceso a la Información Mexiquense, en adelante (SAIMEX), la siguiente solicitud de información pública:</w:t>
      </w:r>
    </w:p>
    <w:p w14:paraId="74BB94F2" w14:textId="77777777" w:rsidR="00B84DF1" w:rsidRPr="0003493C" w:rsidRDefault="00B84DF1" w:rsidP="000349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4F3" w14:textId="3C258127" w:rsidR="00B84DF1" w:rsidRPr="0003493C" w:rsidRDefault="009D3673" w:rsidP="0003493C">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03493C">
        <w:rPr>
          <w:rFonts w:ascii="Palatino Linotype" w:eastAsia="Palatino Linotype" w:hAnsi="Palatino Linotype" w:cs="Palatino Linotype"/>
          <w:i/>
          <w:color w:val="000000"/>
        </w:rPr>
        <w:t>“</w:t>
      </w:r>
      <w:r w:rsidR="005D2D83" w:rsidRPr="0003493C">
        <w:rPr>
          <w:rFonts w:ascii="Palatino Linotype" w:eastAsia="Palatino Linotype" w:hAnsi="Palatino Linotype" w:cs="Palatino Linotype"/>
          <w:i/>
          <w:color w:val="000000"/>
        </w:rPr>
        <w:t>Solicito, con fundamento en los artículos 95 y 96 de la LTAIPEMyM y 32 de la LRAEMyM, versión pública de las declaraciones patrimoniales, fiscales y de intereses de los servidores públicos obligados.</w:t>
      </w:r>
      <w:r w:rsidRPr="0003493C">
        <w:rPr>
          <w:rFonts w:ascii="Palatino Linotype" w:eastAsia="Palatino Linotype" w:hAnsi="Palatino Linotype" w:cs="Palatino Linotype"/>
          <w:i/>
          <w:color w:val="000000"/>
        </w:rPr>
        <w:t>”</w:t>
      </w:r>
    </w:p>
    <w:p w14:paraId="74BB94F4" w14:textId="77777777" w:rsidR="00B84DF1" w:rsidRPr="0003493C" w:rsidRDefault="00B84DF1" w:rsidP="0003493C">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14:paraId="74BB94F5" w14:textId="77777777" w:rsidR="00B84DF1" w:rsidRPr="008D5974" w:rsidRDefault="009D3673" w:rsidP="008D5974">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03493C">
        <w:rPr>
          <w:rFonts w:ascii="Palatino Linotype" w:eastAsia="Palatino Linotype" w:hAnsi="Palatino Linotype" w:cs="Palatino Linotype"/>
          <w:color w:val="000000"/>
        </w:rPr>
        <w:t xml:space="preserve">Se eligió como modalidad de entrega de la información: </w:t>
      </w:r>
      <w:r w:rsidR="00CB1566" w:rsidRPr="0003493C">
        <w:rPr>
          <w:rFonts w:ascii="Palatino Linotype" w:eastAsia="Palatino Linotype" w:hAnsi="Palatino Linotype" w:cs="Palatino Linotype"/>
          <w:b/>
          <w:color w:val="000000"/>
        </w:rPr>
        <w:t>a través de SAIMEX</w:t>
      </w:r>
    </w:p>
    <w:p w14:paraId="09285E43" w14:textId="77777777" w:rsidR="008D5974" w:rsidRPr="0003493C" w:rsidRDefault="008D5974" w:rsidP="008D5974">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74BB94F7" w14:textId="0FE0A8A2" w:rsidR="0064652D" w:rsidRPr="0003493C" w:rsidRDefault="00301CFC" w:rsidP="0003493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03493C">
        <w:rPr>
          <w:rFonts w:ascii="Palatino Linotype" w:eastAsia="Palatino Linotype" w:hAnsi="Palatino Linotype" w:cs="Palatino Linotype"/>
        </w:rPr>
        <w:t xml:space="preserve">El </w:t>
      </w:r>
      <w:r w:rsidR="005D2D83" w:rsidRPr="0003493C">
        <w:rPr>
          <w:rFonts w:ascii="Palatino Linotype" w:eastAsia="Palatino Linotype" w:hAnsi="Palatino Linotype" w:cs="Palatino Linotype"/>
          <w:b/>
        </w:rPr>
        <w:t>veintiséis de diciembre</w:t>
      </w:r>
      <w:r w:rsidRPr="0003493C">
        <w:rPr>
          <w:rFonts w:ascii="Palatino Linotype" w:eastAsia="Palatino Linotype" w:hAnsi="Palatino Linotype" w:cs="Palatino Linotype"/>
          <w:b/>
        </w:rPr>
        <w:t xml:space="preserve"> de dos mil veinticinco </w:t>
      </w:r>
      <w:r w:rsidRPr="0003493C">
        <w:rPr>
          <w:rFonts w:ascii="Palatino Linotype" w:eastAsia="Palatino Linotype" w:hAnsi="Palatino Linotype" w:cs="Palatino Linotype"/>
        </w:rPr>
        <w:t xml:space="preserve">el </w:t>
      </w:r>
      <w:r w:rsidRPr="0003493C">
        <w:rPr>
          <w:rFonts w:ascii="Palatino Linotype" w:eastAsia="Palatino Linotype" w:hAnsi="Palatino Linotype" w:cs="Palatino Linotype"/>
          <w:b/>
        </w:rPr>
        <w:t>SUJETO OBLIGADO</w:t>
      </w:r>
      <w:r w:rsidRPr="0003493C">
        <w:rPr>
          <w:rFonts w:ascii="Palatino Linotype" w:eastAsia="Palatino Linotype" w:hAnsi="Palatino Linotype" w:cs="Palatino Linotype"/>
        </w:rPr>
        <w:t xml:space="preserve"> </w:t>
      </w:r>
      <w:r w:rsidR="00CB1566" w:rsidRPr="0003493C">
        <w:rPr>
          <w:rFonts w:ascii="Palatino Linotype" w:eastAsia="Palatino Linotype" w:hAnsi="Palatino Linotype" w:cs="Palatino Linotype"/>
        </w:rPr>
        <w:t>envió su respuesta a</w:t>
      </w:r>
      <w:r w:rsidR="008D12AF" w:rsidRPr="0003493C">
        <w:rPr>
          <w:rFonts w:ascii="Palatino Linotype" w:eastAsia="Palatino Linotype" w:hAnsi="Palatino Linotype" w:cs="Palatino Linotype"/>
        </w:rPr>
        <w:t xml:space="preserve"> través de</w:t>
      </w:r>
      <w:r w:rsidRPr="0003493C">
        <w:rPr>
          <w:rFonts w:ascii="Palatino Linotype" w:eastAsia="Palatino Linotype" w:hAnsi="Palatino Linotype" w:cs="Palatino Linotype"/>
        </w:rPr>
        <w:t>l</w:t>
      </w:r>
      <w:r w:rsidR="008D12AF" w:rsidRPr="0003493C">
        <w:rPr>
          <w:rFonts w:ascii="Palatino Linotype" w:eastAsia="Palatino Linotype" w:hAnsi="Palatino Linotype" w:cs="Palatino Linotype"/>
        </w:rPr>
        <w:t xml:space="preserve"> </w:t>
      </w:r>
      <w:r w:rsidRPr="0003493C">
        <w:rPr>
          <w:rFonts w:ascii="Palatino Linotype" w:eastAsia="Palatino Linotype" w:hAnsi="Palatino Linotype" w:cs="Palatino Linotype"/>
        </w:rPr>
        <w:t>archivo denominado</w:t>
      </w:r>
      <w:r w:rsidR="00CB1566" w:rsidRPr="0003493C">
        <w:rPr>
          <w:rFonts w:ascii="Palatino Linotype" w:eastAsia="Palatino Linotype" w:hAnsi="Palatino Linotype" w:cs="Palatino Linotype"/>
        </w:rPr>
        <w:t xml:space="preserve"> </w:t>
      </w:r>
      <w:r w:rsidR="005D2D83" w:rsidRPr="0003493C">
        <w:rPr>
          <w:rFonts w:ascii="Palatino Linotype" w:eastAsia="Palatino Linotype" w:hAnsi="Palatino Linotype" w:cs="Palatino Linotype"/>
          <w:b/>
          <w:i/>
        </w:rPr>
        <w:t>HAT-UTAIP-2025-1216 incompetencia.pdf</w:t>
      </w:r>
      <w:r w:rsidR="00DA228F" w:rsidRPr="0003493C">
        <w:rPr>
          <w:rFonts w:ascii="Palatino Linotype" w:eastAsia="Palatino Linotype" w:hAnsi="Palatino Linotype" w:cs="Palatino Linotype"/>
          <w:b/>
          <w:i/>
        </w:rPr>
        <w:t>,</w:t>
      </w:r>
      <w:r w:rsidR="00C9308C" w:rsidRPr="0003493C">
        <w:rPr>
          <w:rFonts w:ascii="Palatino Linotype" w:eastAsia="Palatino Linotype" w:hAnsi="Palatino Linotype" w:cs="Palatino Linotype"/>
          <w:b/>
          <w:i/>
        </w:rPr>
        <w:t xml:space="preserve"> </w:t>
      </w:r>
      <w:r w:rsidR="005D2D83" w:rsidRPr="0003493C">
        <w:rPr>
          <w:rFonts w:ascii="Palatino Linotype" w:eastAsia="Palatino Linotype" w:hAnsi="Palatino Linotype" w:cs="Palatino Linotype"/>
        </w:rPr>
        <w:t xml:space="preserve">que </w:t>
      </w:r>
      <w:r w:rsidR="005D2D83" w:rsidRPr="0003493C">
        <w:rPr>
          <w:rFonts w:ascii="Palatino Linotype" w:eastAsia="Palatino Linotype" w:hAnsi="Palatino Linotype" w:cs="Palatino Linotype"/>
        </w:rPr>
        <w:lastRenderedPageBreak/>
        <w:t>corresponde a un oficio signado por la Titular de la Unidad de Transparencia y Acceso a la Información Pública, por medio del cual informa de la incompetencia del Ayuntamiento de Tepotzotlán para dar atención a la solicitud de información</w:t>
      </w:r>
      <w:r w:rsidR="009C691F" w:rsidRPr="0003493C">
        <w:rPr>
          <w:rFonts w:ascii="Palatino Linotype" w:eastAsia="Palatino Linotype" w:hAnsi="Palatino Linotype" w:cs="Palatino Linotype"/>
        </w:rPr>
        <w:t>;</w:t>
      </w:r>
      <w:r w:rsidR="005D2D83" w:rsidRPr="0003493C">
        <w:rPr>
          <w:rFonts w:ascii="Palatino Linotype" w:eastAsia="Palatino Linotype" w:hAnsi="Palatino Linotype" w:cs="Palatino Linotype"/>
        </w:rPr>
        <w:t xml:space="preserve"> al tiempo que orienta a la solicitante a dirigir su solicitud de información al Sujeto Obligado Secretaria de la Contraloría.</w:t>
      </w:r>
    </w:p>
    <w:p w14:paraId="74BB94F8" w14:textId="77777777" w:rsidR="005259D7" w:rsidRPr="0003493C" w:rsidRDefault="005259D7" w:rsidP="0003493C">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b/>
        </w:rPr>
      </w:pPr>
    </w:p>
    <w:p w14:paraId="74BB94F9" w14:textId="320D1168" w:rsidR="00CB1566" w:rsidRPr="0003493C" w:rsidRDefault="009D3673" w:rsidP="0003493C">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color w:val="000000"/>
        </w:rPr>
        <w:t>El</w:t>
      </w:r>
      <w:r w:rsidRPr="0003493C">
        <w:rPr>
          <w:rFonts w:ascii="Palatino Linotype" w:eastAsia="Palatino Linotype" w:hAnsi="Palatino Linotype" w:cs="Palatino Linotype"/>
          <w:b/>
          <w:color w:val="000000"/>
        </w:rPr>
        <w:t xml:space="preserve"> </w:t>
      </w:r>
      <w:r w:rsidR="009C691F" w:rsidRPr="0003493C">
        <w:rPr>
          <w:rFonts w:ascii="Palatino Linotype" w:eastAsia="Palatino Linotype" w:hAnsi="Palatino Linotype" w:cs="Palatino Linotype"/>
          <w:b/>
        </w:rPr>
        <w:t>doce de enero</w:t>
      </w:r>
      <w:r w:rsidR="00AF7D54" w:rsidRPr="0003493C">
        <w:rPr>
          <w:rFonts w:ascii="Palatino Linotype" w:eastAsia="Palatino Linotype" w:hAnsi="Palatino Linotype" w:cs="Palatino Linotype"/>
          <w:b/>
        </w:rPr>
        <w:t xml:space="preserve"> </w:t>
      </w:r>
      <w:r w:rsidR="00CB1566" w:rsidRPr="0003493C">
        <w:rPr>
          <w:rFonts w:ascii="Palatino Linotype" w:eastAsia="Palatino Linotype" w:hAnsi="Palatino Linotype" w:cs="Palatino Linotype"/>
          <w:b/>
        </w:rPr>
        <w:t xml:space="preserve">de dos mil </w:t>
      </w:r>
      <w:r w:rsidR="009C691F" w:rsidRPr="0003493C">
        <w:rPr>
          <w:rFonts w:ascii="Palatino Linotype" w:eastAsia="Palatino Linotype" w:hAnsi="Palatino Linotype" w:cs="Palatino Linotype"/>
          <w:b/>
        </w:rPr>
        <w:t>veintiséis</w:t>
      </w:r>
      <w:r w:rsidR="00CB1566" w:rsidRPr="0003493C">
        <w:rPr>
          <w:rFonts w:ascii="Palatino Linotype" w:eastAsia="Palatino Linotype" w:hAnsi="Palatino Linotype" w:cs="Palatino Linotype"/>
          <w:b/>
        </w:rPr>
        <w:t xml:space="preserve">, </w:t>
      </w:r>
      <w:r w:rsidR="00CB1566" w:rsidRPr="0003493C">
        <w:rPr>
          <w:rFonts w:ascii="Palatino Linotype" w:eastAsia="Palatino Linotype" w:hAnsi="Palatino Linotype" w:cs="Palatino Linotype"/>
        </w:rPr>
        <w:t xml:space="preserve">la parte </w:t>
      </w:r>
      <w:r w:rsidR="00CB1566" w:rsidRPr="0003493C">
        <w:rPr>
          <w:rFonts w:ascii="Palatino Linotype" w:eastAsia="Palatino Linotype" w:hAnsi="Palatino Linotype" w:cs="Palatino Linotype"/>
          <w:b/>
        </w:rPr>
        <w:t>Recurrente</w:t>
      </w:r>
      <w:r w:rsidR="00CB1566" w:rsidRPr="0003493C">
        <w:rPr>
          <w:rFonts w:ascii="Palatino Linotype" w:eastAsia="Palatino Linotype" w:hAnsi="Palatino Linotype" w:cs="Palatino Linotype"/>
        </w:rPr>
        <w:t xml:space="preserve"> interpuso el recurso de revisión a través de </w:t>
      </w:r>
      <w:r w:rsidR="00CB1566" w:rsidRPr="0003493C">
        <w:rPr>
          <w:rFonts w:ascii="Palatino Linotype" w:eastAsia="Palatino Linotype" w:hAnsi="Palatino Linotype" w:cs="Palatino Linotype"/>
          <w:b/>
        </w:rPr>
        <w:t xml:space="preserve">SAIMEX, </w:t>
      </w:r>
      <w:r w:rsidR="00CB1566" w:rsidRPr="0003493C">
        <w:rPr>
          <w:rFonts w:ascii="Palatino Linotype" w:eastAsia="Palatino Linotype" w:hAnsi="Palatino Linotype" w:cs="Palatino Linotype"/>
        </w:rPr>
        <w:t>en donde se manifestó de la siguiente manera:</w:t>
      </w:r>
    </w:p>
    <w:p w14:paraId="74BB94FA" w14:textId="77777777" w:rsidR="00CB1566" w:rsidRPr="0003493C" w:rsidRDefault="00CB1566" w:rsidP="0003493C">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14:paraId="74BB94FB" w14:textId="77777777" w:rsidR="00CB1566" w:rsidRPr="0003493C" w:rsidRDefault="00CB1566" w:rsidP="0003493C">
      <w:pPr>
        <w:tabs>
          <w:tab w:val="left" w:pos="2745"/>
        </w:tabs>
        <w:spacing w:line="360" w:lineRule="auto"/>
        <w:ind w:left="709" w:right="616"/>
        <w:jc w:val="both"/>
        <w:rPr>
          <w:rFonts w:ascii="Palatino Linotype" w:eastAsia="Palatino Linotype" w:hAnsi="Palatino Linotype" w:cs="Palatino Linotype"/>
          <w:b/>
        </w:rPr>
      </w:pPr>
      <w:r w:rsidRPr="0003493C">
        <w:rPr>
          <w:rFonts w:ascii="Palatino Linotype" w:eastAsia="Palatino Linotype" w:hAnsi="Palatino Linotype" w:cs="Palatino Linotype"/>
          <w:b/>
        </w:rPr>
        <w:t xml:space="preserve">Acto impugnado: </w:t>
      </w:r>
    </w:p>
    <w:p w14:paraId="74BB94FC" w14:textId="16DCD213" w:rsidR="00CB1566" w:rsidRPr="0003493C" w:rsidRDefault="00CB1566" w:rsidP="0003493C">
      <w:pPr>
        <w:tabs>
          <w:tab w:val="left" w:pos="2745"/>
        </w:tabs>
        <w:spacing w:line="360" w:lineRule="auto"/>
        <w:ind w:left="709" w:right="616"/>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009C691F" w:rsidRPr="0003493C">
        <w:rPr>
          <w:rFonts w:ascii="Palatino Linotype" w:eastAsia="Palatino Linotype" w:hAnsi="Palatino Linotype" w:cs="Palatino Linotype"/>
          <w:i/>
        </w:rPr>
        <w:t>Solicito, con fundamento en los artículos 95 y 96 de la LTAIPEMyM y 32 de la LRAEMyM, versión pública de las declaraciones patrimoniales, fiscales y de intereses de los servidores públicos obligados.</w:t>
      </w:r>
      <w:r w:rsidR="009F6E27" w:rsidRPr="0003493C">
        <w:rPr>
          <w:rFonts w:ascii="Palatino Linotype" w:eastAsia="Palatino Linotype" w:hAnsi="Palatino Linotype" w:cs="Palatino Linotype"/>
          <w:i/>
        </w:rPr>
        <w:t>”</w:t>
      </w:r>
    </w:p>
    <w:p w14:paraId="74BB94FD" w14:textId="77777777" w:rsidR="00CB1566" w:rsidRPr="0003493C" w:rsidRDefault="00CB1566" w:rsidP="0003493C">
      <w:pPr>
        <w:tabs>
          <w:tab w:val="left" w:pos="2745"/>
        </w:tabs>
        <w:spacing w:line="360" w:lineRule="auto"/>
        <w:ind w:left="709" w:right="616"/>
        <w:jc w:val="both"/>
        <w:rPr>
          <w:rFonts w:ascii="Palatino Linotype" w:eastAsia="Palatino Linotype" w:hAnsi="Palatino Linotype" w:cs="Palatino Linotype"/>
          <w:i/>
        </w:rPr>
      </w:pPr>
    </w:p>
    <w:p w14:paraId="74BB94FE" w14:textId="77777777" w:rsidR="00CB1566" w:rsidRPr="0003493C" w:rsidRDefault="00CB1566" w:rsidP="0003493C">
      <w:pPr>
        <w:spacing w:line="360" w:lineRule="auto"/>
        <w:ind w:left="709" w:right="616"/>
        <w:jc w:val="both"/>
        <w:rPr>
          <w:rFonts w:ascii="Palatino Linotype" w:eastAsia="Palatino Linotype" w:hAnsi="Palatino Linotype" w:cs="Palatino Linotype"/>
        </w:rPr>
      </w:pPr>
      <w:bookmarkStart w:id="1" w:name="_heading=h.30j0zll" w:colFirst="0" w:colLast="0"/>
      <w:bookmarkEnd w:id="1"/>
      <w:r w:rsidRPr="0003493C">
        <w:rPr>
          <w:rFonts w:ascii="Palatino Linotype" w:eastAsia="Palatino Linotype" w:hAnsi="Palatino Linotype" w:cs="Palatino Linotype"/>
          <w:b/>
        </w:rPr>
        <w:t>Razones o motivos de inconformidad</w:t>
      </w:r>
      <w:r w:rsidRPr="0003493C">
        <w:rPr>
          <w:rFonts w:ascii="Palatino Linotype" w:eastAsia="Palatino Linotype" w:hAnsi="Palatino Linotype" w:cs="Palatino Linotype"/>
        </w:rPr>
        <w:t>:</w:t>
      </w:r>
    </w:p>
    <w:p w14:paraId="74BB94FF" w14:textId="44D2B84A" w:rsidR="00CB1566" w:rsidRPr="0003493C" w:rsidRDefault="00DF190E" w:rsidP="0003493C">
      <w:pPr>
        <w:tabs>
          <w:tab w:val="left" w:pos="2745"/>
        </w:tabs>
        <w:spacing w:line="360" w:lineRule="auto"/>
        <w:ind w:left="709" w:right="616"/>
        <w:jc w:val="both"/>
        <w:rPr>
          <w:rFonts w:ascii="Palatino Linotype" w:eastAsia="Palatino Linotype" w:hAnsi="Palatino Linotype" w:cs="Palatino Linotype"/>
          <w:b/>
          <w:i/>
        </w:rPr>
      </w:pPr>
      <w:r w:rsidRPr="0003493C">
        <w:rPr>
          <w:rFonts w:ascii="Palatino Linotype" w:eastAsia="Palatino Linotype" w:hAnsi="Palatino Linotype" w:cs="Palatino Linotype"/>
          <w:i/>
        </w:rPr>
        <w:t>“</w:t>
      </w:r>
      <w:r w:rsidR="009C691F" w:rsidRPr="0003493C">
        <w:rPr>
          <w:rFonts w:ascii="Palatino Linotype" w:eastAsia="Palatino Linotype" w:hAnsi="Palatino Linotype" w:cs="Palatino Linotype"/>
          <w:i/>
        </w:rPr>
        <w:t xml:space="preserve">AGRAVIOS El H. Ayuntamiento de Tepotzotlán vulnera mi derecho humano de acceso a la información pública al emitir una declaratoria de incompetencia infundada, restrictiva y contraria al principio de máxima publicidad, respecto de la solicitud de versiones públicas de las declaraciones patrimoniales, fiscales y de intereses de los servidores públicos obligados. PRIMER AGRAVIO Competencia directa del Ayuntamiento como sujeto obligado El Ayuntamiento de Tepotzotlán sí es sujeto obligado directo respecto de las declaraciones patrimoniales, fiscales y de intereses de sus propios servidores públicos, en términos de los artículos 95 y 96 de la Ley de Transparencia y Acceso a la Información Pública del Estado de México y Municipios, </w:t>
      </w:r>
      <w:r w:rsidR="009C691F" w:rsidRPr="0003493C">
        <w:rPr>
          <w:rFonts w:ascii="Palatino Linotype" w:eastAsia="Palatino Linotype" w:hAnsi="Palatino Linotype" w:cs="Palatino Linotype"/>
          <w:i/>
        </w:rPr>
        <w:lastRenderedPageBreak/>
        <w:t xml:space="preserve">así como de la Ley de Responsabilidades Administrativas del Estado de México y Municipios. La simple existencia de un sistema estatal de administración de dichas declaraciones no extingue ni traslada la competencia del Ayuntamiento para proporcionar las versiones públicas que obran en su poder o que está obligado a generar. SEGUNDO AGRAVIO Obligación de generar versiones públicas Las declaraciones patrimoniales, fiscales y de intereses constituyen obligaciones de transparencia, y la autoridad municipal está legalmente obligada a generar y proporcionar versiones públicas, protegiendo únicamente los datos personales estrictamente confidenciales. Declararse incompetente para entregar versiones públicas de información que por ley debe resguardar, administrar o reportar constituye una evasión directa de sus obligaciones de transparencia. TERCER AGRAVIO Interpretación incorrecta del padrón de sujetos obligados El Ayuntamiento pretende trasladar la responsabilidad a la Secretaría de la Contraloría del Poder Ejecutivo Estatal, confundiendo la plataforma de concentración de información con la competencia material del sujeto obligado. La centralización administrativa no exime al Ayuntamiento de su deber de transparencia, ni lo releva de atender solicitudes de acceso a la información relacionadas con sus propios servidores públicos. CUARTO AGRAVIO Violación al principio de máxima publicidad y rendición de cuentas La respuesta impugnada: Obstaculiza el acceso a información clave para la rendición de cuentas, Limita indebidamente el derecho del solicitante, Genera opacidad en materia de responsabilidades administrativas, Contraviene el principio de máxima publicidad previsto en el artículo 6º constitucional. Las declaraciones patrimoniales y de intereses son instrumentos esenciales para la prevención de conflictos de interés y la fiscalización social, por lo que su acceso no puede ser negado mediante criterios formales de incompetencia. PETICIÓN Por lo expuesto, </w:t>
      </w:r>
      <w:r w:rsidR="009C691F" w:rsidRPr="0003493C">
        <w:rPr>
          <w:rFonts w:ascii="Palatino Linotype" w:eastAsia="Palatino Linotype" w:hAnsi="Palatino Linotype" w:cs="Palatino Linotype"/>
          <w:i/>
        </w:rPr>
        <w:lastRenderedPageBreak/>
        <w:t>solicito a este H. Instituto: Se revoque la declaratoria de incompetencia emitida por el H. Ayuntamiento de Tepotzotlán. Se ordene al sujeto obligado emitir una nueva respuesta, proporcionando las versiones públicas de las declaraciones patrimoniales, fiscales y de intereses de los servidores públicos obligados, o bien, fundando y motivando de manera exhaustiva cualquier limitación conforme a la ley. En su caso, se instruya la correcta generación de versiones públicas, sin trasladar la carga al solicitante.</w:t>
      </w:r>
      <w:r w:rsidR="009F6E27" w:rsidRPr="0003493C">
        <w:rPr>
          <w:rFonts w:ascii="Palatino Linotype" w:eastAsia="Palatino Linotype" w:hAnsi="Palatino Linotype" w:cs="Palatino Linotype"/>
          <w:i/>
        </w:rPr>
        <w:t>”</w:t>
      </w:r>
    </w:p>
    <w:p w14:paraId="74BB9500" w14:textId="77777777" w:rsidR="0055750D" w:rsidRPr="0003493C" w:rsidRDefault="0055750D" w:rsidP="0003493C">
      <w:pPr>
        <w:tabs>
          <w:tab w:val="left" w:pos="2745"/>
        </w:tabs>
        <w:spacing w:line="360" w:lineRule="auto"/>
        <w:ind w:left="709" w:right="616"/>
        <w:jc w:val="both"/>
        <w:rPr>
          <w:rFonts w:ascii="Palatino Linotype" w:eastAsia="Palatino Linotype" w:hAnsi="Palatino Linotype" w:cs="Palatino Linotype"/>
          <w:i/>
        </w:rPr>
      </w:pPr>
    </w:p>
    <w:p w14:paraId="74BB9501" w14:textId="70F742C0" w:rsidR="00B84DF1" w:rsidRPr="0003493C" w:rsidRDefault="00CB1566"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3493C">
        <w:rPr>
          <w:rFonts w:ascii="Palatino Linotype" w:eastAsia="Palatino Linotype" w:hAnsi="Palatino Linotype" w:cs="Palatino Linotype"/>
        </w:rPr>
        <w:t>Con fecha</w:t>
      </w:r>
      <w:r w:rsidRPr="0003493C">
        <w:rPr>
          <w:rFonts w:ascii="Palatino Linotype" w:eastAsia="Palatino Linotype" w:hAnsi="Palatino Linotype" w:cs="Palatino Linotype"/>
          <w:b/>
        </w:rPr>
        <w:t xml:space="preserve"> </w:t>
      </w:r>
      <w:r w:rsidR="009C691F" w:rsidRPr="0003493C">
        <w:rPr>
          <w:rFonts w:ascii="Palatino Linotype" w:eastAsia="Palatino Linotype" w:hAnsi="Palatino Linotype" w:cs="Palatino Linotype"/>
          <w:b/>
        </w:rPr>
        <w:t>doce de enero</w:t>
      </w:r>
      <w:r w:rsidR="0090156E" w:rsidRPr="0003493C">
        <w:rPr>
          <w:rFonts w:ascii="Palatino Linotype" w:eastAsia="Palatino Linotype" w:hAnsi="Palatino Linotype" w:cs="Palatino Linotype"/>
          <w:b/>
        </w:rPr>
        <w:t xml:space="preserve"> </w:t>
      </w:r>
      <w:r w:rsidR="009C691F" w:rsidRPr="0003493C">
        <w:rPr>
          <w:rFonts w:ascii="Palatino Linotype" w:eastAsia="Palatino Linotype" w:hAnsi="Palatino Linotype" w:cs="Palatino Linotype"/>
          <w:b/>
        </w:rPr>
        <w:t>dos mil veintiséis</w:t>
      </w:r>
      <w:r w:rsidRPr="0003493C">
        <w:rPr>
          <w:rFonts w:ascii="Palatino Linotype" w:eastAsia="Palatino Linotype" w:hAnsi="Palatino Linotype" w:cs="Palatino Linotype"/>
          <w:b/>
        </w:rPr>
        <w:t xml:space="preserve">, </w:t>
      </w:r>
      <w:r w:rsidRPr="0003493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27CBD" w:rsidRPr="0003493C">
        <w:rPr>
          <w:rFonts w:ascii="Palatino Linotype" w:eastAsia="Palatino Linotype" w:hAnsi="Palatino Linotype" w:cs="Palatino Linotype"/>
          <w:b/>
        </w:rPr>
        <w:t xml:space="preserve">SUJETO OBLIGADO </w:t>
      </w:r>
      <w:r w:rsidRPr="0003493C">
        <w:rPr>
          <w:rFonts w:ascii="Palatino Linotype" w:eastAsia="Palatino Linotype" w:hAnsi="Palatino Linotype" w:cs="Palatino Linotype"/>
        </w:rPr>
        <w:t>presentara su informe justificado.</w:t>
      </w:r>
    </w:p>
    <w:p w14:paraId="74BB9502" w14:textId="77777777" w:rsidR="00C273BD" w:rsidRPr="0003493C" w:rsidRDefault="00C273BD" w:rsidP="000349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3" w14:textId="7DC17DC8" w:rsidR="00C227AA" w:rsidRPr="008D5974" w:rsidRDefault="0076033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rPr>
      </w:pPr>
      <w:r w:rsidRPr="0003493C">
        <w:rPr>
          <w:rFonts w:ascii="Palatino Linotype" w:eastAsia="Palatino Linotype" w:hAnsi="Palatino Linotype" w:cs="Palatino Linotype"/>
          <w:color w:val="000000"/>
        </w:rPr>
        <w:t>E</w:t>
      </w:r>
      <w:r w:rsidR="00874872" w:rsidRPr="0003493C">
        <w:rPr>
          <w:rFonts w:ascii="Palatino Linotype" w:eastAsia="Palatino Linotype" w:hAnsi="Palatino Linotype" w:cs="Palatino Linotype"/>
          <w:color w:val="000000"/>
        </w:rPr>
        <w:t>l</w:t>
      </w:r>
      <w:r w:rsidR="00874872" w:rsidRPr="0003493C">
        <w:rPr>
          <w:rFonts w:ascii="Palatino Linotype" w:eastAsia="Palatino Linotype" w:hAnsi="Palatino Linotype" w:cs="Palatino Linotype"/>
          <w:b/>
          <w:color w:val="000000"/>
        </w:rPr>
        <w:t xml:space="preserve"> SUJETO </w:t>
      </w:r>
      <w:r w:rsidR="00874872" w:rsidRPr="0003493C">
        <w:rPr>
          <w:rFonts w:ascii="Palatino Linotype" w:eastAsia="Palatino Linotype" w:hAnsi="Palatino Linotype" w:cs="Palatino Linotype"/>
          <w:b/>
        </w:rPr>
        <w:t>OBLIGADO</w:t>
      </w:r>
      <w:r w:rsidR="00874872" w:rsidRPr="0003493C">
        <w:rPr>
          <w:rFonts w:ascii="Palatino Linotype" w:eastAsia="Palatino Linotype" w:hAnsi="Palatino Linotype" w:cs="Palatino Linotype"/>
          <w:b/>
          <w:color w:val="000000"/>
        </w:rPr>
        <w:t xml:space="preserve"> </w:t>
      </w:r>
      <w:r w:rsidR="009C691F" w:rsidRPr="0003493C">
        <w:rPr>
          <w:rFonts w:ascii="Palatino Linotype" w:eastAsia="Palatino Linotype" w:hAnsi="Palatino Linotype" w:cs="Palatino Linotype"/>
          <w:bCs/>
          <w:color w:val="000000"/>
        </w:rPr>
        <w:t>fue omiso en rendir el informe justificado correspondiente</w:t>
      </w:r>
      <w:r w:rsidR="009C691F" w:rsidRPr="0003493C">
        <w:rPr>
          <w:rFonts w:ascii="Palatino Linotype" w:eastAsia="Palatino Linotype" w:hAnsi="Palatino Linotype" w:cs="Palatino Linotype"/>
        </w:rPr>
        <w:t xml:space="preserve">, por su parte la ahora </w:t>
      </w:r>
      <w:r w:rsidR="009C691F" w:rsidRPr="0003493C">
        <w:rPr>
          <w:rFonts w:ascii="Palatino Linotype" w:eastAsia="Palatino Linotype" w:hAnsi="Palatino Linotype" w:cs="Palatino Linotype"/>
          <w:b/>
        </w:rPr>
        <w:t>RECURRENTE</w:t>
      </w:r>
      <w:r w:rsidR="009C691F" w:rsidRPr="0003493C">
        <w:rPr>
          <w:rFonts w:ascii="Palatino Linotype" w:eastAsia="Palatino Linotype" w:hAnsi="Palatino Linotype" w:cs="Palatino Linotype"/>
        </w:rPr>
        <w:t xml:space="preserve"> dejó de realizar manifestaciones que a su derecho conviniera y asistiera.</w:t>
      </w:r>
    </w:p>
    <w:p w14:paraId="6FEB23F1" w14:textId="77777777" w:rsidR="008D5974" w:rsidRPr="0003493C" w:rsidRDefault="008D5974" w:rsidP="008D597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p>
    <w:p w14:paraId="74BB9505" w14:textId="5E7026CA" w:rsidR="00C227AA" w:rsidRPr="008D5974" w:rsidRDefault="00C227AA"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03493C">
        <w:rPr>
          <w:rFonts w:ascii="Palatino Linotype" w:eastAsia="Palatino Linotype" w:hAnsi="Palatino Linotype" w:cs="Palatino Linotype"/>
          <w:color w:val="000000"/>
        </w:rPr>
        <w:t xml:space="preserve">Seguidamente, mediante Acuerdo de fecha </w:t>
      </w:r>
      <w:r w:rsidR="009C691F" w:rsidRPr="0003493C">
        <w:rPr>
          <w:rFonts w:ascii="Palatino Linotype" w:eastAsia="Palatino Linotype" w:hAnsi="Palatino Linotype" w:cs="Palatino Linotype"/>
          <w:b/>
          <w:color w:val="000000"/>
        </w:rPr>
        <w:t>ocho</w:t>
      </w:r>
      <w:r w:rsidR="00301CFC" w:rsidRPr="0003493C">
        <w:rPr>
          <w:rFonts w:ascii="Palatino Linotype" w:eastAsia="Palatino Linotype" w:hAnsi="Palatino Linotype" w:cs="Palatino Linotype"/>
          <w:b/>
          <w:color w:val="000000"/>
        </w:rPr>
        <w:t xml:space="preserve"> de </w:t>
      </w:r>
      <w:r w:rsidR="009C691F" w:rsidRPr="0003493C">
        <w:rPr>
          <w:rFonts w:ascii="Palatino Linotype" w:eastAsia="Palatino Linotype" w:hAnsi="Palatino Linotype" w:cs="Palatino Linotype"/>
          <w:b/>
          <w:color w:val="000000"/>
        </w:rPr>
        <w:t>abril</w:t>
      </w:r>
      <w:r w:rsidR="00301CFC" w:rsidRPr="0003493C">
        <w:rPr>
          <w:rFonts w:ascii="Palatino Linotype" w:eastAsia="Palatino Linotype" w:hAnsi="Palatino Linotype" w:cs="Palatino Linotype"/>
          <w:b/>
          <w:color w:val="000000"/>
        </w:rPr>
        <w:t xml:space="preserve"> </w:t>
      </w:r>
      <w:r w:rsidRPr="0003493C">
        <w:rPr>
          <w:rFonts w:ascii="Palatino Linotype" w:eastAsia="Palatino Linotype" w:hAnsi="Palatino Linotype" w:cs="Palatino Linotype"/>
          <w:b/>
          <w:color w:val="000000"/>
        </w:rPr>
        <w:t>de</w:t>
      </w:r>
      <w:r w:rsidR="00AD390E" w:rsidRPr="0003493C">
        <w:rPr>
          <w:rFonts w:ascii="Palatino Linotype" w:eastAsia="Palatino Linotype" w:hAnsi="Palatino Linotype" w:cs="Palatino Linotype"/>
          <w:b/>
          <w:color w:val="000000"/>
        </w:rPr>
        <w:t>l año en curso</w:t>
      </w:r>
      <w:r w:rsidRPr="0003493C">
        <w:rPr>
          <w:rFonts w:ascii="Palatino Linotype" w:eastAsia="Palatino Linotype" w:hAnsi="Palatino Linotype" w:cs="Palatino Linotype"/>
          <w:b/>
          <w:color w:val="000000"/>
        </w:rPr>
        <w:t xml:space="preserve">, </w:t>
      </w:r>
      <w:r w:rsidRPr="0003493C">
        <w:rPr>
          <w:rFonts w:ascii="Palatino Linotype" w:eastAsia="Palatino Linotype" w:hAnsi="Palatino Linotype" w:cs="Palatino Linotype"/>
          <w:color w:val="000000"/>
        </w:rPr>
        <w:t xml:space="preserve">se amplió el termino para resolver, consecutivamente se decretó el cierre de instrucción mediante Acuerdo de </w:t>
      </w:r>
      <w:r w:rsidR="009C691F" w:rsidRPr="0003493C">
        <w:rPr>
          <w:rFonts w:ascii="Palatino Linotype" w:eastAsia="Palatino Linotype" w:hAnsi="Palatino Linotype" w:cs="Palatino Linotype"/>
          <w:color w:val="000000"/>
        </w:rPr>
        <w:t>misma fecha</w:t>
      </w:r>
      <w:r w:rsidR="00957ED8" w:rsidRPr="0003493C">
        <w:rPr>
          <w:rFonts w:ascii="Palatino Linotype" w:eastAsia="Palatino Linotype" w:hAnsi="Palatino Linotype" w:cs="Palatino Linotype"/>
          <w:color w:val="000000"/>
        </w:rPr>
        <w:t xml:space="preserve">, se decretó el </w:t>
      </w:r>
      <w:r w:rsidR="00957ED8" w:rsidRPr="0003493C">
        <w:rPr>
          <w:rFonts w:ascii="Palatino Linotype" w:eastAsia="Palatino Linotype" w:hAnsi="Palatino Linotype" w:cs="Palatino Linotype"/>
          <w:b/>
          <w:color w:val="000000"/>
        </w:rPr>
        <w:t>cierre de instrucción</w:t>
      </w:r>
      <w:r w:rsidRPr="0003493C">
        <w:rPr>
          <w:rFonts w:ascii="Palatino Linotype" w:eastAsia="Palatino Linotype" w:hAnsi="Palatino Linotype" w:cs="Palatino Linotype"/>
          <w:color w:val="000000"/>
        </w:rPr>
        <w:t xml:space="preserve">, </w:t>
      </w:r>
      <w:r w:rsidR="00BD31CB" w:rsidRPr="0003493C">
        <w:rPr>
          <w:rFonts w:ascii="Palatino Linotype" w:eastAsia="Palatino Linotype" w:hAnsi="Palatino Linotype" w:cs="Palatino Linotype"/>
          <w:color w:val="000000"/>
        </w:rPr>
        <w:t>por lo que no habiendo más que hacer constar, y-------------</w:t>
      </w:r>
      <w:r w:rsidR="009C691F" w:rsidRPr="0003493C">
        <w:rPr>
          <w:rFonts w:ascii="Palatino Linotype" w:eastAsia="Palatino Linotype" w:hAnsi="Palatino Linotype" w:cs="Palatino Linotype"/>
          <w:color w:val="000000"/>
        </w:rPr>
        <w:t>--------------------------------</w:t>
      </w:r>
      <w:r w:rsidR="008D5974">
        <w:rPr>
          <w:rFonts w:ascii="Palatino Linotype" w:eastAsia="Palatino Linotype" w:hAnsi="Palatino Linotype" w:cs="Palatino Linotype"/>
          <w:color w:val="000000"/>
        </w:rPr>
        <w:t>------------------------------------------------</w:t>
      </w:r>
    </w:p>
    <w:p w14:paraId="2E809DD8" w14:textId="77777777" w:rsidR="008D5974" w:rsidRDefault="008D5974" w:rsidP="008D5974">
      <w:pPr>
        <w:pStyle w:val="Prrafodelista"/>
        <w:rPr>
          <w:rFonts w:ascii="Palatino Linotype" w:eastAsia="Palatino Linotype" w:hAnsi="Palatino Linotype" w:cs="Palatino Linotype"/>
          <w:b/>
          <w:color w:val="000000"/>
        </w:rPr>
      </w:pPr>
    </w:p>
    <w:p w14:paraId="0F8CFADD" w14:textId="77777777" w:rsidR="008D5974" w:rsidRPr="0003493C" w:rsidRDefault="008D5974" w:rsidP="008D597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74BB9507" w14:textId="77777777" w:rsidR="00B84DF1" w:rsidRPr="0003493C" w:rsidRDefault="00BD31CB" w:rsidP="0003493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bookmarkStart w:id="2" w:name="_GoBack"/>
      <w:bookmarkEnd w:id="2"/>
      <w:r w:rsidRPr="0003493C">
        <w:rPr>
          <w:rFonts w:ascii="Palatino Linotype" w:eastAsia="Palatino Linotype" w:hAnsi="Palatino Linotype" w:cs="Palatino Linotype"/>
          <w:b/>
          <w:color w:val="000000"/>
        </w:rPr>
        <w:lastRenderedPageBreak/>
        <w:t>C O N S I D E R A N D O</w:t>
      </w:r>
    </w:p>
    <w:p w14:paraId="74BB9508" w14:textId="77777777" w:rsidR="00BD31CB" w:rsidRPr="0003493C" w:rsidRDefault="00BD31CB" w:rsidP="0003493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14:paraId="74BB9509" w14:textId="77777777" w:rsidR="00B84DF1" w:rsidRPr="0003493C" w:rsidRDefault="003B59FA" w:rsidP="0003493C">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03493C">
        <w:rPr>
          <w:rFonts w:ascii="Palatino Linotype" w:eastAsia="Palatino Linotype" w:hAnsi="Palatino Linotype" w:cs="Palatino Linotype"/>
          <w:b/>
          <w:color w:val="000000"/>
          <w:sz w:val="24"/>
          <w:szCs w:val="24"/>
        </w:rPr>
        <w:t>PRIMERO</w:t>
      </w:r>
      <w:r w:rsidR="009D3673" w:rsidRPr="0003493C">
        <w:rPr>
          <w:rFonts w:ascii="Palatino Linotype" w:eastAsia="Palatino Linotype" w:hAnsi="Palatino Linotype" w:cs="Palatino Linotype"/>
          <w:b/>
          <w:color w:val="000000"/>
          <w:sz w:val="24"/>
          <w:szCs w:val="24"/>
        </w:rPr>
        <w:t>. Competencia</w:t>
      </w:r>
    </w:p>
    <w:p w14:paraId="74BB950A" w14:textId="77777777" w:rsidR="00B84DF1" w:rsidRPr="0003493C" w:rsidRDefault="002F0538"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03493C">
        <w:rPr>
          <w:rFonts w:ascii="Palatino Linotype" w:eastAsia="Palatino Linotype" w:hAnsi="Palatino Linotype" w:cs="Palatino Linotype"/>
          <w:color w:val="000000"/>
        </w:rPr>
        <w:t xml:space="preserve">Este Instituto de Transparencia, Acceso a la Información Pública y Protección de Datos </w:t>
      </w:r>
      <w:r w:rsidRPr="0003493C">
        <w:rPr>
          <w:rFonts w:ascii="Palatino Linotype" w:eastAsia="Palatino Linotype" w:hAnsi="Palatino Linotype" w:cs="Palatino Linotype"/>
        </w:rPr>
        <w:t>Personales</w:t>
      </w:r>
      <w:r w:rsidRPr="0003493C">
        <w:rPr>
          <w:rFonts w:ascii="Palatino Linotype" w:eastAsia="Palatino Linotype" w:hAnsi="Palatino Linotype" w:cs="Palatino Linotype"/>
          <w:color w:val="000000"/>
        </w:rPr>
        <w:t xml:space="preserve"> del Estado de México y Municipios es competente para conocer y </w:t>
      </w:r>
      <w:r w:rsidRPr="0003493C">
        <w:rPr>
          <w:rFonts w:ascii="Palatino Linotype" w:eastAsia="Palatino Linotype" w:hAnsi="Palatino Linotype" w:cs="Palatino Linotype"/>
        </w:rPr>
        <w:t>resolver</w:t>
      </w:r>
      <w:r w:rsidRPr="0003493C">
        <w:rPr>
          <w:rFonts w:ascii="Palatino Linotype" w:eastAsia="Palatino Linotype" w:hAnsi="Palatino Linotype" w:cs="Palatino Linotype"/>
          <w:color w:val="000000"/>
        </w:rPr>
        <w:t xml:space="preserve">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4BB950B" w14:textId="77777777" w:rsidR="00C227AA" w:rsidRPr="0003493C" w:rsidRDefault="00C227AA" w:rsidP="000349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74BB950C" w14:textId="77777777" w:rsidR="00B84DF1" w:rsidRPr="0003493C" w:rsidRDefault="009D3673" w:rsidP="0003493C">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03493C">
        <w:rPr>
          <w:rFonts w:ascii="Palatino Linotype" w:eastAsia="Palatino Linotype" w:hAnsi="Palatino Linotype" w:cs="Palatino Linotype"/>
          <w:b/>
          <w:color w:val="000000"/>
          <w:sz w:val="24"/>
          <w:szCs w:val="24"/>
        </w:rPr>
        <w:t>SEGUND</w:t>
      </w:r>
      <w:r w:rsidR="003B59FA" w:rsidRPr="0003493C">
        <w:rPr>
          <w:rFonts w:ascii="Palatino Linotype" w:eastAsia="Palatino Linotype" w:hAnsi="Palatino Linotype" w:cs="Palatino Linotype"/>
          <w:b/>
          <w:color w:val="000000"/>
          <w:sz w:val="24"/>
          <w:szCs w:val="24"/>
        </w:rPr>
        <w:t>O</w:t>
      </w:r>
      <w:r w:rsidRPr="0003493C">
        <w:rPr>
          <w:rFonts w:ascii="Palatino Linotype" w:eastAsia="Palatino Linotype" w:hAnsi="Palatino Linotype" w:cs="Palatino Linotype"/>
          <w:b/>
          <w:color w:val="000000"/>
          <w:sz w:val="24"/>
          <w:szCs w:val="24"/>
        </w:rPr>
        <w:t>. Procedencia.</w:t>
      </w:r>
    </w:p>
    <w:p w14:paraId="74BB950D" w14:textId="3FD0D64A" w:rsidR="00B84DF1" w:rsidRPr="0003493C" w:rsidRDefault="009D3673"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Este Órgano Garante considera que el medio de impugnación reúne los requisitos de </w:t>
      </w:r>
      <w:r w:rsidRPr="0003493C">
        <w:rPr>
          <w:rFonts w:ascii="Palatino Linotype" w:eastAsia="Palatino Linotype" w:hAnsi="Palatino Linotype" w:cs="Palatino Linotype"/>
          <w:color w:val="000000"/>
        </w:rPr>
        <w:t>procedencia</w:t>
      </w:r>
      <w:r w:rsidRPr="0003493C">
        <w:rPr>
          <w:rFonts w:ascii="Palatino Linotype" w:eastAsia="Palatino Linotype" w:hAnsi="Palatino Linotype" w:cs="Palatino Linotype"/>
        </w:rPr>
        <w:t xml:space="preserve"> </w:t>
      </w:r>
      <w:r w:rsidRPr="0003493C">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5D2D83" w:rsidRPr="0003493C">
        <w:rPr>
          <w:rFonts w:ascii="Palatino Linotype" w:eastAsia="Palatino Linotype" w:hAnsi="Palatino Linotype" w:cs="Palatino Linotype"/>
          <w:b/>
          <w:color w:val="000000"/>
        </w:rPr>
        <w:t>LA RECURRENTE</w:t>
      </w:r>
      <w:r w:rsidRPr="0003493C">
        <w:rPr>
          <w:rFonts w:ascii="Palatino Linotype" w:eastAsia="Palatino Linotype" w:hAnsi="Palatino Linotype" w:cs="Palatino Linotype"/>
          <w:color w:val="000000"/>
        </w:rPr>
        <w:t xml:space="preserve"> ante otra instancia.</w:t>
      </w:r>
    </w:p>
    <w:p w14:paraId="74BB950E" w14:textId="77777777" w:rsidR="0090156E" w:rsidRPr="0003493C" w:rsidRDefault="0090156E"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3" w14:textId="77777777" w:rsidR="00B84DF1" w:rsidRPr="0003493C" w:rsidRDefault="009D3673"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Finalmente, el escrito contiene las formalidades previstas por el artículo 180 último </w:t>
      </w:r>
      <w:r w:rsidR="00A227E2" w:rsidRPr="0003493C">
        <w:rPr>
          <w:rFonts w:ascii="Palatino Linotype" w:eastAsia="Palatino Linotype" w:hAnsi="Palatino Linotype" w:cs="Palatino Linotype"/>
        </w:rPr>
        <w:t>párrafo de la citada Ley de la M</w:t>
      </w:r>
      <w:r w:rsidRPr="0003493C">
        <w:rPr>
          <w:rFonts w:ascii="Palatino Linotype" w:eastAsia="Palatino Linotype" w:hAnsi="Palatino Linotype" w:cs="Palatino Linotype"/>
        </w:rPr>
        <w:t>ateria, por lo que es procedente que este Instituto conozca y resuelva el presente Recurso de Revisión.</w:t>
      </w:r>
    </w:p>
    <w:p w14:paraId="74BB9514" w14:textId="77777777" w:rsidR="00BD31CB" w:rsidRPr="0003493C" w:rsidRDefault="00BD31CB"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15" w14:textId="77777777" w:rsidR="00313EA6" w:rsidRPr="0003493C" w:rsidRDefault="00313EA6" w:rsidP="0003493C">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03493C">
        <w:rPr>
          <w:rFonts w:ascii="Palatino Linotype" w:hAnsi="Palatino Linotype"/>
          <w:b/>
          <w:bCs/>
          <w:color w:val="000000" w:themeColor="text1"/>
          <w:sz w:val="24"/>
          <w:szCs w:val="24"/>
        </w:rPr>
        <w:t xml:space="preserve">TERCERO. </w:t>
      </w:r>
      <w:bookmarkEnd w:id="6"/>
      <w:bookmarkEnd w:id="7"/>
      <w:r w:rsidRPr="0003493C">
        <w:rPr>
          <w:rFonts w:ascii="Palatino Linotype" w:hAnsi="Palatino Linotype"/>
          <w:b/>
          <w:bCs/>
          <w:color w:val="000000" w:themeColor="text1"/>
          <w:sz w:val="24"/>
          <w:szCs w:val="24"/>
        </w:rPr>
        <w:t xml:space="preserve">Del planteamiento de la </w:t>
      </w:r>
      <w:r w:rsidRPr="0003493C">
        <w:rPr>
          <w:rFonts w:ascii="Palatino Linotype" w:hAnsi="Palatino Linotype"/>
          <w:b/>
          <w:bCs/>
          <w:i/>
          <w:color w:val="000000" w:themeColor="text1"/>
          <w:sz w:val="24"/>
          <w:szCs w:val="24"/>
        </w:rPr>
        <w:t>Litis.</w:t>
      </w:r>
    </w:p>
    <w:p w14:paraId="74BB9517" w14:textId="77777777" w:rsidR="00313EA6"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 xml:space="preserve">Se solicitó </w:t>
      </w:r>
      <w:r w:rsidRPr="0003493C">
        <w:rPr>
          <w:rFonts w:ascii="Palatino Linotype" w:eastAsia="Palatino Linotype" w:hAnsi="Palatino Linotype" w:cs="Palatino Linotype"/>
        </w:rPr>
        <w:t>tener</w:t>
      </w:r>
      <w:r w:rsidRPr="0003493C">
        <w:rPr>
          <w:rFonts w:ascii="Palatino Linotype" w:hAnsi="Palatino Linotype"/>
        </w:rPr>
        <w:t xml:space="preserve"> </w:t>
      </w:r>
      <w:r w:rsidRPr="0003493C">
        <w:rPr>
          <w:rFonts w:ascii="Palatino Linotype" w:eastAsia="Palatino Linotype" w:hAnsi="Palatino Linotype" w:cs="Palatino Linotype"/>
        </w:rPr>
        <w:t>acceso</w:t>
      </w:r>
      <w:r w:rsidRPr="0003493C">
        <w:rPr>
          <w:rFonts w:ascii="Palatino Linotype" w:hAnsi="Palatino Linotype"/>
        </w:rPr>
        <w:t>, a la información que a continuación se simplifica:</w:t>
      </w:r>
    </w:p>
    <w:p w14:paraId="74BB951B" w14:textId="22474B5E" w:rsidR="002038A6" w:rsidRPr="0003493C" w:rsidRDefault="009C691F" w:rsidP="0003493C">
      <w:pPr>
        <w:pStyle w:val="Prrafodelista"/>
        <w:numPr>
          <w:ilvl w:val="0"/>
          <w:numId w:val="16"/>
        </w:numPr>
        <w:pBdr>
          <w:top w:val="nil"/>
          <w:left w:val="nil"/>
          <w:bottom w:val="nil"/>
          <w:right w:val="nil"/>
          <w:between w:val="nil"/>
        </w:pBdr>
        <w:spacing w:line="360" w:lineRule="auto"/>
        <w:ind w:right="474"/>
        <w:jc w:val="both"/>
        <w:rPr>
          <w:rFonts w:ascii="Palatino Linotype" w:hAnsi="Palatino Linotype"/>
        </w:rPr>
      </w:pPr>
      <w:r w:rsidRPr="0003493C">
        <w:rPr>
          <w:rFonts w:ascii="Palatino Linotype" w:hAnsi="Palatino Linotype"/>
        </w:rPr>
        <w:t>Versión pública de las declaraciones patrimoniales, fiscales y de intereses de los servidores públicos obligados.</w:t>
      </w:r>
    </w:p>
    <w:p w14:paraId="74BB951C" w14:textId="77777777" w:rsidR="002038A6" w:rsidRPr="0003493C" w:rsidRDefault="002038A6" w:rsidP="0003493C">
      <w:pPr>
        <w:pBdr>
          <w:top w:val="nil"/>
          <w:left w:val="nil"/>
          <w:bottom w:val="nil"/>
          <w:right w:val="nil"/>
          <w:between w:val="nil"/>
        </w:pBdr>
        <w:spacing w:line="360" w:lineRule="auto"/>
        <w:ind w:right="49"/>
        <w:jc w:val="both"/>
        <w:rPr>
          <w:rFonts w:ascii="Palatino Linotype" w:hAnsi="Palatino Linotype"/>
        </w:rPr>
      </w:pPr>
    </w:p>
    <w:p w14:paraId="74BB951D" w14:textId="78634885" w:rsidR="00313EA6"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Inconforme con la respuesta</w:t>
      </w:r>
      <w:r w:rsidR="009C691F" w:rsidRPr="0003493C">
        <w:rPr>
          <w:rFonts w:ascii="Palatino Linotype" w:hAnsi="Palatino Linotype"/>
        </w:rPr>
        <w:t xml:space="preserve"> descrita en el anterior Párrafo 2, </w:t>
      </w:r>
      <w:r w:rsidRPr="0003493C">
        <w:rPr>
          <w:rFonts w:ascii="Palatino Linotype" w:hAnsi="Palatino Linotype"/>
        </w:rPr>
        <w:t>l</w:t>
      </w:r>
      <w:r w:rsidR="009C691F" w:rsidRPr="0003493C">
        <w:rPr>
          <w:rFonts w:ascii="Palatino Linotype" w:hAnsi="Palatino Linotype"/>
        </w:rPr>
        <w:t>a</w:t>
      </w:r>
      <w:r w:rsidRPr="0003493C">
        <w:rPr>
          <w:rFonts w:ascii="Palatino Linotype" w:hAnsi="Palatino Linotype"/>
        </w:rPr>
        <w:t xml:space="preserve"> solicitante interpuso recurso de revisión </w:t>
      </w:r>
      <w:r w:rsidR="00945C3B" w:rsidRPr="0003493C">
        <w:rPr>
          <w:rFonts w:ascii="Palatino Linotype" w:hAnsi="Palatino Linotype"/>
        </w:rPr>
        <w:t xml:space="preserve">de manera general </w:t>
      </w:r>
      <w:r w:rsidR="00F11260" w:rsidRPr="0003493C">
        <w:rPr>
          <w:rFonts w:ascii="Palatino Linotype" w:hAnsi="Palatino Linotype"/>
        </w:rPr>
        <w:t>en contra de</w:t>
      </w:r>
      <w:r w:rsidR="00945C3B" w:rsidRPr="0003493C">
        <w:rPr>
          <w:rFonts w:ascii="Palatino Linotype" w:hAnsi="Palatino Linotype"/>
        </w:rPr>
        <w:t xml:space="preserve"> </w:t>
      </w:r>
      <w:r w:rsidR="00F11260" w:rsidRPr="0003493C">
        <w:rPr>
          <w:rFonts w:ascii="Palatino Linotype" w:hAnsi="Palatino Linotype"/>
        </w:rPr>
        <w:t>l</w:t>
      </w:r>
      <w:r w:rsidR="00945C3B" w:rsidRPr="0003493C">
        <w:rPr>
          <w:rFonts w:ascii="Palatino Linotype" w:hAnsi="Palatino Linotype"/>
        </w:rPr>
        <w:t>a</w:t>
      </w:r>
      <w:r w:rsidR="00F11260" w:rsidRPr="0003493C">
        <w:rPr>
          <w:rFonts w:ascii="Palatino Linotype" w:hAnsi="Palatino Linotype"/>
        </w:rPr>
        <w:t xml:space="preserve"> </w:t>
      </w:r>
      <w:r w:rsidR="006F66E0" w:rsidRPr="0003493C">
        <w:rPr>
          <w:rFonts w:ascii="Palatino Linotype" w:hAnsi="Palatino Linotype"/>
        </w:rPr>
        <w:t>negativa a la entrega de la información, derivado de la declaratoria de incompetencia</w:t>
      </w:r>
      <w:r w:rsidRPr="0003493C">
        <w:rPr>
          <w:rFonts w:ascii="Palatino Linotype" w:eastAsia="Palatino Linotype" w:hAnsi="Palatino Linotype" w:cs="Palatino Linotype"/>
          <w:color w:val="000000"/>
        </w:rPr>
        <w:t xml:space="preserve">. </w:t>
      </w:r>
      <w:r w:rsidRPr="0003493C">
        <w:rPr>
          <w:rFonts w:ascii="Palatino Linotype" w:hAnsi="Palatino Linotype"/>
        </w:rPr>
        <w:t>En dichas condiciones, la controversia a resolver en el presente proveído, corresponde a determinar si se actualiza la causal de procedencia previst</w:t>
      </w:r>
      <w:r w:rsidR="007147C0" w:rsidRPr="0003493C">
        <w:rPr>
          <w:rFonts w:ascii="Palatino Linotype" w:hAnsi="Palatino Linotype"/>
        </w:rPr>
        <w:t xml:space="preserve">a en el artículo 179, fracción </w:t>
      </w:r>
      <w:r w:rsidR="006F66E0" w:rsidRPr="0003493C">
        <w:rPr>
          <w:rFonts w:ascii="Palatino Linotype" w:hAnsi="Palatino Linotype"/>
        </w:rPr>
        <w:t>I</w:t>
      </w:r>
      <w:r w:rsidRPr="0003493C">
        <w:rPr>
          <w:rFonts w:ascii="Palatino Linotype" w:hAnsi="Palatino Linotype"/>
        </w:rPr>
        <w:t xml:space="preserve">, de la Ley de Transparencia y Acceso a la Información Pública del Estado de México y Municipios; fracción que determina la hipótesis relativa </w:t>
      </w:r>
      <w:r w:rsidR="006F66E0" w:rsidRPr="0003493C">
        <w:rPr>
          <w:rFonts w:ascii="Palatino Linotype" w:hAnsi="Palatino Linotype"/>
        </w:rPr>
        <w:t>la negativa a la información solicitada</w:t>
      </w:r>
      <w:r w:rsidR="00F11260" w:rsidRPr="0003493C">
        <w:rPr>
          <w:rFonts w:ascii="Palatino Linotype" w:hAnsi="Palatino Linotype"/>
        </w:rPr>
        <w:t>;</w:t>
      </w:r>
      <w:r w:rsidRPr="0003493C">
        <w:rPr>
          <w:rFonts w:ascii="Palatino Linotype" w:hAnsi="Palatino Linotype"/>
        </w:rPr>
        <w:t xml:space="preserve"> contexto del cual se dolió </w:t>
      </w:r>
      <w:r w:rsidR="005D2D83" w:rsidRPr="0003493C">
        <w:rPr>
          <w:rFonts w:ascii="Palatino Linotype" w:hAnsi="Palatino Linotype"/>
          <w:b/>
        </w:rPr>
        <w:t>LA RECURRENTE</w:t>
      </w:r>
      <w:r w:rsidRPr="0003493C">
        <w:rPr>
          <w:rFonts w:ascii="Palatino Linotype" w:hAnsi="Palatino Linotype"/>
        </w:rPr>
        <w:t xml:space="preserve"> al momento de interponer su inconformidad. De modo tal que el presente recurso de revisión se abocará en determinar si el Sujeto Obligado con su respuesta ciertamente actualiza la causal de procedencia señalada. </w:t>
      </w:r>
    </w:p>
    <w:p w14:paraId="7503283A" w14:textId="77777777" w:rsidR="006150A9" w:rsidRPr="0003493C" w:rsidRDefault="006150A9" w:rsidP="0003493C">
      <w:pPr>
        <w:pBdr>
          <w:top w:val="nil"/>
          <w:left w:val="nil"/>
          <w:bottom w:val="nil"/>
          <w:right w:val="nil"/>
          <w:between w:val="nil"/>
        </w:pBdr>
        <w:spacing w:line="360" w:lineRule="auto"/>
        <w:ind w:right="49"/>
        <w:jc w:val="both"/>
        <w:rPr>
          <w:rFonts w:ascii="Palatino Linotype" w:hAnsi="Palatino Linotype"/>
        </w:rPr>
      </w:pPr>
    </w:p>
    <w:p w14:paraId="74BB951F" w14:textId="77777777" w:rsidR="00313EA6" w:rsidRPr="0003493C" w:rsidRDefault="00313EA6" w:rsidP="0003493C">
      <w:pPr>
        <w:spacing w:line="360" w:lineRule="auto"/>
        <w:rPr>
          <w:rFonts w:ascii="Palatino Linotype" w:hAnsi="Palatino Linotype"/>
          <w:b/>
          <w:bCs/>
        </w:rPr>
      </w:pPr>
      <w:r w:rsidRPr="0003493C">
        <w:rPr>
          <w:rFonts w:ascii="Palatino Linotype" w:hAnsi="Palatino Linotype"/>
          <w:b/>
          <w:bCs/>
        </w:rPr>
        <w:t>CUARTO. Del estudio y resolución del asunto.</w:t>
      </w:r>
    </w:p>
    <w:p w14:paraId="74BB9521" w14:textId="77777777" w:rsidR="00313EA6"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w:t>
      </w:r>
      <w:r w:rsidRPr="0003493C">
        <w:rPr>
          <w:rFonts w:ascii="Palatino Linotype" w:hAnsi="Palatino Linotype"/>
        </w:rPr>
        <w:lastRenderedPageBreak/>
        <w:t>Obligados deberán documentar todo acto que derive del ejercicio de sus facultades, competencias o funciones desde su origen la eventual publicidad y reutilización de la información que generen.</w:t>
      </w:r>
    </w:p>
    <w:p w14:paraId="74BB9522" w14:textId="77777777" w:rsidR="00313EA6" w:rsidRPr="0003493C" w:rsidRDefault="00313EA6" w:rsidP="0003493C">
      <w:pPr>
        <w:pStyle w:val="Prrafodelista"/>
        <w:spacing w:line="360" w:lineRule="auto"/>
        <w:ind w:left="0"/>
        <w:jc w:val="both"/>
        <w:rPr>
          <w:rFonts w:ascii="Palatino Linotype" w:hAnsi="Palatino Linotype"/>
        </w:rPr>
      </w:pPr>
    </w:p>
    <w:p w14:paraId="74BB9523" w14:textId="77777777" w:rsidR="00313EA6"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4BB9524" w14:textId="77777777" w:rsidR="00313EA6" w:rsidRPr="0003493C" w:rsidRDefault="00313EA6" w:rsidP="0003493C">
      <w:pPr>
        <w:pStyle w:val="Prrafodelista"/>
        <w:spacing w:line="360" w:lineRule="auto"/>
        <w:rPr>
          <w:rFonts w:ascii="Palatino Linotype" w:hAnsi="Palatino Linotype"/>
        </w:rPr>
      </w:pPr>
    </w:p>
    <w:p w14:paraId="74BB9525" w14:textId="77777777" w:rsidR="00313EA6"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74BB9526" w14:textId="77777777" w:rsidR="00F867E2" w:rsidRPr="0003493C" w:rsidRDefault="00F867E2" w:rsidP="0003493C">
      <w:pPr>
        <w:spacing w:line="360" w:lineRule="auto"/>
        <w:rPr>
          <w:rFonts w:ascii="Palatino Linotype" w:hAnsi="Palatino Linotype"/>
        </w:rPr>
      </w:pPr>
    </w:p>
    <w:p w14:paraId="1A052B50" w14:textId="52D8CC3A" w:rsidR="00052451" w:rsidRPr="0003493C" w:rsidRDefault="00313EA6"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03493C">
        <w:rPr>
          <w:rFonts w:ascii="Palatino Linotype" w:eastAsia="Palatino Linotype" w:hAnsi="Palatino Linotype" w:cs="Palatino Linotype"/>
        </w:rPr>
        <w:t xml:space="preserve">Dicho lo </w:t>
      </w:r>
      <w:r w:rsidRPr="0003493C">
        <w:rPr>
          <w:rFonts w:ascii="Palatino Linotype" w:hAnsi="Palatino Linotype" w:cs="Arial"/>
        </w:rPr>
        <w:t>anterior</w:t>
      </w:r>
      <w:r w:rsidR="00A907B5" w:rsidRPr="0003493C">
        <w:rPr>
          <w:rFonts w:ascii="Palatino Linotype" w:eastAsia="Palatino Linotype" w:hAnsi="Palatino Linotype" w:cs="Palatino Linotype"/>
        </w:rPr>
        <w:t xml:space="preserve">, se </w:t>
      </w:r>
      <w:r w:rsidR="006F66E0" w:rsidRPr="0003493C">
        <w:rPr>
          <w:rFonts w:ascii="Palatino Linotype" w:eastAsia="Palatino Linotype" w:hAnsi="Palatino Linotype" w:cs="Palatino Linotype"/>
        </w:rPr>
        <w:t xml:space="preserve">procede al análisis del marco normativo de las declaraciones </w:t>
      </w:r>
      <w:r w:rsidR="006F66E0" w:rsidRPr="0003493C">
        <w:rPr>
          <w:rFonts w:ascii="Palatino Linotype" w:hAnsi="Palatino Linotype"/>
        </w:rPr>
        <w:t>patrimoniales</w:t>
      </w:r>
      <w:r w:rsidR="006F66E0" w:rsidRPr="0003493C">
        <w:rPr>
          <w:rFonts w:ascii="Palatino Linotype" w:eastAsia="Palatino Linotype" w:hAnsi="Palatino Linotype" w:cs="Palatino Linotype"/>
        </w:rPr>
        <w:t>, fiscales y de intereses a efecto de determinar la procedencia o improcedencia de la incompetencia del Ayuntamiento de Tepotzotlán.</w:t>
      </w:r>
    </w:p>
    <w:p w14:paraId="560416C7" w14:textId="77777777" w:rsidR="006F66E0" w:rsidRPr="0003493C" w:rsidRDefault="006F66E0" w:rsidP="0003493C">
      <w:pPr>
        <w:pStyle w:val="Prrafodelista"/>
        <w:spacing w:line="360" w:lineRule="auto"/>
        <w:rPr>
          <w:rFonts w:ascii="Palatino Linotype" w:hAnsi="Palatino Linotype"/>
        </w:rPr>
      </w:pPr>
    </w:p>
    <w:p w14:paraId="49748004" w14:textId="44A60850"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rPr>
      </w:pPr>
      <w:bookmarkStart w:id="32" w:name="_Toc466371865"/>
      <w:bookmarkStart w:id="33" w:name="_Toc466377653"/>
      <w:bookmarkStart w:id="34" w:name="_Toc495427547"/>
      <w:bookmarkStart w:id="35" w:name="_Toc49790536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3493C">
        <w:rPr>
          <w:rFonts w:ascii="Palatino Linotype" w:eastAsia="Palatino Linotype" w:hAnsi="Palatino Linotype" w:cs="Palatino Linotype"/>
        </w:rPr>
        <w:t xml:space="preserve">Primeramente respecto de la </w:t>
      </w:r>
      <w:r w:rsidRPr="0003493C">
        <w:rPr>
          <w:rFonts w:ascii="Palatino Linotype" w:eastAsia="Palatino Linotype" w:hAnsi="Palatino Linotype" w:cs="Palatino Linotype"/>
          <w:b/>
          <w:u w:val="single"/>
        </w:rPr>
        <w:t>declaración patrimonial</w:t>
      </w:r>
      <w:r w:rsidRPr="0003493C">
        <w:rPr>
          <w:rFonts w:ascii="Palatino Linotype" w:eastAsia="Palatino Linotype" w:hAnsi="Palatino Linotype" w:cs="Palatino Linotype"/>
          <w:b/>
        </w:rPr>
        <w:t xml:space="preserve"> </w:t>
      </w:r>
      <w:r w:rsidRPr="0003493C">
        <w:rPr>
          <w:rFonts w:ascii="Palatino Linotype" w:eastAsia="Palatino Linotype" w:hAnsi="Palatino Linotype" w:cs="Palatino Linotype"/>
        </w:rPr>
        <w:t>la Ley de Responsabilidades Administrativas del Estado de México y Municipios que entró en vigencia, a partir del treinta y uno de mayo de dos mil diecisiete, determina en el artículo 2 fracción VI, como uno de los objetivos de dicha Ley el de establecer las obligaciones y el procedimiento para la declaración de situación patrimonial, la declaración de intereses y la presentación de la constancia de declaración fiscal de los servidores públicos.</w:t>
      </w:r>
    </w:p>
    <w:p w14:paraId="380F0296" w14:textId="77777777" w:rsidR="00AD40E3" w:rsidRPr="0003493C" w:rsidRDefault="00AD40E3" w:rsidP="0003493C">
      <w:pPr>
        <w:pStyle w:val="Prrafodelista"/>
        <w:spacing w:line="360" w:lineRule="auto"/>
        <w:rPr>
          <w:rFonts w:ascii="Palatino Linotype" w:eastAsia="Palatino Linotype" w:hAnsi="Palatino Linotype" w:cs="Palatino Linotype"/>
          <w:b/>
        </w:rPr>
      </w:pPr>
    </w:p>
    <w:p w14:paraId="15600128"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Cabe señalar que de conformidad con los artículos 29 de la Ley General de Responsabilidades Administrativas y 30 de la Ley de Responsabilidades Administrativas del Estado de México y Municipios, las </w:t>
      </w:r>
      <w:r w:rsidRPr="0003493C">
        <w:rPr>
          <w:rFonts w:ascii="Palatino Linotype" w:eastAsia="Palatino Linotype" w:hAnsi="Palatino Linotype" w:cs="Palatino Linotype"/>
          <w:b/>
        </w:rPr>
        <w:t>declaraciones patrimoniales serán públicas,</w:t>
      </w:r>
      <w:r w:rsidRPr="0003493C">
        <w:rPr>
          <w:rFonts w:ascii="Palatino Linotype" w:eastAsia="Palatino Linotype" w:hAnsi="Palatino Linotype" w:cs="Palatino Linotype"/>
        </w:rPr>
        <w:t xml:space="preserve"> salvo los rubros cuya publicidad puedan afectar la vida privada o los datos personales tutelados por la Constitución Federal y Local respectivamente,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1F191DFF" w14:textId="77777777" w:rsidR="006F66E0" w:rsidRDefault="006F66E0" w:rsidP="0003493C">
      <w:pPr>
        <w:spacing w:line="360" w:lineRule="auto"/>
        <w:ind w:left="851" w:right="900"/>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Pr="0003493C">
        <w:rPr>
          <w:rFonts w:ascii="Palatino Linotype" w:eastAsia="Palatino Linotype" w:hAnsi="Palatino Linotype" w:cs="Palatino Linotype"/>
          <w:b/>
          <w:i/>
        </w:rPr>
        <w:t>Artículo 29. Las declaraciones patrimoniales y de intereses serán públicas salvo los rubros cuya publicidad pueda afectar la vida privada o los datos personales protegidos por la Constitución.</w:t>
      </w:r>
      <w:r w:rsidRPr="0003493C">
        <w:rPr>
          <w:rFonts w:ascii="Palatino Linotype" w:eastAsia="Palatino Linotype" w:hAnsi="Palatino Linotype" w:cs="Palatino Linotype"/>
          <w:i/>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3D48A565" w14:textId="77777777" w:rsidR="0003493C" w:rsidRPr="0003493C" w:rsidRDefault="0003493C" w:rsidP="0003493C">
      <w:pPr>
        <w:spacing w:line="360" w:lineRule="auto"/>
        <w:ind w:left="851" w:right="900"/>
        <w:jc w:val="both"/>
        <w:rPr>
          <w:rFonts w:ascii="Palatino Linotype" w:eastAsia="Palatino Linotype" w:hAnsi="Palatino Linotype" w:cs="Palatino Linotype"/>
          <w:i/>
        </w:rPr>
      </w:pPr>
    </w:p>
    <w:p w14:paraId="21A07789" w14:textId="77777777" w:rsidR="006F66E0" w:rsidRPr="0003493C" w:rsidRDefault="006F66E0" w:rsidP="0003493C">
      <w:pPr>
        <w:spacing w:line="360" w:lineRule="auto"/>
        <w:ind w:left="851" w:right="900"/>
        <w:jc w:val="both"/>
        <w:rPr>
          <w:rFonts w:ascii="Palatino Linotype" w:eastAsia="Palatino Linotype" w:hAnsi="Palatino Linotype" w:cs="Palatino Linotype"/>
          <w:b/>
          <w:i/>
        </w:rPr>
      </w:pPr>
      <w:r w:rsidRPr="0003493C">
        <w:rPr>
          <w:rFonts w:ascii="Palatino Linotype" w:eastAsia="Palatino Linotype" w:hAnsi="Palatino Linotype" w:cs="Palatino Linotype"/>
          <w:i/>
        </w:rPr>
        <w:lastRenderedPageBreak/>
        <w:t>“</w:t>
      </w:r>
      <w:r w:rsidRPr="0003493C">
        <w:rPr>
          <w:rFonts w:ascii="Palatino Linotype" w:eastAsia="Palatino Linotype" w:hAnsi="Palatino Linotype" w:cs="Palatino Linotype"/>
          <w:b/>
          <w:i/>
        </w:rPr>
        <w:t xml:space="preserve">Artículo 30. 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w:t>
      </w:r>
    </w:p>
    <w:p w14:paraId="698DBAD4" w14:textId="77777777" w:rsidR="00AD40E3" w:rsidRPr="0003493C" w:rsidRDefault="00AD40E3" w:rsidP="0003493C">
      <w:pPr>
        <w:spacing w:line="360" w:lineRule="auto"/>
        <w:ind w:left="851" w:right="900"/>
        <w:jc w:val="both"/>
        <w:rPr>
          <w:rFonts w:ascii="Palatino Linotype" w:eastAsia="Palatino Linotype" w:hAnsi="Palatino Linotype" w:cs="Palatino Linotype"/>
          <w:b/>
          <w:i/>
        </w:rPr>
      </w:pPr>
    </w:p>
    <w:p w14:paraId="24168994"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De los artículos citados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7A101FF4" w14:textId="77777777" w:rsidR="00AD40E3" w:rsidRPr="0003493C" w:rsidRDefault="00AD40E3"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FA8BF32"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Mientras que los artículos 33 y 34 de la Ley de Responsabilidades Administrativas del Estado de México y Municipios, establece que estarán obligados a presentar las declaraciones de situación patrimonial los servidores públicos estatales y municipales, las cuales deberán presentarse de la siguiente manera:</w:t>
      </w:r>
    </w:p>
    <w:p w14:paraId="57BB9F21" w14:textId="77777777" w:rsidR="006F66E0" w:rsidRPr="0003493C" w:rsidRDefault="006F66E0" w:rsidP="0003493C">
      <w:pPr>
        <w:numPr>
          <w:ilvl w:val="0"/>
          <w:numId w:val="30"/>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03493C">
        <w:rPr>
          <w:rFonts w:ascii="Palatino Linotype" w:eastAsia="Palatino Linotype" w:hAnsi="Palatino Linotype" w:cs="Palatino Linotype"/>
          <w:b/>
        </w:rPr>
        <w:t xml:space="preserve">Inicial: </w:t>
      </w:r>
      <w:r w:rsidRPr="0003493C">
        <w:rPr>
          <w:rFonts w:ascii="Palatino Linotype" w:eastAsia="Palatino Linotype" w:hAnsi="Palatino Linotype" w:cs="Palatino Linotype"/>
        </w:rPr>
        <w:t>Dentro de los sesenta días naturales siguientes al ingreso o reingreso al servicio público;</w:t>
      </w:r>
    </w:p>
    <w:p w14:paraId="53D49725" w14:textId="77777777" w:rsidR="006F66E0" w:rsidRPr="0003493C" w:rsidRDefault="006F66E0" w:rsidP="0003493C">
      <w:pPr>
        <w:numPr>
          <w:ilvl w:val="0"/>
          <w:numId w:val="30"/>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03493C">
        <w:rPr>
          <w:rFonts w:ascii="Palatino Linotype" w:eastAsia="Palatino Linotype" w:hAnsi="Palatino Linotype" w:cs="Palatino Linotype"/>
          <w:b/>
        </w:rPr>
        <w:t xml:space="preserve">Modificación Patrimonial: </w:t>
      </w:r>
      <w:r w:rsidRPr="0003493C">
        <w:rPr>
          <w:rFonts w:ascii="Palatino Linotype" w:eastAsia="Palatino Linotype" w:hAnsi="Palatino Linotype" w:cs="Palatino Linotype"/>
        </w:rPr>
        <w:t>Durante el mes de mayo de dos cada año, y</w:t>
      </w:r>
    </w:p>
    <w:p w14:paraId="1DB73E56" w14:textId="77777777" w:rsidR="006F66E0" w:rsidRPr="0003493C" w:rsidRDefault="006F66E0" w:rsidP="0003493C">
      <w:pPr>
        <w:numPr>
          <w:ilvl w:val="0"/>
          <w:numId w:val="30"/>
        </w:numPr>
        <w:pBdr>
          <w:top w:val="nil"/>
          <w:left w:val="nil"/>
          <w:bottom w:val="nil"/>
          <w:right w:val="nil"/>
          <w:between w:val="nil"/>
        </w:pBdr>
        <w:spacing w:line="360" w:lineRule="auto"/>
        <w:ind w:right="-28"/>
        <w:jc w:val="both"/>
        <w:rPr>
          <w:rFonts w:ascii="Palatino Linotype" w:eastAsia="Palatino Linotype" w:hAnsi="Palatino Linotype" w:cs="Palatino Linotype"/>
          <w:b/>
        </w:rPr>
      </w:pPr>
      <w:r w:rsidRPr="0003493C">
        <w:rPr>
          <w:rFonts w:ascii="Palatino Linotype" w:eastAsia="Palatino Linotype" w:hAnsi="Palatino Linotype" w:cs="Palatino Linotype"/>
          <w:b/>
        </w:rPr>
        <w:t xml:space="preserve">Conclusión: </w:t>
      </w:r>
      <w:r w:rsidRPr="0003493C">
        <w:rPr>
          <w:rFonts w:ascii="Palatino Linotype" w:eastAsia="Palatino Linotype" w:hAnsi="Palatino Linotype" w:cs="Palatino Linotype"/>
        </w:rPr>
        <w:t>Dentro de los sesenta días naturales siguientes a la conclusión del cargo.</w:t>
      </w:r>
      <w:r w:rsidRPr="0003493C">
        <w:rPr>
          <w:rFonts w:ascii="Palatino Linotype" w:eastAsia="Palatino Linotype" w:hAnsi="Palatino Linotype" w:cs="Palatino Linotype"/>
          <w:b/>
        </w:rPr>
        <w:t xml:space="preserve"> </w:t>
      </w:r>
    </w:p>
    <w:p w14:paraId="1C0E047E" w14:textId="77777777" w:rsidR="00AD40E3" w:rsidRPr="0003493C" w:rsidRDefault="00AD40E3" w:rsidP="0003493C">
      <w:pPr>
        <w:pBdr>
          <w:top w:val="nil"/>
          <w:left w:val="nil"/>
          <w:bottom w:val="nil"/>
          <w:right w:val="nil"/>
          <w:between w:val="nil"/>
        </w:pBdr>
        <w:spacing w:line="360" w:lineRule="auto"/>
        <w:ind w:left="720" w:right="-28"/>
        <w:jc w:val="both"/>
        <w:rPr>
          <w:rFonts w:ascii="Palatino Linotype" w:eastAsia="Palatino Linotype" w:hAnsi="Palatino Linotype" w:cs="Palatino Linotype"/>
          <w:b/>
        </w:rPr>
      </w:pPr>
    </w:p>
    <w:p w14:paraId="19DF1F31"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Por su parte, el artículo 35 de la Ley de Responsabilidades Administrativas dispone que la declaración patrimonial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w:t>
      </w:r>
      <w:r w:rsidRPr="0003493C">
        <w:rPr>
          <w:rFonts w:ascii="Palatino Linotype" w:eastAsia="Palatino Linotype" w:hAnsi="Palatino Linotype" w:cs="Palatino Linotype"/>
          <w:b/>
        </w:rPr>
        <w:t xml:space="preserve">la Secretaría de la Contraloría tendrá a su cargo el sistema de certificación de los medios de identificación electrónica que utilicen los servidores públicos y llevará el control de dicho medio, </w:t>
      </w:r>
      <w:r w:rsidRPr="0003493C">
        <w:rPr>
          <w:rFonts w:ascii="Palatino Linotype" w:eastAsia="Palatino Linotype" w:hAnsi="Palatino Linotype" w:cs="Palatino Linotype"/>
        </w:rPr>
        <w:t>a saber:</w:t>
      </w:r>
    </w:p>
    <w:p w14:paraId="1FBC6C40" w14:textId="77777777" w:rsidR="006F66E0" w:rsidRPr="0003493C"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Pr="0003493C">
        <w:rPr>
          <w:rFonts w:ascii="Palatino Linotype" w:eastAsia="Palatino Linotype" w:hAnsi="Palatino Linotype" w:cs="Palatino Linotype"/>
          <w:b/>
          <w:i/>
        </w:rPr>
        <w:t>Artículo 35</w:t>
      </w:r>
      <w:r w:rsidRPr="0003493C">
        <w:rPr>
          <w:rFonts w:ascii="Palatino Linotype" w:eastAsia="Palatino Linotype" w:hAnsi="Palatino Linotype" w:cs="Palatino Linotype"/>
          <w:i/>
        </w:rPr>
        <w:t xml:space="preserve">. La declaración de situación patrimonial, deberá ser presentada a través de medios electrónicos, empleándose medios de identificación electrónica. </w:t>
      </w:r>
    </w:p>
    <w:p w14:paraId="1A9197BD" w14:textId="77777777" w:rsidR="006F66E0" w:rsidRPr="0003493C"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w:t>
      </w:r>
    </w:p>
    <w:p w14:paraId="5E76E1E2" w14:textId="77777777" w:rsidR="006F66E0" w:rsidRPr="0003493C"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b/>
          <w:i/>
        </w:rPr>
      </w:pPr>
      <w:r w:rsidRPr="0003493C">
        <w:rPr>
          <w:rFonts w:ascii="Palatino Linotype" w:eastAsia="Palatino Linotype" w:hAnsi="Palatino Linotype" w:cs="Palatino Linotype"/>
          <w:i/>
        </w:rPr>
        <w:t xml:space="preserve">La </w:t>
      </w:r>
      <w:r w:rsidRPr="0003493C">
        <w:rPr>
          <w:rFonts w:ascii="Palatino Linotype" w:eastAsia="Palatino Linotype" w:hAnsi="Palatino Linotype" w:cs="Palatino Linotype"/>
          <w:b/>
          <w:i/>
        </w:rPr>
        <w:t xml:space="preserve">Secretaría de la Contraloría tendrá a su cargo el sistema de certificación de los medios de identificación electrónica que utilicen los servidores públicos y llevará el control de dicho medio. </w:t>
      </w:r>
    </w:p>
    <w:p w14:paraId="11C48C19" w14:textId="77777777" w:rsidR="006F66E0" w:rsidRPr="0003493C"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3C3F4B43" w14:textId="77777777" w:rsidR="006F66E0" w:rsidRPr="0003493C"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t xml:space="preserve">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 </w:t>
      </w:r>
    </w:p>
    <w:p w14:paraId="63371B4F" w14:textId="77777777" w:rsidR="006F66E0" w:rsidRDefault="006F66E0"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6FDE8D0" w14:textId="77777777" w:rsidR="0003493C" w:rsidRPr="0003493C" w:rsidRDefault="0003493C" w:rsidP="0003493C">
      <w:pPr>
        <w:pBdr>
          <w:top w:val="nil"/>
          <w:left w:val="nil"/>
          <w:bottom w:val="nil"/>
          <w:right w:val="nil"/>
          <w:between w:val="nil"/>
        </w:pBdr>
        <w:spacing w:line="360" w:lineRule="auto"/>
        <w:ind w:left="851" w:right="902"/>
        <w:jc w:val="both"/>
        <w:rPr>
          <w:rFonts w:ascii="Palatino Linotype" w:eastAsia="Palatino Linotype" w:hAnsi="Palatino Linotype" w:cs="Palatino Linotype"/>
          <w:i/>
        </w:rPr>
      </w:pPr>
    </w:p>
    <w:p w14:paraId="541F9AF6"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Por cuanto hace a las atribuciones de la Secretaría de la Contraloría, la fracción XVII del artículo 38 bis de la Ley Orgánica de la Administración Pública del Estado de México, le confiere la atribución de recibir y registrar la declaración de situación patrimonial de los servidores públicos de los municipios, como se lee enseguida: </w:t>
      </w:r>
    </w:p>
    <w:p w14:paraId="5B88B378" w14:textId="77777777" w:rsidR="006F66E0" w:rsidRPr="0003493C" w:rsidRDefault="006F66E0" w:rsidP="0003493C">
      <w:pPr>
        <w:spacing w:line="360" w:lineRule="auto"/>
        <w:ind w:left="1134" w:right="902"/>
        <w:jc w:val="both"/>
        <w:rPr>
          <w:rFonts w:ascii="Palatino Linotype" w:eastAsia="Palatino Linotype" w:hAnsi="Palatino Linotype" w:cs="Palatino Linotype"/>
          <w:i/>
        </w:rPr>
      </w:pPr>
      <w:r w:rsidRPr="0003493C">
        <w:rPr>
          <w:rFonts w:ascii="Palatino Linotype" w:eastAsia="Palatino Linotype" w:hAnsi="Palatino Linotype" w:cs="Palatino Linotype"/>
          <w:b/>
          <w:i/>
        </w:rPr>
        <w:t xml:space="preserve">“Artículo 38 bis. La Secretaría de la Contraloría del Estado de México, es la dependencia encargada de la vigilancia, fiscalización y control de los ingresos, gastos, recursos y obligaciones de la administración </w:t>
      </w:r>
      <w:r w:rsidRPr="0003493C">
        <w:rPr>
          <w:rFonts w:ascii="Palatino Linotype" w:eastAsia="Palatino Linotype" w:hAnsi="Palatino Linotype" w:cs="Palatino Linotype"/>
          <w:b/>
          <w:i/>
        </w:rPr>
        <w:lastRenderedPageBreak/>
        <w:t>pública estatal y su sector auxiliar, así como lo relativo a la presentación de la declaración patrimonial</w:t>
      </w:r>
      <w:r w:rsidRPr="0003493C">
        <w:rPr>
          <w:rFonts w:ascii="Palatino Linotype" w:eastAsia="Palatino Linotype" w:hAnsi="Palatino Linotype" w:cs="Palatino Linotype"/>
          <w:i/>
        </w:rPr>
        <w:t xml:space="preserve">, de intereses y constancia de presentación de la declaración fiscal, así como de la responsabilidad </w:t>
      </w:r>
      <w:r w:rsidRPr="0003493C">
        <w:rPr>
          <w:rFonts w:ascii="Palatino Linotype" w:eastAsia="Palatino Linotype" w:hAnsi="Palatino Linotype" w:cs="Palatino Linotype"/>
          <w:b/>
          <w:i/>
        </w:rPr>
        <w:t>de los servidores públicos</w:t>
      </w:r>
      <w:r w:rsidRPr="0003493C">
        <w:rPr>
          <w:rFonts w:ascii="Palatino Linotype" w:eastAsia="Palatino Linotype" w:hAnsi="Palatino Linotype" w:cs="Palatino Linotype"/>
          <w:i/>
        </w:rPr>
        <w:t>, en términos de lo que disponga la normatividad aplicable en la materia.</w:t>
      </w:r>
    </w:p>
    <w:p w14:paraId="2659F636" w14:textId="77777777" w:rsidR="006F66E0" w:rsidRPr="0003493C" w:rsidRDefault="006F66E0" w:rsidP="0003493C">
      <w:pPr>
        <w:spacing w:line="360" w:lineRule="auto"/>
        <w:ind w:left="1134" w:right="902"/>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p>
    <w:p w14:paraId="64473382" w14:textId="20B80452" w:rsidR="006F66E0" w:rsidRPr="0003493C" w:rsidRDefault="006F66E0" w:rsidP="0003493C">
      <w:pPr>
        <w:spacing w:line="360" w:lineRule="auto"/>
        <w:ind w:left="1134" w:right="902"/>
        <w:jc w:val="both"/>
        <w:rPr>
          <w:rFonts w:ascii="Palatino Linotype" w:eastAsia="Palatino Linotype" w:hAnsi="Palatino Linotype" w:cs="Palatino Linotype"/>
          <w:i/>
        </w:rPr>
      </w:pPr>
      <w:r w:rsidRPr="0003493C">
        <w:rPr>
          <w:rFonts w:ascii="Palatino Linotype" w:eastAsia="Palatino Linotype" w:hAnsi="Palatino Linotype" w:cs="Palatino Linotype"/>
          <w:b/>
          <w:i/>
        </w:rPr>
        <w:t xml:space="preserve">XVII. </w:t>
      </w:r>
      <w:r w:rsidRPr="0003493C">
        <w:rPr>
          <w:rFonts w:ascii="Palatino Linotype" w:eastAsia="Palatino Linotype" w:hAnsi="Palatino Linotype" w:cs="Palatino Linotype"/>
          <w:b/>
          <w:i/>
          <w:u w:val="single"/>
        </w:rPr>
        <w:t xml:space="preserve">Recibir y registrar la declaración de situación patrimonial, </w:t>
      </w:r>
      <w:r w:rsidRPr="0003493C">
        <w:rPr>
          <w:rFonts w:ascii="Palatino Linotype" w:eastAsia="Palatino Linotype" w:hAnsi="Palatino Linotype" w:cs="Palatino Linotype"/>
          <w:i/>
        </w:rPr>
        <w:t xml:space="preserve">la declaración de intereses, la presentación de la constancia de declaración fiscal y determinar el Conflicto de Intereses </w:t>
      </w:r>
      <w:r w:rsidRPr="0003493C">
        <w:rPr>
          <w:rFonts w:ascii="Palatino Linotype" w:eastAsia="Palatino Linotype" w:hAnsi="Palatino Linotype" w:cs="Palatino Linotype"/>
          <w:b/>
          <w:i/>
          <w:u w:val="single"/>
        </w:rPr>
        <w:t>de los servidores públicos del Estado y municipios</w:t>
      </w:r>
      <w:r w:rsidRPr="0003493C">
        <w:rPr>
          <w:rFonts w:ascii="Palatino Linotype" w:eastAsia="Palatino Linotype" w:hAnsi="Palatino Linotype" w:cs="Palatino Linotype"/>
          <w:b/>
          <w:i/>
        </w:rPr>
        <w:t xml:space="preserve">, </w:t>
      </w:r>
      <w:r w:rsidRPr="0003493C">
        <w:rPr>
          <w:rFonts w:ascii="Palatino Linotype" w:eastAsia="Palatino Linotype" w:hAnsi="Palatino Linotype" w:cs="Palatino Linotype"/>
          <w:i/>
        </w:rPr>
        <w:t xml:space="preserve">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w:t>
      </w:r>
      <w:r w:rsidR="00AD40E3" w:rsidRPr="0003493C">
        <w:rPr>
          <w:rFonts w:ascii="Palatino Linotype" w:eastAsia="Palatino Linotype" w:hAnsi="Palatino Linotype" w:cs="Palatino Linotype"/>
          <w:i/>
        </w:rPr>
        <w:t>caso, les hayan sido impuestas.”</w:t>
      </w:r>
    </w:p>
    <w:p w14:paraId="4E8A75C3" w14:textId="77777777" w:rsidR="00AD40E3" w:rsidRPr="0003493C" w:rsidRDefault="00AD40E3" w:rsidP="0003493C">
      <w:pPr>
        <w:spacing w:line="360" w:lineRule="auto"/>
        <w:ind w:left="1134" w:right="902"/>
        <w:jc w:val="both"/>
        <w:rPr>
          <w:rFonts w:ascii="Palatino Linotype" w:eastAsia="Palatino Linotype" w:hAnsi="Palatino Linotype" w:cs="Palatino Linotype"/>
          <w:i/>
        </w:rPr>
      </w:pPr>
    </w:p>
    <w:p w14:paraId="1A8FDD6B"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Por su parte, el Reglamento Interior de la Secretaría de la Contraloría, señala en su artículo 24 fracciones VI y VII, que corresponde a la Dirección General de Responsabilidades Administrativas, entre otras atribuciones, la de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1C2E0786" w14:textId="77777777" w:rsidR="006F66E0" w:rsidRPr="0003493C" w:rsidRDefault="006F66E0" w:rsidP="0003493C">
      <w:pPr>
        <w:pBdr>
          <w:top w:val="nil"/>
          <w:left w:val="nil"/>
          <w:bottom w:val="nil"/>
          <w:right w:val="nil"/>
          <w:between w:val="nil"/>
        </w:pBd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Pr="0003493C">
        <w:rPr>
          <w:rFonts w:ascii="Palatino Linotype" w:eastAsia="Palatino Linotype" w:hAnsi="Palatino Linotype" w:cs="Palatino Linotype"/>
          <w:b/>
          <w:i/>
        </w:rPr>
        <w:t>Artículo 24.</w:t>
      </w:r>
      <w:r w:rsidRPr="0003493C">
        <w:rPr>
          <w:rFonts w:ascii="Palatino Linotype" w:eastAsia="Palatino Linotype" w:hAnsi="Palatino Linotype" w:cs="Palatino Linotype"/>
          <w:i/>
        </w:rPr>
        <w:t xml:space="preserve"> A la Dirección General de Responsabilidades Administrativas, corresponden las atribuciones siguientes: </w:t>
      </w:r>
    </w:p>
    <w:p w14:paraId="2CE35541" w14:textId="77777777" w:rsidR="006F66E0" w:rsidRPr="0003493C" w:rsidRDefault="006F66E0" w:rsidP="0003493C">
      <w:pPr>
        <w:pBdr>
          <w:top w:val="nil"/>
          <w:left w:val="nil"/>
          <w:bottom w:val="nil"/>
          <w:right w:val="nil"/>
          <w:between w:val="nil"/>
        </w:pBd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i/>
        </w:rPr>
        <w:lastRenderedPageBreak/>
        <w:t xml:space="preserve">… </w:t>
      </w:r>
    </w:p>
    <w:p w14:paraId="284A7395" w14:textId="77777777" w:rsidR="006F66E0" w:rsidRPr="0003493C" w:rsidRDefault="006F66E0" w:rsidP="0003493C">
      <w:pPr>
        <w:pBdr>
          <w:top w:val="nil"/>
          <w:left w:val="nil"/>
          <w:bottom w:val="nil"/>
          <w:right w:val="nil"/>
          <w:between w:val="nil"/>
        </w:pBd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b/>
          <w:i/>
        </w:rPr>
        <w:t>VI.</w:t>
      </w:r>
      <w:r w:rsidRPr="0003493C">
        <w:rPr>
          <w:rFonts w:ascii="Palatino Linotype" w:eastAsia="Palatino Linotype" w:hAnsi="Palatino Linotype" w:cs="Palatino Linotype"/>
          <w:i/>
        </w:rPr>
        <w:t xml:space="preserve"> Recibir las declaraciones de situación patrimonial, de intereses y el acuse de la presentación de la declaración fiscal de los servidores públicos de la Administración Pública Estatal y Municipal; </w:t>
      </w:r>
    </w:p>
    <w:p w14:paraId="4B40F438" w14:textId="77777777" w:rsidR="006F66E0" w:rsidRPr="0003493C" w:rsidRDefault="006F66E0" w:rsidP="0003493C">
      <w:pPr>
        <w:pBdr>
          <w:top w:val="nil"/>
          <w:left w:val="nil"/>
          <w:bottom w:val="nil"/>
          <w:right w:val="nil"/>
          <w:between w:val="nil"/>
        </w:pBd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b/>
          <w:i/>
        </w:rPr>
        <w:t>VII.</w:t>
      </w:r>
      <w:r w:rsidRPr="0003493C">
        <w:rPr>
          <w:rFonts w:ascii="Palatino Linotype" w:eastAsia="Palatino Linotype" w:hAnsi="Palatino Linotype" w:cs="Palatino Linotype"/>
          <w:i/>
        </w:rPr>
        <w:t xml:space="preserve"> Coordinar y llevar el registro y </w:t>
      </w:r>
      <w:r w:rsidRPr="0003493C">
        <w:rPr>
          <w:rFonts w:ascii="Palatino Linotype" w:eastAsia="Palatino Linotype" w:hAnsi="Palatino Linotype" w:cs="Palatino Linotype"/>
          <w:b/>
          <w:i/>
        </w:rPr>
        <w:t>resguardo de las declaraciones de situación patrimonial, de intereses y el acuse de la presentación de la declaración fiscal de los servidores públicos de la Administración Pública Estatal y Municipal,</w:t>
      </w:r>
      <w:r w:rsidRPr="0003493C">
        <w:rPr>
          <w:rFonts w:ascii="Palatino Linotype" w:eastAsia="Palatino Linotype" w:hAnsi="Palatino Linotype" w:cs="Palatino Linotype"/>
          <w:i/>
        </w:rPr>
        <w:t xml:space="preserve"> para su publicitación conforme a las disposiciones jurídicas aplicables, así como para suministrar la información correspondiente a la Plataforma Digital Nacional y Estatal del Sistema Nacional y Estatal Anticorrupción;”</w:t>
      </w:r>
    </w:p>
    <w:p w14:paraId="584D5E18" w14:textId="77777777" w:rsidR="00AD40E3" w:rsidRPr="0003493C" w:rsidRDefault="00AD40E3" w:rsidP="0003493C">
      <w:pPr>
        <w:pBdr>
          <w:top w:val="nil"/>
          <w:left w:val="nil"/>
          <w:bottom w:val="nil"/>
          <w:right w:val="nil"/>
          <w:between w:val="nil"/>
        </w:pBdr>
        <w:spacing w:line="360" w:lineRule="auto"/>
        <w:ind w:left="1134" w:right="851"/>
        <w:jc w:val="both"/>
        <w:rPr>
          <w:rFonts w:ascii="Palatino Linotype" w:eastAsia="Palatino Linotype" w:hAnsi="Palatino Linotype" w:cs="Palatino Linotype"/>
          <w:i/>
        </w:rPr>
      </w:pPr>
    </w:p>
    <w:p w14:paraId="15E5E110"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En este sentido, se colige que la Secretaría de la Contraloría, a través de la</w:t>
      </w:r>
      <w:r w:rsidRPr="0003493C">
        <w:rPr>
          <w:rFonts w:ascii="Palatino Linotype" w:eastAsia="Palatino Linotype" w:hAnsi="Palatino Linotype" w:cs="Palatino Linotype"/>
          <w:b/>
        </w:rPr>
        <w:t xml:space="preserve"> Dirección General de Responsabilidades Administrativas</w:t>
      </w:r>
      <w:r w:rsidRPr="0003493C">
        <w:rPr>
          <w:rFonts w:ascii="Palatino Linotype" w:eastAsia="Palatino Linotype" w:hAnsi="Palatino Linotype" w:cs="Palatino Linotype"/>
        </w:rPr>
        <w:t>, es la entidad responsable de recibir, registrar y resguardar las declaraciones de situación patrimonial, de intereses, así como la presentación de la constancia de declaración fiscal de los servidores públicos de la Administración Pública Estatal y Municipal.</w:t>
      </w:r>
    </w:p>
    <w:p w14:paraId="34906128" w14:textId="77777777" w:rsidR="00AD40E3" w:rsidRPr="0003493C" w:rsidRDefault="00AD40E3"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EF7D8B0"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Bajo esta línea de pensamiento resulta importante señalar, respecto de la Declaración Patrimonial, que este Instituto advirtió que en la página oficial de la Secretaría de la Contraloría, en el apartado de Declaración Patrimonial y de Intereses, consultada en la liga electrónica https://portal.secogem.gob.mx/declaranet, precisa que dicha dependencia ofrece el sistema Decl@raNET, con la finalidad de facilitar a los servidores públicos del Estado de México, presenten su Declaración de Situación Patrimonial, Declaración de </w:t>
      </w:r>
      <w:r w:rsidRPr="0003493C">
        <w:rPr>
          <w:rFonts w:ascii="Palatino Linotype" w:eastAsia="Palatino Linotype" w:hAnsi="Palatino Linotype" w:cs="Palatino Linotype"/>
        </w:rPr>
        <w:lastRenderedPageBreak/>
        <w:t>Intereses o Posible Conflicto de Intereses y presentación de Constancia de Declaración Fiscal.</w:t>
      </w:r>
    </w:p>
    <w:p w14:paraId="19BAFDD8" w14:textId="77777777" w:rsidR="00AD40E3" w:rsidRPr="0003493C" w:rsidRDefault="00AD40E3" w:rsidP="0003493C">
      <w:pPr>
        <w:pStyle w:val="Prrafodelista"/>
        <w:spacing w:line="360" w:lineRule="auto"/>
        <w:rPr>
          <w:rFonts w:ascii="Palatino Linotype" w:eastAsia="Palatino Linotype" w:hAnsi="Palatino Linotype" w:cs="Palatino Linotype"/>
        </w:rPr>
      </w:pPr>
    </w:p>
    <w:p w14:paraId="4BA3AB7A"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Además, que en dicho portal se precisa que el sistema Decl@raNET, es administrado por la Secretaría de la Contraloría, y cuyo fin es que los servidores públicos del Estado de México, presenten su Declaración de Situación Patrimonial, Declaración de Intereses o Posible Conflicto de Intereses y la Constancia de Declaración Fiscal.</w:t>
      </w:r>
    </w:p>
    <w:p w14:paraId="4575E55E" w14:textId="77777777" w:rsidR="00AD40E3" w:rsidRPr="0003493C" w:rsidRDefault="00AD40E3" w:rsidP="0003493C">
      <w:pPr>
        <w:pStyle w:val="Prrafodelista"/>
        <w:spacing w:line="360" w:lineRule="auto"/>
        <w:rPr>
          <w:rFonts w:ascii="Palatino Linotype" w:eastAsia="Palatino Linotype" w:hAnsi="Palatino Linotype" w:cs="Palatino Linotype"/>
        </w:rPr>
      </w:pPr>
    </w:p>
    <w:p w14:paraId="60F6419B"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En otras palabras, el Sistema Decl@raNET, es operado únicamente por la Secretaría de la Contraloría, por lo que, es la única dependencia que tiene acceso a las declaraciones presentadas por dicha plataforma; situación que se robustece con el Manual General de Organización de la Secretaría de la Contraloría, que señala que dicha dependencia cuenta con diversas unidades administrativas para el ejercicio de sus funciones, entre las cuales se encuentra el </w:t>
      </w:r>
      <w:r w:rsidRPr="0003493C">
        <w:rPr>
          <w:rFonts w:ascii="Palatino Linotype" w:eastAsia="Palatino Linotype" w:hAnsi="Palatino Linotype" w:cs="Palatino Linotype"/>
          <w:b/>
        </w:rPr>
        <w:t>Departamento de Recepción y Análisis de Manifestación de Bienes y Declaración de Intereses</w:t>
      </w:r>
      <w:r w:rsidRPr="0003493C">
        <w:rPr>
          <w:rFonts w:ascii="Palatino Linotype" w:eastAsia="Palatino Linotype" w:hAnsi="Palatino Linotype" w:cs="Palatino Linotype"/>
        </w:rPr>
        <w:t>, encargado de realizar la recepción, registro y resguardo de las declaraciones de situación patrimonial de los servidores públicos de las Administraciones Públicas Estatal y Municipal.</w:t>
      </w:r>
    </w:p>
    <w:p w14:paraId="0728931C" w14:textId="77777777" w:rsidR="00AD40E3" w:rsidRPr="0003493C" w:rsidRDefault="00AD40E3" w:rsidP="0003493C">
      <w:pPr>
        <w:pStyle w:val="Prrafodelista"/>
        <w:spacing w:line="360" w:lineRule="auto"/>
        <w:rPr>
          <w:rFonts w:ascii="Palatino Linotype" w:eastAsia="Palatino Linotype" w:hAnsi="Palatino Linotype" w:cs="Palatino Linotype"/>
        </w:rPr>
      </w:pPr>
    </w:p>
    <w:p w14:paraId="623FD2CA"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rPr>
      </w:pPr>
      <w:r w:rsidRPr="0003493C">
        <w:rPr>
          <w:rFonts w:ascii="Palatino Linotype" w:eastAsia="Palatino Linotype" w:hAnsi="Palatino Linotype" w:cs="Palatino Linotype"/>
        </w:rPr>
        <w:t xml:space="preserve">Atento a lo anterior, cabe recordar que los artículos 12 y 24 último párrafo de la Ley de Transparencia y Acceso a la Información Pública del Estado de México y Municipios, consagran la obligación de los Sujetos Obligados de hacer entrega de la información que en ejercicio de sus facultades, funciones y atribuciones, recopile, genere, o administre, por lo que </w:t>
      </w:r>
      <w:r w:rsidRPr="0003493C">
        <w:rPr>
          <w:rFonts w:ascii="Palatino Linotype" w:eastAsia="Palatino Linotype" w:hAnsi="Palatino Linotype" w:cs="Palatino Linotype"/>
          <w:b/>
        </w:rPr>
        <w:t>al tenerse por acreditado que los Órganos Internos de Control únicamente verifican el cumplimiento de entrega de las declaraciones patrimoniales</w:t>
      </w:r>
      <w:r w:rsidRPr="0003493C">
        <w:rPr>
          <w:rFonts w:ascii="Palatino Linotype" w:eastAsia="Palatino Linotype" w:hAnsi="Palatino Linotype" w:cs="Palatino Linotype"/>
        </w:rPr>
        <w:t xml:space="preserve">, sin que ellos funjan como </w:t>
      </w:r>
      <w:r w:rsidRPr="0003493C">
        <w:rPr>
          <w:rFonts w:ascii="Palatino Linotype" w:eastAsia="Palatino Linotype" w:hAnsi="Palatino Linotype" w:cs="Palatino Linotype"/>
        </w:rPr>
        <w:lastRenderedPageBreak/>
        <w:t xml:space="preserve">intermediarios en la recepción y posterior entrega de las mismas ante la Secretaría de la Contraloría del Gobierno del Estado de México, </w:t>
      </w:r>
      <w:r w:rsidRPr="0003493C">
        <w:rPr>
          <w:rFonts w:ascii="Palatino Linotype" w:eastAsia="Palatino Linotype" w:hAnsi="Palatino Linotype" w:cs="Palatino Linotype"/>
          <w:b/>
        </w:rPr>
        <w:t>es fácticamente imposible que el Sujeto Obligado, haga entrega de información que no genera, administra o posee al no tener  atribuciones</w:t>
      </w:r>
      <w:r w:rsidRPr="0003493C">
        <w:rPr>
          <w:rFonts w:ascii="Palatino Linotype" w:eastAsia="Palatino Linotype" w:hAnsi="Palatino Linotype" w:cs="Palatino Linotype"/>
        </w:rPr>
        <w:t xml:space="preserve"> </w:t>
      </w:r>
      <w:r w:rsidRPr="0003493C">
        <w:rPr>
          <w:rFonts w:ascii="Palatino Linotype" w:eastAsia="Palatino Linotype" w:hAnsi="Palatino Linotype" w:cs="Palatino Linotype"/>
          <w:b/>
        </w:rPr>
        <w:t>para ello.</w:t>
      </w:r>
    </w:p>
    <w:p w14:paraId="0ED82531" w14:textId="77777777" w:rsidR="00AD40E3" w:rsidRPr="0003493C" w:rsidRDefault="00AD40E3"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5867669"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hAnsi="Palatino Linotype" w:cs="Arial"/>
        </w:rPr>
        <w:t xml:space="preserve">A efecto de robustecer lo anterior </w:t>
      </w:r>
      <w:r w:rsidRPr="0003493C">
        <w:rPr>
          <w:rFonts w:ascii="Palatino Linotype" w:eastAsia="Palatino Linotype" w:hAnsi="Palatino Linotype" w:cs="Palatino Linotype"/>
        </w:rPr>
        <w:t>es imprescindible mencionar que la fracción XIII del artículo 92 de la Ley de Transparencia y Acceso a la Información Pública del Estado de México y Municipios, establece como una obligación de transparencia la publicación en los medios electrónicos, la información relativa a las declaraciones patrimoniales y de intereses de los servidores públicos, en versión pública:</w:t>
      </w:r>
    </w:p>
    <w:p w14:paraId="52796A9E" w14:textId="77777777" w:rsidR="006F66E0" w:rsidRPr="0003493C" w:rsidRDefault="006F66E0" w:rsidP="0003493C">
      <w:pP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rPr>
        <w:t>“</w:t>
      </w:r>
      <w:r w:rsidRPr="0003493C">
        <w:rPr>
          <w:rFonts w:ascii="Palatino Linotype" w:eastAsia="Palatino Linotype" w:hAnsi="Palatino Linotype" w:cs="Palatino Linotype"/>
          <w:b/>
          <w:i/>
        </w:rPr>
        <w:t>Artículo 92.</w:t>
      </w:r>
      <w:r w:rsidRPr="0003493C">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FC0C63" w14:textId="77777777" w:rsidR="006F66E0" w:rsidRPr="0003493C" w:rsidRDefault="006F66E0" w:rsidP="0003493C">
      <w:pP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p>
    <w:p w14:paraId="5E73F566" w14:textId="77777777" w:rsidR="006F66E0" w:rsidRPr="0003493C" w:rsidRDefault="006F66E0" w:rsidP="0003493C">
      <w:pPr>
        <w:spacing w:line="360" w:lineRule="auto"/>
        <w:ind w:left="1134" w:right="851"/>
        <w:jc w:val="both"/>
        <w:rPr>
          <w:rFonts w:ascii="Palatino Linotype" w:eastAsia="Palatino Linotype" w:hAnsi="Palatino Linotype" w:cs="Palatino Linotype"/>
          <w:i/>
        </w:rPr>
      </w:pPr>
      <w:r w:rsidRPr="0003493C">
        <w:rPr>
          <w:rFonts w:ascii="Palatino Linotype" w:eastAsia="Palatino Linotype" w:hAnsi="Palatino Linotype" w:cs="Palatino Linotype"/>
          <w:b/>
          <w:i/>
        </w:rPr>
        <w:t>XIII. La información en versión pública de las declaraciones patrimoniales y de intereses de los servidores públicos que así lo determinen</w:t>
      </w:r>
      <w:r w:rsidRPr="0003493C">
        <w:rPr>
          <w:rFonts w:ascii="Palatino Linotype" w:eastAsia="Palatino Linotype" w:hAnsi="Palatino Linotype" w:cs="Palatino Linotype"/>
          <w:i/>
        </w:rPr>
        <w:t>, en los sistemas habilitados para ello, de acuerdo a la normatividad aplicable;”</w:t>
      </w:r>
    </w:p>
    <w:p w14:paraId="219A362E"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Esta publicación deberá realizarse conforme a los Lineamientos Técnicos Generales para la </w:t>
      </w:r>
      <w:r w:rsidRPr="0003493C">
        <w:rPr>
          <w:rFonts w:ascii="Palatino Linotype" w:hAnsi="Palatino Linotype" w:cs="Arial"/>
        </w:rPr>
        <w:t>publicación</w:t>
      </w:r>
      <w:r w:rsidRPr="0003493C">
        <w:rPr>
          <w:rFonts w:ascii="Palatino Linotype" w:eastAsia="Palatino Linotype" w:hAnsi="Palatino Linotype" w:cs="Palatino Linotype"/>
        </w:rPr>
        <w:t xml:space="preserve">, homologación y estandarización de la información de las obligaciones establecidas en el Título Quinto y en la Fracción IV del artículo 31 de la Ley General de </w:t>
      </w:r>
      <w:r w:rsidRPr="0003493C">
        <w:rPr>
          <w:rFonts w:ascii="Palatino Linotype" w:eastAsia="Palatino Linotype" w:hAnsi="Palatino Linotype" w:cs="Palatino Linotype"/>
        </w:rPr>
        <w:lastRenderedPageBreak/>
        <w:t xml:space="preserve">Transparencia y Acceso a la Información Pública, que deben de difundir los sujetos obligados en los portales de internet y en la Plataforma Nacional de Transparencia. </w:t>
      </w:r>
    </w:p>
    <w:p w14:paraId="2C4C9B76" w14:textId="77777777" w:rsidR="00AD40E3" w:rsidRPr="0003493C" w:rsidRDefault="00AD40E3"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41D3A4F"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Es de señalar que, en uso de sus atribuciones, este Organismo Garante procedió a consultar la tabla de aplicabilidad del </w:t>
      </w:r>
      <w:r w:rsidRPr="0003493C">
        <w:rPr>
          <w:rFonts w:ascii="Palatino Linotype" w:eastAsia="Palatino Linotype" w:hAnsi="Palatino Linotype" w:cs="Palatino Linotype"/>
          <w:b/>
        </w:rPr>
        <w:t>SUJETO OBLIGADO</w:t>
      </w:r>
      <w:r w:rsidRPr="0003493C">
        <w:rPr>
          <w:rFonts w:ascii="Palatino Linotype" w:eastAsia="Palatino Linotype" w:hAnsi="Palatino Linotype" w:cs="Palatino Linotype"/>
        </w:rPr>
        <w:t xml:space="preserve">, en la que se advierte que </w:t>
      </w:r>
      <w:r w:rsidRPr="0003493C">
        <w:rPr>
          <w:rFonts w:ascii="Palatino Linotype" w:eastAsia="Palatino Linotype" w:hAnsi="Palatino Linotype" w:cs="Palatino Linotype"/>
          <w:b/>
        </w:rPr>
        <w:t>no</w:t>
      </w:r>
      <w:r w:rsidRPr="0003493C">
        <w:rPr>
          <w:rFonts w:ascii="Palatino Linotype" w:eastAsia="Palatino Linotype" w:hAnsi="Palatino Linotype" w:cs="Palatino Linotype"/>
        </w:rPr>
        <w:t xml:space="preserve"> le resulta aplicable la obligación de transparencia referida, como se observa en la siguiente ilustración: </w:t>
      </w:r>
    </w:p>
    <w:p w14:paraId="6052B9FF" w14:textId="185F310B" w:rsidR="006F66E0" w:rsidRDefault="00737E6C" w:rsidP="0003493C">
      <w:pPr>
        <w:spacing w:line="360" w:lineRule="auto"/>
        <w:jc w:val="both"/>
        <w:rPr>
          <w:rFonts w:ascii="Palatino Linotype" w:hAnsi="Palatino Linotype"/>
          <w:noProof/>
          <w:lang w:val="es-MX"/>
        </w:rPr>
      </w:pPr>
      <w:r w:rsidRPr="0003493C">
        <w:rPr>
          <w:rFonts w:ascii="Palatino Linotype" w:hAnsi="Palatino Linotype"/>
          <w:noProof/>
          <w:lang w:val="es-MX" w:eastAsia="es-MX"/>
        </w:rPr>
        <w:drawing>
          <wp:inline distT="0" distB="0" distL="0" distR="0" wp14:anchorId="16E94259" wp14:editId="28805BC0">
            <wp:extent cx="5612130" cy="9658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965835"/>
                    </a:xfrm>
                    <a:prstGeom prst="rect">
                      <a:avLst/>
                    </a:prstGeom>
                  </pic:spPr>
                </pic:pic>
              </a:graphicData>
            </a:graphic>
          </wp:inline>
        </w:drawing>
      </w:r>
    </w:p>
    <w:p w14:paraId="17342BBB" w14:textId="77777777" w:rsidR="008D5974" w:rsidRPr="0003493C" w:rsidRDefault="008D5974" w:rsidP="0003493C">
      <w:pPr>
        <w:spacing w:line="360" w:lineRule="auto"/>
        <w:jc w:val="both"/>
        <w:rPr>
          <w:rFonts w:ascii="Palatino Linotype" w:hAnsi="Palatino Linotype"/>
          <w:noProof/>
          <w:lang w:val="es-MX"/>
        </w:rPr>
      </w:pPr>
    </w:p>
    <w:p w14:paraId="4C0A05B0"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 xml:space="preserve">Como se logra </w:t>
      </w:r>
      <w:r w:rsidRPr="0003493C">
        <w:rPr>
          <w:rFonts w:ascii="Palatino Linotype" w:eastAsia="Palatino Linotype" w:hAnsi="Palatino Linotype" w:cs="Palatino Linotype"/>
        </w:rPr>
        <w:t>observar</w:t>
      </w:r>
      <w:r w:rsidRPr="0003493C">
        <w:rPr>
          <w:rFonts w:ascii="Palatino Linotype" w:eastAsia="Calibri" w:hAnsi="Palatino Linotype" w:cs="Tahoma"/>
          <w:bCs/>
          <w:lang w:eastAsia="en-US"/>
        </w:rPr>
        <w:t xml:space="preserve">, el ente recurrido es </w:t>
      </w:r>
      <w:r w:rsidRPr="0003493C">
        <w:rPr>
          <w:rFonts w:ascii="Palatino Linotype" w:eastAsia="Calibri" w:hAnsi="Palatino Linotype" w:cs="Tahoma"/>
          <w:lang w:eastAsia="en-US"/>
        </w:rPr>
        <w:t>notoriamente incompetente</w:t>
      </w:r>
      <w:r w:rsidRPr="0003493C">
        <w:rPr>
          <w:rFonts w:ascii="Palatino Linotype" w:eastAsia="Calibri" w:hAnsi="Palatino Linotype" w:cs="Tahoma"/>
          <w:bCs/>
          <w:lang w:eastAsia="en-US"/>
        </w:rPr>
        <w:t xml:space="preserve"> para conocer de todas las declaraciones patrimoniales de la persona referida en la solicitud de acceso a la información pública, de quien se solicitó la información.</w:t>
      </w:r>
    </w:p>
    <w:p w14:paraId="72BFB79A" w14:textId="77777777" w:rsidR="00737E6C" w:rsidRPr="0003493C" w:rsidRDefault="00737E6C" w:rsidP="0003493C">
      <w:pPr>
        <w:spacing w:line="360" w:lineRule="auto"/>
        <w:ind w:right="-93"/>
        <w:jc w:val="both"/>
        <w:rPr>
          <w:rFonts w:ascii="Palatino Linotype" w:eastAsia="Calibri" w:hAnsi="Palatino Linotype" w:cs="Tahoma"/>
          <w:bCs/>
          <w:lang w:eastAsia="en-US"/>
        </w:rPr>
      </w:pPr>
    </w:p>
    <w:p w14:paraId="22CABF4C" w14:textId="76C488DD" w:rsidR="006F66E0" w:rsidRPr="0003493C" w:rsidRDefault="00737E6C"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 xml:space="preserve">Por lo que hace a la </w:t>
      </w:r>
      <w:r w:rsidRPr="0003493C">
        <w:rPr>
          <w:rFonts w:ascii="Palatino Linotype" w:eastAsia="Calibri" w:hAnsi="Palatino Linotype" w:cs="Tahoma"/>
          <w:b/>
          <w:lang w:eastAsia="en-US"/>
        </w:rPr>
        <w:t>declaración fiscal</w:t>
      </w:r>
      <w:r w:rsidRPr="0003493C">
        <w:rPr>
          <w:rFonts w:ascii="Palatino Linotype" w:eastAsia="Calibri" w:hAnsi="Palatino Linotype" w:cs="Tahoma"/>
          <w:lang w:eastAsia="en-US"/>
        </w:rPr>
        <w:t>, e</w:t>
      </w:r>
      <w:r w:rsidR="006F66E0" w:rsidRPr="0003493C">
        <w:rPr>
          <w:rFonts w:ascii="Palatino Linotype" w:eastAsia="Calibri" w:hAnsi="Palatino Linotype" w:cs="Tahoma"/>
          <w:bCs/>
          <w:lang w:eastAsia="en-US"/>
        </w:rPr>
        <w:t>s conviene citar el artículo 1, 6, 31-A y 32 del Código Fiscal de la Federación, que señala al respecto lo siguiente:</w:t>
      </w:r>
    </w:p>
    <w:p w14:paraId="57CD0664" w14:textId="77777777" w:rsidR="008D5974" w:rsidRDefault="008D5974" w:rsidP="0003493C">
      <w:pPr>
        <w:spacing w:line="360" w:lineRule="auto"/>
        <w:ind w:left="567" w:right="567"/>
        <w:contextualSpacing/>
        <w:jc w:val="center"/>
        <w:rPr>
          <w:rFonts w:ascii="Palatino Linotype" w:eastAsia="Calibri" w:hAnsi="Palatino Linotype" w:cs="Tahoma"/>
          <w:b/>
          <w:bCs/>
          <w:i/>
          <w:lang w:eastAsia="en-US"/>
        </w:rPr>
      </w:pPr>
    </w:p>
    <w:p w14:paraId="0C6C961E" w14:textId="77777777" w:rsidR="006F66E0" w:rsidRPr="0003493C" w:rsidRDefault="006F66E0" w:rsidP="0003493C">
      <w:pPr>
        <w:spacing w:line="360" w:lineRule="auto"/>
        <w:ind w:left="567" w:right="567"/>
        <w:contextualSpacing/>
        <w:jc w:val="center"/>
        <w:rPr>
          <w:rFonts w:ascii="Palatino Linotype" w:eastAsia="Calibri" w:hAnsi="Palatino Linotype" w:cs="Tahoma"/>
          <w:b/>
          <w:bCs/>
          <w:i/>
          <w:lang w:eastAsia="en-US"/>
        </w:rPr>
      </w:pPr>
      <w:r w:rsidRPr="0003493C">
        <w:rPr>
          <w:rFonts w:ascii="Palatino Linotype" w:eastAsia="Calibri" w:hAnsi="Palatino Linotype" w:cs="Tahoma"/>
          <w:b/>
          <w:bCs/>
          <w:i/>
          <w:lang w:eastAsia="en-US"/>
        </w:rPr>
        <w:t>TITULO PRIMERO</w:t>
      </w:r>
    </w:p>
    <w:p w14:paraId="3CC7B77E" w14:textId="77777777" w:rsidR="006F66E0" w:rsidRPr="0003493C" w:rsidRDefault="006F66E0" w:rsidP="0003493C">
      <w:pPr>
        <w:spacing w:line="360" w:lineRule="auto"/>
        <w:ind w:left="567" w:right="567"/>
        <w:contextualSpacing/>
        <w:jc w:val="center"/>
        <w:rPr>
          <w:rFonts w:ascii="Palatino Linotype" w:eastAsia="Calibri" w:hAnsi="Palatino Linotype" w:cs="Tahoma"/>
          <w:b/>
          <w:bCs/>
          <w:i/>
          <w:lang w:eastAsia="en-US"/>
        </w:rPr>
      </w:pPr>
      <w:r w:rsidRPr="0003493C">
        <w:rPr>
          <w:rFonts w:ascii="Palatino Linotype" w:eastAsia="Calibri" w:hAnsi="Palatino Linotype" w:cs="Tahoma"/>
          <w:b/>
          <w:bCs/>
          <w:i/>
          <w:lang w:eastAsia="en-US"/>
        </w:rPr>
        <w:t>Disposiciones Generales</w:t>
      </w:r>
    </w:p>
    <w:p w14:paraId="54D73843" w14:textId="77777777" w:rsidR="006F66E0" w:rsidRPr="0003493C" w:rsidRDefault="006F66E0" w:rsidP="0003493C">
      <w:pPr>
        <w:spacing w:line="360" w:lineRule="auto"/>
        <w:ind w:left="567" w:right="567"/>
        <w:contextualSpacing/>
        <w:jc w:val="center"/>
        <w:rPr>
          <w:rFonts w:ascii="Palatino Linotype" w:eastAsia="Calibri" w:hAnsi="Palatino Linotype" w:cs="Tahoma"/>
          <w:bCs/>
          <w:i/>
          <w:lang w:eastAsia="en-US"/>
        </w:rPr>
      </w:pPr>
      <w:r w:rsidRPr="0003493C">
        <w:rPr>
          <w:rFonts w:ascii="Palatino Linotype" w:eastAsia="Calibri" w:hAnsi="Palatino Linotype" w:cs="Tahoma"/>
          <w:b/>
          <w:bCs/>
          <w:i/>
          <w:lang w:eastAsia="en-US"/>
        </w:rPr>
        <w:t>CAPITULO I</w:t>
      </w:r>
      <w:r w:rsidRPr="0003493C">
        <w:rPr>
          <w:rFonts w:ascii="Palatino Linotype" w:eastAsia="Calibri" w:hAnsi="Palatino Linotype" w:cs="Tahoma"/>
          <w:b/>
          <w:bCs/>
          <w:i/>
          <w:lang w:eastAsia="en-US"/>
        </w:rPr>
        <w:cr/>
      </w:r>
    </w:p>
    <w:p w14:paraId="5F9633DC"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lastRenderedPageBreak/>
        <w:t xml:space="preserve">Artículo 1o.- </w:t>
      </w:r>
      <w:r w:rsidRPr="0003493C">
        <w:rPr>
          <w:rFonts w:ascii="Palatino Linotype" w:eastAsia="Calibri" w:hAnsi="Palatino Linotype" w:cs="Tahoma"/>
          <w:bCs/>
          <w:i/>
          <w:u w:val="single"/>
          <w:lang w:eastAsia="en-US"/>
        </w:rPr>
        <w:t>Las personas físicas y las morales, están obligadas a contribuir para los gastos públicos conforme a las leyes fiscales respectivas.</w:t>
      </w:r>
      <w:r w:rsidRPr="0003493C">
        <w:rPr>
          <w:rFonts w:ascii="Palatino Linotype" w:eastAsia="Calibri" w:hAnsi="Palatino Linotype" w:cs="Tahoma"/>
          <w:bCs/>
          <w:i/>
          <w:lang w:eastAsia="en-US"/>
        </w:rPr>
        <w:t xml:space="preserve"> Las disposiciones de este Código se aplicarán en su defecto y sin perjuicio de lo dispuesto por los tratados internacionales de los que México sea parte. Sólo mediante ley podrá destinarse una contribución a un gasto público específico.</w:t>
      </w:r>
    </w:p>
    <w:p w14:paraId="205070BD"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w:t>
      </w:r>
    </w:p>
    <w:p w14:paraId="4901D921"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w:t>
      </w:r>
    </w:p>
    <w:p w14:paraId="66F391FD"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Las personas que de conformidad con las leyes fiscales no estén obligadas a pagar contribuciones, únicamente tendrán las otras obligaciones que establezcan en forma expresa las propias leyes.</w:t>
      </w:r>
    </w:p>
    <w:p w14:paraId="2934904C"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p>
    <w:p w14:paraId="609070F9"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Artículo 6o.- Las contribuciones se causan conforme se realizan las situaciones jurídicas o de hecho, previstas en las leyes fiscales vigentes durante el lapso en que ocurran.</w:t>
      </w:r>
    </w:p>
    <w:p w14:paraId="204AF798"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Dichas contribuciones se determinarán conforme a las disposiciones vigentes en el momento de su causación, pero les serán aplicables las normas sobre procedimiento que se expidan con posterioridad.</w:t>
      </w:r>
    </w:p>
    <w:p w14:paraId="770954B6"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
          <w:bCs/>
          <w:i/>
          <w:lang w:eastAsia="en-US"/>
        </w:rPr>
        <w:t>Corresponde a los contribuyentes la determinación de las contribuciones a su cargo, salvo disposición expresa en contrario</w:t>
      </w:r>
      <w:r w:rsidRPr="0003493C">
        <w:rPr>
          <w:rFonts w:ascii="Palatino Linotype" w:eastAsia="Calibri" w:hAnsi="Palatino Linotype" w:cs="Tahoma"/>
          <w:bCs/>
          <w:i/>
          <w:lang w:eastAsia="en-US"/>
        </w:rPr>
        <w:t>. Si las autoridades fiscales deben hacer la determinación, los contribuyentes les proporcionarán la información necesaria dentro de los 15 días siguientes a la fecha de su causación.</w:t>
      </w:r>
    </w:p>
    <w:p w14:paraId="3C03C9CC"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Las contribuciones se pagan en la fecha o dentro del plazo señalado en las disposiciones respectivas.</w:t>
      </w:r>
    </w:p>
    <w:p w14:paraId="78615E5D"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
          <w:bCs/>
          <w:i/>
          <w:lang w:eastAsia="en-US"/>
        </w:rPr>
        <w:lastRenderedPageBreak/>
        <w:t>A falta de disposición expresa el pago deberá hacerse mediante declaración que se presentará ante las oficinas autorizadas,</w:t>
      </w:r>
      <w:r w:rsidRPr="0003493C">
        <w:rPr>
          <w:rFonts w:ascii="Palatino Linotype" w:eastAsia="Calibri" w:hAnsi="Palatino Linotype" w:cs="Tahoma"/>
          <w:bCs/>
          <w:i/>
          <w:lang w:eastAsia="en-US"/>
        </w:rPr>
        <w:t xml:space="preserve"> dentro del plazo que a continuación se indica:</w:t>
      </w:r>
    </w:p>
    <w:p w14:paraId="4A6E0C06"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I. a III.</w:t>
      </w:r>
    </w:p>
    <w:p w14:paraId="7AD00DEE"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w:t>
      </w:r>
    </w:p>
    <w:p w14:paraId="1AB355CE"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 xml:space="preserve">Artículo 31-A. </w:t>
      </w:r>
      <w:r w:rsidRPr="0003493C">
        <w:rPr>
          <w:rFonts w:ascii="Palatino Linotype" w:eastAsia="Calibri" w:hAnsi="Palatino Linotype" w:cs="Tahoma"/>
          <w:b/>
          <w:bCs/>
          <w:i/>
          <w:lang w:eastAsia="en-US"/>
        </w:rPr>
        <w:t>Los contribuyentes deberán presentar la información de las operaciones que se señalen en la forma oficial que al efecto aprueben las autoridades fiscales</w:t>
      </w:r>
      <w:r w:rsidRPr="0003493C">
        <w:rPr>
          <w:rFonts w:ascii="Palatino Linotype" w:eastAsia="Calibri" w:hAnsi="Palatino Linotype" w:cs="Tahoma"/>
          <w:bCs/>
          <w:i/>
          <w:lang w:eastAsia="en-US"/>
        </w:rPr>
        <w:t>, dentro de los treinta días siguientes a aquél en el que se celebraron.</w:t>
      </w:r>
    </w:p>
    <w:p w14:paraId="6CEF7A81"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Cuando los contribuyentes presenten la información de forma incompleta o con errores, tendrán un plazo de treinta días contado a partir de la notificación de la autoridad, para complementar o corregir la información presentada.</w:t>
      </w:r>
    </w:p>
    <w:p w14:paraId="3A3B8952"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r w:rsidRPr="0003493C">
        <w:rPr>
          <w:rFonts w:ascii="Palatino Linotype" w:eastAsia="Calibri" w:hAnsi="Palatino Linotype" w:cs="Tahoma"/>
          <w:bCs/>
          <w:i/>
          <w:lang w:eastAsia="en-US"/>
        </w:rPr>
        <w:t>Se considerará incumplida la obligación fiscal señalada en el presente artículo, cuando los contribuyentes, una vez transcurrido el plazo señalado en el párrafo que antecede, no hayan presentado la información conducente o ésta se presente con errores.</w:t>
      </w:r>
    </w:p>
    <w:p w14:paraId="190FDC58" w14:textId="77777777" w:rsidR="006F66E0" w:rsidRPr="0003493C" w:rsidRDefault="006F66E0" w:rsidP="0003493C">
      <w:pPr>
        <w:spacing w:line="360" w:lineRule="auto"/>
        <w:ind w:left="567" w:right="567"/>
        <w:contextualSpacing/>
        <w:jc w:val="both"/>
        <w:rPr>
          <w:rFonts w:ascii="Palatino Linotype" w:eastAsia="Calibri" w:hAnsi="Palatino Linotype" w:cs="Tahoma"/>
          <w:bCs/>
          <w:i/>
          <w:lang w:eastAsia="en-US"/>
        </w:rPr>
      </w:pPr>
    </w:p>
    <w:p w14:paraId="1084CF5F" w14:textId="77777777" w:rsidR="006F66E0" w:rsidRDefault="006F66E0" w:rsidP="0003493C">
      <w:pPr>
        <w:spacing w:line="360" w:lineRule="auto"/>
        <w:ind w:left="567" w:right="567"/>
        <w:contextualSpacing/>
        <w:jc w:val="both"/>
        <w:rPr>
          <w:rFonts w:ascii="Palatino Linotype" w:eastAsia="Calibri" w:hAnsi="Palatino Linotype" w:cs="Tahoma"/>
          <w:b/>
          <w:bCs/>
          <w:i/>
          <w:lang w:eastAsia="en-US"/>
        </w:rPr>
      </w:pPr>
      <w:r w:rsidRPr="0003493C">
        <w:rPr>
          <w:rFonts w:ascii="Palatino Linotype" w:eastAsia="Calibri" w:hAnsi="Palatino Linotype" w:cs="Tahoma"/>
          <w:b/>
          <w:bCs/>
          <w:i/>
          <w:lang w:eastAsia="en-US"/>
        </w:rPr>
        <w:t>Artículo 32.- Las declaraciones que presenten los contribuyentes serán definitivas y sólo se podrán modificar por el propio contribuyente hasta en tres ocasiones, siempre que no se haya iniciado el ejercicio de las facultades de comprobación….”</w:t>
      </w:r>
    </w:p>
    <w:p w14:paraId="75D93439" w14:textId="77777777" w:rsidR="0003493C" w:rsidRPr="0003493C" w:rsidRDefault="0003493C" w:rsidP="0003493C">
      <w:pPr>
        <w:spacing w:line="360" w:lineRule="auto"/>
        <w:ind w:left="567" w:right="567"/>
        <w:contextualSpacing/>
        <w:jc w:val="both"/>
        <w:rPr>
          <w:rFonts w:ascii="Palatino Linotype" w:eastAsia="Calibri" w:hAnsi="Palatino Linotype" w:cs="Tahoma"/>
          <w:b/>
          <w:bCs/>
          <w:i/>
          <w:lang w:eastAsia="en-US"/>
        </w:rPr>
      </w:pPr>
    </w:p>
    <w:p w14:paraId="6D0A2D7D"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De lo anterior se advierte que las personas físicas están obligada al pago de contribuciones de carácter federal, ante las autoridades fiscales competentes y tienen la obligación de presentar declaraciones de carácter definitivo, las cuales pueden ser modificadas hasta en tanto la autoridad no dé inicio a sus actividades de comprobación.</w:t>
      </w:r>
    </w:p>
    <w:p w14:paraId="5CD7B179"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lastRenderedPageBreak/>
        <w:t>Por su parte, la Ley del Servicio de Administración Tributaria establece sobre el pago de contribuciones de carácter federal, lo siguiente:</w:t>
      </w:r>
    </w:p>
    <w:p w14:paraId="42C3941D" w14:textId="77777777" w:rsidR="006F66E0" w:rsidRPr="0003493C" w:rsidRDefault="006F66E0" w:rsidP="0003493C">
      <w:pPr>
        <w:spacing w:line="360" w:lineRule="auto"/>
        <w:ind w:left="567" w:right="567"/>
        <w:contextualSpacing/>
        <w:jc w:val="both"/>
        <w:rPr>
          <w:rFonts w:ascii="Palatino Linotype" w:hAnsi="Palatino Linotype"/>
          <w:i/>
        </w:rPr>
      </w:pPr>
      <w:r w:rsidRPr="0003493C">
        <w:rPr>
          <w:rFonts w:ascii="Palatino Linotype" w:hAnsi="Palatino Linotype"/>
          <w:i/>
        </w:rPr>
        <w:t xml:space="preserve">“Artículo 1o. El Servicio de Administración Tributaria es un órgano desconcentrado de la Secretaría de Hacienda y Crédito Público, con el carácter de autoridad fiscal, y con las atribuciones y facultades ejecutivas que señala esta Ley. </w:t>
      </w:r>
    </w:p>
    <w:p w14:paraId="64160309" w14:textId="77777777" w:rsidR="006F66E0" w:rsidRPr="0003493C" w:rsidRDefault="006F66E0" w:rsidP="0003493C">
      <w:pPr>
        <w:spacing w:line="360" w:lineRule="auto"/>
        <w:ind w:left="567" w:right="567"/>
        <w:contextualSpacing/>
        <w:jc w:val="both"/>
        <w:rPr>
          <w:rFonts w:ascii="Palatino Linotype" w:hAnsi="Palatino Linotype"/>
          <w:i/>
        </w:rPr>
      </w:pPr>
    </w:p>
    <w:p w14:paraId="3B7F5CB1" w14:textId="77777777" w:rsidR="006F66E0" w:rsidRPr="0003493C" w:rsidRDefault="006F66E0" w:rsidP="0003493C">
      <w:pPr>
        <w:spacing w:line="360" w:lineRule="auto"/>
        <w:ind w:left="567" w:right="567"/>
        <w:contextualSpacing/>
        <w:jc w:val="both"/>
        <w:rPr>
          <w:rFonts w:ascii="Palatino Linotype" w:hAnsi="Palatino Linotype"/>
          <w:i/>
        </w:rPr>
      </w:pPr>
      <w:r w:rsidRPr="0003493C">
        <w:rPr>
          <w:rFonts w:ascii="Palatino Linotype" w:hAnsi="Palatino Linotype"/>
          <w:i/>
        </w:rPr>
        <w:t xml:space="preserve">Artículo 2o. </w:t>
      </w:r>
      <w:r w:rsidRPr="0003493C">
        <w:rPr>
          <w:rFonts w:ascii="Palatino Linotype" w:hAnsi="Palatino Linotype"/>
          <w:b/>
          <w:i/>
        </w:rPr>
        <w:t>El Servicio de Administración Tributaria tiene la responsabilidad de aplicar la legislación fiscal</w:t>
      </w:r>
      <w:r w:rsidRPr="0003493C">
        <w:rPr>
          <w:rFonts w:ascii="Palatino Linotype" w:hAnsi="Palatino Linotype"/>
          <w:i/>
        </w:rPr>
        <w:t xml:space="preserve"> y aduanera con el fin de que las personas físicas y morales contribuyan proporcional y equitativamente al gasto público, de fiscalizar a los contribuyentes para que cumplan con las disposiciones tributarias y aduaneras, de facilitar e incentivar el cumplimiento voluntario de dichas disposiciones, y de generar y proporcionar la información necesaria para el diseño y la evaluación de la política tributaria.</w:t>
      </w:r>
    </w:p>
    <w:p w14:paraId="2013C5C6" w14:textId="77777777" w:rsidR="006F66E0" w:rsidRDefault="006F66E0" w:rsidP="0003493C">
      <w:pPr>
        <w:spacing w:line="360" w:lineRule="auto"/>
        <w:ind w:left="567" w:right="567"/>
        <w:contextualSpacing/>
        <w:jc w:val="both"/>
        <w:rPr>
          <w:rFonts w:ascii="Palatino Linotype" w:hAnsi="Palatino Linotype"/>
          <w:i/>
        </w:rPr>
      </w:pPr>
      <w:r w:rsidRPr="0003493C">
        <w:rPr>
          <w:rFonts w:ascii="Palatino Linotype" w:hAnsi="Palatino Linotype"/>
          <w:i/>
        </w:rPr>
        <w:t>…</w:t>
      </w:r>
    </w:p>
    <w:p w14:paraId="28B5658C" w14:textId="77777777" w:rsidR="0003493C" w:rsidRPr="0003493C" w:rsidRDefault="0003493C" w:rsidP="0003493C">
      <w:pPr>
        <w:spacing w:line="360" w:lineRule="auto"/>
        <w:ind w:left="567" w:right="567"/>
        <w:contextualSpacing/>
        <w:jc w:val="both"/>
        <w:rPr>
          <w:rFonts w:ascii="Palatino Linotype" w:hAnsi="Palatino Linotype"/>
          <w:i/>
        </w:rPr>
      </w:pPr>
    </w:p>
    <w:p w14:paraId="3196FDBE" w14:textId="77777777" w:rsidR="006F66E0" w:rsidRPr="0003493C" w:rsidRDefault="006F66E0" w:rsidP="0003493C">
      <w:pPr>
        <w:spacing w:line="360" w:lineRule="auto"/>
        <w:ind w:left="567" w:right="567"/>
        <w:contextualSpacing/>
        <w:jc w:val="both"/>
        <w:rPr>
          <w:rFonts w:ascii="Palatino Linotype" w:hAnsi="Palatino Linotype"/>
          <w:i/>
        </w:rPr>
      </w:pPr>
      <w:r w:rsidRPr="0003493C">
        <w:rPr>
          <w:rFonts w:ascii="Palatino Linotype" w:hAnsi="Palatino Linotype"/>
          <w:i/>
        </w:rPr>
        <w:t xml:space="preserve">Artículo 7o. El Servicio de Administración Tributaria tendrá las atribuciones siguientes: </w:t>
      </w:r>
    </w:p>
    <w:p w14:paraId="08914070" w14:textId="54521696" w:rsidR="006F66E0" w:rsidRPr="0003493C" w:rsidRDefault="006F66E0" w:rsidP="0003493C">
      <w:pPr>
        <w:pStyle w:val="Prrafodelista"/>
        <w:numPr>
          <w:ilvl w:val="0"/>
          <w:numId w:val="29"/>
        </w:numPr>
        <w:spacing w:line="360" w:lineRule="auto"/>
        <w:ind w:left="567" w:right="567" w:firstLine="0"/>
        <w:jc w:val="both"/>
        <w:rPr>
          <w:rFonts w:ascii="Palatino Linotype" w:hAnsi="Palatino Linotype"/>
          <w:i/>
        </w:rPr>
      </w:pPr>
      <w:r w:rsidRPr="0003493C">
        <w:rPr>
          <w:rFonts w:ascii="Palatino Linotype" w:hAnsi="Palatino Linotype"/>
          <w:i/>
        </w:rPr>
        <w:t>Recaudar los impuestos, contribuciones de mejoras, derechos, productos, aprovechamientos federales y sus accesorios de acuerdo a</w:t>
      </w:r>
      <w:r w:rsidR="0003493C">
        <w:rPr>
          <w:rFonts w:ascii="Palatino Linotype" w:hAnsi="Palatino Linotype"/>
          <w:i/>
        </w:rPr>
        <w:t xml:space="preserve"> la legislación aplicable…”</w:t>
      </w:r>
    </w:p>
    <w:p w14:paraId="0AB8F1BA" w14:textId="77777777" w:rsidR="006F66E0" w:rsidRPr="0003493C" w:rsidRDefault="006F66E0" w:rsidP="0003493C">
      <w:pPr>
        <w:spacing w:line="360" w:lineRule="auto"/>
        <w:ind w:right="-93"/>
        <w:jc w:val="both"/>
        <w:rPr>
          <w:rFonts w:ascii="Palatino Linotype" w:eastAsia="Calibri" w:hAnsi="Palatino Linotype" w:cs="Tahoma"/>
          <w:bCs/>
          <w:i/>
          <w:lang w:eastAsia="en-US"/>
        </w:rPr>
      </w:pPr>
    </w:p>
    <w:p w14:paraId="741E2B48" w14:textId="77777777" w:rsidR="006F66E0"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 xml:space="preserve">En este sentido, corresponde al Servicio de Administración Tributaria, aplicar la legislación fiscal; ahora bien, este órgano desconcentrado de la Secretaría de Hacienda y Crédito Pública, de conformidad con el artículo 1° del Reglamento Interior del Servicio de Administración Tributaria, tiene a su cargo el ejercicio de las atribuciones y el despacho de los asuntos que le otorgan la Ley del Servicio de Administración Tributaria, otras leyes, </w:t>
      </w:r>
      <w:r w:rsidRPr="0003493C">
        <w:rPr>
          <w:rFonts w:ascii="Palatino Linotype" w:eastAsia="Calibri" w:hAnsi="Palatino Linotype" w:cs="Tahoma"/>
          <w:bCs/>
          <w:lang w:eastAsia="en-US"/>
        </w:rPr>
        <w:lastRenderedPageBreak/>
        <w:t>reglamentos, decretos, acuerdos y demás disposiciones jurídicas aplicables, así como los asuntos que el Secretario de Hacienda y Crédito Público le encomiende ejecutar y coordinar en las materias a que se refiere el presente Reglamento.</w:t>
      </w:r>
    </w:p>
    <w:p w14:paraId="6F7AFFBE" w14:textId="77777777" w:rsidR="008D5974" w:rsidRPr="0003493C" w:rsidRDefault="008D5974" w:rsidP="008D5974">
      <w:pPr>
        <w:pBdr>
          <w:top w:val="nil"/>
          <w:left w:val="nil"/>
          <w:bottom w:val="nil"/>
          <w:right w:val="nil"/>
          <w:between w:val="nil"/>
        </w:pBdr>
        <w:spacing w:line="360" w:lineRule="auto"/>
        <w:ind w:right="49"/>
        <w:jc w:val="both"/>
        <w:rPr>
          <w:rFonts w:ascii="Palatino Linotype" w:eastAsia="Calibri" w:hAnsi="Palatino Linotype" w:cs="Tahoma"/>
          <w:bCs/>
          <w:lang w:eastAsia="en-US"/>
        </w:rPr>
      </w:pPr>
    </w:p>
    <w:p w14:paraId="015A9DE6"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Asimismo, cuenta con el área denominada Administración General de Recaudación, a la cual le compete de conformidad con el artículo 16, fracciones III, IV, X, XI, XIII y XIV del Reglamento Interior del Servicio de Administración Tributaria, lo siguiente:</w:t>
      </w:r>
    </w:p>
    <w:p w14:paraId="158F7DD9"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
          <w:bCs/>
          <w:lang w:eastAsia="en-US"/>
        </w:rPr>
      </w:pPr>
      <w:r w:rsidRPr="0003493C">
        <w:rPr>
          <w:rFonts w:ascii="Palatino Linotype" w:eastAsia="Calibri" w:hAnsi="Palatino Linotype" w:cs="Tahoma"/>
          <w:bCs/>
          <w:lang w:eastAsia="en-US"/>
        </w:rPr>
        <w:t xml:space="preserve">Definir, previa opinión de la Administración General de Planeación y de la Administración General de Servicios al Contribuyente, </w:t>
      </w:r>
      <w:r w:rsidRPr="0003493C">
        <w:rPr>
          <w:rFonts w:ascii="Palatino Linotype" w:eastAsia="Calibri" w:hAnsi="Palatino Linotype" w:cs="Tahoma"/>
          <w:b/>
          <w:bCs/>
          <w:lang w:eastAsia="en-US"/>
        </w:rPr>
        <w:t>las formas oficiales y demás documentos requeridos por las disposiciones fiscales</w:t>
      </w:r>
      <w:r w:rsidRPr="0003493C">
        <w:rPr>
          <w:rFonts w:ascii="Palatino Linotype" w:eastAsia="Calibri" w:hAnsi="Palatino Linotype" w:cs="Tahoma"/>
          <w:bCs/>
          <w:lang w:eastAsia="en-US"/>
        </w:rPr>
        <w:t xml:space="preserve"> y aduaneras, así como la integración y actualización de los archivos que se utilicen para el procesamiento electrónico de datos, </w:t>
      </w:r>
      <w:r w:rsidRPr="0003493C">
        <w:rPr>
          <w:rFonts w:ascii="Palatino Linotype" w:eastAsia="Calibri" w:hAnsi="Palatino Linotype" w:cs="Tahoma"/>
          <w:b/>
          <w:bCs/>
          <w:lang w:eastAsia="en-US"/>
        </w:rPr>
        <w:t>respecto de las declaraciones</w:t>
      </w:r>
      <w:r w:rsidRPr="0003493C">
        <w:rPr>
          <w:rFonts w:ascii="Palatino Linotype" w:eastAsia="Calibri" w:hAnsi="Palatino Linotype" w:cs="Tahoma"/>
          <w:bCs/>
          <w:lang w:eastAsia="en-US"/>
        </w:rPr>
        <w:t xml:space="preserve"> y pagos, y </w:t>
      </w:r>
      <w:r w:rsidRPr="0003493C">
        <w:rPr>
          <w:rFonts w:ascii="Palatino Linotype" w:eastAsia="Calibri" w:hAnsi="Palatino Linotype" w:cs="Tahoma"/>
          <w:b/>
          <w:bCs/>
          <w:lang w:eastAsia="en-US"/>
        </w:rPr>
        <w:t>verificar la integridad de la información contenida en los mismos, dándole la participación que le corresponda a las unidades administrativas competentes del Servicio de Administración Tributaria y de la Secretaría de Hacienda y Crédito Público.</w:t>
      </w:r>
    </w:p>
    <w:p w14:paraId="52EBBCBC"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Cs/>
          <w:lang w:eastAsia="en-US"/>
        </w:rPr>
      </w:pPr>
      <w:r w:rsidRPr="0003493C">
        <w:rPr>
          <w:rFonts w:ascii="Palatino Linotype" w:eastAsia="Calibri" w:hAnsi="Palatino Linotype" w:cs="Tahoma"/>
          <w:bCs/>
          <w:lang w:eastAsia="en-US"/>
        </w:rPr>
        <w:t>Elaborar y actualizar los instructivos de operación para la prestación de los servicios de recepción de información de declaraciones fiscales y de recaudación de ingresos federales por parte de las instituciones de crédito, terceros u oficinas de recaudación autorizadas;</w:t>
      </w:r>
    </w:p>
    <w:p w14:paraId="78E538B4"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Cs/>
          <w:lang w:eastAsia="en-US"/>
        </w:rPr>
      </w:pPr>
      <w:r w:rsidRPr="0003493C">
        <w:rPr>
          <w:rFonts w:ascii="Palatino Linotype" w:eastAsia="Calibri" w:hAnsi="Palatino Linotype" w:cs="Tahoma"/>
          <w:bCs/>
          <w:lang w:eastAsia="en-US"/>
        </w:rPr>
        <w:t>Normar, tramitar y resolver las solicitudes de aclaración que presenten los contribuyentes relacionadas con la presentación de declaraciones y recepción de pagos, así como requerimientos derivados de dichas declaraciones y pagos.</w:t>
      </w:r>
    </w:p>
    <w:p w14:paraId="0CBD41F0"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Cs/>
          <w:lang w:eastAsia="en-US"/>
        </w:rPr>
      </w:pPr>
      <w:r w:rsidRPr="0003493C">
        <w:rPr>
          <w:rFonts w:ascii="Palatino Linotype" w:eastAsia="Calibri" w:hAnsi="Palatino Linotype" w:cs="Tahoma"/>
          <w:b/>
          <w:bCs/>
          <w:u w:val="single"/>
          <w:lang w:eastAsia="en-US"/>
        </w:rPr>
        <w:lastRenderedPageBreak/>
        <w:t>Recibir de los particulares, directamente o a través de las oficinas y medios electrónicos autorizados, las declaraciones a que obliguen las disposiciones fiscales</w:t>
      </w:r>
      <w:r w:rsidRPr="0003493C">
        <w:rPr>
          <w:rFonts w:ascii="Palatino Linotype" w:eastAsia="Calibri" w:hAnsi="Palatino Linotype" w:cs="Tahoma"/>
          <w:bCs/>
          <w:lang w:eastAsia="en-US"/>
        </w:rPr>
        <w:t>.</w:t>
      </w:r>
    </w:p>
    <w:p w14:paraId="6CA821CF"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
          <w:bCs/>
          <w:lang w:eastAsia="en-US"/>
        </w:rPr>
      </w:pPr>
      <w:r w:rsidRPr="0003493C">
        <w:rPr>
          <w:rFonts w:ascii="Palatino Linotype" w:eastAsia="Calibri" w:hAnsi="Palatino Linotype" w:cs="Tahoma"/>
          <w:bCs/>
          <w:lang w:eastAsia="en-US"/>
        </w:rPr>
        <w:t xml:space="preserve">Vigilar que los contribuyentes, responsables solidarios y demás obligados en materia de contribuciones, aprovechamientos y sus accesorios, </w:t>
      </w:r>
      <w:r w:rsidRPr="0003493C">
        <w:rPr>
          <w:rFonts w:ascii="Palatino Linotype" w:eastAsia="Calibri" w:hAnsi="Palatino Linotype" w:cs="Tahoma"/>
          <w:b/>
          <w:bCs/>
          <w:lang w:eastAsia="en-US"/>
        </w:rPr>
        <w:t>cumplan con la obligación de presentar la información a través de las declaraciones correspondientes conforme a las disposiciones fiscales;</w:t>
      </w:r>
    </w:p>
    <w:p w14:paraId="0F00E028" w14:textId="77777777" w:rsidR="006F66E0" w:rsidRPr="0003493C" w:rsidRDefault="006F66E0" w:rsidP="0003493C">
      <w:pPr>
        <w:pStyle w:val="Prrafodelista"/>
        <w:numPr>
          <w:ilvl w:val="0"/>
          <w:numId w:val="28"/>
        </w:numPr>
        <w:spacing w:line="360" w:lineRule="auto"/>
        <w:ind w:right="-93"/>
        <w:jc w:val="both"/>
        <w:rPr>
          <w:rFonts w:ascii="Palatino Linotype" w:eastAsia="Calibri" w:hAnsi="Palatino Linotype" w:cs="Tahoma"/>
          <w:bCs/>
          <w:lang w:eastAsia="en-US"/>
        </w:rPr>
      </w:pPr>
      <w:r w:rsidRPr="0003493C">
        <w:rPr>
          <w:rFonts w:ascii="Palatino Linotype" w:eastAsia="Calibri" w:hAnsi="Palatino Linotype" w:cs="Tahoma"/>
          <w:b/>
          <w:bCs/>
          <w:lang w:eastAsia="en-US"/>
        </w:rPr>
        <w:t>Requerir en términos del artículo 41, fracción I del Código Fiscal de la Federación, la presentación de las declaraciones</w:t>
      </w:r>
      <w:r w:rsidRPr="0003493C">
        <w:rPr>
          <w:rFonts w:ascii="Palatino Linotype" w:eastAsia="Calibri" w:hAnsi="Palatino Linotype" w:cs="Tahoma"/>
          <w:bCs/>
          <w:lang w:eastAsia="en-US"/>
        </w:rPr>
        <w:t>, avisos, información y demás documentos, cuando los obligados no lo hagan en los plazos señalados respecto de los asuntos a que se refiere el citado artículo y hacer efectiva una cantidad conforme a lo previsto en la fracción II de dicho artículo, cuando vencido el plazo para atender el tercer requerimiento éste no sea solventado.</w:t>
      </w:r>
    </w:p>
    <w:p w14:paraId="2FA40DE3" w14:textId="77777777" w:rsidR="006F66E0" w:rsidRPr="0003493C" w:rsidRDefault="006F66E0" w:rsidP="0003493C">
      <w:pPr>
        <w:spacing w:line="360" w:lineRule="auto"/>
        <w:jc w:val="both"/>
        <w:rPr>
          <w:rFonts w:ascii="Palatino Linotype" w:eastAsia="Calibri" w:hAnsi="Palatino Linotype" w:cs="Tahoma"/>
          <w:bCs/>
          <w:lang w:eastAsia="en-US"/>
        </w:rPr>
      </w:pPr>
    </w:p>
    <w:p w14:paraId="43B58F83"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Calibri" w:hAnsi="Palatino Linotype" w:cs="Tahoma"/>
          <w:bCs/>
          <w:lang w:eastAsia="en-US"/>
        </w:rPr>
      </w:pPr>
      <w:r w:rsidRPr="0003493C">
        <w:rPr>
          <w:rFonts w:ascii="Palatino Linotype" w:eastAsia="Calibri" w:hAnsi="Palatino Linotype" w:cs="Tahoma"/>
          <w:bCs/>
          <w:lang w:eastAsia="en-US"/>
        </w:rPr>
        <w:t xml:space="preserve">Con base en lo anterior, queda de manifiesto que la presentación de declaraciones fiscales se realiza ante la autoridad federal del Servicio de Administración Tributaria, quien es la competente para contar con esta información, y, en consecuencia, se acredita la incompetencia del </w:t>
      </w:r>
      <w:r w:rsidRPr="0003493C">
        <w:rPr>
          <w:rFonts w:ascii="Palatino Linotype" w:hAnsi="Palatino Linotype"/>
          <w:b/>
        </w:rPr>
        <w:t>SUJETO OBLIGADO</w:t>
      </w:r>
      <w:r w:rsidRPr="0003493C">
        <w:rPr>
          <w:rFonts w:ascii="Palatino Linotype" w:eastAsia="Calibri" w:hAnsi="Palatino Linotype" w:cs="Tahoma"/>
          <w:bCs/>
          <w:lang w:eastAsia="en-US"/>
        </w:rPr>
        <w:t xml:space="preserve"> para contar con la declaración fiscal de la persona referida en la solicitud de acceso a la información pública, en sus archivos.</w:t>
      </w:r>
    </w:p>
    <w:p w14:paraId="274F6A76" w14:textId="77777777" w:rsidR="006F66E0" w:rsidRPr="0003493C" w:rsidRDefault="006F66E0" w:rsidP="0003493C">
      <w:pPr>
        <w:spacing w:line="360" w:lineRule="auto"/>
        <w:jc w:val="both"/>
        <w:rPr>
          <w:rFonts w:ascii="Palatino Linotype" w:hAnsi="Palatino Linotype"/>
        </w:rPr>
      </w:pPr>
    </w:p>
    <w:p w14:paraId="2CB3EA7D" w14:textId="77777777" w:rsidR="006F66E0"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hAnsi="Palatino Linotype"/>
        </w:rPr>
        <w:t xml:space="preserve">Ahora bien, si bien cierto que el </w:t>
      </w:r>
      <w:r w:rsidRPr="0003493C">
        <w:rPr>
          <w:rFonts w:ascii="Palatino Linotype" w:hAnsi="Palatino Linotype"/>
          <w:b/>
        </w:rPr>
        <w:t>SUJETO OBLIGADO</w:t>
      </w:r>
      <w:r w:rsidRPr="0003493C">
        <w:rPr>
          <w:rFonts w:ascii="Palatino Linotype" w:hAnsi="Palatino Linotype"/>
        </w:rPr>
        <w:t xml:space="preserve"> por una parte se declaró incompetente respecto de la declaración patrimonial, y, por otra parte, fue omiso en </w:t>
      </w:r>
      <w:r w:rsidRPr="0003493C">
        <w:rPr>
          <w:rFonts w:ascii="Palatino Linotype" w:eastAsia="Calibri" w:hAnsi="Palatino Linotype" w:cs="Tahoma"/>
          <w:bCs/>
          <w:lang w:eastAsia="en-US"/>
        </w:rPr>
        <w:t>pronunciarse</w:t>
      </w:r>
      <w:r w:rsidRPr="0003493C">
        <w:rPr>
          <w:rFonts w:ascii="Palatino Linotype" w:hAnsi="Palatino Linotype"/>
        </w:rPr>
        <w:t xml:space="preserve"> respecto a la declaración fiscal, a nada practico conduciría ordenar la búsqueda y entrega de la información; ya que conforme los párrafos anteriores, se acreditó </w:t>
      </w:r>
      <w:r w:rsidRPr="0003493C">
        <w:rPr>
          <w:rFonts w:ascii="Palatino Linotype" w:hAnsi="Palatino Linotype"/>
        </w:rPr>
        <w:lastRenderedPageBreak/>
        <w:t xml:space="preserve">que es notoriamente incompetente </w:t>
      </w:r>
      <w:r w:rsidRPr="0003493C">
        <w:rPr>
          <w:rFonts w:ascii="Palatino Linotype" w:eastAsia="Palatino Linotype" w:hAnsi="Palatino Linotype" w:cs="Palatino Linotype"/>
        </w:rPr>
        <w:t>para dar respuesta al requerimiento de información, s</w:t>
      </w:r>
      <w:r w:rsidRPr="0003493C">
        <w:rPr>
          <w:rFonts w:ascii="Palatino Linotype" w:hAnsi="Palatino Linotype"/>
        </w:rPr>
        <w:t xml:space="preserve">in embargo, toda vez que en el primer caso </w:t>
      </w:r>
      <w:r w:rsidRPr="0003493C">
        <w:rPr>
          <w:rFonts w:ascii="Palatino Linotype" w:eastAsia="Palatino Linotype" w:hAnsi="Palatino Linotype" w:cs="Palatino Linotype"/>
        </w:rPr>
        <w:t>hizo del conocimiento de la persona solicitante dicha circunstancia, hasta el décimo cuarto día hábil posterior de haberse presentado la solicitud,</w:t>
      </w:r>
      <w:r w:rsidRPr="0003493C">
        <w:rPr>
          <w:rFonts w:ascii="Palatino Linotype" w:hAnsi="Palatino Linotype"/>
        </w:rPr>
        <w:t xml:space="preserve"> mientras que en el segundo caso no se pronunció, </w:t>
      </w:r>
      <w:r w:rsidRPr="0003493C">
        <w:rPr>
          <w:rFonts w:ascii="Palatino Linotype" w:eastAsia="Calibri" w:hAnsi="Palatino Linotype" w:cs="Tahoma"/>
          <w:bCs/>
          <w:lang w:eastAsia="en-US"/>
        </w:rPr>
        <w:t>incumpliendo con ello lo señalado por el</w:t>
      </w:r>
      <w:r w:rsidRPr="0003493C">
        <w:rPr>
          <w:rFonts w:ascii="Palatino Linotype" w:hAnsi="Palatino Linotype" w:cs="Tahoma"/>
        </w:rPr>
        <w:t xml:space="preserve"> primer párrafo del artículo 167 de la Ley de Transparencia y Acceso a la Información Pública del Estado de México y Municipios, </w:t>
      </w:r>
      <w:r w:rsidRPr="0003493C">
        <w:rPr>
          <w:rFonts w:ascii="Palatino Linotype" w:eastAsia="Palatino Linotype" w:hAnsi="Palatino Linotype" w:cs="Palatino Linotype"/>
        </w:rPr>
        <w:t>que es del tenor literal siguiente:</w:t>
      </w:r>
    </w:p>
    <w:p w14:paraId="0D378B0A" w14:textId="77777777" w:rsidR="006F66E0" w:rsidRPr="0003493C" w:rsidRDefault="006F66E0" w:rsidP="0003493C">
      <w:pPr>
        <w:spacing w:line="360" w:lineRule="auto"/>
        <w:ind w:left="567" w:right="616"/>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Pr="0003493C">
        <w:rPr>
          <w:rFonts w:ascii="Palatino Linotype" w:eastAsia="Palatino Linotype" w:hAnsi="Palatino Linotype" w:cs="Palatino Linotype"/>
          <w:b/>
          <w:i/>
        </w:rPr>
        <w:t>Artículo 167</w:t>
      </w:r>
      <w:r w:rsidRPr="0003493C">
        <w:rPr>
          <w:rFonts w:ascii="Palatino Linotype" w:eastAsia="Palatino Linotype" w:hAnsi="Palatino Linotype" w:cs="Palatino Linotype"/>
          <w:i/>
        </w:rPr>
        <w:t>. C</w:t>
      </w:r>
      <w:r w:rsidRPr="0003493C">
        <w:rPr>
          <w:rFonts w:ascii="Palatino Linotype" w:eastAsia="Palatino Linotype" w:hAnsi="Palatino Linotype" w:cs="Palatino Linotype"/>
          <w:b/>
          <w:i/>
        </w:rPr>
        <w:t xml:space="preserve">uando las </w:t>
      </w:r>
      <w:r w:rsidRPr="0003493C">
        <w:rPr>
          <w:rFonts w:ascii="Palatino Linotype" w:eastAsia="Palatino Linotype" w:hAnsi="Palatino Linotype" w:cs="Palatino Linotype"/>
          <w:b/>
          <w:i/>
          <w:u w:val="single"/>
        </w:rPr>
        <w:t>unidades de transparencia</w:t>
      </w:r>
      <w:r w:rsidRPr="0003493C">
        <w:rPr>
          <w:rFonts w:ascii="Palatino Linotype" w:eastAsia="Palatino Linotype" w:hAnsi="Palatino Linotype" w:cs="Palatino Linotype"/>
          <w:b/>
          <w:i/>
        </w:rPr>
        <w:t xml:space="preserve"> determinen la notoria incompetencia por parte de los sujetos obligados,</w:t>
      </w:r>
      <w:r w:rsidRPr="0003493C">
        <w:rPr>
          <w:rFonts w:ascii="Palatino Linotype" w:eastAsia="Palatino Linotype" w:hAnsi="Palatino Linotype" w:cs="Palatino Linotype"/>
          <w:i/>
        </w:rPr>
        <w:t xml:space="preserve"> dentro del ámbito de aplicación, para atender la solicitud de acceso a la información, </w:t>
      </w:r>
      <w:r w:rsidRPr="0003493C">
        <w:rPr>
          <w:rFonts w:ascii="Palatino Linotype" w:eastAsia="Palatino Linotype" w:hAnsi="Palatino Linotype" w:cs="Palatino Linotype"/>
          <w:b/>
          <w:i/>
        </w:rPr>
        <w:t xml:space="preserve">deberán comunicarlo al solicitante, dentro de los </w:t>
      </w:r>
      <w:r w:rsidRPr="0003493C">
        <w:rPr>
          <w:rFonts w:ascii="Palatino Linotype" w:eastAsia="Palatino Linotype" w:hAnsi="Palatino Linotype" w:cs="Palatino Linotype"/>
          <w:b/>
          <w:i/>
          <w:u w:val="single"/>
        </w:rPr>
        <w:t>tres días hábiles posteriores</w:t>
      </w:r>
      <w:r w:rsidRPr="0003493C">
        <w:rPr>
          <w:rFonts w:ascii="Palatino Linotype" w:eastAsia="Palatino Linotype" w:hAnsi="Palatino Linotype" w:cs="Palatino Linotype"/>
          <w:b/>
          <w:i/>
        </w:rPr>
        <w:t xml:space="preserve"> a la recepción de la solicitud</w:t>
      </w:r>
      <w:r w:rsidRPr="0003493C">
        <w:rPr>
          <w:rFonts w:ascii="Palatino Linotype" w:eastAsia="Palatino Linotype" w:hAnsi="Palatino Linotype" w:cs="Palatino Linotype"/>
          <w:i/>
        </w:rPr>
        <w:t xml:space="preserve"> y, en su caso orientar al solicitante, el o los sujetos obligados competentes.”</w:t>
      </w:r>
    </w:p>
    <w:p w14:paraId="26DDB901" w14:textId="77777777" w:rsidR="006F66E0" w:rsidRPr="0003493C" w:rsidRDefault="006F66E0" w:rsidP="0003493C">
      <w:pPr>
        <w:spacing w:line="360" w:lineRule="auto"/>
        <w:jc w:val="both"/>
        <w:rPr>
          <w:rFonts w:ascii="Palatino Linotype" w:hAnsi="Palatino Linotype" w:cs="Tahoma"/>
        </w:rPr>
      </w:pPr>
    </w:p>
    <w:p w14:paraId="230F21F3" w14:textId="77777777"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hAnsi="Palatino Linotype" w:cs="Tahoma"/>
        </w:rPr>
        <w:t xml:space="preserve">Del </w:t>
      </w:r>
      <w:r w:rsidRPr="0003493C">
        <w:rPr>
          <w:rFonts w:ascii="Palatino Linotype" w:eastAsia="Palatino Linotype" w:hAnsi="Palatino Linotype" w:cs="Palatino Linotype"/>
        </w:rPr>
        <w:t xml:space="preserve">precepto normativo en cita se desprende que cuando las Unidades de </w:t>
      </w:r>
      <w:r w:rsidRPr="0003493C">
        <w:rPr>
          <w:rFonts w:ascii="Palatino Linotype" w:hAnsi="Palatino Linotype"/>
        </w:rPr>
        <w:t>Transparencia</w:t>
      </w:r>
      <w:r w:rsidRPr="0003493C">
        <w:rPr>
          <w:rFonts w:ascii="Palatino Linotype" w:eastAsia="Palatino Linotype" w:hAnsi="Palatino Linotype" w:cs="Palatino Linotype"/>
        </w:rPr>
        <w:t>, determinen una notoria incompetencia por parte de los entes públicos, deben realizar lo siguiente:</w:t>
      </w:r>
    </w:p>
    <w:p w14:paraId="182868CE" w14:textId="77777777" w:rsidR="006F66E0" w:rsidRPr="0003493C" w:rsidRDefault="006F66E0" w:rsidP="0003493C">
      <w:pPr>
        <w:numPr>
          <w:ilvl w:val="0"/>
          <w:numId w:val="27"/>
        </w:numPr>
        <w:spacing w:line="360" w:lineRule="auto"/>
        <w:contextualSpacing/>
        <w:jc w:val="both"/>
        <w:rPr>
          <w:rFonts w:ascii="Palatino Linotype" w:hAnsi="Palatino Linotype" w:cs="Tahoma"/>
        </w:rPr>
      </w:pPr>
      <w:r w:rsidRPr="0003493C">
        <w:rPr>
          <w:rFonts w:ascii="Palatino Linotype" w:hAnsi="Palatino Linotype" w:cs="Tahoma"/>
        </w:rPr>
        <w:t>Hacerlo del conocimiento del Particular, dentro de los tres días hábiles, posteriores a la presentación de la solicitud de información, y</w:t>
      </w:r>
    </w:p>
    <w:p w14:paraId="572E7451" w14:textId="77777777" w:rsidR="006F66E0" w:rsidRPr="0003493C" w:rsidRDefault="006F66E0" w:rsidP="0003493C">
      <w:pPr>
        <w:numPr>
          <w:ilvl w:val="0"/>
          <w:numId w:val="27"/>
        </w:numPr>
        <w:spacing w:line="360" w:lineRule="auto"/>
        <w:contextualSpacing/>
        <w:jc w:val="both"/>
        <w:rPr>
          <w:rFonts w:ascii="Palatino Linotype" w:hAnsi="Palatino Linotype" w:cs="Tahoma"/>
        </w:rPr>
      </w:pPr>
      <w:r w:rsidRPr="0003493C">
        <w:rPr>
          <w:rFonts w:ascii="Palatino Linotype" w:hAnsi="Palatino Linotype" w:cs="Tahoma"/>
        </w:rPr>
        <w:t>En caso de conocer el Sujeto Obligado competente, orientarlo a presentar la solicitud ante el mismo.</w:t>
      </w:r>
    </w:p>
    <w:p w14:paraId="2E567C39" w14:textId="77777777" w:rsidR="005807F8" w:rsidRPr="0003493C" w:rsidRDefault="005807F8" w:rsidP="0003493C">
      <w:pPr>
        <w:pStyle w:val="Prrafodelista"/>
        <w:spacing w:line="360" w:lineRule="auto"/>
        <w:rPr>
          <w:rFonts w:ascii="Palatino Linotype" w:hAnsi="Palatino Linotype" w:cs="Tahoma"/>
        </w:rPr>
      </w:pPr>
    </w:p>
    <w:p w14:paraId="2B98F76C" w14:textId="6F01D46A" w:rsidR="006F66E0" w:rsidRPr="0003493C"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hAnsi="Palatino Linotype" w:cs="Tahoma"/>
        </w:rPr>
        <w:t xml:space="preserve">En el presente caso, de la revisión de las constancias del expediente electrónico, localizado en el Sistema de Acceso a la Información Mexiquense (SAIMEX), se advierte que el </w:t>
      </w:r>
      <w:r w:rsidRPr="0003493C">
        <w:rPr>
          <w:rFonts w:ascii="Palatino Linotype" w:hAnsi="Palatino Linotype" w:cs="Tahoma"/>
          <w:b/>
        </w:rPr>
        <w:t>SUJETO OBLIGADO</w:t>
      </w:r>
      <w:r w:rsidRPr="0003493C">
        <w:rPr>
          <w:rFonts w:ascii="Palatino Linotype" w:hAnsi="Palatino Linotype" w:cs="Tahoma"/>
        </w:rPr>
        <w:t xml:space="preserve"> incumplió con el primer parámetros previamente establecidos, pues no dio contestación dentro de los tres días hábiles posteriores a la presentación de la </w:t>
      </w:r>
      <w:r w:rsidRPr="0003493C">
        <w:rPr>
          <w:rFonts w:ascii="Palatino Linotype" w:hAnsi="Palatino Linotype" w:cs="Tahoma"/>
        </w:rPr>
        <w:lastRenderedPageBreak/>
        <w:t>solicit</w:t>
      </w:r>
      <w:r w:rsidR="005807F8" w:rsidRPr="0003493C">
        <w:rPr>
          <w:rFonts w:ascii="Palatino Linotype" w:hAnsi="Palatino Linotype" w:cs="Tahoma"/>
        </w:rPr>
        <w:t xml:space="preserve">ud, empero, ha sido criterio de este Pleno que resulta innecesario ordenar a los sujetos obligados </w:t>
      </w:r>
      <w:r w:rsidRPr="0003493C">
        <w:rPr>
          <w:rFonts w:ascii="Palatino Linotype" w:hAnsi="Palatino Linotype" w:cs="Tahoma"/>
        </w:rPr>
        <w:t xml:space="preserve"> </w:t>
      </w:r>
      <w:r w:rsidR="00017D61" w:rsidRPr="0003493C">
        <w:rPr>
          <w:rFonts w:ascii="Palatino Linotype" w:hAnsi="Palatino Linotype" w:cs="Tahoma"/>
        </w:rPr>
        <w:t xml:space="preserve">a que emitan un acuerdo de incompetencia en el que se le dé a conocer de manera redundante lo que ya se le ha dado a conocer al solicitante en el presente proveído. Por tal motivo resulta procedente confirmar la </w:t>
      </w:r>
      <w:r w:rsidRPr="0003493C">
        <w:rPr>
          <w:rFonts w:ascii="Palatino Linotype" w:eastAsia="Palatino Linotype" w:hAnsi="Palatino Linotype" w:cs="Palatino Linotype"/>
        </w:rPr>
        <w:t>incompetencia</w:t>
      </w:r>
      <w:r w:rsidR="00017D61" w:rsidRPr="0003493C">
        <w:rPr>
          <w:rFonts w:ascii="Palatino Linotype" w:eastAsia="Palatino Linotype" w:hAnsi="Palatino Linotype" w:cs="Palatino Linotype"/>
        </w:rPr>
        <w:t>; la cual</w:t>
      </w:r>
      <w:r w:rsidRPr="0003493C">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658C2F4" w14:textId="77777777" w:rsidR="006F66E0" w:rsidRDefault="006F66E0" w:rsidP="0003493C">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r w:rsidRPr="0003493C">
        <w:rPr>
          <w:rFonts w:ascii="Palatino Linotype" w:eastAsia="Palatino Linotype" w:hAnsi="Palatino Linotype" w:cs="Palatino Linotype"/>
          <w:i/>
        </w:rPr>
        <w:t>“</w:t>
      </w:r>
      <w:r w:rsidRPr="0003493C">
        <w:rPr>
          <w:rFonts w:ascii="Palatino Linotype" w:eastAsia="Palatino Linotype" w:hAnsi="Palatino Linotype" w:cs="Palatino Linotype"/>
          <w:b/>
          <w:i/>
        </w:rPr>
        <w:t>LEGITIMACIÓN DE FUNCIONARIOS PÚBLICOS. LOS TRIBUNALES DE AMPARO, POR ESTAR VINCULADOS CON EL CONCEPTO DE COMPETENCIA A QUE SE REFIERE EL ARTÍCULO 16 CONSTITUCIONAL, NO PUEDEN CONOCER DE AQUÉLLA.</w:t>
      </w:r>
      <w:r w:rsidRPr="0003493C">
        <w:rPr>
          <w:rFonts w:ascii="Palatino Linotype" w:eastAsia="Palatino Linotype" w:hAnsi="Palatino Linotype" w:cs="Palatino Linotype"/>
          <w:i/>
        </w:rPr>
        <w:t xml:space="preserve">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EE3BD15" w14:textId="77777777" w:rsidR="0003493C" w:rsidRPr="0003493C" w:rsidRDefault="0003493C" w:rsidP="0003493C">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p>
    <w:p w14:paraId="363BC084" w14:textId="77777777" w:rsidR="006F66E0"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lastRenderedPageBreak/>
        <w:t xml:space="preserve">Asimismo, resulta necesario traer a colación, el Criterio de interpretación 13/17, emitido por el </w:t>
      </w:r>
      <w:r w:rsidRPr="0003493C">
        <w:rPr>
          <w:rFonts w:ascii="Palatino Linotype" w:hAnsi="Palatino Linotype" w:cs="Tahoma"/>
        </w:rPr>
        <w:t>Instituto</w:t>
      </w:r>
      <w:r w:rsidRPr="0003493C">
        <w:rPr>
          <w:rFonts w:ascii="Palatino Linotype" w:eastAsia="Palatino Linotype" w:hAnsi="Palatino Linotype" w:cs="Palatino Linotype"/>
        </w:rPr>
        <w:t xml:space="preserve"> Nacional de Transparencia, Acceso a la Información y Protección de Datos Personales, que dispone lo siguiente: </w:t>
      </w:r>
    </w:p>
    <w:p w14:paraId="2D55526F" w14:textId="77777777" w:rsidR="006F66E0" w:rsidRPr="0003493C" w:rsidRDefault="006F66E0" w:rsidP="0003493C">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r w:rsidRPr="0003493C">
        <w:rPr>
          <w:rFonts w:ascii="Palatino Linotype" w:eastAsia="Palatino Linotype" w:hAnsi="Palatino Linotype" w:cs="Palatino Linotype"/>
          <w:b/>
          <w:i/>
        </w:rPr>
        <w:t>Incompetencia</w:t>
      </w:r>
      <w:r w:rsidRPr="0003493C">
        <w:rPr>
          <w:rFonts w:ascii="Palatino Linotype" w:eastAsia="Palatino Linotype" w:hAnsi="Palatino Linotype" w:cs="Palatino Linotype"/>
          <w:i/>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A7DA262" w14:textId="77777777" w:rsidR="0003493C" w:rsidRPr="0003493C" w:rsidRDefault="0003493C" w:rsidP="0003493C">
      <w:pPr>
        <w:pBdr>
          <w:top w:val="nil"/>
          <w:left w:val="nil"/>
          <w:bottom w:val="nil"/>
          <w:right w:val="nil"/>
          <w:between w:val="nil"/>
        </w:pBdr>
        <w:spacing w:line="360" w:lineRule="auto"/>
        <w:ind w:left="851" w:right="851"/>
        <w:jc w:val="both"/>
        <w:rPr>
          <w:rFonts w:ascii="Palatino Linotype" w:eastAsia="Palatino Linotype" w:hAnsi="Palatino Linotype" w:cs="Palatino Linotype"/>
          <w:i/>
        </w:rPr>
      </w:pPr>
    </w:p>
    <w:p w14:paraId="3D4834EE" w14:textId="510690F0" w:rsidR="006F66E0" w:rsidRPr="00DE4D24" w:rsidRDefault="006F66E0" w:rsidP="0003493C">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03493C">
        <w:rPr>
          <w:rFonts w:ascii="Palatino Linotype" w:eastAsia="Palatino Linotype" w:hAnsi="Palatino Linotype" w:cs="Palatino Linotype"/>
        </w:rPr>
        <w:t xml:space="preserve">En tal virtud, la incompetencia implica que, de conformidad con las atribuciones conferidas al </w:t>
      </w:r>
      <w:r w:rsidRPr="0003493C">
        <w:rPr>
          <w:rFonts w:ascii="Palatino Linotype" w:hAnsi="Palatino Linotype" w:cs="Tahoma"/>
          <w:b/>
        </w:rPr>
        <w:t xml:space="preserve">SUJETO </w:t>
      </w:r>
      <w:r w:rsidRPr="0003493C">
        <w:rPr>
          <w:rFonts w:ascii="Palatino Linotype" w:eastAsia="Palatino Linotype" w:hAnsi="Palatino Linotype" w:cs="Palatino Linotype"/>
        </w:rPr>
        <w:t xml:space="preserve">OBLIGADO, no habría razón por la cual éste </w:t>
      </w:r>
      <w:r w:rsidRPr="00DE4D24">
        <w:rPr>
          <w:rFonts w:ascii="Palatino Linotype" w:eastAsia="Palatino Linotype" w:hAnsi="Palatino Linotype" w:cs="Palatino Linotype"/>
        </w:rPr>
        <w:t>deba contar con la información solicitada, en cuyo caso, tendría que orientar al particular para que acuda a la instancia competente, situación que aconteció en el presente asunto.</w:t>
      </w:r>
      <w:r w:rsidR="00FD1883" w:rsidRPr="00DE4D24">
        <w:rPr>
          <w:rFonts w:ascii="Palatino Linotype" w:eastAsia="Palatino Linotype" w:hAnsi="Palatino Linotype" w:cs="Palatino Linotype"/>
        </w:rPr>
        <w:t xml:space="preserve"> Atento a lo anterior, se dejan a salvo de los derechos del particular para que interponga nuevas solicitudes de acceso a la información ante los sujetos obligado a que se ha hecho referencia en el presente proveído o ante los que a sus intereses convenga.</w:t>
      </w:r>
    </w:p>
    <w:p w14:paraId="60CB3FD9" w14:textId="77777777" w:rsidR="0003493C" w:rsidRPr="0003493C" w:rsidRDefault="0003493C" w:rsidP="0003493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4BB95E5" w14:textId="268AE2A5" w:rsidR="00CC4F68" w:rsidRPr="00FD1883" w:rsidRDefault="00CC4F68" w:rsidP="0003493C">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03493C">
        <w:rPr>
          <w:rFonts w:ascii="Palatino Linotype" w:hAnsi="Palatino Linotype"/>
        </w:rPr>
        <w:t xml:space="preserve">Con la </w:t>
      </w:r>
      <w:r w:rsidRPr="0003493C">
        <w:rPr>
          <w:rFonts w:ascii="Palatino Linotype" w:eastAsia="Palatino Linotype" w:hAnsi="Palatino Linotype" w:cs="Palatino Linotype"/>
        </w:rPr>
        <w:t>determinación</w:t>
      </w:r>
      <w:r w:rsidRPr="0003493C">
        <w:rPr>
          <w:rFonts w:ascii="Palatino Linotype" w:hAnsi="Palatino Linotype"/>
        </w:rPr>
        <w:t xml:space="preserve"> anterior, se tendrá por colmado el derecho de acceso a la información del ahora </w:t>
      </w:r>
      <w:r w:rsidRPr="0003493C">
        <w:rPr>
          <w:rFonts w:ascii="Palatino Linotype" w:hAnsi="Palatino Linotype"/>
          <w:b/>
        </w:rPr>
        <w:t>RECURRENTE</w:t>
      </w:r>
      <w:r w:rsidRPr="0003493C">
        <w:rPr>
          <w:rFonts w:ascii="Palatino Linotype" w:hAnsi="Palatino Linotype"/>
        </w:rPr>
        <w:t xml:space="preserve">; toda vez </w:t>
      </w:r>
      <w:r w:rsidRPr="0003493C">
        <w:rPr>
          <w:rFonts w:ascii="Palatino Linotype" w:eastAsia="Times New Roman" w:hAnsi="Palatino Linotype" w:cs="Arial"/>
          <w:color w:val="000000"/>
        </w:rPr>
        <w:t xml:space="preserve">que </w:t>
      </w:r>
      <w:r w:rsidRPr="0003493C">
        <w:rPr>
          <w:rFonts w:ascii="Palatino Linotype" w:hAnsi="Palatino Linotype"/>
          <w:color w:val="000000"/>
        </w:rPr>
        <w:t xml:space="preserve">el Derecho que tutela este Órgano </w:t>
      </w:r>
      <w:r w:rsidRPr="0003493C">
        <w:rPr>
          <w:rFonts w:ascii="Palatino Linotype" w:hAnsi="Palatino Linotype" w:cs="Arial"/>
          <w:color w:val="000000" w:themeColor="text1"/>
        </w:rPr>
        <w:t>Garante</w:t>
      </w:r>
      <w:r w:rsidRPr="0003493C">
        <w:rPr>
          <w:rFonts w:ascii="Palatino Linotype" w:hAnsi="Palatino Linotype"/>
          <w:color w:val="000000"/>
        </w:rPr>
        <w:t xml:space="preserve"> </w:t>
      </w:r>
      <w:r w:rsidRPr="0003493C">
        <w:rPr>
          <w:rFonts w:ascii="Palatino Linotype" w:hAnsi="Palatino Linotype" w:cs="Arial"/>
          <w:color w:val="000000" w:themeColor="text1"/>
        </w:rPr>
        <w:t>corresponde</w:t>
      </w:r>
      <w:r w:rsidRPr="0003493C">
        <w:rPr>
          <w:rFonts w:ascii="Palatino Linotype" w:hAnsi="Palatino Linotype"/>
          <w:color w:val="000000"/>
        </w:rPr>
        <w:t xml:space="preserve"> a la </w:t>
      </w:r>
      <w:r w:rsidRPr="0003493C">
        <w:rPr>
          <w:rFonts w:ascii="Palatino Linotype" w:eastAsia="Times New Roman" w:hAnsi="Palatino Linotype" w:cs="Arial"/>
          <w:color w:val="000000" w:themeColor="text1"/>
        </w:rPr>
        <w:t xml:space="preserve"> </w:t>
      </w:r>
      <w:r w:rsidRPr="0003493C">
        <w:rPr>
          <w:rFonts w:ascii="Palatino Linotype" w:eastAsia="MS Mincho" w:hAnsi="Palatino Linotype" w:cs="Times New Roman"/>
          <w:i/>
        </w:rPr>
        <w:t>igualdad de oportunidades para recibir, buscar e impartir información</w:t>
      </w:r>
      <w:r w:rsidRPr="0003493C">
        <w:rPr>
          <w:rStyle w:val="Refdenotaalpie"/>
          <w:rFonts w:ascii="Palatino Linotype" w:eastAsia="MS Mincho" w:hAnsi="Palatino Linotype"/>
          <w:i/>
        </w:rPr>
        <w:footnoteReference w:id="1"/>
      </w:r>
      <w:r w:rsidRPr="0003493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03493C">
        <w:rPr>
          <w:rFonts w:ascii="Palatino Linotype" w:eastAsia="MS Mincho" w:hAnsi="Palatino Linotype" w:cs="Times New Roman"/>
          <w:i/>
        </w:rPr>
        <w:lastRenderedPageBreak/>
        <w:t>autoridad en el ámbito federal, estatal y municipal</w:t>
      </w:r>
      <w:r w:rsidRPr="0003493C">
        <w:rPr>
          <w:rStyle w:val="Refdenotaalpie"/>
          <w:rFonts w:ascii="Palatino Linotype" w:eastAsia="MS Mincho" w:hAnsi="Palatino Linotype"/>
        </w:rPr>
        <w:footnoteReference w:id="2"/>
      </w:r>
      <w:r w:rsidRPr="0003493C">
        <w:rPr>
          <w:rFonts w:ascii="Palatino Linotype" w:eastAsia="MS Mincho" w:hAnsi="Palatino Linotype" w:cs="Times New Roman"/>
          <w:i/>
        </w:rPr>
        <w:t xml:space="preserve"> </w:t>
      </w:r>
      <w:r w:rsidRPr="0003493C">
        <w:rPr>
          <w:rFonts w:ascii="Palatino Linotype" w:eastAsia="MS Mincho" w:hAnsi="Palatino Linotype" w:cs="Times New Roman"/>
        </w:rPr>
        <w:t xml:space="preserve">que se constituye como una herramienta fundamental para </w:t>
      </w:r>
      <w:r w:rsidRPr="0003493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03493C">
        <w:rPr>
          <w:rStyle w:val="Refdenotaalpie"/>
          <w:rFonts w:ascii="Palatino Linotype" w:eastAsia="MS Mincho" w:hAnsi="Palatino Linotype"/>
          <w:i/>
        </w:rPr>
        <w:footnoteReference w:id="3"/>
      </w:r>
      <w:r w:rsidRPr="0003493C">
        <w:rPr>
          <w:rFonts w:ascii="Palatino Linotype" w:eastAsia="MS Mincho" w:hAnsi="Palatino Linotype" w:cs="Times New Roman"/>
        </w:rPr>
        <w:t>fomentando</w:t>
      </w:r>
      <w:r w:rsidRPr="0003493C">
        <w:rPr>
          <w:rFonts w:ascii="Palatino Linotype" w:eastAsia="MS Mincho" w:hAnsi="Palatino Linotype" w:cs="Times New Roman"/>
          <w:i/>
        </w:rPr>
        <w:t xml:space="preserve"> la transparencia de las actividades estatales y</w:t>
      </w:r>
      <w:r w:rsidRPr="0003493C">
        <w:rPr>
          <w:rFonts w:ascii="Palatino Linotype" w:eastAsia="MS Mincho" w:hAnsi="Palatino Linotype" w:cs="Times New Roman"/>
        </w:rPr>
        <w:t xml:space="preserve"> promoviendo</w:t>
      </w:r>
      <w:r w:rsidRPr="0003493C">
        <w:rPr>
          <w:rFonts w:ascii="Palatino Linotype" w:eastAsia="MS Mincho" w:hAnsi="Palatino Linotype" w:cs="Times New Roman"/>
          <w:i/>
        </w:rPr>
        <w:t xml:space="preserve"> la responsabilidad de los funcionarios sobre su gestión pública</w:t>
      </w:r>
      <w:r w:rsidRPr="0003493C">
        <w:rPr>
          <w:rStyle w:val="Refdenotaalpie"/>
          <w:rFonts w:ascii="Palatino Linotype" w:eastAsia="MS Mincho" w:hAnsi="Palatino Linotype"/>
          <w:i/>
        </w:rPr>
        <w:footnoteReference w:id="4"/>
      </w:r>
      <w:r w:rsidRPr="0003493C">
        <w:rPr>
          <w:rFonts w:ascii="Palatino Linotype" w:eastAsia="MS Mincho" w:hAnsi="Palatino Linotype" w:cs="Times New Roman"/>
          <w:i/>
        </w:rPr>
        <w:t xml:space="preserve"> </w:t>
      </w:r>
      <w:r w:rsidRPr="0003493C">
        <w:rPr>
          <w:rFonts w:ascii="Palatino Linotype" w:eastAsia="MS Mincho" w:hAnsi="Palatino Linotype" w:cs="Times New Roman"/>
        </w:rPr>
        <w:t>que permite</w:t>
      </w:r>
      <w:r w:rsidRPr="0003493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03493C">
        <w:rPr>
          <w:rStyle w:val="Refdenotaalpie"/>
          <w:rFonts w:ascii="Palatino Linotype" w:eastAsia="MS Mincho" w:hAnsi="Palatino Linotype"/>
          <w:i/>
        </w:rPr>
        <w:footnoteReference w:id="5"/>
      </w:r>
      <w:r w:rsidRPr="0003493C">
        <w:rPr>
          <w:rFonts w:ascii="Palatino Linotype" w:eastAsia="MS Mincho" w:hAnsi="Palatino Linotype" w:cs="Times New Roman"/>
        </w:rPr>
        <w:t xml:space="preserve"> ” </w:t>
      </w:r>
    </w:p>
    <w:p w14:paraId="03F32766" w14:textId="77777777" w:rsidR="00FD1883" w:rsidRPr="0003493C" w:rsidRDefault="00FD1883" w:rsidP="00FD1883">
      <w:pPr>
        <w:pBdr>
          <w:top w:val="nil"/>
          <w:left w:val="nil"/>
          <w:bottom w:val="nil"/>
          <w:right w:val="nil"/>
          <w:between w:val="nil"/>
        </w:pBdr>
        <w:spacing w:line="360" w:lineRule="auto"/>
        <w:ind w:right="49"/>
        <w:jc w:val="both"/>
        <w:rPr>
          <w:rFonts w:ascii="Palatino Linotype" w:hAnsi="Palatino Linotype"/>
        </w:rPr>
      </w:pPr>
    </w:p>
    <w:p w14:paraId="74BB95E7" w14:textId="77777777" w:rsidR="00CC4F68" w:rsidRPr="0003493C" w:rsidRDefault="00CC4F68" w:rsidP="0003493C">
      <w:pPr>
        <w:numPr>
          <w:ilvl w:val="0"/>
          <w:numId w:val="1"/>
        </w:numPr>
        <w:spacing w:line="360" w:lineRule="auto"/>
        <w:ind w:left="0" w:right="49" w:firstLine="0"/>
        <w:jc w:val="both"/>
        <w:rPr>
          <w:rFonts w:ascii="Palatino Linotype" w:hAnsi="Palatino Linotype"/>
          <w:lang w:val="es-ES"/>
        </w:rPr>
      </w:pPr>
      <w:r w:rsidRPr="0003493C">
        <w:rPr>
          <w:rFonts w:ascii="Palatino Linotype" w:hAnsi="Palatino Linotype"/>
          <w:lang w:val="es-ES"/>
        </w:rPr>
        <w:t xml:space="preserve">Es así </w:t>
      </w:r>
      <w:r w:rsidRPr="0003493C">
        <w:rPr>
          <w:rFonts w:ascii="Palatino Linotype" w:hAnsi="Palatino Linotype"/>
        </w:rPr>
        <w:t>que</w:t>
      </w:r>
      <w:r w:rsidRPr="0003493C">
        <w:rPr>
          <w:rFonts w:ascii="Palatino Linotype" w:hAnsi="Palatino Linotype"/>
          <w:lang w:val="es-ES"/>
        </w:rPr>
        <w:t xml:space="preserve">, todos los actos de autoridad que realicen los Sujetos Obligados </w:t>
      </w:r>
      <w:r w:rsidRPr="0003493C">
        <w:rPr>
          <w:rFonts w:ascii="Palatino Linotype" w:hAnsi="Palatino Linotype"/>
          <w:b/>
          <w:lang w:val="es-ES"/>
        </w:rPr>
        <w:t>deben estar documentados</w:t>
      </w:r>
      <w:r w:rsidRPr="0003493C">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74BB95E8" w14:textId="77777777" w:rsidR="00CC4F68" w:rsidRPr="0003493C" w:rsidRDefault="00CC4F68" w:rsidP="0003493C">
      <w:pPr>
        <w:pStyle w:val="Prrafodelista"/>
        <w:spacing w:line="360" w:lineRule="auto"/>
        <w:ind w:left="0"/>
        <w:jc w:val="both"/>
        <w:rPr>
          <w:rFonts w:ascii="Palatino Linotype" w:hAnsi="Palatino Linotype"/>
          <w:lang w:val="es-ES"/>
        </w:rPr>
      </w:pPr>
    </w:p>
    <w:p w14:paraId="74BB95E9" w14:textId="77777777" w:rsidR="00CC4F68" w:rsidRPr="0003493C" w:rsidRDefault="00CC4F68" w:rsidP="0003493C">
      <w:pPr>
        <w:numPr>
          <w:ilvl w:val="0"/>
          <w:numId w:val="1"/>
        </w:numPr>
        <w:spacing w:line="360" w:lineRule="auto"/>
        <w:ind w:left="0" w:right="49" w:firstLine="0"/>
        <w:jc w:val="both"/>
        <w:rPr>
          <w:rFonts w:ascii="Palatino Linotype" w:hAnsi="Palatino Linotype"/>
          <w:lang w:val="es-ES"/>
        </w:rPr>
      </w:pPr>
      <w:r w:rsidRPr="0003493C">
        <w:rPr>
          <w:rFonts w:ascii="Palatino Linotype" w:eastAsia="Times New Roman" w:hAnsi="Palatino Linotype" w:cs="Arial"/>
          <w:color w:val="000000"/>
        </w:rPr>
        <w:t xml:space="preserve">Además, </w:t>
      </w:r>
      <w:r w:rsidRPr="0003493C">
        <w:rPr>
          <w:rFonts w:ascii="Palatino Linotype" w:hAnsi="Palatino Linotype"/>
          <w:lang w:val="es-ES"/>
        </w:rPr>
        <w:t>debemos</w:t>
      </w:r>
      <w:r w:rsidRPr="0003493C">
        <w:rPr>
          <w:rFonts w:ascii="Palatino Linotype" w:eastAsia="Times New Roman" w:hAnsi="Palatino Linotype" w:cs="Arial"/>
          <w:color w:val="000000"/>
        </w:rPr>
        <w:t xml:space="preserve"> tomar en cuenta los artículos 4 y 12 (antes transcrito</w:t>
      </w:r>
      <w:r w:rsidR="00FC2AD8" w:rsidRPr="0003493C">
        <w:rPr>
          <w:rFonts w:ascii="Palatino Linotype" w:eastAsia="Times New Roman" w:hAnsi="Palatino Linotype" w:cs="Arial"/>
          <w:color w:val="000000"/>
        </w:rPr>
        <w:t>s</w:t>
      </w:r>
      <w:r w:rsidRPr="0003493C">
        <w:rPr>
          <w:rFonts w:ascii="Palatino Linotype" w:eastAsia="Times New Roman" w:hAnsi="Palatino Linotype" w:cs="Arial"/>
          <w:color w:val="000000"/>
        </w:rPr>
        <w:t xml:space="preserve">), de la Ley de Transparencia y Acceso a la Información Pública del Estado de México y </w:t>
      </w:r>
      <w:r w:rsidRPr="0003493C">
        <w:rPr>
          <w:rFonts w:ascii="Palatino Linotype" w:hAnsi="Palatino Linotype"/>
          <w:lang w:val="es-ES"/>
        </w:rPr>
        <w:t>Municipios</w:t>
      </w:r>
      <w:r w:rsidR="00FC2AD8" w:rsidRPr="0003493C">
        <w:rPr>
          <w:rFonts w:ascii="Palatino Linotype" w:eastAsia="Times New Roman" w:hAnsi="Palatino Linotype" w:cs="Arial"/>
          <w:color w:val="000000"/>
        </w:rPr>
        <w:t xml:space="preserve">. </w:t>
      </w:r>
      <w:r w:rsidRPr="0003493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03493C">
        <w:rPr>
          <w:rFonts w:ascii="Palatino Linotype" w:eastAsia="Times New Roman" w:hAnsi="Palatino Linotype" w:cs="Arial"/>
          <w:color w:val="000000"/>
        </w:rPr>
        <w:t>información</w:t>
      </w:r>
      <w:r w:rsidRPr="0003493C">
        <w:rPr>
          <w:rFonts w:ascii="Palatino Linotype" w:hAnsi="Palatino Linotype"/>
          <w:lang w:val="es-ES"/>
        </w:rPr>
        <w:t xml:space="preserve"> que se encuentre </w:t>
      </w:r>
      <w:r w:rsidRPr="0003493C">
        <w:rPr>
          <w:rFonts w:ascii="Palatino Linotype" w:hAnsi="Palatino Linotype"/>
          <w:lang w:val="es-ES"/>
        </w:rPr>
        <w:lastRenderedPageBreak/>
        <w:t>en su posesión en estricto apego a los principios de eficacia</w:t>
      </w:r>
      <w:r w:rsidRPr="0003493C">
        <w:rPr>
          <w:rStyle w:val="Refdenotaalpie"/>
          <w:rFonts w:ascii="Palatino Linotype" w:hAnsi="Palatino Linotype"/>
          <w:lang w:val="es-ES"/>
        </w:rPr>
        <w:footnoteReference w:id="6"/>
      </w:r>
      <w:r w:rsidRPr="0003493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BB95EA" w14:textId="77777777" w:rsidR="00CC4F68" w:rsidRPr="0003493C" w:rsidRDefault="00CC4F68" w:rsidP="0003493C">
      <w:pPr>
        <w:spacing w:line="360" w:lineRule="auto"/>
        <w:contextualSpacing/>
        <w:jc w:val="both"/>
        <w:rPr>
          <w:rFonts w:ascii="Palatino Linotype" w:hAnsi="Palatino Linotype"/>
          <w:lang w:val="es-ES"/>
        </w:rPr>
      </w:pPr>
    </w:p>
    <w:p w14:paraId="74BB964C" w14:textId="77777777" w:rsidR="00246311" w:rsidRPr="008D5974" w:rsidRDefault="00246311" w:rsidP="0003493C">
      <w:pPr>
        <w:numPr>
          <w:ilvl w:val="0"/>
          <w:numId w:val="1"/>
        </w:numPr>
        <w:spacing w:line="360" w:lineRule="auto"/>
        <w:ind w:left="0" w:right="49" w:firstLine="0"/>
        <w:jc w:val="both"/>
        <w:rPr>
          <w:rFonts w:ascii="Palatino Linotype" w:hAnsi="Palatino Linotype" w:cs="Arial"/>
        </w:rPr>
      </w:pPr>
      <w:r w:rsidRPr="0003493C">
        <w:rPr>
          <w:rFonts w:ascii="Palatino Linotype" w:eastAsia="Arial Unicode MS" w:hAnsi="Palatino Linotype" w:cs="Arial"/>
        </w:rPr>
        <w:t>Por</w:t>
      </w:r>
      <w:r w:rsidRPr="0003493C">
        <w:rPr>
          <w:rFonts w:ascii="Palatino Linotype" w:eastAsia="MS Mincho" w:hAnsi="Palatino Linotype"/>
          <w:color w:val="000000"/>
        </w:rPr>
        <w:t xml:space="preserve"> lo </w:t>
      </w:r>
      <w:r w:rsidRPr="0003493C">
        <w:rPr>
          <w:rFonts w:ascii="Palatino Linotype" w:eastAsia="Arial Unicode MS" w:hAnsi="Palatino Linotype" w:cs="Arial"/>
        </w:rPr>
        <w:t>anteriormente</w:t>
      </w:r>
      <w:r w:rsidRPr="0003493C">
        <w:rPr>
          <w:rFonts w:ascii="Palatino Linotype" w:eastAsia="MS Mincho" w:hAnsi="Palatino Linotype"/>
          <w:color w:val="000000"/>
        </w:rPr>
        <w:t xml:space="preserve"> expuesto y fundado, este Órgano Garante emite los siguientes: </w:t>
      </w:r>
    </w:p>
    <w:p w14:paraId="37DD0ED7" w14:textId="77777777" w:rsidR="008D5974" w:rsidRDefault="008D5974" w:rsidP="008D5974">
      <w:pPr>
        <w:pStyle w:val="Prrafodelista"/>
        <w:rPr>
          <w:rFonts w:ascii="Palatino Linotype" w:hAnsi="Palatino Linotype" w:cs="Arial"/>
        </w:rPr>
      </w:pPr>
    </w:p>
    <w:p w14:paraId="5CB21EEC" w14:textId="77777777" w:rsidR="008D5974" w:rsidRPr="0003493C" w:rsidRDefault="008D5974" w:rsidP="008D5974">
      <w:pPr>
        <w:spacing w:line="360" w:lineRule="auto"/>
        <w:ind w:right="49"/>
        <w:jc w:val="both"/>
        <w:rPr>
          <w:rFonts w:ascii="Palatino Linotype" w:hAnsi="Palatino Linotype" w:cs="Arial"/>
        </w:rPr>
      </w:pPr>
    </w:p>
    <w:p w14:paraId="74BB964D" w14:textId="77777777" w:rsidR="00313EA6" w:rsidRPr="0003493C" w:rsidRDefault="00313EA6" w:rsidP="0003493C">
      <w:pPr>
        <w:pStyle w:val="Ttulo1"/>
        <w:spacing w:before="0" w:line="360" w:lineRule="auto"/>
        <w:jc w:val="center"/>
        <w:rPr>
          <w:rFonts w:ascii="Palatino Linotype" w:hAnsi="Palatino Linotype"/>
          <w:b/>
          <w:color w:val="000000" w:themeColor="text1"/>
          <w:sz w:val="24"/>
          <w:szCs w:val="24"/>
        </w:rPr>
      </w:pPr>
      <w:bookmarkStart w:id="36" w:name="_Toc81233128"/>
      <w:r w:rsidRPr="0003493C">
        <w:rPr>
          <w:rFonts w:ascii="Palatino Linotype" w:hAnsi="Palatino Linotype"/>
          <w:b/>
          <w:color w:val="000000" w:themeColor="text1"/>
          <w:sz w:val="24"/>
          <w:szCs w:val="24"/>
        </w:rPr>
        <w:t>R E S O L U T I V O S</w:t>
      </w:r>
      <w:bookmarkEnd w:id="32"/>
      <w:bookmarkEnd w:id="33"/>
      <w:bookmarkEnd w:id="34"/>
      <w:bookmarkEnd w:id="35"/>
      <w:bookmarkEnd w:id="36"/>
    </w:p>
    <w:p w14:paraId="74BB964E" w14:textId="77777777" w:rsidR="00313EA6" w:rsidRPr="0003493C" w:rsidRDefault="00313EA6" w:rsidP="0003493C">
      <w:pPr>
        <w:spacing w:line="360" w:lineRule="auto"/>
        <w:rPr>
          <w:rFonts w:ascii="Palatino Linotype" w:hAnsi="Palatino Linotype"/>
        </w:rPr>
      </w:pPr>
    </w:p>
    <w:p w14:paraId="3F003C9F" w14:textId="5750DC89" w:rsidR="00AE3157" w:rsidRPr="0003493C" w:rsidRDefault="00AE3157" w:rsidP="0003493C">
      <w:pPr>
        <w:spacing w:line="360" w:lineRule="auto"/>
        <w:jc w:val="both"/>
        <w:rPr>
          <w:rFonts w:ascii="Palatino Linotype" w:hAnsi="Palatino Linotype" w:cs="Arial"/>
          <w:bCs/>
        </w:rPr>
      </w:pPr>
      <w:r w:rsidRPr="0003493C">
        <w:rPr>
          <w:rFonts w:ascii="Palatino Linotype" w:hAnsi="Palatino Linotype" w:cs="Arial"/>
          <w:b/>
          <w:bCs/>
        </w:rPr>
        <w:t>PRIMERO</w:t>
      </w:r>
      <w:r w:rsidRPr="0003493C">
        <w:rPr>
          <w:rFonts w:ascii="Palatino Linotype" w:hAnsi="Palatino Linotype" w:cs="Arial"/>
        </w:rPr>
        <w:t xml:space="preserve">. Resultan infundadas las </w:t>
      </w:r>
      <w:r w:rsidRPr="0003493C">
        <w:rPr>
          <w:rFonts w:ascii="Palatino Linotype" w:hAnsi="Palatino Linotype" w:cs="Arial"/>
          <w:lang w:val="es-ES"/>
        </w:rPr>
        <w:t xml:space="preserve">razones o motivos de </w:t>
      </w:r>
      <w:r w:rsidRPr="0003493C">
        <w:rPr>
          <w:rFonts w:ascii="Palatino Linotype" w:eastAsia="Palatino Linotype" w:hAnsi="Palatino Linotype" w:cs="Palatino Linotype"/>
        </w:rPr>
        <w:t>inconformidad</w:t>
      </w:r>
      <w:r w:rsidRPr="0003493C">
        <w:rPr>
          <w:rFonts w:ascii="Palatino Linotype" w:hAnsi="Palatino Linotype" w:cs="Arial"/>
          <w:lang w:val="es-ES"/>
        </w:rPr>
        <w:t xml:space="preserve"> hechos valer en el Recurso de Revisión </w:t>
      </w:r>
      <w:r w:rsidR="005D2D83" w:rsidRPr="0003493C">
        <w:rPr>
          <w:rFonts w:ascii="Palatino Linotype" w:eastAsia="Calibri" w:hAnsi="Palatino Linotype" w:cs="Tahoma"/>
          <w:b/>
        </w:rPr>
        <w:t>00023/INFOEM/IP/RR/2026</w:t>
      </w:r>
      <w:r w:rsidRPr="0003493C">
        <w:rPr>
          <w:rFonts w:ascii="Palatino Linotype" w:hAnsi="Palatino Linotype" w:cs="Arial"/>
          <w:bCs/>
        </w:rPr>
        <w:t xml:space="preserve">, en términos del Considerando </w:t>
      </w:r>
      <w:r w:rsidRPr="0003493C">
        <w:rPr>
          <w:rFonts w:ascii="Palatino Linotype" w:hAnsi="Palatino Linotype" w:cs="Arial"/>
          <w:b/>
          <w:bCs/>
        </w:rPr>
        <w:t>CUARTO</w:t>
      </w:r>
      <w:r w:rsidRPr="0003493C">
        <w:rPr>
          <w:rFonts w:ascii="Palatino Linotype" w:hAnsi="Palatino Linotype" w:cs="Arial"/>
          <w:bCs/>
        </w:rPr>
        <w:t xml:space="preserve"> de la presente Resolución.</w:t>
      </w:r>
    </w:p>
    <w:p w14:paraId="705D5526" w14:textId="77777777" w:rsidR="0003493C" w:rsidRPr="0003493C" w:rsidRDefault="0003493C" w:rsidP="0003493C">
      <w:pPr>
        <w:spacing w:line="360" w:lineRule="auto"/>
        <w:jc w:val="both"/>
        <w:rPr>
          <w:rFonts w:ascii="Palatino Linotype" w:hAnsi="Palatino Linotype" w:cs="Arial"/>
          <w:bCs/>
        </w:rPr>
      </w:pPr>
    </w:p>
    <w:p w14:paraId="5057FDDA" w14:textId="697779B8" w:rsidR="00AE3157" w:rsidRPr="0003493C" w:rsidRDefault="00AE3157" w:rsidP="0003493C">
      <w:pPr>
        <w:spacing w:line="360" w:lineRule="auto"/>
        <w:jc w:val="both"/>
        <w:rPr>
          <w:rFonts w:ascii="Palatino Linotype" w:eastAsia="Calibri" w:hAnsi="Palatino Linotype" w:cs="Consolas"/>
          <w:color w:val="000000"/>
          <w:lang w:val="es-MX" w:eastAsia="es-MX"/>
        </w:rPr>
      </w:pPr>
      <w:r w:rsidRPr="0003493C">
        <w:rPr>
          <w:rFonts w:ascii="Palatino Linotype" w:hAnsi="Palatino Linotype" w:cs="Arial"/>
          <w:b/>
        </w:rPr>
        <w:t>SEGUNDO</w:t>
      </w:r>
      <w:r w:rsidRPr="0003493C">
        <w:rPr>
          <w:rFonts w:ascii="Palatino Linotype" w:hAnsi="Palatino Linotype" w:cs="Arial"/>
        </w:rPr>
        <w:t xml:space="preserve">. </w:t>
      </w:r>
      <w:r w:rsidRPr="0003493C">
        <w:rPr>
          <w:rFonts w:ascii="Palatino Linotype" w:hAnsi="Palatino Linotype" w:cs="Arial"/>
          <w:lang w:val="es-ES"/>
        </w:rPr>
        <w:t xml:space="preserve">Se </w:t>
      </w:r>
      <w:r w:rsidRPr="0003493C">
        <w:rPr>
          <w:rFonts w:ascii="Palatino Linotype" w:hAnsi="Palatino Linotype" w:cs="Arial"/>
          <w:b/>
          <w:lang w:val="es-ES"/>
        </w:rPr>
        <w:t>CONFIRMA</w:t>
      </w:r>
      <w:r w:rsidRPr="0003493C">
        <w:rPr>
          <w:rFonts w:ascii="Palatino Linotype" w:hAnsi="Palatino Linotype" w:cs="Arial"/>
          <w:lang w:val="es-ES"/>
        </w:rPr>
        <w:t xml:space="preserve"> la respuesta </w:t>
      </w:r>
      <w:r w:rsidRPr="0003493C">
        <w:rPr>
          <w:rFonts w:ascii="Palatino Linotype" w:hAnsi="Palatino Linotype" w:cs="Arial"/>
          <w:bCs/>
        </w:rPr>
        <w:t>emitida</w:t>
      </w:r>
      <w:r w:rsidRPr="0003493C">
        <w:rPr>
          <w:rFonts w:ascii="Palatino Linotype" w:hAnsi="Palatino Linotype" w:cs="Arial"/>
          <w:lang w:val="es-ES"/>
        </w:rPr>
        <w:t xml:space="preserve"> por el </w:t>
      </w:r>
      <w:r w:rsidR="004960FF" w:rsidRPr="00CC193F">
        <w:rPr>
          <w:rFonts w:ascii="Palatino Linotype" w:eastAsia="Palatino Linotype" w:hAnsi="Palatino Linotype" w:cs="Palatino Linotype"/>
          <w:b/>
          <w:color w:val="000000"/>
        </w:rPr>
        <w:t>Ayuntamiento de Tepotzotlán</w:t>
      </w:r>
      <w:r w:rsidRPr="0003493C">
        <w:rPr>
          <w:rFonts w:ascii="Palatino Linotype" w:hAnsi="Palatino Linotype" w:cs="Arial"/>
          <w:b/>
          <w:lang w:val="es-ES"/>
        </w:rPr>
        <w:t xml:space="preserve">, </w:t>
      </w:r>
      <w:r w:rsidRPr="0003493C">
        <w:rPr>
          <w:rFonts w:ascii="Palatino Linotype" w:hAnsi="Palatino Linotype" w:cs="Arial"/>
          <w:lang w:val="es-ES"/>
        </w:rPr>
        <w:t xml:space="preserve">en la Solicitud de Acceso a la </w:t>
      </w:r>
      <w:r w:rsidR="00D4605C" w:rsidRPr="0003493C">
        <w:rPr>
          <w:rFonts w:ascii="Palatino Linotype" w:hAnsi="Palatino Linotype" w:cs="Arial"/>
          <w:lang w:val="es-ES"/>
        </w:rPr>
        <w:t>Información Pública</w:t>
      </w:r>
      <w:r w:rsidRPr="0003493C">
        <w:rPr>
          <w:rFonts w:ascii="Palatino Linotype" w:hAnsi="Palatino Linotype" w:cs="Arial"/>
          <w:b/>
          <w:bCs/>
        </w:rPr>
        <w:t> </w:t>
      </w:r>
      <w:r w:rsidR="005D2D83" w:rsidRPr="0003493C">
        <w:rPr>
          <w:rFonts w:ascii="Palatino Linotype" w:eastAsia="Calibri" w:hAnsi="Palatino Linotype" w:cs="Consolas"/>
          <w:b/>
          <w:color w:val="000000"/>
          <w:lang w:val="es-MX" w:eastAsia="es-MX"/>
        </w:rPr>
        <w:t>01605/TEPOTZOT/IP/2025</w:t>
      </w:r>
      <w:r w:rsidRPr="0003493C">
        <w:rPr>
          <w:rFonts w:ascii="Palatino Linotype" w:eastAsia="Calibri" w:hAnsi="Palatino Linotype" w:cs="Consolas"/>
          <w:color w:val="000000"/>
          <w:lang w:val="es-MX" w:eastAsia="es-MX"/>
        </w:rPr>
        <w:t>.</w:t>
      </w:r>
    </w:p>
    <w:p w14:paraId="5AB26185" w14:textId="77777777" w:rsidR="00AE3157" w:rsidRPr="0003493C" w:rsidRDefault="00AE3157" w:rsidP="0003493C">
      <w:pPr>
        <w:spacing w:line="360" w:lineRule="auto"/>
        <w:jc w:val="both"/>
        <w:rPr>
          <w:rFonts w:ascii="Palatino Linotype" w:hAnsi="Palatino Linotype" w:cs="Arial"/>
          <w:b/>
          <w:bCs/>
        </w:rPr>
      </w:pPr>
    </w:p>
    <w:p w14:paraId="0854168B" w14:textId="77777777" w:rsidR="00AE3157" w:rsidRPr="0003493C" w:rsidRDefault="00AE3157" w:rsidP="0003493C">
      <w:pPr>
        <w:spacing w:line="360" w:lineRule="auto"/>
        <w:jc w:val="both"/>
        <w:rPr>
          <w:rFonts w:ascii="Palatino Linotype" w:eastAsia="Palatino Linotype" w:hAnsi="Palatino Linotype" w:cs="Palatino Linotype"/>
        </w:rPr>
      </w:pPr>
      <w:r w:rsidRPr="0003493C">
        <w:rPr>
          <w:rFonts w:ascii="Palatino Linotype" w:eastAsia="Palatino Linotype" w:hAnsi="Palatino Linotype" w:cs="Palatino Linotype"/>
          <w:b/>
        </w:rPr>
        <w:t>TERCERO.</w:t>
      </w:r>
      <w:r w:rsidRPr="0003493C">
        <w:rPr>
          <w:rFonts w:ascii="Palatino Linotype" w:eastAsia="Palatino Linotype" w:hAnsi="Palatino Linotype" w:cs="Palatino Linotype"/>
        </w:rPr>
        <w:t xml:space="preserve"> Notifíquese al Titular de la Unidad de Transparencia del</w:t>
      </w:r>
      <w:r w:rsidRPr="0003493C">
        <w:rPr>
          <w:rFonts w:ascii="Palatino Linotype" w:eastAsia="Palatino Linotype" w:hAnsi="Palatino Linotype" w:cs="Palatino Linotype"/>
          <w:b/>
        </w:rPr>
        <w:t xml:space="preserve"> SUJETO OBLIGADO</w:t>
      </w:r>
      <w:r w:rsidRPr="0003493C">
        <w:rPr>
          <w:rFonts w:ascii="Palatino Linotype" w:eastAsia="Palatino Linotype" w:hAnsi="Palatino Linotype" w:cs="Palatino Linotype"/>
        </w:rPr>
        <w:t xml:space="preserve"> vía </w:t>
      </w:r>
      <w:r w:rsidRPr="0003493C">
        <w:rPr>
          <w:rFonts w:ascii="Palatino Linotype" w:eastAsia="Palatino Linotype" w:hAnsi="Palatino Linotype" w:cs="Palatino Linotype"/>
          <w:b/>
        </w:rPr>
        <w:t>SAIMEX</w:t>
      </w:r>
      <w:r w:rsidRPr="0003493C">
        <w:rPr>
          <w:rFonts w:ascii="Palatino Linotype" w:eastAsia="Palatino Linotype" w:hAnsi="Palatino Linotype" w:cs="Palatino Linotype"/>
        </w:rPr>
        <w:t>, para su conocimiento.</w:t>
      </w:r>
    </w:p>
    <w:p w14:paraId="1CF18334" w14:textId="77777777" w:rsidR="00AE3157" w:rsidRPr="0003493C" w:rsidRDefault="00AE3157" w:rsidP="0003493C">
      <w:pPr>
        <w:shd w:val="clear" w:color="auto" w:fill="FFFFFF"/>
        <w:spacing w:line="360" w:lineRule="auto"/>
        <w:jc w:val="both"/>
        <w:rPr>
          <w:rFonts w:ascii="Palatino Linotype" w:eastAsia="Palatino Linotype" w:hAnsi="Palatino Linotype" w:cs="Palatino Linotype"/>
        </w:rPr>
      </w:pPr>
    </w:p>
    <w:p w14:paraId="784317E9" w14:textId="77777777" w:rsidR="00AE3157" w:rsidRPr="0003493C" w:rsidRDefault="00AE3157" w:rsidP="0003493C">
      <w:pPr>
        <w:shd w:val="clear" w:color="auto" w:fill="FFFFFF"/>
        <w:spacing w:line="360" w:lineRule="auto"/>
        <w:jc w:val="both"/>
        <w:rPr>
          <w:rFonts w:ascii="Palatino Linotype" w:eastAsia="Palatino Linotype" w:hAnsi="Palatino Linotype" w:cs="Palatino Linotype"/>
        </w:rPr>
      </w:pPr>
      <w:r w:rsidRPr="0003493C">
        <w:rPr>
          <w:rFonts w:ascii="Palatino Linotype" w:eastAsia="Palatino Linotype" w:hAnsi="Palatino Linotype" w:cs="Palatino Linotype"/>
          <w:b/>
        </w:rPr>
        <w:t>CUARTO.</w:t>
      </w:r>
      <w:r w:rsidRPr="0003493C">
        <w:rPr>
          <w:rFonts w:ascii="Palatino Linotype" w:eastAsia="Palatino Linotype" w:hAnsi="Palatino Linotype" w:cs="Palatino Linotype"/>
        </w:rPr>
        <w:t xml:space="preserve"> Notifíquese a la</w:t>
      </w:r>
      <w:r w:rsidRPr="0003493C">
        <w:rPr>
          <w:rFonts w:ascii="Palatino Linotype" w:eastAsia="Palatino Linotype" w:hAnsi="Palatino Linotype" w:cs="Palatino Linotype"/>
          <w:b/>
        </w:rPr>
        <w:t xml:space="preserve"> RECURRENTE</w:t>
      </w:r>
      <w:r w:rsidRPr="0003493C">
        <w:rPr>
          <w:rFonts w:ascii="Palatino Linotype" w:eastAsia="Palatino Linotype" w:hAnsi="Palatino Linotype" w:cs="Palatino Linotype"/>
        </w:rPr>
        <w:t xml:space="preserve"> la presente Resolución vía </w:t>
      </w:r>
      <w:r w:rsidRPr="0003493C">
        <w:rPr>
          <w:rFonts w:ascii="Palatino Linotype" w:eastAsia="Palatino Linotype" w:hAnsi="Palatino Linotype" w:cs="Palatino Linotype"/>
          <w:b/>
        </w:rPr>
        <w:t>SAIMEX</w:t>
      </w:r>
      <w:r w:rsidRPr="0003493C">
        <w:rPr>
          <w:rFonts w:ascii="Palatino Linotype" w:eastAsia="Palatino Linotype" w:hAnsi="Palatino Linotype" w:cs="Palatino Linotype"/>
        </w:rPr>
        <w:t>.</w:t>
      </w:r>
    </w:p>
    <w:p w14:paraId="35C2C9F6" w14:textId="77777777" w:rsidR="00AE3157" w:rsidRPr="0003493C" w:rsidRDefault="00AE3157" w:rsidP="0003493C">
      <w:pPr>
        <w:shd w:val="clear" w:color="auto" w:fill="FFFFFF"/>
        <w:spacing w:line="360" w:lineRule="auto"/>
        <w:jc w:val="both"/>
        <w:rPr>
          <w:rFonts w:ascii="Palatino Linotype" w:eastAsia="Palatino Linotype" w:hAnsi="Palatino Linotype" w:cs="Palatino Linotype"/>
        </w:rPr>
      </w:pPr>
      <w:r w:rsidRPr="0003493C">
        <w:rPr>
          <w:rFonts w:ascii="Palatino Linotype" w:eastAsia="Palatino Linotype" w:hAnsi="Palatino Linotype" w:cs="Palatino Linotype"/>
          <w:b/>
        </w:rPr>
        <w:lastRenderedPageBreak/>
        <w:t xml:space="preserve">QUINTO. </w:t>
      </w:r>
      <w:r w:rsidRPr="0003493C">
        <w:rPr>
          <w:rFonts w:ascii="Palatino Linotype" w:eastAsia="Times New Roman" w:hAnsi="Palatino Linotype" w:cs="Times New Roman"/>
        </w:rPr>
        <w:t>Se hace del conocimiento de la</w:t>
      </w:r>
      <w:r w:rsidRPr="0003493C">
        <w:rPr>
          <w:rFonts w:ascii="Palatino Linotype" w:eastAsia="Times New Roman" w:hAnsi="Palatino Linotype" w:cs="Times New Roman"/>
          <w:b/>
        </w:rPr>
        <w:t xml:space="preserve"> RECURRENTE</w:t>
      </w:r>
      <w:r w:rsidRPr="0003493C">
        <w:rPr>
          <w:rFonts w:ascii="Palatino Linotype" w:eastAsia="Times New Roman" w:hAnsi="Palatino Linotype" w:cs="Times New Roman"/>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3493C">
        <w:rPr>
          <w:rFonts w:ascii="Palatino Linotype" w:eastAsia="Times New Roman" w:hAnsi="Palatino Linotype" w:cs="Times New Roman"/>
          <w:bCs/>
        </w:rPr>
        <w:t>vía juicio de amparo</w:t>
      </w:r>
      <w:r w:rsidRPr="0003493C">
        <w:rPr>
          <w:rFonts w:ascii="Palatino Linotype" w:eastAsia="Times New Roman" w:hAnsi="Palatino Linotype" w:cs="Times New Roman"/>
        </w:rPr>
        <w:t> en los términos de las leyes aplicables.</w:t>
      </w:r>
    </w:p>
    <w:p w14:paraId="74BB965F" w14:textId="77777777" w:rsidR="00B65101" w:rsidRPr="0003493C" w:rsidRDefault="00B65101" w:rsidP="0003493C">
      <w:pPr>
        <w:shd w:val="clear" w:color="auto" w:fill="FFFFFF"/>
        <w:spacing w:line="360" w:lineRule="auto"/>
        <w:ind w:right="49"/>
        <w:jc w:val="both"/>
        <w:rPr>
          <w:rFonts w:ascii="Palatino Linotype" w:eastAsia="Palatino Linotype" w:hAnsi="Palatino Linotype" w:cs="Palatino Linotype"/>
        </w:rPr>
      </w:pPr>
    </w:p>
    <w:p w14:paraId="62426566" w14:textId="77777777" w:rsidR="00CC193F" w:rsidRPr="003E2295" w:rsidRDefault="00CC193F" w:rsidP="00CC193F">
      <w:pPr>
        <w:spacing w:before="240" w:after="240" w:line="360" w:lineRule="auto"/>
        <w:ind w:firstLine="1"/>
        <w:jc w:val="both"/>
        <w:rPr>
          <w:rFonts w:ascii="Palatino Linotype" w:hAnsi="Palatino Linotype"/>
        </w:rPr>
      </w:pPr>
      <w:bookmarkStart w:id="37"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TERCERA </w:t>
      </w:r>
      <w:r w:rsidRPr="003E2295">
        <w:rPr>
          <w:rFonts w:ascii="Palatino Linotype" w:hAnsi="Palatino Linotype" w:cs="Palatino Linotype"/>
        </w:rPr>
        <w:t>SESIÓN O</w:t>
      </w:r>
      <w:r>
        <w:rPr>
          <w:rFonts w:ascii="Palatino Linotype" w:hAnsi="Palatino Linotype" w:cs="Palatino Linotype"/>
        </w:rPr>
        <w:t>RDINARIA, CELEBRADA EL QUINCE (15</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37"/>
    <w:p w14:paraId="74BB9663" w14:textId="77777777" w:rsidR="00B84DF1" w:rsidRPr="0003493C" w:rsidRDefault="00B84DF1" w:rsidP="0003493C">
      <w:pPr>
        <w:spacing w:line="360" w:lineRule="auto"/>
        <w:ind w:right="49"/>
        <w:jc w:val="both"/>
        <w:rPr>
          <w:rFonts w:ascii="Palatino Linotype" w:eastAsia="Palatino Linotype" w:hAnsi="Palatino Linotype" w:cs="Palatino Linotype"/>
        </w:rPr>
      </w:pPr>
    </w:p>
    <w:p w14:paraId="74BB9664" w14:textId="77777777" w:rsidR="00B84DF1" w:rsidRPr="0003493C" w:rsidRDefault="00B84DF1" w:rsidP="0003493C">
      <w:pPr>
        <w:spacing w:line="360" w:lineRule="auto"/>
        <w:ind w:right="49"/>
        <w:jc w:val="both"/>
        <w:rPr>
          <w:rFonts w:ascii="Palatino Linotype" w:eastAsia="Palatino Linotype" w:hAnsi="Palatino Linotype" w:cs="Palatino Linotype"/>
        </w:rPr>
      </w:pPr>
    </w:p>
    <w:p w14:paraId="74BB9665" w14:textId="77777777" w:rsidR="00B84DF1" w:rsidRPr="0003493C" w:rsidRDefault="00B84DF1" w:rsidP="0003493C">
      <w:pPr>
        <w:spacing w:line="360" w:lineRule="auto"/>
        <w:ind w:right="49"/>
        <w:jc w:val="both"/>
        <w:rPr>
          <w:rFonts w:ascii="Palatino Linotype" w:eastAsia="Palatino Linotype" w:hAnsi="Palatino Linotype" w:cs="Palatino Linotype"/>
        </w:rPr>
      </w:pPr>
    </w:p>
    <w:p w14:paraId="74BB9666" w14:textId="77777777" w:rsidR="00B84DF1" w:rsidRPr="0003493C" w:rsidRDefault="00B84DF1" w:rsidP="0003493C">
      <w:pPr>
        <w:spacing w:line="360" w:lineRule="auto"/>
        <w:ind w:right="49"/>
        <w:jc w:val="both"/>
        <w:rPr>
          <w:rFonts w:ascii="Palatino Linotype" w:eastAsia="Palatino Linotype" w:hAnsi="Palatino Linotype" w:cs="Palatino Linotype"/>
        </w:rPr>
      </w:pPr>
    </w:p>
    <w:p w14:paraId="74BB9667" w14:textId="77777777" w:rsidR="00B84DF1" w:rsidRPr="0003493C" w:rsidRDefault="00B84DF1" w:rsidP="0003493C">
      <w:pPr>
        <w:spacing w:line="360" w:lineRule="auto"/>
        <w:ind w:right="49"/>
        <w:jc w:val="both"/>
        <w:rPr>
          <w:rFonts w:ascii="Palatino Linotype" w:eastAsia="Palatino Linotype" w:hAnsi="Palatino Linotype" w:cs="Palatino Linotype"/>
        </w:rPr>
      </w:pPr>
    </w:p>
    <w:p w14:paraId="74BB9668"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9"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A"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B"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C"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D"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E" w14:textId="77777777" w:rsidR="00B84DF1" w:rsidRPr="0003493C" w:rsidRDefault="00B84DF1" w:rsidP="0003493C">
      <w:pPr>
        <w:spacing w:line="360" w:lineRule="auto"/>
        <w:ind w:right="49"/>
        <w:rPr>
          <w:rFonts w:ascii="Palatino Linotype" w:eastAsia="Palatino Linotype" w:hAnsi="Palatino Linotype" w:cs="Palatino Linotype"/>
        </w:rPr>
      </w:pPr>
    </w:p>
    <w:p w14:paraId="74BB966F" w14:textId="77777777" w:rsidR="00B84DF1" w:rsidRPr="0003493C" w:rsidRDefault="009D3673" w:rsidP="0003493C">
      <w:pPr>
        <w:tabs>
          <w:tab w:val="left" w:pos="3374"/>
        </w:tabs>
        <w:spacing w:line="360" w:lineRule="auto"/>
        <w:ind w:right="49"/>
        <w:rPr>
          <w:rFonts w:ascii="Palatino Linotype" w:eastAsia="Palatino Linotype" w:hAnsi="Palatino Linotype" w:cs="Palatino Linotype"/>
        </w:rPr>
      </w:pPr>
      <w:r w:rsidRPr="0003493C">
        <w:rPr>
          <w:rFonts w:ascii="Palatino Linotype" w:eastAsia="Palatino Linotype" w:hAnsi="Palatino Linotype" w:cs="Palatino Linotype"/>
        </w:rPr>
        <w:tab/>
      </w:r>
    </w:p>
    <w:p w14:paraId="74BB9670"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1"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2"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3"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4"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5"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6"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7" w14:textId="77777777" w:rsidR="00B84DF1" w:rsidRPr="0003493C" w:rsidRDefault="00B84DF1" w:rsidP="0003493C">
      <w:pPr>
        <w:tabs>
          <w:tab w:val="left" w:pos="3374"/>
        </w:tabs>
        <w:spacing w:line="360" w:lineRule="auto"/>
        <w:ind w:right="49"/>
        <w:rPr>
          <w:rFonts w:ascii="Palatino Linotype" w:eastAsia="Palatino Linotype" w:hAnsi="Palatino Linotype" w:cs="Palatino Linotype"/>
        </w:rPr>
      </w:pPr>
    </w:p>
    <w:p w14:paraId="74BB9678" w14:textId="77777777" w:rsidR="00B84DF1" w:rsidRPr="0003493C" w:rsidRDefault="00B84DF1" w:rsidP="0003493C">
      <w:pPr>
        <w:spacing w:line="360" w:lineRule="auto"/>
        <w:ind w:right="49"/>
        <w:rPr>
          <w:rFonts w:ascii="Palatino Linotype" w:eastAsia="Palatino Linotype" w:hAnsi="Palatino Linotype" w:cs="Palatino Linotype"/>
        </w:rPr>
      </w:pPr>
    </w:p>
    <w:sectPr w:rsidR="00B84DF1" w:rsidRPr="0003493C" w:rsidSect="008D5974">
      <w:headerReference w:type="even" r:id="rId10"/>
      <w:headerReference w:type="default" r:id="rId11"/>
      <w:footerReference w:type="default" r:id="rId12"/>
      <w:headerReference w:type="first" r:id="rId13"/>
      <w:footerReference w:type="first" r:id="rId14"/>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E3AA8" w14:textId="77777777" w:rsidR="00AD1FA0" w:rsidRDefault="00AD1FA0">
      <w:r>
        <w:separator/>
      </w:r>
    </w:p>
  </w:endnote>
  <w:endnote w:type="continuationSeparator" w:id="0">
    <w:p w14:paraId="537E5409" w14:textId="77777777" w:rsidR="00AD1FA0" w:rsidRDefault="00AD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D" w14:textId="77777777" w:rsidR="006F66E0" w:rsidRDefault="006F66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5F3E">
      <w:rPr>
        <w:rFonts w:ascii="Palatino Linotype" w:eastAsia="Palatino Linotype" w:hAnsi="Palatino Linotype" w:cs="Palatino Linotype"/>
        <w:noProof/>
        <w:color w:val="000000"/>
        <w:sz w:val="20"/>
        <w:szCs w:val="20"/>
      </w:rPr>
      <w:t>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5F3E">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14:paraId="74BB968E" w14:textId="77777777" w:rsidR="006F66E0" w:rsidRDefault="006F66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9D" w14:textId="77777777" w:rsidR="006F66E0" w:rsidRDefault="006F66E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95F3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95F3E">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14:paraId="74BB969E" w14:textId="77777777" w:rsidR="006F66E0" w:rsidRDefault="006F66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B453C" w14:textId="77777777" w:rsidR="00AD1FA0" w:rsidRDefault="00AD1FA0">
      <w:r>
        <w:separator/>
      </w:r>
    </w:p>
  </w:footnote>
  <w:footnote w:type="continuationSeparator" w:id="0">
    <w:p w14:paraId="4D8FED6D" w14:textId="77777777" w:rsidR="00AD1FA0" w:rsidRDefault="00AD1FA0">
      <w:r>
        <w:continuationSeparator/>
      </w:r>
    </w:p>
  </w:footnote>
  <w:footnote w:id="1">
    <w:p w14:paraId="74BB96A2" w14:textId="77777777" w:rsidR="006F66E0" w:rsidRDefault="006F66E0" w:rsidP="00CC4F68">
      <w:pPr>
        <w:pStyle w:val="Textonotapie"/>
      </w:pPr>
      <w:r>
        <w:rPr>
          <w:rStyle w:val="Refdenotaalpie"/>
        </w:rPr>
        <w:footnoteRef/>
      </w:r>
      <w:r>
        <w:t xml:space="preserve"> Convención Americana sobre Derechos Humanos. Artículo 13.</w:t>
      </w:r>
    </w:p>
  </w:footnote>
  <w:footnote w:id="2">
    <w:p w14:paraId="74BB96A3" w14:textId="77777777" w:rsidR="006F66E0" w:rsidRDefault="006F66E0" w:rsidP="00CC4F68">
      <w:pPr>
        <w:pStyle w:val="Textonotapie"/>
      </w:pPr>
      <w:r>
        <w:rPr>
          <w:rStyle w:val="Refdenotaalpie"/>
        </w:rPr>
        <w:footnoteRef/>
      </w:r>
      <w:r>
        <w:t xml:space="preserve"> Constitución Política de los Estados Unidos Mexicanos. Artículo sexto, sección A, Fracción I.</w:t>
      </w:r>
    </w:p>
  </w:footnote>
  <w:footnote w:id="3">
    <w:p w14:paraId="74BB96A4" w14:textId="77777777" w:rsidR="006F66E0" w:rsidRPr="00F411B8" w:rsidRDefault="006F66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4BB96A5" w14:textId="77777777" w:rsidR="006F66E0" w:rsidRPr="00F411B8" w:rsidRDefault="006F66E0" w:rsidP="00CC4F68">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74BB96A6" w14:textId="77777777" w:rsidR="006F66E0" w:rsidRDefault="006F66E0" w:rsidP="00CC4F68">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4BB96A7" w14:textId="77777777" w:rsidR="006F66E0" w:rsidRDefault="006F66E0" w:rsidP="00CC4F68">
      <w:pPr>
        <w:pStyle w:val="Textonotapie"/>
      </w:pPr>
      <w:r>
        <w:rPr>
          <w:rStyle w:val="Refdenotaalpie"/>
        </w:rPr>
        <w:footnoteRef/>
      </w:r>
      <w:r>
        <w:t xml:space="preserve"> Ley de Transparencia y Acceso a la Información Pública del Estado de México y Municipios. Artículo 9. …</w:t>
      </w:r>
    </w:p>
    <w:p w14:paraId="74BB96A8" w14:textId="77777777" w:rsidR="006F66E0" w:rsidRDefault="006F66E0" w:rsidP="00CC4F68">
      <w:pPr>
        <w:pStyle w:val="Textonotapie"/>
      </w:pPr>
      <w:r>
        <w:t>II. Eficacia: Obligación del Instituto para tutelar, de manera efectiva, el derecho de acceso a la información;</w:t>
      </w:r>
    </w:p>
    <w:p w14:paraId="74BB96A9" w14:textId="77777777" w:rsidR="006F66E0" w:rsidRDefault="006F66E0" w:rsidP="00CC4F68">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B9681" w14:textId="77777777" w:rsidR="006F66E0" w:rsidRDefault="00AD1FA0">
    <w:pPr>
      <w:pBdr>
        <w:top w:val="nil"/>
        <w:left w:val="nil"/>
        <w:bottom w:val="nil"/>
        <w:right w:val="nil"/>
        <w:between w:val="nil"/>
      </w:pBdr>
      <w:tabs>
        <w:tab w:val="center" w:pos="4419"/>
        <w:tab w:val="right" w:pos="8838"/>
      </w:tabs>
      <w:rPr>
        <w:color w:val="000000"/>
      </w:rPr>
    </w:pPr>
    <w:r>
      <w:rPr>
        <w:color w:val="000000"/>
      </w:rPr>
      <w:pict w14:anchorId="74BB9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519" w:type="dxa"/>
      <w:tblInd w:w="3544" w:type="dxa"/>
      <w:tblLayout w:type="fixed"/>
      <w:tblLook w:val="0400" w:firstRow="0" w:lastRow="0" w:firstColumn="0" w:lastColumn="0" w:noHBand="0" w:noVBand="1"/>
    </w:tblPr>
    <w:tblGrid>
      <w:gridCol w:w="2976"/>
      <w:gridCol w:w="3543"/>
    </w:tblGrid>
    <w:tr w:rsidR="006F66E0" w14:paraId="74BB9685" w14:textId="77777777" w:rsidTr="008D5974">
      <w:trPr>
        <w:trHeight w:val="227"/>
      </w:trPr>
      <w:tc>
        <w:tcPr>
          <w:tcW w:w="2976" w:type="dxa"/>
          <w:vAlign w:val="center"/>
        </w:tcPr>
        <w:p w14:paraId="74BB9683" w14:textId="77777777" w:rsidR="006F66E0" w:rsidRDefault="006F66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vAlign w:val="center"/>
        </w:tcPr>
        <w:p w14:paraId="74BB9684" w14:textId="12C0C8F8" w:rsidR="006F66E0" w:rsidRDefault="006F66E0"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7506C9">
            <w:rPr>
              <w:rFonts w:ascii="Palatino Linotype" w:eastAsia="Palatino Linotype" w:hAnsi="Palatino Linotype" w:cs="Palatino Linotype"/>
              <w:color w:val="000000"/>
              <w:sz w:val="22"/>
              <w:szCs w:val="22"/>
            </w:rPr>
            <w:t>00023/INFOEM/IP/RR/2026</w:t>
          </w:r>
        </w:p>
      </w:tc>
    </w:tr>
    <w:tr w:rsidR="006F66E0" w14:paraId="74BB9688" w14:textId="77777777" w:rsidTr="008D5974">
      <w:trPr>
        <w:trHeight w:val="242"/>
      </w:trPr>
      <w:tc>
        <w:tcPr>
          <w:tcW w:w="2976" w:type="dxa"/>
          <w:vAlign w:val="center"/>
        </w:tcPr>
        <w:p w14:paraId="74BB9686" w14:textId="77777777" w:rsidR="006F66E0" w:rsidRDefault="006F66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vAlign w:val="center"/>
        </w:tcPr>
        <w:p w14:paraId="74BB9687" w14:textId="340052BB" w:rsidR="006F66E0" w:rsidRDefault="006F66E0" w:rsidP="00ED0A5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sz w:val="22"/>
              <w:szCs w:val="22"/>
              <w:highlight w:val="green"/>
            </w:rPr>
          </w:pPr>
          <w:r w:rsidRPr="004960FF">
            <w:rPr>
              <w:rFonts w:ascii="Palatino Linotype" w:eastAsia="Palatino Linotype" w:hAnsi="Palatino Linotype" w:cs="Palatino Linotype"/>
              <w:color w:val="000000"/>
              <w:sz w:val="22"/>
              <w:szCs w:val="22"/>
            </w:rPr>
            <w:t>Ayuntamiento de Tepotzotlán</w:t>
          </w:r>
        </w:p>
      </w:tc>
    </w:tr>
    <w:tr w:rsidR="006F66E0" w14:paraId="74BB968B" w14:textId="77777777" w:rsidTr="008D5974">
      <w:trPr>
        <w:trHeight w:val="342"/>
      </w:trPr>
      <w:tc>
        <w:tcPr>
          <w:tcW w:w="2976" w:type="dxa"/>
          <w:vAlign w:val="center"/>
        </w:tcPr>
        <w:p w14:paraId="74BB9689" w14:textId="77777777" w:rsidR="006F66E0" w:rsidRDefault="006F66E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vAlign w:val="center"/>
        </w:tcPr>
        <w:p w14:paraId="74BB968A" w14:textId="77777777" w:rsidR="006F66E0" w:rsidRDefault="006F66E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8C" w14:textId="77777777" w:rsidR="006F66E0" w:rsidRDefault="00AD1FA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4BB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6660" w:type="dxa"/>
      <w:tblInd w:w="3402" w:type="dxa"/>
      <w:tblLayout w:type="fixed"/>
      <w:tblLook w:val="0400" w:firstRow="0" w:lastRow="0" w:firstColumn="0" w:lastColumn="0" w:noHBand="0" w:noVBand="1"/>
    </w:tblPr>
    <w:tblGrid>
      <w:gridCol w:w="2977"/>
      <w:gridCol w:w="3683"/>
    </w:tblGrid>
    <w:tr w:rsidR="006F66E0" w14:paraId="74BB9692" w14:textId="77777777" w:rsidTr="008D5974">
      <w:trPr>
        <w:trHeight w:val="227"/>
      </w:trPr>
      <w:tc>
        <w:tcPr>
          <w:tcW w:w="2977" w:type="dxa"/>
          <w:vAlign w:val="center"/>
        </w:tcPr>
        <w:p w14:paraId="74BB9690" w14:textId="77777777" w:rsidR="006F66E0" w:rsidRDefault="006F66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3" w:type="dxa"/>
          <w:vAlign w:val="center"/>
        </w:tcPr>
        <w:p w14:paraId="74BB9691" w14:textId="67538A01" w:rsidR="006F66E0" w:rsidRDefault="006F66E0" w:rsidP="006F213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7506C9">
            <w:rPr>
              <w:rFonts w:ascii="Palatino Linotype" w:eastAsia="Palatino Linotype" w:hAnsi="Palatino Linotype" w:cs="Palatino Linotype"/>
              <w:color w:val="000000"/>
              <w:sz w:val="22"/>
              <w:szCs w:val="22"/>
            </w:rPr>
            <w:t>00023/INFOEM/IP/RR/2026</w:t>
          </w:r>
        </w:p>
      </w:tc>
    </w:tr>
    <w:tr w:rsidR="006F66E0" w14:paraId="74BB9695" w14:textId="77777777" w:rsidTr="008D5974">
      <w:trPr>
        <w:trHeight w:val="242"/>
      </w:trPr>
      <w:tc>
        <w:tcPr>
          <w:tcW w:w="2977" w:type="dxa"/>
          <w:vAlign w:val="center"/>
        </w:tcPr>
        <w:p w14:paraId="74BB9693" w14:textId="77777777" w:rsidR="006F66E0" w:rsidRDefault="006F66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3" w:type="dxa"/>
        </w:tcPr>
        <w:p w14:paraId="74BB9694" w14:textId="00ACA903" w:rsidR="006F66E0" w:rsidRDefault="00C95F3E" w:rsidP="005D2D83">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6F66E0" w14:paraId="74BB9698" w14:textId="77777777" w:rsidTr="008D5974">
      <w:trPr>
        <w:trHeight w:val="342"/>
      </w:trPr>
      <w:tc>
        <w:tcPr>
          <w:tcW w:w="2977" w:type="dxa"/>
          <w:vAlign w:val="center"/>
        </w:tcPr>
        <w:p w14:paraId="74BB9696" w14:textId="77777777" w:rsidR="006F66E0" w:rsidRDefault="006F66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3" w:type="dxa"/>
          <w:vAlign w:val="center"/>
        </w:tcPr>
        <w:p w14:paraId="74BB9697" w14:textId="1A68F326" w:rsidR="006F66E0" w:rsidRDefault="006F66E0"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4960FF">
            <w:rPr>
              <w:rFonts w:ascii="Palatino Linotype" w:eastAsia="Palatino Linotype" w:hAnsi="Palatino Linotype" w:cs="Palatino Linotype"/>
              <w:color w:val="000000"/>
              <w:sz w:val="22"/>
              <w:szCs w:val="22"/>
            </w:rPr>
            <w:t>Ayuntamiento de Tepotzotlán</w:t>
          </w:r>
        </w:p>
      </w:tc>
    </w:tr>
    <w:tr w:rsidR="006F66E0" w14:paraId="74BB969B" w14:textId="77777777" w:rsidTr="008D5974">
      <w:trPr>
        <w:trHeight w:val="342"/>
      </w:trPr>
      <w:tc>
        <w:tcPr>
          <w:tcW w:w="2977" w:type="dxa"/>
          <w:vAlign w:val="center"/>
        </w:tcPr>
        <w:p w14:paraId="74BB9699" w14:textId="77777777" w:rsidR="006F66E0" w:rsidRDefault="006F66E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3" w:type="dxa"/>
          <w:vAlign w:val="center"/>
        </w:tcPr>
        <w:p w14:paraId="74BB969A" w14:textId="77777777" w:rsidR="006F66E0" w:rsidRDefault="006F66E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74BB969C" w14:textId="77777777" w:rsidR="006F66E0" w:rsidRDefault="00AD1FA0">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74BB9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0.85pt;margin-top:-125.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C7269A"/>
    <w:multiLevelType w:val="multilevel"/>
    <w:tmpl w:val="375AF13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7741FD1"/>
    <w:multiLevelType w:val="hybridMultilevel"/>
    <w:tmpl w:val="9940A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945C10"/>
    <w:multiLevelType w:val="multilevel"/>
    <w:tmpl w:val="2A2071F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 w15:restartNumberingAfterBreak="0">
    <w:nsid w:val="07DF2C2B"/>
    <w:multiLevelType w:val="multilevel"/>
    <w:tmpl w:val="2F22A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8B5BE1"/>
    <w:multiLevelType w:val="hybridMultilevel"/>
    <w:tmpl w:val="3E2456E6"/>
    <w:lvl w:ilvl="0" w:tplc="B98849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AE7D88"/>
    <w:multiLevelType w:val="multilevel"/>
    <w:tmpl w:val="41443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7F69E5"/>
    <w:multiLevelType w:val="hybridMultilevel"/>
    <w:tmpl w:val="81366408"/>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7C327A4"/>
    <w:multiLevelType w:val="hybridMultilevel"/>
    <w:tmpl w:val="12BC300E"/>
    <w:lvl w:ilvl="0" w:tplc="080A0001">
      <w:start w:val="1"/>
      <w:numFmt w:val="bullet"/>
      <w:lvlText w:val=""/>
      <w:lvlJc w:val="left"/>
      <w:pPr>
        <w:ind w:left="1605" w:hanging="360"/>
      </w:pPr>
      <w:rPr>
        <w:rFonts w:ascii="Symbol" w:hAnsi="Symbol" w:hint="default"/>
      </w:rPr>
    </w:lvl>
    <w:lvl w:ilvl="1" w:tplc="080A0003" w:tentative="1">
      <w:start w:val="1"/>
      <w:numFmt w:val="bullet"/>
      <w:lvlText w:val="o"/>
      <w:lvlJc w:val="left"/>
      <w:pPr>
        <w:ind w:left="2325" w:hanging="360"/>
      </w:pPr>
      <w:rPr>
        <w:rFonts w:ascii="Courier New" w:hAnsi="Courier New" w:cs="Courier New" w:hint="default"/>
      </w:rPr>
    </w:lvl>
    <w:lvl w:ilvl="2" w:tplc="080A0005" w:tentative="1">
      <w:start w:val="1"/>
      <w:numFmt w:val="bullet"/>
      <w:lvlText w:val=""/>
      <w:lvlJc w:val="left"/>
      <w:pPr>
        <w:ind w:left="3045" w:hanging="360"/>
      </w:pPr>
      <w:rPr>
        <w:rFonts w:ascii="Wingdings" w:hAnsi="Wingdings" w:hint="default"/>
      </w:rPr>
    </w:lvl>
    <w:lvl w:ilvl="3" w:tplc="080A0001" w:tentative="1">
      <w:start w:val="1"/>
      <w:numFmt w:val="bullet"/>
      <w:lvlText w:val=""/>
      <w:lvlJc w:val="left"/>
      <w:pPr>
        <w:ind w:left="3765" w:hanging="360"/>
      </w:pPr>
      <w:rPr>
        <w:rFonts w:ascii="Symbol" w:hAnsi="Symbol" w:hint="default"/>
      </w:rPr>
    </w:lvl>
    <w:lvl w:ilvl="4" w:tplc="080A0003" w:tentative="1">
      <w:start w:val="1"/>
      <w:numFmt w:val="bullet"/>
      <w:lvlText w:val="o"/>
      <w:lvlJc w:val="left"/>
      <w:pPr>
        <w:ind w:left="4485" w:hanging="360"/>
      </w:pPr>
      <w:rPr>
        <w:rFonts w:ascii="Courier New" w:hAnsi="Courier New" w:cs="Courier New" w:hint="default"/>
      </w:rPr>
    </w:lvl>
    <w:lvl w:ilvl="5" w:tplc="080A0005" w:tentative="1">
      <w:start w:val="1"/>
      <w:numFmt w:val="bullet"/>
      <w:lvlText w:val=""/>
      <w:lvlJc w:val="left"/>
      <w:pPr>
        <w:ind w:left="5205" w:hanging="360"/>
      </w:pPr>
      <w:rPr>
        <w:rFonts w:ascii="Wingdings" w:hAnsi="Wingdings" w:hint="default"/>
      </w:rPr>
    </w:lvl>
    <w:lvl w:ilvl="6" w:tplc="080A0001" w:tentative="1">
      <w:start w:val="1"/>
      <w:numFmt w:val="bullet"/>
      <w:lvlText w:val=""/>
      <w:lvlJc w:val="left"/>
      <w:pPr>
        <w:ind w:left="5925" w:hanging="360"/>
      </w:pPr>
      <w:rPr>
        <w:rFonts w:ascii="Symbol" w:hAnsi="Symbol" w:hint="default"/>
      </w:rPr>
    </w:lvl>
    <w:lvl w:ilvl="7" w:tplc="080A0003" w:tentative="1">
      <w:start w:val="1"/>
      <w:numFmt w:val="bullet"/>
      <w:lvlText w:val="o"/>
      <w:lvlJc w:val="left"/>
      <w:pPr>
        <w:ind w:left="6645" w:hanging="360"/>
      </w:pPr>
      <w:rPr>
        <w:rFonts w:ascii="Courier New" w:hAnsi="Courier New" w:cs="Courier New" w:hint="default"/>
      </w:rPr>
    </w:lvl>
    <w:lvl w:ilvl="8" w:tplc="080A0005" w:tentative="1">
      <w:start w:val="1"/>
      <w:numFmt w:val="bullet"/>
      <w:lvlText w:val=""/>
      <w:lvlJc w:val="left"/>
      <w:pPr>
        <w:ind w:left="7365" w:hanging="360"/>
      </w:pPr>
      <w:rPr>
        <w:rFonts w:ascii="Wingdings" w:hAnsi="Wingdings" w:hint="default"/>
      </w:rPr>
    </w:lvl>
  </w:abstractNum>
  <w:abstractNum w:abstractNumId="12" w15:restartNumberingAfterBreak="0">
    <w:nsid w:val="2A0C5B26"/>
    <w:multiLevelType w:val="hybridMultilevel"/>
    <w:tmpl w:val="E4D8EE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4"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B713E5"/>
    <w:multiLevelType w:val="multilevel"/>
    <w:tmpl w:val="F384DA80"/>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740275"/>
    <w:multiLevelType w:val="multilevel"/>
    <w:tmpl w:val="EB3E35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0" w15:restartNumberingAfterBreak="0">
    <w:nsid w:val="513C3332"/>
    <w:multiLevelType w:val="hybridMultilevel"/>
    <w:tmpl w:val="8E8885D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177B67"/>
    <w:multiLevelType w:val="multilevel"/>
    <w:tmpl w:val="D236FA1A"/>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127B7E"/>
    <w:multiLevelType w:val="hybridMultilevel"/>
    <w:tmpl w:val="B32C4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623615"/>
    <w:multiLevelType w:val="multilevel"/>
    <w:tmpl w:val="FAC61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136A0"/>
    <w:multiLevelType w:val="hybridMultilevel"/>
    <w:tmpl w:val="08C83F2C"/>
    <w:lvl w:ilvl="0" w:tplc="FB129446">
      <w:start w:val="1"/>
      <w:numFmt w:val="decimal"/>
      <w:lvlText w:val="%1."/>
      <w:lvlJc w:val="left"/>
      <w:pPr>
        <w:tabs>
          <w:tab w:val="num" w:pos="567"/>
        </w:tabs>
        <w:ind w:left="1134" w:firstLine="0"/>
      </w:pPr>
      <w:rPr>
        <w:rFonts w:ascii="Palatino Linotype" w:hAnsi="Palatino Linotype"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15"/>
  </w:num>
  <w:num w:numId="4">
    <w:abstractNumId w:val="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num>
  <w:num w:numId="8">
    <w:abstractNumId w:val="25"/>
  </w:num>
  <w:num w:numId="9">
    <w:abstractNumId w:val="4"/>
  </w:num>
  <w:num w:numId="10">
    <w:abstractNumId w:val="19"/>
  </w:num>
  <w:num w:numId="11">
    <w:abstractNumId w:val="6"/>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11"/>
  </w:num>
  <w:num w:numId="15">
    <w:abstractNumId w:val="6"/>
  </w:num>
  <w:num w:numId="16">
    <w:abstractNumId w:val="3"/>
  </w:num>
  <w:num w:numId="17">
    <w:abstractNumId w:val="20"/>
  </w:num>
  <w:num w:numId="18">
    <w:abstractNumId w:val="21"/>
  </w:num>
  <w:num w:numId="19">
    <w:abstractNumId w:val="14"/>
  </w:num>
  <w:num w:numId="20">
    <w:abstractNumId w:val="17"/>
  </w:num>
  <w:num w:numId="21">
    <w:abstractNumId w:val="16"/>
  </w:num>
  <w:num w:numId="22">
    <w:abstractNumId w:val="24"/>
  </w:num>
  <w:num w:numId="23">
    <w:abstractNumId w:val="10"/>
  </w:num>
  <w:num w:numId="24">
    <w:abstractNumId w:val="28"/>
  </w:num>
  <w:num w:numId="25">
    <w:abstractNumId w:val="27"/>
  </w:num>
  <w:num w:numId="26">
    <w:abstractNumId w:val="1"/>
  </w:num>
  <w:num w:numId="27">
    <w:abstractNumId w:val="18"/>
  </w:num>
  <w:num w:numId="28">
    <w:abstractNumId w:val="23"/>
  </w:num>
  <w:num w:numId="29">
    <w:abstractNumId w:val="7"/>
  </w:num>
  <w:num w:numId="3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50E4"/>
    <w:rsid w:val="00005D7A"/>
    <w:rsid w:val="0000677B"/>
    <w:rsid w:val="00011140"/>
    <w:rsid w:val="00015928"/>
    <w:rsid w:val="00015CA6"/>
    <w:rsid w:val="00017D61"/>
    <w:rsid w:val="00024E4D"/>
    <w:rsid w:val="00025289"/>
    <w:rsid w:val="00025910"/>
    <w:rsid w:val="00025B15"/>
    <w:rsid w:val="00025D9C"/>
    <w:rsid w:val="00027CA2"/>
    <w:rsid w:val="00031DF2"/>
    <w:rsid w:val="00032428"/>
    <w:rsid w:val="000345AA"/>
    <w:rsid w:val="0003493C"/>
    <w:rsid w:val="00034F10"/>
    <w:rsid w:val="000378F8"/>
    <w:rsid w:val="00041443"/>
    <w:rsid w:val="000444BD"/>
    <w:rsid w:val="000457CB"/>
    <w:rsid w:val="00051BBE"/>
    <w:rsid w:val="00052451"/>
    <w:rsid w:val="00053809"/>
    <w:rsid w:val="00060D61"/>
    <w:rsid w:val="00062602"/>
    <w:rsid w:val="00071823"/>
    <w:rsid w:val="00072481"/>
    <w:rsid w:val="000877E9"/>
    <w:rsid w:val="00093894"/>
    <w:rsid w:val="000944B0"/>
    <w:rsid w:val="000A6833"/>
    <w:rsid w:val="000B137A"/>
    <w:rsid w:val="000B22FD"/>
    <w:rsid w:val="000B263D"/>
    <w:rsid w:val="000B554D"/>
    <w:rsid w:val="000B6F6F"/>
    <w:rsid w:val="000C3AFC"/>
    <w:rsid w:val="000C7A68"/>
    <w:rsid w:val="000E1050"/>
    <w:rsid w:val="000E5750"/>
    <w:rsid w:val="000E5A09"/>
    <w:rsid w:val="000E7F59"/>
    <w:rsid w:val="000F1926"/>
    <w:rsid w:val="000F1E77"/>
    <w:rsid w:val="000F5DBD"/>
    <w:rsid w:val="00100E76"/>
    <w:rsid w:val="001024BE"/>
    <w:rsid w:val="001139B2"/>
    <w:rsid w:val="00116347"/>
    <w:rsid w:val="00120600"/>
    <w:rsid w:val="001268E9"/>
    <w:rsid w:val="00133EDE"/>
    <w:rsid w:val="00134848"/>
    <w:rsid w:val="00137E3A"/>
    <w:rsid w:val="00154829"/>
    <w:rsid w:val="00154E6D"/>
    <w:rsid w:val="0016552D"/>
    <w:rsid w:val="0016745C"/>
    <w:rsid w:val="001737E1"/>
    <w:rsid w:val="00192822"/>
    <w:rsid w:val="00194544"/>
    <w:rsid w:val="001964B7"/>
    <w:rsid w:val="00196ECC"/>
    <w:rsid w:val="001A73E0"/>
    <w:rsid w:val="001B0A41"/>
    <w:rsid w:val="001C3453"/>
    <w:rsid w:val="001D3C89"/>
    <w:rsid w:val="001E06BF"/>
    <w:rsid w:val="001E532F"/>
    <w:rsid w:val="001F15B1"/>
    <w:rsid w:val="001F7A7D"/>
    <w:rsid w:val="002038A6"/>
    <w:rsid w:val="0021003A"/>
    <w:rsid w:val="00210A46"/>
    <w:rsid w:val="00210E60"/>
    <w:rsid w:val="00212FD8"/>
    <w:rsid w:val="002231CB"/>
    <w:rsid w:val="00230B51"/>
    <w:rsid w:val="0023158B"/>
    <w:rsid w:val="0023236D"/>
    <w:rsid w:val="0023609E"/>
    <w:rsid w:val="00237382"/>
    <w:rsid w:val="00237886"/>
    <w:rsid w:val="0024512C"/>
    <w:rsid w:val="00246311"/>
    <w:rsid w:val="00256C47"/>
    <w:rsid w:val="00260274"/>
    <w:rsid w:val="0026144F"/>
    <w:rsid w:val="00261EEB"/>
    <w:rsid w:val="00262A81"/>
    <w:rsid w:val="0026445F"/>
    <w:rsid w:val="0026452F"/>
    <w:rsid w:val="00267DE2"/>
    <w:rsid w:val="002879B8"/>
    <w:rsid w:val="00290EC0"/>
    <w:rsid w:val="0029404D"/>
    <w:rsid w:val="002A0AA9"/>
    <w:rsid w:val="002A2CF9"/>
    <w:rsid w:val="002B1760"/>
    <w:rsid w:val="002B461C"/>
    <w:rsid w:val="002B5B1C"/>
    <w:rsid w:val="002B6B27"/>
    <w:rsid w:val="002C2106"/>
    <w:rsid w:val="002C4537"/>
    <w:rsid w:val="002C79FA"/>
    <w:rsid w:val="002D3FE5"/>
    <w:rsid w:val="002D50F0"/>
    <w:rsid w:val="002E0DF4"/>
    <w:rsid w:val="002E427F"/>
    <w:rsid w:val="002E5220"/>
    <w:rsid w:val="002E52CE"/>
    <w:rsid w:val="002E6A5A"/>
    <w:rsid w:val="002F0538"/>
    <w:rsid w:val="002F724F"/>
    <w:rsid w:val="002F736B"/>
    <w:rsid w:val="00301CFC"/>
    <w:rsid w:val="003038A1"/>
    <w:rsid w:val="003063EE"/>
    <w:rsid w:val="00313EA6"/>
    <w:rsid w:val="00320F2D"/>
    <w:rsid w:val="00320FD6"/>
    <w:rsid w:val="0032619C"/>
    <w:rsid w:val="003338B1"/>
    <w:rsid w:val="003438E1"/>
    <w:rsid w:val="0034676E"/>
    <w:rsid w:val="00362F09"/>
    <w:rsid w:val="00364C59"/>
    <w:rsid w:val="003748BA"/>
    <w:rsid w:val="0037706C"/>
    <w:rsid w:val="00377FA7"/>
    <w:rsid w:val="00380A2B"/>
    <w:rsid w:val="00380BD1"/>
    <w:rsid w:val="003A10C2"/>
    <w:rsid w:val="003A72EF"/>
    <w:rsid w:val="003B2E79"/>
    <w:rsid w:val="003B318B"/>
    <w:rsid w:val="003B54B3"/>
    <w:rsid w:val="003B59FA"/>
    <w:rsid w:val="003B6629"/>
    <w:rsid w:val="003C7FE5"/>
    <w:rsid w:val="003D2130"/>
    <w:rsid w:val="003D408C"/>
    <w:rsid w:val="003D7E7B"/>
    <w:rsid w:val="003E15C4"/>
    <w:rsid w:val="003E42B6"/>
    <w:rsid w:val="003F4114"/>
    <w:rsid w:val="004204F5"/>
    <w:rsid w:val="004239DE"/>
    <w:rsid w:val="00425628"/>
    <w:rsid w:val="00425B7C"/>
    <w:rsid w:val="00430300"/>
    <w:rsid w:val="00435EA5"/>
    <w:rsid w:val="00447084"/>
    <w:rsid w:val="00454DEC"/>
    <w:rsid w:val="00455E51"/>
    <w:rsid w:val="00456AC6"/>
    <w:rsid w:val="00463581"/>
    <w:rsid w:val="004656BC"/>
    <w:rsid w:val="00470DE5"/>
    <w:rsid w:val="00472A9C"/>
    <w:rsid w:val="00476706"/>
    <w:rsid w:val="00477BA9"/>
    <w:rsid w:val="00481DE3"/>
    <w:rsid w:val="00494D30"/>
    <w:rsid w:val="00495E69"/>
    <w:rsid w:val="004960FF"/>
    <w:rsid w:val="00497CCD"/>
    <w:rsid w:val="004A0C6B"/>
    <w:rsid w:val="004A2ACD"/>
    <w:rsid w:val="004A645A"/>
    <w:rsid w:val="004B459A"/>
    <w:rsid w:val="004B5F96"/>
    <w:rsid w:val="004D00F2"/>
    <w:rsid w:val="004D4188"/>
    <w:rsid w:val="004D47CA"/>
    <w:rsid w:val="004E4B9F"/>
    <w:rsid w:val="00510ADC"/>
    <w:rsid w:val="00512987"/>
    <w:rsid w:val="00514236"/>
    <w:rsid w:val="005259D7"/>
    <w:rsid w:val="005310F6"/>
    <w:rsid w:val="005311B9"/>
    <w:rsid w:val="005432FF"/>
    <w:rsid w:val="00544092"/>
    <w:rsid w:val="005531B6"/>
    <w:rsid w:val="00555782"/>
    <w:rsid w:val="0055750D"/>
    <w:rsid w:val="00561B00"/>
    <w:rsid w:val="00564C26"/>
    <w:rsid w:val="00565B79"/>
    <w:rsid w:val="0057241F"/>
    <w:rsid w:val="005803D4"/>
    <w:rsid w:val="005807F8"/>
    <w:rsid w:val="0058459B"/>
    <w:rsid w:val="00584827"/>
    <w:rsid w:val="0058571F"/>
    <w:rsid w:val="005911E7"/>
    <w:rsid w:val="00592464"/>
    <w:rsid w:val="005A0D41"/>
    <w:rsid w:val="005A7FEE"/>
    <w:rsid w:val="005B254F"/>
    <w:rsid w:val="005B2DCD"/>
    <w:rsid w:val="005D2D83"/>
    <w:rsid w:val="005D442D"/>
    <w:rsid w:val="005D6289"/>
    <w:rsid w:val="005E066A"/>
    <w:rsid w:val="005E3D80"/>
    <w:rsid w:val="005E72B9"/>
    <w:rsid w:val="005F6CFC"/>
    <w:rsid w:val="006027C3"/>
    <w:rsid w:val="006071C7"/>
    <w:rsid w:val="006103CF"/>
    <w:rsid w:val="0061376B"/>
    <w:rsid w:val="006150A9"/>
    <w:rsid w:val="006261B6"/>
    <w:rsid w:val="00640EAF"/>
    <w:rsid w:val="00644E0D"/>
    <w:rsid w:val="0064652D"/>
    <w:rsid w:val="00647649"/>
    <w:rsid w:val="00651421"/>
    <w:rsid w:val="006535A3"/>
    <w:rsid w:val="00654047"/>
    <w:rsid w:val="00655B77"/>
    <w:rsid w:val="0066627C"/>
    <w:rsid w:val="00671E11"/>
    <w:rsid w:val="00681C04"/>
    <w:rsid w:val="00695A2D"/>
    <w:rsid w:val="006A6CD3"/>
    <w:rsid w:val="006B7977"/>
    <w:rsid w:val="006C4668"/>
    <w:rsid w:val="006C4EFA"/>
    <w:rsid w:val="006D35A0"/>
    <w:rsid w:val="006E36A4"/>
    <w:rsid w:val="006E370A"/>
    <w:rsid w:val="006E6C2D"/>
    <w:rsid w:val="006E7948"/>
    <w:rsid w:val="006E79B6"/>
    <w:rsid w:val="006F2132"/>
    <w:rsid w:val="006F66E0"/>
    <w:rsid w:val="00700690"/>
    <w:rsid w:val="00704604"/>
    <w:rsid w:val="00707C69"/>
    <w:rsid w:val="007101C4"/>
    <w:rsid w:val="00710200"/>
    <w:rsid w:val="007112DF"/>
    <w:rsid w:val="007137AB"/>
    <w:rsid w:val="007147C0"/>
    <w:rsid w:val="00714C89"/>
    <w:rsid w:val="0071541F"/>
    <w:rsid w:val="00725BBA"/>
    <w:rsid w:val="0073035D"/>
    <w:rsid w:val="0073213D"/>
    <w:rsid w:val="00737E6C"/>
    <w:rsid w:val="007402C1"/>
    <w:rsid w:val="007473DC"/>
    <w:rsid w:val="007506C9"/>
    <w:rsid w:val="00755DB8"/>
    <w:rsid w:val="00760330"/>
    <w:rsid w:val="007645A1"/>
    <w:rsid w:val="007646A4"/>
    <w:rsid w:val="00772817"/>
    <w:rsid w:val="00774F50"/>
    <w:rsid w:val="00775BB4"/>
    <w:rsid w:val="00784FE2"/>
    <w:rsid w:val="00792763"/>
    <w:rsid w:val="007939B9"/>
    <w:rsid w:val="007A0565"/>
    <w:rsid w:val="007A3BB4"/>
    <w:rsid w:val="007A402E"/>
    <w:rsid w:val="007B0D11"/>
    <w:rsid w:val="007B1CDF"/>
    <w:rsid w:val="007B4433"/>
    <w:rsid w:val="007C75D1"/>
    <w:rsid w:val="007D1050"/>
    <w:rsid w:val="007D2368"/>
    <w:rsid w:val="007D36FB"/>
    <w:rsid w:val="007D4A48"/>
    <w:rsid w:val="007E1DBF"/>
    <w:rsid w:val="007E6134"/>
    <w:rsid w:val="007E7E43"/>
    <w:rsid w:val="007F745B"/>
    <w:rsid w:val="007F7F26"/>
    <w:rsid w:val="00802630"/>
    <w:rsid w:val="00803C6A"/>
    <w:rsid w:val="0080476B"/>
    <w:rsid w:val="00805083"/>
    <w:rsid w:val="00805D93"/>
    <w:rsid w:val="0081462E"/>
    <w:rsid w:val="00817DBE"/>
    <w:rsid w:val="00825F36"/>
    <w:rsid w:val="00826A75"/>
    <w:rsid w:val="008311D3"/>
    <w:rsid w:val="0083179B"/>
    <w:rsid w:val="00831F7B"/>
    <w:rsid w:val="008330D2"/>
    <w:rsid w:val="00834AB8"/>
    <w:rsid w:val="008364B7"/>
    <w:rsid w:val="00844968"/>
    <w:rsid w:val="00846D28"/>
    <w:rsid w:val="00847D05"/>
    <w:rsid w:val="00850FB6"/>
    <w:rsid w:val="00853ED0"/>
    <w:rsid w:val="00854B9E"/>
    <w:rsid w:val="0085701A"/>
    <w:rsid w:val="0086180F"/>
    <w:rsid w:val="0086672C"/>
    <w:rsid w:val="0086751B"/>
    <w:rsid w:val="008704F4"/>
    <w:rsid w:val="00874872"/>
    <w:rsid w:val="00874B71"/>
    <w:rsid w:val="00885F80"/>
    <w:rsid w:val="00886BE8"/>
    <w:rsid w:val="008940A5"/>
    <w:rsid w:val="008A34D5"/>
    <w:rsid w:val="008A398B"/>
    <w:rsid w:val="008A4B76"/>
    <w:rsid w:val="008A7A7D"/>
    <w:rsid w:val="008B29FF"/>
    <w:rsid w:val="008C09C9"/>
    <w:rsid w:val="008C24B5"/>
    <w:rsid w:val="008D12AF"/>
    <w:rsid w:val="008D2164"/>
    <w:rsid w:val="008D5974"/>
    <w:rsid w:val="008E0E5C"/>
    <w:rsid w:val="008F0A6E"/>
    <w:rsid w:val="008F56FA"/>
    <w:rsid w:val="008F60E4"/>
    <w:rsid w:val="008F7459"/>
    <w:rsid w:val="00900624"/>
    <w:rsid w:val="0090156E"/>
    <w:rsid w:val="00924256"/>
    <w:rsid w:val="00940964"/>
    <w:rsid w:val="00945C3B"/>
    <w:rsid w:val="009503BA"/>
    <w:rsid w:val="00952E57"/>
    <w:rsid w:val="00957ED8"/>
    <w:rsid w:val="00957F6D"/>
    <w:rsid w:val="00961CA6"/>
    <w:rsid w:val="0096367E"/>
    <w:rsid w:val="00964D79"/>
    <w:rsid w:val="00972164"/>
    <w:rsid w:val="00973327"/>
    <w:rsid w:val="009819FC"/>
    <w:rsid w:val="00995DFD"/>
    <w:rsid w:val="009A6070"/>
    <w:rsid w:val="009B731E"/>
    <w:rsid w:val="009C08D3"/>
    <w:rsid w:val="009C0F20"/>
    <w:rsid w:val="009C323E"/>
    <w:rsid w:val="009C691F"/>
    <w:rsid w:val="009D0F55"/>
    <w:rsid w:val="009D3334"/>
    <w:rsid w:val="009D3673"/>
    <w:rsid w:val="009D61B6"/>
    <w:rsid w:val="009E40D2"/>
    <w:rsid w:val="009E4804"/>
    <w:rsid w:val="009F12B3"/>
    <w:rsid w:val="009F1EF1"/>
    <w:rsid w:val="009F6E27"/>
    <w:rsid w:val="009F74E7"/>
    <w:rsid w:val="009F7C6A"/>
    <w:rsid w:val="00A024A9"/>
    <w:rsid w:val="00A0267D"/>
    <w:rsid w:val="00A03A8E"/>
    <w:rsid w:val="00A050D6"/>
    <w:rsid w:val="00A07D00"/>
    <w:rsid w:val="00A11503"/>
    <w:rsid w:val="00A1164D"/>
    <w:rsid w:val="00A227E2"/>
    <w:rsid w:val="00A30A7C"/>
    <w:rsid w:val="00A31ACC"/>
    <w:rsid w:val="00A31D65"/>
    <w:rsid w:val="00A34C8C"/>
    <w:rsid w:val="00A36640"/>
    <w:rsid w:val="00A36A65"/>
    <w:rsid w:val="00A422F5"/>
    <w:rsid w:val="00A43841"/>
    <w:rsid w:val="00A502B5"/>
    <w:rsid w:val="00A55B05"/>
    <w:rsid w:val="00A62C54"/>
    <w:rsid w:val="00A634F0"/>
    <w:rsid w:val="00A651C0"/>
    <w:rsid w:val="00A73911"/>
    <w:rsid w:val="00A77DDE"/>
    <w:rsid w:val="00A8220F"/>
    <w:rsid w:val="00A82C20"/>
    <w:rsid w:val="00A8486F"/>
    <w:rsid w:val="00A907B5"/>
    <w:rsid w:val="00AA1AC3"/>
    <w:rsid w:val="00AA53A0"/>
    <w:rsid w:val="00AB01EC"/>
    <w:rsid w:val="00AB2331"/>
    <w:rsid w:val="00AB3913"/>
    <w:rsid w:val="00AB750E"/>
    <w:rsid w:val="00AC01CA"/>
    <w:rsid w:val="00AC7696"/>
    <w:rsid w:val="00AD1FA0"/>
    <w:rsid w:val="00AD2D90"/>
    <w:rsid w:val="00AD30C0"/>
    <w:rsid w:val="00AD390E"/>
    <w:rsid w:val="00AD40E3"/>
    <w:rsid w:val="00AD5DF5"/>
    <w:rsid w:val="00AD753F"/>
    <w:rsid w:val="00AE3157"/>
    <w:rsid w:val="00AE3D3C"/>
    <w:rsid w:val="00AE4F31"/>
    <w:rsid w:val="00AE6BA9"/>
    <w:rsid w:val="00AF1544"/>
    <w:rsid w:val="00AF2B1A"/>
    <w:rsid w:val="00AF6023"/>
    <w:rsid w:val="00AF7D54"/>
    <w:rsid w:val="00B011F9"/>
    <w:rsid w:val="00B01467"/>
    <w:rsid w:val="00B01BC8"/>
    <w:rsid w:val="00B02063"/>
    <w:rsid w:val="00B040C3"/>
    <w:rsid w:val="00B05FE8"/>
    <w:rsid w:val="00B11C54"/>
    <w:rsid w:val="00B21ADF"/>
    <w:rsid w:val="00B240D1"/>
    <w:rsid w:val="00B32844"/>
    <w:rsid w:val="00B33052"/>
    <w:rsid w:val="00B3387E"/>
    <w:rsid w:val="00B36DB4"/>
    <w:rsid w:val="00B41162"/>
    <w:rsid w:val="00B4299D"/>
    <w:rsid w:val="00B44995"/>
    <w:rsid w:val="00B524EC"/>
    <w:rsid w:val="00B5309F"/>
    <w:rsid w:val="00B60BC1"/>
    <w:rsid w:val="00B62425"/>
    <w:rsid w:val="00B64111"/>
    <w:rsid w:val="00B65101"/>
    <w:rsid w:val="00B72BCD"/>
    <w:rsid w:val="00B77AB7"/>
    <w:rsid w:val="00B8281F"/>
    <w:rsid w:val="00B84DF1"/>
    <w:rsid w:val="00B91685"/>
    <w:rsid w:val="00B9677A"/>
    <w:rsid w:val="00B96BA1"/>
    <w:rsid w:val="00BA3D27"/>
    <w:rsid w:val="00BB4401"/>
    <w:rsid w:val="00BB5518"/>
    <w:rsid w:val="00BB785A"/>
    <w:rsid w:val="00BD31CB"/>
    <w:rsid w:val="00BD36BD"/>
    <w:rsid w:val="00BD486C"/>
    <w:rsid w:val="00BD5B3D"/>
    <w:rsid w:val="00BD7237"/>
    <w:rsid w:val="00BE3E9E"/>
    <w:rsid w:val="00BE415E"/>
    <w:rsid w:val="00BE5C3A"/>
    <w:rsid w:val="00BE5F4D"/>
    <w:rsid w:val="00BF18BC"/>
    <w:rsid w:val="00C01AA3"/>
    <w:rsid w:val="00C1203A"/>
    <w:rsid w:val="00C227AA"/>
    <w:rsid w:val="00C273BD"/>
    <w:rsid w:val="00C33B64"/>
    <w:rsid w:val="00C449F2"/>
    <w:rsid w:val="00C45F15"/>
    <w:rsid w:val="00C73A98"/>
    <w:rsid w:val="00C777C9"/>
    <w:rsid w:val="00C8193A"/>
    <w:rsid w:val="00C902C5"/>
    <w:rsid w:val="00C9308C"/>
    <w:rsid w:val="00C94939"/>
    <w:rsid w:val="00C95858"/>
    <w:rsid w:val="00C95F3E"/>
    <w:rsid w:val="00C96BAA"/>
    <w:rsid w:val="00CA7D5D"/>
    <w:rsid w:val="00CB0A99"/>
    <w:rsid w:val="00CB1255"/>
    <w:rsid w:val="00CB1566"/>
    <w:rsid w:val="00CB4A28"/>
    <w:rsid w:val="00CB5B85"/>
    <w:rsid w:val="00CB7AF7"/>
    <w:rsid w:val="00CB7C27"/>
    <w:rsid w:val="00CC0117"/>
    <w:rsid w:val="00CC193F"/>
    <w:rsid w:val="00CC20BA"/>
    <w:rsid w:val="00CC4F68"/>
    <w:rsid w:val="00CC616B"/>
    <w:rsid w:val="00CC78CD"/>
    <w:rsid w:val="00CD27D3"/>
    <w:rsid w:val="00CD2D10"/>
    <w:rsid w:val="00CD2FB8"/>
    <w:rsid w:val="00CD2FD3"/>
    <w:rsid w:val="00CE34F2"/>
    <w:rsid w:val="00CE38F5"/>
    <w:rsid w:val="00CE39CB"/>
    <w:rsid w:val="00CF5DF5"/>
    <w:rsid w:val="00CF698F"/>
    <w:rsid w:val="00CF798E"/>
    <w:rsid w:val="00D03874"/>
    <w:rsid w:val="00D03A0D"/>
    <w:rsid w:val="00D04F1F"/>
    <w:rsid w:val="00D11877"/>
    <w:rsid w:val="00D211B8"/>
    <w:rsid w:val="00D21FF3"/>
    <w:rsid w:val="00D22942"/>
    <w:rsid w:val="00D24753"/>
    <w:rsid w:val="00D27CBD"/>
    <w:rsid w:val="00D35085"/>
    <w:rsid w:val="00D41150"/>
    <w:rsid w:val="00D4605C"/>
    <w:rsid w:val="00D50D54"/>
    <w:rsid w:val="00D52722"/>
    <w:rsid w:val="00D53F8F"/>
    <w:rsid w:val="00D566A3"/>
    <w:rsid w:val="00D61455"/>
    <w:rsid w:val="00D64A10"/>
    <w:rsid w:val="00D73B32"/>
    <w:rsid w:val="00D77568"/>
    <w:rsid w:val="00D82D8C"/>
    <w:rsid w:val="00D94FB5"/>
    <w:rsid w:val="00D94FED"/>
    <w:rsid w:val="00D9592B"/>
    <w:rsid w:val="00DA1281"/>
    <w:rsid w:val="00DA228F"/>
    <w:rsid w:val="00DB20B2"/>
    <w:rsid w:val="00DB6813"/>
    <w:rsid w:val="00DC2BB2"/>
    <w:rsid w:val="00DC2F62"/>
    <w:rsid w:val="00DC7C5B"/>
    <w:rsid w:val="00DD370B"/>
    <w:rsid w:val="00DD577B"/>
    <w:rsid w:val="00DE2308"/>
    <w:rsid w:val="00DE31C5"/>
    <w:rsid w:val="00DE39A8"/>
    <w:rsid w:val="00DE4D24"/>
    <w:rsid w:val="00DF190E"/>
    <w:rsid w:val="00DF2FE0"/>
    <w:rsid w:val="00DF36EF"/>
    <w:rsid w:val="00DF550E"/>
    <w:rsid w:val="00DF55AB"/>
    <w:rsid w:val="00DF7FFC"/>
    <w:rsid w:val="00E01178"/>
    <w:rsid w:val="00E06F66"/>
    <w:rsid w:val="00E17E99"/>
    <w:rsid w:val="00E213B1"/>
    <w:rsid w:val="00E30F92"/>
    <w:rsid w:val="00E46D33"/>
    <w:rsid w:val="00E502AE"/>
    <w:rsid w:val="00E65EB2"/>
    <w:rsid w:val="00E76B90"/>
    <w:rsid w:val="00E81E4D"/>
    <w:rsid w:val="00E845E2"/>
    <w:rsid w:val="00E84F96"/>
    <w:rsid w:val="00E8516D"/>
    <w:rsid w:val="00E87C17"/>
    <w:rsid w:val="00E96581"/>
    <w:rsid w:val="00EB208E"/>
    <w:rsid w:val="00EC0C48"/>
    <w:rsid w:val="00EC25CF"/>
    <w:rsid w:val="00EC2856"/>
    <w:rsid w:val="00ED0A54"/>
    <w:rsid w:val="00ED20BB"/>
    <w:rsid w:val="00ED3B54"/>
    <w:rsid w:val="00EE43F4"/>
    <w:rsid w:val="00EE524B"/>
    <w:rsid w:val="00EE541F"/>
    <w:rsid w:val="00EE5A08"/>
    <w:rsid w:val="00EF0D2B"/>
    <w:rsid w:val="00EF7EF9"/>
    <w:rsid w:val="00F0736F"/>
    <w:rsid w:val="00F11260"/>
    <w:rsid w:val="00F120D2"/>
    <w:rsid w:val="00F12AAD"/>
    <w:rsid w:val="00F1493E"/>
    <w:rsid w:val="00F15452"/>
    <w:rsid w:val="00F167E6"/>
    <w:rsid w:val="00F22E98"/>
    <w:rsid w:val="00F25A70"/>
    <w:rsid w:val="00F321D3"/>
    <w:rsid w:val="00F33652"/>
    <w:rsid w:val="00F413BE"/>
    <w:rsid w:val="00F427A0"/>
    <w:rsid w:val="00F435AD"/>
    <w:rsid w:val="00F43912"/>
    <w:rsid w:val="00F45573"/>
    <w:rsid w:val="00F6082D"/>
    <w:rsid w:val="00F62D4D"/>
    <w:rsid w:val="00F7112C"/>
    <w:rsid w:val="00F746EA"/>
    <w:rsid w:val="00F80241"/>
    <w:rsid w:val="00F816BF"/>
    <w:rsid w:val="00F81CC9"/>
    <w:rsid w:val="00F8679D"/>
    <w:rsid w:val="00F867E2"/>
    <w:rsid w:val="00F913C0"/>
    <w:rsid w:val="00F916D5"/>
    <w:rsid w:val="00F97F2C"/>
    <w:rsid w:val="00FA1827"/>
    <w:rsid w:val="00FB0349"/>
    <w:rsid w:val="00FC2AD8"/>
    <w:rsid w:val="00FC4FFC"/>
    <w:rsid w:val="00FC52A5"/>
    <w:rsid w:val="00FD1883"/>
    <w:rsid w:val="00FD54ED"/>
    <w:rsid w:val="00FE2C00"/>
    <w:rsid w:val="00FF1879"/>
    <w:rsid w:val="00FF7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B94EB"/>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4"/>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3038A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38465">
      <w:bodyDiv w:val="1"/>
      <w:marLeft w:val="0"/>
      <w:marRight w:val="0"/>
      <w:marTop w:val="0"/>
      <w:marBottom w:val="0"/>
      <w:divBdr>
        <w:top w:val="none" w:sz="0" w:space="0" w:color="auto"/>
        <w:left w:val="none" w:sz="0" w:space="0" w:color="auto"/>
        <w:bottom w:val="none" w:sz="0" w:space="0" w:color="auto"/>
        <w:right w:val="none" w:sz="0" w:space="0" w:color="auto"/>
      </w:divBdr>
    </w:div>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B94DFE-54C3-42BF-8257-A7026D04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28</Pages>
  <Words>6332</Words>
  <Characters>34830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2026-04-17T17:14:00Z</cp:lastPrinted>
  <dcterms:created xsi:type="dcterms:W3CDTF">2026-04-08T19:01:00Z</dcterms:created>
  <dcterms:modified xsi:type="dcterms:W3CDTF">2026-04-22T18:55:00Z</dcterms:modified>
</cp:coreProperties>
</file>