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66B" w:rsidRPr="00C32AEE" w:rsidRDefault="00B9066B" w:rsidP="00B9066B">
      <w:pPr>
        <w:shd w:val="clear" w:color="auto" w:fill="FFFFFF"/>
        <w:spacing w:after="0" w:line="360" w:lineRule="auto"/>
        <w:jc w:val="both"/>
        <w:rPr>
          <w:rFonts w:ascii="Palatino Linotype" w:eastAsia="Palatino Linotype" w:hAnsi="Palatino Linotype" w:cs="Palatino Linotype"/>
          <w:color w:val="000000"/>
          <w:sz w:val="24"/>
          <w:szCs w:val="24"/>
        </w:rPr>
      </w:pPr>
      <w:r w:rsidRPr="00C32AEE">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w:t>
      </w:r>
      <w:r w:rsidR="00101ED5" w:rsidRPr="00C32AEE">
        <w:rPr>
          <w:rFonts w:ascii="Palatino Linotype" w:eastAsia="Palatino Linotype" w:hAnsi="Palatino Linotype" w:cs="Palatino Linotype"/>
          <w:color w:val="000000"/>
          <w:sz w:val="24"/>
          <w:szCs w:val="24"/>
        </w:rPr>
        <w:t>veintidós</w:t>
      </w:r>
      <w:r w:rsidRPr="00C32AEE">
        <w:rPr>
          <w:rFonts w:ascii="Palatino Linotype" w:eastAsia="Palatino Linotype" w:hAnsi="Palatino Linotype" w:cs="Palatino Linotype"/>
          <w:color w:val="000000"/>
          <w:sz w:val="24"/>
          <w:szCs w:val="24"/>
        </w:rPr>
        <w:t xml:space="preserve"> de abril de dos mil veintiséis.</w:t>
      </w:r>
    </w:p>
    <w:p w:rsidR="00B9066B" w:rsidRPr="00C32AEE" w:rsidRDefault="00B9066B" w:rsidP="00B9066B">
      <w:pPr>
        <w:shd w:val="clear" w:color="auto" w:fill="FFFFFF"/>
        <w:spacing w:after="0" w:line="360" w:lineRule="auto"/>
        <w:jc w:val="both"/>
        <w:rPr>
          <w:rFonts w:ascii="Palatino Linotype" w:eastAsia="Palatino Linotype" w:hAnsi="Palatino Linotype" w:cs="Palatino Linotype"/>
          <w:color w:val="000000"/>
          <w:sz w:val="24"/>
          <w:szCs w:val="24"/>
        </w:rPr>
      </w:pPr>
    </w:p>
    <w:p w:rsidR="00B9066B" w:rsidRPr="00C32AEE" w:rsidRDefault="00B9066B" w:rsidP="00B9066B">
      <w:pPr>
        <w:tabs>
          <w:tab w:val="left" w:pos="1701"/>
        </w:tabs>
        <w:spacing w:after="0" w:line="360" w:lineRule="auto"/>
        <w:jc w:val="both"/>
        <w:rPr>
          <w:rFonts w:ascii="Palatino Linotype" w:eastAsia="Palatino Linotype" w:hAnsi="Palatino Linotype" w:cs="Palatino Linotype"/>
          <w:b/>
          <w:sz w:val="24"/>
          <w:szCs w:val="24"/>
        </w:rPr>
      </w:pPr>
      <w:r w:rsidRPr="00C32AEE">
        <w:rPr>
          <w:rFonts w:ascii="Palatino Linotype" w:eastAsia="Palatino Linotype" w:hAnsi="Palatino Linotype" w:cs="Palatino Linotype"/>
          <w:b/>
          <w:sz w:val="24"/>
          <w:szCs w:val="24"/>
        </w:rPr>
        <w:t>VISTO</w:t>
      </w:r>
      <w:r w:rsidRPr="00C32AEE">
        <w:rPr>
          <w:rFonts w:ascii="Palatino Linotype" w:eastAsia="Palatino Linotype" w:hAnsi="Palatino Linotype" w:cs="Palatino Linotype"/>
          <w:sz w:val="24"/>
          <w:szCs w:val="24"/>
        </w:rPr>
        <w:t xml:space="preserve"> el expediente electrónico de los recursos de revisión con número </w:t>
      </w:r>
      <w:bookmarkStart w:id="0" w:name="_GoBack"/>
      <w:r w:rsidRPr="00C32AEE">
        <w:rPr>
          <w:rFonts w:ascii="Palatino Linotype" w:eastAsia="Palatino Linotype" w:hAnsi="Palatino Linotype" w:cs="Palatino Linotype"/>
          <w:b/>
          <w:sz w:val="24"/>
          <w:szCs w:val="24"/>
        </w:rPr>
        <w:t xml:space="preserve">02325/INFOEM/IP/RR/2026 </w:t>
      </w:r>
      <w:bookmarkEnd w:id="0"/>
      <w:r w:rsidR="006A0FEF">
        <w:rPr>
          <w:rFonts w:ascii="Palatino Linotype" w:eastAsia="Palatino Linotype" w:hAnsi="Palatino Linotype" w:cs="Palatino Linotype"/>
          <w:color w:val="000000"/>
          <w:sz w:val="24"/>
          <w:szCs w:val="24"/>
        </w:rPr>
        <w:t>interpuesto por</w:t>
      </w:r>
      <w:r w:rsidRPr="00C32AEE">
        <w:rPr>
          <w:rFonts w:ascii="Palatino Linotype" w:eastAsia="Palatino Linotype" w:hAnsi="Palatino Linotype" w:cs="Palatino Linotype"/>
          <w:color w:val="000000"/>
          <w:sz w:val="24"/>
          <w:szCs w:val="24"/>
        </w:rPr>
        <w:t xml:space="preserve"> </w:t>
      </w:r>
      <w:r w:rsidR="006A0FEF">
        <w:rPr>
          <w:rFonts w:ascii="Palatino Linotype" w:eastAsia="Palatino Linotype" w:hAnsi="Palatino Linotype" w:cs="Palatino Linotype"/>
          <w:b/>
          <w:color w:val="000000"/>
          <w:sz w:val="24"/>
          <w:szCs w:val="24"/>
        </w:rPr>
        <w:t>XXXXXXXXXXXXXXXXXXXX</w:t>
      </w:r>
      <w:r w:rsidRPr="00C32AEE">
        <w:rPr>
          <w:rFonts w:ascii="Palatino Linotype" w:eastAsia="Palatino Linotype" w:hAnsi="Palatino Linotype" w:cs="Palatino Linotype"/>
          <w:color w:val="000000"/>
          <w:sz w:val="24"/>
          <w:szCs w:val="24"/>
        </w:rPr>
        <w:t xml:space="preserve">, quien en lo sucesivo se le denominara como la parte </w:t>
      </w:r>
      <w:r w:rsidRPr="00C32AEE">
        <w:rPr>
          <w:rFonts w:ascii="Palatino Linotype" w:eastAsia="Palatino Linotype" w:hAnsi="Palatino Linotype" w:cs="Palatino Linotype"/>
          <w:b/>
          <w:color w:val="000000"/>
          <w:sz w:val="24"/>
          <w:szCs w:val="24"/>
        </w:rPr>
        <w:t>Recurrente</w:t>
      </w:r>
      <w:r w:rsidRPr="00C32AEE">
        <w:rPr>
          <w:rFonts w:ascii="Palatino Linotype" w:eastAsia="Palatino Linotype" w:hAnsi="Palatino Linotype" w:cs="Palatino Linotype"/>
          <w:color w:val="000000"/>
          <w:sz w:val="24"/>
          <w:szCs w:val="24"/>
        </w:rPr>
        <w:t xml:space="preserve">, </w:t>
      </w:r>
      <w:r w:rsidRPr="00C32AEE">
        <w:rPr>
          <w:rFonts w:ascii="Palatino Linotype" w:eastAsia="Palatino Linotype" w:hAnsi="Palatino Linotype" w:cs="Palatino Linotype"/>
          <w:sz w:val="24"/>
          <w:szCs w:val="24"/>
        </w:rPr>
        <w:t xml:space="preserve">en contra de la falta de respuesta del </w:t>
      </w:r>
      <w:r w:rsidRPr="00C32AEE">
        <w:rPr>
          <w:rFonts w:ascii="Palatino Linotype" w:eastAsia="Palatino Linotype" w:hAnsi="Palatino Linotype" w:cs="Palatino Linotype"/>
          <w:b/>
          <w:color w:val="000000"/>
          <w:sz w:val="24"/>
          <w:szCs w:val="24"/>
        </w:rPr>
        <w:t>Ayuntamiento de Tepotzotlán</w:t>
      </w:r>
      <w:r w:rsidRPr="00C32AEE">
        <w:rPr>
          <w:rFonts w:ascii="Palatino Linotype" w:eastAsia="Palatino Linotype" w:hAnsi="Palatino Linotype" w:cs="Palatino Linotype"/>
          <w:b/>
          <w:sz w:val="24"/>
          <w:szCs w:val="24"/>
        </w:rPr>
        <w:t xml:space="preserve">, </w:t>
      </w:r>
      <w:r w:rsidRPr="00C32AEE">
        <w:rPr>
          <w:rFonts w:ascii="Palatino Linotype" w:eastAsia="Palatino Linotype" w:hAnsi="Palatino Linotype" w:cs="Palatino Linotype"/>
          <w:sz w:val="24"/>
          <w:szCs w:val="24"/>
        </w:rPr>
        <w:t>en lo subsecuente</w:t>
      </w:r>
      <w:r w:rsidRPr="00C32AEE">
        <w:rPr>
          <w:rFonts w:ascii="Palatino Linotype" w:eastAsia="Palatino Linotype" w:hAnsi="Palatino Linotype" w:cs="Palatino Linotype"/>
          <w:b/>
          <w:sz w:val="24"/>
          <w:szCs w:val="24"/>
        </w:rPr>
        <w:t xml:space="preserve"> el Sujeto Obligado, </w:t>
      </w:r>
      <w:r w:rsidRPr="00C32AEE">
        <w:rPr>
          <w:rFonts w:ascii="Palatino Linotype" w:eastAsia="Palatino Linotype" w:hAnsi="Palatino Linotype" w:cs="Palatino Linotype"/>
          <w:sz w:val="24"/>
          <w:szCs w:val="24"/>
        </w:rPr>
        <w:t>se procede a dictar la presente resolución.</w:t>
      </w:r>
    </w:p>
    <w:p w:rsidR="00B9066B" w:rsidRPr="00C32AEE" w:rsidRDefault="00B9066B" w:rsidP="00B9066B">
      <w:pPr>
        <w:tabs>
          <w:tab w:val="left" w:pos="6960"/>
        </w:tabs>
        <w:spacing w:after="0" w:line="360" w:lineRule="auto"/>
        <w:jc w:val="both"/>
        <w:rPr>
          <w:rFonts w:ascii="Palatino Linotype" w:eastAsia="Palatino Linotype" w:hAnsi="Palatino Linotype" w:cs="Palatino Linotype"/>
          <w:sz w:val="24"/>
          <w:szCs w:val="24"/>
        </w:rPr>
      </w:pPr>
    </w:p>
    <w:p w:rsidR="00B9066B" w:rsidRPr="00C32AEE" w:rsidRDefault="00B9066B" w:rsidP="00B9066B">
      <w:pPr>
        <w:spacing w:after="0" w:line="360" w:lineRule="auto"/>
        <w:jc w:val="center"/>
        <w:rPr>
          <w:rFonts w:ascii="Palatino Linotype" w:eastAsia="Palatino Linotype" w:hAnsi="Palatino Linotype" w:cs="Palatino Linotype"/>
          <w:b/>
          <w:sz w:val="28"/>
          <w:szCs w:val="28"/>
        </w:rPr>
      </w:pPr>
      <w:r w:rsidRPr="00C32AEE">
        <w:rPr>
          <w:rFonts w:ascii="Palatino Linotype" w:eastAsia="Palatino Linotype" w:hAnsi="Palatino Linotype" w:cs="Palatino Linotype"/>
          <w:b/>
          <w:sz w:val="28"/>
          <w:szCs w:val="28"/>
        </w:rPr>
        <w:t>A N T E C E D E N T E S</w:t>
      </w:r>
    </w:p>
    <w:p w:rsidR="00B9066B" w:rsidRPr="00C32AEE" w:rsidRDefault="00B9066B" w:rsidP="00B9066B">
      <w:pPr>
        <w:spacing w:after="0" w:line="360" w:lineRule="auto"/>
        <w:rPr>
          <w:rFonts w:ascii="Palatino Linotype" w:eastAsia="Palatino Linotype" w:hAnsi="Palatino Linotype" w:cs="Palatino Linotype"/>
          <w:b/>
          <w:sz w:val="24"/>
          <w:szCs w:val="24"/>
        </w:rPr>
      </w:pPr>
    </w:p>
    <w:p w:rsidR="00B9066B" w:rsidRPr="00C32AEE" w:rsidRDefault="00B9066B" w:rsidP="00B9066B">
      <w:pPr>
        <w:spacing w:after="0" w:line="360" w:lineRule="auto"/>
        <w:jc w:val="both"/>
        <w:rPr>
          <w:rFonts w:ascii="Palatino Linotype" w:eastAsia="Palatino Linotype" w:hAnsi="Palatino Linotype" w:cs="Palatino Linotype"/>
          <w:b/>
          <w:sz w:val="28"/>
          <w:szCs w:val="24"/>
        </w:rPr>
      </w:pPr>
      <w:r w:rsidRPr="00C32AEE">
        <w:rPr>
          <w:rFonts w:ascii="Palatino Linotype" w:eastAsia="Palatino Linotype" w:hAnsi="Palatino Linotype" w:cs="Palatino Linotype"/>
          <w:b/>
          <w:sz w:val="28"/>
          <w:szCs w:val="24"/>
        </w:rPr>
        <w:t xml:space="preserve">PRIMERO. </w:t>
      </w:r>
      <w:r w:rsidRPr="00C32AEE">
        <w:rPr>
          <w:rFonts w:ascii="Palatino Linotype" w:eastAsia="Palatino Linotype" w:hAnsi="Palatino Linotype" w:cs="Palatino Linotype"/>
          <w:b/>
          <w:color w:val="000000"/>
          <w:sz w:val="28"/>
          <w:szCs w:val="24"/>
        </w:rPr>
        <w:t>De la solicitud de información.</w:t>
      </w:r>
    </w:p>
    <w:p w:rsidR="00B9066B" w:rsidRPr="00C32AEE" w:rsidRDefault="00B9066B" w:rsidP="00B9066B">
      <w:pPr>
        <w:spacing w:after="0" w:line="360" w:lineRule="auto"/>
        <w:jc w:val="both"/>
        <w:rPr>
          <w:rFonts w:ascii="Palatino Linotype" w:eastAsia="Palatino Linotype" w:hAnsi="Palatino Linotype" w:cs="Palatino Linotype"/>
          <w:b/>
          <w:sz w:val="24"/>
          <w:szCs w:val="24"/>
        </w:rPr>
      </w:pPr>
      <w:r w:rsidRPr="00C32AEE">
        <w:rPr>
          <w:rFonts w:ascii="Palatino Linotype" w:eastAsia="Palatino Linotype" w:hAnsi="Palatino Linotype" w:cs="Palatino Linotype"/>
          <w:sz w:val="24"/>
          <w:szCs w:val="24"/>
        </w:rPr>
        <w:t xml:space="preserve">En fecha </w:t>
      </w:r>
      <w:r w:rsidR="005415C5" w:rsidRPr="00C32AEE">
        <w:rPr>
          <w:rFonts w:ascii="Palatino Linotype" w:eastAsia="Palatino Linotype" w:hAnsi="Palatino Linotype" w:cs="Palatino Linotype"/>
          <w:b/>
          <w:sz w:val="24"/>
          <w:szCs w:val="24"/>
        </w:rPr>
        <w:t>veintiséis</w:t>
      </w:r>
      <w:r w:rsidRPr="00C32AEE">
        <w:rPr>
          <w:rFonts w:ascii="Palatino Linotype" w:eastAsia="Palatino Linotype" w:hAnsi="Palatino Linotype" w:cs="Palatino Linotype"/>
          <w:b/>
          <w:sz w:val="24"/>
          <w:szCs w:val="24"/>
        </w:rPr>
        <w:t xml:space="preserve"> de enero de dos mil veintiséis</w:t>
      </w:r>
      <w:r w:rsidRPr="00C32AEE">
        <w:rPr>
          <w:rFonts w:ascii="Palatino Linotype" w:eastAsia="Palatino Linotype" w:hAnsi="Palatino Linotype" w:cs="Palatino Linotype"/>
          <w:sz w:val="24"/>
          <w:szCs w:val="24"/>
        </w:rPr>
        <w:t>, la parte</w:t>
      </w:r>
      <w:r w:rsidRPr="00C32AEE">
        <w:rPr>
          <w:rFonts w:ascii="Palatino Linotype" w:eastAsia="Palatino Linotype" w:hAnsi="Palatino Linotype" w:cs="Palatino Linotype"/>
          <w:b/>
          <w:sz w:val="24"/>
          <w:szCs w:val="24"/>
        </w:rPr>
        <w:t xml:space="preserve"> Recurrente</w:t>
      </w:r>
      <w:r w:rsidRPr="00C32AEE">
        <w:rPr>
          <w:rFonts w:ascii="Palatino Linotype" w:eastAsia="Palatino Linotype" w:hAnsi="Palatino Linotype" w:cs="Palatino Linotype"/>
          <w:sz w:val="24"/>
          <w:szCs w:val="24"/>
        </w:rPr>
        <w:t xml:space="preserve"> presentó a través del Sistema de Acceso a la Información Mexiquense (</w:t>
      </w:r>
      <w:r w:rsidRPr="00C32AEE">
        <w:rPr>
          <w:rFonts w:ascii="Palatino Linotype" w:eastAsia="Palatino Linotype" w:hAnsi="Palatino Linotype" w:cs="Palatino Linotype"/>
          <w:b/>
          <w:sz w:val="24"/>
          <w:szCs w:val="24"/>
        </w:rPr>
        <w:t>SAIMEX)</w:t>
      </w:r>
      <w:r w:rsidRPr="00C32AEE">
        <w:rPr>
          <w:rFonts w:ascii="Palatino Linotype" w:eastAsia="Palatino Linotype" w:hAnsi="Palatino Linotype" w:cs="Palatino Linotype"/>
          <w:sz w:val="24"/>
          <w:szCs w:val="24"/>
        </w:rPr>
        <w:t xml:space="preserve">, la solicitud de acceso a la información pública, con número de folio </w:t>
      </w:r>
      <w:r w:rsidR="005415C5" w:rsidRPr="00C32AEE">
        <w:rPr>
          <w:rFonts w:ascii="Palatino Linotype" w:eastAsia="Palatino Linotype" w:hAnsi="Palatino Linotype" w:cs="Palatino Linotype"/>
          <w:b/>
          <w:sz w:val="24"/>
          <w:szCs w:val="24"/>
        </w:rPr>
        <w:t>00464/TEPOTZOT/IP/2026</w:t>
      </w:r>
      <w:r w:rsidRPr="00C32AEE">
        <w:rPr>
          <w:rFonts w:ascii="Palatino Linotype" w:eastAsia="Palatino Linotype" w:hAnsi="Palatino Linotype" w:cs="Palatino Linotype"/>
          <w:sz w:val="24"/>
          <w:szCs w:val="24"/>
        </w:rPr>
        <w:t xml:space="preserve">, de lo siguiente: </w:t>
      </w:r>
    </w:p>
    <w:p w:rsidR="00B9066B" w:rsidRPr="00C32AEE" w:rsidRDefault="00B9066B" w:rsidP="005415C5">
      <w:pPr>
        <w:pStyle w:val="INFOEM"/>
        <w:rPr>
          <w:lang w:val="es-ES_tradnl" w:eastAsia="es-ES"/>
        </w:rPr>
      </w:pPr>
      <w:r w:rsidRPr="00C32AEE">
        <w:rPr>
          <w:lang w:val="es-ES_tradnl" w:eastAsia="es-ES"/>
        </w:rPr>
        <w:t>“</w:t>
      </w:r>
      <w:r w:rsidR="005415C5" w:rsidRPr="00C32AEE">
        <w:rPr>
          <w:lang w:val="es-ES" w:eastAsia="es-ES"/>
        </w:rPr>
        <w:t>Informe el listado de adjudicaciones directas realizadas durante los ejercicios 2025 y 2026, indicando: Justificación Fundamento legal Proveedor Monto</w:t>
      </w:r>
      <w:r w:rsidRPr="00C32AEE">
        <w:rPr>
          <w:lang w:val="es-ES_tradnl" w:eastAsia="es-ES"/>
        </w:rPr>
        <w:t>” (Sic)</w:t>
      </w:r>
    </w:p>
    <w:p w:rsidR="00B9066B" w:rsidRPr="00C32AEE" w:rsidRDefault="00B9066B" w:rsidP="00B9066B">
      <w:pPr>
        <w:spacing w:before="240" w:line="360" w:lineRule="auto"/>
        <w:jc w:val="both"/>
        <w:rPr>
          <w:rFonts w:ascii="Palatino Linotype" w:hAnsi="Palatino Linotype"/>
          <w:lang w:val="es-ES_tradnl"/>
        </w:rPr>
      </w:pPr>
      <w:r w:rsidRPr="00C32AEE">
        <w:rPr>
          <w:rFonts w:ascii="Palatino Linotype" w:hAnsi="Palatino Linotype"/>
          <w:b/>
          <w:lang w:val="es-ES_tradnl"/>
        </w:rPr>
        <w:t>Modalidad de entrega:</w:t>
      </w:r>
      <w:r w:rsidRPr="00C32AEE">
        <w:rPr>
          <w:rFonts w:ascii="Palatino Linotype" w:hAnsi="Palatino Linotype"/>
          <w:lang w:val="es-ES_tradnl"/>
        </w:rPr>
        <w:t xml:space="preserve"> A través del SAIMEX.</w:t>
      </w:r>
    </w:p>
    <w:p w:rsidR="00B9066B" w:rsidRPr="00C32AEE" w:rsidRDefault="00B9066B" w:rsidP="00B9066B">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B9066B" w:rsidRPr="00C32AEE" w:rsidRDefault="00B9066B" w:rsidP="00B9066B">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C32AEE">
        <w:rPr>
          <w:rFonts w:ascii="Palatino Linotype" w:eastAsia="Palatino Linotype" w:hAnsi="Palatino Linotype" w:cs="Palatino Linotype"/>
          <w:b/>
          <w:color w:val="000000"/>
          <w:sz w:val="28"/>
          <w:szCs w:val="24"/>
        </w:rPr>
        <w:t>SEGUNDO. De la falta de respuesta del Sujeto Obligado.</w:t>
      </w:r>
    </w:p>
    <w:p w:rsidR="00B9066B" w:rsidRPr="00C32AEE" w:rsidRDefault="00B9066B" w:rsidP="00B9066B">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C32AEE">
        <w:rPr>
          <w:rFonts w:ascii="Palatino Linotype" w:eastAsia="Palatino Linotype" w:hAnsi="Palatino Linotype" w:cs="Palatino Linotype"/>
          <w:color w:val="000000"/>
          <w:sz w:val="24"/>
          <w:szCs w:val="24"/>
        </w:rPr>
        <w:lastRenderedPageBreak/>
        <w:t>E</w:t>
      </w:r>
      <w:r w:rsidRPr="00C32AEE">
        <w:rPr>
          <w:rFonts w:ascii="Palatino Linotype" w:eastAsia="Palatino Linotype" w:hAnsi="Palatino Linotype" w:cs="Palatino Linotype"/>
          <w:sz w:val="24"/>
          <w:szCs w:val="24"/>
        </w:rPr>
        <w:t xml:space="preserve">l </w:t>
      </w:r>
      <w:r w:rsidRPr="00C32AEE">
        <w:rPr>
          <w:rFonts w:ascii="Palatino Linotype" w:eastAsia="Palatino Linotype" w:hAnsi="Palatino Linotype" w:cs="Palatino Linotype"/>
          <w:b/>
          <w:sz w:val="24"/>
          <w:szCs w:val="24"/>
        </w:rPr>
        <w:t>Sujeto Obligado</w:t>
      </w:r>
      <w:r w:rsidRPr="00C32AEE">
        <w:rPr>
          <w:rFonts w:ascii="Palatino Linotype" w:eastAsia="Palatino Linotype" w:hAnsi="Palatino Linotype" w:cs="Palatino Linotype"/>
          <w:sz w:val="24"/>
          <w:szCs w:val="24"/>
        </w:rPr>
        <w:t xml:space="preserve"> no proporcionó respuesta a la solicitud de información </w:t>
      </w:r>
      <w:r w:rsidRPr="00C32AEE">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B9066B" w:rsidRPr="00C32AEE" w:rsidRDefault="00B9066B" w:rsidP="00B9066B">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B9066B" w:rsidRPr="00C32AEE" w:rsidRDefault="005415C5" w:rsidP="00B9066B">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C32AEE">
        <w:rPr>
          <w:rFonts w:ascii="Palatino Linotype" w:eastAsia="Palatino Linotype" w:hAnsi="Palatino Linotype" w:cs="Palatino Linotype"/>
          <w:b/>
          <w:sz w:val="28"/>
          <w:szCs w:val="24"/>
        </w:rPr>
        <w:t>TERCERO.</w:t>
      </w:r>
      <w:r w:rsidR="00B9066B" w:rsidRPr="00C32AEE">
        <w:rPr>
          <w:rFonts w:ascii="Palatino Linotype" w:eastAsia="Palatino Linotype" w:hAnsi="Palatino Linotype" w:cs="Palatino Linotype"/>
          <w:b/>
          <w:sz w:val="28"/>
          <w:szCs w:val="24"/>
        </w:rPr>
        <w:t xml:space="preserve"> </w:t>
      </w:r>
      <w:r w:rsidR="00B9066B" w:rsidRPr="00C32AEE">
        <w:rPr>
          <w:rFonts w:ascii="Palatino Linotype" w:eastAsia="Palatino Linotype" w:hAnsi="Palatino Linotype" w:cs="Palatino Linotype"/>
          <w:b/>
          <w:color w:val="000000"/>
          <w:sz w:val="28"/>
          <w:szCs w:val="24"/>
        </w:rPr>
        <w:t>Del recurso de revisión.</w:t>
      </w:r>
    </w:p>
    <w:p w:rsidR="00B9066B" w:rsidRPr="00C32AEE" w:rsidRDefault="00B9066B" w:rsidP="00B9066B">
      <w:pPr>
        <w:spacing w:after="0" w:line="360" w:lineRule="auto"/>
        <w:jc w:val="both"/>
        <w:rPr>
          <w:rFonts w:ascii="Palatino Linotype" w:eastAsia="Palatino Linotype" w:hAnsi="Palatino Linotype" w:cs="Palatino Linotype"/>
          <w:b/>
          <w:sz w:val="24"/>
          <w:szCs w:val="24"/>
        </w:rPr>
      </w:pPr>
      <w:r w:rsidRPr="00C32AEE">
        <w:rPr>
          <w:rFonts w:ascii="Palatino Linotype" w:eastAsia="Palatino Linotype" w:hAnsi="Palatino Linotype" w:cs="Palatino Linotype"/>
          <w:sz w:val="24"/>
          <w:szCs w:val="24"/>
        </w:rPr>
        <w:t>Ante la falta de respuesta</w:t>
      </w:r>
      <w:r w:rsidRPr="00C32AEE">
        <w:rPr>
          <w:rFonts w:ascii="Palatino Linotype" w:eastAsia="Palatino Linotype" w:hAnsi="Palatino Linotype" w:cs="Palatino Linotype"/>
          <w:b/>
          <w:sz w:val="24"/>
          <w:szCs w:val="24"/>
        </w:rPr>
        <w:t xml:space="preserve"> </w:t>
      </w:r>
      <w:r w:rsidRPr="00C32AEE">
        <w:rPr>
          <w:rFonts w:ascii="Palatino Linotype" w:eastAsia="Palatino Linotype" w:hAnsi="Palatino Linotype" w:cs="Palatino Linotype"/>
          <w:sz w:val="24"/>
          <w:szCs w:val="24"/>
        </w:rPr>
        <w:t xml:space="preserve">del </w:t>
      </w:r>
      <w:r w:rsidRPr="00C32AEE">
        <w:rPr>
          <w:rFonts w:ascii="Palatino Linotype" w:eastAsia="Palatino Linotype" w:hAnsi="Palatino Linotype" w:cs="Palatino Linotype"/>
          <w:b/>
          <w:sz w:val="24"/>
          <w:szCs w:val="24"/>
        </w:rPr>
        <w:t>Sujeto Obligado</w:t>
      </w:r>
      <w:r w:rsidRPr="00C32AEE">
        <w:rPr>
          <w:rFonts w:ascii="Palatino Linotype" w:eastAsia="Palatino Linotype" w:hAnsi="Palatino Linotype" w:cs="Palatino Linotype"/>
          <w:sz w:val="24"/>
          <w:szCs w:val="24"/>
        </w:rPr>
        <w:t xml:space="preserve">, la parte </w:t>
      </w:r>
      <w:r w:rsidRPr="00C32AEE">
        <w:rPr>
          <w:rFonts w:ascii="Palatino Linotype" w:eastAsia="Palatino Linotype" w:hAnsi="Palatino Linotype" w:cs="Palatino Linotype"/>
          <w:b/>
          <w:sz w:val="24"/>
          <w:szCs w:val="24"/>
        </w:rPr>
        <w:t>Recurrente</w:t>
      </w:r>
      <w:r w:rsidRPr="00C32AEE">
        <w:rPr>
          <w:rFonts w:ascii="Palatino Linotype" w:eastAsia="Palatino Linotype" w:hAnsi="Palatino Linotype" w:cs="Palatino Linotype"/>
          <w:sz w:val="24"/>
          <w:szCs w:val="24"/>
        </w:rPr>
        <w:t xml:space="preserve"> interpuso el recurso de revisión en fecha </w:t>
      </w:r>
      <w:r w:rsidRPr="00C32AEE">
        <w:rPr>
          <w:rFonts w:ascii="Palatino Linotype" w:eastAsia="Palatino Linotype" w:hAnsi="Palatino Linotype" w:cs="Palatino Linotype"/>
          <w:b/>
          <w:sz w:val="24"/>
          <w:szCs w:val="24"/>
        </w:rPr>
        <w:t>dieci</w:t>
      </w:r>
      <w:r w:rsidR="005415C5" w:rsidRPr="00C32AEE">
        <w:rPr>
          <w:rFonts w:ascii="Palatino Linotype" w:eastAsia="Palatino Linotype" w:hAnsi="Palatino Linotype" w:cs="Palatino Linotype"/>
          <w:b/>
          <w:sz w:val="24"/>
          <w:szCs w:val="24"/>
        </w:rPr>
        <w:t>ocho</w:t>
      </w:r>
      <w:r w:rsidRPr="00C32AEE">
        <w:rPr>
          <w:rFonts w:ascii="Palatino Linotype" w:eastAsia="Palatino Linotype" w:hAnsi="Palatino Linotype" w:cs="Palatino Linotype"/>
          <w:b/>
          <w:sz w:val="24"/>
          <w:szCs w:val="24"/>
        </w:rPr>
        <w:t xml:space="preserve"> de febrero de dos mil veintiséis</w:t>
      </w:r>
      <w:r w:rsidRPr="00C32AEE">
        <w:rPr>
          <w:rFonts w:ascii="Palatino Linotype" w:eastAsia="Palatino Linotype" w:hAnsi="Palatino Linotype" w:cs="Palatino Linotype"/>
          <w:sz w:val="24"/>
          <w:szCs w:val="24"/>
        </w:rPr>
        <w:t>, registrado</w:t>
      </w:r>
      <w:r w:rsidRPr="00C32AEE">
        <w:rPr>
          <w:rFonts w:ascii="Palatino Linotype" w:eastAsia="Palatino Linotype" w:hAnsi="Palatino Linotype" w:cs="Palatino Linotype"/>
          <w:b/>
          <w:sz w:val="24"/>
          <w:szCs w:val="24"/>
        </w:rPr>
        <w:t xml:space="preserve"> </w:t>
      </w:r>
      <w:r w:rsidRPr="00C32AEE">
        <w:rPr>
          <w:rFonts w:ascii="Palatino Linotype" w:eastAsia="Palatino Linotype" w:hAnsi="Palatino Linotype" w:cs="Palatino Linotype"/>
          <w:sz w:val="24"/>
          <w:szCs w:val="24"/>
        </w:rPr>
        <w:t xml:space="preserve">en el </w:t>
      </w:r>
      <w:r w:rsidRPr="00C32AEE">
        <w:rPr>
          <w:rFonts w:ascii="Palatino Linotype" w:eastAsia="Palatino Linotype" w:hAnsi="Palatino Linotype" w:cs="Palatino Linotype"/>
          <w:b/>
          <w:sz w:val="24"/>
          <w:szCs w:val="24"/>
        </w:rPr>
        <w:t xml:space="preserve">SAIMEX </w:t>
      </w:r>
      <w:r w:rsidRPr="00C32AEE">
        <w:rPr>
          <w:rFonts w:ascii="Palatino Linotype" w:eastAsia="Palatino Linotype" w:hAnsi="Palatino Linotype" w:cs="Palatino Linotype"/>
          <w:sz w:val="24"/>
          <w:szCs w:val="24"/>
        </w:rPr>
        <w:t xml:space="preserve">con el número de expediente </w:t>
      </w:r>
      <w:r w:rsidRPr="00C32AEE">
        <w:rPr>
          <w:rFonts w:ascii="Palatino Linotype" w:eastAsia="Palatino Linotype" w:hAnsi="Palatino Linotype" w:cs="Palatino Linotype"/>
          <w:b/>
          <w:sz w:val="24"/>
          <w:szCs w:val="24"/>
        </w:rPr>
        <w:t>02325/INFOEM/IP/RR/2026</w:t>
      </w:r>
      <w:r w:rsidRPr="00C32AEE">
        <w:rPr>
          <w:rFonts w:ascii="Palatino Linotype" w:eastAsia="Palatino Linotype" w:hAnsi="Palatino Linotype" w:cs="Palatino Linotype"/>
          <w:sz w:val="24"/>
          <w:szCs w:val="24"/>
        </w:rPr>
        <w:t>, y señaló como acto impugnado y razones o motivos de inconformidad, lo siguiente:</w:t>
      </w:r>
    </w:p>
    <w:p w:rsidR="00B9066B" w:rsidRPr="00C32AEE" w:rsidRDefault="00B9066B" w:rsidP="00B9066B">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B9066B" w:rsidRPr="00C32AEE" w:rsidRDefault="00B9066B" w:rsidP="00B9066B">
      <w:pPr>
        <w:pStyle w:val="INFOEM"/>
        <w:ind w:left="142"/>
        <w:rPr>
          <w:b/>
          <w:i w:val="0"/>
          <w:sz w:val="24"/>
        </w:rPr>
      </w:pPr>
      <w:r w:rsidRPr="00C32AEE">
        <w:rPr>
          <w:b/>
          <w:i w:val="0"/>
          <w:sz w:val="24"/>
        </w:rPr>
        <w:t xml:space="preserve">Acto Impugnado: </w:t>
      </w:r>
    </w:p>
    <w:p w:rsidR="00B9066B" w:rsidRPr="00C32AEE" w:rsidRDefault="00B9066B" w:rsidP="00B9066B">
      <w:pPr>
        <w:pStyle w:val="INFOEM"/>
      </w:pPr>
      <w:r w:rsidRPr="00C32AEE">
        <w:t>“</w:t>
      </w:r>
      <w:r w:rsidR="005415C5" w:rsidRPr="00C32AEE">
        <w:t>Informe el listado de adjudicaciones directas realizadas durante los ejercicios 2025 y 2026, indicando: Justificación Fundamento legal Proveedor Monto</w:t>
      </w:r>
      <w:r w:rsidRPr="00C32AEE">
        <w:t xml:space="preserve">" (Sic) </w:t>
      </w:r>
    </w:p>
    <w:p w:rsidR="00B9066B" w:rsidRPr="00C32AEE" w:rsidRDefault="00B9066B" w:rsidP="00B9066B">
      <w:pPr>
        <w:pStyle w:val="INFOEM"/>
        <w:ind w:left="284"/>
        <w:rPr>
          <w:b/>
          <w:i w:val="0"/>
          <w:sz w:val="24"/>
        </w:rPr>
      </w:pPr>
      <w:r w:rsidRPr="00C32AEE">
        <w:rPr>
          <w:b/>
          <w:i w:val="0"/>
          <w:sz w:val="24"/>
        </w:rPr>
        <w:t xml:space="preserve">Razones o Motivos de Inconformidad: </w:t>
      </w:r>
    </w:p>
    <w:p w:rsidR="00B9066B" w:rsidRPr="00C32AEE" w:rsidRDefault="00B9066B" w:rsidP="005415C5">
      <w:pPr>
        <w:pStyle w:val="INFOEM"/>
        <w:ind w:right="567"/>
      </w:pPr>
      <w:r w:rsidRPr="00C32AEE">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w:t>
      </w:r>
      <w:r w:rsidRPr="00C32AEE">
        <w:lastRenderedPageBreak/>
        <w:t xml:space="preserve">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w:t>
      </w:r>
      <w:r w:rsidRPr="00C32AEE">
        <w:lastRenderedPageBreak/>
        <w:t>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32AEE">
        <w:rPr>
          <w:sz w:val="24"/>
          <w:szCs w:val="24"/>
        </w:rPr>
        <w:t xml:space="preserve"> (Sic)</w:t>
      </w:r>
      <w:r w:rsidRPr="00C32AEE">
        <w:rPr>
          <w:rFonts w:ascii="Times New Roman" w:eastAsia="Times New Roman" w:hAnsi="Times New Roman" w:cs="Times New Roman"/>
          <w:sz w:val="24"/>
          <w:szCs w:val="24"/>
        </w:rPr>
        <w:t xml:space="preserve"> </w:t>
      </w:r>
    </w:p>
    <w:p w:rsidR="00B9066B" w:rsidRPr="00C32AEE" w:rsidRDefault="00B9066B" w:rsidP="00B9066B">
      <w:pPr>
        <w:spacing w:after="0" w:line="360" w:lineRule="auto"/>
        <w:jc w:val="both"/>
        <w:rPr>
          <w:rFonts w:ascii="Palatino Linotype" w:eastAsia="Palatino Linotype" w:hAnsi="Palatino Linotype" w:cs="Palatino Linotype"/>
          <w:b/>
          <w:sz w:val="28"/>
          <w:szCs w:val="28"/>
        </w:rPr>
      </w:pPr>
    </w:p>
    <w:p w:rsidR="00B9066B" w:rsidRPr="00C32AEE" w:rsidRDefault="005415C5" w:rsidP="00B9066B">
      <w:pPr>
        <w:spacing w:before="240" w:line="360" w:lineRule="auto"/>
        <w:jc w:val="both"/>
        <w:rPr>
          <w:rFonts w:ascii="Palatino Linotype" w:hAnsi="Palatino Linotype" w:cs="Arial"/>
          <w:b/>
        </w:rPr>
      </w:pPr>
      <w:r w:rsidRPr="00C32AEE">
        <w:rPr>
          <w:rFonts w:ascii="Palatino Linotype" w:hAnsi="Palatino Linotype" w:cs="Arial"/>
          <w:b/>
          <w:sz w:val="28"/>
        </w:rPr>
        <w:t>CUAR</w:t>
      </w:r>
      <w:r w:rsidR="00B9066B" w:rsidRPr="00C32AEE">
        <w:rPr>
          <w:rFonts w:ascii="Palatino Linotype" w:hAnsi="Palatino Linotype" w:cs="Arial"/>
          <w:b/>
          <w:sz w:val="28"/>
        </w:rPr>
        <w:t>TO</w:t>
      </w:r>
      <w:r w:rsidR="00B9066B" w:rsidRPr="00C32AEE">
        <w:rPr>
          <w:rFonts w:ascii="Palatino Linotype" w:hAnsi="Palatino Linotype" w:cs="Arial"/>
          <w:b/>
        </w:rPr>
        <w:t xml:space="preserve">. </w:t>
      </w:r>
      <w:r w:rsidR="00B9066B" w:rsidRPr="00C32AEE">
        <w:rPr>
          <w:rFonts w:ascii="Palatino Linotype" w:hAnsi="Palatino Linotype" w:cs="Arial"/>
          <w:b/>
          <w:sz w:val="28"/>
          <w:szCs w:val="28"/>
        </w:rPr>
        <w:t>Del turno y admisión del recurso de revisión.</w:t>
      </w:r>
    </w:p>
    <w:p w:rsidR="00B9066B" w:rsidRPr="00C32AEE" w:rsidRDefault="00B9066B" w:rsidP="00B9066B">
      <w:pPr>
        <w:spacing w:before="240" w:line="360" w:lineRule="auto"/>
        <w:jc w:val="both"/>
        <w:rPr>
          <w:rFonts w:ascii="Palatino Linotype" w:hAnsi="Palatino Linotype" w:cs="Arial"/>
          <w:sz w:val="32"/>
        </w:rPr>
      </w:pPr>
      <w:r w:rsidRPr="00C32AEE">
        <w:rPr>
          <w:rFonts w:ascii="Palatino Linotype" w:hAnsi="Palatino Linotype"/>
          <w:sz w:val="24"/>
        </w:rPr>
        <w:t xml:space="preserve">El medio de impugnación fue turnado al Comisionado Presidente </w:t>
      </w:r>
      <w:r w:rsidRPr="00C32AEE">
        <w:rPr>
          <w:rFonts w:ascii="Palatino Linotype" w:hAnsi="Palatino Linotype"/>
          <w:b/>
          <w:sz w:val="24"/>
        </w:rPr>
        <w:t>José Martínez Vilchis,</w:t>
      </w:r>
      <w:r w:rsidRPr="00C32AEE">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C32AEE">
        <w:rPr>
          <w:rFonts w:ascii="Palatino Linotype" w:hAnsi="Palatino Linotype"/>
          <w:b/>
          <w:sz w:val="24"/>
        </w:rPr>
        <w:t>admisión</w:t>
      </w:r>
      <w:r w:rsidRPr="00C32AEE">
        <w:rPr>
          <w:rFonts w:ascii="Palatino Linotype" w:hAnsi="Palatino Linotype"/>
          <w:sz w:val="24"/>
        </w:rPr>
        <w:t xml:space="preserve"> en fecha </w:t>
      </w:r>
      <w:r w:rsidR="005415C5" w:rsidRPr="00C32AEE">
        <w:rPr>
          <w:rFonts w:ascii="Palatino Linotype" w:hAnsi="Palatino Linotype"/>
          <w:b/>
          <w:sz w:val="24"/>
        </w:rPr>
        <w:t>veintitrés</w:t>
      </w:r>
      <w:r w:rsidRPr="00C32AEE">
        <w:rPr>
          <w:rFonts w:ascii="Palatino Linotype" w:hAnsi="Palatino Linotype"/>
          <w:b/>
          <w:sz w:val="24"/>
        </w:rPr>
        <w:t xml:space="preserve"> de febrero de dos mil veintiséis</w:t>
      </w:r>
      <w:r w:rsidRPr="00C32AEE">
        <w:rPr>
          <w:rFonts w:ascii="Palatino Linotype" w:hAnsi="Palatino Linotype"/>
          <w:sz w:val="24"/>
        </w:rPr>
        <w:t>, determinándose en ellos, un plazo de siete días para que las partes manifestaran lo que a su derecho corresponda en términos del numeral ya citado.</w:t>
      </w:r>
    </w:p>
    <w:p w:rsidR="00B9066B" w:rsidRPr="00C32AEE" w:rsidRDefault="00B9066B" w:rsidP="00B9066B">
      <w:pPr>
        <w:spacing w:after="0" w:line="360" w:lineRule="auto"/>
        <w:jc w:val="both"/>
        <w:rPr>
          <w:rFonts w:ascii="Palatino Linotype" w:eastAsia="Palatino Linotype" w:hAnsi="Palatino Linotype" w:cs="Palatino Linotype"/>
          <w:b/>
          <w:sz w:val="28"/>
          <w:szCs w:val="28"/>
        </w:rPr>
      </w:pPr>
    </w:p>
    <w:p w:rsidR="00B9066B" w:rsidRPr="00C32AEE" w:rsidRDefault="005415C5" w:rsidP="00B9066B">
      <w:pPr>
        <w:pStyle w:val="Prrafodelista"/>
        <w:spacing w:line="360" w:lineRule="auto"/>
        <w:ind w:left="0"/>
        <w:jc w:val="both"/>
        <w:rPr>
          <w:rFonts w:ascii="Palatino Linotype" w:hAnsi="Palatino Linotype" w:cs="Arial"/>
          <w:b/>
          <w:sz w:val="28"/>
          <w:szCs w:val="28"/>
        </w:rPr>
      </w:pPr>
      <w:r w:rsidRPr="00C32AEE">
        <w:rPr>
          <w:rFonts w:ascii="Palatino Linotype" w:hAnsi="Palatino Linotype" w:cs="Arial"/>
          <w:b/>
          <w:sz w:val="28"/>
        </w:rPr>
        <w:t>QUINTO</w:t>
      </w:r>
      <w:r w:rsidR="00B9066B" w:rsidRPr="00C32AEE">
        <w:rPr>
          <w:rFonts w:ascii="Palatino Linotype" w:hAnsi="Palatino Linotype" w:cs="Arial"/>
          <w:b/>
        </w:rPr>
        <w:t>.</w:t>
      </w:r>
      <w:r w:rsidR="00B9066B" w:rsidRPr="00C32AEE">
        <w:rPr>
          <w:rFonts w:ascii="Palatino Linotype" w:hAnsi="Palatino Linotype" w:cs="Arial"/>
          <w:b/>
          <w:sz w:val="28"/>
          <w:szCs w:val="28"/>
        </w:rPr>
        <w:t xml:space="preserve"> De la etapa de instrucción.</w:t>
      </w:r>
    </w:p>
    <w:p w:rsidR="00B9066B" w:rsidRPr="00C32AEE" w:rsidRDefault="00B9066B" w:rsidP="00B9066B">
      <w:pPr>
        <w:spacing w:line="360" w:lineRule="auto"/>
        <w:jc w:val="both"/>
        <w:rPr>
          <w:rFonts w:ascii="Palatino Linotype" w:hAnsi="Palatino Linotype" w:cs="Arial"/>
          <w:sz w:val="24"/>
        </w:rPr>
      </w:pPr>
      <w:r w:rsidRPr="00C32AEE">
        <w:rPr>
          <w:rFonts w:ascii="Palatino Linotype" w:hAnsi="Palatino Linotype" w:cs="Arial"/>
          <w:sz w:val="24"/>
        </w:rPr>
        <w:t xml:space="preserve">De las constancias que obran en el expediente electrónico del SAIMEX, se advierte que el </w:t>
      </w:r>
      <w:r w:rsidRPr="00C32AEE">
        <w:rPr>
          <w:rFonts w:ascii="Palatino Linotype" w:hAnsi="Palatino Linotype" w:cs="Arial"/>
          <w:b/>
          <w:sz w:val="24"/>
        </w:rPr>
        <w:t>Sujeto Obligado</w:t>
      </w:r>
      <w:r w:rsidRPr="00C32AEE">
        <w:rPr>
          <w:rFonts w:ascii="Palatino Linotype" w:hAnsi="Palatino Linotype" w:cs="Arial"/>
          <w:sz w:val="24"/>
        </w:rPr>
        <w:t xml:space="preserve"> rindió su informe justificado en fecha veinticinco de febrero de dos mil veintiséis, por medio del archivo electrónico </w:t>
      </w:r>
      <w:r w:rsidRPr="00C32AEE">
        <w:rPr>
          <w:rFonts w:ascii="Palatino Linotype" w:hAnsi="Palatino Linotype" w:cs="Arial"/>
          <w:b/>
          <w:sz w:val="24"/>
        </w:rPr>
        <w:t>“</w:t>
      </w:r>
      <w:r w:rsidR="005415C5" w:rsidRPr="00C32AEE">
        <w:rPr>
          <w:rFonts w:ascii="Palatino Linotype" w:hAnsi="Palatino Linotype" w:cs="Arial"/>
          <w:b/>
          <w:i/>
          <w:sz w:val="24"/>
        </w:rPr>
        <w:t>ADQ-037-2026.pdf</w:t>
      </w:r>
      <w:r w:rsidRPr="00C32AEE">
        <w:rPr>
          <w:rFonts w:ascii="Palatino Linotype" w:hAnsi="Palatino Linotype" w:cs="Arial"/>
          <w:b/>
          <w:i/>
          <w:sz w:val="24"/>
        </w:rPr>
        <w:t>”</w:t>
      </w:r>
      <w:r w:rsidRPr="00C32AEE">
        <w:rPr>
          <w:rFonts w:ascii="Palatino Linotype" w:hAnsi="Palatino Linotype" w:cs="Arial"/>
          <w:i/>
          <w:sz w:val="24"/>
        </w:rPr>
        <w:t>,</w:t>
      </w:r>
      <w:r w:rsidRPr="00C32AEE">
        <w:rPr>
          <w:rFonts w:ascii="Palatino Linotype" w:hAnsi="Palatino Linotype" w:cs="Arial"/>
          <w:sz w:val="24"/>
        </w:rPr>
        <w:t xml:space="preserve"> mismo que fue puesto a la vista del Recurrente en fecha nueve de abril de dos mil veintiséis</w:t>
      </w:r>
      <w:r w:rsidRPr="00C32AEE">
        <w:rPr>
          <w:rFonts w:ascii="Palatino Linotype" w:hAnsi="Palatino Linotype" w:cs="Arial"/>
          <w:b/>
          <w:i/>
          <w:sz w:val="24"/>
        </w:rPr>
        <w:t xml:space="preserve">. </w:t>
      </w:r>
    </w:p>
    <w:p w:rsidR="00B9066B" w:rsidRPr="00C32AEE" w:rsidRDefault="00B9066B" w:rsidP="00B9066B">
      <w:pPr>
        <w:spacing w:after="0" w:line="360" w:lineRule="auto"/>
        <w:jc w:val="both"/>
        <w:rPr>
          <w:rFonts w:ascii="Palatino Linotype" w:hAnsi="Palatino Linotype" w:cs="Arial"/>
          <w:b/>
          <w:sz w:val="28"/>
          <w:szCs w:val="28"/>
        </w:rPr>
      </w:pPr>
    </w:p>
    <w:p w:rsidR="00B9066B" w:rsidRPr="00C32AEE" w:rsidRDefault="005415C5" w:rsidP="00B9066B">
      <w:pPr>
        <w:spacing w:after="0" w:line="360" w:lineRule="auto"/>
        <w:jc w:val="both"/>
        <w:rPr>
          <w:rFonts w:ascii="Palatino Linotype" w:hAnsi="Palatino Linotype" w:cs="Arial"/>
          <w:b/>
          <w:sz w:val="28"/>
          <w:lang w:val="es-ES_tradnl"/>
        </w:rPr>
      </w:pPr>
      <w:r w:rsidRPr="00C32AEE">
        <w:rPr>
          <w:rFonts w:ascii="Palatino Linotype" w:hAnsi="Palatino Linotype" w:cs="Arial"/>
          <w:b/>
          <w:sz w:val="28"/>
          <w:szCs w:val="28"/>
        </w:rPr>
        <w:lastRenderedPageBreak/>
        <w:t>SEXTO</w:t>
      </w:r>
      <w:r w:rsidR="00B9066B" w:rsidRPr="00C32AEE">
        <w:rPr>
          <w:rFonts w:ascii="Palatino Linotype" w:hAnsi="Palatino Linotype" w:cs="Arial"/>
          <w:b/>
          <w:sz w:val="28"/>
          <w:szCs w:val="28"/>
        </w:rPr>
        <w:t xml:space="preserve">. </w:t>
      </w:r>
      <w:r w:rsidR="00B9066B" w:rsidRPr="00C32AEE">
        <w:rPr>
          <w:rFonts w:ascii="Palatino Linotype" w:hAnsi="Palatino Linotype" w:cs="Arial"/>
          <w:b/>
          <w:sz w:val="28"/>
          <w:lang w:val="es-ES_tradnl"/>
        </w:rPr>
        <w:t>De la ampliación del término para resolver.</w:t>
      </w:r>
    </w:p>
    <w:p w:rsidR="00B9066B" w:rsidRPr="00C32AEE" w:rsidRDefault="00B9066B" w:rsidP="00B9066B">
      <w:pPr>
        <w:spacing w:line="360" w:lineRule="auto"/>
        <w:jc w:val="both"/>
        <w:rPr>
          <w:rFonts w:ascii="Palatino Linotype" w:hAnsi="Palatino Linotype" w:cs="Arial"/>
          <w:sz w:val="24"/>
        </w:rPr>
      </w:pPr>
      <w:r w:rsidRPr="00C32AEE">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008E1217" w:rsidRPr="00C32AEE">
        <w:rPr>
          <w:rFonts w:ascii="Palatino Linotype" w:hAnsi="Palatino Linotype" w:cs="Arial"/>
          <w:b/>
          <w:sz w:val="24"/>
        </w:rPr>
        <w:t>quince</w:t>
      </w:r>
      <w:r w:rsidRPr="00C32AEE">
        <w:rPr>
          <w:rFonts w:ascii="Palatino Linotype" w:hAnsi="Palatino Linotype" w:cs="Arial"/>
          <w:b/>
          <w:sz w:val="24"/>
        </w:rPr>
        <w:t xml:space="preserve"> de abril de dos mil veintiséis</w:t>
      </w:r>
      <w:r w:rsidRPr="00C32AEE">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B9066B" w:rsidRPr="00C32AEE" w:rsidRDefault="00B9066B" w:rsidP="00B9066B">
      <w:pPr>
        <w:spacing w:after="0" w:line="360" w:lineRule="auto"/>
        <w:jc w:val="both"/>
        <w:rPr>
          <w:rFonts w:ascii="Palatino Linotype" w:hAnsi="Palatino Linotype" w:cs="Arial"/>
          <w:sz w:val="24"/>
          <w:szCs w:val="24"/>
        </w:rPr>
      </w:pPr>
    </w:p>
    <w:p w:rsidR="00B9066B" w:rsidRPr="00C32AEE" w:rsidRDefault="005415C5" w:rsidP="00B9066B">
      <w:pPr>
        <w:spacing w:after="0" w:line="360" w:lineRule="auto"/>
        <w:jc w:val="both"/>
        <w:rPr>
          <w:rFonts w:ascii="Palatino Linotype" w:hAnsi="Palatino Linotype" w:cs="Arial"/>
          <w:b/>
          <w:sz w:val="28"/>
          <w:szCs w:val="28"/>
        </w:rPr>
      </w:pPr>
      <w:r w:rsidRPr="00C32AEE">
        <w:rPr>
          <w:rFonts w:ascii="Palatino Linotype" w:hAnsi="Palatino Linotype" w:cs="Arial"/>
          <w:b/>
          <w:sz w:val="28"/>
          <w:lang w:val="es-ES_tradnl"/>
        </w:rPr>
        <w:t>SÉPTIMO</w:t>
      </w:r>
      <w:r w:rsidR="00B9066B" w:rsidRPr="00C32AEE">
        <w:rPr>
          <w:rFonts w:ascii="Palatino Linotype" w:hAnsi="Palatino Linotype" w:cs="Arial"/>
          <w:b/>
          <w:sz w:val="28"/>
          <w:szCs w:val="28"/>
        </w:rPr>
        <w:t>.</w:t>
      </w:r>
      <w:r w:rsidR="00B9066B" w:rsidRPr="00C32AEE">
        <w:rPr>
          <w:rFonts w:ascii="Palatino Linotype" w:hAnsi="Palatino Linotype" w:cs="Arial"/>
          <w:b/>
          <w:sz w:val="28"/>
          <w:lang w:val="es-ES_tradnl"/>
        </w:rPr>
        <w:t xml:space="preserve"> </w:t>
      </w:r>
      <w:r w:rsidR="00B9066B" w:rsidRPr="00C32AEE">
        <w:rPr>
          <w:rFonts w:ascii="Palatino Linotype" w:hAnsi="Palatino Linotype" w:cs="Arial"/>
          <w:b/>
          <w:sz w:val="28"/>
          <w:szCs w:val="28"/>
        </w:rPr>
        <w:t>Del Cierre de Instrucción.</w:t>
      </w:r>
    </w:p>
    <w:p w:rsidR="00B9066B" w:rsidRPr="00C32AEE" w:rsidRDefault="00B9066B" w:rsidP="00B9066B">
      <w:pPr>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8E1217" w:rsidRPr="00C32AEE">
        <w:rPr>
          <w:rFonts w:ascii="Palatino Linotype" w:hAnsi="Palatino Linotype" w:cs="Arial"/>
          <w:b/>
          <w:sz w:val="24"/>
          <w:szCs w:val="24"/>
        </w:rPr>
        <w:t>diecisiete</w:t>
      </w:r>
      <w:r w:rsidRPr="00C32AEE">
        <w:rPr>
          <w:rFonts w:ascii="Palatino Linotype" w:hAnsi="Palatino Linotype" w:cs="Arial"/>
          <w:b/>
          <w:sz w:val="24"/>
          <w:szCs w:val="24"/>
        </w:rPr>
        <w:t xml:space="preserve"> de abril de dos mil veintiséis</w:t>
      </w:r>
      <w:r w:rsidRPr="00C32AEE">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B9066B" w:rsidRPr="00C32AEE" w:rsidRDefault="00B9066B" w:rsidP="00B9066B">
      <w:pPr>
        <w:spacing w:line="360" w:lineRule="auto"/>
        <w:jc w:val="both"/>
        <w:rPr>
          <w:rFonts w:ascii="Palatino Linotype" w:hAnsi="Palatino Linotype" w:cs="Arial"/>
          <w:sz w:val="24"/>
        </w:rPr>
      </w:pPr>
    </w:p>
    <w:p w:rsidR="00B9066B" w:rsidRPr="00C32AEE" w:rsidRDefault="00B9066B" w:rsidP="00B9066B">
      <w:pPr>
        <w:spacing w:after="0" w:line="360" w:lineRule="auto"/>
        <w:jc w:val="both"/>
        <w:rPr>
          <w:rFonts w:ascii="Palatino Linotype" w:eastAsia="Palatino Linotype" w:hAnsi="Palatino Linotype" w:cs="Palatino Linotype"/>
          <w:sz w:val="24"/>
          <w:szCs w:val="24"/>
        </w:rPr>
      </w:pPr>
    </w:p>
    <w:p w:rsidR="00B9066B" w:rsidRPr="00C32AEE" w:rsidRDefault="00B9066B" w:rsidP="00B9066B">
      <w:pPr>
        <w:spacing w:after="0" w:line="360" w:lineRule="auto"/>
        <w:jc w:val="center"/>
        <w:rPr>
          <w:rFonts w:ascii="Palatino Linotype" w:eastAsia="Palatino Linotype" w:hAnsi="Palatino Linotype" w:cs="Palatino Linotype"/>
          <w:sz w:val="24"/>
          <w:szCs w:val="24"/>
        </w:rPr>
      </w:pPr>
      <w:r w:rsidRPr="00C32AEE">
        <w:rPr>
          <w:rFonts w:ascii="Palatino Linotype" w:eastAsia="Palatino Linotype" w:hAnsi="Palatino Linotype" w:cs="Palatino Linotype"/>
          <w:b/>
          <w:sz w:val="28"/>
          <w:szCs w:val="28"/>
        </w:rPr>
        <w:t xml:space="preserve">C O N S I D E R A N D O </w:t>
      </w:r>
    </w:p>
    <w:p w:rsidR="00B9066B" w:rsidRPr="00C32AEE" w:rsidRDefault="00B9066B" w:rsidP="00B9066B">
      <w:pPr>
        <w:spacing w:after="0" w:line="360" w:lineRule="auto"/>
        <w:jc w:val="both"/>
        <w:rPr>
          <w:rFonts w:ascii="Palatino Linotype" w:eastAsia="Palatino Linotype" w:hAnsi="Palatino Linotype" w:cs="Palatino Linotype"/>
          <w:sz w:val="24"/>
          <w:szCs w:val="24"/>
        </w:rPr>
      </w:pPr>
    </w:p>
    <w:p w:rsidR="00B9066B" w:rsidRPr="00C32AEE" w:rsidRDefault="00B9066B" w:rsidP="00B9066B">
      <w:pPr>
        <w:spacing w:after="0" w:line="360" w:lineRule="auto"/>
        <w:jc w:val="both"/>
        <w:rPr>
          <w:rFonts w:ascii="Palatino Linotype" w:eastAsia="Palatino Linotype" w:hAnsi="Palatino Linotype" w:cs="Palatino Linotype"/>
          <w:sz w:val="28"/>
          <w:szCs w:val="24"/>
        </w:rPr>
      </w:pPr>
      <w:r w:rsidRPr="00C32AEE">
        <w:rPr>
          <w:rFonts w:ascii="Palatino Linotype" w:eastAsia="Palatino Linotype" w:hAnsi="Palatino Linotype" w:cs="Palatino Linotype"/>
          <w:b/>
          <w:sz w:val="28"/>
          <w:szCs w:val="24"/>
        </w:rPr>
        <w:t>PRIMERO. De la competencia</w:t>
      </w:r>
      <w:r w:rsidRPr="00C32AEE">
        <w:rPr>
          <w:rFonts w:ascii="Palatino Linotype" w:eastAsia="Palatino Linotype" w:hAnsi="Palatino Linotype" w:cs="Palatino Linotype"/>
          <w:sz w:val="28"/>
          <w:szCs w:val="24"/>
        </w:rPr>
        <w:t>.</w:t>
      </w:r>
    </w:p>
    <w:p w:rsidR="00B9066B" w:rsidRPr="00C32AEE" w:rsidRDefault="00B9066B" w:rsidP="00B9066B">
      <w:pPr>
        <w:spacing w:after="0" w:line="360" w:lineRule="auto"/>
        <w:jc w:val="both"/>
        <w:rPr>
          <w:rFonts w:ascii="Palatino Linotype" w:hAnsi="Palatino Linotype"/>
          <w:sz w:val="24"/>
          <w:szCs w:val="24"/>
          <w:lang w:val="es-ES"/>
        </w:rPr>
      </w:pPr>
      <w:r w:rsidRPr="00C32AEE">
        <w:rPr>
          <w:rFonts w:ascii="Palatino Linotype" w:hAnsi="Palatino Linotype"/>
          <w:sz w:val="24"/>
          <w:szCs w:val="24"/>
          <w:lang w:val="es-ES"/>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9066B" w:rsidRPr="00C32AEE" w:rsidRDefault="00B9066B" w:rsidP="00B9066B">
      <w:pPr>
        <w:spacing w:after="0" w:line="360" w:lineRule="auto"/>
        <w:jc w:val="both"/>
        <w:rPr>
          <w:rFonts w:ascii="Palatino Linotype" w:eastAsia="Palatino Linotype" w:hAnsi="Palatino Linotype" w:cs="Palatino Linotype"/>
          <w:sz w:val="24"/>
          <w:szCs w:val="24"/>
        </w:rPr>
      </w:pPr>
    </w:p>
    <w:p w:rsidR="00B9066B" w:rsidRPr="00C32AEE" w:rsidRDefault="00B9066B" w:rsidP="00B9066B">
      <w:pPr>
        <w:pStyle w:val="Prrafodelista"/>
        <w:autoSpaceDE w:val="0"/>
        <w:autoSpaceDN w:val="0"/>
        <w:adjustRightInd w:val="0"/>
        <w:spacing w:line="360" w:lineRule="auto"/>
        <w:ind w:left="0"/>
        <w:jc w:val="both"/>
        <w:rPr>
          <w:rFonts w:ascii="Palatino Linotype" w:hAnsi="Palatino Linotype" w:cs="Arial"/>
          <w:b/>
        </w:rPr>
      </w:pPr>
      <w:r w:rsidRPr="00C32AEE">
        <w:rPr>
          <w:rFonts w:ascii="Palatino Linotype" w:hAnsi="Palatino Linotype" w:cs="Arial"/>
          <w:b/>
          <w:sz w:val="28"/>
        </w:rPr>
        <w:t>SEGUNDO</w:t>
      </w:r>
      <w:r w:rsidRPr="00C32AEE">
        <w:rPr>
          <w:rFonts w:ascii="Palatino Linotype" w:hAnsi="Palatino Linotype" w:cs="Arial"/>
          <w:b/>
        </w:rPr>
        <w:t xml:space="preserve">. </w:t>
      </w:r>
      <w:r w:rsidRPr="00C32AEE">
        <w:rPr>
          <w:rFonts w:ascii="Palatino Linotype" w:hAnsi="Palatino Linotype" w:cs="Arial"/>
          <w:b/>
          <w:sz w:val="28"/>
          <w:szCs w:val="28"/>
        </w:rPr>
        <w:t>Sobre los alcances del recurso de revisión.</w:t>
      </w:r>
      <w:r w:rsidRPr="00C32AEE">
        <w:rPr>
          <w:rFonts w:ascii="Palatino Linotype" w:hAnsi="Palatino Linotype" w:cs="Arial"/>
          <w:b/>
        </w:rPr>
        <w:t xml:space="preserve"> </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C32AEE">
        <w:rPr>
          <w:rFonts w:ascii="Palatino Linotype" w:eastAsia="Times New Roman" w:hAnsi="Palatino Linotype" w:cs="Arial"/>
          <w:i/>
          <w:lang w:val="es-ES" w:eastAsia="es-ES"/>
        </w:rPr>
        <w:lastRenderedPageBreak/>
        <w:t>“</w:t>
      </w:r>
      <w:r w:rsidRPr="00C32AEE">
        <w:rPr>
          <w:rFonts w:ascii="Palatino Linotype" w:eastAsia="Times New Roman" w:hAnsi="Palatino Linotype" w:cs="Arial"/>
          <w:b/>
          <w:i/>
          <w:lang w:val="es-ES" w:eastAsia="es-ES"/>
        </w:rPr>
        <w:t>Artículo 163.</w:t>
      </w:r>
      <w:r w:rsidRPr="00C32AEE">
        <w:rPr>
          <w:rFonts w:ascii="Palatino Linotype" w:eastAsia="Times New Roman" w:hAnsi="Palatino Linotype" w:cs="Arial"/>
          <w:i/>
          <w:lang w:val="es-ES" w:eastAsia="es-ES"/>
        </w:rPr>
        <w:t xml:space="preserve"> </w:t>
      </w:r>
      <w:r w:rsidRPr="00C32AEE">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C32AEE">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B9066B" w:rsidRPr="00C32AEE" w:rsidRDefault="00B9066B" w:rsidP="00B9066B">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C32AEE">
        <w:rPr>
          <w:rFonts w:ascii="Palatino Linotype" w:eastAsia="Times New Roman" w:hAnsi="Palatino Linotype" w:cs="Arial"/>
          <w:lang w:val="es-ES" w:eastAsia="es-ES"/>
        </w:rPr>
        <w:t>(Énfasis añadido)</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De la interpretación al precepto legal inserto, se advierte que el plazo que les asiste a los </w:t>
      </w:r>
      <w:r w:rsidRPr="00C32AEE">
        <w:rPr>
          <w:rFonts w:ascii="Palatino Linotype" w:hAnsi="Palatino Linotype" w:cs="Arial"/>
          <w:b/>
          <w:sz w:val="24"/>
          <w:szCs w:val="24"/>
        </w:rPr>
        <w:t>sujetos</w:t>
      </w:r>
      <w:r w:rsidRPr="00C32AEE">
        <w:rPr>
          <w:rFonts w:ascii="Palatino Linotype" w:hAnsi="Palatino Linotype" w:cs="Arial"/>
          <w:sz w:val="24"/>
          <w:szCs w:val="24"/>
        </w:rPr>
        <w:t xml:space="preserve"> </w:t>
      </w:r>
      <w:r w:rsidRPr="00C32AEE">
        <w:rPr>
          <w:rFonts w:ascii="Palatino Linotype" w:hAnsi="Palatino Linotype" w:cs="Arial"/>
          <w:b/>
          <w:sz w:val="24"/>
          <w:szCs w:val="24"/>
        </w:rPr>
        <w:t>obligados</w:t>
      </w:r>
      <w:r w:rsidRPr="00C32AEE">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Se constituye la figura jurídica de la </w:t>
      </w:r>
      <w:r w:rsidRPr="00C32AEE">
        <w:rPr>
          <w:rFonts w:ascii="Palatino Linotype" w:hAnsi="Palatino Linotype" w:cs="Arial"/>
          <w:b/>
          <w:i/>
          <w:sz w:val="24"/>
          <w:szCs w:val="24"/>
        </w:rPr>
        <w:t>NEGATIVA FICTA</w:t>
      </w:r>
      <w:r w:rsidRPr="00C32AEE">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B9066B" w:rsidRPr="00C32AEE" w:rsidRDefault="00B9066B" w:rsidP="00B9066B">
      <w:pPr>
        <w:spacing w:after="0" w:line="240" w:lineRule="auto"/>
        <w:rPr>
          <w:rFonts w:ascii="Palatino Linotype" w:hAnsi="Palatino Linotype"/>
        </w:rPr>
      </w:pP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C32AEE">
        <w:rPr>
          <w:rFonts w:ascii="Palatino Linotype" w:eastAsia="Times New Roman" w:hAnsi="Palatino Linotype" w:cs="Arial"/>
          <w:i/>
          <w:lang w:val="es-ES" w:eastAsia="es-ES"/>
        </w:rPr>
        <w:t>“</w:t>
      </w:r>
      <w:r w:rsidRPr="00C32AEE">
        <w:rPr>
          <w:rFonts w:ascii="Palatino Linotype" w:eastAsia="Times New Roman" w:hAnsi="Palatino Linotype" w:cs="Arial"/>
          <w:b/>
          <w:i/>
          <w:lang w:val="es-ES" w:eastAsia="es-ES"/>
        </w:rPr>
        <w:t>Artículo 178.</w:t>
      </w:r>
      <w:r w:rsidRPr="00C32AEE">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C32AEE">
        <w:rPr>
          <w:rFonts w:ascii="Palatino Linotype" w:eastAsia="Times New Roman" w:hAnsi="Palatino Linotype" w:cs="Arial"/>
          <w:b/>
          <w:i/>
          <w:lang w:val="es-ES" w:eastAsia="es-ES"/>
        </w:rPr>
        <w:lastRenderedPageBreak/>
        <w:t>A falta de respuesta del Sujeto Obligado, dentro de los plazos establecidos en esta Ley, a una solicitud de acceso a la información pública, el recurso podrá ser interpuesto en cualquier momento</w:t>
      </w:r>
      <w:r w:rsidRPr="00C32AEE">
        <w:rPr>
          <w:rFonts w:ascii="Palatino Linotype" w:eastAsia="Times New Roman" w:hAnsi="Palatino Linotype" w:cs="Arial"/>
          <w:i/>
          <w:lang w:val="es-ES" w:eastAsia="es-ES"/>
        </w:rPr>
        <w:t>, acompañado con el documento que pruebe la fecha en que presentó la solicitud.</w:t>
      </w: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C32AEE">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B9066B" w:rsidRPr="00C32AEE" w:rsidRDefault="00B9066B" w:rsidP="00B9066B">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B9066B" w:rsidRPr="00C32AEE" w:rsidRDefault="00B9066B" w:rsidP="00B9066B">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C32AEE">
        <w:rPr>
          <w:rFonts w:ascii="Palatino Linotype" w:eastAsia="Times New Roman" w:hAnsi="Palatino Linotype" w:cs="Arial"/>
          <w:lang w:val="es-ES" w:eastAsia="es-ES"/>
        </w:rPr>
        <w:t>(Énfasis añadido)</w:t>
      </w: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p>
    <w:p w:rsidR="00B9066B" w:rsidRPr="00C32AEE" w:rsidRDefault="00B9066B" w:rsidP="00B9066B">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C32AEE">
        <w:rPr>
          <w:rFonts w:ascii="Palatino Linotype" w:hAnsi="Palatino Linotype" w:cs="Arial"/>
          <w:b/>
          <w:sz w:val="24"/>
          <w:szCs w:val="24"/>
        </w:rPr>
        <w:t>Sujeto Obligado</w:t>
      </w:r>
      <w:r w:rsidRPr="00C32AEE">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B9066B" w:rsidRPr="00C32AEE" w:rsidRDefault="00B9066B" w:rsidP="00B9066B">
      <w:pPr>
        <w:pStyle w:val="Prrafodelista"/>
        <w:autoSpaceDE w:val="0"/>
        <w:autoSpaceDN w:val="0"/>
        <w:adjustRightInd w:val="0"/>
        <w:spacing w:line="360" w:lineRule="auto"/>
        <w:ind w:left="0"/>
        <w:jc w:val="both"/>
        <w:rPr>
          <w:rFonts w:ascii="Palatino Linotype" w:hAnsi="Palatino Linotype" w:cs="Arial"/>
          <w:b/>
        </w:rPr>
      </w:pPr>
    </w:p>
    <w:p w:rsidR="00B9066B" w:rsidRPr="00C32AEE" w:rsidRDefault="00B9066B" w:rsidP="00B9066B">
      <w:pPr>
        <w:spacing w:after="0" w:line="360" w:lineRule="auto"/>
        <w:ind w:right="49"/>
        <w:jc w:val="both"/>
        <w:rPr>
          <w:rFonts w:ascii="Palatino Linotype" w:eastAsia="Times New Roman" w:hAnsi="Palatino Linotype" w:cs="Arial"/>
          <w:b/>
          <w:sz w:val="28"/>
          <w:szCs w:val="28"/>
          <w:lang w:val="es-ES" w:eastAsia="es-ES"/>
        </w:rPr>
      </w:pPr>
      <w:r w:rsidRPr="00C32AEE">
        <w:rPr>
          <w:rFonts w:ascii="Palatino Linotype" w:eastAsia="Times New Roman" w:hAnsi="Palatino Linotype" w:cs="Arial"/>
          <w:b/>
          <w:sz w:val="28"/>
          <w:szCs w:val="28"/>
          <w:lang w:val="es-ES" w:eastAsia="es-ES"/>
        </w:rPr>
        <w:t>TERCERO.</w:t>
      </w:r>
      <w:r w:rsidRPr="00C32AEE">
        <w:rPr>
          <w:rFonts w:ascii="Palatino Linotype" w:eastAsia="Times New Roman" w:hAnsi="Palatino Linotype" w:cs="Arial"/>
          <w:sz w:val="28"/>
          <w:szCs w:val="28"/>
          <w:lang w:val="es-ES" w:eastAsia="es-ES"/>
        </w:rPr>
        <w:t xml:space="preserve"> </w:t>
      </w:r>
      <w:r w:rsidRPr="00C32AEE">
        <w:rPr>
          <w:rFonts w:ascii="Palatino Linotype" w:eastAsia="Times New Roman" w:hAnsi="Palatino Linotype" w:cs="Arial"/>
          <w:b/>
          <w:sz w:val="28"/>
          <w:szCs w:val="28"/>
          <w:lang w:val="es-ES" w:eastAsia="es-ES"/>
        </w:rPr>
        <w:t xml:space="preserve">De las causas de improcedencia. </w:t>
      </w:r>
    </w:p>
    <w:p w:rsidR="00B9066B" w:rsidRPr="00C32AEE" w:rsidRDefault="00B9066B" w:rsidP="00B9066B">
      <w:pPr>
        <w:spacing w:after="0" w:line="360" w:lineRule="auto"/>
        <w:ind w:right="49"/>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w:t>
      </w:r>
      <w:r w:rsidRPr="00C32AEE">
        <w:rPr>
          <w:rFonts w:ascii="Palatino Linotype" w:eastAsia="Times New Roman" w:hAnsi="Palatino Linotype" w:cs="Arial"/>
          <w:sz w:val="24"/>
          <w:szCs w:val="24"/>
          <w:lang w:val="es-ES" w:eastAsia="es-ES"/>
        </w:rPr>
        <w:lastRenderedPageBreak/>
        <w:t>acceso a la justicia, ya que éste no se coarta por regular causas de improcedencia y sobreseimiento con tales fines</w:t>
      </w:r>
      <w:r w:rsidRPr="00C32AEE">
        <w:rPr>
          <w:rFonts w:ascii="Palatino Linotype" w:eastAsia="Times New Roman" w:hAnsi="Palatino Linotype" w:cs="Arial"/>
          <w:sz w:val="24"/>
          <w:szCs w:val="24"/>
          <w:vertAlign w:val="superscript"/>
          <w:lang w:val="es-ES" w:eastAsia="es-ES"/>
        </w:rPr>
        <w:footnoteReference w:id="1"/>
      </w:r>
      <w:r w:rsidRPr="00C32AEE">
        <w:rPr>
          <w:rFonts w:ascii="Palatino Linotype" w:eastAsia="Times New Roman" w:hAnsi="Palatino Linotype" w:cs="Arial"/>
          <w:sz w:val="24"/>
          <w:szCs w:val="24"/>
          <w:lang w:val="es-ES" w:eastAsia="es-ES"/>
        </w:rPr>
        <w:t>.</w:t>
      </w:r>
    </w:p>
    <w:p w:rsidR="00B9066B" w:rsidRPr="00C32AEE" w:rsidRDefault="00B9066B" w:rsidP="00B9066B">
      <w:pPr>
        <w:spacing w:after="0" w:line="360" w:lineRule="auto"/>
        <w:ind w:right="49"/>
        <w:jc w:val="both"/>
        <w:rPr>
          <w:rFonts w:ascii="Palatino Linotype" w:eastAsia="Times New Roman" w:hAnsi="Palatino Linotype" w:cs="Arial"/>
          <w:sz w:val="24"/>
          <w:szCs w:val="24"/>
          <w:lang w:val="es-ES" w:eastAsia="es-ES"/>
        </w:rPr>
      </w:pPr>
    </w:p>
    <w:p w:rsidR="00B9066B" w:rsidRPr="00C32AEE" w:rsidRDefault="00B9066B" w:rsidP="00B9066B">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B9066B" w:rsidRPr="00C32AEE" w:rsidRDefault="00B9066B" w:rsidP="00B9066B">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B9066B" w:rsidRPr="00C32AEE" w:rsidRDefault="00B9066B" w:rsidP="00B9066B">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C32AEE">
        <w:rPr>
          <w:rFonts w:ascii="Palatino Linotype" w:eastAsia="Times New Roman" w:hAnsi="Palatino Linotype" w:cs="Arial"/>
          <w:b/>
          <w:sz w:val="28"/>
          <w:szCs w:val="28"/>
          <w:lang w:val="es-ES" w:eastAsia="es-ES"/>
        </w:rPr>
        <w:t>CUARTO. Estudio y resolución del asunto</w:t>
      </w:r>
      <w:r w:rsidRPr="00C32AEE">
        <w:rPr>
          <w:rFonts w:ascii="Palatino Linotype" w:eastAsia="Times New Roman" w:hAnsi="Palatino Linotype" w:cs="Times New Roman"/>
          <w:b/>
          <w:sz w:val="28"/>
          <w:szCs w:val="28"/>
          <w:lang w:val="es-ES" w:eastAsia="es-ES"/>
        </w:rPr>
        <w:t xml:space="preserve">. </w:t>
      </w:r>
    </w:p>
    <w:p w:rsidR="00B9066B" w:rsidRPr="00C32AEE" w:rsidRDefault="00B9066B" w:rsidP="00B9066B">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C32AEE">
        <w:rPr>
          <w:rFonts w:ascii="Palatino Linotype" w:eastAsia="Palatino Linotype" w:hAnsi="Palatino Linotype" w:cs="Palatino Linotype"/>
          <w:color w:val="000000"/>
          <w:sz w:val="24"/>
          <w:szCs w:val="24"/>
        </w:rPr>
        <w:t xml:space="preserve">El análisis y resolución del presente recurso, se funda en el contenido íntegro de las actuaciones que obran en el expediente electrónico, para así estar en posibilidad este </w:t>
      </w:r>
      <w:r w:rsidRPr="00C32AEE">
        <w:rPr>
          <w:rFonts w:ascii="Palatino Linotype" w:eastAsia="Palatino Linotype" w:hAnsi="Palatino Linotype" w:cs="Palatino Linotype"/>
          <w:color w:val="000000"/>
          <w:sz w:val="24"/>
          <w:szCs w:val="24"/>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B9066B" w:rsidRPr="00C32AEE" w:rsidRDefault="00B9066B" w:rsidP="00B9066B">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B9066B" w:rsidRPr="00C32AEE" w:rsidRDefault="00B9066B" w:rsidP="00B9066B">
      <w:pPr>
        <w:spacing w:after="0" w:line="360" w:lineRule="auto"/>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C32AEE">
        <w:rPr>
          <w:rFonts w:ascii="Palatino Linotype" w:eastAsia="Times New Roman" w:hAnsi="Palatino Linotype" w:cs="Arial"/>
          <w:b/>
          <w:sz w:val="24"/>
          <w:szCs w:val="24"/>
          <w:lang w:val="es-ES" w:eastAsia="es-ES"/>
        </w:rPr>
        <w:t>Recurrente</w:t>
      </w:r>
      <w:r w:rsidRPr="00C32AEE">
        <w:rPr>
          <w:rFonts w:ascii="Palatino Linotype" w:eastAsia="Times New Roman" w:hAnsi="Palatino Linotype" w:cs="Arial"/>
          <w:sz w:val="24"/>
          <w:szCs w:val="24"/>
          <w:lang w:val="es-ES" w:eastAsia="es-ES"/>
        </w:rPr>
        <w:t xml:space="preserve"> peticiona le sea entregado por el sistema SAIMEX, lo siguiente:</w:t>
      </w:r>
    </w:p>
    <w:p w:rsidR="00B9066B" w:rsidRPr="00C32AEE" w:rsidRDefault="00B9066B" w:rsidP="00B9066B">
      <w:pPr>
        <w:spacing w:after="0" w:line="360" w:lineRule="auto"/>
        <w:jc w:val="both"/>
        <w:rPr>
          <w:rFonts w:ascii="Palatino Linotype" w:eastAsia="Times New Roman" w:hAnsi="Palatino Linotype" w:cs="Arial"/>
          <w:sz w:val="24"/>
          <w:szCs w:val="24"/>
          <w:lang w:val="es-ES" w:eastAsia="es-ES"/>
        </w:rPr>
      </w:pPr>
    </w:p>
    <w:p w:rsidR="00B9066B" w:rsidRPr="00C32AEE" w:rsidRDefault="005415C5" w:rsidP="0065548D">
      <w:pPr>
        <w:pStyle w:val="Prrafodelista"/>
        <w:numPr>
          <w:ilvl w:val="0"/>
          <w:numId w:val="5"/>
        </w:numPr>
        <w:spacing w:line="360" w:lineRule="auto"/>
        <w:ind w:left="284" w:hanging="284"/>
        <w:jc w:val="both"/>
        <w:rPr>
          <w:rFonts w:ascii="Palatino Linotype" w:hAnsi="Palatino Linotype" w:cs="Arial"/>
        </w:rPr>
      </w:pPr>
      <w:r w:rsidRPr="00C32AEE">
        <w:rPr>
          <w:rFonts w:ascii="Palatino Linotype" w:hAnsi="Palatino Linotype" w:cs="Arial"/>
        </w:rPr>
        <w:t>Informe el listado de adjudicaciones directas realizadas durante los ejercicios 2025 y 2026, indicando: Justificación Fundamento legal Proveedor Monto</w:t>
      </w:r>
      <w:r w:rsidR="00B9066B" w:rsidRPr="00C32AEE">
        <w:rPr>
          <w:rFonts w:ascii="Palatino Linotype" w:hAnsi="Palatino Linotype" w:cs="Arial"/>
        </w:rPr>
        <w:t>.</w:t>
      </w:r>
    </w:p>
    <w:p w:rsidR="00B9066B" w:rsidRPr="00C32AEE" w:rsidRDefault="00B9066B" w:rsidP="00B9066B">
      <w:pPr>
        <w:spacing w:after="0" w:line="360" w:lineRule="auto"/>
        <w:jc w:val="both"/>
        <w:rPr>
          <w:rFonts w:ascii="Palatino Linotype" w:eastAsia="Times New Roman" w:hAnsi="Palatino Linotype" w:cs="Arial"/>
          <w:sz w:val="24"/>
          <w:szCs w:val="24"/>
          <w:lang w:val="es-ES" w:eastAsia="es-ES"/>
        </w:rPr>
      </w:pPr>
    </w:p>
    <w:p w:rsidR="00B9066B" w:rsidRPr="00C32AEE" w:rsidRDefault="00B9066B" w:rsidP="00B9066B">
      <w:pPr>
        <w:pStyle w:val="INFOEM"/>
        <w:ind w:left="0" w:right="0"/>
        <w:rPr>
          <w:i w:val="0"/>
          <w:sz w:val="24"/>
        </w:rPr>
      </w:pPr>
      <w:r w:rsidRPr="00C32AEE">
        <w:rPr>
          <w:rFonts w:eastAsia="Palatino Linotype" w:cs="Palatino Linotype"/>
          <w:i w:val="0"/>
          <w:color w:val="000000"/>
          <w:sz w:val="24"/>
          <w:szCs w:val="24"/>
        </w:rPr>
        <w:t xml:space="preserve">Ante la falta respuesta por parte del </w:t>
      </w:r>
      <w:r w:rsidRPr="00C32AEE">
        <w:rPr>
          <w:rFonts w:eastAsia="Palatino Linotype" w:cs="Palatino Linotype"/>
          <w:b/>
          <w:i w:val="0"/>
          <w:color w:val="000000"/>
          <w:sz w:val="24"/>
          <w:szCs w:val="24"/>
        </w:rPr>
        <w:t>Sujeto Obligado</w:t>
      </w:r>
      <w:r w:rsidRPr="00C32AEE">
        <w:rPr>
          <w:rFonts w:eastAsia="Palatino Linotype" w:cs="Palatino Linotype"/>
          <w:i w:val="0"/>
          <w:color w:val="000000"/>
          <w:sz w:val="24"/>
          <w:szCs w:val="24"/>
        </w:rPr>
        <w:t xml:space="preserve">, el </w:t>
      </w:r>
      <w:r w:rsidRPr="00C32AEE">
        <w:rPr>
          <w:rFonts w:eastAsia="Palatino Linotype" w:cs="Palatino Linotype"/>
          <w:b/>
          <w:i w:val="0"/>
          <w:color w:val="000000"/>
          <w:sz w:val="24"/>
          <w:szCs w:val="24"/>
        </w:rPr>
        <w:t>Recurrente</w:t>
      </w:r>
      <w:r w:rsidRPr="00C32AEE">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C32AEE">
        <w:rPr>
          <w:rFonts w:cs="Arial"/>
          <w:bCs/>
          <w:i w:val="0"/>
          <w:sz w:val="24"/>
        </w:rPr>
        <w:t>, señalando sustancialmente como sus razones o motivos de inconformidad, lo siguiente:</w:t>
      </w:r>
      <w:r w:rsidRPr="00C32AEE" w:rsidDel="00107C3B">
        <w:rPr>
          <w:b/>
          <w:i w:val="0"/>
          <w:sz w:val="24"/>
        </w:rPr>
        <w:t xml:space="preserve"> </w:t>
      </w:r>
      <w:r w:rsidRPr="00C32AEE">
        <w:rPr>
          <w:i w:val="0"/>
          <w:sz w:val="24"/>
        </w:rPr>
        <w:t>“</w:t>
      </w:r>
      <w:r w:rsidRPr="00C32AEE">
        <w:rPr>
          <w:sz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w:t>
      </w:r>
      <w:r w:rsidRPr="00C32AEE">
        <w:rPr>
          <w:sz w:val="24"/>
        </w:rPr>
        <w:lastRenderedPageBreak/>
        <w:t xml:space="preserve">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w:t>
      </w:r>
      <w:r w:rsidRPr="00C32AEE">
        <w:rPr>
          <w:sz w:val="24"/>
        </w:rPr>
        <w:lastRenderedPageBreak/>
        <w:t>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r w:rsidRPr="00C32AEE">
        <w:rPr>
          <w:i w:val="0"/>
          <w:sz w:val="24"/>
        </w:rPr>
        <w:t xml:space="preserve">. </w:t>
      </w:r>
    </w:p>
    <w:p w:rsidR="00B9066B" w:rsidRPr="00C32AEE" w:rsidRDefault="00B9066B" w:rsidP="00B9066B">
      <w:pPr>
        <w:tabs>
          <w:tab w:val="left" w:pos="709"/>
        </w:tabs>
        <w:spacing w:line="360" w:lineRule="auto"/>
        <w:jc w:val="both"/>
        <w:rPr>
          <w:rFonts w:ascii="Palatino Linotype" w:hAnsi="Palatino Linotype" w:cs="Arial"/>
          <w:sz w:val="24"/>
        </w:rPr>
      </w:pPr>
    </w:p>
    <w:p w:rsidR="00B9066B" w:rsidRPr="00C32AEE" w:rsidRDefault="00B9066B" w:rsidP="00B9066B">
      <w:pPr>
        <w:tabs>
          <w:tab w:val="left" w:pos="709"/>
        </w:tabs>
        <w:spacing w:line="360" w:lineRule="auto"/>
        <w:jc w:val="both"/>
        <w:rPr>
          <w:rFonts w:ascii="Palatino Linotype" w:hAnsi="Palatino Linotype" w:cs="Arial"/>
          <w:sz w:val="24"/>
        </w:rPr>
      </w:pPr>
      <w:r w:rsidRPr="00C32AEE">
        <w:rPr>
          <w:rFonts w:ascii="Palatino Linotype" w:hAnsi="Palatino Linotype" w:cs="Arial"/>
          <w:sz w:val="24"/>
        </w:rPr>
        <w:t xml:space="preserve">Aunado a lo anterior, mediante informe justificado rendido por </w:t>
      </w:r>
      <w:r w:rsidRPr="00C32AEE">
        <w:rPr>
          <w:rFonts w:ascii="Palatino Linotype" w:hAnsi="Palatino Linotype" w:cs="Arial"/>
          <w:b/>
          <w:sz w:val="24"/>
        </w:rPr>
        <w:t>El Sujeto Obligado</w:t>
      </w:r>
      <w:r w:rsidRPr="00C32AEE">
        <w:rPr>
          <w:rFonts w:ascii="Palatino Linotype" w:hAnsi="Palatino Linotype" w:cs="Arial"/>
          <w:sz w:val="24"/>
        </w:rPr>
        <w:t xml:space="preserve">, se advierte que </w:t>
      </w:r>
      <w:r w:rsidRPr="00C32AEE">
        <w:rPr>
          <w:rFonts w:ascii="Palatino Linotype" w:hAnsi="Palatino Linotype" w:cs="Arial"/>
          <w:bCs/>
          <w:sz w:val="24"/>
        </w:rPr>
        <w:t>remitió a</w:t>
      </w:r>
      <w:r w:rsidRPr="00C32AEE">
        <w:rPr>
          <w:rFonts w:ascii="Palatino Linotype" w:hAnsi="Palatino Linotype" w:cs="Arial"/>
          <w:sz w:val="24"/>
        </w:rPr>
        <w:t xml:space="preserve"> través del Sistema de Acceso a la Información Mexiquense (</w:t>
      </w:r>
      <w:r w:rsidRPr="00C32AEE">
        <w:rPr>
          <w:rFonts w:ascii="Palatino Linotype" w:hAnsi="Palatino Linotype" w:cs="Arial"/>
          <w:b/>
          <w:sz w:val="24"/>
        </w:rPr>
        <w:t xml:space="preserve">SAIMEX), </w:t>
      </w:r>
      <w:r w:rsidRPr="00C32AEE">
        <w:rPr>
          <w:rFonts w:ascii="Palatino Linotype" w:hAnsi="Palatino Linotype" w:cs="Arial"/>
          <w:sz w:val="24"/>
        </w:rPr>
        <w:t>por medio de los archivos electrónicos siguientes:</w:t>
      </w:r>
    </w:p>
    <w:p w:rsidR="00B9066B" w:rsidRPr="00C32AEE" w:rsidRDefault="0065548D" w:rsidP="0065548D">
      <w:pPr>
        <w:pStyle w:val="Prrafodelista"/>
        <w:numPr>
          <w:ilvl w:val="0"/>
          <w:numId w:val="1"/>
        </w:numPr>
        <w:spacing w:line="360" w:lineRule="auto"/>
        <w:jc w:val="both"/>
        <w:rPr>
          <w:rFonts w:ascii="Palatino Linotype" w:hAnsi="Palatino Linotype" w:cs="Arial"/>
        </w:rPr>
      </w:pPr>
      <w:r w:rsidRPr="00C32AEE">
        <w:rPr>
          <w:rFonts w:ascii="Palatino Linotype" w:hAnsi="Palatino Linotype" w:cs="Arial"/>
          <w:b/>
          <w:i/>
        </w:rPr>
        <w:t>ADQ-037-2026.pdf</w:t>
      </w:r>
      <w:r w:rsidR="00B9066B" w:rsidRPr="00C32AEE">
        <w:rPr>
          <w:rFonts w:ascii="Palatino Linotype" w:hAnsi="Palatino Linotype" w:cs="Arial"/>
        </w:rPr>
        <w:t>: oficio número ADQ/03</w:t>
      </w:r>
      <w:r w:rsidRPr="00C32AEE">
        <w:rPr>
          <w:rFonts w:ascii="Palatino Linotype" w:hAnsi="Palatino Linotype" w:cs="Arial"/>
        </w:rPr>
        <w:t>7</w:t>
      </w:r>
      <w:r w:rsidR="00B9066B" w:rsidRPr="00C32AEE">
        <w:rPr>
          <w:rFonts w:ascii="Palatino Linotype" w:hAnsi="Palatino Linotype" w:cs="Arial"/>
        </w:rPr>
        <w:t xml:space="preserve">/2026, firmado por la Jefa de Adquisiciones, en el refiere </w:t>
      </w:r>
      <w:r w:rsidR="00D028F5" w:rsidRPr="00C32AEE">
        <w:rPr>
          <w:rFonts w:ascii="Palatino Linotype" w:hAnsi="Palatino Linotype" w:cs="Arial"/>
        </w:rPr>
        <w:t>remitir las adjudicaciones directas realizadas por su Jefatura.</w:t>
      </w:r>
    </w:p>
    <w:p w:rsidR="00D028F5" w:rsidRPr="00C32AEE" w:rsidRDefault="00D028F5" w:rsidP="00D028F5">
      <w:pPr>
        <w:pStyle w:val="Prrafodelista"/>
        <w:spacing w:line="360" w:lineRule="auto"/>
        <w:ind w:left="720"/>
        <w:jc w:val="both"/>
        <w:rPr>
          <w:rFonts w:ascii="Palatino Linotype" w:hAnsi="Palatino Linotype" w:cs="Arial"/>
        </w:rPr>
      </w:pPr>
      <w:r w:rsidRPr="00C32AEE">
        <w:rPr>
          <w:rFonts w:ascii="Palatino Linotype" w:hAnsi="Palatino Linotype" w:cs="Arial"/>
          <w:noProof/>
          <w:lang w:val="es-MX" w:eastAsia="es-MX"/>
        </w:rPr>
        <mc:AlternateContent>
          <mc:Choice Requires="wps">
            <w:drawing>
              <wp:anchor distT="0" distB="0" distL="114300" distR="114300" simplePos="0" relativeHeight="251661312" behindDoc="0" locked="0" layoutInCell="1" allowOverlap="1" wp14:anchorId="2E55468C" wp14:editId="188031FE">
                <wp:simplePos x="0" y="0"/>
                <wp:positionH relativeFrom="column">
                  <wp:posOffset>453390</wp:posOffset>
                </wp:positionH>
                <wp:positionV relativeFrom="paragraph">
                  <wp:posOffset>1930401</wp:posOffset>
                </wp:positionV>
                <wp:extent cx="1733550" cy="209550"/>
                <wp:effectExtent l="19050" t="19050" r="19050" b="19050"/>
                <wp:wrapNone/>
                <wp:docPr id="6" name="Rectángulo 6"/>
                <wp:cNvGraphicFramePr/>
                <a:graphic xmlns:a="http://schemas.openxmlformats.org/drawingml/2006/main">
                  <a:graphicData uri="http://schemas.microsoft.com/office/word/2010/wordprocessingShape">
                    <wps:wsp>
                      <wps:cNvSpPr/>
                      <wps:spPr>
                        <a:xfrm>
                          <a:off x="0" y="0"/>
                          <a:ext cx="1733550" cy="209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93B4A" id="Rectángulo 6" o:spid="_x0000_s1026" style="position:absolute;margin-left:35.7pt;margin-top:152pt;width:136.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" filled="f" strokecolor="red" strokeweight="2.25pt"/>
            </w:pict>
          </mc:Fallback>
        </mc:AlternateContent>
      </w:r>
      <w:r w:rsidRPr="00C32AEE">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501015</wp:posOffset>
                </wp:positionH>
                <wp:positionV relativeFrom="paragraph">
                  <wp:posOffset>-3175</wp:posOffset>
                </wp:positionV>
                <wp:extent cx="2495550" cy="209550"/>
                <wp:effectExtent l="19050" t="19050" r="19050" b="19050"/>
                <wp:wrapNone/>
                <wp:docPr id="5" name="Rectángulo 5"/>
                <wp:cNvGraphicFramePr/>
                <a:graphic xmlns:a="http://schemas.openxmlformats.org/drawingml/2006/main">
                  <a:graphicData uri="http://schemas.microsoft.com/office/word/2010/wordprocessingShape">
                    <wps:wsp>
                      <wps:cNvSpPr/>
                      <wps:spPr>
                        <a:xfrm>
                          <a:off x="0" y="0"/>
                          <a:ext cx="2495550" cy="209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3314C" id="Rectángulo 5" o:spid="_x0000_s1026" style="position:absolute;margin-left:39.45pt;margin-top:-.25pt;width:196.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" filled="f" strokecolor="red" strokeweight="2.25pt"/>
            </w:pict>
          </mc:Fallback>
        </mc:AlternateContent>
      </w:r>
      <w:r w:rsidRPr="00C32AEE">
        <w:rPr>
          <w:rFonts w:ascii="Palatino Linotype" w:hAnsi="Palatino Linotype" w:cs="Arial"/>
          <w:noProof/>
          <w:lang w:val="es-MX" w:eastAsia="es-MX"/>
        </w:rPr>
        <w:drawing>
          <wp:inline distT="0" distB="0" distL="0" distR="0">
            <wp:extent cx="5251872" cy="214312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E0C386.tmp"/>
                    <pic:cNvPicPr/>
                  </pic:nvPicPr>
                  <pic:blipFill>
                    <a:blip r:embed="rId7">
                      <a:extLst>
                        <a:ext uri="{28A0092B-C50C-407E-A947-70E740481C1C}">
                          <a14:useLocalDpi xmlns:a14="http://schemas.microsoft.com/office/drawing/2010/main" val="0"/>
                        </a:ext>
                      </a:extLst>
                    </a:blip>
                    <a:stretch>
                      <a:fillRect/>
                    </a:stretch>
                  </pic:blipFill>
                  <pic:spPr>
                    <a:xfrm>
                      <a:off x="0" y="0"/>
                      <a:ext cx="5262654" cy="2147525"/>
                    </a:xfrm>
                    <a:prstGeom prst="rect">
                      <a:avLst/>
                    </a:prstGeom>
                  </pic:spPr>
                </pic:pic>
              </a:graphicData>
            </a:graphic>
          </wp:inline>
        </w:drawing>
      </w:r>
    </w:p>
    <w:p w:rsidR="00D028F5" w:rsidRPr="00C32AEE" w:rsidRDefault="00D028F5" w:rsidP="00D028F5">
      <w:pPr>
        <w:pStyle w:val="Prrafodelista"/>
        <w:spacing w:line="360" w:lineRule="auto"/>
        <w:ind w:left="720"/>
        <w:jc w:val="both"/>
        <w:rPr>
          <w:rFonts w:ascii="Palatino Linotype" w:hAnsi="Palatino Linotype" w:cs="Arial"/>
        </w:rPr>
      </w:pPr>
      <w:r w:rsidRPr="00C32AEE">
        <w:rPr>
          <w:rFonts w:ascii="Palatino Linotype" w:hAnsi="Palatino Linotype" w:cs="Arial"/>
          <w:noProof/>
          <w:lang w:val="es-MX" w:eastAsia="es-MX"/>
        </w:rPr>
        <w:lastRenderedPageBreak/>
        <w:drawing>
          <wp:inline distT="0" distB="0" distL="0" distR="0">
            <wp:extent cx="5162550" cy="213652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E0FC2B.tmp"/>
                    <pic:cNvPicPr/>
                  </pic:nvPicPr>
                  <pic:blipFill>
                    <a:blip r:embed="rId8">
                      <a:extLst>
                        <a:ext uri="{28A0092B-C50C-407E-A947-70E740481C1C}">
                          <a14:useLocalDpi xmlns:a14="http://schemas.microsoft.com/office/drawing/2010/main" val="0"/>
                        </a:ext>
                      </a:extLst>
                    </a:blip>
                    <a:stretch>
                      <a:fillRect/>
                    </a:stretch>
                  </pic:blipFill>
                  <pic:spPr>
                    <a:xfrm>
                      <a:off x="0" y="0"/>
                      <a:ext cx="5188830" cy="2147405"/>
                    </a:xfrm>
                    <a:prstGeom prst="rect">
                      <a:avLst/>
                    </a:prstGeom>
                  </pic:spPr>
                </pic:pic>
              </a:graphicData>
            </a:graphic>
          </wp:inline>
        </w:drawing>
      </w:r>
    </w:p>
    <w:p w:rsidR="00B9066B" w:rsidRPr="00C32AEE" w:rsidRDefault="00B9066B" w:rsidP="00B906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B9066B" w:rsidRPr="00C32AEE" w:rsidRDefault="00B9066B" w:rsidP="00B906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C32AEE">
        <w:rPr>
          <w:rFonts w:ascii="Palatino Linotype" w:eastAsia="Palatino Linotype" w:hAnsi="Palatino Linotype" w:cs="Palatino Linotype"/>
          <w:color w:val="000000"/>
          <w:sz w:val="24"/>
          <w:lang w:val="es-ES_tradnl"/>
        </w:rPr>
        <w:t xml:space="preserve">Ahora bien, quedando establecido lo anterior, este Órgano Garante considera viable establecer si el informe justificado del Sujeto Obligado colma la pretensión del Recurrente. </w:t>
      </w:r>
    </w:p>
    <w:p w:rsidR="00B9066B" w:rsidRPr="00C32AEE" w:rsidRDefault="00B9066B" w:rsidP="00B906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253"/>
        <w:gridCol w:w="5245"/>
        <w:gridCol w:w="1544"/>
      </w:tblGrid>
      <w:tr w:rsidR="00B9066B" w:rsidRPr="00C32AEE" w:rsidTr="002637E2">
        <w:trPr>
          <w:trHeight w:val="440"/>
        </w:trPr>
        <w:tc>
          <w:tcPr>
            <w:tcW w:w="2253" w:type="dxa"/>
            <w:shd w:val="clear" w:color="auto" w:fill="E7E6E6" w:themeFill="background2"/>
          </w:tcPr>
          <w:p w:rsidR="00B9066B" w:rsidRPr="00C32AEE" w:rsidRDefault="00B9066B" w:rsidP="00255D9E">
            <w:pPr>
              <w:spacing w:line="360" w:lineRule="auto"/>
              <w:jc w:val="center"/>
              <w:rPr>
                <w:rFonts w:ascii="Palatino Linotype" w:eastAsiaTheme="minorHAnsi" w:hAnsi="Palatino Linotype" w:cstheme="minorBidi"/>
                <w:b/>
                <w:i/>
                <w:color w:val="000000"/>
                <w:lang w:eastAsia="en-US"/>
              </w:rPr>
            </w:pPr>
            <w:r w:rsidRPr="00C32AEE">
              <w:rPr>
                <w:rFonts w:ascii="Palatino Linotype" w:eastAsiaTheme="minorHAnsi" w:hAnsi="Palatino Linotype" w:cstheme="minorBidi"/>
                <w:b/>
                <w:i/>
                <w:color w:val="000000"/>
                <w:lang w:eastAsia="en-US"/>
              </w:rPr>
              <w:t>Requerimientos</w:t>
            </w:r>
          </w:p>
        </w:tc>
        <w:tc>
          <w:tcPr>
            <w:tcW w:w="5245" w:type="dxa"/>
            <w:shd w:val="clear" w:color="auto" w:fill="E7E6E6" w:themeFill="background2"/>
          </w:tcPr>
          <w:p w:rsidR="00B9066B" w:rsidRPr="00C32AEE" w:rsidRDefault="00B9066B" w:rsidP="00255D9E">
            <w:pPr>
              <w:spacing w:line="360" w:lineRule="auto"/>
              <w:jc w:val="center"/>
              <w:rPr>
                <w:rFonts w:ascii="Palatino Linotype" w:eastAsiaTheme="minorHAnsi" w:hAnsi="Palatino Linotype" w:cstheme="minorBidi"/>
                <w:b/>
                <w:i/>
                <w:color w:val="000000"/>
                <w:lang w:eastAsia="en-US"/>
              </w:rPr>
            </w:pPr>
            <w:r w:rsidRPr="00C32AEE">
              <w:rPr>
                <w:rFonts w:ascii="Palatino Linotype" w:eastAsiaTheme="minorHAnsi" w:hAnsi="Palatino Linotype" w:cstheme="minorBidi"/>
                <w:b/>
                <w:i/>
                <w:color w:val="000000"/>
                <w:lang w:eastAsia="en-US"/>
              </w:rPr>
              <w:t>Informe Justificado</w:t>
            </w:r>
          </w:p>
        </w:tc>
        <w:tc>
          <w:tcPr>
            <w:tcW w:w="1544" w:type="dxa"/>
            <w:shd w:val="clear" w:color="auto" w:fill="E7E6E6" w:themeFill="background2"/>
          </w:tcPr>
          <w:p w:rsidR="00B9066B" w:rsidRPr="00C32AEE" w:rsidRDefault="00B9066B" w:rsidP="00255D9E">
            <w:pPr>
              <w:spacing w:line="360" w:lineRule="auto"/>
              <w:jc w:val="center"/>
              <w:rPr>
                <w:rFonts w:ascii="Palatino Linotype" w:eastAsiaTheme="minorHAnsi" w:hAnsi="Palatino Linotype" w:cstheme="minorBidi"/>
                <w:b/>
                <w:i/>
                <w:color w:val="000000"/>
                <w:lang w:eastAsia="en-US"/>
              </w:rPr>
            </w:pPr>
            <w:r w:rsidRPr="00C32AEE">
              <w:rPr>
                <w:rFonts w:ascii="Palatino Linotype" w:eastAsiaTheme="minorHAnsi" w:hAnsi="Palatino Linotype" w:cstheme="minorBidi"/>
                <w:b/>
                <w:i/>
                <w:color w:val="000000"/>
                <w:lang w:eastAsia="en-US"/>
              </w:rPr>
              <w:t>Colma</w:t>
            </w:r>
          </w:p>
        </w:tc>
      </w:tr>
      <w:tr w:rsidR="00B9066B" w:rsidRPr="00C32AEE" w:rsidTr="002637E2">
        <w:trPr>
          <w:trHeight w:val="1751"/>
        </w:trPr>
        <w:tc>
          <w:tcPr>
            <w:tcW w:w="2253" w:type="dxa"/>
          </w:tcPr>
          <w:p w:rsidR="00B9066B" w:rsidRPr="00C32AEE" w:rsidRDefault="00D028F5" w:rsidP="00255D9E">
            <w:pPr>
              <w:jc w:val="both"/>
              <w:rPr>
                <w:rFonts w:ascii="Palatino Linotype" w:eastAsiaTheme="minorHAnsi" w:hAnsi="Palatino Linotype" w:cstheme="minorBidi"/>
                <w:color w:val="000000"/>
                <w:lang w:eastAsia="en-US"/>
              </w:rPr>
            </w:pPr>
            <w:r w:rsidRPr="00C32AEE">
              <w:rPr>
                <w:rFonts w:ascii="Palatino Linotype" w:hAnsi="Palatino Linotype" w:cs="Arial"/>
              </w:rPr>
              <w:t>listado de adjudicaciones directas realizadas durante los ejercicios 2025 y 2026, indicando: Justificación Fundamento legal Proveedor Monto</w:t>
            </w:r>
          </w:p>
        </w:tc>
        <w:tc>
          <w:tcPr>
            <w:tcW w:w="5245" w:type="dxa"/>
          </w:tcPr>
          <w:p w:rsidR="00B9066B" w:rsidRPr="00C32AEE" w:rsidRDefault="002637E2" w:rsidP="00175F6F">
            <w:pPr>
              <w:spacing w:after="160"/>
              <w:jc w:val="both"/>
              <w:rPr>
                <w:rFonts w:ascii="Palatino Linotype" w:eastAsia="Times New Roman" w:hAnsi="Palatino Linotype" w:cs="Times New Roman"/>
                <w:color w:val="000000"/>
                <w:lang w:val="es-ES" w:eastAsia="es-ES"/>
              </w:rPr>
            </w:pPr>
            <w:r w:rsidRPr="00C32AEE">
              <w:rPr>
                <w:rFonts w:ascii="Palatino Linotype" w:eastAsia="Times New Roman" w:hAnsi="Palatino Linotype" w:cs="Times New Roman"/>
                <w:color w:val="000000"/>
                <w:lang w:val="es-ES" w:eastAsia="es-ES"/>
              </w:rPr>
              <w:t xml:space="preserve">Informa que realizó 2 adjudicaciones directas indicando </w:t>
            </w:r>
            <w:r w:rsidR="00175F6F" w:rsidRPr="00C32AEE">
              <w:rPr>
                <w:rFonts w:ascii="Palatino Linotype" w:eastAsia="Times New Roman" w:hAnsi="Palatino Linotype" w:cs="Times New Roman"/>
                <w:color w:val="000000"/>
                <w:lang w:val="es-ES" w:eastAsia="es-ES"/>
              </w:rPr>
              <w:t xml:space="preserve">justificación, fundamento legal, proveedor y monto. </w:t>
            </w:r>
          </w:p>
        </w:tc>
        <w:tc>
          <w:tcPr>
            <w:tcW w:w="1544" w:type="dxa"/>
          </w:tcPr>
          <w:p w:rsidR="00B9066B" w:rsidRPr="00C32AEE" w:rsidRDefault="004E5009" w:rsidP="00255D9E">
            <w:pPr>
              <w:jc w:val="center"/>
              <w:rPr>
                <w:rFonts w:ascii="Palatino Linotype" w:eastAsiaTheme="minorHAnsi" w:hAnsi="Palatino Linotype" w:cstheme="minorBidi"/>
                <w:i/>
                <w:color w:val="000000"/>
                <w:lang w:eastAsia="en-US"/>
              </w:rPr>
            </w:pPr>
            <w:r w:rsidRPr="00C32AEE">
              <w:rPr>
                <w:rFonts w:ascii="Palatino Linotype" w:eastAsiaTheme="minorHAnsi" w:hAnsi="Palatino Linotype" w:cstheme="minorBidi"/>
                <w:i/>
                <w:color w:val="000000"/>
                <w:lang w:eastAsia="en-US"/>
              </w:rPr>
              <w:t>Sí</w:t>
            </w:r>
          </w:p>
        </w:tc>
      </w:tr>
    </w:tbl>
    <w:p w:rsidR="00B9066B" w:rsidRPr="00C32AEE" w:rsidRDefault="00B9066B" w:rsidP="00B9066B">
      <w:pPr>
        <w:spacing w:after="0" w:line="360" w:lineRule="auto"/>
        <w:jc w:val="both"/>
        <w:rPr>
          <w:rFonts w:ascii="Palatino Linotype" w:eastAsia="Palatino Linotype" w:hAnsi="Palatino Linotype" w:cs="Palatino Linotype"/>
          <w:sz w:val="24"/>
          <w:szCs w:val="24"/>
          <w:lang w:eastAsia="en-US"/>
        </w:rPr>
      </w:pPr>
    </w:p>
    <w:p w:rsidR="00CF1262" w:rsidRPr="00C32AEE" w:rsidRDefault="00CF1262" w:rsidP="00CF1262">
      <w:pPr>
        <w:autoSpaceDE w:val="0"/>
        <w:autoSpaceDN w:val="0"/>
        <w:adjustRightInd w:val="0"/>
        <w:spacing w:before="240" w:line="360" w:lineRule="auto"/>
        <w:jc w:val="both"/>
        <w:rPr>
          <w:rFonts w:ascii="Palatino Linotype" w:hAnsi="Palatino Linotype" w:cs="Arial"/>
          <w:sz w:val="24"/>
        </w:rPr>
      </w:pPr>
      <w:r w:rsidRPr="00C32AEE">
        <w:rPr>
          <w:rFonts w:ascii="Palatino Linotype" w:hAnsi="Palatino Linotype" w:cs="Arial"/>
          <w:sz w:val="24"/>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rsidR="00CF1262" w:rsidRPr="00C32AEE" w:rsidRDefault="00CF1262" w:rsidP="00CF1262">
      <w:pPr>
        <w:spacing w:after="0" w:line="240" w:lineRule="auto"/>
        <w:rPr>
          <w:rFonts w:ascii="Times New Roman" w:eastAsia="Times New Roman" w:hAnsi="Times New Roman" w:cs="Times New Roman"/>
          <w:sz w:val="24"/>
          <w:szCs w:val="24"/>
          <w:lang w:eastAsia="es-ES"/>
        </w:rPr>
      </w:pPr>
    </w:p>
    <w:p w:rsidR="00CF1262" w:rsidRPr="00C32AEE" w:rsidRDefault="00CF1262" w:rsidP="00CF1262">
      <w:pPr>
        <w:spacing w:after="0" w:line="240" w:lineRule="auto"/>
        <w:ind w:left="851" w:right="850"/>
        <w:jc w:val="both"/>
        <w:rPr>
          <w:rFonts w:ascii="Palatino Linotype" w:eastAsia="Times New Roman" w:hAnsi="Palatino Linotype" w:cs="Times New Roman"/>
          <w:i/>
          <w:lang w:eastAsia="es-ES"/>
        </w:rPr>
      </w:pPr>
      <w:r w:rsidRPr="00C32AEE">
        <w:rPr>
          <w:rFonts w:ascii="Palatino Linotype" w:eastAsia="Times New Roman" w:hAnsi="Palatino Linotype" w:cs="Times New Roman"/>
          <w:lang w:eastAsia="es-ES"/>
        </w:rPr>
        <w:t>“</w:t>
      </w:r>
      <w:r w:rsidRPr="00C32AEE">
        <w:rPr>
          <w:rFonts w:ascii="Palatino Linotype" w:eastAsia="Times New Roman" w:hAnsi="Palatino Linotype" w:cs="Times New Roman"/>
          <w:b/>
          <w:i/>
          <w:lang w:eastAsia="es-ES"/>
        </w:rPr>
        <w:t>Artículo 12.</w:t>
      </w:r>
      <w:r w:rsidRPr="00C32AE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 </w:t>
      </w:r>
    </w:p>
    <w:p w:rsidR="00CF1262" w:rsidRPr="00C32AEE" w:rsidRDefault="00CF1262" w:rsidP="00CF1262">
      <w:pPr>
        <w:spacing w:after="0" w:line="240" w:lineRule="auto"/>
        <w:ind w:left="851" w:right="850"/>
        <w:jc w:val="both"/>
        <w:rPr>
          <w:rFonts w:ascii="Palatino Linotype" w:eastAsia="Times New Roman" w:hAnsi="Palatino Linotype" w:cs="Times New Roman"/>
          <w:i/>
          <w:lang w:eastAsia="es-ES"/>
        </w:rPr>
      </w:pPr>
    </w:p>
    <w:p w:rsidR="00CF1262" w:rsidRPr="00C32AEE" w:rsidRDefault="00CF1262" w:rsidP="00CF1262">
      <w:pPr>
        <w:spacing w:after="0" w:line="240" w:lineRule="auto"/>
        <w:ind w:left="851" w:right="850"/>
        <w:jc w:val="both"/>
        <w:rPr>
          <w:rFonts w:ascii="Palatino Linotype" w:eastAsia="Times New Roman" w:hAnsi="Palatino Linotype" w:cs="Times New Roman"/>
          <w:lang w:eastAsia="es-ES"/>
        </w:rPr>
      </w:pPr>
      <w:r w:rsidRPr="00C32AEE">
        <w:rPr>
          <w:rFonts w:ascii="Palatino Linotype" w:eastAsia="Times New Roman" w:hAnsi="Palatino Linotype" w:cs="Times New Roman"/>
          <w:b/>
          <w:i/>
          <w:u w:val="single"/>
          <w:lang w:eastAsia="es-ES"/>
        </w:rPr>
        <w:t>Los sujetos obligados sólo proporcionarán la información pública que se les requiera y que obre en sus archivos</w:t>
      </w:r>
      <w:r w:rsidRPr="00C32AEE">
        <w:rPr>
          <w:rFonts w:ascii="Palatino Linotype" w:eastAsia="Times New Roman" w:hAnsi="Palatino Linotype" w:cs="Times New Roman"/>
          <w:i/>
          <w:lang w:eastAsia="es-E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rsidR="00CF1262" w:rsidRPr="00C32AEE" w:rsidRDefault="00CF1262" w:rsidP="00CF1262">
      <w:pPr>
        <w:autoSpaceDE w:val="0"/>
        <w:autoSpaceDN w:val="0"/>
        <w:adjustRightInd w:val="0"/>
        <w:spacing w:after="0" w:line="360" w:lineRule="auto"/>
        <w:jc w:val="both"/>
        <w:rPr>
          <w:rFonts w:ascii="Palatino Linotype" w:hAnsi="Palatino Linotype"/>
          <w:sz w:val="24"/>
        </w:rPr>
      </w:pPr>
    </w:p>
    <w:p w:rsidR="00CF1262" w:rsidRPr="00C32AEE" w:rsidRDefault="00CF1262" w:rsidP="00CF1262">
      <w:pPr>
        <w:autoSpaceDE w:val="0"/>
        <w:autoSpaceDN w:val="0"/>
        <w:adjustRightInd w:val="0"/>
        <w:spacing w:after="0" w:line="360" w:lineRule="auto"/>
        <w:jc w:val="both"/>
        <w:rPr>
          <w:rFonts w:ascii="Palatino Linotype" w:hAnsi="Palatino Linotype"/>
          <w:sz w:val="24"/>
        </w:rPr>
      </w:pPr>
      <w:r w:rsidRPr="00C32AEE">
        <w:rPr>
          <w:rFonts w:ascii="Palatino Linotype" w:hAnsi="Palatino Linotype"/>
          <w:sz w:val="24"/>
        </w:rPr>
        <w:t xml:space="preserve">En esa virtud, del análisis efectuado a las manifestaciones esgrimidas mediante su informe justificado, se advierte que </w:t>
      </w:r>
      <w:r w:rsidRPr="00C32AEE">
        <w:rPr>
          <w:rFonts w:ascii="Palatino Linotype" w:hAnsi="Palatino Linotype"/>
          <w:b/>
          <w:sz w:val="24"/>
        </w:rPr>
        <w:t>El Sujeto Obligado</w:t>
      </w:r>
      <w:r w:rsidRPr="00C32AEE">
        <w:rPr>
          <w:rFonts w:ascii="Palatino Linotype" w:hAnsi="Palatino Linotype"/>
          <w:sz w:val="24"/>
        </w:rPr>
        <w:t xml:space="preserve"> colma en su totalidad lo solicitado por la particular, como se desarrolló en los párrafos anteriores.</w:t>
      </w:r>
    </w:p>
    <w:p w:rsidR="00CF1262" w:rsidRPr="00C32AEE" w:rsidRDefault="00CF1262" w:rsidP="00CF1262">
      <w:pPr>
        <w:autoSpaceDE w:val="0"/>
        <w:autoSpaceDN w:val="0"/>
        <w:adjustRightInd w:val="0"/>
        <w:spacing w:after="0" w:line="360" w:lineRule="auto"/>
        <w:jc w:val="both"/>
        <w:rPr>
          <w:rFonts w:ascii="Palatino Linotype" w:hAnsi="Palatino Linotype"/>
          <w:sz w:val="24"/>
        </w:rPr>
      </w:pPr>
    </w:p>
    <w:p w:rsidR="00CF1262" w:rsidRPr="00C32AEE" w:rsidRDefault="00CF1262" w:rsidP="00CF1262">
      <w:pPr>
        <w:spacing w:line="360" w:lineRule="auto"/>
        <w:jc w:val="both"/>
        <w:rPr>
          <w:rFonts w:ascii="Palatino Linotype" w:hAnsi="Palatino Linotype" w:cs="Arial"/>
          <w:color w:val="000000"/>
          <w:sz w:val="24"/>
        </w:rPr>
      </w:pPr>
      <w:r w:rsidRPr="00C32AEE">
        <w:rPr>
          <w:rFonts w:ascii="Palatino Linotype" w:hAnsi="Palatino Linotype" w:cs="Arial"/>
          <w:color w:val="000000"/>
          <w:sz w:val="24"/>
        </w:rPr>
        <w:t>En síntesis, el derecho de acceso a la información pública se satisface en aquellos casos en que se entregue el soporte documental en que conste la información pública, toda vez que, los Sujetos Obligados</w:t>
      </w:r>
      <w:r w:rsidRPr="00C32AEE">
        <w:rPr>
          <w:rFonts w:ascii="Palatino Linotype" w:hAnsi="Palatino Linotype" w:cs="Arial"/>
          <w:b/>
          <w:color w:val="000000"/>
          <w:sz w:val="24"/>
        </w:rPr>
        <w:t xml:space="preserve"> </w:t>
      </w:r>
      <w:r w:rsidRPr="00C32AEE">
        <w:rPr>
          <w:rFonts w:ascii="Palatino Linotype" w:hAnsi="Palatino Linotype" w:cs="Arial"/>
          <w:color w:val="000000"/>
          <w:sz w:val="24"/>
        </w:rPr>
        <w:t xml:space="preserve">no tienen el deber de generar, poseer o administrar la información pública con el grado de detalle solicitado; esto es, que no tienen el deber </w:t>
      </w:r>
      <w:r w:rsidRPr="00C32AEE">
        <w:rPr>
          <w:rFonts w:ascii="Palatino Linotype" w:hAnsi="Palatino Linotype" w:cs="Arial"/>
          <w:color w:val="000000"/>
          <w:sz w:val="24"/>
        </w:rPr>
        <w:lastRenderedPageBreak/>
        <w:t xml:space="preserve">de generar un documento </w:t>
      </w:r>
      <w:r w:rsidRPr="00C32AEE">
        <w:rPr>
          <w:rFonts w:ascii="Palatino Linotype" w:hAnsi="Palatino Linotype" w:cs="Arial"/>
          <w:i/>
          <w:color w:val="000000"/>
          <w:sz w:val="24"/>
        </w:rPr>
        <w:t>ad hoc</w:t>
      </w:r>
      <w:r w:rsidRPr="00C32AEE">
        <w:rPr>
          <w:rFonts w:ascii="Palatino Linotype" w:hAnsi="Palatino Linotype" w:cs="Arial"/>
          <w:color w:val="000000"/>
          <w:sz w:val="24"/>
        </w:rPr>
        <w:t>, para satisfacer el derecho de acceso a la información pública.</w:t>
      </w:r>
    </w:p>
    <w:p w:rsidR="00CF1262" w:rsidRPr="00C32AEE" w:rsidRDefault="00CF1262" w:rsidP="00CF1262">
      <w:pPr>
        <w:pStyle w:val="Sinespaciado"/>
      </w:pPr>
    </w:p>
    <w:p w:rsidR="00CF1262" w:rsidRPr="00C32AEE" w:rsidRDefault="00CF1262" w:rsidP="00CF1262">
      <w:pPr>
        <w:spacing w:line="360" w:lineRule="auto"/>
        <w:jc w:val="both"/>
        <w:rPr>
          <w:rFonts w:ascii="Palatino Linotype" w:hAnsi="Palatino Linotype" w:cs="Arial"/>
          <w:color w:val="000000"/>
          <w:sz w:val="24"/>
        </w:rPr>
      </w:pPr>
      <w:r w:rsidRPr="00C32AEE">
        <w:rPr>
          <w:rFonts w:ascii="Palatino Linotype" w:hAnsi="Palatino Linotype" w:cs="Arial"/>
          <w:color w:val="000000"/>
          <w:sz w:val="24"/>
        </w:rPr>
        <w:t xml:space="preserve">Como apoyo a lo anterior, es aplicable el Criterio 03-17, emitido por </w:t>
      </w:r>
      <w:r w:rsidRPr="00C32AEE">
        <w:rPr>
          <w:rFonts w:ascii="Palatino Linotype" w:eastAsia="Arial Unicode MS" w:hAnsi="Palatino Linotype" w:cs="Arial"/>
          <w:color w:val="000000"/>
          <w:sz w:val="24"/>
        </w:rPr>
        <w:t>el Instituto Nacional de Transparencia, Acceso a la Información y Protección de Datos Personales,</w:t>
      </w:r>
      <w:r w:rsidRPr="00C32AEE">
        <w:rPr>
          <w:rFonts w:ascii="Palatino Linotype" w:hAnsi="Palatino Linotype"/>
          <w:bCs/>
          <w:color w:val="000000"/>
          <w:sz w:val="24"/>
        </w:rPr>
        <w:t xml:space="preserve"> que dice:</w:t>
      </w:r>
      <w:r w:rsidRPr="00C32AEE">
        <w:rPr>
          <w:rFonts w:ascii="Palatino Linotype" w:hAnsi="Palatino Linotype"/>
          <w:b/>
          <w:bCs/>
          <w:color w:val="000000"/>
          <w:sz w:val="24"/>
        </w:rPr>
        <w:t xml:space="preserve"> </w:t>
      </w:r>
    </w:p>
    <w:p w:rsidR="00CF1262" w:rsidRPr="00C32AEE" w:rsidRDefault="00CF1262" w:rsidP="00CF1262">
      <w:pPr>
        <w:ind w:left="851" w:right="850"/>
        <w:jc w:val="both"/>
        <w:rPr>
          <w:rFonts w:ascii="Palatino Linotype" w:hAnsi="Palatino Linotype" w:cs="Arial"/>
          <w:color w:val="000000"/>
          <w:sz w:val="2"/>
        </w:rPr>
      </w:pPr>
    </w:p>
    <w:p w:rsidR="00CF1262" w:rsidRPr="00C32AEE" w:rsidRDefault="00CF1262" w:rsidP="00CF1262">
      <w:pPr>
        <w:ind w:left="567" w:right="567"/>
        <w:jc w:val="both"/>
        <w:rPr>
          <w:rFonts w:ascii="Palatino Linotype" w:hAnsi="Palatino Linotype" w:cs="Arial"/>
          <w:i/>
          <w:color w:val="000000"/>
        </w:rPr>
      </w:pPr>
      <w:r w:rsidRPr="00C32AEE">
        <w:rPr>
          <w:rFonts w:ascii="Palatino Linotype" w:hAnsi="Palatino Linotype" w:cs="Arial"/>
          <w:i/>
          <w:color w:val="000000"/>
        </w:rPr>
        <w:t>“</w:t>
      </w:r>
      <w:r w:rsidRPr="00C32AEE">
        <w:rPr>
          <w:rFonts w:ascii="Palatino Linotype" w:hAnsi="Palatino Linotype" w:cs="Arial"/>
          <w:b/>
          <w:i/>
          <w:color w:val="000000"/>
        </w:rPr>
        <w:t>No existe obligación de elaborar documentos ad hoc para atender las solicitudes de acceso a la información.</w:t>
      </w:r>
      <w:r w:rsidRPr="00C32AEE">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CF1262" w:rsidRPr="00C32AEE" w:rsidRDefault="00CF1262" w:rsidP="00CF1262">
      <w:pPr>
        <w:ind w:left="567" w:right="567"/>
        <w:jc w:val="both"/>
        <w:rPr>
          <w:rFonts w:ascii="Palatino Linotype" w:hAnsi="Palatino Linotype" w:cs="Arial"/>
          <w:i/>
          <w:color w:val="000000"/>
          <w:sz w:val="2"/>
        </w:rPr>
      </w:pPr>
    </w:p>
    <w:p w:rsidR="00CF1262" w:rsidRPr="00C32AEE" w:rsidRDefault="00CF1262" w:rsidP="00CF1262">
      <w:pPr>
        <w:ind w:left="567" w:right="567"/>
        <w:jc w:val="both"/>
        <w:rPr>
          <w:rFonts w:ascii="Palatino Linotype" w:hAnsi="Palatino Linotype" w:cs="Arial"/>
          <w:i/>
          <w:color w:val="000000"/>
        </w:rPr>
      </w:pPr>
      <w:r w:rsidRPr="00C32AEE">
        <w:rPr>
          <w:rFonts w:ascii="Palatino Linotype" w:hAnsi="Palatino Linotype" w:cs="Arial"/>
          <w:i/>
          <w:color w:val="000000"/>
        </w:rPr>
        <w:t xml:space="preserve">Resoluciones: </w:t>
      </w:r>
    </w:p>
    <w:p w:rsidR="00CF1262" w:rsidRPr="00C32AEE" w:rsidRDefault="00CF1262" w:rsidP="00CF1262">
      <w:pPr>
        <w:spacing w:line="240" w:lineRule="auto"/>
        <w:ind w:left="567" w:right="567"/>
        <w:jc w:val="both"/>
        <w:rPr>
          <w:rFonts w:ascii="Palatino Linotype" w:hAnsi="Palatino Linotype" w:cs="Arial"/>
          <w:i/>
          <w:color w:val="000000"/>
        </w:rPr>
      </w:pPr>
      <w:r w:rsidRPr="00C32AEE">
        <w:rPr>
          <w:rFonts w:ascii="Palatino Linotype" w:hAnsi="Palatino Linotype" w:cs="Arial"/>
          <w:i/>
          <w:color w:val="000000"/>
        </w:rPr>
        <w:sym w:font="Symbol" w:char="F0B7"/>
      </w:r>
      <w:r w:rsidRPr="00C32AEE">
        <w:rPr>
          <w:rFonts w:ascii="Palatino Linotype" w:hAnsi="Palatino Linotype" w:cs="Arial"/>
          <w:i/>
          <w:color w:val="000000"/>
        </w:rPr>
        <w:t xml:space="preserve"> RRA 0050/16. Instituto Nacional para la Evaluación de la Educación. 13 julio de 2016. Por unanimidad. Comisionado Ponente: Francisco Javier Acuña Llamas.</w:t>
      </w:r>
    </w:p>
    <w:p w:rsidR="00CF1262" w:rsidRPr="00C32AEE" w:rsidRDefault="00CF1262" w:rsidP="00CF1262">
      <w:pPr>
        <w:spacing w:line="240" w:lineRule="auto"/>
        <w:ind w:left="567" w:right="567"/>
        <w:jc w:val="both"/>
        <w:rPr>
          <w:rFonts w:ascii="Palatino Linotype" w:hAnsi="Palatino Linotype" w:cs="Arial"/>
          <w:i/>
          <w:color w:val="000000"/>
        </w:rPr>
      </w:pPr>
      <w:r w:rsidRPr="00C32AEE">
        <w:rPr>
          <w:rFonts w:ascii="Palatino Linotype" w:hAnsi="Palatino Linotype" w:cs="Arial"/>
          <w:i/>
          <w:color w:val="000000"/>
        </w:rPr>
        <w:sym w:font="Symbol" w:char="F0B7"/>
      </w:r>
      <w:r w:rsidRPr="00C32AEE">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rsidR="00CF1262" w:rsidRPr="00C32AEE" w:rsidRDefault="00CF1262" w:rsidP="00CF1262">
      <w:pPr>
        <w:spacing w:line="240" w:lineRule="auto"/>
        <w:ind w:left="567" w:right="567"/>
        <w:jc w:val="both"/>
        <w:rPr>
          <w:rFonts w:ascii="Palatino Linotype" w:hAnsi="Palatino Linotype" w:cs="Arial"/>
          <w:i/>
          <w:color w:val="000000"/>
        </w:rPr>
      </w:pPr>
      <w:r w:rsidRPr="00C32AEE">
        <w:rPr>
          <w:rFonts w:ascii="Palatino Linotype" w:hAnsi="Palatino Linotype" w:cs="Arial"/>
          <w:i/>
          <w:color w:val="000000"/>
        </w:rPr>
        <w:sym w:font="Symbol" w:char="F0B7"/>
      </w:r>
      <w:r w:rsidRPr="00C32AEE">
        <w:rPr>
          <w:rFonts w:ascii="Palatino Linotype" w:hAnsi="Palatino Linotype" w:cs="Arial"/>
          <w:i/>
          <w:color w:val="000000"/>
        </w:rPr>
        <w:t xml:space="preserve"> RRA 1889/16. Secretaría de Hacienda y Crédito Público. 05 de octubre de 2016. Por unanimidad. Comisionada Ponente. Ximena Puente de la Mora.”</w:t>
      </w:r>
    </w:p>
    <w:p w:rsidR="00CF1262" w:rsidRPr="00C32AEE" w:rsidRDefault="00CF1262" w:rsidP="00CF1262">
      <w:pPr>
        <w:tabs>
          <w:tab w:val="left" w:pos="2925"/>
        </w:tabs>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ab/>
      </w: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Aunado a lo antes expuesto, la respuesta emitida por </w:t>
      </w:r>
      <w:r w:rsidRPr="00C32AEE">
        <w:rPr>
          <w:rFonts w:ascii="Palatino Linotype" w:hAnsi="Palatino Linotype" w:cs="Arial"/>
          <w:b/>
          <w:sz w:val="24"/>
          <w:szCs w:val="24"/>
        </w:rPr>
        <w:t>El Sujeto Obligado</w:t>
      </w:r>
      <w:r w:rsidRPr="00C32AEE">
        <w:rPr>
          <w:rFonts w:ascii="Palatino Linotype" w:hAnsi="Palatino Linotype" w:cs="Arial"/>
          <w:sz w:val="24"/>
          <w:szCs w:val="24"/>
        </w:rPr>
        <w:t xml:space="preserve"> tiene la presunción legal de ser verídica, considerado que fue emitida por un servidor público </w:t>
      </w:r>
      <w:r w:rsidRPr="00C32AEE">
        <w:rPr>
          <w:rFonts w:ascii="Palatino Linotype" w:hAnsi="Palatino Linotype" w:cs="Arial"/>
          <w:sz w:val="24"/>
          <w:szCs w:val="24"/>
        </w:rPr>
        <w:lastRenderedPageBreak/>
        <w:t>en ejercicio de sus funciones, lo que conlleva la presunción de veracidad de todo acto administrativo.</w:t>
      </w:r>
    </w:p>
    <w:p w:rsidR="00CF1262" w:rsidRPr="00C32AEE" w:rsidRDefault="00CF1262" w:rsidP="00CF1262">
      <w:pPr>
        <w:spacing w:after="0"/>
        <w:rPr>
          <w:rFonts w:ascii="Palatino Linotype" w:hAnsi="Palatino Linotype"/>
          <w:sz w:val="28"/>
        </w:rPr>
      </w:pPr>
    </w:p>
    <w:p w:rsidR="00CF1262" w:rsidRPr="00C32AEE" w:rsidRDefault="00CF1262" w:rsidP="00CF1262">
      <w:pPr>
        <w:pStyle w:val="Sinespaciado"/>
        <w:spacing w:line="360" w:lineRule="auto"/>
        <w:jc w:val="both"/>
        <w:rPr>
          <w:rFonts w:ascii="Palatino Linotype" w:hAnsi="Palatino Linotype" w:cs="Arial"/>
          <w:bCs/>
          <w:sz w:val="24"/>
        </w:rPr>
      </w:pPr>
      <w:r w:rsidRPr="00C32AEE">
        <w:rPr>
          <w:rFonts w:ascii="Palatino Linotype" w:hAnsi="Palatino Linotype" w:cs="Arial"/>
          <w:bCs/>
          <w:sz w:val="24"/>
        </w:rPr>
        <w:t xml:space="preserve">Adicionalmente, es de destacar que este Órgano Garante no está facultado para manifestarse sobre la veracidad de lo afirmado por parte del </w:t>
      </w:r>
      <w:r w:rsidRPr="00C32AEE">
        <w:rPr>
          <w:rFonts w:ascii="Palatino Linotype" w:hAnsi="Palatino Linotype" w:cs="Arial"/>
          <w:b/>
          <w:bCs/>
          <w:sz w:val="24"/>
        </w:rPr>
        <w:t>Sujeto Obligado</w:t>
      </w:r>
      <w:r w:rsidRPr="00C32AEE">
        <w:rPr>
          <w:rFonts w:ascii="Palatino Linotype" w:hAnsi="Palatino Linotype" w:cs="Arial"/>
          <w:bCs/>
          <w:sz w:val="24"/>
        </w:rPr>
        <w:t xml:space="preserve"> pues no existe precepto legal alguno en la Ley de la materia que lo faculte para ello. </w:t>
      </w:r>
    </w:p>
    <w:p w:rsidR="00CF1262" w:rsidRPr="00C32AEE" w:rsidRDefault="00CF1262" w:rsidP="00CF1262">
      <w:pPr>
        <w:spacing w:after="0" w:line="360" w:lineRule="auto"/>
        <w:jc w:val="both"/>
        <w:rPr>
          <w:rFonts w:ascii="Palatino Linotype" w:eastAsia="Times New Roman" w:hAnsi="Palatino Linotype" w:cs="Arial"/>
          <w:sz w:val="24"/>
          <w:szCs w:val="24"/>
          <w:lang w:val="es-ES" w:eastAsia="es-ES"/>
        </w:rPr>
      </w:pPr>
    </w:p>
    <w:p w:rsidR="00CF1262" w:rsidRPr="00C32AEE" w:rsidRDefault="00CF1262" w:rsidP="00CF1262">
      <w:pPr>
        <w:spacing w:line="360" w:lineRule="auto"/>
        <w:ind w:right="51"/>
        <w:jc w:val="both"/>
        <w:rPr>
          <w:rFonts w:ascii="Palatino Linotype" w:hAnsi="Palatino Linotype" w:cs="Arial"/>
          <w:color w:val="000000" w:themeColor="text1"/>
          <w:sz w:val="24"/>
        </w:rPr>
      </w:pPr>
      <w:r w:rsidRPr="00C32AEE">
        <w:rPr>
          <w:rFonts w:ascii="Palatino Linotype" w:hAnsi="Palatino Linotype" w:cs="Arial"/>
          <w:sz w:val="24"/>
          <w:szCs w:val="24"/>
        </w:rPr>
        <w:t xml:space="preserve">En esa tesitura, de acuerdo a lo inmerso en el expediente que nos ocupa se advierte que </w:t>
      </w:r>
      <w:r w:rsidRPr="00C32AEE">
        <w:rPr>
          <w:rFonts w:ascii="Palatino Linotype" w:hAnsi="Palatino Linotype" w:cs="Arial"/>
          <w:b/>
          <w:sz w:val="24"/>
          <w:szCs w:val="24"/>
        </w:rPr>
        <w:t>El Sujeto Obligado</w:t>
      </w:r>
      <w:r w:rsidRPr="00C32AEE">
        <w:rPr>
          <w:rFonts w:ascii="Palatino Linotype" w:hAnsi="Palatino Linotype" w:cs="Arial"/>
          <w:sz w:val="24"/>
          <w:szCs w:val="24"/>
        </w:rPr>
        <w:t xml:space="preserve"> colmó los requerimientos, por lo tanto, el recurso ha quedado sin materia.</w:t>
      </w: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r w:rsidRPr="00C32AEE">
        <w:rPr>
          <w:rFonts w:ascii="Palatino Linotype" w:hAnsi="Palatino Linotype" w:cs="Arial"/>
          <w:sz w:val="24"/>
          <w:szCs w:val="24"/>
        </w:rPr>
        <w:t xml:space="preserve">Hasta lo aquí expuesto, se concluye que </w:t>
      </w:r>
      <w:r w:rsidRPr="00C32AEE">
        <w:rPr>
          <w:rFonts w:ascii="Palatino Linotype" w:hAnsi="Palatino Linotype" w:cs="Arial"/>
          <w:b/>
          <w:sz w:val="24"/>
          <w:szCs w:val="24"/>
        </w:rPr>
        <w:t>El Sujeto Obligado</w:t>
      </w:r>
      <w:r w:rsidRPr="00C32AEE">
        <w:rPr>
          <w:rFonts w:ascii="Palatino Linotype" w:hAnsi="Palatino Linotype" w:cs="Arial"/>
          <w:sz w:val="24"/>
          <w:szCs w:val="24"/>
        </w:rPr>
        <w:t xml:space="preserve"> satisfizo el derecho de acceso a la información mediante su informe justificado, actualizándose la fracción V, del artículo 192, de la Ley de Transparencia y Acceso a la Información Pública del Estado de México y Municipios</w:t>
      </w:r>
      <w:r w:rsidRPr="00C32AEE">
        <w:rPr>
          <w:rFonts w:ascii="Palatino Linotype" w:hAnsi="Palatino Linotype"/>
          <w:sz w:val="24"/>
          <w:szCs w:val="24"/>
        </w:rPr>
        <w:t xml:space="preserve">, por darse por satisfechos los elementos que integran dicha hipótesis, </w:t>
      </w:r>
      <w:r w:rsidRPr="00C32AEE">
        <w:rPr>
          <w:rFonts w:ascii="Palatino Linotype" w:hAnsi="Palatino Linotype" w:cs="Arial"/>
          <w:sz w:val="24"/>
          <w:szCs w:val="24"/>
        </w:rPr>
        <w:t xml:space="preserve">a saber: </w:t>
      </w:r>
    </w:p>
    <w:p w:rsidR="00CF1262" w:rsidRPr="00C32AEE" w:rsidRDefault="00CF1262" w:rsidP="00CF1262">
      <w:pPr>
        <w:autoSpaceDE w:val="0"/>
        <w:autoSpaceDN w:val="0"/>
        <w:adjustRightInd w:val="0"/>
        <w:spacing w:after="0" w:line="360" w:lineRule="auto"/>
        <w:jc w:val="both"/>
        <w:rPr>
          <w:rFonts w:ascii="Palatino Linotype" w:hAnsi="Palatino Linotype" w:cs="Arial"/>
          <w:sz w:val="24"/>
          <w:szCs w:val="24"/>
        </w:rPr>
      </w:pPr>
    </w:p>
    <w:p w:rsidR="00CF1262" w:rsidRPr="00C32AEE" w:rsidRDefault="00CF1262" w:rsidP="00CF1262">
      <w:pPr>
        <w:pStyle w:val="Prrafodelista"/>
        <w:numPr>
          <w:ilvl w:val="0"/>
          <w:numId w:val="9"/>
        </w:numPr>
        <w:tabs>
          <w:tab w:val="left" w:pos="709"/>
        </w:tabs>
        <w:spacing w:line="360" w:lineRule="auto"/>
        <w:ind w:right="51"/>
        <w:jc w:val="both"/>
        <w:rPr>
          <w:rFonts w:ascii="Palatino Linotype" w:hAnsi="Palatino Linotype" w:cs="Arial"/>
        </w:rPr>
      </w:pPr>
      <w:r w:rsidRPr="00C32AEE">
        <w:rPr>
          <w:rFonts w:ascii="Palatino Linotype" w:hAnsi="Palatino Linotype" w:cs="Arial"/>
        </w:rPr>
        <w:t xml:space="preserve">El primero de ellos es que el sujeto obligado responsable del acto lo modifique o revoque, lo que se demuestra con la documental remitida en el informe justificado de fecha </w:t>
      </w:r>
      <w:r w:rsidRPr="00C32AEE">
        <w:rPr>
          <w:rFonts w:ascii="Palatino Linotype" w:hAnsi="Palatino Linotype" w:cs="Arial"/>
          <w:b/>
        </w:rPr>
        <w:t xml:space="preserve">veinticinco de febrero de dos mil </w:t>
      </w:r>
      <w:r w:rsidRPr="00C32AEE">
        <w:rPr>
          <w:rFonts w:ascii="Palatino Linotype" w:eastAsia="Palatino Linotype" w:hAnsi="Palatino Linotype" w:cs="Palatino Linotype"/>
          <w:b/>
        </w:rPr>
        <w:t>veintiséis</w:t>
      </w:r>
      <w:r w:rsidRPr="00C32AEE">
        <w:rPr>
          <w:rFonts w:ascii="Palatino Linotype" w:hAnsi="Palatino Linotype" w:cs="Arial"/>
        </w:rPr>
        <w:t>, el cual deviene de la autoridad quien emitió el acto impugnado.</w:t>
      </w:r>
    </w:p>
    <w:p w:rsidR="00CF1262" w:rsidRPr="00C32AEE" w:rsidRDefault="00CF1262" w:rsidP="00CF1262">
      <w:pPr>
        <w:pStyle w:val="Sinespaciado"/>
      </w:pPr>
    </w:p>
    <w:p w:rsidR="00CF1262" w:rsidRPr="00C32AEE" w:rsidRDefault="00CF1262" w:rsidP="00CF1262">
      <w:pPr>
        <w:pStyle w:val="Prrafodelista"/>
        <w:numPr>
          <w:ilvl w:val="0"/>
          <w:numId w:val="9"/>
        </w:numPr>
        <w:spacing w:line="360" w:lineRule="auto"/>
        <w:ind w:right="51"/>
        <w:jc w:val="both"/>
        <w:rPr>
          <w:rFonts w:ascii="Palatino Linotype" w:hAnsi="Palatino Linotype"/>
        </w:rPr>
      </w:pPr>
      <w:r w:rsidRPr="00C32AEE">
        <w:rPr>
          <w:rFonts w:ascii="Palatino Linotype" w:hAnsi="Palatino Linotype" w:cs="Arial"/>
        </w:rPr>
        <w:t xml:space="preserve">Por lo que hace al segundo elemento inmerso en el numeral en comento, se requiere que el recurso de revisión se quede sin materia, lo cual se actualiza con las líneas argumentativas inmersas en el presente considerando, atendiendo a </w:t>
      </w:r>
      <w:r w:rsidRPr="00C32AEE">
        <w:rPr>
          <w:rFonts w:ascii="Palatino Linotype" w:hAnsi="Palatino Linotype" w:cs="Arial"/>
        </w:rPr>
        <w:lastRenderedPageBreak/>
        <w:t xml:space="preserve">que la materia del recurso de revisión se hizo consistir en la entrega de la factura de una máquina. </w:t>
      </w:r>
    </w:p>
    <w:p w:rsidR="00CF1262" w:rsidRPr="00C32AEE" w:rsidRDefault="00CF1262" w:rsidP="00CF1262">
      <w:pPr>
        <w:autoSpaceDE w:val="0"/>
        <w:autoSpaceDN w:val="0"/>
        <w:adjustRightInd w:val="0"/>
        <w:spacing w:after="0" w:line="360" w:lineRule="auto"/>
        <w:jc w:val="both"/>
        <w:rPr>
          <w:rFonts w:ascii="Palatino Linotype" w:hAnsi="Palatino Linotype" w:cs="Arial"/>
          <w:sz w:val="24"/>
        </w:rPr>
      </w:pPr>
    </w:p>
    <w:p w:rsidR="00CF1262" w:rsidRPr="00C32AEE" w:rsidRDefault="00CF1262" w:rsidP="00CF1262">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32AEE">
        <w:rPr>
          <w:rFonts w:ascii="Palatino Linotype" w:hAnsi="Palatino Linotype" w:cs="Arial"/>
          <w:sz w:val="24"/>
        </w:rPr>
        <w:t xml:space="preserve">En conclusión, la ley de la materia establece </w:t>
      </w:r>
      <w:r w:rsidRPr="00C32AEE">
        <w:rPr>
          <w:rFonts w:ascii="Palatino Linotype" w:eastAsia="Times New Roman" w:hAnsi="Palatino Linotype" w:cs="Arial"/>
          <w:sz w:val="24"/>
          <w:szCs w:val="24"/>
          <w:lang w:val="es-ES" w:eastAsia="es-ES"/>
        </w:rPr>
        <w:t>en la fracción V, del artículo 192, de la Ley de Transparencia vigente en la entidad, que a la letra establecen:</w:t>
      </w:r>
    </w:p>
    <w:p w:rsidR="00CF1262" w:rsidRPr="00C32AEE" w:rsidRDefault="00CF1262" w:rsidP="00CF1262">
      <w:pPr>
        <w:spacing w:after="0"/>
        <w:rPr>
          <w:lang w:val="es-ES" w:eastAsia="es-ES"/>
        </w:rPr>
      </w:pPr>
    </w:p>
    <w:p w:rsidR="00CF1262" w:rsidRPr="00C32AEE" w:rsidRDefault="00CF1262" w:rsidP="00CF1262">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C32AEE">
        <w:rPr>
          <w:rFonts w:ascii="Palatino Linotype" w:eastAsia="Times New Roman" w:hAnsi="Palatino Linotype" w:cs="Times New Roman"/>
          <w:b/>
          <w:i/>
          <w:szCs w:val="24"/>
          <w:lang w:val="es-ES" w:eastAsia="es-ES"/>
        </w:rPr>
        <w:t xml:space="preserve">“Artículo 192. </w:t>
      </w:r>
      <w:r w:rsidRPr="00C32AEE">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C32AEE">
        <w:rPr>
          <w:rFonts w:ascii="Palatino Linotype" w:eastAsia="Times New Roman" w:hAnsi="Palatino Linotype" w:cs="Times New Roman"/>
          <w:i/>
          <w:szCs w:val="24"/>
          <w:lang w:val="es-ES" w:eastAsia="es-ES"/>
        </w:rPr>
        <w:t>:</w:t>
      </w:r>
    </w:p>
    <w:p w:rsidR="00CF1262" w:rsidRPr="00C32AEE" w:rsidRDefault="00CF1262" w:rsidP="00CF1262">
      <w:pPr>
        <w:numPr>
          <w:ilvl w:val="0"/>
          <w:numId w:val="10"/>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C32AEE">
        <w:rPr>
          <w:rFonts w:ascii="Palatino Linotype" w:eastAsia="Times New Roman" w:hAnsi="Palatino Linotype" w:cs="Times New Roman"/>
          <w:i/>
          <w:szCs w:val="24"/>
          <w:lang w:val="es-ES" w:eastAsia="es-ES"/>
        </w:rPr>
        <w:t xml:space="preserve">El recurrente se desista expresamente del recurso; </w:t>
      </w:r>
    </w:p>
    <w:p w:rsidR="00CF1262" w:rsidRPr="00C32AEE" w:rsidRDefault="00CF1262" w:rsidP="00CF1262">
      <w:pPr>
        <w:numPr>
          <w:ilvl w:val="0"/>
          <w:numId w:val="10"/>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32AEE">
        <w:rPr>
          <w:rFonts w:ascii="Palatino Linotype" w:eastAsia="Times New Roman" w:hAnsi="Palatino Linotype" w:cs="Times New Roman"/>
          <w:i/>
          <w:szCs w:val="24"/>
          <w:lang w:val="es-ES" w:eastAsia="es-ES"/>
        </w:rPr>
        <w:t xml:space="preserve">El recurrente fallezca o, tratándose de personas jurídicas colectivas, se disuelva; </w:t>
      </w:r>
    </w:p>
    <w:p w:rsidR="00CF1262" w:rsidRPr="00C32AEE" w:rsidRDefault="00CF1262" w:rsidP="00CF1262">
      <w:pPr>
        <w:numPr>
          <w:ilvl w:val="0"/>
          <w:numId w:val="10"/>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32AEE">
        <w:rPr>
          <w:rFonts w:ascii="Palatino Linotype" w:eastAsia="Times New Roman" w:hAnsi="Palatino Linotype" w:cs="Times New Roman"/>
          <w:i/>
          <w:szCs w:val="24"/>
          <w:lang w:val="es-ES" w:eastAsia="es-ES"/>
        </w:rPr>
        <w:t xml:space="preserve">El sujeto obligado responsable del acto lo modifique o revoque de tal manera que el recurso de revisión quede sin materia; </w:t>
      </w:r>
    </w:p>
    <w:p w:rsidR="00CF1262" w:rsidRPr="00C32AEE" w:rsidRDefault="00CF1262" w:rsidP="00CF1262">
      <w:pPr>
        <w:numPr>
          <w:ilvl w:val="0"/>
          <w:numId w:val="10"/>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C32AEE">
        <w:rPr>
          <w:rFonts w:ascii="Palatino Linotype" w:eastAsia="Times New Roman" w:hAnsi="Palatino Linotype" w:cs="Times New Roman"/>
          <w:i/>
          <w:szCs w:val="24"/>
          <w:lang w:val="es-ES" w:eastAsia="es-ES"/>
        </w:rPr>
        <w:t xml:space="preserve">Admitido el recurso de revisión, aparezca alguna causal de improcedencia en los términos de la presente Ley; y </w:t>
      </w:r>
    </w:p>
    <w:p w:rsidR="00CF1262" w:rsidRPr="00C32AEE" w:rsidRDefault="00CF1262" w:rsidP="00CF1262">
      <w:pPr>
        <w:numPr>
          <w:ilvl w:val="0"/>
          <w:numId w:val="10"/>
        </w:numPr>
        <w:autoSpaceDE w:val="0"/>
        <w:autoSpaceDN w:val="0"/>
        <w:adjustRightInd w:val="0"/>
        <w:spacing w:after="0" w:line="240" w:lineRule="auto"/>
        <w:jc w:val="both"/>
        <w:rPr>
          <w:rFonts w:ascii="Palatino Linotype" w:eastAsia="Times New Roman" w:hAnsi="Palatino Linotype" w:cs="Arial"/>
          <w:b/>
          <w:i/>
          <w:szCs w:val="24"/>
          <w:u w:val="single"/>
          <w:lang w:val="es-ES" w:eastAsia="es-ES"/>
        </w:rPr>
      </w:pPr>
      <w:r w:rsidRPr="00C32AEE">
        <w:rPr>
          <w:rFonts w:ascii="Palatino Linotype" w:eastAsia="Times New Roman" w:hAnsi="Palatino Linotype" w:cs="Times New Roman"/>
          <w:b/>
          <w:i/>
          <w:szCs w:val="24"/>
          <w:u w:val="single"/>
          <w:lang w:val="es-ES" w:eastAsia="es-ES"/>
        </w:rPr>
        <w:t>Cuando por cualquier motivo quede sin materia el recurso.”</w:t>
      </w:r>
    </w:p>
    <w:p w:rsidR="00CF1262" w:rsidRPr="00C32AEE" w:rsidRDefault="00CF1262" w:rsidP="00CF1262">
      <w:pPr>
        <w:rPr>
          <w:rFonts w:ascii="Palatino Linotype" w:hAnsi="Palatino Linotype"/>
          <w:sz w:val="24"/>
          <w:lang w:val="es-ES" w:eastAsia="es-ES"/>
        </w:rPr>
      </w:pPr>
    </w:p>
    <w:p w:rsidR="00CF1262" w:rsidRPr="00C32AEE" w:rsidRDefault="00CF1262" w:rsidP="00CF1262">
      <w:pPr>
        <w:rPr>
          <w:rFonts w:ascii="Palatino Linotype" w:hAnsi="Palatino Linotype"/>
          <w:sz w:val="24"/>
          <w:lang w:val="es-ES" w:eastAsia="es-ES"/>
        </w:rPr>
      </w:pPr>
    </w:p>
    <w:p w:rsidR="00CF1262" w:rsidRPr="00C32AEE" w:rsidRDefault="00CF1262" w:rsidP="00CF1262">
      <w:pPr>
        <w:spacing w:line="360" w:lineRule="auto"/>
        <w:jc w:val="both"/>
        <w:rPr>
          <w:rFonts w:ascii="Palatino Linotype" w:hAnsi="Palatino Linotype" w:cs="Arial"/>
          <w:sz w:val="24"/>
          <w:szCs w:val="24"/>
        </w:rPr>
      </w:pPr>
      <w:r w:rsidRPr="00C32AEE">
        <w:rPr>
          <w:rFonts w:ascii="Palatino Linotype" w:hAnsi="Palatino Linotype" w:cs="Arial"/>
          <w:sz w:val="24"/>
          <w:szCs w:val="24"/>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rsidR="00CF1262" w:rsidRPr="00C32AEE" w:rsidRDefault="00CF1262" w:rsidP="00CF1262">
      <w:pPr>
        <w:spacing w:line="360" w:lineRule="auto"/>
        <w:ind w:left="851" w:right="851"/>
        <w:jc w:val="both"/>
        <w:rPr>
          <w:rFonts w:ascii="Palatino Linotype" w:hAnsi="Palatino Linotype" w:cs="Arial"/>
          <w:b/>
          <w:i/>
        </w:rPr>
      </w:pPr>
      <w:r w:rsidRPr="00C32AEE">
        <w:rPr>
          <w:rFonts w:ascii="Palatino Linotype" w:hAnsi="Palatino Linotype" w:cs="Arial"/>
          <w:b/>
          <w:i/>
        </w:rPr>
        <w:t>“SOBRESEIMIENTO EN EL JUICIO DE AMPARO DIRECTO. IMPIDE EL ESTUDIO DE LAS VIOLACIONES PROCESALES PLANTEADAS EN LOS CONCEPTOS DE VIOLACIÓN.</w:t>
      </w:r>
    </w:p>
    <w:p w:rsidR="00CF1262" w:rsidRPr="00C32AEE" w:rsidRDefault="00CF1262" w:rsidP="00CF1262">
      <w:pPr>
        <w:spacing w:line="360" w:lineRule="auto"/>
        <w:ind w:left="851" w:right="851"/>
        <w:jc w:val="both"/>
        <w:rPr>
          <w:rFonts w:ascii="Palatino Linotype" w:hAnsi="Palatino Linotype"/>
          <w:i/>
          <w:color w:val="000000"/>
        </w:rPr>
      </w:pPr>
      <w:r w:rsidRPr="00C32AEE">
        <w:rPr>
          <w:rFonts w:ascii="Palatino Linotype" w:hAnsi="Palatino Linotype" w:cs="Arial"/>
          <w:b/>
          <w:i/>
          <w:u w:val="single"/>
        </w:rPr>
        <w:t>El sobreseimiento</w:t>
      </w:r>
      <w:r w:rsidRPr="00C32AEE">
        <w:rPr>
          <w:rFonts w:ascii="Palatino Linotype" w:hAnsi="Palatino Linotype" w:cs="Arial"/>
          <w:b/>
          <w:i/>
        </w:rPr>
        <w:t xml:space="preserve"> </w:t>
      </w:r>
      <w:r w:rsidRPr="00C32AEE">
        <w:rPr>
          <w:rFonts w:ascii="Palatino Linotype" w:hAnsi="Palatino Linotype" w:cs="Arial"/>
          <w:i/>
        </w:rPr>
        <w:t xml:space="preserve">en el juicio de amparo directo </w:t>
      </w:r>
      <w:r w:rsidRPr="00C32AEE">
        <w:rPr>
          <w:rFonts w:ascii="Palatino Linotype" w:hAnsi="Palatino Linotype" w:cs="Arial"/>
          <w:b/>
          <w:i/>
          <w:u w:val="single"/>
        </w:rPr>
        <w:t>provoca la terminación de la controversia planteada</w:t>
      </w:r>
      <w:r w:rsidRPr="00C32AEE">
        <w:rPr>
          <w:rFonts w:ascii="Palatino Linotype" w:hAnsi="Palatino Linotype" w:cs="Arial"/>
          <w:b/>
          <w:i/>
        </w:rPr>
        <w:t xml:space="preserve"> </w:t>
      </w:r>
      <w:r w:rsidRPr="00C32AEE">
        <w:rPr>
          <w:rFonts w:ascii="Palatino Linotype" w:hAnsi="Palatino Linotype" w:cs="Arial"/>
          <w:i/>
        </w:rPr>
        <w:t>por el quejoso en la demanda de amparo</w:t>
      </w:r>
      <w:r w:rsidRPr="00C32AEE">
        <w:rPr>
          <w:color w:val="000000"/>
          <w:sz w:val="26"/>
          <w:szCs w:val="26"/>
        </w:rPr>
        <w:t xml:space="preserve"> </w:t>
      </w:r>
      <w:r w:rsidRPr="00C32AEE">
        <w:rPr>
          <w:rFonts w:ascii="Palatino Linotype" w:hAnsi="Palatino Linotype"/>
          <w:i/>
          <w:color w:val="000000"/>
        </w:rPr>
        <w:t xml:space="preserve">provoca la terminación de la controversia planteada por el quejoso en la demanda de </w:t>
      </w:r>
      <w:r w:rsidRPr="00C32AEE">
        <w:rPr>
          <w:rFonts w:ascii="Palatino Linotype" w:hAnsi="Palatino Linotype"/>
          <w:b/>
          <w:i/>
          <w:color w:val="000000"/>
        </w:rPr>
        <w:t>amparo</w:t>
      </w:r>
      <w:r w:rsidRPr="00C32AEE">
        <w:rPr>
          <w:rFonts w:ascii="Palatino Linotype" w:hAnsi="Palatino Linotype"/>
          <w:i/>
          <w:color w:val="000000"/>
        </w:rPr>
        <w:t xml:space="preserve">, </w:t>
      </w:r>
      <w:r w:rsidRPr="00C32AEE">
        <w:rPr>
          <w:rFonts w:ascii="Palatino Linotype" w:hAnsi="Palatino Linotype"/>
          <w:i/>
          <w:color w:val="000000"/>
        </w:rPr>
        <w:lastRenderedPageBreak/>
        <w:t>sin hacer un pronunciamiento de fondo sobre la legalidad o ilegalidad de la sentencia reclamada. Por consiguiente, si al sobreseerse en el</w:t>
      </w:r>
      <w:r w:rsidRPr="00C32AEE">
        <w:rPr>
          <w:rFonts w:ascii="Palatino Linotype" w:hAnsi="Palatino Linotype"/>
          <w:b/>
          <w:i/>
          <w:color w:val="000000"/>
        </w:rPr>
        <w:t xml:space="preserve"> juicio </w:t>
      </w:r>
      <w:r w:rsidRPr="00C32AEE">
        <w:rPr>
          <w:rFonts w:ascii="Palatino Linotype" w:hAnsi="Palatino Linotype"/>
          <w:i/>
          <w:color w:val="000000"/>
        </w:rPr>
        <w:t xml:space="preserve">de </w:t>
      </w:r>
      <w:r w:rsidRPr="00C32AEE">
        <w:rPr>
          <w:rFonts w:ascii="Palatino Linotype" w:hAnsi="Palatino Linotype"/>
          <w:b/>
          <w:i/>
          <w:color w:val="000000"/>
        </w:rPr>
        <w:t>amparo</w:t>
      </w:r>
      <w:r w:rsidRPr="00C32AEE">
        <w:rPr>
          <w:rFonts w:ascii="Palatino Linotype" w:hAnsi="Palatino Linotype"/>
          <w:i/>
          <w:color w:val="000000"/>
        </w:rPr>
        <w:t xml:space="preserve"> no se pueden estudiar los planteamientos que se hacen valer en contra del fallo reclamado, tampoco se deben analizar las</w:t>
      </w:r>
      <w:r w:rsidRPr="00C32AEE">
        <w:rPr>
          <w:rFonts w:ascii="Palatino Linotype" w:hAnsi="Palatino Linotype"/>
          <w:b/>
          <w:i/>
          <w:color w:val="000000"/>
        </w:rPr>
        <w:t xml:space="preserve"> violaciones procesales</w:t>
      </w:r>
      <w:r w:rsidRPr="00C32AEE">
        <w:rPr>
          <w:rFonts w:ascii="Palatino Linotype" w:hAnsi="Palatino Linotype"/>
          <w:i/>
          <w:color w:val="000000"/>
        </w:rPr>
        <w:t xml:space="preserve"> propuestas en los </w:t>
      </w:r>
      <w:r w:rsidRPr="00C32AEE">
        <w:rPr>
          <w:rFonts w:ascii="Palatino Linotype" w:hAnsi="Palatino Linotype"/>
          <w:b/>
          <w:i/>
          <w:color w:val="000000"/>
        </w:rPr>
        <w:t xml:space="preserve">conceptos </w:t>
      </w:r>
      <w:r w:rsidRPr="00C32AEE">
        <w:rPr>
          <w:rFonts w:ascii="Palatino Linotype" w:hAnsi="Palatino Linotype"/>
          <w:i/>
          <w:color w:val="000000"/>
        </w:rPr>
        <w:t xml:space="preserve">de </w:t>
      </w:r>
      <w:r w:rsidRPr="00C32AEE">
        <w:rPr>
          <w:rFonts w:ascii="Palatino Linotype" w:hAnsi="Palatino Linotype"/>
          <w:b/>
          <w:i/>
          <w:color w:val="000000"/>
        </w:rPr>
        <w:t>violación</w:t>
      </w:r>
      <w:r w:rsidRPr="00C32AEE">
        <w:rPr>
          <w:rFonts w:ascii="Palatino Linotype" w:hAnsi="Palatino Linotype"/>
          <w:i/>
          <w:color w:val="000000"/>
        </w:rPr>
        <w:t xml:space="preserve">, dado que, la principal consecuencia del </w:t>
      </w:r>
      <w:r w:rsidRPr="00C32AEE">
        <w:rPr>
          <w:rFonts w:ascii="Palatino Linotype" w:hAnsi="Palatino Linotype"/>
          <w:b/>
          <w:i/>
          <w:color w:val="000000"/>
        </w:rPr>
        <w:t>sobreseimiento</w:t>
      </w:r>
      <w:r w:rsidRPr="00C32AEE">
        <w:rPr>
          <w:rFonts w:ascii="Palatino Linotype" w:hAnsi="Palatino Linotype"/>
          <w:i/>
          <w:color w:val="000000"/>
        </w:rPr>
        <w:t xml:space="preserve"> es poner fin al </w:t>
      </w:r>
      <w:r w:rsidRPr="00C32AEE">
        <w:rPr>
          <w:rFonts w:ascii="Palatino Linotype" w:hAnsi="Palatino Linotype"/>
          <w:b/>
          <w:i/>
          <w:color w:val="000000"/>
        </w:rPr>
        <w:t xml:space="preserve">juicio </w:t>
      </w:r>
      <w:r w:rsidRPr="00C32AEE">
        <w:rPr>
          <w:rFonts w:ascii="Palatino Linotype" w:hAnsi="Palatino Linotype"/>
          <w:i/>
          <w:color w:val="000000"/>
        </w:rPr>
        <w:t xml:space="preserve">de </w:t>
      </w:r>
      <w:r w:rsidRPr="00C32AEE">
        <w:rPr>
          <w:rFonts w:ascii="Palatino Linotype" w:hAnsi="Palatino Linotype"/>
          <w:b/>
          <w:i/>
          <w:color w:val="000000"/>
        </w:rPr>
        <w:t xml:space="preserve">amparo </w:t>
      </w:r>
      <w:r w:rsidRPr="00C32AEE">
        <w:rPr>
          <w:rFonts w:ascii="Palatino Linotype" w:hAnsi="Palatino Linotype"/>
          <w:i/>
          <w:color w:val="000000"/>
        </w:rPr>
        <w:t>sin resolver la controversia en sus méritos.  </w:t>
      </w:r>
    </w:p>
    <w:p w:rsidR="00CF1262" w:rsidRPr="00C32AEE" w:rsidRDefault="00CF1262" w:rsidP="00CF1262">
      <w:pPr>
        <w:spacing w:line="360" w:lineRule="auto"/>
        <w:ind w:left="851" w:right="851"/>
        <w:jc w:val="both"/>
        <w:rPr>
          <w:rFonts w:ascii="Palatino Linotype" w:hAnsi="Palatino Linotype" w:cs="Arial"/>
          <w:b/>
          <w:i/>
        </w:rPr>
      </w:pPr>
      <w:r w:rsidRPr="00C32AEE">
        <w:rPr>
          <w:rFonts w:ascii="Palatino Linotype" w:hAnsi="Palatino Linotype" w:cs="Arial"/>
          <w:b/>
          <w:i/>
        </w:rPr>
        <w:t>SÉPTIMO TRIBUNAL COLEGIADO EN MATERIA CIVIL DEL PRIMER CIRCUITO.</w:t>
      </w:r>
    </w:p>
    <w:p w:rsidR="00CF1262" w:rsidRPr="00C32AEE" w:rsidRDefault="00CF1262" w:rsidP="00CF1262">
      <w:pPr>
        <w:spacing w:line="360" w:lineRule="auto"/>
        <w:ind w:left="851" w:right="851"/>
        <w:jc w:val="both"/>
        <w:rPr>
          <w:rFonts w:ascii="Palatino Linotype" w:hAnsi="Palatino Linotype" w:cs="Arial"/>
          <w:i/>
        </w:rPr>
      </w:pPr>
      <w:r w:rsidRPr="00C32AEE">
        <w:rPr>
          <w:rFonts w:ascii="Palatino Linotype" w:hAnsi="Palatino Linotype" w:cs="Arial"/>
          <w:i/>
        </w:rPr>
        <w:t>Amparo directo 699/2008. Mariana Leticia González Steele. 13 de noviembre de 2008. Unanimidad de votos. Ponente: Sara Judith Montalvo Trejo. Secretario: Arnulfo Mateos García.”</w:t>
      </w:r>
      <w:r w:rsidRPr="00C32AEE">
        <w:rPr>
          <w:rFonts w:ascii="Palatino Linotype" w:eastAsia="Times New Roman" w:hAnsi="Palatino Linotype" w:cs="Times New Roman"/>
          <w:b/>
          <w:i/>
          <w:lang w:val="es-ES_tradnl" w:eastAsia="es-ES"/>
        </w:rPr>
        <w:t xml:space="preserve"> [Sic]</w:t>
      </w:r>
    </w:p>
    <w:p w:rsidR="00CF1262" w:rsidRPr="00C32AEE" w:rsidRDefault="00CF1262" w:rsidP="00CF1262">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CF1262" w:rsidRPr="00C32AEE" w:rsidRDefault="00CF1262" w:rsidP="00CF1262">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t>Por lo que hace a los requisitos de procedencia del sobreseimiento en términos del artículo 192, de la Ley de Transparencia estatal se establece lo siguiente:</w:t>
      </w:r>
    </w:p>
    <w:p w:rsidR="00CF1262" w:rsidRPr="00C32AEE" w:rsidRDefault="00CF1262" w:rsidP="00CF1262">
      <w:pPr>
        <w:pStyle w:val="Sinespaciado"/>
        <w:rPr>
          <w:lang w:val="es-ES"/>
        </w:rPr>
      </w:pPr>
    </w:p>
    <w:p w:rsidR="00CF1262" w:rsidRPr="00C32AEE" w:rsidRDefault="00CF1262" w:rsidP="00CF1262">
      <w:pPr>
        <w:numPr>
          <w:ilvl w:val="0"/>
          <w:numId w:val="11"/>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t xml:space="preserve">Mediante acuerdo de fecha </w:t>
      </w:r>
      <w:r w:rsidRPr="00C32AEE">
        <w:rPr>
          <w:rFonts w:ascii="Palatino Linotype" w:eastAsia="Palatino Linotype" w:hAnsi="Palatino Linotype" w:cs="Palatino Linotype"/>
          <w:b/>
          <w:sz w:val="24"/>
          <w:szCs w:val="24"/>
        </w:rPr>
        <w:t>veintiséis de enero de dos mil veintiséis</w:t>
      </w:r>
      <w:r w:rsidRPr="00C32AEE">
        <w:rPr>
          <w:rFonts w:ascii="Palatino Linotype" w:eastAsia="Times New Roman" w:hAnsi="Palatino Linotype" w:cs="Arial"/>
          <w:sz w:val="24"/>
          <w:szCs w:val="24"/>
          <w:lang w:val="es-ES" w:eastAsia="es-ES"/>
        </w:rPr>
        <w:t xml:space="preserve">, el Comisionado </w:t>
      </w:r>
      <w:r w:rsidRPr="00C32AEE">
        <w:rPr>
          <w:rFonts w:ascii="Palatino Linotype" w:eastAsia="Times New Roman" w:hAnsi="Palatino Linotype" w:cs="Arial"/>
          <w:b/>
          <w:sz w:val="24"/>
          <w:szCs w:val="24"/>
          <w:lang w:val="es-ES" w:eastAsia="es-ES"/>
        </w:rPr>
        <w:t>José Martínez Vilchis</w:t>
      </w:r>
      <w:r w:rsidRPr="00C32AEE">
        <w:rPr>
          <w:rFonts w:ascii="Palatino Linotype" w:eastAsia="Times New Roman" w:hAnsi="Palatino Linotype" w:cs="Arial"/>
          <w:sz w:val="24"/>
          <w:szCs w:val="24"/>
          <w:lang w:val="es-ES" w:eastAsia="es-ES"/>
        </w:rPr>
        <w:t>, admitió a trámite el recurso de revisión que nos ocupa</w:t>
      </w:r>
      <w:r w:rsidRPr="00C32AEE">
        <w:rPr>
          <w:rFonts w:ascii="Palatino Linotype" w:eastAsia="Times New Roman" w:hAnsi="Palatino Linotype" w:cs="Arial"/>
          <w:sz w:val="24"/>
          <w:szCs w:val="24"/>
          <w:lang w:eastAsia="es-ES"/>
        </w:rPr>
        <w:t xml:space="preserve">. </w:t>
      </w:r>
    </w:p>
    <w:p w:rsidR="00CF1262" w:rsidRPr="00C32AEE" w:rsidRDefault="00CF1262" w:rsidP="00CF1262">
      <w:pPr>
        <w:pStyle w:val="Sinespaciado"/>
      </w:pPr>
    </w:p>
    <w:p w:rsidR="00CF1262" w:rsidRPr="00C32AEE" w:rsidRDefault="00CF1262" w:rsidP="00CF1262">
      <w:pPr>
        <w:pStyle w:val="Prrafodelista"/>
        <w:numPr>
          <w:ilvl w:val="0"/>
          <w:numId w:val="11"/>
        </w:numPr>
        <w:autoSpaceDE w:val="0"/>
        <w:autoSpaceDN w:val="0"/>
        <w:adjustRightInd w:val="0"/>
        <w:spacing w:line="360" w:lineRule="auto"/>
        <w:ind w:left="851" w:right="850" w:firstLine="10"/>
        <w:jc w:val="both"/>
        <w:rPr>
          <w:rFonts w:ascii="Palatino Linotype" w:hAnsi="Palatino Linotype" w:cs="Arial"/>
        </w:rPr>
      </w:pPr>
      <w:r w:rsidRPr="00C32AEE">
        <w:rPr>
          <w:rFonts w:ascii="Palatino Linotype" w:hAnsi="Palatino Linotype" w:cs="Arial"/>
        </w:rPr>
        <w:t xml:space="preserve">Lo esgrimido por </w:t>
      </w:r>
      <w:r w:rsidRPr="00C32AEE">
        <w:rPr>
          <w:rFonts w:ascii="Palatino Linotype" w:hAnsi="Palatino Linotype" w:cs="Arial"/>
          <w:b/>
        </w:rPr>
        <w:t>el Recurrente</w:t>
      </w:r>
      <w:r w:rsidRPr="00C32AEE">
        <w:rPr>
          <w:rFonts w:ascii="Palatino Linotype" w:hAnsi="Palatino Linotype" w:cs="Arial"/>
        </w:rPr>
        <w:t xml:space="preserve"> dentro del recurso de revisión impugnado queda sin materia, toda vez que </w:t>
      </w:r>
      <w:r w:rsidRPr="00C32AEE">
        <w:rPr>
          <w:rFonts w:ascii="Palatino Linotype" w:hAnsi="Palatino Linotype" w:cs="Arial"/>
          <w:b/>
        </w:rPr>
        <w:t>El Sujeto Obligado</w:t>
      </w:r>
      <w:r w:rsidRPr="00C32AEE">
        <w:rPr>
          <w:rFonts w:ascii="Palatino Linotype" w:hAnsi="Palatino Linotype" w:cs="Arial"/>
        </w:rPr>
        <w:t xml:space="preserve"> colmó el derecho de acceso a la información del </w:t>
      </w:r>
      <w:r w:rsidRPr="00C32AEE">
        <w:rPr>
          <w:rFonts w:ascii="Palatino Linotype" w:hAnsi="Palatino Linotype" w:cs="Arial"/>
          <w:b/>
        </w:rPr>
        <w:t>Recurrente</w:t>
      </w:r>
      <w:r w:rsidRPr="00C32AEE">
        <w:rPr>
          <w:rFonts w:ascii="Palatino Linotype" w:hAnsi="Palatino Linotype" w:cs="Arial"/>
        </w:rPr>
        <w:t>,</w:t>
      </w:r>
      <w:r w:rsidRPr="00C32AEE">
        <w:rPr>
          <w:rFonts w:ascii="Palatino Linotype" w:hAnsi="Palatino Linotype" w:cs="Arial"/>
          <w:b/>
        </w:rPr>
        <w:t xml:space="preserve"> </w:t>
      </w:r>
      <w:r w:rsidRPr="00C32AEE">
        <w:rPr>
          <w:rFonts w:ascii="Palatino Linotype" w:hAnsi="Palatino Linotype" w:cs="Arial"/>
        </w:rPr>
        <w:t xml:space="preserve">mediante la información remitida en su informe justificado, en fecha </w:t>
      </w:r>
      <w:r w:rsidRPr="00C32AEE">
        <w:rPr>
          <w:rFonts w:ascii="Palatino Linotype" w:hAnsi="Palatino Linotype" w:cs="Arial"/>
          <w:b/>
        </w:rPr>
        <w:t xml:space="preserve">veinticinco de febrero de dos mil </w:t>
      </w:r>
      <w:r w:rsidRPr="00C32AEE">
        <w:rPr>
          <w:rFonts w:ascii="Palatino Linotype" w:eastAsia="Palatino Linotype" w:hAnsi="Palatino Linotype" w:cs="Palatino Linotype"/>
          <w:b/>
        </w:rPr>
        <w:t>veintiséis</w:t>
      </w:r>
      <w:r w:rsidRPr="00C32AEE">
        <w:rPr>
          <w:rFonts w:ascii="Palatino Linotype" w:hAnsi="Palatino Linotype" w:cs="Arial"/>
        </w:rPr>
        <w:t>.</w:t>
      </w:r>
    </w:p>
    <w:p w:rsidR="00CF1262" w:rsidRPr="00C32AEE" w:rsidRDefault="00CF1262" w:rsidP="00CF1262">
      <w:pPr>
        <w:pStyle w:val="Sinespaciado"/>
      </w:pPr>
    </w:p>
    <w:p w:rsidR="00CF1262" w:rsidRPr="00C32AEE" w:rsidRDefault="00CF1262" w:rsidP="00CF1262">
      <w:pPr>
        <w:numPr>
          <w:ilvl w:val="0"/>
          <w:numId w:val="11"/>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C32AEE">
        <w:rPr>
          <w:rFonts w:ascii="Palatino Linotype" w:eastAsia="Times New Roman" w:hAnsi="Palatino Linotype" w:cs="Arial"/>
          <w:sz w:val="24"/>
          <w:szCs w:val="24"/>
          <w:lang w:val="es-ES" w:eastAsia="es-ES"/>
        </w:rPr>
        <w:lastRenderedPageBreak/>
        <w:t xml:space="preserve">El recurso </w:t>
      </w:r>
      <w:r w:rsidRPr="00C32AEE">
        <w:rPr>
          <w:rFonts w:ascii="Palatino Linotype" w:eastAsia="Times New Roman" w:hAnsi="Palatino Linotype" w:cs="Arial"/>
          <w:b/>
          <w:bCs/>
          <w:sz w:val="24"/>
          <w:szCs w:val="24"/>
        </w:rPr>
        <w:t>02325/INFOEM/IP/RR/2026</w:t>
      </w:r>
      <w:r w:rsidRPr="00C32AEE">
        <w:rPr>
          <w:rFonts w:ascii="Palatino Linotype" w:eastAsia="Times New Roman" w:hAnsi="Palatino Linotype" w:cs="Arial"/>
          <w:bCs/>
          <w:sz w:val="24"/>
          <w:szCs w:val="24"/>
          <w:lang w:val="es-ES"/>
        </w:rPr>
        <w:t>,</w:t>
      </w:r>
      <w:r w:rsidRPr="00C32AEE">
        <w:rPr>
          <w:rFonts w:ascii="Palatino Linotype" w:eastAsia="Times New Roman" w:hAnsi="Palatino Linotype" w:cs="Arial"/>
          <w:sz w:val="24"/>
          <w:szCs w:val="24"/>
          <w:lang w:val="es-ES" w:eastAsia="es-ES"/>
        </w:rPr>
        <w:t xml:space="preserve"> no actualiza ninguna hipótesis de las inmersas en el numeral 179, de la Ley en materia vigente en la entidad. </w:t>
      </w:r>
    </w:p>
    <w:p w:rsidR="00CF1262" w:rsidRPr="00C32AEE" w:rsidRDefault="00CF1262" w:rsidP="00CF126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rsidR="00CF1262" w:rsidRPr="00C32AEE" w:rsidRDefault="00CF1262" w:rsidP="00CF1262">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C32AEE">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C32AEE">
        <w:rPr>
          <w:rFonts w:ascii="Palatino Linotype" w:eastAsia="Times New Roman" w:hAnsi="Palatino Linotype" w:cs="Times New Roman"/>
          <w:i/>
          <w:sz w:val="24"/>
          <w:szCs w:val="24"/>
          <w:lang w:val="es-ES" w:eastAsia="es-ES"/>
        </w:rPr>
        <w:t xml:space="preserve">Estudios Introductorios sobre el Juicio de Amparo </w:t>
      </w:r>
      <w:r w:rsidRPr="00C32AEE">
        <w:rPr>
          <w:rFonts w:ascii="Palatino Linotype" w:eastAsia="Times New Roman" w:hAnsi="Palatino Linotype" w:cs="Times New Roman"/>
          <w:sz w:val="24"/>
          <w:szCs w:val="24"/>
          <w:lang w:val="es-ES" w:eastAsia="es-ES"/>
        </w:rPr>
        <w:t xml:space="preserve">relativo a </w:t>
      </w:r>
      <w:r w:rsidRPr="00C32AEE">
        <w:rPr>
          <w:rFonts w:ascii="Palatino Linotype" w:eastAsia="Times New Roman" w:hAnsi="Palatino Linotype" w:cs="Times New Roman"/>
          <w:i/>
          <w:sz w:val="24"/>
          <w:szCs w:val="24"/>
          <w:lang w:val="es-ES" w:eastAsia="es-ES"/>
        </w:rPr>
        <w:t xml:space="preserve">LA IMPROCEDENCIA DE LA ACCIÓN DE AMPARO </w:t>
      </w:r>
      <w:r w:rsidRPr="00C32AEE">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C32AEE">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rsidR="00CF1262" w:rsidRPr="00C32AEE" w:rsidRDefault="00CF1262" w:rsidP="00CF1262">
      <w:pPr>
        <w:pStyle w:val="Sinespaciado"/>
        <w:jc w:val="both"/>
      </w:pPr>
    </w:p>
    <w:p w:rsidR="00CF1262" w:rsidRPr="00C32AEE" w:rsidRDefault="00CF1262" w:rsidP="00CF1262">
      <w:pPr>
        <w:pStyle w:val="Sinespaciado"/>
        <w:jc w:val="both"/>
      </w:pPr>
    </w:p>
    <w:p w:rsidR="00CF1262" w:rsidRPr="00C32AEE" w:rsidRDefault="00CF1262" w:rsidP="00CF1262">
      <w:pPr>
        <w:autoSpaceDE w:val="0"/>
        <w:autoSpaceDN w:val="0"/>
        <w:adjustRightInd w:val="0"/>
        <w:spacing w:before="240" w:after="240" w:line="360" w:lineRule="auto"/>
        <w:jc w:val="both"/>
        <w:rPr>
          <w:rFonts w:ascii="Palatino Linotype" w:eastAsia="Times New Roman" w:hAnsi="Palatino Linotype" w:cs="Times New Roman"/>
          <w:sz w:val="24"/>
          <w:szCs w:val="24"/>
          <w:lang w:val="es-ES" w:eastAsia="es-ES"/>
        </w:rPr>
      </w:pPr>
      <w:r w:rsidRPr="00C32AEE">
        <w:rPr>
          <w:rFonts w:ascii="Palatino Linotype" w:eastAsia="Times New Roman" w:hAnsi="Palatino Linotype" w:cs="Times New Roman"/>
          <w:sz w:val="24"/>
          <w:szCs w:val="24"/>
          <w:lang w:val="es-ES" w:eastAsia="es-ES"/>
        </w:rPr>
        <w:t xml:space="preserve">Por lo tanto, en mérito de lo expuesto en líneas anteriores, </w:t>
      </w:r>
      <w:r w:rsidRPr="00C32AEE">
        <w:rPr>
          <w:rFonts w:ascii="Palatino Linotype" w:eastAsia="Times New Roman" w:hAnsi="Palatino Linotype" w:cs="Arial"/>
          <w:b/>
          <w:sz w:val="24"/>
          <w:szCs w:val="24"/>
          <w:lang w:val="es-ES" w:eastAsia="es-ES"/>
        </w:rPr>
        <w:t xml:space="preserve">con fundamento en la fracción V del artículo 192, </w:t>
      </w:r>
      <w:r w:rsidRPr="00C32AEE">
        <w:rPr>
          <w:rFonts w:ascii="Palatino Linotype" w:eastAsia="Times New Roman" w:hAnsi="Palatino Linotype" w:cs="Arial"/>
          <w:sz w:val="24"/>
          <w:szCs w:val="24"/>
          <w:lang w:val="es-ES" w:eastAsia="es-ES"/>
        </w:rPr>
        <w:t xml:space="preserve">de la Ley de Transparencia y Acceso a la Información Pública del Estado de México y Municipios, se </w:t>
      </w:r>
      <w:r w:rsidRPr="00C32AEE">
        <w:rPr>
          <w:rFonts w:ascii="Palatino Linotype" w:eastAsia="Times New Roman" w:hAnsi="Palatino Linotype" w:cs="Arial"/>
          <w:b/>
          <w:sz w:val="24"/>
          <w:szCs w:val="24"/>
          <w:lang w:val="es-ES" w:eastAsia="es-ES"/>
        </w:rPr>
        <w:t xml:space="preserve">SOBRESEE </w:t>
      </w:r>
      <w:r w:rsidRPr="00C32AEE">
        <w:rPr>
          <w:rFonts w:ascii="Palatino Linotype" w:eastAsia="Times New Roman" w:hAnsi="Palatino Linotype" w:cs="Arial"/>
          <w:sz w:val="24"/>
          <w:szCs w:val="24"/>
          <w:lang w:val="es-ES" w:eastAsia="es-ES"/>
        </w:rPr>
        <w:t xml:space="preserve">el recurso de revisión </w:t>
      </w:r>
      <w:r w:rsidRPr="00C32AEE">
        <w:rPr>
          <w:rFonts w:ascii="Palatino Linotype" w:eastAsia="Times New Roman" w:hAnsi="Palatino Linotype" w:cs="Arial"/>
          <w:b/>
          <w:sz w:val="24"/>
          <w:szCs w:val="24"/>
          <w:lang w:val="es-ES" w:eastAsia="es-ES"/>
        </w:rPr>
        <w:t>02325/INFOEM/IP/RR/2026</w:t>
      </w:r>
      <w:r w:rsidRPr="00C32AEE">
        <w:rPr>
          <w:rFonts w:ascii="Palatino Linotype" w:eastAsia="Times New Roman" w:hAnsi="Palatino Linotype" w:cs="Arial"/>
          <w:sz w:val="24"/>
          <w:szCs w:val="24"/>
          <w:lang w:val="es-ES" w:eastAsia="es-ES"/>
        </w:rPr>
        <w:t>,</w:t>
      </w:r>
      <w:r w:rsidRPr="00C32AEE">
        <w:rPr>
          <w:rFonts w:ascii="Palatino Linotype" w:eastAsia="Times New Roman" w:hAnsi="Palatino Linotype" w:cs="Times New Roman"/>
          <w:sz w:val="24"/>
          <w:szCs w:val="24"/>
          <w:lang w:val="es-ES" w:eastAsia="es-ES"/>
        </w:rPr>
        <w:t xml:space="preserve"> que ha sido materia del presente fallo.</w:t>
      </w:r>
    </w:p>
    <w:p w:rsidR="00CF1262" w:rsidRPr="00C32AEE" w:rsidRDefault="00CF1262" w:rsidP="00CF1262">
      <w:pPr>
        <w:spacing w:after="0" w:line="360" w:lineRule="auto"/>
        <w:jc w:val="both"/>
        <w:rPr>
          <w:rFonts w:ascii="Palatino Linotype" w:eastAsia="Times New Roman" w:hAnsi="Palatino Linotype" w:cs="Times New Roman"/>
          <w:sz w:val="24"/>
          <w:szCs w:val="24"/>
          <w:lang w:eastAsia="es-ES"/>
        </w:rPr>
      </w:pPr>
      <w:r w:rsidRPr="00C32AEE">
        <w:rPr>
          <w:rFonts w:ascii="Palatino Linotype" w:eastAsia="Times New Roman" w:hAnsi="Palatino Linotype" w:cs="Times New Roman"/>
          <w:sz w:val="24"/>
          <w:szCs w:val="24"/>
          <w:lang w:eastAsia="es-ES"/>
        </w:rPr>
        <w:t>Por lo antes expuesto y fundado es de resolverse y,</w:t>
      </w:r>
    </w:p>
    <w:p w:rsidR="00CF1262" w:rsidRPr="00C32AEE" w:rsidRDefault="00CF1262" w:rsidP="00CF1262">
      <w:pPr>
        <w:spacing w:line="360" w:lineRule="auto"/>
        <w:contextualSpacing/>
        <w:jc w:val="both"/>
        <w:rPr>
          <w:rFonts w:ascii="Palatino Linotype" w:eastAsia="MS Mincho" w:hAnsi="Palatino Linotype"/>
        </w:rPr>
      </w:pPr>
    </w:p>
    <w:p w:rsidR="00CF1262" w:rsidRPr="00C32AEE" w:rsidRDefault="00CF1262" w:rsidP="00CF1262">
      <w:pPr>
        <w:spacing w:line="360" w:lineRule="auto"/>
        <w:contextualSpacing/>
        <w:jc w:val="both"/>
        <w:rPr>
          <w:rFonts w:ascii="Palatino Linotype" w:eastAsia="MS Mincho" w:hAnsi="Palatino Linotype"/>
        </w:rPr>
      </w:pPr>
    </w:p>
    <w:p w:rsidR="00CF1262" w:rsidRPr="00C32AEE" w:rsidRDefault="00CF1262" w:rsidP="00CF1262">
      <w:pPr>
        <w:spacing w:line="360" w:lineRule="auto"/>
        <w:contextualSpacing/>
        <w:jc w:val="both"/>
        <w:rPr>
          <w:rFonts w:ascii="Palatino Linotype" w:eastAsia="MS Mincho" w:hAnsi="Palatino Linotype"/>
        </w:rPr>
      </w:pPr>
    </w:p>
    <w:p w:rsidR="00CF1262" w:rsidRPr="00C32AEE" w:rsidRDefault="00CF1262" w:rsidP="00CF1262">
      <w:pPr>
        <w:spacing w:before="240" w:after="240" w:line="360" w:lineRule="auto"/>
        <w:jc w:val="center"/>
        <w:rPr>
          <w:rFonts w:ascii="Palatino Linotype" w:hAnsi="Palatino Linotype"/>
          <w:b/>
          <w:spacing w:val="60"/>
          <w:sz w:val="28"/>
          <w:szCs w:val="24"/>
        </w:rPr>
      </w:pPr>
      <w:r w:rsidRPr="00C32AEE">
        <w:rPr>
          <w:rFonts w:ascii="Palatino Linotype" w:hAnsi="Palatino Linotype"/>
          <w:b/>
          <w:spacing w:val="60"/>
          <w:sz w:val="28"/>
          <w:szCs w:val="24"/>
        </w:rPr>
        <w:lastRenderedPageBreak/>
        <w:t>S E RESUELVE</w:t>
      </w:r>
    </w:p>
    <w:p w:rsidR="00CF1262" w:rsidRPr="00C32AEE" w:rsidRDefault="00CF1262" w:rsidP="00CF1262">
      <w:pPr>
        <w:spacing w:after="240" w:line="360" w:lineRule="auto"/>
        <w:jc w:val="both"/>
        <w:rPr>
          <w:rFonts w:ascii="Palatino Linotype" w:eastAsiaTheme="minorEastAsia" w:hAnsi="Palatino Linotype"/>
          <w:sz w:val="24"/>
          <w:lang w:val="es-ES_tradnl"/>
        </w:rPr>
      </w:pPr>
      <w:r w:rsidRPr="00C32AEE">
        <w:rPr>
          <w:rFonts w:ascii="Palatino Linotype" w:hAnsi="Palatino Linotype"/>
          <w:b/>
          <w:bCs/>
          <w:sz w:val="28"/>
          <w:szCs w:val="28"/>
        </w:rPr>
        <w:t>PRIMERO</w:t>
      </w:r>
      <w:r w:rsidRPr="00C32AEE">
        <w:rPr>
          <w:rFonts w:ascii="Palatino Linotype" w:hAnsi="Palatino Linotype"/>
        </w:rPr>
        <w:t xml:space="preserve">. </w:t>
      </w:r>
      <w:r w:rsidRPr="00C32AEE">
        <w:rPr>
          <w:rFonts w:ascii="Palatino Linotype" w:hAnsi="Palatino Linotype"/>
          <w:sz w:val="24"/>
        </w:rPr>
        <w:t xml:space="preserve">Se </w:t>
      </w:r>
      <w:r w:rsidRPr="00C32AEE">
        <w:rPr>
          <w:rFonts w:ascii="Palatino Linotype" w:hAnsi="Palatino Linotype"/>
          <w:b/>
          <w:sz w:val="24"/>
        </w:rPr>
        <w:t xml:space="preserve">SOBRESEE el </w:t>
      </w:r>
      <w:r w:rsidRPr="00C32AEE">
        <w:rPr>
          <w:rFonts w:ascii="Palatino Linotype" w:hAnsi="Palatino Linotype"/>
          <w:sz w:val="24"/>
        </w:rPr>
        <w:t xml:space="preserve">recurso de revisión número </w:t>
      </w:r>
      <w:r w:rsidRPr="00C32AEE">
        <w:rPr>
          <w:rFonts w:ascii="Palatino Linotype" w:hAnsi="Palatino Linotype"/>
          <w:b/>
          <w:bCs/>
          <w:sz w:val="24"/>
        </w:rPr>
        <w:t>02325/INFOEM/IP/RR/2026</w:t>
      </w:r>
      <w:r w:rsidRPr="00C32AEE">
        <w:rPr>
          <w:rFonts w:ascii="Palatino Linotype" w:hAnsi="Palatino Linotype"/>
          <w:sz w:val="24"/>
        </w:rPr>
        <w:t xml:space="preserve">, </w:t>
      </w:r>
      <w:r w:rsidRPr="00C32AEE">
        <w:rPr>
          <w:rFonts w:ascii="Palatino Linotype" w:hAnsi="Palatino Linotype" w:cs="Arial"/>
          <w:b/>
          <w:bCs/>
          <w:sz w:val="24"/>
          <w:lang w:val="es-ES_tradnl"/>
        </w:rPr>
        <w:t>por quedarse sin materia</w:t>
      </w:r>
      <w:r w:rsidRPr="00C32AEE">
        <w:rPr>
          <w:rFonts w:ascii="Palatino Linotype" w:hAnsi="Palatino Linotype" w:cs="Arial"/>
          <w:sz w:val="24"/>
          <w:lang w:val="es-ES_tradnl"/>
        </w:rPr>
        <w:t xml:space="preserve"> en términos del artículo 192 fracción V de la Ley de Transparencia y Acceso a la Información Pública del Estado de México y Municipios y </w:t>
      </w:r>
      <w:r w:rsidRPr="00C32AEE">
        <w:rPr>
          <w:rFonts w:ascii="Palatino Linotype" w:eastAsiaTheme="minorEastAsia" w:hAnsi="Palatino Linotype"/>
          <w:sz w:val="24"/>
          <w:lang w:val="es-ES_tradnl"/>
        </w:rPr>
        <w:t xml:space="preserve">del Considerando </w:t>
      </w:r>
      <w:r w:rsidRPr="00C32AEE">
        <w:rPr>
          <w:rFonts w:ascii="Palatino Linotype" w:eastAsiaTheme="minorEastAsia" w:hAnsi="Palatino Linotype"/>
          <w:b/>
          <w:sz w:val="24"/>
          <w:lang w:val="es-ES_tradnl"/>
        </w:rPr>
        <w:t>CUARTO</w:t>
      </w:r>
      <w:r w:rsidRPr="00C32AEE">
        <w:rPr>
          <w:rFonts w:ascii="Palatino Linotype" w:eastAsiaTheme="minorEastAsia" w:hAnsi="Palatino Linotype"/>
          <w:sz w:val="24"/>
          <w:lang w:val="es-ES_tradnl"/>
        </w:rPr>
        <w:t xml:space="preserve"> </w:t>
      </w:r>
      <w:r w:rsidRPr="00C32AEE">
        <w:rPr>
          <w:rFonts w:ascii="Palatino Linotype" w:hAnsi="Palatino Linotype"/>
          <w:sz w:val="24"/>
        </w:rPr>
        <w:t xml:space="preserve">de la presente resolución. </w:t>
      </w:r>
    </w:p>
    <w:p w:rsidR="00CF1262" w:rsidRPr="00C32AEE" w:rsidRDefault="00CF1262" w:rsidP="00CF1262">
      <w:pPr>
        <w:spacing w:line="360" w:lineRule="auto"/>
        <w:jc w:val="both"/>
        <w:rPr>
          <w:rFonts w:ascii="Palatino Linotype" w:hAnsi="Palatino Linotype" w:cs="Arial"/>
        </w:rPr>
      </w:pPr>
    </w:p>
    <w:p w:rsidR="00CF1262" w:rsidRPr="00C32AEE" w:rsidRDefault="00CF1262" w:rsidP="00CF1262">
      <w:pPr>
        <w:spacing w:line="360" w:lineRule="auto"/>
        <w:jc w:val="both"/>
        <w:rPr>
          <w:rFonts w:ascii="Palatino Linotype" w:hAnsi="Palatino Linotype" w:cs="Arial"/>
        </w:rPr>
      </w:pPr>
      <w:r w:rsidRPr="00C32AEE">
        <w:rPr>
          <w:rFonts w:ascii="Palatino Linotype" w:hAnsi="Palatino Linotype" w:cs="Arial"/>
          <w:b/>
          <w:sz w:val="28"/>
          <w:szCs w:val="28"/>
        </w:rPr>
        <w:t>SEGUNDO.</w:t>
      </w:r>
      <w:r w:rsidRPr="00C32AEE">
        <w:rPr>
          <w:rFonts w:ascii="Palatino Linotype" w:hAnsi="Palatino Linotype" w:cs="Arial"/>
        </w:rPr>
        <w:t xml:space="preserve"> </w:t>
      </w:r>
      <w:r w:rsidRPr="00C32AEE">
        <w:rPr>
          <w:rFonts w:ascii="Palatino Linotype" w:hAnsi="Palatino Linotype" w:cs="Arial"/>
          <w:b/>
          <w:sz w:val="24"/>
        </w:rPr>
        <w:t>Notifíquese</w:t>
      </w:r>
      <w:r w:rsidRPr="00C32AEE">
        <w:rPr>
          <w:rFonts w:ascii="Palatino Linotype" w:hAnsi="Palatino Linotype" w:cs="Arial"/>
          <w:sz w:val="24"/>
        </w:rPr>
        <w:t xml:space="preserve"> la presente resolución al Titular de la Unidad de Transparencia del Sujeto Obligado mediante el Sistema de Acceso a la Información Mexiquense (SAIMEX).</w:t>
      </w:r>
    </w:p>
    <w:p w:rsidR="00CF1262" w:rsidRPr="00C32AEE" w:rsidRDefault="00CF1262" w:rsidP="00CF1262">
      <w:pPr>
        <w:spacing w:line="360" w:lineRule="auto"/>
        <w:jc w:val="both"/>
        <w:rPr>
          <w:rFonts w:ascii="Palatino Linotype" w:hAnsi="Palatino Linotype" w:cs="Arial"/>
        </w:rPr>
      </w:pPr>
    </w:p>
    <w:p w:rsidR="00CF1262" w:rsidRPr="00C32AEE" w:rsidRDefault="00CF1262" w:rsidP="00CF1262">
      <w:pPr>
        <w:spacing w:line="360" w:lineRule="auto"/>
        <w:contextualSpacing/>
        <w:jc w:val="both"/>
        <w:rPr>
          <w:rFonts w:ascii="Palatino Linotype" w:hAnsi="Palatino Linotype" w:cs="Arial"/>
        </w:rPr>
      </w:pPr>
      <w:r w:rsidRPr="00C32AEE">
        <w:rPr>
          <w:rFonts w:ascii="Palatino Linotype" w:hAnsi="Palatino Linotype" w:cs="Arial"/>
          <w:b/>
          <w:sz w:val="28"/>
          <w:szCs w:val="28"/>
        </w:rPr>
        <w:t>TERCERO.</w:t>
      </w:r>
      <w:r w:rsidRPr="00C32AEE">
        <w:rPr>
          <w:rFonts w:ascii="Palatino Linotype" w:hAnsi="Palatino Linotype" w:cs="Arial"/>
          <w:b/>
        </w:rPr>
        <w:t xml:space="preserve"> </w:t>
      </w:r>
      <w:r w:rsidRPr="00C32AEE">
        <w:rPr>
          <w:rFonts w:ascii="Palatino Linotype" w:hAnsi="Palatino Linotype" w:cs="Arial"/>
          <w:b/>
          <w:sz w:val="24"/>
        </w:rPr>
        <w:t>Notifíquese</w:t>
      </w:r>
      <w:r w:rsidRPr="00C32AEE">
        <w:rPr>
          <w:rFonts w:ascii="Palatino Linotype" w:hAnsi="Palatino Linotype" w:cs="Arial"/>
          <w:sz w:val="24"/>
        </w:rPr>
        <w:t xml:space="preserve"> la presente resolución al </w:t>
      </w:r>
      <w:r w:rsidRPr="00C32AEE">
        <w:rPr>
          <w:rFonts w:ascii="Palatino Linotype" w:hAnsi="Palatino Linotype" w:cs="Arial"/>
          <w:b/>
          <w:bCs/>
          <w:sz w:val="24"/>
        </w:rPr>
        <w:t>Recurrente</w:t>
      </w:r>
      <w:r w:rsidRPr="00C32AEE">
        <w:rPr>
          <w:rFonts w:ascii="Palatino Linotype" w:hAnsi="Palatino Linotype"/>
          <w:sz w:val="24"/>
        </w:rPr>
        <w:t xml:space="preserve"> </w:t>
      </w:r>
      <w:r w:rsidRPr="00C32AEE">
        <w:rPr>
          <w:rFonts w:ascii="Palatino Linotype" w:hAnsi="Palatino Linotype" w:cs="Arial"/>
          <w:sz w:val="24"/>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B9066B" w:rsidRPr="00C32AEE" w:rsidRDefault="00B9066B" w:rsidP="00B9066B">
      <w:pPr>
        <w:spacing w:after="0" w:line="360" w:lineRule="auto"/>
        <w:jc w:val="both"/>
        <w:rPr>
          <w:rFonts w:ascii="Palatino Linotype" w:eastAsia="Palatino Linotype" w:hAnsi="Palatino Linotype" w:cs="Palatino Linotype"/>
          <w:sz w:val="24"/>
          <w:szCs w:val="24"/>
        </w:rPr>
      </w:pPr>
    </w:p>
    <w:p w:rsidR="00B9066B" w:rsidRPr="00C32AEE" w:rsidRDefault="00B9066B" w:rsidP="00B9066B">
      <w:pPr>
        <w:spacing w:after="0" w:line="360" w:lineRule="auto"/>
        <w:jc w:val="both"/>
        <w:rPr>
          <w:rFonts w:ascii="Palatino Linotype" w:eastAsia="Palatino Linotype" w:hAnsi="Palatino Linotype" w:cs="Palatino Linotype"/>
          <w:sz w:val="24"/>
          <w:szCs w:val="24"/>
        </w:rPr>
      </w:pPr>
    </w:p>
    <w:p w:rsidR="004D57A9" w:rsidRPr="00C32AEE" w:rsidRDefault="004D57A9" w:rsidP="00B9066B">
      <w:pPr>
        <w:spacing w:after="0" w:line="360" w:lineRule="auto"/>
        <w:jc w:val="both"/>
        <w:rPr>
          <w:rFonts w:ascii="Palatino Linotype" w:eastAsia="Palatino Linotype" w:hAnsi="Palatino Linotype" w:cs="Palatino Linotype"/>
          <w:sz w:val="24"/>
          <w:szCs w:val="24"/>
        </w:rPr>
      </w:pPr>
    </w:p>
    <w:p w:rsidR="004D57A9" w:rsidRPr="00C32AEE" w:rsidRDefault="004D57A9" w:rsidP="00B9066B">
      <w:pPr>
        <w:spacing w:after="0" w:line="360" w:lineRule="auto"/>
        <w:jc w:val="both"/>
        <w:rPr>
          <w:rFonts w:ascii="Palatino Linotype" w:eastAsia="Palatino Linotype" w:hAnsi="Palatino Linotype" w:cs="Palatino Linotype"/>
          <w:sz w:val="24"/>
          <w:szCs w:val="24"/>
        </w:rPr>
      </w:pPr>
    </w:p>
    <w:p w:rsidR="004D57A9" w:rsidRPr="00C32AEE" w:rsidRDefault="004D57A9" w:rsidP="00B9066B">
      <w:pPr>
        <w:spacing w:after="0" w:line="360" w:lineRule="auto"/>
        <w:jc w:val="both"/>
        <w:rPr>
          <w:rFonts w:ascii="Palatino Linotype" w:eastAsia="Palatino Linotype" w:hAnsi="Palatino Linotype" w:cs="Palatino Linotype"/>
          <w:sz w:val="24"/>
          <w:szCs w:val="24"/>
        </w:rPr>
      </w:pPr>
    </w:p>
    <w:p w:rsidR="00B9066B" w:rsidRPr="00C32AEE" w:rsidRDefault="00C32AEE" w:rsidP="00B9066B">
      <w:pPr>
        <w:spacing w:after="0" w:line="360" w:lineRule="auto"/>
        <w:jc w:val="both"/>
        <w:rPr>
          <w:rFonts w:ascii="Palatino Linotype" w:eastAsia="Palatino Linotype" w:hAnsi="Palatino Linotype" w:cs="Palatino Linotype"/>
          <w:sz w:val="24"/>
          <w:szCs w:val="24"/>
        </w:rPr>
      </w:pPr>
      <w:r w:rsidRPr="00C32AEE">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B9066B" w:rsidRPr="00C32AEE">
        <w:rPr>
          <w:rFonts w:ascii="Palatino Linotype" w:eastAsia="Palatino Linotype" w:hAnsi="Palatino Linotype" w:cs="Palatino Linotype"/>
          <w:sz w:val="24"/>
          <w:szCs w:val="24"/>
        </w:rPr>
        <w:t>. ------------------------------------------------------------------------------------------------------------------------------------------------------------------------------------------------------------------------------------------------------------------------------------------------------------------------------------</w:t>
      </w:r>
    </w:p>
    <w:p w:rsidR="00B9066B" w:rsidRPr="00D2150D" w:rsidRDefault="00B9066B" w:rsidP="00B9066B">
      <w:pPr>
        <w:spacing w:after="0" w:line="360" w:lineRule="auto"/>
        <w:jc w:val="both"/>
        <w:rPr>
          <w:rFonts w:ascii="Palatino Linotype" w:eastAsia="Palatino Linotype" w:hAnsi="Palatino Linotype" w:cs="Palatino Linotype"/>
          <w:sz w:val="16"/>
          <w:szCs w:val="20"/>
        </w:rPr>
      </w:pPr>
      <w:r w:rsidRPr="00C32AEE">
        <w:rPr>
          <w:rFonts w:ascii="Palatino Linotype" w:eastAsia="Palatino Linotype" w:hAnsi="Palatino Linotype" w:cs="Palatino Linotype"/>
          <w:sz w:val="16"/>
          <w:szCs w:val="20"/>
        </w:rPr>
        <w:t>JMV/CCR/LMST</w:t>
      </w:r>
    </w:p>
    <w:p w:rsidR="00B9066B" w:rsidRDefault="00B9066B" w:rsidP="00B9066B">
      <w:pPr>
        <w:spacing w:after="0" w:line="360" w:lineRule="auto"/>
        <w:jc w:val="both"/>
        <w:rPr>
          <w:rFonts w:ascii="Palatino Linotype" w:eastAsia="Palatino Linotype" w:hAnsi="Palatino Linotype" w:cs="Palatino Linotype"/>
          <w:sz w:val="24"/>
          <w:szCs w:val="24"/>
        </w:rPr>
      </w:pPr>
    </w:p>
    <w:p w:rsidR="00B9066B" w:rsidRDefault="00B9066B" w:rsidP="00B9066B">
      <w:pPr>
        <w:spacing w:after="0" w:line="360" w:lineRule="auto"/>
        <w:jc w:val="both"/>
        <w:rPr>
          <w:rFonts w:ascii="Palatino Linotype" w:eastAsia="Palatino Linotype" w:hAnsi="Palatino Linotype" w:cs="Palatino Linotype"/>
          <w:sz w:val="24"/>
          <w:szCs w:val="24"/>
        </w:rPr>
      </w:pPr>
    </w:p>
    <w:p w:rsidR="00B9066B" w:rsidRDefault="00B9066B" w:rsidP="00B9066B">
      <w:pPr>
        <w:spacing w:after="0" w:line="360" w:lineRule="auto"/>
        <w:jc w:val="both"/>
        <w:rPr>
          <w:rFonts w:ascii="Palatino Linotype" w:eastAsia="Palatino Linotype" w:hAnsi="Palatino Linotype" w:cs="Palatino Linotype"/>
          <w:sz w:val="24"/>
          <w:szCs w:val="24"/>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rPr>
          <w:rFonts w:ascii="Palatino Linotype" w:eastAsia="Palatino Linotype" w:hAnsi="Palatino Linotype" w:cs="Palatino Linotype"/>
        </w:rPr>
      </w:pPr>
    </w:p>
    <w:p w:rsidR="00B9066B" w:rsidRDefault="00B9066B" w:rsidP="00B9066B">
      <w:pPr>
        <w:spacing w:after="0"/>
      </w:pPr>
    </w:p>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B9066B" w:rsidRDefault="00B9066B" w:rsidP="00B9066B"/>
    <w:p w:rsidR="00E55A55" w:rsidRDefault="00E55A55"/>
    <w:sectPr w:rsidR="00E55A55">
      <w:headerReference w:type="default" r:id="rId9"/>
      <w:footerReference w:type="default" r:id="rId10"/>
      <w:headerReference w:type="first" r:id="rId11"/>
      <w:footerReference w:type="first" r:id="rId12"/>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E65" w:rsidRDefault="00CC4E65" w:rsidP="00B9066B">
      <w:pPr>
        <w:spacing w:after="0" w:line="240" w:lineRule="auto"/>
      </w:pPr>
      <w:r>
        <w:separator/>
      </w:r>
    </w:p>
  </w:endnote>
  <w:endnote w:type="continuationSeparator" w:id="0">
    <w:p w:rsidR="00CC4E65" w:rsidRDefault="00CC4E65" w:rsidP="00B9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4D57A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A0FEF">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A0FE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p w:rsidR="002D6FC9" w:rsidRDefault="00CC4E6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4D57A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A0FE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A0FE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p w:rsidR="002D6FC9" w:rsidRDefault="00CC4E6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E65" w:rsidRDefault="00CC4E65" w:rsidP="00B9066B">
      <w:pPr>
        <w:spacing w:after="0" w:line="240" w:lineRule="auto"/>
      </w:pPr>
      <w:r>
        <w:separator/>
      </w:r>
    </w:p>
  </w:footnote>
  <w:footnote w:type="continuationSeparator" w:id="0">
    <w:p w:rsidR="00CC4E65" w:rsidRDefault="00CC4E65" w:rsidP="00B9066B">
      <w:pPr>
        <w:spacing w:after="0" w:line="240" w:lineRule="auto"/>
      </w:pPr>
      <w:r>
        <w:continuationSeparator/>
      </w:r>
    </w:p>
  </w:footnote>
  <w:footnote w:id="1">
    <w:p w:rsidR="00B9066B" w:rsidRPr="00946E1F" w:rsidRDefault="00B9066B" w:rsidP="00B9066B">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CC4E65">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2D6FC9">
      <w:trPr>
        <w:trHeight w:val="227"/>
      </w:trPr>
      <w:tc>
        <w:tcPr>
          <w:tcW w:w="5246" w:type="dxa"/>
        </w:tcPr>
        <w:p w:rsidR="002D6FC9" w:rsidRDefault="004D57A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2D6FC9" w:rsidRDefault="004D57A9" w:rsidP="00BF7361">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w:t>
          </w:r>
          <w:r w:rsidR="00B9066B">
            <w:rPr>
              <w:rFonts w:ascii="Palatino Linotype" w:eastAsia="Palatino Linotype" w:hAnsi="Palatino Linotype" w:cs="Palatino Linotype"/>
              <w:b/>
              <w:sz w:val="24"/>
              <w:szCs w:val="24"/>
            </w:rPr>
            <w:t>3</w:t>
          </w:r>
          <w:r w:rsidR="00BF7361">
            <w:rPr>
              <w:rFonts w:ascii="Palatino Linotype" w:eastAsia="Palatino Linotype" w:hAnsi="Palatino Linotype" w:cs="Palatino Linotype"/>
              <w:b/>
              <w:sz w:val="24"/>
              <w:szCs w:val="24"/>
            </w:rPr>
            <w:t>25</w:t>
          </w:r>
          <w:r>
            <w:rPr>
              <w:rFonts w:ascii="Palatino Linotype" w:eastAsia="Palatino Linotype" w:hAnsi="Palatino Linotype" w:cs="Palatino Linotype"/>
              <w:b/>
              <w:sz w:val="24"/>
              <w:szCs w:val="24"/>
            </w:rPr>
            <w:t>/INFOEM/IP/RR/2026</w:t>
          </w:r>
        </w:p>
      </w:tc>
    </w:tr>
    <w:tr w:rsidR="002D6FC9">
      <w:trPr>
        <w:trHeight w:val="242"/>
      </w:trPr>
      <w:tc>
        <w:tcPr>
          <w:tcW w:w="5246" w:type="dxa"/>
        </w:tcPr>
        <w:p w:rsidR="002D6FC9" w:rsidRDefault="004D57A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2D6FC9" w:rsidRDefault="004D57A9">
          <w:pPr>
            <w:spacing w:after="120" w:line="256" w:lineRule="auto"/>
            <w:ind w:left="-486" w:right="214" w:firstLine="284"/>
            <w:jc w:val="right"/>
            <w:rPr>
              <w:rFonts w:ascii="Palatino Linotype" w:eastAsia="Palatino Linotype" w:hAnsi="Palatino Linotype" w:cs="Palatino Linotype"/>
              <w:b/>
              <w:sz w:val="24"/>
              <w:szCs w:val="24"/>
            </w:rPr>
          </w:pPr>
          <w:r w:rsidRPr="00353F93">
            <w:rPr>
              <w:rFonts w:ascii="Palatino Linotype" w:eastAsia="Palatino Linotype" w:hAnsi="Palatino Linotype" w:cs="Palatino Linotype"/>
              <w:b/>
              <w:color w:val="000000"/>
              <w:sz w:val="24"/>
              <w:szCs w:val="24"/>
            </w:rPr>
            <w:t>Ayuntamiento de Tepotzotlán</w:t>
          </w:r>
        </w:p>
      </w:tc>
    </w:tr>
    <w:tr w:rsidR="002D6FC9">
      <w:trPr>
        <w:trHeight w:val="342"/>
      </w:trPr>
      <w:tc>
        <w:tcPr>
          <w:tcW w:w="5246" w:type="dxa"/>
        </w:tcPr>
        <w:p w:rsidR="002D6FC9" w:rsidRDefault="004D57A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2D6FC9" w:rsidRDefault="004D57A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2D6FC9" w:rsidRDefault="004D57A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DE3A51A" wp14:editId="2141C3EB">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FC9" w:rsidRDefault="00CC4E6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2D6FC9">
      <w:trPr>
        <w:trHeight w:val="227"/>
      </w:trPr>
      <w:tc>
        <w:tcPr>
          <w:tcW w:w="5104" w:type="dxa"/>
        </w:tcPr>
        <w:p w:rsidR="002D6FC9" w:rsidRDefault="004D57A9">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2D6FC9" w:rsidRDefault="004D57A9" w:rsidP="00B9066B">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w:t>
          </w:r>
          <w:r w:rsidR="00B9066B">
            <w:rPr>
              <w:rFonts w:ascii="Palatino Linotype" w:eastAsia="Palatino Linotype" w:hAnsi="Palatino Linotype" w:cs="Palatino Linotype"/>
              <w:b/>
              <w:sz w:val="24"/>
              <w:szCs w:val="24"/>
            </w:rPr>
            <w:t>325</w:t>
          </w:r>
          <w:r>
            <w:rPr>
              <w:rFonts w:ascii="Palatino Linotype" w:eastAsia="Palatino Linotype" w:hAnsi="Palatino Linotype" w:cs="Palatino Linotype"/>
              <w:b/>
              <w:sz w:val="24"/>
              <w:szCs w:val="24"/>
            </w:rPr>
            <w:t>/INFOEM/IP/RR/2026</w:t>
          </w:r>
        </w:p>
      </w:tc>
    </w:tr>
    <w:tr w:rsidR="002D6FC9">
      <w:trPr>
        <w:trHeight w:val="242"/>
      </w:trPr>
      <w:tc>
        <w:tcPr>
          <w:tcW w:w="5104" w:type="dxa"/>
        </w:tcPr>
        <w:p w:rsidR="002D6FC9" w:rsidRDefault="004D57A9">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2D6FC9" w:rsidRDefault="004D57A9">
          <w:pPr>
            <w:spacing w:after="120" w:line="256" w:lineRule="auto"/>
            <w:ind w:left="-486" w:right="214" w:firstLine="284"/>
            <w:jc w:val="right"/>
            <w:rPr>
              <w:rFonts w:ascii="Palatino Linotype" w:eastAsia="Palatino Linotype" w:hAnsi="Palatino Linotype" w:cs="Palatino Linotype"/>
              <w:b/>
            </w:rPr>
          </w:pPr>
          <w:r w:rsidRPr="00353F93">
            <w:rPr>
              <w:rFonts w:ascii="Palatino Linotype" w:eastAsia="Palatino Linotype" w:hAnsi="Palatino Linotype" w:cs="Palatino Linotype"/>
              <w:b/>
              <w:color w:val="000000"/>
              <w:sz w:val="24"/>
              <w:szCs w:val="24"/>
            </w:rPr>
            <w:t>Ayuntamiento de Tepotzotlán</w:t>
          </w:r>
        </w:p>
      </w:tc>
    </w:tr>
    <w:tr w:rsidR="002D6FC9">
      <w:trPr>
        <w:trHeight w:val="342"/>
      </w:trPr>
      <w:tc>
        <w:tcPr>
          <w:tcW w:w="5104" w:type="dxa"/>
        </w:tcPr>
        <w:p w:rsidR="002D6FC9" w:rsidRDefault="004D57A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2D6FC9" w:rsidRDefault="006A0FEF" w:rsidP="002D6FC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w:t>
          </w:r>
          <w:r w:rsidR="004D57A9">
            <w:rPr>
              <w:rFonts w:ascii="Palatino Linotype" w:eastAsia="Palatino Linotype" w:hAnsi="Palatino Linotype" w:cs="Palatino Linotype"/>
              <w:b/>
            </w:rPr>
            <w:t xml:space="preserve"> </w:t>
          </w:r>
          <w:r w:rsidR="004D57A9">
            <w:rPr>
              <w:noProof/>
            </w:rPr>
            <w:drawing>
              <wp:anchor distT="0" distB="0" distL="0" distR="0" simplePos="0" relativeHeight="251660288" behindDoc="1" locked="0" layoutInCell="1" hidden="0" allowOverlap="1" wp14:anchorId="7305D061" wp14:editId="41181A6A">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c>
    </w:tr>
    <w:tr w:rsidR="002D6FC9">
      <w:trPr>
        <w:trHeight w:val="342"/>
      </w:trPr>
      <w:tc>
        <w:tcPr>
          <w:tcW w:w="5104" w:type="dxa"/>
        </w:tcPr>
        <w:p w:rsidR="002D6FC9" w:rsidRDefault="004D57A9">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2D6FC9" w:rsidRDefault="004D57A9">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2D6FC9" w:rsidRDefault="00CC4E6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4" w15:restartNumberingAfterBreak="0">
    <w:nsid w:val="3BDF0BF0"/>
    <w:multiLevelType w:val="hybridMultilevel"/>
    <w:tmpl w:val="F3B4ED1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FF6BCB"/>
    <w:multiLevelType w:val="hybridMultilevel"/>
    <w:tmpl w:val="F3C0990A"/>
    <w:lvl w:ilvl="0" w:tplc="DE8E9CC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53AF2C43"/>
    <w:multiLevelType w:val="hybridMultilevel"/>
    <w:tmpl w:val="09E03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0"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7"/>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6B"/>
    <w:rsid w:val="00101ED5"/>
    <w:rsid w:val="00175F6F"/>
    <w:rsid w:val="002637E2"/>
    <w:rsid w:val="004723C6"/>
    <w:rsid w:val="004D57A9"/>
    <w:rsid w:val="004E5009"/>
    <w:rsid w:val="005415C5"/>
    <w:rsid w:val="0065548D"/>
    <w:rsid w:val="006A0FEF"/>
    <w:rsid w:val="007D08AE"/>
    <w:rsid w:val="008E1217"/>
    <w:rsid w:val="00B9066B"/>
    <w:rsid w:val="00BF7361"/>
    <w:rsid w:val="00C32AEE"/>
    <w:rsid w:val="00CC4E65"/>
    <w:rsid w:val="00CF1262"/>
    <w:rsid w:val="00D028F5"/>
    <w:rsid w:val="00E55A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51CB2-68B2-4BC2-9BEC-F64F78FD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066B"/>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B9066B"/>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9066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9066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9066B"/>
  </w:style>
  <w:style w:type="character" w:styleId="Hipervnculo">
    <w:name w:val="Hyperlink"/>
    <w:aliases w:val="Hipervínculo1,Hipervínculo11,Hipervínculo12,Hipervínculo13,Hipervínculo14,Hipervínculo15"/>
    <w:basedOn w:val="Fuentedeprrafopredeter"/>
    <w:uiPriority w:val="99"/>
    <w:unhideWhenUsed/>
    <w:rsid w:val="00B9066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B9066B"/>
    <w:rPr>
      <w:vertAlign w:val="superscript"/>
    </w:rPr>
  </w:style>
  <w:style w:type="table" w:customStyle="1" w:styleId="Tablaconcuadrcula1">
    <w:name w:val="Tabla con cuadrícula1"/>
    <w:basedOn w:val="Tablanormal"/>
    <w:next w:val="Tablaconcuadrcula"/>
    <w:uiPriority w:val="39"/>
    <w:rsid w:val="00B90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90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906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66B"/>
    <w:rPr>
      <w:rFonts w:ascii="Calibri" w:eastAsia="Calibri" w:hAnsi="Calibri" w:cs="Calibri"/>
      <w:lang w:eastAsia="es-MX"/>
    </w:rPr>
  </w:style>
  <w:style w:type="paragraph" w:styleId="Piedepgina">
    <w:name w:val="footer"/>
    <w:basedOn w:val="Normal"/>
    <w:link w:val="PiedepginaCar"/>
    <w:uiPriority w:val="99"/>
    <w:unhideWhenUsed/>
    <w:rsid w:val="00B906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66B"/>
    <w:rPr>
      <w:rFonts w:ascii="Calibri" w:eastAsia="Calibri" w:hAnsi="Calibri" w:cs="Calibri"/>
      <w:lang w:eastAsia="es-MX"/>
    </w:rPr>
  </w:style>
  <w:style w:type="paragraph" w:styleId="Sinespaciado">
    <w:name w:val="No Spacing"/>
    <w:aliases w:val="Francesa,INAI"/>
    <w:link w:val="SinespaciadoCar"/>
    <w:uiPriority w:val="1"/>
    <w:qFormat/>
    <w:rsid w:val="00CF1262"/>
    <w:pPr>
      <w:spacing w:after="0" w:line="240" w:lineRule="auto"/>
    </w:pPr>
  </w:style>
  <w:style w:type="character" w:customStyle="1" w:styleId="SinespaciadoCar">
    <w:name w:val="Sin espaciado Car"/>
    <w:aliases w:val="Francesa Car,INAI Car"/>
    <w:link w:val="Sinespaciado"/>
    <w:uiPriority w:val="1"/>
    <w:locked/>
    <w:rsid w:val="00CF1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22</Pages>
  <Words>4733</Words>
  <Characters>26036</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11</cp:revision>
  <cp:lastPrinted>2026-04-23T16:10:00Z</cp:lastPrinted>
  <dcterms:created xsi:type="dcterms:W3CDTF">2026-04-09T21:29:00Z</dcterms:created>
  <dcterms:modified xsi:type="dcterms:W3CDTF">2026-04-28T17:34:00Z</dcterms:modified>
</cp:coreProperties>
</file>