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8F8" w:rsidRDefault="00183356">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de fecha diecinueve </w:t>
      </w:r>
      <w:r w:rsidR="00455B9A">
        <w:rPr>
          <w:rFonts w:ascii="Palatino Linotype" w:eastAsia="Palatino Linotype" w:hAnsi="Palatino Linotype" w:cs="Palatino Linotype"/>
          <w:color w:val="000000"/>
        </w:rPr>
        <w:t>de marzo de dos mil veintiséis.</w:t>
      </w:r>
    </w:p>
    <w:p w:rsidR="001408F8" w:rsidRDefault="001408F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408F8" w:rsidRDefault="00183356">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0" w:name="_heading=h.gjdgxs" w:colFirst="0" w:colLast="0"/>
      <w:bookmarkEnd w:id="0"/>
      <w:r>
        <w:rPr>
          <w:rFonts w:ascii="Palatino Linotype" w:eastAsia="Palatino Linotype" w:hAnsi="Palatino Linotype" w:cs="Palatino Linotype"/>
          <w:b/>
          <w:bCs/>
          <w:color w:val="000000"/>
        </w:rPr>
        <w:t>VISTO</w:t>
      </w:r>
      <w:r>
        <w:rPr>
          <w:rFonts w:ascii="Palatino Linotype" w:eastAsia="Palatino Linotype" w:hAnsi="Palatino Linotype" w:cs="Palatino Linotype"/>
          <w:color w:val="000000"/>
        </w:rPr>
        <w:t xml:space="preserve"> el expediente electrónico formado con motivo   del Recursos de Revisión </w:t>
      </w:r>
      <w:r>
        <w:rPr>
          <w:rFonts w:ascii="Palatino Linotype" w:eastAsia="Palatino Linotype" w:hAnsi="Palatino Linotype" w:cs="Palatino Linotype"/>
          <w:b/>
          <w:bCs/>
          <w:color w:val="000000"/>
        </w:rPr>
        <w:t xml:space="preserve">13003/INFOEM/IP/RR/2025 </w:t>
      </w:r>
      <w:r>
        <w:rPr>
          <w:rFonts w:ascii="Palatino Linotype" w:eastAsia="Palatino Linotype" w:hAnsi="Palatino Linotype" w:cs="Palatino Linotype"/>
          <w:color w:val="000000"/>
        </w:rPr>
        <w:t xml:space="preserve">promovido por </w:t>
      </w:r>
      <w:r w:rsidR="00C24241">
        <w:rPr>
          <w:rFonts w:ascii="Palatino Linotype" w:eastAsia="Palatino Linotype" w:hAnsi="Palatino Linotype" w:cs="Palatino Linotype"/>
          <w:b/>
          <w:bCs/>
          <w:sz w:val="22"/>
          <w:szCs w:val="22"/>
        </w:rPr>
        <w:t>XXXX</w:t>
      </w:r>
      <w:r>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Pr>
          <w:rFonts w:ascii="Palatino Linotype" w:eastAsia="Palatino Linotype" w:hAnsi="Palatino Linotype" w:cs="Palatino Linotype"/>
          <w:b/>
          <w:bCs/>
          <w:color w:val="000000"/>
        </w:rPr>
        <w:t>EL RECURRENTE</w:t>
      </w:r>
      <w:r>
        <w:rPr>
          <w:rFonts w:ascii="Palatino Linotype" w:eastAsia="Palatino Linotype" w:hAnsi="Palatino Linotype" w:cs="Palatino Linotype"/>
          <w:color w:val="000000"/>
        </w:rPr>
        <w:t xml:space="preserve">, en contra de las respuestas del </w:t>
      </w:r>
      <w:r>
        <w:rPr>
          <w:rFonts w:ascii="Palatino Linotype" w:eastAsia="Palatino Linotype" w:hAnsi="Palatino Linotype" w:cs="Palatino Linotype"/>
          <w:b/>
          <w:bCs/>
          <w:color w:val="000000"/>
        </w:rPr>
        <w:t xml:space="preserve">Organismo Público Descentralizado para la Prestación de Los Servicios de Agua Potable Alcantarillado y Saneamiento de Tenancingo </w:t>
      </w:r>
      <w:r>
        <w:rPr>
          <w:rFonts w:ascii="Palatino Linotype" w:eastAsia="Palatino Linotype" w:hAnsi="Palatino Linotype" w:cs="Palatino Linotype"/>
          <w:color w:val="000000"/>
        </w:rPr>
        <w:t xml:space="preserve">en </w:t>
      </w:r>
      <w:r>
        <w:rPr>
          <w:rFonts w:ascii="Palatino Linotype" w:eastAsia="Palatino Linotype" w:hAnsi="Palatino Linotype" w:cs="Palatino Linotype"/>
        </w:rPr>
        <w:t>adelante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EL SUJETO OBLIGADO</w:t>
      </w:r>
      <w:r>
        <w:rPr>
          <w:rFonts w:ascii="Palatino Linotype" w:eastAsia="Palatino Linotype" w:hAnsi="Palatino Linotype" w:cs="Palatino Linotype"/>
          <w:color w:val="000000"/>
        </w:rPr>
        <w:t>, se procede a dictar la presente resolución, con base en los siguientes:</w:t>
      </w:r>
    </w:p>
    <w:p w:rsidR="001408F8" w:rsidRDefault="001408F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408F8" w:rsidRDefault="00183356">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 N T E C E D E N T E S</w:t>
      </w:r>
    </w:p>
    <w:p w:rsidR="001408F8" w:rsidRDefault="001408F8">
      <w:pPr>
        <w:spacing w:line="360" w:lineRule="auto"/>
        <w:rPr>
          <w:rFonts w:ascii="Palatino Linotype" w:eastAsia="Palatino Linotype" w:hAnsi="Palatino Linotype" w:cs="Palatino Linotype"/>
        </w:rPr>
      </w:pPr>
    </w:p>
    <w:p w:rsidR="001408F8" w:rsidRDefault="0018335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veintiocho de octubre de dos mil veinticinco,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ingreso la solicitud de información, el Sistema de Acceso a la Información</w:t>
      </w:r>
      <w:r>
        <w:rPr>
          <w:rFonts w:ascii="Palatino Linotype" w:eastAsia="Palatino Linotype" w:hAnsi="Palatino Linotype" w:cs="Palatino Linotype"/>
          <w:b/>
          <w:bCs/>
          <w:color w:val="000000"/>
        </w:rPr>
        <w:t xml:space="preserve"> , </w:t>
      </w:r>
      <w:r>
        <w:rPr>
          <w:rFonts w:ascii="Palatino Linotype" w:eastAsia="Palatino Linotype" w:hAnsi="Palatino Linotype" w:cs="Palatino Linotype"/>
          <w:color w:val="000000"/>
        </w:rPr>
        <w:t xml:space="preserve">quedando  registrada con el número </w:t>
      </w:r>
      <w:r>
        <w:rPr>
          <w:rFonts w:ascii="Palatino Linotype" w:eastAsia="Palatino Linotype" w:hAnsi="Palatino Linotype" w:cs="Palatino Linotype"/>
          <w:b/>
          <w:bCs/>
          <w:color w:val="000000"/>
        </w:rPr>
        <w:t xml:space="preserve">00082/OASTENANCI/IP/2025, </w:t>
      </w:r>
      <w:r>
        <w:rPr>
          <w:rFonts w:ascii="Palatino Linotype" w:eastAsia="Palatino Linotype" w:hAnsi="Palatino Linotype" w:cs="Palatino Linotype"/>
        </w:rPr>
        <w:t xml:space="preserve">en la que </w:t>
      </w:r>
      <w:r>
        <w:rPr>
          <w:rFonts w:ascii="Palatino Linotype" w:eastAsia="Palatino Linotype" w:hAnsi="Palatino Linotype" w:cs="Palatino Linotype"/>
          <w:color w:val="000000"/>
        </w:rPr>
        <w:t>se solicitó la siguiente información:</w:t>
      </w:r>
    </w:p>
    <w:p w:rsidR="001408F8" w:rsidRDefault="001408F8">
      <w:pPr>
        <w:jc w:val="both"/>
        <w:rPr>
          <w:rFonts w:ascii="Palatino Linotype" w:eastAsia="Palatino Linotype" w:hAnsi="Palatino Linotype" w:cs="Palatino Linotype"/>
          <w:i/>
          <w:iCs/>
          <w:sz w:val="22"/>
          <w:szCs w:val="22"/>
        </w:rPr>
      </w:pPr>
    </w:p>
    <w:p w:rsidR="001408F8" w:rsidRDefault="00183356">
      <w:pPr>
        <w:pBdr>
          <w:top w:val="nil"/>
          <w:left w:val="nil"/>
          <w:bottom w:val="nil"/>
          <w:right w:val="nil"/>
          <w:between w:val="nil"/>
        </w:pBdr>
        <w:ind w:left="1134" w:right="113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”quiero todos los contratos que tengan, que adquieieron, cuanto costo, de que partida del presupuesto salio TODO EN VERSION PUBLICA”(Sic)</w:t>
      </w:r>
      <w:bookmarkStart w:id="1" w:name="_GoBack"/>
      <w:bookmarkEnd w:id="1"/>
    </w:p>
    <w:p w:rsidR="001408F8" w:rsidRDefault="001408F8">
      <w:pPr>
        <w:pBdr>
          <w:top w:val="nil"/>
          <w:left w:val="nil"/>
          <w:bottom w:val="nil"/>
          <w:right w:val="nil"/>
          <w:between w:val="nil"/>
        </w:pBdr>
        <w:spacing w:line="360" w:lineRule="auto"/>
        <w:ind w:left="1134" w:right="1134"/>
        <w:jc w:val="both"/>
        <w:rPr>
          <w:rFonts w:ascii="Palatino Linotype" w:eastAsia="Palatino Linotype" w:hAnsi="Palatino Linotype" w:cs="Palatino Linotype"/>
          <w:i/>
          <w:iCs/>
          <w:sz w:val="22"/>
          <w:szCs w:val="22"/>
        </w:rPr>
      </w:pPr>
    </w:p>
    <w:p w:rsidR="001408F8" w:rsidRDefault="00183356">
      <w:pPr>
        <w:numPr>
          <w:ilvl w:val="0"/>
          <w:numId w:val="1"/>
        </w:numPr>
        <w:pBdr>
          <w:top w:val="nil"/>
          <w:left w:val="nil"/>
          <w:bottom w:val="nil"/>
          <w:right w:val="nil"/>
          <w:between w:val="nil"/>
        </w:pBdr>
        <w:spacing w:line="360" w:lineRule="auto"/>
        <w:ind w:left="1134"/>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lastRenderedPageBreak/>
        <w:t>Modalidad de entrega</w:t>
      </w:r>
      <w:r>
        <w:rPr>
          <w:rFonts w:ascii="Palatino Linotype" w:eastAsia="Palatino Linotype" w:hAnsi="Palatino Linotype" w:cs="Palatino Linotype"/>
          <w:color w:val="000000"/>
        </w:rPr>
        <w:t>: Sistema de Acceso a la Información (SAIMEX)</w:t>
      </w:r>
    </w:p>
    <w:p w:rsidR="001408F8" w:rsidRDefault="001408F8">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1408F8" w:rsidRDefault="0018335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veintinueve de octubre atendiendo al</w:t>
      </w:r>
      <w:r>
        <w:rPr>
          <w:rFonts w:ascii="Palatino Linotype" w:eastAsia="Palatino Linotype" w:hAnsi="Palatino Linotype" w:cs="Palatino Linotype"/>
        </w:rPr>
        <w:t xml:space="preserve"> criterio de oportunidad previsto en el numeral 159 de la Ley de Transparencia el Sujeto Obligado presentó solicitud de Aclaración al particular requiriéndole indicar periodo o ejercicio fiscal al que se refiere y el tipo de contratos que desea consultar; de lo anterior, en fecha cuatro de noviembre de dos mil veinticinco el particular señaló los contratos de obra pública, servicios, adquisiciones o arrendamientos de los ejercicios fiscales 2022, 2024 y 2025 a la fecha de la solicitud.</w:t>
      </w:r>
    </w:p>
    <w:p w:rsidR="001408F8" w:rsidRDefault="001408F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408F8" w:rsidRDefault="0018335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once de noviembre de dos mil veinticinco,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dio respuesta por medio de un archivo electrónico en formato pdf, de cuyo contenido se desprende lo siguiente:</w:t>
      </w:r>
    </w:p>
    <w:p w:rsidR="001408F8" w:rsidRDefault="001408F8">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408F8" w:rsidRDefault="00183356">
      <w:pPr>
        <w:pBdr>
          <w:top w:val="nil"/>
          <w:left w:val="nil"/>
          <w:bottom w:val="nil"/>
          <w:right w:val="nil"/>
          <w:between w:val="nil"/>
        </w:pBdr>
        <w:ind w:left="72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Respuesta Transparencia 00082.PDF </w:t>
      </w:r>
    </w:p>
    <w:p w:rsidR="001408F8" w:rsidRDefault="00183356">
      <w:pPr>
        <w:pBdr>
          <w:top w:val="nil"/>
          <w:left w:val="nil"/>
          <w:bottom w:val="nil"/>
          <w:right w:val="nil"/>
          <w:between w:val="nil"/>
        </w:pBdr>
        <w:ind w:left="72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i/>
          <w:iCs/>
          <w:color w:val="000000"/>
          <w:sz w:val="22"/>
          <w:szCs w:val="22"/>
        </w:rPr>
        <w:t>Donde el Titular de la Unidad de Transparencia entrega respuesta del Encargado de Despacho de la Dirección de Administración y Finanzas, quien señala que no encontró evidencia de documentos referidos como “contratyos”.</w:t>
      </w:r>
    </w:p>
    <w:p w:rsidR="001408F8" w:rsidRDefault="001408F8">
      <w:pPr>
        <w:pBdr>
          <w:top w:val="nil"/>
          <w:left w:val="nil"/>
          <w:bottom w:val="nil"/>
          <w:right w:val="nil"/>
          <w:between w:val="nil"/>
        </w:pBdr>
        <w:ind w:left="720"/>
        <w:jc w:val="both"/>
        <w:rPr>
          <w:rFonts w:ascii="Palatino Linotype" w:eastAsia="Palatino Linotype" w:hAnsi="Palatino Linotype" w:cs="Palatino Linotype"/>
          <w:b/>
          <w:bCs/>
          <w:i/>
          <w:iCs/>
          <w:color w:val="000000"/>
          <w:sz w:val="22"/>
          <w:szCs w:val="22"/>
        </w:rPr>
      </w:pPr>
    </w:p>
    <w:p w:rsidR="001408F8" w:rsidRDefault="00183356">
      <w:pPr>
        <w:numPr>
          <w:ilvl w:val="0"/>
          <w:numId w:val="3"/>
        </w:numPr>
        <w:pBdr>
          <w:top w:val="nil"/>
          <w:left w:val="nil"/>
          <w:bottom w:val="nil"/>
          <w:right w:val="nil"/>
          <w:between w:val="nil"/>
        </w:pBdr>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once de noviembre de dos mil veinticinco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interpuso recurso de revisión en contra de la respuestas emitida por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señalando las siguientes razones o motivos de inconformidad:</w:t>
      </w:r>
    </w:p>
    <w:p w:rsidR="001408F8" w:rsidRDefault="001408F8">
      <w:pPr>
        <w:jc w:val="both"/>
        <w:rPr>
          <w:rFonts w:ascii="Palatino Linotype" w:eastAsia="Palatino Linotype" w:hAnsi="Palatino Linotype" w:cs="Palatino Linotype"/>
          <w:color w:val="000000"/>
        </w:rPr>
      </w:pPr>
    </w:p>
    <w:p w:rsidR="001408F8" w:rsidRDefault="001408F8">
      <w:pPr>
        <w:jc w:val="both"/>
        <w:rPr>
          <w:rFonts w:ascii="Palatino Linotype" w:eastAsia="Palatino Linotype" w:hAnsi="Palatino Linotype" w:cs="Palatino Linotype"/>
          <w:color w:val="000000"/>
        </w:rPr>
      </w:pPr>
    </w:p>
    <w:p w:rsidR="001408F8" w:rsidRDefault="00183356">
      <w:pPr>
        <w:ind w:left="1134" w:right="1134"/>
        <w:jc w:val="both"/>
        <w:rPr>
          <w:rFonts w:ascii="Palatino Linotype" w:eastAsia="Palatino Linotype" w:hAnsi="Palatino Linotype" w:cs="Palatino Linotype"/>
          <w:b/>
          <w:bCs/>
          <w:color w:val="000000"/>
          <w:sz w:val="22"/>
          <w:szCs w:val="22"/>
        </w:rPr>
      </w:pPr>
      <w:bookmarkStart w:id="2" w:name="_heading=h.1fob9te" w:colFirst="0" w:colLast="0"/>
      <w:bookmarkEnd w:id="2"/>
      <w:r>
        <w:rPr>
          <w:rFonts w:ascii="Palatino Linotype" w:eastAsia="Palatino Linotype" w:hAnsi="Palatino Linotype" w:cs="Palatino Linotype"/>
          <w:b/>
          <w:bCs/>
          <w:color w:val="000000"/>
        </w:rPr>
        <w:t>ACTO IMPUGNADO</w:t>
      </w:r>
      <w:r>
        <w:rPr>
          <w:rFonts w:ascii="Palatino Linotype" w:eastAsia="Palatino Linotype" w:hAnsi="Palatino Linotype" w:cs="Palatino Linotype"/>
          <w:b/>
          <w:bCs/>
          <w:color w:val="000000"/>
          <w:sz w:val="22"/>
          <w:szCs w:val="22"/>
        </w:rPr>
        <w:t xml:space="preserve">: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color w:val="000000"/>
          <w:sz w:val="22"/>
          <w:szCs w:val="22"/>
        </w:rPr>
        <w:lastRenderedPageBreak/>
        <w:t>“NO ME QUIEREN ENTREGAR INFORMACION SIEMPRE SE NIEGAN, LA SUPUESTA UNIDAD DE TRANSPARENCIA OCULTA TODO</w:t>
      </w:r>
      <w:r>
        <w:rPr>
          <w:rFonts w:ascii="Palatino Linotype" w:eastAsia="Palatino Linotype" w:hAnsi="Palatino Linotype" w:cs="Palatino Linotype"/>
          <w:i/>
          <w:iCs/>
          <w:sz w:val="22"/>
          <w:szCs w:val="22"/>
        </w:rPr>
        <w:t>”(Sic.)</w:t>
      </w:r>
    </w:p>
    <w:p w:rsidR="001408F8" w:rsidRDefault="00183356">
      <w:pPr>
        <w:pBdr>
          <w:top w:val="nil"/>
          <w:left w:val="nil"/>
          <w:bottom w:val="nil"/>
          <w:right w:val="nil"/>
          <w:between w:val="nil"/>
        </w:pBdr>
        <w:ind w:left="11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w:t>
      </w:r>
    </w:p>
    <w:p w:rsidR="001408F8" w:rsidRDefault="001408F8">
      <w:pPr>
        <w:pBdr>
          <w:top w:val="nil"/>
          <w:left w:val="nil"/>
          <w:bottom w:val="nil"/>
          <w:right w:val="nil"/>
          <w:between w:val="nil"/>
        </w:pBdr>
        <w:ind w:left="1134"/>
        <w:jc w:val="both"/>
        <w:rPr>
          <w:rFonts w:ascii="Palatino Linotype" w:eastAsia="Palatino Linotype" w:hAnsi="Palatino Linotype" w:cs="Palatino Linotype"/>
          <w:color w:val="000000"/>
          <w:sz w:val="22"/>
          <w:szCs w:val="22"/>
        </w:rPr>
      </w:pPr>
    </w:p>
    <w:p w:rsidR="001408F8" w:rsidRDefault="00183356">
      <w:pPr>
        <w:ind w:left="1134" w:right="1134"/>
        <w:jc w:val="both"/>
        <w:rPr>
          <w:rFonts w:ascii="Palatino Linotype" w:eastAsia="Palatino Linotype" w:hAnsi="Palatino Linotype" w:cs="Palatino Linotype"/>
          <w:b/>
          <w:bCs/>
          <w:color w:val="000000"/>
          <w:sz w:val="22"/>
          <w:szCs w:val="22"/>
        </w:rPr>
      </w:pPr>
      <w:bookmarkStart w:id="3" w:name="_heading=h.3znysh7" w:colFirst="0" w:colLast="0"/>
      <w:bookmarkEnd w:id="3"/>
      <w:r>
        <w:rPr>
          <w:rFonts w:ascii="Palatino Linotype" w:eastAsia="Palatino Linotype" w:hAnsi="Palatino Linotype" w:cs="Palatino Linotype"/>
          <w:b/>
          <w:bCs/>
          <w:color w:val="000000"/>
        </w:rPr>
        <w:t>RAZONES O MOTIVOS DE INCONFORMIDAD</w:t>
      </w:r>
      <w:r>
        <w:rPr>
          <w:rFonts w:ascii="Palatino Linotype" w:eastAsia="Palatino Linotype" w:hAnsi="Palatino Linotype" w:cs="Palatino Linotype"/>
          <w:b/>
          <w:bCs/>
          <w:color w:val="000000"/>
          <w:sz w:val="22"/>
          <w:szCs w:val="22"/>
        </w:rPr>
        <w:t xml:space="preserve">: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color w:val="000000"/>
          <w:sz w:val="22"/>
          <w:szCs w:val="22"/>
        </w:rPr>
        <w:t>“</w:t>
      </w:r>
      <w:r>
        <w:rPr>
          <w:rFonts w:ascii="Palatino Linotype" w:eastAsia="Palatino Linotype" w:hAnsi="Palatino Linotype" w:cs="Palatino Linotype"/>
          <w:i/>
          <w:iCs/>
          <w:sz w:val="22"/>
          <w:szCs w:val="22"/>
        </w:rPr>
        <w:t>QUIERO TODA LA INFORMACION DE CONTRATOS, TODAS LAS UNIDADES TIENEN CONTRATOS O NO ADQUIEREN NADA? NO TIENES NINGUN PROVEDOR?”(Sic).</w:t>
      </w:r>
    </w:p>
    <w:p w:rsidR="001408F8" w:rsidRDefault="00183356">
      <w:pPr>
        <w:pBdr>
          <w:top w:val="nil"/>
          <w:left w:val="nil"/>
          <w:bottom w:val="nil"/>
          <w:right w:val="nil"/>
          <w:between w:val="nil"/>
        </w:pBdr>
        <w:ind w:left="1134" w:right="11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iCs/>
          <w:color w:val="000000"/>
          <w:sz w:val="22"/>
          <w:szCs w:val="22"/>
        </w:rPr>
        <w:t>”</w:t>
      </w:r>
    </w:p>
    <w:p w:rsidR="001408F8" w:rsidRDefault="001408F8">
      <w:pPr>
        <w:jc w:val="both"/>
        <w:rPr>
          <w:rFonts w:ascii="Palatino Linotype" w:eastAsia="Palatino Linotype" w:hAnsi="Palatino Linotype" w:cs="Palatino Linotype"/>
          <w:b/>
          <w:bCs/>
          <w:i/>
          <w:iCs/>
          <w:color w:val="000000"/>
          <w:sz w:val="22"/>
          <w:szCs w:val="22"/>
        </w:rPr>
      </w:pPr>
    </w:p>
    <w:p w:rsidR="001408F8" w:rsidRDefault="0018335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Consecutivamente</w:t>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color w:val="000000"/>
        </w:rPr>
        <w:t xml:space="preserve">con fundamento en lo dispuesto por el artículo 185 fracción I de la Ley de Transparencia y Acceso a la Información Pública del Estado de México y Municipios, el recurso fue turnado a la ponencia de la </w:t>
      </w:r>
      <w:r>
        <w:rPr>
          <w:rFonts w:ascii="Palatino Linotype" w:eastAsia="Palatino Linotype" w:hAnsi="Palatino Linotype" w:cs="Palatino Linotype"/>
          <w:b/>
          <w:bCs/>
          <w:color w:val="000000"/>
        </w:rPr>
        <w:t>Comisionada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María del Rosario Mejía Ayala</w:t>
      </w:r>
      <w:r>
        <w:rPr>
          <w:rFonts w:ascii="Palatino Linotype" w:eastAsia="Palatino Linotype" w:hAnsi="Palatino Linotype" w:cs="Palatino Linotype"/>
          <w:color w:val="000000"/>
        </w:rPr>
        <w:t>,</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con el objeto de su análisis.</w:t>
      </w:r>
    </w:p>
    <w:p w:rsidR="001408F8" w:rsidRDefault="001408F8">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1408F8" w:rsidRDefault="0018335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Pr>
          <w:rFonts w:ascii="Palatino Linotype" w:eastAsia="Palatino Linotype" w:hAnsi="Palatino Linotype" w:cs="Palatino Linotype"/>
          <w:b/>
          <w:bCs/>
          <w:color w:val="000000"/>
        </w:rPr>
        <w:t xml:space="preserve">acuerdo de admisión </w:t>
      </w:r>
      <w:r>
        <w:rPr>
          <w:rFonts w:ascii="Palatino Linotype" w:eastAsia="Palatino Linotype" w:hAnsi="Palatino Linotype" w:cs="Palatino Linotype"/>
          <w:color w:val="000000"/>
        </w:rPr>
        <w:t xml:space="preserve">del </w:t>
      </w:r>
      <w:r>
        <w:rPr>
          <w:rFonts w:ascii="Palatino Linotype" w:eastAsia="Palatino Linotype" w:hAnsi="Palatino Linotype" w:cs="Palatino Linotype"/>
          <w:b/>
          <w:bCs/>
          <w:color w:val="000000"/>
        </w:rPr>
        <w:t xml:space="preserve">diecinueve de noviembre de dos mil veinticinco, </w:t>
      </w:r>
      <w:r>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al caso concreto, de esta forma para que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rPr>
        <w:t>presentase</w:t>
      </w:r>
      <w:r>
        <w:rPr>
          <w:rFonts w:ascii="Palatino Linotype" w:eastAsia="Palatino Linotype" w:hAnsi="Palatino Linotype" w:cs="Palatino Linotype"/>
          <w:color w:val="000000"/>
        </w:rPr>
        <w:t xml:space="preserve"> el Informe Justificado procedente.</w:t>
      </w:r>
    </w:p>
    <w:p w:rsidR="001408F8" w:rsidRDefault="001408F8">
      <w:pPr>
        <w:pBdr>
          <w:top w:val="nil"/>
          <w:left w:val="nil"/>
          <w:bottom w:val="nil"/>
          <w:right w:val="nil"/>
          <w:between w:val="nil"/>
        </w:pBdr>
        <w:ind w:left="708"/>
        <w:rPr>
          <w:rFonts w:ascii="Palatino Linotype" w:eastAsia="Palatino Linotype" w:hAnsi="Palatino Linotype" w:cs="Palatino Linotype"/>
          <w:color w:val="000000"/>
        </w:rPr>
      </w:pPr>
    </w:p>
    <w:p w:rsidR="001408F8" w:rsidRDefault="0018335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 xml:space="preserve">En esa línea, en fecha veinticuatro de noviembre de dos mil veinticinco mediante archivo electrónico  </w:t>
      </w:r>
      <w:r>
        <w:rPr>
          <w:rFonts w:ascii="Palatino Linotype" w:eastAsia="Palatino Linotype" w:hAnsi="Palatino Linotype" w:cs="Palatino Linotype"/>
          <w:color w:val="000000"/>
        </w:rPr>
        <w:tab/>
      </w:r>
      <w:r>
        <w:rPr>
          <w:rFonts w:ascii="Palatino Linotype" w:eastAsia="Palatino Linotype" w:hAnsi="Palatino Linotype" w:cs="Palatino Linotype"/>
          <w:b/>
          <w:bCs/>
          <w:color w:val="000000"/>
        </w:rPr>
        <w:t xml:space="preserve">Respuesta Recurso Revisión Transparencia </w:t>
      </w:r>
      <w:r>
        <w:rPr>
          <w:rFonts w:ascii="Palatino Linotype" w:eastAsia="Palatino Linotype" w:hAnsi="Palatino Linotype" w:cs="Palatino Linotype"/>
          <w:b/>
          <w:bCs/>
          <w:color w:val="000000"/>
        </w:rPr>
        <w:lastRenderedPageBreak/>
        <w:t xml:space="preserve">00082.PDF </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medularmente confirmó su respuesta inicial, informe que fue puesto a la vista del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en fecha diez de marzo de dos mil veintiséis, sin embargo éste fue omiso en presentar Manifestaciones que a su derecho convinieran.</w:t>
      </w:r>
    </w:p>
    <w:p w:rsidR="001408F8" w:rsidRDefault="001408F8">
      <w:pPr>
        <w:pBdr>
          <w:top w:val="nil"/>
          <w:left w:val="nil"/>
          <w:bottom w:val="nil"/>
          <w:right w:val="nil"/>
          <w:between w:val="nil"/>
        </w:pBdr>
        <w:spacing w:line="360" w:lineRule="auto"/>
        <w:ind w:left="786"/>
        <w:jc w:val="both"/>
        <w:rPr>
          <w:rFonts w:ascii="Palatino Linotype" w:eastAsia="Palatino Linotype" w:hAnsi="Palatino Linotype" w:cs="Palatino Linotype"/>
          <w:i/>
          <w:iCs/>
          <w:color w:val="000000"/>
        </w:rPr>
      </w:pPr>
    </w:p>
    <w:p w:rsidR="001408F8" w:rsidRDefault="0018335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bookmarkStart w:id="4" w:name="_heading=h.2et92p0" w:colFirst="0" w:colLast="0"/>
      <w:bookmarkEnd w:id="4"/>
      <w:r>
        <w:rPr>
          <w:rFonts w:ascii="Palatino Linotype" w:eastAsia="Palatino Linotype" w:hAnsi="Palatino Linotype" w:cs="Palatino Linotype"/>
          <w:color w:val="000000"/>
        </w:rPr>
        <w:t xml:space="preserve">En </w:t>
      </w:r>
      <w:r>
        <w:rPr>
          <w:rFonts w:ascii="Palatino Linotype" w:eastAsia="Palatino Linotype" w:hAnsi="Palatino Linotype" w:cs="Palatino Linotype"/>
          <w:b/>
          <w:bCs/>
          <w:color w:val="000000"/>
        </w:rPr>
        <w:t>fecha veintisiete de enero de dos mil veintiséis</w:t>
      </w:r>
      <w:r>
        <w:rPr>
          <w:rFonts w:ascii="Palatino Linotype" w:eastAsia="Palatino Linotype" w:hAnsi="Palatino Linotype" w:cs="Palatino Linotype"/>
          <w:color w:val="000000"/>
        </w:rPr>
        <w:t>, se acordó ampliar el término para resolver el presente asunto.</w:t>
      </w:r>
    </w:p>
    <w:p w:rsidR="001408F8" w:rsidRDefault="001408F8">
      <w:pPr>
        <w:pBdr>
          <w:top w:val="nil"/>
          <w:left w:val="nil"/>
          <w:bottom w:val="nil"/>
          <w:right w:val="nil"/>
          <w:between w:val="nil"/>
        </w:pBdr>
        <w:ind w:left="720"/>
        <w:rPr>
          <w:rFonts w:ascii="Palatino Linotype" w:eastAsia="Palatino Linotype" w:hAnsi="Palatino Linotype" w:cs="Palatino Linotype"/>
          <w:b/>
          <w:bCs/>
          <w:color w:val="000000"/>
        </w:rPr>
      </w:pPr>
    </w:p>
    <w:p w:rsidR="001408F8" w:rsidRDefault="0018335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1408F8" w:rsidRDefault="001408F8">
      <w:pPr>
        <w:pBdr>
          <w:top w:val="nil"/>
          <w:left w:val="nil"/>
          <w:bottom w:val="nil"/>
          <w:right w:val="nil"/>
          <w:between w:val="nil"/>
        </w:pBdr>
        <w:ind w:left="720"/>
        <w:rPr>
          <w:rFonts w:ascii="Palatino Linotype" w:eastAsia="Palatino Linotype" w:hAnsi="Palatino Linotype" w:cs="Palatino Linotype"/>
          <w:color w:val="000000"/>
        </w:rPr>
      </w:pPr>
    </w:p>
    <w:p w:rsidR="001408F8" w:rsidRDefault="00183356">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La Comisionada Ponente decretó el cierre de instrucción mediante el acuerdo del </w:t>
      </w:r>
      <w:r>
        <w:rPr>
          <w:rFonts w:ascii="Palatino Linotype" w:eastAsia="Palatino Linotype" w:hAnsi="Palatino Linotype" w:cs="Palatino Linotype"/>
          <w:b/>
          <w:bCs/>
        </w:rPr>
        <w:t xml:space="preserve">diecisiete de marzo de dos mil veintiséis; </w:t>
      </w:r>
      <w:r>
        <w:rPr>
          <w:rFonts w:ascii="Palatino Linotype" w:eastAsia="Palatino Linotype" w:hAnsi="Palatino Linotype" w:cs="Palatino Linotype"/>
        </w:rPr>
        <w:t xml:space="preserve">por lo que en virtud de que el expediente electrónico ha sido debidamente substanciado y no existe diligencia pendiente de desahogo, se procede a emitir la presente resolución que conforme a Derecho corresponda y; </w:t>
      </w:r>
    </w:p>
    <w:p w:rsidR="001408F8" w:rsidRDefault="001408F8">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408F8" w:rsidRDefault="00183356">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C O N S I D E R A N D O </w:t>
      </w:r>
    </w:p>
    <w:p w:rsidR="001408F8" w:rsidRDefault="00183356">
      <w:pPr>
        <w:pStyle w:val="Ttulo2"/>
        <w:spacing w:before="0" w:line="360" w:lineRule="auto"/>
        <w:rPr>
          <w:rFonts w:ascii="Palatino Linotype" w:eastAsia="Palatino Linotype" w:hAnsi="Palatino Linotype" w:cs="Palatino Linotype"/>
          <w:b/>
          <w:bCs/>
          <w:color w:val="000000"/>
          <w:sz w:val="24"/>
          <w:szCs w:val="24"/>
        </w:rPr>
      </w:pPr>
      <w:bookmarkStart w:id="5" w:name="_heading=h.tyjcwt" w:colFirst="0" w:colLast="0"/>
      <w:bookmarkEnd w:id="5"/>
      <w:r>
        <w:rPr>
          <w:rFonts w:ascii="Palatino Linotype" w:eastAsia="Palatino Linotype" w:hAnsi="Palatino Linotype" w:cs="Palatino Linotype"/>
          <w:b/>
          <w:bCs/>
          <w:color w:val="000000"/>
          <w:sz w:val="24"/>
          <w:szCs w:val="24"/>
        </w:rPr>
        <w:lastRenderedPageBreak/>
        <w:t>PRIMERO. De la competencia</w:t>
      </w:r>
    </w:p>
    <w:p w:rsidR="001408F8" w:rsidRDefault="0018335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1408F8" w:rsidRDefault="001408F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bookmarkStart w:id="6" w:name="_heading=h.3dy6vkm" w:colFirst="0" w:colLast="0"/>
      <w:bookmarkEnd w:id="6"/>
    </w:p>
    <w:p w:rsidR="001408F8" w:rsidRDefault="0018335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bookmarkStart w:id="7" w:name="_heading=h.1t3h5sf" w:colFirst="0" w:colLast="0"/>
      <w:bookmarkEnd w:id="7"/>
      <w:r>
        <w:rPr>
          <w:rFonts w:ascii="Palatino Linotype" w:eastAsia="Palatino Linotype" w:hAnsi="Palatino Linotype" w:cs="Palatino Linotype"/>
          <w:b/>
          <w:bCs/>
          <w:color w:val="000000"/>
        </w:rPr>
        <w:t>SEGUNDO. De la oportunidad y procedencia.</w:t>
      </w:r>
    </w:p>
    <w:p w:rsidR="001408F8" w:rsidRDefault="00183356">
      <w:pPr>
        <w:numPr>
          <w:ilvl w:val="0"/>
          <w:numId w:val="3"/>
        </w:numPr>
        <w:pBdr>
          <w:top w:val="nil"/>
          <w:left w:val="nil"/>
          <w:bottom w:val="nil"/>
          <w:right w:val="nil"/>
          <w:between w:val="nil"/>
        </w:pBdr>
        <w:spacing w:line="360" w:lineRule="auto"/>
        <w:ind w:left="0" w:firstLine="0"/>
        <w:jc w:val="both"/>
        <w:rPr>
          <w:color w:val="000000"/>
        </w:rPr>
      </w:pPr>
      <w:bookmarkStart w:id="8" w:name="_heading=h.4d34og8" w:colFirst="0" w:colLast="0"/>
      <w:bookmarkEnd w:id="8"/>
      <w:r>
        <w:rPr>
          <w:rFonts w:ascii="Palatino Linotype" w:eastAsia="Palatino Linotype" w:hAnsi="Palatino Linotype" w:cs="Palatino Linotype"/>
          <w:color w:val="000000"/>
        </w:rPr>
        <w:t xml:space="preserve">Los medios de impugnación fueron presentados a través del </w:t>
      </w:r>
      <w:r>
        <w:rPr>
          <w:rFonts w:ascii="Palatino Linotype" w:eastAsia="Palatino Linotype" w:hAnsi="Palatino Linotype" w:cs="Palatino Linotype"/>
          <w:b/>
          <w:bCs/>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entregó su respuesta el </w:t>
      </w:r>
      <w:r>
        <w:rPr>
          <w:rFonts w:ascii="Palatino Linotype" w:eastAsia="Palatino Linotype" w:hAnsi="Palatino Linotype" w:cs="Palatino Linotype"/>
          <w:b/>
          <w:bCs/>
          <w:color w:val="000000"/>
        </w:rPr>
        <w:t>once de noviembre de dos mil veinticinco</w:t>
      </w:r>
      <w:r>
        <w:rPr>
          <w:rFonts w:ascii="Palatino Linotype" w:eastAsia="Palatino Linotype" w:hAnsi="Palatino Linotype" w:cs="Palatino Linotype"/>
          <w:color w:val="000000"/>
        </w:rPr>
        <w:t xml:space="preserve">, de tal forma que el plazo para interponer el recurso de revisión transcurrió del día </w:t>
      </w:r>
      <w:r>
        <w:rPr>
          <w:rFonts w:ascii="Palatino Linotype" w:eastAsia="Palatino Linotype" w:hAnsi="Palatino Linotype" w:cs="Palatino Linotype"/>
          <w:b/>
          <w:bCs/>
          <w:color w:val="000000"/>
        </w:rPr>
        <w:t>doce de noviembre al tres de diciembre de dos mil veinticinco</w:t>
      </w:r>
      <w:r>
        <w:rPr>
          <w:rFonts w:ascii="Palatino Linotype" w:eastAsia="Palatino Linotype" w:hAnsi="Palatino Linotype" w:cs="Palatino Linotype"/>
          <w:color w:val="000000"/>
        </w:rPr>
        <w:t xml:space="preserve">; en consecuencia, el ahora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lastRenderedPageBreak/>
        <w:t xml:space="preserve">presentó su inconformidad el día </w:t>
      </w:r>
      <w:r>
        <w:rPr>
          <w:rFonts w:ascii="Palatino Linotype" w:eastAsia="Palatino Linotype" w:hAnsi="Palatino Linotype" w:cs="Palatino Linotype"/>
          <w:b/>
          <w:bCs/>
          <w:color w:val="000000"/>
        </w:rPr>
        <w:t>once de noviembre de dos mil veinticinco</w:t>
      </w:r>
      <w:r>
        <w:rPr>
          <w:rFonts w:ascii="Palatino Linotype" w:eastAsia="Palatino Linotype" w:hAnsi="Palatino Linotype" w:cs="Palatino Linotype"/>
          <w:color w:val="000000"/>
        </w:rPr>
        <w:t>; es decir dentro del lapso legalmente establecido para tal efecto.</w:t>
      </w:r>
    </w:p>
    <w:p w:rsidR="001408F8" w:rsidRDefault="001408F8">
      <w:pPr>
        <w:pBdr>
          <w:top w:val="nil"/>
          <w:left w:val="nil"/>
          <w:bottom w:val="nil"/>
          <w:right w:val="nil"/>
          <w:between w:val="nil"/>
        </w:pBdr>
        <w:spacing w:line="360" w:lineRule="auto"/>
        <w:jc w:val="both"/>
        <w:rPr>
          <w:color w:val="000000"/>
        </w:rPr>
      </w:pPr>
    </w:p>
    <w:p w:rsidR="001408F8" w:rsidRDefault="00183356">
      <w:pPr>
        <w:numPr>
          <w:ilvl w:val="0"/>
          <w:numId w:val="3"/>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1408F8" w:rsidRDefault="001408F8">
      <w:pPr>
        <w:spacing w:line="360" w:lineRule="auto"/>
        <w:ind w:left="360" w:right="27" w:hanging="360"/>
        <w:rPr>
          <w:rFonts w:ascii="Palatino Linotype" w:eastAsia="Palatino Linotype" w:hAnsi="Palatino Linotype" w:cs="Palatino Linotype"/>
        </w:rPr>
      </w:pPr>
    </w:p>
    <w:p w:rsidR="001408F8" w:rsidRDefault="00183356">
      <w:pPr>
        <w:numPr>
          <w:ilvl w:val="0"/>
          <w:numId w:val="3"/>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1408F8" w:rsidRDefault="00183356">
      <w:pPr>
        <w:tabs>
          <w:tab w:val="left" w:pos="3670"/>
        </w:tabs>
        <w:spacing w:line="360" w:lineRule="auto"/>
        <w:ind w:left="720" w:right="27"/>
        <w:rPr>
          <w:rFonts w:ascii="Palatino Linotype" w:eastAsia="Palatino Linotype" w:hAnsi="Palatino Linotype" w:cs="Palatino Linotype"/>
          <w:color w:val="555555"/>
        </w:rPr>
      </w:pPr>
      <w:r>
        <w:rPr>
          <w:rFonts w:ascii="Palatino Linotype" w:eastAsia="Palatino Linotype" w:hAnsi="Palatino Linotype" w:cs="Palatino Linotype"/>
          <w:color w:val="555555"/>
        </w:rPr>
        <w:tab/>
      </w:r>
    </w:p>
    <w:p w:rsidR="001408F8" w:rsidRDefault="00183356">
      <w:pPr>
        <w:spacing w:line="276" w:lineRule="auto"/>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“RECURSO DE RECLAMACIÓN. SU INTERPOSICIÓN NO ES EXTEMPORÁNEA SI SE REALIZA ANTES DE QUE INICIE EL PLAZO PARA HACERLO</w:t>
      </w:r>
      <w:r>
        <w:rPr>
          <w:rFonts w:ascii="Palatino Linotype" w:eastAsia="Palatino Linotype" w:hAnsi="Palatino Linotype" w:cs="Palatino Linotype"/>
          <w:i/>
          <w:iCs/>
          <w:sz w:val="22"/>
          <w:szCs w:val="22"/>
        </w:rPr>
        <w:t xml:space="preserve">. Conforme al artículo 104, párrafo segundo, de la Ley de Amparo, el recurso de reclamación podrá interponerse por cualquiera </w:t>
      </w:r>
      <w:r>
        <w:rPr>
          <w:rFonts w:ascii="Palatino Linotype" w:eastAsia="Palatino Linotype" w:hAnsi="Palatino Linotype" w:cs="Palatino Linotype"/>
          <w:i/>
          <w:iCs/>
          <w:sz w:val="22"/>
          <w:szCs w:val="22"/>
        </w:rPr>
        <w:lastRenderedPageBreak/>
        <w:t>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1408F8" w:rsidRDefault="001408F8">
      <w:pPr>
        <w:spacing w:line="360" w:lineRule="auto"/>
        <w:ind w:left="426" w:right="27"/>
        <w:jc w:val="both"/>
        <w:rPr>
          <w:rFonts w:ascii="Palatino Linotype" w:eastAsia="Palatino Linotype" w:hAnsi="Palatino Linotype" w:cs="Palatino Linotype"/>
          <w:i/>
          <w:iCs/>
        </w:rPr>
      </w:pPr>
    </w:p>
    <w:p w:rsidR="001408F8" w:rsidRDefault="00183356">
      <w:pPr>
        <w:numPr>
          <w:ilvl w:val="0"/>
          <w:numId w:val="3"/>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Esto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1408F8" w:rsidRDefault="001408F8">
      <w:pPr>
        <w:tabs>
          <w:tab w:val="left" w:pos="0"/>
        </w:tabs>
        <w:spacing w:line="360" w:lineRule="auto"/>
        <w:ind w:left="360" w:right="27" w:hanging="360"/>
        <w:jc w:val="both"/>
        <w:rPr>
          <w:rFonts w:ascii="Palatino Linotype" w:eastAsia="Palatino Linotype" w:hAnsi="Palatino Linotype" w:cs="Palatino Linotype"/>
          <w:i/>
          <w:iCs/>
        </w:rPr>
      </w:pPr>
    </w:p>
    <w:p w:rsidR="001408F8" w:rsidRDefault="00183356">
      <w:pPr>
        <w:numPr>
          <w:ilvl w:val="0"/>
          <w:numId w:val="3"/>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1408F8" w:rsidRDefault="001408F8">
      <w:pPr>
        <w:spacing w:line="360" w:lineRule="auto"/>
        <w:ind w:left="360" w:right="27" w:hanging="360"/>
        <w:rPr>
          <w:rFonts w:ascii="Palatino Linotype" w:eastAsia="Palatino Linotype" w:hAnsi="Palatino Linotype" w:cs="Palatino Linotype"/>
        </w:rPr>
      </w:pPr>
    </w:p>
    <w:p w:rsidR="001408F8" w:rsidRDefault="00183356">
      <w:pPr>
        <w:numPr>
          <w:ilvl w:val="0"/>
          <w:numId w:val="3"/>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la interposición del recurso de revisión antes de que inicie el plazo para su presentación no es determinante para declararlo extemporáneo, siempre y </w:t>
      </w:r>
      <w:r>
        <w:rPr>
          <w:rFonts w:ascii="Palatino Linotype" w:eastAsia="Palatino Linotype" w:hAnsi="Palatino Linotype" w:cs="Palatino Linotype"/>
          <w:color w:val="000000"/>
        </w:rPr>
        <w:lastRenderedPageBreak/>
        <w:t>cuando ello ocurra de manera posterior a que se ha notificado la respuesta del SUJETO OBLIGADO.</w:t>
      </w:r>
    </w:p>
    <w:p w:rsidR="001408F8" w:rsidRDefault="001408F8">
      <w:pPr>
        <w:pBdr>
          <w:top w:val="nil"/>
          <w:left w:val="nil"/>
          <w:bottom w:val="nil"/>
          <w:right w:val="nil"/>
          <w:between w:val="nil"/>
        </w:pBdr>
        <w:ind w:left="720"/>
        <w:rPr>
          <w:rFonts w:ascii="Palatino Linotype" w:eastAsia="Palatino Linotype" w:hAnsi="Palatino Linotype" w:cs="Palatino Linotype"/>
          <w:color w:val="000000"/>
        </w:rPr>
      </w:pPr>
    </w:p>
    <w:p w:rsidR="001408F8" w:rsidRDefault="00183356">
      <w:pPr>
        <w:numPr>
          <w:ilvl w:val="0"/>
          <w:numId w:val="3"/>
        </w:numPr>
        <w:tabs>
          <w:tab w:val="left" w:pos="0"/>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de la revisión al expediente electrónico del </w:t>
      </w:r>
      <w:r>
        <w:rPr>
          <w:rFonts w:ascii="Palatino Linotype" w:eastAsia="Palatino Linotype" w:hAnsi="Palatino Linotype" w:cs="Palatino Linotype"/>
          <w:b/>
          <w:bCs/>
        </w:rPr>
        <w:t>SAIMEX</w:t>
      </w:r>
      <w:r>
        <w:rPr>
          <w:rFonts w:ascii="Palatino Linotype" w:eastAsia="Palatino Linotype" w:hAnsi="Palatino Linotype" w:cs="Palatino Linotype"/>
        </w:rPr>
        <w:t xml:space="preserve"> se desprende que la parte solicitante, en ejercicio de su derecho de acceso a la información pública en el expediente que se revisa, tanto en la solicitud de información como en el recurso de revisión </w:t>
      </w:r>
      <w:r>
        <w:rPr>
          <w:rFonts w:ascii="Palatino Linotype" w:eastAsia="Palatino Linotype" w:hAnsi="Palatino Linotype" w:cs="Palatino Linotype"/>
          <w:b/>
          <w:bCs/>
        </w:rPr>
        <w:t>no proporcionó ningún nombre, seudónimo o carácter para ser identificado, ni se tiene certeza de su identidad</w:t>
      </w:r>
      <w:r>
        <w:rPr>
          <w:rFonts w:ascii="Palatino Linotype" w:eastAsia="Palatino Linotype" w:hAnsi="Palatino Linotype" w:cs="Palatino Linotype"/>
        </w:rPr>
        <w:t>; sin embargo, es importante señalar también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rsidR="001408F8" w:rsidRDefault="001408F8">
      <w:pPr>
        <w:pBdr>
          <w:top w:val="nil"/>
          <w:left w:val="nil"/>
          <w:bottom w:val="nil"/>
          <w:right w:val="nil"/>
          <w:between w:val="nil"/>
        </w:pBdr>
        <w:tabs>
          <w:tab w:val="left" w:pos="0"/>
        </w:tabs>
        <w:spacing w:line="360" w:lineRule="auto"/>
        <w:rPr>
          <w:rFonts w:ascii="Palatino Linotype" w:eastAsia="Palatino Linotype" w:hAnsi="Palatino Linotype" w:cs="Palatino Linotype"/>
          <w:color w:val="000000"/>
        </w:rPr>
      </w:pPr>
    </w:p>
    <w:p w:rsidR="001408F8" w:rsidRDefault="00183356">
      <w:pPr>
        <w:numPr>
          <w:ilvl w:val="0"/>
          <w:numId w:val="3"/>
        </w:numPr>
        <w:tabs>
          <w:tab w:val="left" w:pos="0"/>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Esto es así, ya que de conformidad con los artículos 6, Apartado A, fracciones III y IV de la Constitución Política de los Estados Unidos Mexicanos y 5, párrafos vigésimo, vigésimo primero y vigésimo segundo, 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w:t>
      </w:r>
      <w:r>
        <w:rPr>
          <w:rFonts w:ascii="Palatino Linotype" w:eastAsia="Palatino Linotype" w:hAnsi="Palatino Linotype" w:cs="Palatino Linotype"/>
        </w:rPr>
        <w:lastRenderedPageBreak/>
        <w:t>procedimientos de revisión expeditos que se sustanciarán ante los organismos autónomos especializados e imparciales que establece la Constitución Federal y local.</w:t>
      </w:r>
    </w:p>
    <w:p w:rsidR="001408F8" w:rsidRDefault="001408F8">
      <w:pPr>
        <w:pBdr>
          <w:top w:val="nil"/>
          <w:left w:val="nil"/>
          <w:bottom w:val="nil"/>
          <w:right w:val="nil"/>
          <w:between w:val="nil"/>
        </w:pBdr>
        <w:tabs>
          <w:tab w:val="left" w:pos="0"/>
        </w:tabs>
        <w:rPr>
          <w:rFonts w:ascii="Palatino Linotype" w:eastAsia="Palatino Linotype" w:hAnsi="Palatino Linotype" w:cs="Palatino Linotype"/>
          <w:color w:val="000000"/>
        </w:rPr>
      </w:pPr>
    </w:p>
    <w:p w:rsidR="001408F8" w:rsidRDefault="00183356">
      <w:pPr>
        <w:numPr>
          <w:ilvl w:val="0"/>
          <w:numId w:val="3"/>
        </w:numPr>
        <w:tabs>
          <w:tab w:val="left" w:pos="0"/>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408F8" w:rsidRDefault="001408F8">
      <w:pPr>
        <w:pBdr>
          <w:top w:val="nil"/>
          <w:left w:val="nil"/>
          <w:bottom w:val="nil"/>
          <w:right w:val="nil"/>
          <w:between w:val="nil"/>
        </w:pBdr>
        <w:tabs>
          <w:tab w:val="left" w:pos="0"/>
        </w:tabs>
        <w:spacing w:line="360" w:lineRule="auto"/>
        <w:rPr>
          <w:rFonts w:ascii="Palatino Linotype" w:eastAsia="Palatino Linotype" w:hAnsi="Palatino Linotype" w:cs="Palatino Linotype"/>
          <w:color w:val="000000"/>
        </w:rPr>
      </w:pPr>
    </w:p>
    <w:p w:rsidR="001408F8" w:rsidRDefault="00183356">
      <w:pPr>
        <w:numPr>
          <w:ilvl w:val="0"/>
          <w:numId w:val="3"/>
        </w:numPr>
        <w:tabs>
          <w:tab w:val="left" w:pos="0"/>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1408F8" w:rsidRDefault="001408F8">
      <w:pPr>
        <w:pBdr>
          <w:top w:val="nil"/>
          <w:left w:val="nil"/>
          <w:bottom w:val="nil"/>
          <w:right w:val="nil"/>
          <w:between w:val="nil"/>
        </w:pBdr>
        <w:tabs>
          <w:tab w:val="left" w:pos="0"/>
        </w:tabs>
        <w:spacing w:line="360" w:lineRule="auto"/>
        <w:rPr>
          <w:rFonts w:ascii="Palatino Linotype" w:eastAsia="Palatino Linotype" w:hAnsi="Palatino Linotype" w:cs="Palatino Linotype"/>
          <w:color w:val="000000"/>
        </w:rPr>
      </w:pPr>
    </w:p>
    <w:p w:rsidR="001408F8" w:rsidRDefault="00183356">
      <w:pPr>
        <w:numPr>
          <w:ilvl w:val="0"/>
          <w:numId w:val="3"/>
        </w:numPr>
        <w:tabs>
          <w:tab w:val="left" w:pos="0"/>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el nombre del </w:t>
      </w:r>
      <w:r>
        <w:rPr>
          <w:rFonts w:ascii="Palatino Linotype" w:eastAsia="Palatino Linotype" w:hAnsi="Palatino Linotype" w:cs="Palatino Linotype"/>
          <w:b/>
          <w:bCs/>
        </w:rPr>
        <w:t>SOLICITANTE</w:t>
      </w:r>
      <w:r>
        <w:rPr>
          <w:rFonts w:ascii="Palatino Linotype" w:eastAsia="Palatino Linotype" w:hAnsi="Palatino Linotype" w:cs="Palatino Linotype"/>
        </w:rPr>
        <w:t xml:space="preserve"> y subsecuente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no puede ser considerado un requisito indispensable de procedibilidad del recurso de revisión que nos ocupa, ya que el acceso a la información no está condicionado a </w:t>
      </w:r>
      <w:r>
        <w:rPr>
          <w:rFonts w:ascii="Palatino Linotype" w:eastAsia="Palatino Linotype" w:hAnsi="Palatino Linotype" w:cs="Palatino Linotype"/>
        </w:rPr>
        <w:lastRenderedPageBreak/>
        <w:t>acreditar algún interés ya sea jurídico o legítimo, máxime que es un elemento subsanable por este Órgano Resolutor.</w:t>
      </w:r>
    </w:p>
    <w:p w:rsidR="001408F8" w:rsidRDefault="001408F8">
      <w:pPr>
        <w:pBdr>
          <w:top w:val="nil"/>
          <w:left w:val="nil"/>
          <w:bottom w:val="nil"/>
          <w:right w:val="nil"/>
          <w:between w:val="nil"/>
        </w:pBdr>
        <w:spacing w:line="360" w:lineRule="auto"/>
        <w:jc w:val="both"/>
        <w:rPr>
          <w:color w:val="000000"/>
          <w:sz w:val="22"/>
          <w:szCs w:val="22"/>
        </w:rPr>
      </w:pPr>
    </w:p>
    <w:p w:rsidR="001408F8" w:rsidRDefault="00183356">
      <w:pPr>
        <w:numPr>
          <w:ilvl w:val="0"/>
          <w:numId w:val="3"/>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408F8" w:rsidRDefault="001408F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408F8" w:rsidRDefault="00183356">
      <w:pPr>
        <w:pStyle w:val="Ttulo1"/>
        <w:spacing w:before="0" w:line="360" w:lineRule="auto"/>
        <w:rPr>
          <w:rFonts w:ascii="Palatino Linotype" w:eastAsia="Palatino Linotype" w:hAnsi="Palatino Linotype" w:cs="Palatino Linotype"/>
          <w:b/>
          <w:bCs/>
          <w:color w:val="000000"/>
          <w:sz w:val="24"/>
          <w:szCs w:val="24"/>
        </w:rPr>
      </w:pPr>
      <w:bookmarkStart w:id="9" w:name="_heading=h.2s8eyo1" w:colFirst="0" w:colLast="0"/>
      <w:bookmarkEnd w:id="9"/>
      <w:r>
        <w:rPr>
          <w:rFonts w:ascii="Palatino Linotype" w:eastAsia="Palatino Linotype" w:hAnsi="Palatino Linotype" w:cs="Palatino Linotype"/>
          <w:b/>
          <w:bCs/>
          <w:color w:val="000000"/>
          <w:sz w:val="24"/>
          <w:szCs w:val="24"/>
        </w:rPr>
        <w:t xml:space="preserve">TERCERO. Del planteamiento de la </w:t>
      </w:r>
      <w:r>
        <w:rPr>
          <w:rFonts w:ascii="Palatino Linotype" w:eastAsia="Palatino Linotype" w:hAnsi="Palatino Linotype" w:cs="Palatino Linotype"/>
          <w:b/>
          <w:bCs/>
          <w:i/>
          <w:iCs/>
          <w:color w:val="000000"/>
          <w:sz w:val="24"/>
          <w:szCs w:val="24"/>
        </w:rPr>
        <w:t>Litis</w:t>
      </w:r>
      <w:r>
        <w:rPr>
          <w:rFonts w:ascii="Palatino Linotype" w:eastAsia="Palatino Linotype" w:hAnsi="Palatino Linotype" w:cs="Palatino Linotype"/>
          <w:b/>
          <w:bCs/>
          <w:color w:val="000000"/>
          <w:sz w:val="24"/>
          <w:szCs w:val="24"/>
        </w:rPr>
        <w:t>.</w:t>
      </w:r>
    </w:p>
    <w:p w:rsidR="001408F8" w:rsidRDefault="00183356">
      <w:pPr>
        <w:pBdr>
          <w:top w:val="nil"/>
          <w:left w:val="nil"/>
          <w:bottom w:val="nil"/>
          <w:right w:val="nil"/>
          <w:between w:val="nil"/>
        </w:pBdr>
        <w:spacing w:line="360" w:lineRule="auto"/>
        <w:ind w:left="1134" w:right="113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De los ejercicios 2022, 2024 y del uno de enero al veintiocho de octubre de dos mil veinticinco:</w:t>
      </w:r>
    </w:p>
    <w:p w:rsidR="001408F8" w:rsidRDefault="00183356">
      <w:pPr>
        <w:numPr>
          <w:ilvl w:val="0"/>
          <w:numId w:val="6"/>
        </w:numPr>
        <w:pBdr>
          <w:top w:val="nil"/>
          <w:left w:val="nil"/>
          <w:bottom w:val="nil"/>
          <w:right w:val="nil"/>
          <w:between w:val="nil"/>
        </w:pBdr>
        <w:spacing w:line="360" w:lineRule="auto"/>
        <w:ind w:right="113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Contratos de Obra Pública</w:t>
      </w:r>
    </w:p>
    <w:p w:rsidR="001408F8" w:rsidRDefault="00183356">
      <w:pPr>
        <w:numPr>
          <w:ilvl w:val="0"/>
          <w:numId w:val="6"/>
        </w:numPr>
        <w:pBdr>
          <w:top w:val="nil"/>
          <w:left w:val="nil"/>
          <w:bottom w:val="nil"/>
          <w:right w:val="nil"/>
          <w:between w:val="nil"/>
        </w:pBdr>
        <w:spacing w:line="360" w:lineRule="auto"/>
        <w:ind w:right="113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Contratos de Servicios</w:t>
      </w:r>
    </w:p>
    <w:p w:rsidR="001408F8" w:rsidRDefault="00183356">
      <w:pPr>
        <w:numPr>
          <w:ilvl w:val="0"/>
          <w:numId w:val="6"/>
        </w:numPr>
        <w:pBdr>
          <w:top w:val="nil"/>
          <w:left w:val="nil"/>
          <w:bottom w:val="nil"/>
          <w:right w:val="nil"/>
          <w:between w:val="nil"/>
        </w:pBdr>
        <w:spacing w:line="360" w:lineRule="auto"/>
        <w:ind w:right="113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Contratos de Adquisiciones</w:t>
      </w:r>
    </w:p>
    <w:p w:rsidR="001408F8" w:rsidRDefault="00183356">
      <w:pPr>
        <w:numPr>
          <w:ilvl w:val="0"/>
          <w:numId w:val="6"/>
        </w:numPr>
        <w:pBdr>
          <w:top w:val="nil"/>
          <w:left w:val="nil"/>
          <w:bottom w:val="nil"/>
          <w:right w:val="nil"/>
          <w:between w:val="nil"/>
        </w:pBdr>
        <w:spacing w:line="360" w:lineRule="auto"/>
        <w:ind w:right="113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Contratos de Arrendamientos</w:t>
      </w:r>
    </w:p>
    <w:p w:rsidR="001408F8" w:rsidRDefault="00183356">
      <w:pPr>
        <w:numPr>
          <w:ilvl w:val="0"/>
          <w:numId w:val="6"/>
        </w:numPr>
        <w:pBdr>
          <w:top w:val="nil"/>
          <w:left w:val="nil"/>
          <w:bottom w:val="nil"/>
          <w:right w:val="nil"/>
          <w:between w:val="nil"/>
        </w:pBdr>
        <w:spacing w:line="360" w:lineRule="auto"/>
        <w:ind w:right="113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Documento o Documentos donde conste la partida presupuestal a la que correspondan</w:t>
      </w:r>
    </w:p>
    <w:p w:rsidR="001408F8" w:rsidRDefault="001408F8">
      <w:pPr>
        <w:pBdr>
          <w:top w:val="nil"/>
          <w:left w:val="nil"/>
          <w:bottom w:val="nil"/>
          <w:right w:val="nil"/>
          <w:between w:val="nil"/>
        </w:pBdr>
        <w:spacing w:line="360" w:lineRule="auto"/>
        <w:ind w:left="1494" w:right="1134"/>
        <w:jc w:val="both"/>
        <w:rPr>
          <w:rFonts w:ascii="Palatino Linotype" w:eastAsia="Palatino Linotype" w:hAnsi="Palatino Linotype" w:cs="Palatino Linotype"/>
          <w:i/>
          <w:iCs/>
          <w:sz w:val="22"/>
          <w:szCs w:val="22"/>
        </w:rPr>
      </w:pPr>
    </w:p>
    <w:p w:rsidR="001408F8" w:rsidRDefault="001408F8">
      <w:pPr>
        <w:pBdr>
          <w:top w:val="nil"/>
          <w:left w:val="nil"/>
          <w:bottom w:val="nil"/>
          <w:right w:val="nil"/>
          <w:between w:val="nil"/>
        </w:pBdr>
        <w:spacing w:line="360" w:lineRule="auto"/>
        <w:ind w:left="1134"/>
        <w:jc w:val="both"/>
        <w:rPr>
          <w:rFonts w:ascii="Palatino Linotype" w:eastAsia="Palatino Linotype" w:hAnsi="Palatino Linotype" w:cs="Palatino Linotype"/>
          <w:i/>
          <w:iCs/>
          <w:sz w:val="22"/>
          <w:szCs w:val="22"/>
        </w:rPr>
      </w:pPr>
    </w:p>
    <w:p w:rsidR="001408F8" w:rsidRDefault="0018335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respuesta,</w:t>
      </w:r>
      <w:r>
        <w:rPr>
          <w:rFonts w:ascii="Palatino Linotype" w:eastAsia="Palatino Linotype" w:hAnsi="Palatino Linotype" w:cs="Palatino Linotype"/>
          <w:i/>
          <w:iCs/>
          <w:color w:val="000000"/>
          <w:sz w:val="22"/>
          <w:szCs w:val="22"/>
        </w:rPr>
        <w:t xml:space="preserve"> </w:t>
      </w:r>
      <w:r>
        <w:rPr>
          <w:rFonts w:ascii="Palatino Linotype" w:eastAsia="Palatino Linotype" w:hAnsi="Palatino Linotype" w:cs="Palatino Linotype"/>
          <w:color w:val="000000"/>
        </w:rPr>
        <w:t>el</w:t>
      </w:r>
      <w:r>
        <w:rPr>
          <w:rFonts w:ascii="Palatino Linotype" w:eastAsia="Palatino Linotype" w:hAnsi="Palatino Linotype" w:cs="Palatino Linotype"/>
          <w:i/>
          <w:iCs/>
          <w:color w:val="000000"/>
          <w:sz w:val="22"/>
          <w:szCs w:val="22"/>
        </w:rPr>
        <w:t xml:space="preserve"> </w:t>
      </w:r>
      <w:r>
        <w:rPr>
          <w:rFonts w:ascii="Palatino Linotype" w:eastAsia="Palatino Linotype" w:hAnsi="Palatino Linotype" w:cs="Palatino Linotype"/>
          <w:b/>
          <w:bCs/>
          <w:color w:val="000000"/>
        </w:rPr>
        <w:t>SUJETO</w:t>
      </w:r>
      <w:r>
        <w:rPr>
          <w:rFonts w:ascii="Palatino Linotype" w:eastAsia="Palatino Linotype" w:hAnsi="Palatino Linotype" w:cs="Palatino Linotype"/>
          <w:b/>
          <w:bCs/>
          <w:i/>
          <w:iCs/>
          <w:color w:val="000000"/>
        </w:rPr>
        <w:t xml:space="preserve"> </w:t>
      </w:r>
      <w:r>
        <w:rPr>
          <w:rFonts w:ascii="Palatino Linotype" w:eastAsia="Palatino Linotype" w:hAnsi="Palatino Linotype" w:cs="Palatino Linotype"/>
          <w:b/>
          <w:bCs/>
          <w:color w:val="000000"/>
        </w:rPr>
        <w:t xml:space="preserve">OBLIGADO </w:t>
      </w:r>
      <w:r>
        <w:rPr>
          <w:rFonts w:ascii="Palatino Linotype" w:eastAsia="Palatino Linotype" w:hAnsi="Palatino Linotype" w:cs="Palatino Linotype"/>
          <w:color w:val="000000"/>
        </w:rPr>
        <w:t xml:space="preserve">por medio del Titular de la Unidad de Transparencia, adjuntó un oficio de  Encargado de Despacho de la Dirección de Administración y Finanzas donde señaló no poseer documentos referidos como </w:t>
      </w:r>
      <w:r>
        <w:rPr>
          <w:rFonts w:ascii="Palatino Linotype" w:eastAsia="Palatino Linotype" w:hAnsi="Palatino Linotype" w:cs="Palatino Linotype"/>
          <w:i/>
          <w:iCs/>
          <w:color w:val="000000"/>
        </w:rPr>
        <w:lastRenderedPageBreak/>
        <w:t>contratyos</w:t>
      </w:r>
      <w:r>
        <w:rPr>
          <w:rFonts w:ascii="Palatino Linotype" w:eastAsia="Palatino Linotype" w:hAnsi="Palatino Linotype" w:cs="Palatino Linotype"/>
          <w:color w:val="000000"/>
        </w:rPr>
        <w:t>.</w:t>
      </w:r>
      <w:r>
        <w:rPr>
          <w:rFonts w:ascii="Palatino Linotype" w:eastAsia="Palatino Linotype" w:hAnsi="Palatino Linotype" w:cs="Palatino Linotype"/>
          <w:b/>
          <w:bCs/>
          <w:i/>
          <w:iCs/>
          <w:color w:val="000000"/>
        </w:rPr>
        <w:t xml:space="preserve"> </w:t>
      </w:r>
      <w:r>
        <w:rPr>
          <w:rFonts w:ascii="Palatino Linotype" w:eastAsia="Palatino Linotype" w:hAnsi="Palatino Linotype" w:cs="Palatino Linotype"/>
          <w:color w:val="000000"/>
        </w:rPr>
        <w:t>Inconforme con la respuesta, se interpuso recurso de revisión alegando de manera general  la negativa a la entrega de la información por el Sujeto Obligado.</w:t>
      </w:r>
    </w:p>
    <w:p w:rsidR="001408F8" w:rsidRDefault="001408F8">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1408F8" w:rsidRDefault="0018335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dichas condiciones, la </w:t>
      </w:r>
      <w:r>
        <w:rPr>
          <w:rFonts w:ascii="Palatino Linotype" w:eastAsia="Palatino Linotype" w:hAnsi="Palatino Linotype" w:cs="Palatino Linotype"/>
          <w:i/>
          <w:iCs/>
        </w:rPr>
        <w:t>Litis</w:t>
      </w:r>
      <w:r>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 </w:t>
      </w:r>
      <w:r>
        <w:rPr>
          <w:rFonts w:ascii="Palatino Linotype" w:eastAsia="Palatino Linotype" w:hAnsi="Palatino Linotype" w:cs="Palatino Linotype"/>
          <w:b/>
          <w:bCs/>
        </w:rPr>
        <w:t>I</w:t>
      </w:r>
      <w:r>
        <w:rPr>
          <w:rFonts w:ascii="Palatino Linotype" w:eastAsia="Palatino Linotype" w:hAnsi="Palatino Linotype" w:cs="Palatino Linotype"/>
        </w:rPr>
        <w:t xml:space="preserve"> de la </w:t>
      </w:r>
      <w:r>
        <w:rPr>
          <w:rFonts w:ascii="Palatino Linotype" w:eastAsia="Palatino Linotype" w:hAnsi="Palatino Linotype" w:cs="Palatino Linotype"/>
          <w:b/>
          <w:bCs/>
        </w:rPr>
        <w:t xml:space="preserve">Ley de Transparencia y Acceso a la </w:t>
      </w:r>
      <w:r>
        <w:rPr>
          <w:rFonts w:ascii="Palatino Linotype" w:eastAsia="Palatino Linotype" w:hAnsi="Palatino Linotype" w:cs="Palatino Linotype"/>
        </w:rPr>
        <w:t>Información</w:t>
      </w:r>
      <w:r>
        <w:rPr>
          <w:rFonts w:ascii="Palatino Linotype" w:eastAsia="Palatino Linotype" w:hAnsi="Palatino Linotype" w:cs="Palatino Linotype"/>
          <w:b/>
          <w:bCs/>
        </w:rPr>
        <w:t xml:space="preserve"> Pública del Estado de México y Municipios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fracción que determina la hipótesis jurídica relativa a la negativa a la entrega de información solicitada;</w:t>
      </w:r>
      <w:r>
        <w:rPr>
          <w:rFonts w:ascii="Palatino Linotype" w:eastAsia="Palatino Linotype" w:hAnsi="Palatino Linotype" w:cs="Palatino Linotype"/>
          <w:color w:val="000000"/>
          <w:sz w:val="28"/>
          <w:szCs w:val="28"/>
        </w:rPr>
        <w:t xml:space="preserve"> </w:t>
      </w:r>
      <w:r>
        <w:rPr>
          <w:rFonts w:ascii="Palatino Linotype" w:eastAsia="Palatino Linotype" w:hAnsi="Palatino Linotype" w:cs="Palatino Linotype"/>
        </w:rPr>
        <w:t xml:space="preserve">contexto del cual se dolió el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al momento de interponer su recurso de revisión</w:t>
      </w:r>
      <w:r>
        <w:rPr>
          <w:rFonts w:ascii="Palatino Linotype" w:eastAsia="Palatino Linotype" w:hAnsi="Palatino Linotype" w:cs="Palatino Linotype"/>
          <w:color w:val="000000"/>
        </w:rPr>
        <w:t>.</w:t>
      </w:r>
    </w:p>
    <w:p w:rsidR="001408F8" w:rsidRDefault="001408F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408F8" w:rsidRDefault="0018335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1408F8" w:rsidRDefault="001408F8">
      <w:pPr>
        <w:pBdr>
          <w:top w:val="nil"/>
          <w:left w:val="nil"/>
          <w:bottom w:val="nil"/>
          <w:right w:val="nil"/>
          <w:between w:val="nil"/>
        </w:pBdr>
        <w:spacing w:line="720" w:lineRule="auto"/>
        <w:ind w:left="709"/>
        <w:rPr>
          <w:rFonts w:ascii="Palatino Linotype" w:eastAsia="Palatino Linotype" w:hAnsi="Palatino Linotype" w:cs="Palatino Linotype"/>
          <w:color w:val="000000"/>
        </w:rPr>
      </w:pPr>
    </w:p>
    <w:p w:rsidR="001408F8" w:rsidRDefault="00183356">
      <w:pPr>
        <w:keepNext/>
        <w:keepLines/>
        <w:spacing w:line="36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lastRenderedPageBreak/>
        <w:t>CUARTO. Del estudio y resolución del estudio.</w:t>
      </w:r>
    </w:p>
    <w:p w:rsidR="001408F8" w:rsidRDefault="00183356">
      <w:pPr>
        <w:keepNext/>
        <w:keepLines/>
        <w:numPr>
          <w:ilvl w:val="0"/>
          <w:numId w:val="5"/>
        </w:numPr>
        <w:spacing w:after="240" w:line="360" w:lineRule="auto"/>
        <w:ind w:left="786"/>
        <w:rPr>
          <w:rFonts w:ascii="Palatino Linotype" w:eastAsia="Palatino Linotype" w:hAnsi="Palatino Linotype" w:cs="Palatino Linotype"/>
          <w:b/>
          <w:bCs/>
          <w:color w:val="000000"/>
        </w:rPr>
      </w:pPr>
      <w:bookmarkStart w:id="10" w:name="_heading=h.17dp8vu" w:colFirst="0" w:colLast="0"/>
      <w:bookmarkEnd w:id="10"/>
      <w:r>
        <w:rPr>
          <w:rFonts w:ascii="Palatino Linotype" w:eastAsia="Palatino Linotype" w:hAnsi="Palatino Linotype" w:cs="Palatino Linotype"/>
          <w:b/>
          <w:bCs/>
          <w:color w:val="000000"/>
        </w:rPr>
        <w:t>Del derecho de acceso a la información.</w:t>
      </w:r>
    </w:p>
    <w:p w:rsidR="001408F8" w:rsidRDefault="0018335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1408F8" w:rsidRDefault="00183356">
      <w:pPr>
        <w:numPr>
          <w:ilvl w:val="0"/>
          <w:numId w:val="3"/>
        </w:numPr>
        <w:spacing w:before="24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Definiendo el Derecho de Acceso a la Información Pública como: </w:t>
      </w:r>
      <w:r>
        <w:rPr>
          <w:rFonts w:ascii="Palatino Linotype" w:eastAsia="Palatino Linotype" w:hAnsi="Palatino Linotype" w:cs="Palatino Linotype"/>
          <w:i/>
          <w:iCs/>
          <w:color w:val="000000"/>
        </w:rPr>
        <w:t>La igualdad de oportunidades para recibir, buscar e impartir información</w:t>
      </w:r>
      <w:r>
        <w:rPr>
          <w:rFonts w:ascii="Palatino Linotype" w:eastAsia="Palatino Linotype" w:hAnsi="Palatino Linotype" w:cs="Palatino Linotype"/>
          <w:i/>
          <w:iCs/>
          <w:vertAlign w:val="superscript"/>
        </w:rPr>
        <w:footnoteReference w:id="1"/>
      </w:r>
      <w:r>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iCs/>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iCs/>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iCs/>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iCs/>
          <w:color w:val="000000"/>
        </w:rPr>
        <w:t xml:space="preserve"> la </w:t>
      </w:r>
      <w:r>
        <w:rPr>
          <w:rFonts w:ascii="Palatino Linotype" w:eastAsia="Palatino Linotype" w:hAnsi="Palatino Linotype" w:cs="Palatino Linotype"/>
          <w:i/>
          <w:iCs/>
          <w:color w:val="000000"/>
        </w:rPr>
        <w:lastRenderedPageBreak/>
        <w:t>responsabilidad de los funcionarios sobre su gestión pública,</w:t>
      </w:r>
      <w:r>
        <w:rPr>
          <w:rFonts w:ascii="Palatino Linotype" w:eastAsia="Palatino Linotype" w:hAnsi="Palatino Linotype" w:cs="Palatino Linotype"/>
          <w:i/>
          <w:iCs/>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1408F8" w:rsidRDefault="001408F8">
      <w:pPr>
        <w:spacing w:line="360" w:lineRule="auto"/>
        <w:jc w:val="both"/>
        <w:rPr>
          <w:rFonts w:ascii="Palatino Linotype" w:eastAsia="Palatino Linotype" w:hAnsi="Palatino Linotype" w:cs="Palatino Linotype"/>
        </w:rPr>
      </w:pPr>
    </w:p>
    <w:p w:rsidR="001408F8" w:rsidRDefault="00183356">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1408F8" w:rsidRDefault="00183356">
      <w:pPr>
        <w:ind w:lef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w:t>
      </w:r>
      <w:r>
        <w:rPr>
          <w:rFonts w:ascii="Palatino Linotype" w:eastAsia="Palatino Linotype" w:hAnsi="Palatino Linotype" w:cs="Palatino Linotype"/>
          <w:i/>
          <w:iCs/>
          <w:sz w:val="22"/>
          <w:szCs w:val="22"/>
        </w:rPr>
        <w:t xml:space="preserve"> </w:t>
      </w:r>
    </w:p>
    <w:p w:rsidR="001408F8" w:rsidRDefault="00183356">
      <w:pPr>
        <w:ind w:lef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408F8" w:rsidRDefault="00183356">
      <w:pPr>
        <w:ind w:lef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iCs/>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1408F8" w:rsidRDefault="00183356">
      <w:pPr>
        <w:ind w:left="1134"/>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sz w:val="22"/>
          <w:szCs w:val="22"/>
        </w:rPr>
        <w:t>”.</w:t>
      </w:r>
    </w:p>
    <w:p w:rsidR="001408F8" w:rsidRDefault="001408F8">
      <w:pPr>
        <w:jc w:val="both"/>
        <w:rPr>
          <w:rFonts w:ascii="Palatino Linotype" w:eastAsia="Palatino Linotype" w:hAnsi="Palatino Linotype" w:cs="Palatino Linotype"/>
          <w:b/>
          <w:bCs/>
          <w:sz w:val="22"/>
          <w:szCs w:val="22"/>
        </w:rPr>
      </w:pPr>
    </w:p>
    <w:p w:rsidR="001408F8" w:rsidRDefault="00183356">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1408F8" w:rsidRDefault="001408F8">
      <w:pPr>
        <w:spacing w:line="360" w:lineRule="auto"/>
        <w:jc w:val="both"/>
        <w:rPr>
          <w:rFonts w:ascii="Palatino Linotype" w:eastAsia="Palatino Linotype" w:hAnsi="Palatino Linotype" w:cs="Palatino Linotype"/>
        </w:rPr>
      </w:pPr>
    </w:p>
    <w:p w:rsidR="001408F8" w:rsidRDefault="00183356">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conforme a la Constitución Política de las Estado Unidos Mexicanos y la Constitución Política del Estado Libre y Soberano de México respectivamente, el </w:t>
      </w:r>
      <w:r>
        <w:rPr>
          <w:rFonts w:ascii="Palatino Linotype" w:eastAsia="Palatino Linotype" w:hAnsi="Palatino Linotype" w:cs="Palatino Linotype"/>
        </w:rPr>
        <w:lastRenderedPageBreak/>
        <w:t>cumplimiento de las garantías primarias, entendidas como obligaciones inmediatamente relacionadas con el Derecho de Acceso a la Información Pública, permiten que todas las autoridades, en el ámbito de sus atribuciones lo respeten, protejan y garanticen.</w:t>
      </w:r>
    </w:p>
    <w:p w:rsidR="001408F8" w:rsidRDefault="001408F8">
      <w:pPr>
        <w:spacing w:line="360" w:lineRule="auto"/>
        <w:jc w:val="both"/>
        <w:rPr>
          <w:rFonts w:ascii="Palatino Linotype" w:eastAsia="Palatino Linotype" w:hAnsi="Palatino Linotype" w:cs="Palatino Linotype"/>
          <w:sz w:val="22"/>
          <w:szCs w:val="22"/>
        </w:rPr>
      </w:pPr>
    </w:p>
    <w:p w:rsidR="001408F8" w:rsidRDefault="00183356">
      <w:pPr>
        <w:spacing w:after="240"/>
        <w:ind w:lef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Constitución Política de los Estados Unidos Mexicanos</w:t>
      </w:r>
    </w:p>
    <w:p w:rsidR="001408F8" w:rsidRDefault="00183356">
      <w:pPr>
        <w:spacing w:before="240" w:after="240"/>
        <w:ind w:lef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“Artículo 6.</w:t>
      </w:r>
    </w:p>
    <w:p w:rsidR="001408F8" w:rsidRDefault="00183356">
      <w:pPr>
        <w:spacing w:before="240" w:after="240"/>
        <w:ind w:lef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408F8" w:rsidRDefault="00183356">
      <w:pPr>
        <w:spacing w:before="240" w:after="240"/>
        <w:ind w:lef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efectos de lo dispuesto en el presente artículo se observará lo siguiente:</w:t>
      </w:r>
    </w:p>
    <w:p w:rsidR="001408F8" w:rsidRDefault="00183356">
      <w:pPr>
        <w:spacing w:before="240" w:after="240"/>
        <w:ind w:lef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Para el ejercicio del derecho de acceso a la información</w:t>
      </w:r>
      <w:r>
        <w:rPr>
          <w:rFonts w:ascii="Palatino Linotype" w:eastAsia="Palatino Linotype" w:hAnsi="Palatino Linotype" w:cs="Palatino Linotype"/>
          <w:i/>
          <w:iCs/>
          <w:sz w:val="22"/>
          <w:szCs w:val="22"/>
        </w:rPr>
        <w:t xml:space="preserve">, la Federación y </w:t>
      </w:r>
      <w:r>
        <w:rPr>
          <w:rFonts w:ascii="Palatino Linotype" w:eastAsia="Palatino Linotype" w:hAnsi="Palatino Linotype" w:cs="Palatino Linotype"/>
          <w:b/>
          <w:bCs/>
          <w:i/>
          <w:iCs/>
          <w:sz w:val="22"/>
          <w:szCs w:val="22"/>
        </w:rPr>
        <w:t>las entidades federativas, en el ámbito de sus respectivas competencias, se regirán por los siguientes principios y bases:</w:t>
      </w:r>
    </w:p>
    <w:p w:rsidR="001408F8" w:rsidRDefault="00183356">
      <w:pPr>
        <w:spacing w:before="240" w:after="240"/>
        <w:ind w:lef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 </w:t>
      </w:r>
      <w:r>
        <w:rPr>
          <w:rFonts w:ascii="Palatino Linotype" w:eastAsia="Palatino Linotype" w:hAnsi="Palatino Linotype" w:cs="Palatino Linotype"/>
          <w:b/>
          <w:bCs/>
          <w:i/>
          <w:iCs/>
          <w:sz w:val="22"/>
          <w:szCs w:val="22"/>
        </w:rPr>
        <w:tab/>
        <w:t>Toda la información en posesión de cualquier</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autoridad</w:t>
      </w:r>
      <w:r>
        <w:rPr>
          <w:rFonts w:ascii="Palatino Linotype" w:eastAsia="Palatino Linotype" w:hAnsi="Palatino Linotype" w:cs="Palatino Linotype"/>
          <w:i/>
          <w:iCs/>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bCs/>
          <w:i/>
          <w:iCs/>
          <w:sz w:val="22"/>
          <w:szCs w:val="22"/>
        </w:rPr>
        <w:t>municipal</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es pública</w:t>
      </w:r>
      <w:r>
        <w:rPr>
          <w:rFonts w:ascii="Palatino Linotype" w:eastAsia="Palatino Linotype" w:hAnsi="Palatino Linotype" w:cs="Palatino Linotype"/>
          <w:i/>
          <w:iCs/>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bCs/>
          <w:i/>
          <w:iCs/>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rsidR="001408F8" w:rsidRDefault="001408F8">
      <w:pPr>
        <w:pBdr>
          <w:top w:val="nil"/>
          <w:left w:val="nil"/>
          <w:bottom w:val="nil"/>
          <w:right w:val="nil"/>
          <w:between w:val="nil"/>
        </w:pBdr>
        <w:tabs>
          <w:tab w:val="left" w:pos="567"/>
        </w:tabs>
        <w:spacing w:before="240" w:after="240"/>
        <w:ind w:left="1134"/>
        <w:jc w:val="both"/>
        <w:rPr>
          <w:rFonts w:ascii="Palatino Linotype" w:eastAsia="Palatino Linotype" w:hAnsi="Palatino Linotype" w:cs="Palatino Linotype"/>
          <w:b/>
          <w:bCs/>
          <w:i/>
          <w:iCs/>
          <w:color w:val="000000"/>
          <w:sz w:val="22"/>
          <w:szCs w:val="22"/>
        </w:rPr>
      </w:pPr>
    </w:p>
    <w:p w:rsidR="001408F8" w:rsidRDefault="00183356">
      <w:pPr>
        <w:spacing w:before="240" w:after="240"/>
        <w:ind w:lef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Constitución Política del Estado Libre y Soberano de México</w:t>
      </w:r>
    </w:p>
    <w:p w:rsidR="001408F8" w:rsidRDefault="00183356">
      <w:pPr>
        <w:spacing w:before="240" w:after="240"/>
        <w:ind w:lef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“Artículo 5</w:t>
      </w:r>
      <w:r>
        <w:rPr>
          <w:rFonts w:ascii="Palatino Linotype" w:eastAsia="Palatino Linotype" w:hAnsi="Palatino Linotype" w:cs="Palatino Linotype"/>
          <w:i/>
          <w:iCs/>
          <w:sz w:val="22"/>
          <w:szCs w:val="22"/>
        </w:rPr>
        <w:t xml:space="preserve">.- </w:t>
      </w:r>
    </w:p>
    <w:p w:rsidR="001408F8" w:rsidRDefault="00183356">
      <w:pPr>
        <w:spacing w:before="240" w:after="240"/>
        <w:ind w:lef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408F8" w:rsidRDefault="00183356">
      <w:pPr>
        <w:spacing w:before="240" w:after="240"/>
        <w:ind w:lef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iCs/>
          <w:sz w:val="22"/>
          <w:szCs w:val="22"/>
        </w:rPr>
        <w:t>.</w:t>
      </w:r>
    </w:p>
    <w:p w:rsidR="001408F8" w:rsidRDefault="00183356">
      <w:pPr>
        <w:spacing w:before="240" w:after="240"/>
        <w:ind w:lef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408F8" w:rsidRDefault="00183356">
      <w:pPr>
        <w:spacing w:before="240" w:after="240"/>
        <w:ind w:lef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Este derecho se regirá por los principios y bases siguientes</w:t>
      </w:r>
      <w:r>
        <w:rPr>
          <w:rFonts w:ascii="Palatino Linotype" w:eastAsia="Palatino Linotype" w:hAnsi="Palatino Linotype" w:cs="Palatino Linotype"/>
          <w:i/>
          <w:iCs/>
          <w:sz w:val="22"/>
          <w:szCs w:val="22"/>
        </w:rPr>
        <w:t>:</w:t>
      </w:r>
    </w:p>
    <w:p w:rsidR="001408F8" w:rsidRDefault="00183356">
      <w:pPr>
        <w:spacing w:before="240" w:after="240"/>
        <w:ind w:lef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 Toda la información en posesión de cualquier autoridad, entidad, órgano y organismos de los</w:t>
      </w:r>
      <w:r>
        <w:rPr>
          <w:rFonts w:ascii="Palatino Linotype" w:eastAsia="Palatino Linotype" w:hAnsi="Palatino Linotype" w:cs="Palatino Linotype"/>
          <w:i/>
          <w:iCs/>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bCs/>
          <w:i/>
          <w:iCs/>
          <w:sz w:val="22"/>
          <w:szCs w:val="22"/>
        </w:rPr>
        <w:t>municipales</w:t>
      </w:r>
      <w:r>
        <w:rPr>
          <w:rFonts w:ascii="Palatino Linotype" w:eastAsia="Palatino Linotype" w:hAnsi="Palatino Linotype" w:cs="Palatino Linotype"/>
          <w:i/>
          <w:iCs/>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bCs/>
          <w:i/>
          <w:iCs/>
          <w:sz w:val="22"/>
          <w:szCs w:val="22"/>
        </w:rPr>
        <w:t>es pública</w:t>
      </w:r>
      <w:r>
        <w:rPr>
          <w:rFonts w:ascii="Palatino Linotype" w:eastAsia="Palatino Linotype" w:hAnsi="Palatino Linotype" w:cs="Palatino Linotype"/>
          <w:i/>
          <w:iCs/>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bCs/>
          <w:i/>
          <w:iCs/>
          <w:sz w:val="22"/>
          <w:szCs w:val="22"/>
        </w:rPr>
        <w:t>En la interpretación de este derecho deberá prevalecer el principio de máxima publicidad</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Los sujetos obligados deberán documentar todo acto que derive del ejercicio de sus facultades, competencias o funciones</w:t>
      </w:r>
      <w:r>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rsidR="001408F8" w:rsidRDefault="001408F8">
      <w:pPr>
        <w:tabs>
          <w:tab w:val="left" w:pos="567"/>
        </w:tabs>
        <w:spacing w:before="240" w:after="240"/>
        <w:jc w:val="both"/>
        <w:rPr>
          <w:rFonts w:ascii="Palatino Linotype" w:eastAsia="Palatino Linotype" w:hAnsi="Palatino Linotype" w:cs="Palatino Linotype"/>
          <w:b/>
          <w:bCs/>
          <w:i/>
          <w:iCs/>
          <w:sz w:val="22"/>
          <w:szCs w:val="22"/>
        </w:rPr>
      </w:pPr>
    </w:p>
    <w:p w:rsidR="001408F8" w:rsidRDefault="00183356">
      <w:pPr>
        <w:numPr>
          <w:ilvl w:val="0"/>
          <w:numId w:val="3"/>
        </w:numPr>
        <w:spacing w:before="24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iCs/>
        </w:rPr>
        <w:t xml:space="preserve">por los principios de simplicidad, rapidez gratuidad del procedimiento, auxilio y </w:t>
      </w:r>
      <w:r>
        <w:rPr>
          <w:rFonts w:ascii="Palatino Linotype" w:eastAsia="Palatino Linotype" w:hAnsi="Palatino Linotype" w:cs="Palatino Linotype"/>
          <w:i/>
          <w:iCs/>
        </w:rPr>
        <w:lastRenderedPageBreak/>
        <w:t>orientación a los particulares</w:t>
      </w:r>
      <w:r>
        <w:rPr>
          <w:rFonts w:ascii="Palatino Linotype" w:eastAsia="Palatino Linotype" w:hAnsi="Palatino Linotype" w:cs="Palatino Linotype"/>
        </w:rPr>
        <w:t>, contemplando el derecho de las personas con discapacidad y hablantes de lengua indígena.</w:t>
      </w:r>
    </w:p>
    <w:p w:rsidR="001408F8" w:rsidRDefault="001408F8">
      <w:pPr>
        <w:spacing w:before="240" w:line="360" w:lineRule="auto"/>
        <w:jc w:val="both"/>
        <w:rPr>
          <w:rFonts w:ascii="Palatino Linotype" w:eastAsia="Palatino Linotype" w:hAnsi="Palatino Linotype" w:cs="Palatino Linotype"/>
          <w:sz w:val="22"/>
          <w:szCs w:val="22"/>
        </w:rPr>
      </w:pPr>
    </w:p>
    <w:p w:rsidR="001408F8" w:rsidRDefault="00183356">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se garantiza y respeta oportunamente, y según lo que dispone la Ley, las </w:t>
      </w:r>
      <w:r>
        <w:rPr>
          <w:rFonts w:ascii="Palatino Linotype" w:eastAsia="Palatino Linotype" w:hAnsi="Palatino Linotype" w:cs="Palatino Linotype"/>
          <w:i/>
          <w:iCs/>
        </w:rPr>
        <w:t>solicitudes de acceso a la información</w:t>
      </w:r>
      <w:r>
        <w:rPr>
          <w:rFonts w:ascii="Palatino Linotype" w:eastAsia="Palatino Linotype" w:hAnsi="Palatino Linotype" w:cs="Palatino Linotype"/>
        </w:rPr>
        <w:t>.</w:t>
      </w:r>
    </w:p>
    <w:p w:rsidR="001408F8" w:rsidRDefault="001408F8">
      <w:pPr>
        <w:spacing w:line="360" w:lineRule="auto"/>
        <w:jc w:val="both"/>
        <w:rPr>
          <w:rFonts w:ascii="Palatino Linotype" w:eastAsia="Palatino Linotype" w:hAnsi="Palatino Linotype" w:cs="Palatino Linotype"/>
        </w:rPr>
      </w:pPr>
    </w:p>
    <w:p w:rsidR="001408F8" w:rsidRDefault="00183356">
      <w:pPr>
        <w:numPr>
          <w:ilvl w:val="0"/>
          <w:numId w:val="3"/>
        </w:numPr>
        <w:spacing w:line="360" w:lineRule="auto"/>
        <w:ind w:left="0" w:firstLine="0"/>
        <w:jc w:val="both"/>
      </w:pPr>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1408F8" w:rsidRDefault="0018335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p>
    <w:p w:rsidR="001408F8" w:rsidRDefault="00183356">
      <w:pPr>
        <w:pStyle w:val="Ttulo1"/>
        <w:spacing w:before="0" w:after="240" w:line="360" w:lineRule="auto"/>
        <w:rPr>
          <w:rFonts w:ascii="Palatino Linotype" w:eastAsia="Palatino Linotype" w:hAnsi="Palatino Linotype" w:cs="Palatino Linotype"/>
          <w:b/>
          <w:bCs/>
          <w:color w:val="000000"/>
          <w:sz w:val="24"/>
          <w:szCs w:val="24"/>
        </w:rPr>
      </w:pPr>
      <w:bookmarkStart w:id="11" w:name="_heading=h.26in1rg" w:colFirst="0" w:colLast="0"/>
      <w:bookmarkEnd w:id="11"/>
      <w:r>
        <w:rPr>
          <w:rFonts w:ascii="Palatino Linotype" w:eastAsia="Palatino Linotype" w:hAnsi="Palatino Linotype" w:cs="Palatino Linotype"/>
          <w:b/>
          <w:bCs/>
          <w:color w:val="000000"/>
          <w:sz w:val="24"/>
          <w:szCs w:val="24"/>
        </w:rPr>
        <w:t>II. De la información solicitada y la respuesta del SUJETO OBLIGADO</w:t>
      </w:r>
    </w:p>
    <w:p w:rsidR="001408F8" w:rsidRDefault="00183356">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Acotada la </w:t>
      </w:r>
      <w:r>
        <w:rPr>
          <w:rFonts w:ascii="Palatino Linotype" w:eastAsia="Palatino Linotype" w:hAnsi="Palatino Linotype" w:cs="Palatino Linotype"/>
          <w:i/>
          <w:iCs/>
          <w:color w:val="000000"/>
        </w:rPr>
        <w:t>Litis</w:t>
      </w:r>
      <w:r>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 la negativa a la entrega de la información por el Sujeto Obligado.</w:t>
      </w:r>
    </w:p>
    <w:p w:rsidR="001408F8" w:rsidRDefault="001408F8">
      <w:pPr>
        <w:spacing w:line="360" w:lineRule="auto"/>
        <w:jc w:val="both"/>
        <w:rPr>
          <w:rFonts w:ascii="Palatino Linotype" w:eastAsia="Palatino Linotype" w:hAnsi="Palatino Linotype" w:cs="Palatino Linotype"/>
          <w:sz w:val="22"/>
          <w:szCs w:val="22"/>
        </w:rPr>
      </w:pPr>
    </w:p>
    <w:p w:rsidR="001408F8" w:rsidRDefault="00183356">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es importante recordar la información que fue solicitada por el </w:t>
      </w:r>
      <w:r>
        <w:rPr>
          <w:rFonts w:ascii="Palatino Linotype" w:eastAsia="Palatino Linotype" w:hAnsi="Palatino Linotype" w:cs="Palatino Linotype"/>
          <w:b/>
          <w:bCs/>
        </w:rPr>
        <w:t xml:space="preserve">RECURRENTE </w:t>
      </w:r>
      <w:r>
        <w:rPr>
          <w:rFonts w:ascii="Palatino Linotype" w:eastAsia="Palatino Linotype" w:hAnsi="Palatino Linotype" w:cs="Palatino Linotype"/>
        </w:rPr>
        <w:t xml:space="preserve">así como la información proporcionada por el </w:t>
      </w:r>
      <w:r>
        <w:rPr>
          <w:rFonts w:ascii="Palatino Linotype" w:eastAsia="Palatino Linotype" w:hAnsi="Palatino Linotype" w:cs="Palatino Linotype"/>
          <w:b/>
          <w:bCs/>
        </w:rPr>
        <w:t xml:space="preserve">SUJETO OBLIGADO. </w:t>
      </w:r>
    </w:p>
    <w:p w:rsidR="001408F8" w:rsidRDefault="001408F8">
      <w:pPr>
        <w:pBdr>
          <w:top w:val="nil"/>
          <w:left w:val="nil"/>
          <w:bottom w:val="nil"/>
          <w:right w:val="nil"/>
          <w:between w:val="nil"/>
        </w:pBdr>
        <w:jc w:val="center"/>
        <w:rPr>
          <w:rFonts w:ascii="Palatino Linotype" w:eastAsia="Palatino Linotype" w:hAnsi="Palatino Linotype" w:cs="Palatino Linotype"/>
          <w:i/>
          <w:iCs/>
          <w:color w:val="000000"/>
          <w:sz w:val="22"/>
          <w:szCs w:val="22"/>
        </w:rPr>
      </w:pPr>
    </w:p>
    <w:p w:rsidR="001408F8" w:rsidRDefault="00183356">
      <w:pPr>
        <w:pBdr>
          <w:top w:val="nil"/>
          <w:left w:val="nil"/>
          <w:bottom w:val="nil"/>
          <w:right w:val="nil"/>
          <w:between w:val="nil"/>
        </w:pBdr>
        <w:spacing w:line="360" w:lineRule="auto"/>
        <w:ind w:left="1134" w:right="113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De los ejercicios 2022, 2024 y del uno de enero al veintiocho de octubre de dos mil veinticinco:</w:t>
      </w:r>
    </w:p>
    <w:p w:rsidR="001408F8" w:rsidRDefault="00183356">
      <w:pPr>
        <w:numPr>
          <w:ilvl w:val="0"/>
          <w:numId w:val="7"/>
        </w:numPr>
        <w:pBdr>
          <w:top w:val="nil"/>
          <w:left w:val="nil"/>
          <w:bottom w:val="nil"/>
          <w:right w:val="nil"/>
          <w:between w:val="nil"/>
        </w:pBdr>
        <w:spacing w:line="360" w:lineRule="auto"/>
        <w:ind w:right="113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Contratos de Obra Pública</w:t>
      </w:r>
    </w:p>
    <w:p w:rsidR="001408F8" w:rsidRDefault="00183356">
      <w:pPr>
        <w:numPr>
          <w:ilvl w:val="0"/>
          <w:numId w:val="7"/>
        </w:numPr>
        <w:pBdr>
          <w:top w:val="nil"/>
          <w:left w:val="nil"/>
          <w:bottom w:val="nil"/>
          <w:right w:val="nil"/>
          <w:between w:val="nil"/>
        </w:pBdr>
        <w:spacing w:line="360" w:lineRule="auto"/>
        <w:ind w:right="113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Contratos de Servicios</w:t>
      </w:r>
    </w:p>
    <w:p w:rsidR="001408F8" w:rsidRDefault="00183356">
      <w:pPr>
        <w:numPr>
          <w:ilvl w:val="0"/>
          <w:numId w:val="7"/>
        </w:numPr>
        <w:pBdr>
          <w:top w:val="nil"/>
          <w:left w:val="nil"/>
          <w:bottom w:val="nil"/>
          <w:right w:val="nil"/>
          <w:between w:val="nil"/>
        </w:pBdr>
        <w:spacing w:line="360" w:lineRule="auto"/>
        <w:ind w:right="113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Contratos de Adquisiciones</w:t>
      </w:r>
    </w:p>
    <w:p w:rsidR="001408F8" w:rsidRDefault="00183356">
      <w:pPr>
        <w:numPr>
          <w:ilvl w:val="0"/>
          <w:numId w:val="7"/>
        </w:numPr>
        <w:pBdr>
          <w:top w:val="nil"/>
          <w:left w:val="nil"/>
          <w:bottom w:val="nil"/>
          <w:right w:val="nil"/>
          <w:between w:val="nil"/>
        </w:pBdr>
        <w:spacing w:line="360" w:lineRule="auto"/>
        <w:ind w:right="113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Contratos de Arrendamientos</w:t>
      </w:r>
    </w:p>
    <w:p w:rsidR="001408F8" w:rsidRDefault="00183356">
      <w:pPr>
        <w:numPr>
          <w:ilvl w:val="0"/>
          <w:numId w:val="7"/>
        </w:numPr>
        <w:pBdr>
          <w:top w:val="nil"/>
          <w:left w:val="nil"/>
          <w:bottom w:val="nil"/>
          <w:right w:val="nil"/>
          <w:between w:val="nil"/>
        </w:pBdr>
        <w:spacing w:line="360" w:lineRule="auto"/>
        <w:ind w:right="113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Documento o Documentos donde conste la partida presupuestal a la que correspondan</w:t>
      </w:r>
    </w:p>
    <w:p w:rsidR="001408F8" w:rsidRDefault="001408F8">
      <w:pPr>
        <w:pBdr>
          <w:top w:val="nil"/>
          <w:left w:val="nil"/>
          <w:bottom w:val="nil"/>
          <w:right w:val="nil"/>
          <w:between w:val="nil"/>
        </w:pBdr>
        <w:spacing w:line="360" w:lineRule="auto"/>
        <w:ind w:left="1494" w:right="1134"/>
        <w:jc w:val="both"/>
        <w:rPr>
          <w:rFonts w:ascii="Palatino Linotype" w:eastAsia="Palatino Linotype" w:hAnsi="Palatino Linotype" w:cs="Palatino Linotype"/>
          <w:i/>
          <w:iCs/>
          <w:sz w:val="22"/>
          <w:szCs w:val="22"/>
        </w:rPr>
      </w:pPr>
    </w:p>
    <w:p w:rsidR="001408F8" w:rsidRDefault="001408F8">
      <w:pPr>
        <w:spacing w:line="360" w:lineRule="auto"/>
        <w:jc w:val="both"/>
        <w:rPr>
          <w:rFonts w:ascii="Palatino Linotype" w:eastAsia="Palatino Linotype" w:hAnsi="Palatino Linotype" w:cs="Palatino Linotype"/>
          <w:color w:val="000000"/>
          <w:sz w:val="22"/>
          <w:szCs w:val="22"/>
        </w:rPr>
      </w:pPr>
    </w:p>
    <w:p w:rsidR="001408F8" w:rsidRDefault="001408F8">
      <w:pPr>
        <w:pBdr>
          <w:top w:val="nil"/>
          <w:left w:val="nil"/>
          <w:bottom w:val="nil"/>
          <w:right w:val="nil"/>
          <w:between w:val="nil"/>
        </w:pBdr>
        <w:spacing w:line="360" w:lineRule="auto"/>
        <w:ind w:left="1134" w:right="-150"/>
        <w:jc w:val="both"/>
        <w:rPr>
          <w:rFonts w:ascii="Palatino Linotype" w:eastAsia="Palatino Linotype" w:hAnsi="Palatino Linotype" w:cs="Palatino Linotype"/>
          <w:color w:val="000000"/>
        </w:rPr>
      </w:pPr>
    </w:p>
    <w:p w:rsidR="001408F8" w:rsidRDefault="00183356">
      <w:pPr>
        <w:numPr>
          <w:ilvl w:val="0"/>
          <w:numId w:val="3"/>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al respecto, es de señalar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 por lo que ,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 los servidores públicos habilitados que tengan bajo su resguardo la misma, de conformidad con los artículos 53, fracciones II y IV y 162 de la </w:t>
      </w:r>
      <w:r>
        <w:rPr>
          <w:rFonts w:ascii="Palatino Linotype" w:eastAsia="Palatino Linotype" w:hAnsi="Palatino Linotype" w:cs="Palatino Linotype"/>
          <w:color w:val="000000"/>
        </w:rPr>
        <w:lastRenderedPageBreak/>
        <w:t>Ley de Transparencia y Acceso a la Información Pública del Estado de México y Municipios.</w:t>
      </w:r>
    </w:p>
    <w:p w:rsidR="001408F8" w:rsidRDefault="001408F8">
      <w:pPr>
        <w:spacing w:before="240" w:after="240"/>
        <w:jc w:val="both"/>
        <w:rPr>
          <w:rFonts w:ascii="Palatino Linotype" w:eastAsia="Palatino Linotype" w:hAnsi="Palatino Linotype" w:cs="Palatino Linotype"/>
        </w:rPr>
      </w:pPr>
    </w:p>
    <w:p w:rsidR="001408F8" w:rsidRDefault="00183356">
      <w:pPr>
        <w:numPr>
          <w:ilvl w:val="0"/>
          <w:numId w:val="3"/>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rsidR="001408F8" w:rsidRDefault="001408F8">
      <w:pPr>
        <w:spacing w:before="240" w:after="240"/>
        <w:jc w:val="both"/>
        <w:rPr>
          <w:rFonts w:ascii="Palatino Linotype" w:eastAsia="Palatino Linotype" w:hAnsi="Palatino Linotype" w:cs="Palatino Linotype"/>
        </w:rPr>
      </w:pPr>
    </w:p>
    <w:p w:rsidR="001408F8" w:rsidRDefault="00183356">
      <w:pPr>
        <w:numPr>
          <w:ilvl w:val="0"/>
          <w:numId w:val="3"/>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manifestado con antelación se advierte que la persona Titular de la Unidad de Transparencia debe garantizar que las solicitudes se turnen a todas las áreas </w:t>
      </w:r>
      <w:r>
        <w:rPr>
          <w:rFonts w:ascii="Palatino Linotype" w:eastAsia="Palatino Linotype" w:hAnsi="Palatino Linotype" w:cs="Palatino Linotype"/>
          <w:color w:val="000000"/>
        </w:rPr>
        <w:lastRenderedPageBreak/>
        <w:t>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rsidR="001408F8" w:rsidRDefault="001408F8">
      <w:pPr>
        <w:pBdr>
          <w:top w:val="nil"/>
          <w:left w:val="nil"/>
          <w:bottom w:val="nil"/>
          <w:right w:val="nil"/>
          <w:between w:val="nil"/>
        </w:pBdr>
        <w:ind w:left="720"/>
        <w:rPr>
          <w:rFonts w:ascii="Palatino Linotype" w:eastAsia="Palatino Linotype" w:hAnsi="Palatino Linotype" w:cs="Palatino Linotype"/>
          <w:color w:val="000000"/>
        </w:rPr>
      </w:pPr>
    </w:p>
    <w:p w:rsidR="001408F8" w:rsidRDefault="00183356">
      <w:pPr>
        <w:numPr>
          <w:ilvl w:val="0"/>
          <w:numId w:val="3"/>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esta línea de pensamiento, derivado del análisis de las constancias que obran en el expediente electrónico en el que se actúa, se advirtió que la Unidad de Transparencia turnó la solicitud de información para su atención a la Dirección de Administración y Finanzas, cuyo objetivo, de conformidad con el apartado 4  del Manual de Organización del Sujeto Obligado consiste en Coordinar y dirigir la administración oportuna, eficiente y eficaz, de los recursos humanos, materiales y financieros, asignados en las unidades administrativas del organismo, buscando como consecuencia que el resultado del esfuerzo de la gestión administrativa y financiera en conjunto sea la mejora.</w:t>
      </w:r>
    </w:p>
    <w:p w:rsidR="001408F8" w:rsidRDefault="001408F8">
      <w:pPr>
        <w:spacing w:before="240" w:after="240"/>
        <w:jc w:val="both"/>
        <w:rPr>
          <w:rFonts w:ascii="Palatino Linotype" w:eastAsia="Palatino Linotype" w:hAnsi="Palatino Linotype" w:cs="Palatino Linotype"/>
        </w:rPr>
      </w:pPr>
    </w:p>
    <w:p w:rsidR="001408F8" w:rsidRDefault="00183356">
      <w:pPr>
        <w:numPr>
          <w:ilvl w:val="0"/>
          <w:numId w:val="3"/>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mismo según el propio ordenamiento se encuentra facultado para  Dirigir y coordinar la administración de personal, recursos financieros y materiales; así como la prestación de los servicios generales, conforme a las normas establecidas;  Impulsar políticas y lineamientos de control interno, para fortalecer la administración de los recursos humanos, materiales y financieros del organismo.</w:t>
      </w:r>
    </w:p>
    <w:p w:rsidR="001408F8" w:rsidRDefault="001408F8">
      <w:pPr>
        <w:pBdr>
          <w:top w:val="nil"/>
          <w:left w:val="nil"/>
          <w:bottom w:val="nil"/>
          <w:right w:val="nil"/>
          <w:between w:val="nil"/>
        </w:pBdr>
        <w:ind w:left="720"/>
        <w:rPr>
          <w:rFonts w:ascii="Palatino Linotype" w:eastAsia="Palatino Linotype" w:hAnsi="Palatino Linotype" w:cs="Palatino Linotype"/>
          <w:color w:val="000000"/>
        </w:rPr>
      </w:pPr>
    </w:p>
    <w:p w:rsidR="001408F8" w:rsidRDefault="0018335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lo anterior se advierte que si bien la Dirección de Administración y Finanzas cuenta con competencia para conocer de la información que es del interés de la persona solicitante, sin embargo, NO se atendió el procedimiento de búsqueda, el cual se constituye como la garantía primaria del derecho humano de acceso a la información pública, mismo que se rige por los principios de simplicidad, rapidez, gratuidad del procedimiento, auxilio y orientación a los solicitantes con el fin de otorgar la protección más amplia de este derecho, al no obrar constancia en el expediente electrónico del turno a todas las áreas competentes para contar con la información materia de la solicitud, de manera enunciativa, más no limitativa, la </w:t>
      </w:r>
      <w:r>
        <w:rPr>
          <w:rFonts w:ascii="Palatino Linotype" w:eastAsia="Palatino Linotype" w:hAnsi="Palatino Linotype" w:cs="Palatino Linotype"/>
          <w:i/>
          <w:iCs/>
          <w:color w:val="000000"/>
        </w:rPr>
        <w:t>Dirección General.</w:t>
      </w:r>
      <w:r>
        <w:rPr>
          <w:rFonts w:ascii="Palatino Linotype" w:eastAsia="Palatino Linotype" w:hAnsi="Palatino Linotype" w:cs="Palatino Linotype"/>
          <w:color w:val="000000"/>
        </w:rPr>
        <w:t xml:space="preserve"> </w:t>
      </w:r>
    </w:p>
    <w:p w:rsidR="001408F8" w:rsidRDefault="001408F8">
      <w:pPr>
        <w:pBdr>
          <w:top w:val="nil"/>
          <w:left w:val="nil"/>
          <w:bottom w:val="nil"/>
          <w:right w:val="nil"/>
          <w:between w:val="nil"/>
        </w:pBdr>
        <w:ind w:left="720"/>
        <w:rPr>
          <w:rFonts w:ascii="Palatino Linotype" w:eastAsia="Palatino Linotype" w:hAnsi="Palatino Linotype" w:cs="Palatino Linotype"/>
          <w:color w:val="000000"/>
        </w:rPr>
      </w:pPr>
    </w:p>
    <w:p w:rsidR="001408F8" w:rsidRDefault="0018335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la Dirección General  es el ente encargado Formular, dirigir y vigilar las estrategias, políticas, normas y lineamientos para la gestión, operación y funcionamiento de los servicios que ofrece el OPDAPAS Tenancingo; enfocando los esfuerzos administrativos para prestar con eficiencia, oportunidad, cantidad, calidad y transparencia los servicios de suministro de agua potable, alcantarillado sanitario y pluvial a la población, brindando sistemas adecuados para el pago de servicios y la promoción de la cultura del agua para el uso racional y cuidado del Agua.</w:t>
      </w:r>
    </w:p>
    <w:p w:rsidR="001408F8" w:rsidRDefault="001408F8">
      <w:pPr>
        <w:pBdr>
          <w:top w:val="nil"/>
          <w:left w:val="nil"/>
          <w:bottom w:val="nil"/>
          <w:right w:val="nil"/>
          <w:between w:val="nil"/>
        </w:pBdr>
        <w:ind w:left="720"/>
        <w:rPr>
          <w:rFonts w:ascii="Palatino Linotype" w:eastAsia="Palatino Linotype" w:hAnsi="Palatino Linotype" w:cs="Palatino Linotype"/>
          <w:color w:val="000000"/>
        </w:rPr>
      </w:pPr>
    </w:p>
    <w:p w:rsidR="001408F8" w:rsidRDefault="0018335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Contando así mismo entre sus atribuciones</w:t>
      </w:r>
      <w:r>
        <w:rPr>
          <w:rFonts w:ascii="Palatino Linotype" w:eastAsia="Palatino Linotype" w:hAnsi="Palatino Linotype" w:cs="Palatino Linotype"/>
          <w:color w:val="000000"/>
          <w:vertAlign w:val="superscript"/>
        </w:rPr>
        <w:footnoteReference w:id="5"/>
      </w:r>
    </w:p>
    <w:p w:rsidR="001408F8" w:rsidRDefault="001408F8">
      <w:pPr>
        <w:pBdr>
          <w:top w:val="nil"/>
          <w:left w:val="nil"/>
          <w:bottom w:val="nil"/>
          <w:right w:val="nil"/>
          <w:between w:val="nil"/>
        </w:pBdr>
        <w:ind w:left="720"/>
        <w:rPr>
          <w:rFonts w:ascii="Palatino Linotype" w:eastAsia="Palatino Linotype" w:hAnsi="Palatino Linotype" w:cs="Palatino Linotype"/>
          <w:color w:val="000000"/>
        </w:rPr>
      </w:pP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4. Suscribir contratos y convenios, tanto con instituciones públicas como con personas físicas o jurídicas colectivas;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5. Proponer al consejo directivo la contratación de créditos necesarios para cumplir con la prestación de servicios y la realización de las obras, así como supervisar su aplicación;</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6. Suscribir, otorgar, endosar títulos de crédito y celebrar operaciones de crédito;</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7. Revisar y aprobar los estados financieros, los balances anuales, los informes generales y especiales, previo conocimiento del consejo directivo y ordenar su aplicación;</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408F8" w:rsidRDefault="001408F8">
      <w:pPr>
        <w:spacing w:before="120" w:after="120"/>
        <w:ind w:left="851" w:right="1134"/>
        <w:jc w:val="both"/>
        <w:rPr>
          <w:rFonts w:ascii="Palatino Linotype" w:eastAsia="Palatino Linotype" w:hAnsi="Palatino Linotype" w:cs="Palatino Linotype"/>
          <w:i/>
          <w:iCs/>
          <w:sz w:val="22"/>
          <w:szCs w:val="22"/>
        </w:rPr>
      </w:pPr>
    </w:p>
    <w:p w:rsidR="001408F8" w:rsidRDefault="00183356">
      <w:pPr>
        <w:numPr>
          <w:ilvl w:val="0"/>
          <w:numId w:val="3"/>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los lineamientos citados es  que no puede tenerse por satisfecho el Derecho de acceso de la persona solicitante toda vez que la respuesta proporcionada por la persona servidora pública habilitada de la Dirección Administración y Finanzas no brinda certeza sobre la existencia o inexistencia de la información requerida por la persona solicitante, al advertirse de la lectura de la misma que esta se limitó a realizar la búsqueda de la información tomando como referencia los documentos referidos como </w:t>
      </w:r>
      <w:r>
        <w:rPr>
          <w:rFonts w:ascii="Palatino Linotype" w:eastAsia="Palatino Linotype" w:hAnsi="Palatino Linotype" w:cs="Palatino Linotype"/>
          <w:i/>
          <w:iCs/>
          <w:color w:val="000000"/>
        </w:rPr>
        <w:t>contratyos</w:t>
      </w:r>
      <w:r>
        <w:rPr>
          <w:rFonts w:ascii="Palatino Linotype" w:eastAsia="Palatino Linotype" w:hAnsi="Palatino Linotype" w:cs="Palatino Linotype"/>
          <w:color w:val="000000"/>
        </w:rPr>
        <w:t xml:space="preserve">, sin obtener resultados que a su parecer colmaran con lo solicitado, siendo importante mencionar que el Pleno de este Instituto ha sostenido que, en aquellos casos en los que las personas solicitantes no señalen de manera concreta el o los documentos a los que desean acceder, al no ser expertos en la materia, los Sujetos Obligados cuentan con el deber de dar a las solicitudes una interpretación que les dé </w:t>
      </w:r>
      <w:r>
        <w:rPr>
          <w:rFonts w:ascii="Palatino Linotype" w:eastAsia="Palatino Linotype" w:hAnsi="Palatino Linotype" w:cs="Palatino Linotype"/>
          <w:color w:val="000000"/>
        </w:rPr>
        <w:lastRenderedPageBreak/>
        <w:t xml:space="preserve">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con la finalidad de que la persona solicitante pueda buscar conforme a su interés; </w:t>
      </w:r>
      <w:r>
        <w:rPr>
          <w:rFonts w:ascii="Palatino Linotype" w:eastAsia="Palatino Linotype" w:hAnsi="Palatino Linotype" w:cs="Palatino Linotype"/>
          <w:color w:val="000000"/>
          <w:sz w:val="28"/>
          <w:szCs w:val="28"/>
        </w:rPr>
        <w:t>c</w:t>
      </w:r>
      <w:r>
        <w:rPr>
          <w:rFonts w:ascii="Palatino Linotype" w:eastAsia="Palatino Linotype" w:hAnsi="Palatino Linotype" w:cs="Palatino Linotype"/>
          <w:color w:val="000000"/>
        </w:rPr>
        <w:t xml:space="preserve">omo sustento a lo anterior resulta aplicable el criterio orientador con clave de control SO/016/2017, emitido por el entonces Instituto Nacional de Transparencia, Acceso a la Información y Protección de Datos Personales, INAI, establece lo siguiente: </w:t>
      </w:r>
    </w:p>
    <w:p w:rsidR="001408F8" w:rsidRDefault="00183356">
      <w:pPr>
        <w:pBdr>
          <w:top w:val="nil"/>
          <w:left w:val="nil"/>
          <w:bottom w:val="nil"/>
          <w:right w:val="nil"/>
          <w:between w:val="nil"/>
        </w:pBdr>
        <w:spacing w:after="120"/>
        <w:ind w:left="1134" w:right="113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i/>
          <w:iCs/>
          <w:sz w:val="22"/>
          <w:szCs w:val="22"/>
        </w:rPr>
        <w:t xml:space="preserve">Expresión documental. </w:t>
      </w:r>
      <w:r>
        <w:rPr>
          <w:rFonts w:ascii="Palatino Linotype" w:eastAsia="Palatino Linotype" w:hAnsi="Palatino Linotype" w:cs="Palatino Linotype"/>
          <w:i/>
          <w:iCs/>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1408F8" w:rsidRDefault="001408F8">
      <w:pPr>
        <w:spacing w:before="280" w:after="280" w:line="360" w:lineRule="auto"/>
        <w:jc w:val="both"/>
        <w:rPr>
          <w:rFonts w:ascii="Palatino Linotype" w:eastAsia="Palatino Linotype" w:hAnsi="Palatino Linotype" w:cs="Palatino Linotype"/>
          <w:sz w:val="22"/>
          <w:szCs w:val="22"/>
        </w:rPr>
      </w:pPr>
    </w:p>
    <w:p w:rsidR="001408F8" w:rsidRDefault="00183356">
      <w:pPr>
        <w:numPr>
          <w:ilvl w:val="0"/>
          <w:numId w:val="3"/>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Así mismo al no haberse observado el procedimiento de búsqueda al no advertirse pronunciamiento por parte de todas las áreas competentes para conocer de la información que es del interés de la persona solicitante</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rPr>
        <w:t xml:space="preserve">se estima que para efectos de garantizar el Derecho de acceso de la parte </w:t>
      </w:r>
      <w:r>
        <w:rPr>
          <w:rFonts w:ascii="Palatino Linotype" w:eastAsia="Palatino Linotype" w:hAnsi="Palatino Linotype" w:cs="Palatino Linotype"/>
          <w:b/>
          <w:bCs/>
          <w:color w:val="000000"/>
        </w:rPr>
        <w:t xml:space="preserve">Recurrente,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deberá, </w:t>
      </w:r>
      <w:r>
        <w:rPr>
          <w:rFonts w:ascii="Palatino Linotype" w:eastAsia="Palatino Linotype" w:hAnsi="Palatino Linotype" w:cs="Palatino Linotype"/>
          <w:color w:val="000000"/>
        </w:rPr>
        <w:lastRenderedPageBreak/>
        <w:t>previa búsqueda exhaustiva y razonable, hacer entrega de la información que atienda lo solicitado, en versión pública de ser procedente.</w:t>
      </w:r>
    </w:p>
    <w:p w:rsidR="001408F8" w:rsidRDefault="001408F8">
      <w:pPr>
        <w:spacing w:before="240" w:after="240" w:line="360" w:lineRule="auto"/>
        <w:jc w:val="both"/>
        <w:rPr>
          <w:rFonts w:ascii="Palatino Linotype" w:eastAsia="Palatino Linotype" w:hAnsi="Palatino Linotype" w:cs="Palatino Linotype"/>
          <w:sz w:val="22"/>
          <w:szCs w:val="22"/>
        </w:rPr>
      </w:pPr>
    </w:p>
    <w:p w:rsidR="001408F8" w:rsidRDefault="00183356">
      <w:pPr>
        <w:numPr>
          <w:ilvl w:val="0"/>
          <w:numId w:val="3"/>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toda vez que ha quedado acreditado que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tiene la facultad para celebrar contratos, mismos que se elaboran en función del Programa Anual de Obra, documento que forma parte del Presupuesto de Egresos Municipal,  cuya versión definitiva se promulga y publica en la "Gaceta Municipal”, por el Presidente Municipal,  a más tardar el día veinticinco de febrero de cada año, de conformidad con los artículos 125, párrafo cuarto de la Constitución Política de Nuestro  Estado, 351, párrafo segundo del Código Financiero del Estado de México, y 47 de la Ley de Fiscalización Superior del Estado de México:</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125</w:t>
      </w:r>
      <w:r>
        <w:rPr>
          <w:rFonts w:ascii="Palatino Linotype" w:eastAsia="Palatino Linotype" w:hAnsi="Palatino Linotype" w:cs="Palatino Linotype"/>
          <w:i/>
          <w:iCs/>
          <w:sz w:val="22"/>
          <w:szCs w:val="22"/>
        </w:rPr>
        <w:t>...</w:t>
      </w:r>
    </w:p>
    <w:p w:rsidR="001408F8" w:rsidRDefault="00183356">
      <w:pPr>
        <w:spacing w:before="120" w:after="120"/>
        <w:ind w:left="1134"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i/>
          <w:iCs/>
          <w:sz w:val="22"/>
          <w:szCs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Pr>
          <w:rFonts w:ascii="Palatino Linotype" w:eastAsia="Palatino Linotype" w:hAnsi="Palatino Linotype" w:cs="Palatino Linotype"/>
          <w:b/>
          <w:bCs/>
          <w:i/>
          <w:iCs/>
          <w:sz w:val="22"/>
          <w:szCs w:val="22"/>
        </w:rPr>
        <w:t>La Presidenta o el Presidente Municipal, promulgará y publicará el Presupuesto de Egresos Municipal, a más tardar el día 25 de febrero de cada año debiendo enviarlo al Órgano Superior de Fiscalización en la misma fecha.”</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351</w:t>
      </w:r>
      <w:r>
        <w:rPr>
          <w:rFonts w:ascii="Palatino Linotype" w:eastAsia="Palatino Linotype" w:hAnsi="Palatino Linotype" w:cs="Palatino Linotype"/>
          <w:i/>
          <w:iCs/>
          <w:sz w:val="22"/>
          <w:szCs w:val="22"/>
        </w:rPr>
        <w:t>...</w:t>
      </w:r>
    </w:p>
    <w:p w:rsidR="001408F8" w:rsidRDefault="00183356">
      <w:pPr>
        <w:spacing w:before="120" w:after="120"/>
        <w:ind w:left="1134"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Los Ayuntamientos al aprobar en forma definitiva su presupuesto de egresos, deberán publicar en la "Gaceta Municipal</w:t>
      </w:r>
      <w:r>
        <w:rPr>
          <w:rFonts w:ascii="Palatino Linotype" w:eastAsia="Palatino Linotype" w:hAnsi="Palatino Linotype" w:cs="Palatino Linotype"/>
          <w:i/>
          <w:iCs/>
          <w:sz w:val="22"/>
          <w:szCs w:val="22"/>
        </w:rPr>
        <w:t xml:space="preserve">" de manera clara y </w:t>
      </w:r>
      <w:r>
        <w:rPr>
          <w:rFonts w:ascii="Palatino Linotype" w:eastAsia="Palatino Linotype" w:hAnsi="Palatino Linotype" w:cs="Palatino Linotype"/>
          <w:i/>
          <w:iCs/>
          <w:sz w:val="22"/>
          <w:szCs w:val="22"/>
        </w:rPr>
        <w:lastRenderedPageBreak/>
        <w:t xml:space="preserve">entendible, todas y cada una de las partidas que lo integran, las remuneraciones de todo tipo aprobadas para los miembros del ayuntamiento y para los servidores públicos en general, incluyendo mandos medios y superiores de la administración municipal, </w:t>
      </w:r>
      <w:r>
        <w:rPr>
          <w:rFonts w:ascii="Palatino Linotype" w:eastAsia="Palatino Linotype" w:hAnsi="Palatino Linotype" w:cs="Palatino Linotype"/>
          <w:b/>
          <w:bCs/>
          <w:i/>
          <w:iCs/>
          <w:sz w:val="22"/>
          <w:szCs w:val="22"/>
        </w:rPr>
        <w:t>a más tardar el 25 de febrero del año para el cual habrá de aplicar dicho presupuesto.”</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47</w:t>
      </w:r>
      <w:r>
        <w:rPr>
          <w:rFonts w:ascii="Palatino Linotype" w:eastAsia="Palatino Linotype" w:hAnsi="Palatino Linotype" w:cs="Palatino Linotype"/>
          <w:i/>
          <w:iCs/>
          <w:sz w:val="22"/>
          <w:szCs w:val="22"/>
        </w:rPr>
        <w:t xml:space="preserve">.- Los Presidentes Municipales y los Síndicos estarán obligados a </w:t>
      </w:r>
      <w:r>
        <w:rPr>
          <w:rFonts w:ascii="Palatino Linotype" w:eastAsia="Palatino Linotype" w:hAnsi="Palatino Linotype" w:cs="Palatino Linotype"/>
          <w:b/>
          <w:bCs/>
          <w:i/>
          <w:iCs/>
          <w:sz w:val="22"/>
          <w:szCs w:val="22"/>
        </w:rPr>
        <w:t xml:space="preserve">informar al Órgano Superior, a más tardar el 25 de febrero de cada año, el Presupuesto de Egresos Municipal que haya aprobado el Ayuntamiento </w:t>
      </w:r>
      <w:r>
        <w:rPr>
          <w:rFonts w:ascii="Palatino Linotype" w:eastAsia="Palatino Linotype" w:hAnsi="Palatino Linotype" w:cs="Palatino Linotype"/>
          <w:i/>
          <w:iCs/>
          <w:sz w:val="22"/>
          <w:szCs w:val="22"/>
        </w:rPr>
        <w:t>correspondiente.”</w:t>
      </w:r>
    </w:p>
    <w:p w:rsidR="001408F8" w:rsidRDefault="001408F8">
      <w:pPr>
        <w:spacing w:before="120" w:after="120"/>
        <w:ind w:left="1134" w:right="1134"/>
        <w:jc w:val="both"/>
        <w:rPr>
          <w:rFonts w:ascii="Palatino Linotype" w:eastAsia="Palatino Linotype" w:hAnsi="Palatino Linotype" w:cs="Palatino Linotype"/>
          <w:b/>
          <w:bCs/>
          <w:i/>
          <w:iCs/>
          <w:sz w:val="22"/>
          <w:szCs w:val="22"/>
        </w:rPr>
      </w:pPr>
    </w:p>
    <w:p w:rsidR="001408F8" w:rsidRDefault="00183356">
      <w:pPr>
        <w:numPr>
          <w:ilvl w:val="0"/>
          <w:numId w:val="3"/>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Entre los formatos que integran el Presupuesto de Egresos aprobado, de conformidad con el numeral 3.4.1 del Manual para la Planeación, Programación y Presupuesto de Egresos Municipal, se encuentra el </w:t>
      </w:r>
      <w:r>
        <w:rPr>
          <w:rFonts w:ascii="Palatino Linotype" w:eastAsia="Palatino Linotype" w:hAnsi="Palatino Linotype" w:cs="Palatino Linotype"/>
          <w:b/>
          <w:bCs/>
          <w:color w:val="000000"/>
        </w:rPr>
        <w:t xml:space="preserve">PbRM-07a Programa Anual de Obra </w:t>
      </w:r>
      <w:r>
        <w:rPr>
          <w:rFonts w:ascii="Palatino Linotype" w:eastAsia="Palatino Linotype" w:hAnsi="Palatino Linotype" w:cs="Palatino Linotype"/>
          <w:color w:val="000000"/>
        </w:rPr>
        <w:t xml:space="preserve">y el </w:t>
      </w:r>
      <w:r>
        <w:rPr>
          <w:rFonts w:ascii="Palatino Linotype" w:eastAsia="Palatino Linotype" w:hAnsi="Palatino Linotype" w:cs="Palatino Linotype"/>
          <w:b/>
          <w:bCs/>
          <w:color w:val="000000"/>
        </w:rPr>
        <w:t>PbRM 07b Programa anual de obra (reparaciones y mantenimientos),</w:t>
      </w:r>
      <w:r>
        <w:rPr>
          <w:rFonts w:ascii="Palatino Linotype" w:eastAsia="Palatino Linotype" w:hAnsi="Palatino Linotype" w:cs="Palatino Linotype"/>
          <w:color w:val="000000"/>
        </w:rPr>
        <w:t xml:space="preserve"> los cuales especifican de manera precisa el período de ejecución y presupuesto ejercido de la obra pública de que se trate; así como la fuente de financiamiento con la que ésta se llevará a cabo, como se desprende de los formatos y los instructivo de llenado respectivos.</w:t>
      </w:r>
    </w:p>
    <w:p w:rsidR="001408F8" w:rsidRDefault="001408F8">
      <w:pPr>
        <w:spacing w:before="240" w:after="240" w:line="360" w:lineRule="auto"/>
        <w:jc w:val="both"/>
        <w:rPr>
          <w:rFonts w:ascii="Palatino Linotype" w:eastAsia="Palatino Linotype" w:hAnsi="Palatino Linotype" w:cs="Palatino Linotype"/>
        </w:rPr>
      </w:pPr>
    </w:p>
    <w:p w:rsidR="001408F8" w:rsidRDefault="00183356">
      <w:pPr>
        <w:numPr>
          <w:ilvl w:val="0"/>
          <w:numId w:val="3"/>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es oportuno hacer alusión al Libro Décimo Segundo. De la obra pública, del Código Administrativo del Estado de México, el cual, de conformidad con el artículo 12.1, regular los actos relativos a la planeación, programación, presupuestación, adjudicación, contratación, ejecución y control de la obra pública, así </w:t>
      </w:r>
      <w:r>
        <w:rPr>
          <w:rFonts w:ascii="Palatino Linotype" w:eastAsia="Palatino Linotype" w:hAnsi="Palatino Linotype" w:cs="Palatino Linotype"/>
          <w:color w:val="000000"/>
        </w:rPr>
        <w:lastRenderedPageBreak/>
        <w:t>como los servicios relacionados con la misma que, por sí o por conducto de terceros, realicen las secretarías y unidades administrativas del Poder Ejecutivo del Estado; la Fiscalía General de Justicia; los ayuntamientos de los municipios del Estado; los organismos auxiliares y fideicomisos públicos del Estado y municipios; y los tribunales administrativos.</w:t>
      </w:r>
    </w:p>
    <w:p w:rsidR="001408F8" w:rsidRDefault="001408F8">
      <w:pPr>
        <w:spacing w:before="240" w:after="240" w:line="360" w:lineRule="auto"/>
        <w:jc w:val="both"/>
        <w:rPr>
          <w:rFonts w:ascii="Palatino Linotype" w:eastAsia="Palatino Linotype" w:hAnsi="Palatino Linotype" w:cs="Palatino Linotype"/>
        </w:rPr>
      </w:pPr>
    </w:p>
    <w:p w:rsidR="001408F8" w:rsidRDefault="00183356">
      <w:pPr>
        <w:numPr>
          <w:ilvl w:val="0"/>
          <w:numId w:val="3"/>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tenor, de acuerdo con el artículo 12.4 del Libro Décimo Segundo del referido Código, se considera obra pública todo trabajo que tenga por objeto principal </w:t>
      </w:r>
      <w:r>
        <w:rPr>
          <w:rFonts w:ascii="Palatino Linotype" w:eastAsia="Palatino Linotype" w:hAnsi="Palatino Linotype" w:cs="Palatino Linotype"/>
          <w:i/>
          <w:iCs/>
          <w:color w:val="000000"/>
        </w:rPr>
        <w:t>construir, instalar, ampliar, adecuar, remodelar, restaurar, conservar, mantener, modificar o demoler bienes inmuebles propiedad del Estado, de sus dependencias y entidades y de los municipios y sus organismos con cargo a recursos públicos estatales o municipales</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quedando comprendidos dentro de la obra pública: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 El mantenimiento, restauración, desmantelamiento o remoción de bienes muebles incorporados o adheridos a un inmueble;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 Los proyectos integrales o comúnmente denominados llave en mano, en los cuales el contratista se obliga desde el diseño de la obra hasta su terminación total, incluyéndose, cuando se requiera, la transferencia de tecnología;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III. Los trabajos de exploración, localización y perforación; mejoramiento del suelo y/o subsuelo; desmontes y extracción y aquellos similares que tengan por objeto la explotación y desarrollo de los recursos naturales que se encuentran en el suelo y/o subsuelo;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 xml:space="preserve">IV. Los trabajos de infraestructura agropecuaria e hidro - agrícola: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VI. Los demás que tengan por objeto principal alguno de los conceptos a que se refiere el párrafo primero de este artículo, excluyéndose expresamente los trabajos regulados por el Libro Décimo Sexto del Código.</w:t>
      </w:r>
    </w:p>
    <w:p w:rsidR="001408F8" w:rsidRDefault="001408F8">
      <w:pPr>
        <w:spacing w:before="240" w:after="240"/>
        <w:ind w:left="1134" w:right="1134"/>
        <w:jc w:val="both"/>
        <w:rPr>
          <w:rFonts w:ascii="Palatino Linotype" w:eastAsia="Palatino Linotype" w:hAnsi="Palatino Linotype" w:cs="Palatino Linotype"/>
          <w:i/>
          <w:iCs/>
          <w:sz w:val="22"/>
          <w:szCs w:val="22"/>
        </w:rPr>
      </w:pPr>
    </w:p>
    <w:p w:rsidR="001408F8" w:rsidRDefault="00183356">
      <w:pPr>
        <w:numPr>
          <w:ilvl w:val="0"/>
          <w:numId w:val="3"/>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también del artículo 12.5 del Libro Décimo Segundo se señala que son</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servicios relacionados con la obra pública, </w:t>
      </w:r>
      <w:r>
        <w:rPr>
          <w:rFonts w:ascii="Palatino Linotype" w:eastAsia="Palatino Linotype" w:hAnsi="Palatino Linotype" w:cs="Palatino Linotype"/>
          <w:i/>
          <w:iCs/>
          <w:color w:val="000000"/>
        </w:rPr>
        <w:t>los trabajos que tengan por objeto concebir, diseñar y calcular los elementos que integran un proyecto de obra pública; las investigaciones, estudios, asesorías y consultorías</w:t>
      </w:r>
      <w:r>
        <w:rPr>
          <w:rFonts w:ascii="Palatino Linotype" w:eastAsia="Palatino Linotype" w:hAnsi="Palatino Linotype" w:cs="Palatino Linotype"/>
          <w:color w:val="000000"/>
        </w:rPr>
        <w:t xml:space="preserve"> que se vinculen con los actos que regula el Libro Décimo Segundo; la dirección y supervisión de la ejecución de las obras y los estudios que tengan por objeto principal rehabilitar, corregir o incrementar la eficiencia de las instalaciones con excepción de los trabajos regulados por el Libro Décimo Sexto del Código, quedando comprendidos dentro de los servicios relacionados con la obra pública:</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II.</w:t>
      </w:r>
      <w:r>
        <w:rPr>
          <w:rFonts w:ascii="Palatino Linotype" w:eastAsia="Palatino Linotype" w:hAnsi="Palatino Linotype" w:cs="Palatino Linotype"/>
          <w:i/>
          <w:iCs/>
          <w:sz w:val="22"/>
          <w:szCs w:val="22"/>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IV</w:t>
      </w:r>
      <w:r>
        <w:rPr>
          <w:rFonts w:ascii="Palatino Linotype" w:eastAsia="Palatino Linotype" w:hAnsi="Palatino Linotype" w:cs="Palatino Linotype"/>
          <w:i/>
          <w:iCs/>
          <w:sz w:val="22"/>
          <w:szCs w:val="22"/>
        </w:rPr>
        <w:t xml:space="preserve">. Los estudios económicos y de planeación de preinversión, factibilidad técnico económica, ecológica o social, de evaluación, adaptación, tenencia de la tierra, financieros, de desarrollo y restitución de la eficiencia de las instalaciones;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w:t>
      </w:r>
      <w:r>
        <w:rPr>
          <w:rFonts w:ascii="Palatino Linotype" w:eastAsia="Palatino Linotype" w:hAnsi="Palatino Linotype" w:cs="Palatino Linotype"/>
          <w:i/>
          <w:iCs/>
          <w:sz w:val="22"/>
          <w:szCs w:val="22"/>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w:t>
      </w:r>
      <w:r>
        <w:rPr>
          <w:rFonts w:ascii="Palatino Linotype" w:eastAsia="Palatino Linotype" w:hAnsi="Palatino Linotype" w:cs="Palatino Linotype"/>
          <w:i/>
          <w:iCs/>
          <w:sz w:val="22"/>
          <w:szCs w:val="22"/>
        </w:rPr>
        <w:t xml:space="preserve"> Los trabajos de organización, informática, comunicaciones, cibernética y sistemas aplicados a las materias que regulan este Libro;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w:t>
      </w:r>
      <w:r>
        <w:rPr>
          <w:rFonts w:ascii="Palatino Linotype" w:eastAsia="Palatino Linotype" w:hAnsi="Palatino Linotype" w:cs="Palatino Linotype"/>
          <w:i/>
          <w:iCs/>
          <w:sz w:val="22"/>
          <w:szCs w:val="22"/>
        </w:rPr>
        <w:t xml:space="preserve"> Los dictámenes, peritajes, avalúos y auditorías técnico normativas, y estudios aplicables a la obra pública;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VIII.</w:t>
      </w:r>
      <w:r>
        <w:rPr>
          <w:rFonts w:ascii="Palatino Linotype" w:eastAsia="Palatino Linotype" w:hAnsi="Palatino Linotype" w:cs="Palatino Linotype"/>
          <w:i/>
          <w:iCs/>
          <w:sz w:val="22"/>
          <w:szCs w:val="22"/>
        </w:rPr>
        <w:t xml:space="preserve"> Los estudios que tengan por objeto rehabilitar, corregir, sustituir o incrementar la eficiencia de las instalaciones en un bien inmueble;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IX.</w:t>
      </w:r>
      <w:r>
        <w:rPr>
          <w:rFonts w:ascii="Palatino Linotype" w:eastAsia="Palatino Linotype" w:hAnsi="Palatino Linotype" w:cs="Palatino Linotype"/>
          <w:i/>
          <w:iCs/>
          <w:sz w:val="22"/>
          <w:szCs w:val="22"/>
        </w:rPr>
        <w:t xml:space="preserve"> Los estudios de apoyo tecnológico, incluyendo los de desarrollo y transferencia de tecnología, entre otros;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X.</w:t>
      </w:r>
      <w:r>
        <w:rPr>
          <w:rFonts w:ascii="Palatino Linotype" w:eastAsia="Palatino Linotype" w:hAnsi="Palatino Linotype" w:cs="Palatino Linotype"/>
          <w:i/>
          <w:iCs/>
          <w:sz w:val="22"/>
          <w:szCs w:val="22"/>
        </w:rPr>
        <w:t xml:space="preserve"> Los demás que tengan por objeto alguno de los conceptos a que se refiere el párrafo primero de este artículo.</w:t>
      </w:r>
    </w:p>
    <w:p w:rsidR="001408F8" w:rsidRDefault="001408F8">
      <w:pPr>
        <w:spacing w:before="240" w:after="240"/>
        <w:ind w:left="1134" w:right="1134"/>
        <w:jc w:val="both"/>
        <w:rPr>
          <w:rFonts w:ascii="Palatino Linotype" w:eastAsia="Palatino Linotype" w:hAnsi="Palatino Linotype" w:cs="Palatino Linotype"/>
          <w:i/>
          <w:iCs/>
          <w:sz w:val="22"/>
          <w:szCs w:val="22"/>
        </w:rPr>
      </w:pPr>
    </w:p>
    <w:p w:rsidR="001408F8" w:rsidRDefault="00183356">
      <w:pPr>
        <w:numPr>
          <w:ilvl w:val="0"/>
          <w:numId w:val="3"/>
        </w:numPr>
        <w:pBdr>
          <w:top w:val="nil"/>
          <w:left w:val="nil"/>
          <w:bottom w:val="nil"/>
          <w:right w:val="nil"/>
          <w:between w:val="nil"/>
        </w:pBdr>
        <w:tabs>
          <w:tab w:val="left" w:pos="567"/>
        </w:tabs>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otra parte el artículo 12.12 del Libro Décimo Segundo, señala que en la planeación de la obra pública o de los servicios relacionados con la misma, las dependencias, entidades y ayuntamientos en lo que les corresponda, deberán, entre otras previsiones, considerar la disponibilidad de recursos financieros.</w:t>
      </w:r>
    </w:p>
    <w:p w:rsidR="001408F8" w:rsidRDefault="001408F8">
      <w:pPr>
        <w:tabs>
          <w:tab w:val="left" w:pos="567"/>
        </w:tabs>
        <w:spacing w:before="240" w:after="240"/>
        <w:jc w:val="both"/>
        <w:rPr>
          <w:rFonts w:ascii="Palatino Linotype" w:eastAsia="Palatino Linotype" w:hAnsi="Palatino Linotype" w:cs="Palatino Linotype"/>
        </w:rPr>
      </w:pPr>
    </w:p>
    <w:p w:rsidR="001408F8" w:rsidRDefault="00183356">
      <w:pPr>
        <w:numPr>
          <w:ilvl w:val="0"/>
          <w:numId w:val="3"/>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cuanto hace al  procedimiento de adjudicación, el Capítulo Tercero del Libro Décimo Segundo del Código Administrativo del Estado de México, dispone lo siguiente:</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12.20</w:t>
      </w:r>
      <w:r>
        <w:rPr>
          <w:rFonts w:ascii="Palatino Linotype" w:eastAsia="Palatino Linotype" w:hAnsi="Palatino Linotype" w:cs="Palatino Linotype"/>
          <w:i/>
          <w:iCs/>
          <w:sz w:val="22"/>
          <w:szCs w:val="22"/>
        </w:rPr>
        <w:t xml:space="preserve">.- Los contratos a que se refiere este Libro, </w:t>
      </w:r>
      <w:r>
        <w:rPr>
          <w:rFonts w:ascii="Palatino Linotype" w:eastAsia="Palatino Linotype" w:hAnsi="Palatino Linotype" w:cs="Palatino Linotype"/>
          <w:b/>
          <w:bCs/>
          <w:i/>
          <w:iCs/>
          <w:sz w:val="22"/>
          <w:szCs w:val="22"/>
        </w:rPr>
        <w:t xml:space="preserve">se adjudicarán a través de </w:t>
      </w:r>
      <w:r>
        <w:rPr>
          <w:rFonts w:ascii="Palatino Linotype" w:eastAsia="Palatino Linotype" w:hAnsi="Palatino Linotype" w:cs="Palatino Linotype"/>
          <w:b/>
          <w:bCs/>
          <w:i/>
          <w:iCs/>
          <w:sz w:val="22"/>
          <w:szCs w:val="22"/>
          <w:u w:val="single"/>
        </w:rPr>
        <w:t>licitaciones públicas</w:t>
      </w:r>
      <w:r>
        <w:rPr>
          <w:rFonts w:ascii="Palatino Linotype" w:eastAsia="Palatino Linotype" w:hAnsi="Palatino Linotype" w:cs="Palatino Linotype"/>
          <w:b/>
          <w:bCs/>
          <w:i/>
          <w:iCs/>
          <w:sz w:val="22"/>
          <w:szCs w:val="22"/>
        </w:rPr>
        <w:t>, mediante convocatoria pública.</w:t>
      </w:r>
      <w:r>
        <w:rPr>
          <w:rFonts w:ascii="Palatino Linotype" w:eastAsia="Palatino Linotype" w:hAnsi="Palatino Linotype" w:cs="Palatino Linotype"/>
          <w:i/>
          <w:iCs/>
          <w:sz w:val="22"/>
          <w:szCs w:val="22"/>
        </w:rPr>
        <w:t xml:space="preserve">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12.21</w:t>
      </w:r>
      <w:r>
        <w:rPr>
          <w:rFonts w:ascii="Palatino Linotype" w:eastAsia="Palatino Linotype" w:hAnsi="Palatino Linotype" w:cs="Palatino Linotype"/>
          <w:i/>
          <w:iCs/>
          <w:sz w:val="22"/>
          <w:szCs w:val="22"/>
        </w:rPr>
        <w:t xml:space="preserve">.- Las dependencias, entidades y ayuntamientos podrán adjudicar contratos para la ejecución de obra pública o servicios relacionados con la misma. </w:t>
      </w:r>
      <w:r>
        <w:rPr>
          <w:rFonts w:ascii="Palatino Linotype" w:eastAsia="Palatino Linotype" w:hAnsi="Palatino Linotype" w:cs="Palatino Linotype"/>
          <w:b/>
          <w:bCs/>
          <w:i/>
          <w:iCs/>
          <w:sz w:val="22"/>
          <w:szCs w:val="22"/>
        </w:rPr>
        <w:t>mediante las excepciones al procedimiento de licitación</w:t>
      </w:r>
      <w:r>
        <w:rPr>
          <w:rFonts w:ascii="Palatino Linotype" w:eastAsia="Palatino Linotype" w:hAnsi="Palatino Linotype" w:cs="Palatino Linotype"/>
          <w:i/>
          <w:iCs/>
          <w:sz w:val="22"/>
          <w:szCs w:val="22"/>
        </w:rPr>
        <w:t xml:space="preserve"> siguientes: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Invitación restringida</w:t>
      </w:r>
      <w:r>
        <w:rPr>
          <w:rFonts w:ascii="Palatino Linotype" w:eastAsia="Palatino Linotype" w:hAnsi="Palatino Linotype" w:cs="Palatino Linotype"/>
          <w:i/>
          <w:iCs/>
          <w:sz w:val="22"/>
          <w:szCs w:val="22"/>
        </w:rPr>
        <w:t xml:space="preserve">;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Adjudicación directa.”</w:t>
      </w:r>
    </w:p>
    <w:p w:rsidR="001408F8" w:rsidRDefault="001833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la normativa contempla como modalidades para la adjudicación de contratos de obra pública y servicios relacionados con la misma la licitación pública, y de manera excepcional a través de invitación restringida y adjudicación directa, cuyas </w:t>
      </w:r>
      <w:r>
        <w:rPr>
          <w:rFonts w:ascii="Palatino Linotype" w:eastAsia="Palatino Linotype" w:hAnsi="Palatino Linotype" w:cs="Palatino Linotype"/>
        </w:rPr>
        <w:lastRenderedPageBreak/>
        <w:t>formalidades se encuentran previstas en el Reglamento del Libro Décimo Segundo del Código Administrativo del Estado de México, disponiendo lo siguiente:</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26</w:t>
      </w:r>
      <w:r>
        <w:rPr>
          <w:rFonts w:ascii="Palatino Linotype" w:eastAsia="Palatino Linotype" w:hAnsi="Palatino Linotype" w:cs="Palatino Linotype"/>
          <w:i/>
          <w:iCs/>
          <w:sz w:val="22"/>
          <w:szCs w:val="22"/>
        </w:rPr>
        <w:t>.- La licitación pública es el procedimiento de adjudicación de una obra pública o de un servicio por convocatoria pública. Tiene por objeto asegurar la participación abierta de todos los interesados en igualdad de condiciones y la selección fundamentada y transparente de la propuesta más conveniente para las dependencias, entidades y ayuntamientos.</w:t>
      </w:r>
    </w:p>
    <w:p w:rsidR="001408F8" w:rsidRDefault="00183356">
      <w:pPr>
        <w:spacing w:before="120" w:after="120"/>
        <w:ind w:left="1134"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28.-</w:t>
      </w:r>
      <w:r>
        <w:rPr>
          <w:rFonts w:ascii="Palatino Linotype" w:eastAsia="Palatino Linotype" w:hAnsi="Palatino Linotype" w:cs="Palatino Linotype"/>
          <w:i/>
          <w:iCs/>
          <w:sz w:val="22"/>
          <w:szCs w:val="22"/>
        </w:rPr>
        <w:t xml:space="preserve"> Las dependencias y entidades podrán convocar a licitación pública, adjudicar y contratar obra pública y servicios sólo cuando la Secretaría del Ramo se los haya autorizado por contar con elementos propios y organización necesarios para realizarlas. Esta autorización deberá estar publicada en la Gaceta del Gobierno del Estado de México.</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Los ayuntamientos, que realicen obras o servicios con cargo parcial o total a recursos estatales, deberán solicitar la autorización preferentemente al inicio de su periodo de gestión, la que deberá estar publicada en la Gaceta del Gobierno del Estado de México.</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30</w:t>
      </w:r>
      <w:r>
        <w:rPr>
          <w:rFonts w:ascii="Palatino Linotype" w:eastAsia="Palatino Linotype" w:hAnsi="Palatino Linotype" w:cs="Palatino Linotype"/>
          <w:i/>
          <w:iCs/>
          <w:sz w:val="22"/>
          <w:szCs w:val="22"/>
        </w:rPr>
        <w:t xml:space="preserve">.- El procedimiento de licitación pública </w:t>
      </w:r>
      <w:r>
        <w:rPr>
          <w:rFonts w:ascii="Palatino Linotype" w:eastAsia="Palatino Linotype" w:hAnsi="Palatino Linotype" w:cs="Palatino Linotype"/>
          <w:b/>
          <w:bCs/>
          <w:i/>
          <w:iCs/>
          <w:sz w:val="22"/>
          <w:szCs w:val="22"/>
        </w:rPr>
        <w:t>inicia con la publicación de la convocatoria</w:t>
      </w:r>
      <w:r>
        <w:rPr>
          <w:rFonts w:ascii="Palatino Linotype" w:eastAsia="Palatino Linotype" w:hAnsi="Palatino Linotype" w:cs="Palatino Linotype"/>
          <w:i/>
          <w:iCs/>
          <w:sz w:val="22"/>
          <w:szCs w:val="22"/>
        </w:rPr>
        <w:t xml:space="preserve"> y concluye con el fallo y adjudicación. Cubrirá las etapas siguientes: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La formulación de las bases de licitación;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La publicación de la convocatoria;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La venta de las bases de licitación;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IV</w:t>
      </w:r>
      <w:r>
        <w:rPr>
          <w:rFonts w:ascii="Palatino Linotype" w:eastAsia="Palatino Linotype" w:hAnsi="Palatino Linotype" w:cs="Palatino Linotype"/>
          <w:i/>
          <w:iCs/>
          <w:sz w:val="22"/>
          <w:szCs w:val="22"/>
        </w:rPr>
        <w:t xml:space="preserve">. La visita al sitio donde se realizarán los trabajos; </w:t>
      </w:r>
    </w:p>
    <w:p w:rsidR="001408F8" w:rsidRDefault="00183356">
      <w:pPr>
        <w:spacing w:before="120" w:after="120"/>
        <w:ind w:left="1134"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V</w:t>
      </w:r>
      <w:r>
        <w:rPr>
          <w:rFonts w:ascii="Palatino Linotype" w:eastAsia="Palatino Linotype" w:hAnsi="Palatino Linotype" w:cs="Palatino Linotype"/>
          <w:i/>
          <w:iCs/>
          <w:sz w:val="22"/>
          <w:szCs w:val="22"/>
        </w:rPr>
        <w:t>. Las juntas de aclaraciones;</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w:t>
      </w:r>
      <w:r>
        <w:rPr>
          <w:rFonts w:ascii="Palatino Linotype" w:eastAsia="Palatino Linotype" w:hAnsi="Palatino Linotype" w:cs="Palatino Linotype"/>
          <w:i/>
          <w:iCs/>
          <w:sz w:val="22"/>
          <w:szCs w:val="22"/>
        </w:rPr>
        <w:t xml:space="preserve"> La presentación y apertura de propuestas;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VII.</w:t>
      </w:r>
      <w:r>
        <w:rPr>
          <w:rFonts w:ascii="Palatino Linotype" w:eastAsia="Palatino Linotype" w:hAnsi="Palatino Linotype" w:cs="Palatino Linotype"/>
          <w:i/>
          <w:iCs/>
          <w:sz w:val="22"/>
          <w:szCs w:val="22"/>
        </w:rPr>
        <w:t xml:space="preserve"> La evaluación de propuestas; y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VIII.</w:t>
      </w:r>
      <w:r>
        <w:rPr>
          <w:rFonts w:ascii="Palatino Linotype" w:eastAsia="Palatino Linotype" w:hAnsi="Palatino Linotype" w:cs="Palatino Linotype"/>
          <w:i/>
          <w:iCs/>
          <w:sz w:val="22"/>
          <w:szCs w:val="22"/>
        </w:rPr>
        <w:t xml:space="preserve"> El fallo y adjudicación.</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45.-</w:t>
      </w:r>
      <w:r>
        <w:rPr>
          <w:rFonts w:ascii="Palatino Linotype" w:eastAsia="Palatino Linotype" w:hAnsi="Palatino Linotype" w:cs="Palatino Linotype"/>
          <w:i/>
          <w:iCs/>
          <w:sz w:val="22"/>
          <w:szCs w:val="22"/>
        </w:rPr>
        <w:t xml:space="preserve"> El convocante deberá requerir a los licitantes que integren los siguientes documentos de carácter legal y administrativo en sus propuestas: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Escrito en el que manifieste su domicilio en el Estado de México para oír y recibir notificaciones y los documentos correspondientes al procedimiento de licitación. En el domicilio señalado se podrán realizar las notificaciones, inclusive las de carácter personal, que surtirán todos sus efectos legales mientras no se señale otro distinto en el propio Estado;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Escrito en el que manifieste no encontrarse en ninguno de los supuestos del artículo 12.48 del Libro;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Declaración fiscal anual o estados financieros dictaminados por contador público certificado independiente, que corresponda al último ejercicio fiscal. Si el procedimiento de licitación se realiza durante el primer trimestre del año, se podrán presentar los estados financieros dictaminados por contador público certificado independiente o la declaración fiscal anual correspondientes al penúltimo ejercicio fiscal, en ambos casos, la última declaración fiscal provisional. Con la documentación financiera y fiscal se acreditará el capital contable requerido por el convocante.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IV. </w:t>
      </w:r>
      <w:r>
        <w:rPr>
          <w:rFonts w:ascii="Palatino Linotype" w:eastAsia="Palatino Linotype" w:hAnsi="Palatino Linotype" w:cs="Palatino Linotype"/>
          <w:i/>
          <w:iCs/>
          <w:sz w:val="22"/>
          <w:szCs w:val="22"/>
        </w:rPr>
        <w:t>Las empresas de reciente creación deberán presentar la documentación financiera y fiscal más actualizada a la fecha de presentación de la propuesta;</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w:t>
      </w:r>
      <w:r>
        <w:rPr>
          <w:rFonts w:ascii="Palatino Linotype" w:eastAsia="Palatino Linotype" w:hAnsi="Palatino Linotype" w:cs="Palatino Linotype"/>
          <w:i/>
          <w:iCs/>
          <w:sz w:val="22"/>
          <w:szCs w:val="22"/>
        </w:rPr>
        <w:t xml:space="preserve"> Identificación oficial vigente con fotografía, tratándose de personas físicas;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w:t>
      </w:r>
      <w:r>
        <w:rPr>
          <w:rFonts w:ascii="Palatino Linotype" w:eastAsia="Palatino Linotype" w:hAnsi="Palatino Linotype" w:cs="Palatino Linotype"/>
          <w:i/>
          <w:iCs/>
          <w:sz w:val="22"/>
          <w:szCs w:val="22"/>
        </w:rPr>
        <w:t xml:space="preserve"> Manifestación escrita de la persona jurídica en que señale que su representante cuenta con facultades suficientes para comprometerla. Éste contendrá los datos siguientes: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w:t>
      </w:r>
      <w:r>
        <w:rPr>
          <w:rFonts w:ascii="Palatino Linotype" w:eastAsia="Palatino Linotype" w:hAnsi="Palatino Linotype" w:cs="Palatino Linotype"/>
          <w:i/>
          <w:iCs/>
          <w:sz w:val="22"/>
          <w:szCs w:val="22"/>
        </w:rPr>
        <w:t xml:space="preserve"> De la persona jurídica: denominación o razón social, clave del registro federal de contribuyentes; nombre, número y circunscripción territorial del notario público o fedatario que protocolizó las escrituras públicas en las que consta el acta constitutiva y, en su caso, sus reformas o modificaciones; </w:t>
      </w:r>
      <w:r>
        <w:rPr>
          <w:rFonts w:ascii="Palatino Linotype" w:eastAsia="Palatino Linotype" w:hAnsi="Palatino Linotype" w:cs="Palatino Linotype"/>
          <w:i/>
          <w:iCs/>
          <w:sz w:val="22"/>
          <w:szCs w:val="22"/>
        </w:rPr>
        <w:lastRenderedPageBreak/>
        <w:t xml:space="preserve">número y fecha de las mismas; descripción del objeto social, nombres de los accionistas; capital social; y los datos de inscripción en el Registro Público de Comercio, y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b.</w:t>
      </w:r>
      <w:r>
        <w:rPr>
          <w:rFonts w:ascii="Palatino Linotype" w:eastAsia="Palatino Linotype" w:hAnsi="Palatino Linotype" w:cs="Palatino Linotype"/>
          <w:i/>
          <w:iCs/>
          <w:sz w:val="22"/>
          <w:szCs w:val="22"/>
        </w:rPr>
        <w:t xml:space="preserve"> Del representante: nombre del apoderado; nombre, número y circunscripción territorial del notario público o fedatario que protocolizó los instrumentos notariales; y número y fecha de éstos, en los que se asientan las facultades para suscribir la propuesta.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Los interesados que decidan agruparse para presentar una propuesta, acreditarán en forma individual los requisitos señalados, además de entregar una copia del convenio correspondiente en el que se precise la parte o partes de la obra que será responsabilidad de cada uno. El representante común presentará los documentos de los integrantes de la agrupación y los del convenio.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w:t>
      </w:r>
      <w:r>
        <w:rPr>
          <w:rFonts w:ascii="Palatino Linotype" w:eastAsia="Palatino Linotype" w:hAnsi="Palatino Linotype" w:cs="Palatino Linotype"/>
          <w:i/>
          <w:iCs/>
          <w:sz w:val="22"/>
          <w:szCs w:val="22"/>
        </w:rPr>
        <w:t xml:space="preserve"> Documento en el que se comprometa a realizar la obra por el importe que señala, cumpliendo los requisitos determinados por el convocante;</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VIII.</w:t>
      </w:r>
      <w:r>
        <w:rPr>
          <w:rFonts w:ascii="Palatino Linotype" w:eastAsia="Palatino Linotype" w:hAnsi="Palatino Linotype" w:cs="Palatino Linotype"/>
          <w:i/>
          <w:iCs/>
          <w:sz w:val="22"/>
          <w:szCs w:val="22"/>
        </w:rPr>
        <w:t xml:space="preserve"> La garantía de seriedad de la propuesta: cheque cruzado o para depósito en cuenta, los que deberán ser expedidos a favor de: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w:t>
      </w:r>
      <w:r>
        <w:rPr>
          <w:rFonts w:ascii="Palatino Linotype" w:eastAsia="Palatino Linotype" w:hAnsi="Palatino Linotype" w:cs="Palatino Linotype"/>
          <w:i/>
          <w:iCs/>
          <w:sz w:val="22"/>
          <w:szCs w:val="22"/>
        </w:rPr>
        <w:t xml:space="preserve"> En el caso de las dependencias al Gobierno del Estado de México;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b</w:t>
      </w:r>
      <w:r>
        <w:rPr>
          <w:rFonts w:ascii="Palatino Linotype" w:eastAsia="Palatino Linotype" w:hAnsi="Palatino Linotype" w:cs="Palatino Linotype"/>
          <w:i/>
          <w:iCs/>
          <w:sz w:val="22"/>
          <w:szCs w:val="22"/>
        </w:rPr>
        <w:t xml:space="preserve">. En el caso de las entidades a ellas mismas; y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c.</w:t>
      </w:r>
      <w:r>
        <w:rPr>
          <w:rFonts w:ascii="Palatino Linotype" w:eastAsia="Palatino Linotype" w:hAnsi="Palatino Linotype" w:cs="Palatino Linotype"/>
          <w:i/>
          <w:iCs/>
          <w:sz w:val="22"/>
          <w:szCs w:val="22"/>
        </w:rPr>
        <w:t xml:space="preserve"> En el caso de los ayuntamientos a la Tesorería Municipal.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IX.</w:t>
      </w:r>
      <w:r>
        <w:rPr>
          <w:rFonts w:ascii="Palatino Linotype" w:eastAsia="Palatino Linotype" w:hAnsi="Palatino Linotype" w:cs="Palatino Linotype"/>
          <w:i/>
          <w:iCs/>
          <w:sz w:val="22"/>
          <w:szCs w:val="22"/>
        </w:rPr>
        <w:t xml:space="preserve"> Copia del recibo de compra u obtención de las bases.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46</w:t>
      </w:r>
      <w:r>
        <w:rPr>
          <w:rFonts w:ascii="Palatino Linotype" w:eastAsia="Palatino Linotype" w:hAnsi="Palatino Linotype" w:cs="Palatino Linotype"/>
          <w:i/>
          <w:iCs/>
          <w:sz w:val="22"/>
          <w:szCs w:val="22"/>
        </w:rPr>
        <w:t xml:space="preserve">.- Atendiendo a las características, complejidad y magnitud de los trabajos, el convocante podrá requerir al licitante que en su propuesta incluya la documentación relacionada con su experiencia profesional: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Manifestación de conocer los proyectos arquitectónicos y de ingeniería; las normas técnicas y de calidad de los materiales; las especificaciones generales y particulares de construcción contenidas en la licitación; y las leyes y reglamentos aplicables;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II.</w:t>
      </w:r>
      <w:r>
        <w:rPr>
          <w:rFonts w:ascii="Palatino Linotype" w:eastAsia="Palatino Linotype" w:hAnsi="Palatino Linotype" w:cs="Palatino Linotype"/>
          <w:i/>
          <w:iCs/>
          <w:sz w:val="22"/>
          <w:szCs w:val="22"/>
        </w:rPr>
        <w:t xml:space="preserve"> Descripción de la planeación de los trabajos, especialmente del procedimiento constructivo. El convocante señalará las condicionantes técnicas que procedan conforme a los proyectos;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Relación comprobable de los trabajos realizados por el licitante y su personal, que acrediten la experiencia y la capacidad técnica solicitadas, con el nombre del contratante; la descripción de las obras y su participación en ellas; los importes totales, ejercidos y por ejercer; y las fechas de inicio y terminación previstas;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IV</w:t>
      </w:r>
      <w:r>
        <w:rPr>
          <w:rFonts w:ascii="Palatino Linotype" w:eastAsia="Palatino Linotype" w:hAnsi="Palatino Linotype" w:cs="Palatino Linotype"/>
          <w:i/>
          <w:iCs/>
          <w:sz w:val="22"/>
          <w:szCs w:val="22"/>
        </w:rPr>
        <w:t xml:space="preserve">. Currículos de los profesionales al servicio del licitante con experiencia en obras de características técnicas y magnitud similares; identificando a los que se encargarán de la ejecución y administración de la obra;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w:t>
      </w:r>
      <w:r>
        <w:rPr>
          <w:rFonts w:ascii="Palatino Linotype" w:eastAsia="Palatino Linotype" w:hAnsi="Palatino Linotype" w:cs="Palatino Linotype"/>
          <w:i/>
          <w:iCs/>
          <w:sz w:val="22"/>
          <w:szCs w:val="22"/>
        </w:rPr>
        <w:t xml:space="preserve">. Así mismo el documento que certifique los conocimientos y habilidades de los profesionales responsables de formular precios unitarios y de la superintendencia de construcción.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w:t>
      </w:r>
      <w:r>
        <w:rPr>
          <w:rFonts w:ascii="Palatino Linotype" w:eastAsia="Palatino Linotype" w:hAnsi="Palatino Linotype" w:cs="Palatino Linotype"/>
          <w:i/>
          <w:iCs/>
          <w:sz w:val="22"/>
          <w:szCs w:val="22"/>
        </w:rPr>
        <w:t xml:space="preserve"> En su caso, escrito en el que señale la parte de los trabajos que subcontratará y la información necesaria que acredite la experiencia y capacidad técnica y económica del o los subcontratistas;</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w:t>
      </w:r>
      <w:r>
        <w:rPr>
          <w:rFonts w:ascii="Palatino Linotype" w:eastAsia="Palatino Linotype" w:hAnsi="Palatino Linotype" w:cs="Palatino Linotype"/>
          <w:i/>
          <w:iCs/>
          <w:sz w:val="22"/>
          <w:szCs w:val="22"/>
        </w:rPr>
        <w:t xml:space="preserve"> En su caso, manifestación de conocer y haber considerado en su propuesta los materiales y equipos de instalación permanente que le proporcionará el convocante y el programa de suministro correspondiente;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VIII.</w:t>
      </w:r>
      <w:r>
        <w:rPr>
          <w:rFonts w:ascii="Palatino Linotype" w:eastAsia="Palatino Linotype" w:hAnsi="Palatino Linotype" w:cs="Palatino Linotype"/>
          <w:i/>
          <w:iCs/>
          <w:sz w:val="22"/>
          <w:szCs w:val="22"/>
        </w:rPr>
        <w:t xml:space="preserve"> Constancia expedida por el convocante de haber visitado el sitio de los trabajos y manifestación escrita de conocer sus condiciones ambientales; IX. Manifestación de haber considerado las modificaciones que, en su caso, se hayan efectuado a las bases de licitación;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w:t>
      </w:r>
      <w:r>
        <w:rPr>
          <w:rFonts w:ascii="Palatino Linotype" w:eastAsia="Palatino Linotype" w:hAnsi="Palatino Linotype" w:cs="Palatino Linotype"/>
          <w:i/>
          <w:iCs/>
          <w:sz w:val="22"/>
          <w:szCs w:val="22"/>
        </w:rPr>
        <w:t xml:space="preserve">. Manifestación de que los precios consignados en su propuesta no se cotizan en condiciones de prácticas desleales de comercio internacional en su modalidad de discriminación de precios o de subsidios, en el caso de que se requiriesen materiales, maquinaria y equipo de instalación permanente de origen extranjero;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XI.</w:t>
      </w:r>
      <w:r>
        <w:rPr>
          <w:rFonts w:ascii="Palatino Linotype" w:eastAsia="Palatino Linotype" w:hAnsi="Palatino Linotype" w:cs="Palatino Linotype"/>
          <w:i/>
          <w:iCs/>
          <w:sz w:val="22"/>
          <w:szCs w:val="22"/>
        </w:rPr>
        <w:t xml:space="preserve"> Manifestación escrita de que conoce y aplicará, en su caso, las distintas disposiciones en materia de protección ambiental y ecológica;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XII.</w:t>
      </w:r>
      <w:r>
        <w:rPr>
          <w:rFonts w:ascii="Palatino Linotype" w:eastAsia="Palatino Linotype" w:hAnsi="Palatino Linotype" w:cs="Palatino Linotype"/>
          <w:i/>
          <w:iCs/>
          <w:sz w:val="22"/>
          <w:szCs w:val="22"/>
        </w:rPr>
        <w:t xml:space="preserve"> Relación de maquinaria y equipo de construcción, indicando si son de su propiedad o en arrendamiento, con o sin opción a compra; modelo y usos actuales; su ubicación física; la fecha en que se dispondrá de ellos en el sitio de la obra. Para la maquinaria o equipo de construcción en arrendamiento, deberá presentar carta compromiso de arrendamiento y disponibilidad en el caso de que resultare ganador;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XIII</w:t>
      </w:r>
      <w:r>
        <w:rPr>
          <w:rFonts w:ascii="Palatino Linotype" w:eastAsia="Palatino Linotype" w:hAnsi="Palatino Linotype" w:cs="Palatino Linotype"/>
          <w:i/>
          <w:iCs/>
          <w:sz w:val="22"/>
          <w:szCs w:val="22"/>
        </w:rPr>
        <w:t>. Manifestación de conocer el contenido del modelo del contrato y su conformidad de ajustarse a sus términos.</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49</w:t>
      </w:r>
      <w:r>
        <w:rPr>
          <w:rFonts w:ascii="Palatino Linotype" w:eastAsia="Palatino Linotype" w:hAnsi="Palatino Linotype" w:cs="Palatino Linotype"/>
          <w:i/>
          <w:iCs/>
          <w:sz w:val="22"/>
          <w:szCs w:val="22"/>
        </w:rPr>
        <w:t>.- Los licitantes son los únicos responsables de que sus propuestas sean entregadas en tiempo y forma en el acto de presentación y apertura de propuestas. Todos los documentos de la propuesta deberán estar foliados y firmados por el licitante o su representante legal, se entregarán en un sobre cerrado que contendrá:</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La documentación legal y administrativa;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La propuesta y económica.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El licitante deberá identificar los sobres con el nombre de la dependencia, entidad o ayuntamiento; número y denominación de la licitación, la fecha, nombre o razón social del licitante y el contenido del sobre.</w:t>
      </w:r>
    </w:p>
    <w:p w:rsidR="001408F8" w:rsidRDefault="001408F8">
      <w:pPr>
        <w:spacing w:before="120" w:after="120"/>
        <w:ind w:left="1134" w:right="1134"/>
        <w:jc w:val="both"/>
        <w:rPr>
          <w:rFonts w:ascii="Palatino Linotype" w:eastAsia="Palatino Linotype" w:hAnsi="Palatino Linotype" w:cs="Palatino Linotype"/>
          <w:i/>
          <w:iCs/>
          <w:sz w:val="22"/>
          <w:szCs w:val="22"/>
        </w:rPr>
      </w:pP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69</w:t>
      </w:r>
      <w:r>
        <w:rPr>
          <w:rFonts w:ascii="Palatino Linotype" w:eastAsia="Palatino Linotype" w:hAnsi="Palatino Linotype" w:cs="Palatino Linotype"/>
          <w:i/>
          <w:iCs/>
          <w:sz w:val="22"/>
          <w:szCs w:val="22"/>
        </w:rPr>
        <w:t xml:space="preserve">.- Cuando las dependencias, entidades y ayuntamientos determinen optar por las modalidades de invitación restringida o adjudicación directa, deberán respaldar su determinación en un estudio que fundamente su conveniencia por ofrecer mejores condiciones para el Estado de México, tomando en cuenta los siguientes criterios: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I. </w:t>
      </w:r>
      <w:r>
        <w:rPr>
          <w:rFonts w:ascii="Palatino Linotype" w:eastAsia="Palatino Linotype" w:hAnsi="Palatino Linotype" w:cs="Palatino Linotype"/>
          <w:i/>
          <w:iCs/>
          <w:sz w:val="22"/>
          <w:szCs w:val="22"/>
        </w:rPr>
        <w:t xml:space="preserve">Economía, que signifique un menor costo de la obra o servicio;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Oportunidad, que permita satisfacer la necesidad que se atiende con la obra pública o servicio en el menor lapso posible;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III.</w:t>
      </w:r>
      <w:r>
        <w:rPr>
          <w:rFonts w:ascii="Palatino Linotype" w:eastAsia="Palatino Linotype" w:hAnsi="Palatino Linotype" w:cs="Palatino Linotype"/>
          <w:i/>
          <w:iCs/>
          <w:sz w:val="22"/>
          <w:szCs w:val="22"/>
        </w:rPr>
        <w:t xml:space="preserve"> Eficacia, que la obra o servicio satisfaga la necesidad que la origina;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IV</w:t>
      </w:r>
      <w:r>
        <w:rPr>
          <w:rFonts w:ascii="Palatino Linotype" w:eastAsia="Palatino Linotype" w:hAnsi="Palatino Linotype" w:cs="Palatino Linotype"/>
          <w:i/>
          <w:iCs/>
          <w:sz w:val="22"/>
          <w:szCs w:val="22"/>
        </w:rPr>
        <w:t xml:space="preserve">. Eficiencia, que se dé el máximo aprovechamiento de los recursos que la dependencia, entidad o ayuntamiento asigne a la obra o servicio;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w:t>
      </w:r>
      <w:r>
        <w:rPr>
          <w:rFonts w:ascii="Palatino Linotype" w:eastAsia="Palatino Linotype" w:hAnsi="Palatino Linotype" w:cs="Palatino Linotype"/>
          <w:i/>
          <w:iCs/>
          <w:sz w:val="22"/>
          <w:szCs w:val="22"/>
        </w:rPr>
        <w:t xml:space="preserve">. Imparcialidad, que la adjudicación de la obra o servicio se realice sin favorecer a ninguno de los interesados;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w:t>
      </w:r>
      <w:r>
        <w:rPr>
          <w:rFonts w:ascii="Palatino Linotype" w:eastAsia="Palatino Linotype" w:hAnsi="Palatino Linotype" w:cs="Palatino Linotype"/>
          <w:i/>
          <w:iCs/>
          <w:sz w:val="22"/>
          <w:szCs w:val="22"/>
        </w:rPr>
        <w:t xml:space="preserve">. Honradez, que garantice una justa prestación para las partes involucradas;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w:t>
      </w:r>
      <w:r>
        <w:rPr>
          <w:rFonts w:ascii="Palatino Linotype" w:eastAsia="Palatino Linotype" w:hAnsi="Palatino Linotype" w:cs="Palatino Linotype"/>
          <w:i/>
          <w:iCs/>
          <w:sz w:val="22"/>
          <w:szCs w:val="22"/>
        </w:rPr>
        <w:t>. Transparencia, que se respeten escrupulosamente en la adjudicación de la obra o servicio los procedimientos establecidos en el Libro y en este Reglamento.</w:t>
      </w:r>
    </w:p>
    <w:p w:rsidR="001408F8" w:rsidRDefault="00183356">
      <w:pPr>
        <w:spacing w:before="120" w:after="120"/>
        <w:ind w:left="1134"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85</w:t>
      </w:r>
      <w:r>
        <w:rPr>
          <w:rFonts w:ascii="Palatino Linotype" w:eastAsia="Palatino Linotype" w:hAnsi="Palatino Linotype" w:cs="Palatino Linotype"/>
          <w:i/>
          <w:iCs/>
          <w:sz w:val="22"/>
          <w:szCs w:val="22"/>
        </w:rPr>
        <w:t xml:space="preserve">.- En caso de declararse desierto un procedimiento de licitación, la dependencia, entidad o ayuntamiento que cuente con Comité Interno de Obra Pública solicitará el dictamen de procedencia del procedimiento de invitación restringida a ese órgano colegiado; para ello, la unidad ejecutora de obra pública integrará y presentará el caso, que contendrá: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La descripción general de la obra o servicio;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El informe del procedimiento de licitación pública que fue declarado desierto;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I. La fecha probable de inicio de los trabajos y el plazo de ejecución de los mismos;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IV</w:t>
      </w:r>
      <w:r>
        <w:rPr>
          <w:rFonts w:ascii="Palatino Linotype" w:eastAsia="Palatino Linotype" w:hAnsi="Palatino Linotype" w:cs="Palatino Linotype"/>
          <w:i/>
          <w:iCs/>
          <w:sz w:val="22"/>
          <w:szCs w:val="22"/>
        </w:rPr>
        <w:t xml:space="preserve">. El presupuesto base;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w:t>
      </w:r>
      <w:r>
        <w:rPr>
          <w:rFonts w:ascii="Palatino Linotype" w:eastAsia="Palatino Linotype" w:hAnsi="Palatino Linotype" w:cs="Palatino Linotype"/>
          <w:i/>
          <w:iCs/>
          <w:sz w:val="22"/>
          <w:szCs w:val="22"/>
        </w:rPr>
        <w:t>. La autorización presupuestal;</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w:t>
      </w:r>
      <w:r>
        <w:rPr>
          <w:rFonts w:ascii="Palatino Linotype" w:eastAsia="Palatino Linotype" w:hAnsi="Palatino Linotype" w:cs="Palatino Linotype"/>
          <w:i/>
          <w:iCs/>
          <w:sz w:val="22"/>
          <w:szCs w:val="22"/>
        </w:rPr>
        <w:t xml:space="preserve">. El nombre y firma del titular del área responsable de la ejecución de los trabajos; y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w:t>
      </w:r>
      <w:r>
        <w:rPr>
          <w:rFonts w:ascii="Palatino Linotype" w:eastAsia="Palatino Linotype" w:hAnsi="Palatino Linotype" w:cs="Palatino Linotype"/>
          <w:i/>
          <w:iCs/>
          <w:sz w:val="22"/>
          <w:szCs w:val="22"/>
        </w:rPr>
        <w:t xml:space="preserve">. El formato de caso para el dictamen de procedencia de excepción.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 xml:space="preserve">Cuando la dependencia, entidad o ayuntamiento no cuente con Comité Interno de Obra Pública, la unidad ejecutora de obra pública deberá integrar el caso que someterá a la autorización del titular.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En ambos procedimientos, el titular de la dependencia, entidad o ayuntamiento emitirá un acuerdo en el que autorice el procedimiento de invitación restringida por excepción a la licitación pública. En este acuerdo, se determinarán los plazos en que se realizarán cada una de las etapas.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Articulo 86.-</w:t>
      </w:r>
      <w:r>
        <w:rPr>
          <w:rFonts w:ascii="Palatino Linotype" w:eastAsia="Palatino Linotype" w:hAnsi="Palatino Linotype" w:cs="Palatino Linotype"/>
          <w:i/>
          <w:iCs/>
          <w:sz w:val="22"/>
          <w:szCs w:val="22"/>
        </w:rPr>
        <w:t xml:space="preserve"> En función de las características de los trabajos a realizar y a sus requerimientos de ejecución, las dependencias, entidades o ayuntamientos determinarán las características de experiencia, capacidad técnica y solvencia que deben reunir las personas que se invitarán al procedimiento de adjudicación.</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Las dependencias, entidades y ayuntamientos seleccionarán del catálogo de contratistas, que opere la Secretaría del Ramo, a cuando menos tres personas que serán invitadas a presentar propuestas; asimismo, formularán los oficios de invitación que contendrán: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El nombre del convocante;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El nombre y la ubicación de la obra o servicio;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El nombre y domicilio del invitado y la referencia a su clave de registro en el catálogo de contratistas;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IV</w:t>
      </w:r>
      <w:r>
        <w:rPr>
          <w:rFonts w:ascii="Palatino Linotype" w:eastAsia="Palatino Linotype" w:hAnsi="Palatino Linotype" w:cs="Palatino Linotype"/>
          <w:i/>
          <w:iCs/>
          <w:sz w:val="22"/>
          <w:szCs w:val="22"/>
        </w:rPr>
        <w:t xml:space="preserve">. La invitación expresa y el señalamiento de las fechas previstas para las etapas del procedimiento;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w:t>
      </w:r>
      <w:r>
        <w:rPr>
          <w:rFonts w:ascii="Palatino Linotype" w:eastAsia="Palatino Linotype" w:hAnsi="Palatino Linotype" w:cs="Palatino Linotype"/>
          <w:i/>
          <w:iCs/>
          <w:sz w:val="22"/>
          <w:szCs w:val="22"/>
        </w:rPr>
        <w:t xml:space="preserve">. La indicación de que se anexan las bases de la invitación;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w:t>
      </w:r>
      <w:r>
        <w:rPr>
          <w:rFonts w:ascii="Palatino Linotype" w:eastAsia="Palatino Linotype" w:hAnsi="Palatino Linotype" w:cs="Palatino Linotype"/>
          <w:i/>
          <w:iCs/>
          <w:sz w:val="22"/>
          <w:szCs w:val="22"/>
        </w:rPr>
        <w:t xml:space="preserve">. Nombre y firma del servidor público responsable del proceso;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w:t>
      </w:r>
      <w:r>
        <w:rPr>
          <w:rFonts w:ascii="Palatino Linotype" w:eastAsia="Palatino Linotype" w:hAnsi="Palatino Linotype" w:cs="Palatino Linotype"/>
          <w:i/>
          <w:iCs/>
          <w:sz w:val="22"/>
          <w:szCs w:val="22"/>
        </w:rPr>
        <w:t xml:space="preserve">. El origen de los recursos para la realización de la obra o servicio; y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VIII.</w:t>
      </w:r>
      <w:r>
        <w:rPr>
          <w:rFonts w:ascii="Palatino Linotype" w:eastAsia="Palatino Linotype" w:hAnsi="Palatino Linotype" w:cs="Palatino Linotype"/>
          <w:i/>
          <w:iCs/>
          <w:sz w:val="22"/>
          <w:szCs w:val="22"/>
        </w:rPr>
        <w:t xml:space="preserve"> El plazo de ejecución de los trabajos, indicando la fecha estimada de inicio de los mismos.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Articulo 87.-</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 xml:space="preserve">El procedimiento de invitación restringida seguirá los mismos pasos que el de licitación pública salvo la publicación de la </w:t>
      </w:r>
      <w:r>
        <w:rPr>
          <w:rFonts w:ascii="Palatino Linotype" w:eastAsia="Palatino Linotype" w:hAnsi="Palatino Linotype" w:cs="Palatino Linotype"/>
          <w:b/>
          <w:bCs/>
          <w:i/>
          <w:iCs/>
          <w:sz w:val="22"/>
          <w:szCs w:val="22"/>
        </w:rPr>
        <w:lastRenderedPageBreak/>
        <w:t>convocatoria</w:t>
      </w:r>
      <w:r>
        <w:rPr>
          <w:rFonts w:ascii="Palatino Linotype" w:eastAsia="Palatino Linotype" w:hAnsi="Palatino Linotype" w:cs="Palatino Linotype"/>
          <w:i/>
          <w:iCs/>
          <w:sz w:val="22"/>
          <w:szCs w:val="22"/>
        </w:rPr>
        <w:t>, misma que se sustituye por la invitación señalada en el artículo anterior.</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88.-</w:t>
      </w:r>
      <w:r>
        <w:rPr>
          <w:rFonts w:ascii="Palatino Linotype" w:eastAsia="Palatino Linotype" w:hAnsi="Palatino Linotype" w:cs="Palatino Linotype"/>
          <w:i/>
          <w:iCs/>
          <w:sz w:val="22"/>
          <w:szCs w:val="22"/>
        </w:rPr>
        <w:t xml:space="preserve"> Si la dependencia, entidad o ayuntamiento necesita llevar a cabo un procedimiento de adjudicación directa, salvo que las obras o servicios a contratar no rebasen los montos establecidos por el Presupuesto de Egresos del Gobierno del Estado de México del ejercicio correspondiente y cuenta con Comité Interno de Obra Pública, se solicitará a ese órgano colegiado el dictamen de procedencia del procedimiento de adjudicación directa; para ello, la unidad ejecutora de obra pública o servicio integrará y presentará el caso conforme se señalo en el procedimiento de invitación restringida.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Cuando la dependencia, entidad o ayuntamiento no cuente con Comité Interno de Obra Pública, la unidad ejecutora de obra pública deberá integrar el caso que someterá a la autorización del titular.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89.</w:t>
      </w:r>
      <w:r>
        <w:rPr>
          <w:rFonts w:ascii="Palatino Linotype" w:eastAsia="Palatino Linotype" w:hAnsi="Palatino Linotype" w:cs="Palatino Linotype"/>
          <w:i/>
          <w:iCs/>
          <w:sz w:val="22"/>
          <w:szCs w:val="22"/>
        </w:rPr>
        <w:t>- El titular de la dependencia, entidad o ayuntamiento emitirá un acuerdo en el que autorice el procedimiento de adjudicación directa.</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Articulo 91</w:t>
      </w:r>
      <w:r>
        <w:rPr>
          <w:rFonts w:ascii="Palatino Linotype" w:eastAsia="Palatino Linotype" w:hAnsi="Palatino Linotype" w:cs="Palatino Linotype"/>
          <w:i/>
          <w:iCs/>
          <w:sz w:val="22"/>
          <w:szCs w:val="22"/>
        </w:rPr>
        <w:t>.- El convocante recibirá de la persona invitada la documentación de su propuesta para su evaluación la revisará y, en su caso, procederá a formular el contrato correspondiente.”</w:t>
      </w:r>
    </w:p>
    <w:p w:rsidR="001408F8" w:rsidRDefault="001408F8">
      <w:pPr>
        <w:spacing w:before="120" w:after="120"/>
        <w:ind w:left="1134" w:right="1134"/>
        <w:jc w:val="both"/>
        <w:rPr>
          <w:rFonts w:ascii="Palatino Linotype" w:eastAsia="Palatino Linotype" w:hAnsi="Palatino Linotype" w:cs="Palatino Linotype"/>
          <w:i/>
          <w:iCs/>
          <w:sz w:val="22"/>
          <w:szCs w:val="22"/>
        </w:rPr>
      </w:pPr>
    </w:p>
    <w:p w:rsidR="001408F8" w:rsidRDefault="00183356">
      <w:pPr>
        <w:numPr>
          <w:ilvl w:val="0"/>
          <w:numId w:val="3"/>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Relativo al procedimiento de contratación, el artículo 12.38 del Libro Décimo Segundo del Código Administrativo de la entidad, dispone que la adjudicación de la obra o servicios relacionados con la misma obligará a la dependencia, entidad o ayuntamiento y a la persona en que hubiere recaído, a suscribir el contrato respectivo dentro de los diez días hábiles siguientes al de la notificación del fallo, por lo que</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rPr>
        <w:t xml:space="preserve">los contratos de obra pública y servicios relacionados con la misma, deben contener, como </w:t>
      </w:r>
      <w:r>
        <w:rPr>
          <w:rFonts w:ascii="Palatino Linotype" w:eastAsia="Palatino Linotype" w:hAnsi="Palatino Linotype" w:cs="Palatino Linotype"/>
          <w:color w:val="000000"/>
        </w:rPr>
        <w:lastRenderedPageBreak/>
        <w:t>mínimo los requisitos que establece el artículo 104 del Reglamento del Libro Décimo Segundo del Código Administrativo, a saber:</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La autorización presupuestal</w:t>
      </w:r>
      <w:r>
        <w:rPr>
          <w:rFonts w:ascii="Palatino Linotype" w:eastAsia="Palatino Linotype" w:hAnsi="Palatino Linotype" w:cs="Palatino Linotype"/>
          <w:i/>
          <w:iCs/>
          <w:sz w:val="22"/>
          <w:szCs w:val="22"/>
        </w:rPr>
        <w:t xml:space="preserve"> para cubrir el compromiso derivado del contrato y sus anexos;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La indicación del procedimiento conforme al cual se adjudicó el contrato;</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La descripción pormenorizada de los trabajos que se deban ejecutar, debiendo acompañar los proyectos, planos, especificaciones, programas y presupuestos como parte integrante del contrato en el caso de las obras; tratándose de servicios, los términos de referencia;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IV</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El precio a pagar por los trabajos objeto del contrato</w:t>
      </w:r>
      <w:r>
        <w:rPr>
          <w:rFonts w:ascii="Palatino Linotype" w:eastAsia="Palatino Linotype" w:hAnsi="Palatino Linotype" w:cs="Palatino Linotype"/>
          <w:i/>
          <w:iCs/>
          <w:sz w:val="22"/>
          <w:szCs w:val="22"/>
        </w:rPr>
        <w:t xml:space="preserve">. En el caso de contratos mixtos, la parte y el monto que se cubrirá sobre la base de precios unitarios y la correspondiente a precio alzado;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El plazo de ejecución de los trabajos</w:t>
      </w:r>
      <w:r>
        <w:rPr>
          <w:rFonts w:ascii="Palatino Linotype" w:eastAsia="Palatino Linotype" w:hAnsi="Palatino Linotype" w:cs="Palatino Linotype"/>
          <w:i/>
          <w:iCs/>
          <w:sz w:val="22"/>
          <w:szCs w:val="22"/>
        </w:rPr>
        <w:t xml:space="preserve"> determinado en días naturales, indicando la fecha de inicio y término de los mismos, así como el plazo para la recepción física de los trabajos y la elaboración del finiquito, los cuales deben ser establecidos de acuerdo con las características, complejidad y magnitud de los trabajos;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w:t>
      </w:r>
      <w:r>
        <w:rPr>
          <w:rFonts w:ascii="Palatino Linotype" w:eastAsia="Palatino Linotype" w:hAnsi="Palatino Linotype" w:cs="Palatino Linotype"/>
          <w:i/>
          <w:iCs/>
          <w:sz w:val="22"/>
          <w:szCs w:val="22"/>
        </w:rPr>
        <w:t xml:space="preserve">. Porcentajes, número y fechas de las exhibiciones y amortización de los anticipos que se otorguen; </w:t>
      </w:r>
    </w:p>
    <w:p w:rsidR="001408F8" w:rsidRDefault="00183356">
      <w:pPr>
        <w:spacing w:before="240" w:after="240"/>
        <w:ind w:left="1134"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VII. Forma y términos de garantizar la correcta inversión de los anticipos y el cumplimiento del contrato;</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VIII</w:t>
      </w:r>
      <w:r>
        <w:rPr>
          <w:rFonts w:ascii="Palatino Linotype" w:eastAsia="Palatino Linotype" w:hAnsi="Palatino Linotype" w:cs="Palatino Linotype"/>
          <w:i/>
          <w:iCs/>
          <w:sz w:val="22"/>
          <w:szCs w:val="22"/>
        </w:rPr>
        <w:t xml:space="preserve">. Plazos, forma y lugar de pago de las estimaciones de trabajos ejecutados y, cuando corresponda, de los ajustes de costos;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IX.</w:t>
      </w:r>
      <w:r>
        <w:rPr>
          <w:rFonts w:ascii="Palatino Linotype" w:eastAsia="Palatino Linotype" w:hAnsi="Palatino Linotype" w:cs="Palatino Linotype"/>
          <w:i/>
          <w:iCs/>
          <w:sz w:val="22"/>
          <w:szCs w:val="22"/>
        </w:rPr>
        <w:t xml:space="preserve"> Penas convencionales por atraso en la ejecución de los trabajos por causas imputables a los contratistas, determinadas únicamente en función del </w:t>
      </w:r>
      <w:r>
        <w:rPr>
          <w:rFonts w:ascii="Palatino Linotype" w:eastAsia="Palatino Linotype" w:hAnsi="Palatino Linotype" w:cs="Palatino Linotype"/>
          <w:i/>
          <w:iCs/>
          <w:sz w:val="22"/>
          <w:szCs w:val="22"/>
        </w:rPr>
        <w:lastRenderedPageBreak/>
        <w:t xml:space="preserve">incumplimiento al programa convenido, las que en ningún caso podrán ser superiores, en su conjunto, </w:t>
      </w:r>
      <w:r>
        <w:rPr>
          <w:rFonts w:ascii="Palatino Linotype" w:eastAsia="Palatino Linotype" w:hAnsi="Palatino Linotype" w:cs="Palatino Linotype"/>
          <w:b/>
          <w:bCs/>
          <w:i/>
          <w:iCs/>
          <w:sz w:val="22"/>
          <w:szCs w:val="22"/>
          <w:u w:val="single"/>
        </w:rPr>
        <w:t>al monto de la garantía de cumplimiento</w:t>
      </w:r>
      <w:r>
        <w:rPr>
          <w:rFonts w:ascii="Palatino Linotype" w:eastAsia="Palatino Linotype" w:hAnsi="Palatino Linotype" w:cs="Palatino Linotype"/>
          <w:i/>
          <w:iCs/>
          <w:sz w:val="22"/>
          <w:szCs w:val="22"/>
        </w:rPr>
        <w:t xml:space="preserve">. El contratante deberá establecer los términos, forma y porcentajes para aplicar las penas convencionales;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w:t>
      </w:r>
      <w:r>
        <w:rPr>
          <w:rFonts w:ascii="Palatino Linotype" w:eastAsia="Palatino Linotype" w:hAnsi="Palatino Linotype" w:cs="Palatino Linotype"/>
          <w:i/>
          <w:iCs/>
          <w:sz w:val="22"/>
          <w:szCs w:val="22"/>
        </w:rPr>
        <w:t xml:space="preserve">. Términos en que el contratista, en su caso, reintegrará las cantidades que hubiere recibido en exceso por la contratación o durante la ejecución de los trabajos, para lo cual se utilizará el procedimiento que se establezca;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XI</w:t>
      </w:r>
      <w:r>
        <w:rPr>
          <w:rFonts w:ascii="Palatino Linotype" w:eastAsia="Palatino Linotype" w:hAnsi="Palatino Linotype" w:cs="Palatino Linotype"/>
          <w:i/>
          <w:iCs/>
          <w:sz w:val="22"/>
          <w:szCs w:val="22"/>
        </w:rPr>
        <w:t xml:space="preserve">. Procedimiento de ajuste de costos que deberá ser el determinado desde las bases de la licitación por el convocante, el cual deberá regir durante la vigencia del contrato;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XII</w:t>
      </w:r>
      <w:r>
        <w:rPr>
          <w:rFonts w:ascii="Palatino Linotype" w:eastAsia="Palatino Linotype" w:hAnsi="Palatino Linotype" w:cs="Palatino Linotype"/>
          <w:i/>
          <w:iCs/>
          <w:sz w:val="22"/>
          <w:szCs w:val="22"/>
        </w:rPr>
        <w:t xml:space="preserve">. Causales y procedimiento mediante los cuales el contratante podrá dar por rescindido el contrato en los términos de este Reglamento;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XIII. </w:t>
      </w:r>
      <w:r>
        <w:rPr>
          <w:rFonts w:ascii="Palatino Linotype" w:eastAsia="Palatino Linotype" w:hAnsi="Palatino Linotype" w:cs="Palatino Linotype"/>
          <w:i/>
          <w:iCs/>
          <w:sz w:val="22"/>
          <w:szCs w:val="22"/>
        </w:rPr>
        <w:t>Los procedimientos mediante los cuales las partes resolverán, entre sí, las discrepancias futuras y previsibles sobre problemas específicos de carácter técnico y administrativo;</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XIV</w:t>
      </w:r>
      <w:r>
        <w:rPr>
          <w:rFonts w:ascii="Palatino Linotype" w:eastAsia="Palatino Linotype" w:hAnsi="Palatino Linotype" w:cs="Palatino Linotype"/>
          <w:i/>
          <w:iCs/>
          <w:sz w:val="22"/>
          <w:szCs w:val="22"/>
        </w:rPr>
        <w:t xml:space="preserve">. Señalamiento del domicilio en el Estado para oír y recibir notificaciones; y </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XV. </w:t>
      </w:r>
      <w:r>
        <w:rPr>
          <w:rFonts w:ascii="Palatino Linotype" w:eastAsia="Palatino Linotype" w:hAnsi="Palatino Linotype" w:cs="Palatino Linotype"/>
          <w:i/>
          <w:iCs/>
          <w:sz w:val="22"/>
          <w:szCs w:val="22"/>
        </w:rPr>
        <w:t xml:space="preserve">Manifestación de renuncia expresa al fuero que les pudiera corresponder en función de su domicilio presente o futuro en el caso de que no se encuentre en el Estado de México. </w:t>
      </w:r>
    </w:p>
    <w:p w:rsidR="001408F8" w:rsidRDefault="00183356">
      <w:pPr>
        <w:numPr>
          <w:ilvl w:val="0"/>
          <w:numId w:val="3"/>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contrato deberá firmarse dentro de los diez días hábiles siguientes a la notificación del fallo. Se deberá entregar al contratista una copia del contrato firmado; para los efectos del Libro Décimo Segundo y su Reglamento, el contrato, sus anexos y la bitácora son los instrumentos que establecen los derechos y obligaciones de las partes, posteriormente el contratante enviará a la Secretaría del Ramo y a la Contraloría </w:t>
      </w:r>
      <w:r>
        <w:rPr>
          <w:rFonts w:ascii="Palatino Linotype" w:eastAsia="Palatino Linotype" w:hAnsi="Palatino Linotype" w:cs="Palatino Linotype"/>
          <w:color w:val="000000"/>
        </w:rPr>
        <w:lastRenderedPageBreak/>
        <w:t>un informe de los contratos formalizados por excepción a la licitación pública durante el mes inmediato anterior, dentro de los cinco primeros días hábiles de cada mes. De la misma manera, lo harán los ayuntamientos que en esas modalidades contraten obra pública o servicios con cargo total o parcial a los recursos estatales.</w:t>
      </w:r>
    </w:p>
    <w:p w:rsidR="001408F8" w:rsidRDefault="001408F8">
      <w:pPr>
        <w:spacing w:before="240" w:after="240" w:line="360" w:lineRule="auto"/>
        <w:jc w:val="both"/>
        <w:rPr>
          <w:rFonts w:ascii="Palatino Linotype" w:eastAsia="Palatino Linotype" w:hAnsi="Palatino Linotype" w:cs="Palatino Linotype"/>
        </w:rPr>
      </w:pPr>
    </w:p>
    <w:p w:rsidR="001408F8" w:rsidRDefault="00183356">
      <w:pPr>
        <w:numPr>
          <w:ilvl w:val="0"/>
          <w:numId w:val="3"/>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Finalmente, por lo que se refiere a la recepción de los trabajos, los artículos 230, 231, 232, 233 y 234 del Reglamento del Libro Décimo Segundo del Código Administrativo disponen lo siguiente:</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230.-</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Para iniciar el procedimiento de recepción de los trabajos, el contratista deberá notificar al contratante la terminación de los mismos mediante la bitácora y por escrito, anexando los documentos de soporte que incluye una relación de las estimaciones o de gastos aprobados, monto ejercido y créditos a favor o en contra</w:t>
      </w:r>
      <w:r>
        <w:rPr>
          <w:rFonts w:ascii="Palatino Linotype" w:eastAsia="Palatino Linotype" w:hAnsi="Palatino Linotype" w:cs="Palatino Linotype"/>
          <w:i/>
          <w:iCs/>
          <w:sz w:val="22"/>
          <w:szCs w:val="22"/>
        </w:rPr>
        <w:t xml:space="preserve">. Artículo 231.- </w:t>
      </w:r>
      <w:r>
        <w:rPr>
          <w:rFonts w:ascii="Palatino Linotype" w:eastAsia="Palatino Linotype" w:hAnsi="Palatino Linotype" w:cs="Palatino Linotype"/>
          <w:b/>
          <w:bCs/>
          <w:i/>
          <w:iCs/>
          <w:sz w:val="22"/>
          <w:szCs w:val="22"/>
        </w:rPr>
        <w:t>Si, durante la verificación de los trabajos, el contratante observa deficiencias, deberá solicitar al contratista que realice las correcciones o reparaciones conforme a lo establecido en el contrato</w:t>
      </w:r>
      <w:r>
        <w:rPr>
          <w:rFonts w:ascii="Palatino Linotype" w:eastAsia="Palatino Linotype" w:hAnsi="Palatino Linotype" w:cs="Palatino Linotype"/>
          <w:i/>
          <w:iCs/>
          <w:sz w:val="22"/>
          <w:szCs w:val="22"/>
        </w:rPr>
        <w:t xml:space="preserve">. En este caso, el plazo de verificación de los trabajos, pactado en el contrato, se podrá ampliar por el periodo que acuerden las partes para la reparación de las deficiencias. Lo anterior, sin perjuicio de que el contratante opte por la rescisión del contrato.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232</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En la fecha señalada, el contratante recibirá físicamente los trabajos y levantará el acta correspondiente</w:t>
      </w:r>
      <w:r>
        <w:rPr>
          <w:rFonts w:ascii="Palatino Linotype" w:eastAsia="Palatino Linotype" w:hAnsi="Palatino Linotype" w:cs="Palatino Linotype"/>
          <w:i/>
          <w:iCs/>
          <w:sz w:val="22"/>
          <w:szCs w:val="22"/>
        </w:rPr>
        <w:t xml:space="preserve">, que contendrá: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w:t>
      </w:r>
      <w:r>
        <w:rPr>
          <w:rFonts w:ascii="Palatino Linotype" w:eastAsia="Palatino Linotype" w:hAnsi="Palatino Linotype" w:cs="Palatino Linotype"/>
          <w:i/>
          <w:iCs/>
          <w:sz w:val="22"/>
          <w:szCs w:val="22"/>
        </w:rPr>
        <w:t xml:space="preserve">. Lugar, fecha y hora en que se levante;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Nombre y firma del residente de obra y, en su caso, del supervisor de los trabajos y del superintendente de construcción;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III</w:t>
      </w:r>
      <w:r>
        <w:rPr>
          <w:rFonts w:ascii="Palatino Linotype" w:eastAsia="Palatino Linotype" w:hAnsi="Palatino Linotype" w:cs="Palatino Linotype"/>
          <w:i/>
          <w:iCs/>
          <w:sz w:val="22"/>
          <w:szCs w:val="22"/>
        </w:rPr>
        <w:t xml:space="preserve">. Nombre y firma de los representantes de las Secretarías del Ramo y de Finanzas, de la Contraloría y del área responsable de operar la obra pública que se recibe;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IV</w:t>
      </w:r>
      <w:r>
        <w:rPr>
          <w:rFonts w:ascii="Palatino Linotype" w:eastAsia="Palatino Linotype" w:hAnsi="Palatino Linotype" w:cs="Palatino Linotype"/>
          <w:i/>
          <w:iCs/>
          <w:sz w:val="22"/>
          <w:szCs w:val="22"/>
        </w:rPr>
        <w:t xml:space="preserve">. Descripción de los trabajos que se reciben;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w:t>
      </w:r>
      <w:r>
        <w:rPr>
          <w:rFonts w:ascii="Palatino Linotype" w:eastAsia="Palatino Linotype" w:hAnsi="Palatino Linotype" w:cs="Palatino Linotype"/>
          <w:i/>
          <w:iCs/>
          <w:sz w:val="22"/>
          <w:szCs w:val="22"/>
        </w:rPr>
        <w:t xml:space="preserve">. Importe contractual, incluyendo el de los convenios modificatorios;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w:t>
      </w:r>
      <w:r>
        <w:rPr>
          <w:rFonts w:ascii="Palatino Linotype" w:eastAsia="Palatino Linotype" w:hAnsi="Palatino Linotype" w:cs="Palatino Linotype"/>
          <w:i/>
          <w:iCs/>
          <w:sz w:val="22"/>
          <w:szCs w:val="22"/>
        </w:rPr>
        <w:t xml:space="preserve">. Periodo de ejecución de los trabajos, precisando las fechas de inicio y terminación contractual y el plazo en que realmente se ejecutaron, incluyendo los convenios;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w:t>
      </w:r>
      <w:r>
        <w:rPr>
          <w:rFonts w:ascii="Palatino Linotype" w:eastAsia="Palatino Linotype" w:hAnsi="Palatino Linotype" w:cs="Palatino Linotype"/>
          <w:i/>
          <w:iCs/>
          <w:sz w:val="22"/>
          <w:szCs w:val="22"/>
        </w:rPr>
        <w:t>. Relación de las estimaciones pagadas y por pagar;</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VIII</w:t>
      </w:r>
      <w:r>
        <w:rPr>
          <w:rFonts w:ascii="Palatino Linotype" w:eastAsia="Palatino Linotype" w:hAnsi="Palatino Linotype" w:cs="Palatino Linotype"/>
          <w:i/>
          <w:iCs/>
          <w:sz w:val="22"/>
          <w:szCs w:val="22"/>
        </w:rPr>
        <w:t xml:space="preserve">. Declaración de las partes en que conste la entrega de los planos actualizados de la construcción final, así como los manuales e instructivos de operación y mantenimiento y los certificados de garantía de calidad y de servicio de los bienes instalados; y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IX</w:t>
      </w:r>
      <w:r>
        <w:rPr>
          <w:rFonts w:ascii="Palatino Linotype" w:eastAsia="Palatino Linotype" w:hAnsi="Palatino Linotype" w:cs="Palatino Linotype"/>
          <w:i/>
          <w:iCs/>
          <w:sz w:val="22"/>
          <w:szCs w:val="22"/>
        </w:rPr>
        <w:t>. Constancia de que el archivo de documentos derivados de la realización de los trabajos fue entregado a la residencia de obra o a la supervisión por parte del contratista.</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233.-</w:t>
      </w:r>
      <w:r>
        <w:rPr>
          <w:rFonts w:ascii="Palatino Linotype" w:eastAsia="Palatino Linotype" w:hAnsi="Palatino Linotype" w:cs="Palatino Linotype"/>
          <w:i/>
          <w:iCs/>
          <w:sz w:val="22"/>
          <w:szCs w:val="22"/>
        </w:rPr>
        <w:t xml:space="preserve"> El contratante podrá efectuar recepciones parciales de los trabajos sin estar concluida la totalidad de la obra, cuando considere que hay trabajos terminados cuyos espacios pueden utilizarse y requieren conservación. Para ello, levantará un acta que se apegará a lo previsto en el artículo anterior.</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234.-</w:t>
      </w:r>
      <w:r>
        <w:rPr>
          <w:rFonts w:ascii="Palatino Linotype" w:eastAsia="Palatino Linotype" w:hAnsi="Palatino Linotype" w:cs="Palatino Linotype"/>
          <w:i/>
          <w:iCs/>
          <w:sz w:val="22"/>
          <w:szCs w:val="22"/>
        </w:rPr>
        <w:t xml:space="preserve"> Para dar por terminados, parcial o totalmente, los derechos y obligaciones asumidos por las partes en un contrato de obras o servicios, el contratante deberá elaborar el finiquito correspondiente, anexando el acta de recepción física de los trabajos.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Elaborado este finiquito, el contratante dará por terminado el contrato, quedando subsistentes las acciones que se deriven del finiquito y la garantía de defectos y vicios ocultos señalada en el libro en el capítulo quinto de la ejecución Después de su formalización, el contratista no podrá presentar reclamación alguna de pago.”</w:t>
      </w:r>
    </w:p>
    <w:p w:rsidR="001408F8" w:rsidRDefault="001408F8">
      <w:pPr>
        <w:spacing w:before="120" w:after="120"/>
        <w:ind w:left="1134" w:right="1134"/>
        <w:jc w:val="both"/>
        <w:rPr>
          <w:rFonts w:ascii="Palatino Linotype" w:eastAsia="Palatino Linotype" w:hAnsi="Palatino Linotype" w:cs="Palatino Linotype"/>
          <w:i/>
          <w:iCs/>
          <w:sz w:val="22"/>
          <w:szCs w:val="22"/>
        </w:rPr>
      </w:pPr>
    </w:p>
    <w:p w:rsidR="001408F8" w:rsidRDefault="00183356">
      <w:pPr>
        <w:numPr>
          <w:ilvl w:val="0"/>
          <w:numId w:val="3"/>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otro lado, el artículo 214 del Reglamento del Libro Décimo Segundo, establece que la ejecución de los trabajos deberá realizarse en el orden y tiempo previstos en los programas pactados en el contrato, al respecto, las atribuciones de la Contraloría Municipal, el Libro Décimo Segundo dispone lo siguiente:</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271</w:t>
      </w:r>
      <w:r>
        <w:rPr>
          <w:rFonts w:ascii="Palatino Linotype" w:eastAsia="Palatino Linotype" w:hAnsi="Palatino Linotype" w:cs="Palatino Linotype"/>
          <w:i/>
          <w:iCs/>
          <w:sz w:val="22"/>
          <w:szCs w:val="22"/>
        </w:rPr>
        <w:t xml:space="preserve">.- Las dependencias, entidades y ayuntamientos, podrán suspender temporal o definitivamente, en todo o en parte, las obras que realicen por administración directa, por razones de interés general o por cualquier causa justificada, mediante acuerdo del mismo servidor público que autorizó su realización.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Tratándose de suspensión definitiva de la obra, se deberá levantar acta circunstanciada, donde se haga constar el estado en que se encuentran los trabajos y las razones de la suspensión definitiva.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Las suspensiones temporales o definitivas que realicen las dependencias y entidades deberán comunicarse a</w:t>
      </w:r>
      <w:r>
        <w:rPr>
          <w:rFonts w:ascii="Palatino Linotype" w:eastAsia="Palatino Linotype" w:hAnsi="Palatino Linotype" w:cs="Palatino Linotype"/>
          <w:i/>
          <w:iCs/>
          <w:sz w:val="22"/>
          <w:szCs w:val="22"/>
        </w:rPr>
        <w:t xml:space="preserve"> la Secretaría del Ramo, </w:t>
      </w:r>
      <w:r>
        <w:rPr>
          <w:rFonts w:ascii="Palatino Linotype" w:eastAsia="Palatino Linotype" w:hAnsi="Palatino Linotype" w:cs="Palatino Linotype"/>
          <w:b/>
          <w:bCs/>
          <w:i/>
          <w:iCs/>
          <w:sz w:val="22"/>
          <w:szCs w:val="22"/>
        </w:rPr>
        <w:t>a la Contraloría</w:t>
      </w:r>
      <w:r>
        <w:rPr>
          <w:rFonts w:ascii="Palatino Linotype" w:eastAsia="Palatino Linotype" w:hAnsi="Palatino Linotype" w:cs="Palatino Linotype"/>
          <w:i/>
          <w:iCs/>
          <w:sz w:val="22"/>
          <w:szCs w:val="22"/>
        </w:rPr>
        <w:t xml:space="preserve"> y, en el caso de las entidades, a la dependencia coordinadora de sector, dentro de los diez días naturales siguientes a la fecha en que se emita el acuerdo de suspensión.</w:t>
      </w:r>
    </w:p>
    <w:p w:rsidR="001408F8" w:rsidRDefault="00183356">
      <w:pPr>
        <w:spacing w:before="120" w:after="120"/>
        <w:ind w:left="1134"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Artículo 272.- La Contraloría, en las dependencias, entidades y ayuntamientos</w:t>
      </w:r>
      <w:r>
        <w:rPr>
          <w:rFonts w:ascii="Palatino Linotype" w:eastAsia="Palatino Linotype" w:hAnsi="Palatino Linotype" w:cs="Palatino Linotype"/>
          <w:i/>
          <w:iCs/>
          <w:sz w:val="22"/>
          <w:szCs w:val="22"/>
        </w:rPr>
        <w:t xml:space="preserve">, previo a la ejecución de los trabajos por administración directa, </w:t>
      </w:r>
      <w:r>
        <w:rPr>
          <w:rFonts w:ascii="Palatino Linotype" w:eastAsia="Palatino Linotype" w:hAnsi="Palatino Linotype" w:cs="Palatino Linotype"/>
          <w:b/>
          <w:bCs/>
          <w:i/>
          <w:iCs/>
          <w:sz w:val="22"/>
          <w:szCs w:val="22"/>
        </w:rPr>
        <w:t>verificará que se cuente con el presupuesto correspondiente y los programas de ejecución, de utilización de recursos humanos</w:t>
      </w:r>
      <w:r>
        <w:rPr>
          <w:rFonts w:ascii="Palatino Linotype" w:eastAsia="Palatino Linotype" w:hAnsi="Palatino Linotype" w:cs="Palatino Linotype"/>
          <w:i/>
          <w:iCs/>
          <w:sz w:val="22"/>
          <w:szCs w:val="22"/>
        </w:rPr>
        <w:t xml:space="preserve"> y, en su caso, de utilización de maquinaria y equipo de construcción. Asimismo, en el ejercicio de sus atribuciones </w:t>
      </w:r>
      <w:r>
        <w:rPr>
          <w:rFonts w:ascii="Palatino Linotype" w:eastAsia="Palatino Linotype" w:hAnsi="Palatino Linotype" w:cs="Palatino Linotype"/>
          <w:b/>
          <w:bCs/>
          <w:i/>
          <w:iCs/>
          <w:sz w:val="22"/>
          <w:szCs w:val="22"/>
        </w:rPr>
        <w:t>estará atenta al desarrollo de la obra, a su entrega-recepción y en su caso, suspensión.</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276</w:t>
      </w:r>
      <w:r>
        <w:rPr>
          <w:rFonts w:ascii="Palatino Linotype" w:eastAsia="Palatino Linotype" w:hAnsi="Palatino Linotype" w:cs="Palatino Linotype"/>
          <w:i/>
          <w:iCs/>
          <w:sz w:val="22"/>
          <w:szCs w:val="22"/>
        </w:rPr>
        <w:t xml:space="preserve">.- La Contraloría llevará a cabo el seguimiento de la obra pública y servicios que realicen las dependencias, entidades y ayuntamientos en su caso. El seguimiento abarcará: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I.</w:t>
      </w:r>
      <w:r>
        <w:rPr>
          <w:rFonts w:ascii="Palatino Linotype" w:eastAsia="Palatino Linotype" w:hAnsi="Palatino Linotype" w:cs="Palatino Linotype"/>
          <w:i/>
          <w:iCs/>
          <w:sz w:val="22"/>
          <w:szCs w:val="22"/>
        </w:rPr>
        <w:t xml:space="preserve"> La Planeación;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w:t>
      </w:r>
      <w:r>
        <w:rPr>
          <w:rFonts w:ascii="Palatino Linotype" w:eastAsia="Palatino Linotype" w:hAnsi="Palatino Linotype" w:cs="Palatino Linotype"/>
          <w:i/>
          <w:iCs/>
          <w:sz w:val="22"/>
          <w:szCs w:val="22"/>
        </w:rPr>
        <w:t xml:space="preserve">. La Programación y presupuestación;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III.</w:t>
      </w:r>
      <w:r>
        <w:rPr>
          <w:rFonts w:ascii="Palatino Linotype" w:eastAsia="Palatino Linotype" w:hAnsi="Palatino Linotype" w:cs="Palatino Linotype"/>
          <w:i/>
          <w:iCs/>
          <w:sz w:val="22"/>
          <w:szCs w:val="22"/>
        </w:rPr>
        <w:t xml:space="preserve"> La licitación pública;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IV.</w:t>
      </w:r>
      <w:r>
        <w:rPr>
          <w:rFonts w:ascii="Palatino Linotype" w:eastAsia="Palatino Linotype" w:hAnsi="Palatino Linotype" w:cs="Palatino Linotype"/>
          <w:i/>
          <w:iCs/>
          <w:sz w:val="22"/>
          <w:szCs w:val="22"/>
        </w:rPr>
        <w:t xml:space="preserve"> La invitación restringida;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w:t>
      </w:r>
      <w:r>
        <w:rPr>
          <w:rFonts w:ascii="Palatino Linotype" w:eastAsia="Palatino Linotype" w:hAnsi="Palatino Linotype" w:cs="Palatino Linotype"/>
          <w:i/>
          <w:iCs/>
          <w:sz w:val="22"/>
          <w:szCs w:val="22"/>
        </w:rPr>
        <w:t xml:space="preserve">. La adjudicación directa;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w:t>
      </w:r>
      <w:r>
        <w:rPr>
          <w:rFonts w:ascii="Palatino Linotype" w:eastAsia="Palatino Linotype" w:hAnsi="Palatino Linotype" w:cs="Palatino Linotype"/>
          <w:i/>
          <w:iCs/>
          <w:sz w:val="22"/>
          <w:szCs w:val="22"/>
        </w:rPr>
        <w:t xml:space="preserve">. La contratación;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w:t>
      </w:r>
      <w:r>
        <w:rPr>
          <w:rFonts w:ascii="Palatino Linotype" w:eastAsia="Palatino Linotype" w:hAnsi="Palatino Linotype" w:cs="Palatino Linotype"/>
          <w:i/>
          <w:iCs/>
          <w:sz w:val="22"/>
          <w:szCs w:val="22"/>
        </w:rPr>
        <w:t xml:space="preserve"> La ejecución;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VIII.</w:t>
      </w:r>
      <w:r>
        <w:rPr>
          <w:rFonts w:ascii="Palatino Linotype" w:eastAsia="Palatino Linotype" w:hAnsi="Palatino Linotype" w:cs="Palatino Linotype"/>
          <w:i/>
          <w:iCs/>
          <w:sz w:val="22"/>
          <w:szCs w:val="22"/>
        </w:rPr>
        <w:t xml:space="preserve"> La recepción y finiquito.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La Contraloría realizará las visitas, inspecciones, auditorias y supervisiones que considere necesarias. Podrá solicitar a los servidores públicos y a los contratistas los datos e informes relacionados con las obras y servicios objeto de dichas visitas, inspecciones, auditorias y supervisiones.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La Contraloría llevará el registro de las personas físicas o jurídicas que se encuentren en cualquiera de los supuestos a que se refieren las fracciones III, IV y VI del artículo 12.48 del Libro y lo dará a conocer a las dependencias, entidades y ayuntamientos por los medios que determine y recibirá de éstas la información correspondiente para la integración y difusión de dicho registro.</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277</w:t>
      </w:r>
      <w:r>
        <w:rPr>
          <w:rFonts w:ascii="Palatino Linotype" w:eastAsia="Palatino Linotype" w:hAnsi="Palatino Linotype" w:cs="Palatino Linotype"/>
          <w:i/>
          <w:iCs/>
          <w:sz w:val="22"/>
          <w:szCs w:val="22"/>
        </w:rPr>
        <w:t xml:space="preserve">.- En el ejercicio de sus atribuciones, la Contraloría tiene la facultad de verificar que la realización de las obras públicas y los servicios se efectúen con apego a lo establecido en el Libro, este Reglamento, las disposiciones legales aplicables y conforme a los programas y presupuestos autorizados.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278</w:t>
      </w:r>
      <w:r>
        <w:rPr>
          <w:rFonts w:ascii="Palatino Linotype" w:eastAsia="Palatino Linotype" w:hAnsi="Palatino Linotype" w:cs="Palatino Linotype"/>
          <w:i/>
          <w:iCs/>
          <w:sz w:val="22"/>
          <w:szCs w:val="22"/>
        </w:rPr>
        <w:t>.- Cuando la Contraloría tenga conocimiento de que una dependencia, entidad o ayuntamiento no se hubiere apegado a las disposiciones legales aplicables, actuará conforme a los manuales y procedimientos que norman su actuación.”</w:t>
      </w:r>
    </w:p>
    <w:p w:rsidR="001408F8" w:rsidRDefault="001408F8">
      <w:pPr>
        <w:spacing w:before="120" w:after="120"/>
        <w:ind w:left="1134" w:right="1134"/>
        <w:jc w:val="both"/>
        <w:rPr>
          <w:rFonts w:ascii="Palatino Linotype" w:eastAsia="Palatino Linotype" w:hAnsi="Palatino Linotype" w:cs="Palatino Linotype"/>
          <w:i/>
          <w:iCs/>
          <w:sz w:val="22"/>
          <w:szCs w:val="22"/>
        </w:rPr>
      </w:pPr>
    </w:p>
    <w:p w:rsidR="001408F8" w:rsidRDefault="00183356">
      <w:pPr>
        <w:numPr>
          <w:ilvl w:val="0"/>
          <w:numId w:val="3"/>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Así mismo y  de conformidad con el </w:t>
      </w:r>
      <w:r>
        <w:rPr>
          <w:rFonts w:ascii="Palatino Linotype" w:eastAsia="Palatino Linotype" w:hAnsi="Palatino Linotype" w:cs="Palatino Linotype"/>
          <w:i/>
          <w:iCs/>
          <w:color w:val="000000"/>
        </w:rPr>
        <w:t>ACUERDO DEL SECRETARIO DE INFRAESTRUCTURA POR EL QUE SE ESTABLECE EL ÍNDICE DE EXPEDIENTE ÚNICO DE OBRA PÚBLICA E INSTRUCTIVOS DE LLENADO EN LAS MODALIDADES DE ADJUDICACIÓN DIRECTA, INVITACIÓN RESTRINGIDA Y LICITACIÓN PÚBLICA</w:t>
      </w:r>
      <w:r>
        <w:rPr>
          <w:rFonts w:ascii="Palatino Linotype" w:eastAsia="Palatino Linotype" w:hAnsi="Palatino Linotype" w:cs="Palatino Linotype"/>
          <w:color w:val="000000"/>
        </w:rPr>
        <w:t>, mediante el cual se establecen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administrativos que ejecuten obra pública, los expedientes de Adjudicación Directa, Invitación Restringida y Licitación Pública, se integran de la siguiente manera:</w:t>
      </w:r>
    </w:p>
    <w:p w:rsidR="001408F8" w:rsidRDefault="00183356">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2435952" cy="2736827"/>
            <wp:effectExtent l="0" t="0" r="0" b="0"/>
            <wp:docPr id="20548258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b="23111"/>
                    <a:stretch>
                      <a:fillRect/>
                    </a:stretch>
                  </pic:blipFill>
                  <pic:spPr>
                    <a:xfrm>
                      <a:off x="0" y="0"/>
                      <a:ext cx="2435952" cy="2736827"/>
                    </a:xfrm>
                    <a:prstGeom prst="rect">
                      <a:avLst/>
                    </a:prstGeom>
                    <a:ln/>
                  </pic:spPr>
                </pic:pic>
              </a:graphicData>
            </a:graphic>
          </wp:inline>
        </w:drawing>
      </w:r>
    </w:p>
    <w:p w:rsidR="001408F8" w:rsidRDefault="00183356">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extent cx="3646281" cy="1096264"/>
            <wp:effectExtent l="0" t="0" r="0" b="0"/>
            <wp:docPr id="20548258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t="76157" b="476"/>
                    <a:stretch>
                      <a:fillRect/>
                    </a:stretch>
                  </pic:blipFill>
                  <pic:spPr>
                    <a:xfrm>
                      <a:off x="0" y="0"/>
                      <a:ext cx="3646281" cy="1096264"/>
                    </a:xfrm>
                    <a:prstGeom prst="rect">
                      <a:avLst/>
                    </a:prstGeom>
                    <a:ln/>
                  </pic:spPr>
                </pic:pic>
              </a:graphicData>
            </a:graphic>
          </wp:inline>
        </w:drawing>
      </w:r>
      <w:r>
        <w:rPr>
          <w:rFonts w:ascii="Palatino Linotype" w:eastAsia="Palatino Linotype" w:hAnsi="Palatino Linotype" w:cs="Palatino Linotype"/>
          <w:noProof/>
          <w:sz w:val="22"/>
          <w:szCs w:val="22"/>
        </w:rPr>
        <w:drawing>
          <wp:inline distT="0" distB="0" distL="0" distR="0">
            <wp:extent cx="3610022" cy="1963495"/>
            <wp:effectExtent l="0" t="0" r="0" b="0"/>
            <wp:docPr id="20548258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610022" cy="1963495"/>
                    </a:xfrm>
                    <a:prstGeom prst="rect">
                      <a:avLst/>
                    </a:prstGeom>
                    <a:ln/>
                  </pic:spPr>
                </pic:pic>
              </a:graphicData>
            </a:graphic>
          </wp:inline>
        </w:drawing>
      </w:r>
      <w:r>
        <w:rPr>
          <w:rFonts w:ascii="Palatino Linotype" w:eastAsia="Palatino Linotype" w:hAnsi="Palatino Linotype" w:cs="Palatino Linotype"/>
          <w:noProof/>
          <w:sz w:val="22"/>
          <w:szCs w:val="22"/>
        </w:rPr>
        <w:drawing>
          <wp:inline distT="0" distB="0" distL="0" distR="0">
            <wp:extent cx="3619289" cy="1885632"/>
            <wp:effectExtent l="0" t="0" r="0" b="0"/>
            <wp:docPr id="20548258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b="58360"/>
                    <a:stretch>
                      <a:fillRect/>
                    </a:stretch>
                  </pic:blipFill>
                  <pic:spPr>
                    <a:xfrm>
                      <a:off x="0" y="0"/>
                      <a:ext cx="3619289" cy="1885632"/>
                    </a:xfrm>
                    <a:prstGeom prst="rect">
                      <a:avLst/>
                    </a:prstGeom>
                    <a:ln/>
                  </pic:spPr>
                </pic:pic>
              </a:graphicData>
            </a:graphic>
          </wp:inline>
        </w:drawing>
      </w:r>
    </w:p>
    <w:p w:rsidR="001408F8" w:rsidRDefault="00183356">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extent cx="3542817" cy="2645077"/>
            <wp:effectExtent l="0" t="0" r="0" b="0"/>
            <wp:docPr id="20548258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41030" b="-702"/>
                    <a:stretch>
                      <a:fillRect/>
                    </a:stretch>
                  </pic:blipFill>
                  <pic:spPr>
                    <a:xfrm>
                      <a:off x="0" y="0"/>
                      <a:ext cx="3542817" cy="2645077"/>
                    </a:xfrm>
                    <a:prstGeom prst="rect">
                      <a:avLst/>
                    </a:prstGeom>
                    <a:ln/>
                  </pic:spPr>
                </pic:pic>
              </a:graphicData>
            </a:graphic>
          </wp:inline>
        </w:drawing>
      </w:r>
      <w:r>
        <w:rPr>
          <w:rFonts w:ascii="Palatino Linotype" w:eastAsia="Palatino Linotype" w:hAnsi="Palatino Linotype" w:cs="Palatino Linotype"/>
          <w:noProof/>
          <w:sz w:val="22"/>
          <w:szCs w:val="22"/>
        </w:rPr>
        <w:drawing>
          <wp:inline distT="0" distB="0" distL="0" distR="0">
            <wp:extent cx="3532458" cy="2079939"/>
            <wp:effectExtent l="0" t="0" r="0" b="0"/>
            <wp:docPr id="20548258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t="12348"/>
                    <a:stretch>
                      <a:fillRect/>
                    </a:stretch>
                  </pic:blipFill>
                  <pic:spPr>
                    <a:xfrm>
                      <a:off x="0" y="0"/>
                      <a:ext cx="3532458" cy="2079939"/>
                    </a:xfrm>
                    <a:prstGeom prst="rect">
                      <a:avLst/>
                    </a:prstGeom>
                    <a:ln/>
                  </pic:spPr>
                </pic:pic>
              </a:graphicData>
            </a:graphic>
          </wp:inline>
        </w:drawing>
      </w:r>
    </w:p>
    <w:p w:rsidR="001408F8" w:rsidRDefault="00183356">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extent cx="3646076" cy="2256211"/>
            <wp:effectExtent l="0" t="0" r="0" b="0"/>
            <wp:docPr id="20548258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646076" cy="2256211"/>
                    </a:xfrm>
                    <a:prstGeom prst="rect">
                      <a:avLst/>
                    </a:prstGeom>
                    <a:ln/>
                  </pic:spPr>
                </pic:pic>
              </a:graphicData>
            </a:graphic>
          </wp:inline>
        </w:drawing>
      </w:r>
      <w:r>
        <w:rPr>
          <w:rFonts w:ascii="Palatino Linotype" w:eastAsia="Palatino Linotype" w:hAnsi="Palatino Linotype" w:cs="Palatino Linotype"/>
          <w:noProof/>
          <w:sz w:val="22"/>
          <w:szCs w:val="22"/>
        </w:rPr>
        <w:drawing>
          <wp:inline distT="0" distB="0" distL="0" distR="0">
            <wp:extent cx="3698548" cy="3183281"/>
            <wp:effectExtent l="0" t="0" r="0" b="0"/>
            <wp:docPr id="20548258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t="-1" b="34969"/>
                    <a:stretch>
                      <a:fillRect/>
                    </a:stretch>
                  </pic:blipFill>
                  <pic:spPr>
                    <a:xfrm>
                      <a:off x="0" y="0"/>
                      <a:ext cx="3698548" cy="3183281"/>
                    </a:xfrm>
                    <a:prstGeom prst="rect">
                      <a:avLst/>
                    </a:prstGeom>
                    <a:ln/>
                  </pic:spPr>
                </pic:pic>
              </a:graphicData>
            </a:graphic>
          </wp:inline>
        </w:drawing>
      </w:r>
    </w:p>
    <w:p w:rsidR="001408F8" w:rsidRDefault="00183356">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extent cx="3638767" cy="1697543"/>
            <wp:effectExtent l="0" t="0" r="0" b="0"/>
            <wp:docPr id="20548258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t="64121" b="630"/>
                    <a:stretch>
                      <a:fillRect/>
                    </a:stretch>
                  </pic:blipFill>
                  <pic:spPr>
                    <a:xfrm>
                      <a:off x="0" y="0"/>
                      <a:ext cx="3638767" cy="1697543"/>
                    </a:xfrm>
                    <a:prstGeom prst="rect">
                      <a:avLst/>
                    </a:prstGeom>
                    <a:ln/>
                  </pic:spPr>
                </pic:pic>
              </a:graphicData>
            </a:graphic>
          </wp:inline>
        </w:drawing>
      </w:r>
    </w:p>
    <w:p w:rsidR="001408F8" w:rsidRDefault="001833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donde se advierte que los expedientes únicos de obra pública, en las modalidades de adjudicación directa, invitación restringida y licitación pública, incluyen diversos documentos, entre los que se encuentra </w:t>
      </w:r>
      <w:r>
        <w:rPr>
          <w:rFonts w:ascii="Palatino Linotype" w:eastAsia="Palatino Linotype" w:hAnsi="Palatino Linotype" w:cs="Palatino Linotype"/>
          <w:i/>
          <w:iCs/>
        </w:rPr>
        <w:t>el oficio de autorización de recursos y dictamen de procedencia; la evaluación de la propuesta</w:t>
      </w:r>
      <w:r>
        <w:rPr>
          <w:rFonts w:ascii="Palatino Linotype" w:eastAsia="Palatino Linotype" w:hAnsi="Palatino Linotype" w:cs="Palatino Linotype"/>
          <w:b/>
          <w:bCs/>
          <w:i/>
          <w:iCs/>
        </w:rPr>
        <w:t>; el contrato</w:t>
      </w:r>
      <w:r>
        <w:rPr>
          <w:rFonts w:ascii="Palatino Linotype" w:eastAsia="Palatino Linotype" w:hAnsi="Palatino Linotype" w:cs="Palatino Linotype"/>
          <w:i/>
          <w:iCs/>
        </w:rPr>
        <w:t>: las garantías de cumplimiento de contrato; la bitácora de obra o servicios; el acta de recepción de los trabajos y el acta de entrega a la instancia encargada de su operación</w:t>
      </w:r>
      <w:r>
        <w:rPr>
          <w:rFonts w:ascii="Palatino Linotype" w:eastAsia="Palatino Linotype" w:hAnsi="Palatino Linotype" w:cs="Palatino Linotype"/>
          <w:b/>
          <w:bCs/>
        </w:rPr>
        <w:t>.</w:t>
      </w:r>
      <w:r>
        <w:rPr>
          <w:rFonts w:ascii="Palatino Linotype" w:eastAsia="Palatino Linotype" w:hAnsi="Palatino Linotype" w:cs="Palatino Linotype"/>
        </w:rPr>
        <w:t xml:space="preserve"> </w:t>
      </w:r>
    </w:p>
    <w:p w:rsidR="001408F8" w:rsidRDefault="001408F8">
      <w:pPr>
        <w:spacing w:before="240" w:after="240" w:line="360" w:lineRule="auto"/>
        <w:jc w:val="both"/>
        <w:rPr>
          <w:rFonts w:ascii="Palatino Linotype" w:eastAsia="Palatino Linotype" w:hAnsi="Palatino Linotype" w:cs="Palatino Linotype"/>
        </w:rPr>
      </w:pPr>
    </w:p>
    <w:p w:rsidR="001408F8" w:rsidRDefault="00183356">
      <w:pPr>
        <w:numPr>
          <w:ilvl w:val="0"/>
          <w:numId w:val="3"/>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el Instructivo de llenado de los índices del Expediente Único de Obra en las modalidades de adjudicación referidas, dispone que en el apartado del Proyecto Ejecutivo, se incluirán los estudios preliminares y análisis de factibilidad de acuerdo a los estudios de costo beneficio</w:t>
      </w:r>
      <w:r>
        <w:rPr>
          <w:rFonts w:ascii="Palatino Linotype" w:eastAsia="Palatino Linotype" w:hAnsi="Palatino Linotype" w:cs="Palatino Linotype"/>
          <w:b/>
          <w:bCs/>
          <w:color w:val="000000"/>
        </w:rPr>
        <w:t>,</w:t>
      </w:r>
      <w:r>
        <w:rPr>
          <w:rFonts w:ascii="Palatino Linotype" w:eastAsia="Palatino Linotype" w:hAnsi="Palatino Linotype" w:cs="Palatino Linotype"/>
          <w:color w:val="000000"/>
        </w:rPr>
        <w:t xml:space="preserve"> para la normatividad federal, como se lee:</w:t>
      </w:r>
    </w:p>
    <w:p w:rsidR="001408F8" w:rsidRDefault="00183356">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extent cx="5847995" cy="847851"/>
            <wp:effectExtent l="0" t="0" r="0" b="0"/>
            <wp:docPr id="205482588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847995" cy="847851"/>
                    </a:xfrm>
                    <a:prstGeom prst="rect">
                      <a:avLst/>
                    </a:prstGeom>
                    <a:ln/>
                  </pic:spPr>
                </pic:pic>
              </a:graphicData>
            </a:graphic>
          </wp:inline>
        </w:drawing>
      </w:r>
    </w:p>
    <w:p w:rsidR="001408F8" w:rsidRDefault="00183356">
      <w:pPr>
        <w:numPr>
          <w:ilvl w:val="0"/>
          <w:numId w:val="3"/>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no debe perderse de vista que el artículo 92, fracción XIX de la Ley de Transparencia y Acceso a la Información Pública del Estado de México y Municipios, ,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por tratarse de una obligación de transparencia:</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92</w:t>
      </w:r>
      <w:r>
        <w:rPr>
          <w:rFonts w:ascii="Palatino Linotype" w:eastAsia="Palatino Linotype" w:hAnsi="Palatino Linotype" w:cs="Palatino Linotype"/>
          <w:i/>
          <w:iCs/>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XXIX.</w:t>
      </w:r>
      <w:r>
        <w:rPr>
          <w:rFonts w:ascii="Palatino Linotype" w:eastAsia="Palatino Linotype" w:hAnsi="Palatino Linotype" w:cs="Palatino Linotype"/>
          <w:i/>
          <w:iCs/>
          <w:sz w:val="22"/>
          <w:szCs w:val="22"/>
        </w:rPr>
        <w:t xml:space="preserve"> La </w:t>
      </w:r>
      <w:r>
        <w:rPr>
          <w:rFonts w:ascii="Palatino Linotype" w:eastAsia="Palatino Linotype" w:hAnsi="Palatino Linotype" w:cs="Palatino Linotype"/>
          <w:b/>
          <w:bCs/>
          <w:i/>
          <w:iCs/>
          <w:sz w:val="22"/>
          <w:szCs w:val="22"/>
        </w:rPr>
        <w:t xml:space="preserve">información sobre los procesos y resultados </w:t>
      </w:r>
      <w:r>
        <w:rPr>
          <w:rFonts w:ascii="Palatino Linotype" w:eastAsia="Palatino Linotype" w:hAnsi="Palatino Linotype" w:cs="Palatino Linotype"/>
          <w:b/>
          <w:bCs/>
          <w:i/>
          <w:iCs/>
          <w:sz w:val="22"/>
          <w:szCs w:val="22"/>
          <w:u w:val="single"/>
        </w:rPr>
        <w:t>sobre procedimientos de adjudicación directa, invitación restringida y licitación de cualquier naturaleza</w:t>
      </w:r>
      <w:r>
        <w:rPr>
          <w:rFonts w:ascii="Palatino Linotype" w:eastAsia="Palatino Linotype" w:hAnsi="Palatino Linotype" w:cs="Palatino Linotype"/>
          <w:i/>
          <w:iCs/>
          <w:sz w:val="22"/>
          <w:szCs w:val="22"/>
          <w:u w:val="single"/>
        </w:rPr>
        <w:t xml:space="preserve">, </w:t>
      </w:r>
      <w:r>
        <w:rPr>
          <w:rFonts w:ascii="Palatino Linotype" w:eastAsia="Palatino Linotype" w:hAnsi="Palatino Linotype" w:cs="Palatino Linotype"/>
          <w:b/>
          <w:bCs/>
          <w:i/>
          <w:iCs/>
          <w:sz w:val="22"/>
          <w:szCs w:val="22"/>
        </w:rPr>
        <w:t>incluyendo la versión pública</w:t>
      </w:r>
      <w:r>
        <w:rPr>
          <w:rFonts w:ascii="Palatino Linotype" w:eastAsia="Palatino Linotype" w:hAnsi="Palatino Linotype" w:cs="Palatino Linotype"/>
          <w:i/>
          <w:iCs/>
          <w:sz w:val="22"/>
          <w:szCs w:val="22"/>
        </w:rPr>
        <w:t xml:space="preserve"> del expediente respectivo y </w:t>
      </w:r>
      <w:r>
        <w:rPr>
          <w:rFonts w:ascii="Palatino Linotype" w:eastAsia="Palatino Linotype" w:hAnsi="Palatino Linotype" w:cs="Palatino Linotype"/>
          <w:b/>
          <w:bCs/>
          <w:i/>
          <w:iCs/>
          <w:sz w:val="22"/>
          <w:szCs w:val="22"/>
        </w:rPr>
        <w:t>de los contratos celebrados</w:t>
      </w:r>
      <w:r>
        <w:rPr>
          <w:rFonts w:ascii="Palatino Linotype" w:eastAsia="Palatino Linotype" w:hAnsi="Palatino Linotype" w:cs="Palatino Linotype"/>
          <w:i/>
          <w:iCs/>
          <w:sz w:val="22"/>
          <w:szCs w:val="22"/>
        </w:rPr>
        <w:t>, que deberán contener, por los menos, lo siguiente:</w:t>
      </w:r>
    </w:p>
    <w:p w:rsidR="001408F8" w:rsidRDefault="00183356">
      <w:pPr>
        <w:tabs>
          <w:tab w:val="left" w:pos="426"/>
        </w:tabs>
        <w:spacing w:before="120" w:after="120"/>
        <w:ind w:left="1134"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 De licitaciones públicas o procedimientos de invitación restringida:</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1)</w:t>
      </w:r>
      <w:r>
        <w:rPr>
          <w:rFonts w:ascii="Palatino Linotype" w:eastAsia="Palatino Linotype" w:hAnsi="Palatino Linotype" w:cs="Palatino Linotype"/>
          <w:i/>
          <w:iCs/>
          <w:sz w:val="22"/>
          <w:szCs w:val="22"/>
        </w:rPr>
        <w:t xml:space="preserve"> La convocatoria o invitación emitida, así como los fundamentos legales aplicados para llevarla a cabo;</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2)</w:t>
      </w:r>
      <w:r>
        <w:rPr>
          <w:rFonts w:ascii="Palatino Linotype" w:eastAsia="Palatino Linotype" w:hAnsi="Palatino Linotype" w:cs="Palatino Linotype"/>
          <w:i/>
          <w:iCs/>
          <w:sz w:val="22"/>
          <w:szCs w:val="22"/>
        </w:rPr>
        <w:t xml:space="preserve"> Los nombres de los participantes o invitados;</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3)</w:t>
      </w:r>
      <w:r>
        <w:rPr>
          <w:rFonts w:ascii="Palatino Linotype" w:eastAsia="Palatino Linotype" w:hAnsi="Palatino Linotype" w:cs="Palatino Linotype"/>
          <w:i/>
          <w:iCs/>
          <w:sz w:val="22"/>
          <w:szCs w:val="22"/>
        </w:rPr>
        <w:t xml:space="preserve"> El nombre del ganador y las razones que lo justifican;</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4)</w:t>
      </w:r>
      <w:r>
        <w:rPr>
          <w:rFonts w:ascii="Palatino Linotype" w:eastAsia="Palatino Linotype" w:hAnsi="Palatino Linotype" w:cs="Palatino Linotype"/>
          <w:i/>
          <w:iCs/>
          <w:sz w:val="22"/>
          <w:szCs w:val="22"/>
        </w:rPr>
        <w:t xml:space="preserve"> El área solicitante y la responsable de su ejecución;</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5)</w:t>
      </w:r>
      <w:r>
        <w:rPr>
          <w:rFonts w:ascii="Palatino Linotype" w:eastAsia="Palatino Linotype" w:hAnsi="Palatino Linotype" w:cs="Palatino Linotype"/>
          <w:i/>
          <w:iCs/>
          <w:sz w:val="22"/>
          <w:szCs w:val="22"/>
        </w:rPr>
        <w:t xml:space="preserve"> Las convocatorias e invitaciones emitidas; </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6)</w:t>
      </w:r>
      <w:r>
        <w:rPr>
          <w:rFonts w:ascii="Palatino Linotype" w:eastAsia="Palatino Linotype" w:hAnsi="Palatino Linotype" w:cs="Palatino Linotype"/>
          <w:i/>
          <w:iCs/>
          <w:sz w:val="22"/>
          <w:szCs w:val="22"/>
        </w:rPr>
        <w:t xml:space="preserve"> Los dictámenes y fallo de adjudicación;</w:t>
      </w:r>
    </w:p>
    <w:p w:rsidR="001408F8" w:rsidRDefault="00183356">
      <w:pPr>
        <w:tabs>
          <w:tab w:val="left" w:pos="426"/>
        </w:tabs>
        <w:spacing w:before="120" w:after="120"/>
        <w:ind w:left="1134"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7) El contrato y, en su caso, sus anexos; </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8)</w:t>
      </w:r>
      <w:r>
        <w:rPr>
          <w:rFonts w:ascii="Palatino Linotype" w:eastAsia="Palatino Linotype" w:hAnsi="Palatino Linotype" w:cs="Palatino Linotype"/>
          <w:i/>
          <w:iCs/>
          <w:sz w:val="22"/>
          <w:szCs w:val="22"/>
        </w:rPr>
        <w:t xml:space="preserve"> Los mecanismos de vigilancia y supervisión, incluyendo en su caso, los estudios de impacto urbano y ambiental, según corresponda;</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9)</w:t>
      </w:r>
      <w:r>
        <w:rPr>
          <w:rFonts w:ascii="Palatino Linotype" w:eastAsia="Palatino Linotype" w:hAnsi="Palatino Linotype" w:cs="Palatino Linotype"/>
          <w:i/>
          <w:iCs/>
          <w:sz w:val="22"/>
          <w:szCs w:val="22"/>
        </w:rPr>
        <w:t xml:space="preserve"> La partida presupuestal</w:t>
      </w:r>
      <w:r>
        <w:rPr>
          <w:rFonts w:ascii="Palatino Linotype" w:eastAsia="Palatino Linotype" w:hAnsi="Palatino Linotype" w:cs="Palatino Linotype"/>
          <w:b/>
          <w:bCs/>
          <w:i/>
          <w:iCs/>
          <w:sz w:val="22"/>
          <w:szCs w:val="22"/>
        </w:rPr>
        <w:t xml:space="preserve">, </w:t>
      </w:r>
      <w:r>
        <w:rPr>
          <w:rFonts w:ascii="Palatino Linotype" w:eastAsia="Palatino Linotype" w:hAnsi="Palatino Linotype" w:cs="Palatino Linotype"/>
          <w:i/>
          <w:iCs/>
          <w:sz w:val="22"/>
          <w:szCs w:val="22"/>
        </w:rPr>
        <w:t xml:space="preserve">de conformidad con el clasificador por objeto del gasto, en el caso de ser aplicable; </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10)</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Origen de los recursos</w:t>
      </w:r>
      <w:r>
        <w:rPr>
          <w:rFonts w:ascii="Palatino Linotype" w:eastAsia="Palatino Linotype" w:hAnsi="Palatino Linotype" w:cs="Palatino Linotype"/>
          <w:i/>
          <w:iCs/>
          <w:sz w:val="22"/>
          <w:szCs w:val="22"/>
        </w:rPr>
        <w:t xml:space="preserve"> especificando si son federales, estatales o municipales, así como el tipo de fondo de participación o aportación respectiva;</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11)</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sz w:val="22"/>
          <w:szCs w:val="22"/>
        </w:rPr>
        <w:t>Los convenios modificatorio</w:t>
      </w:r>
      <w:r>
        <w:rPr>
          <w:rFonts w:ascii="Palatino Linotype" w:eastAsia="Palatino Linotype" w:hAnsi="Palatino Linotype" w:cs="Palatino Linotype"/>
          <w:sz w:val="22"/>
          <w:szCs w:val="22"/>
        </w:rPr>
        <w:t>s</w:t>
      </w:r>
      <w:r>
        <w:rPr>
          <w:rFonts w:ascii="Palatino Linotype" w:eastAsia="Palatino Linotype" w:hAnsi="Palatino Linotype" w:cs="Palatino Linotype"/>
          <w:i/>
          <w:iCs/>
          <w:sz w:val="22"/>
          <w:szCs w:val="22"/>
        </w:rPr>
        <w:t xml:space="preserve"> que, en su caso, sean firmados, precisando el objeto y la fecha de celebración;</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12)</w:t>
      </w:r>
      <w:r>
        <w:rPr>
          <w:rFonts w:ascii="Palatino Linotype" w:eastAsia="Palatino Linotype" w:hAnsi="Palatino Linotype" w:cs="Palatino Linotype"/>
          <w:i/>
          <w:iCs/>
          <w:sz w:val="22"/>
          <w:szCs w:val="22"/>
        </w:rPr>
        <w:t xml:space="preserve"> Los informes de avance físico y financiero sobre las obras o servicios contratados; </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13)</w:t>
      </w:r>
      <w:r>
        <w:rPr>
          <w:rFonts w:ascii="Palatino Linotype" w:eastAsia="Palatino Linotype" w:hAnsi="Palatino Linotype" w:cs="Palatino Linotype"/>
          <w:i/>
          <w:iCs/>
          <w:sz w:val="22"/>
          <w:szCs w:val="22"/>
        </w:rPr>
        <w:t xml:space="preserve"> El convenio de terminación; </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14)</w:t>
      </w:r>
      <w:r>
        <w:rPr>
          <w:rFonts w:ascii="Palatino Linotype" w:eastAsia="Palatino Linotype" w:hAnsi="Palatino Linotype" w:cs="Palatino Linotype"/>
          <w:i/>
          <w:iCs/>
          <w:sz w:val="22"/>
          <w:szCs w:val="22"/>
        </w:rPr>
        <w:t xml:space="preserve"> El finiquito.</w:t>
      </w:r>
    </w:p>
    <w:p w:rsidR="001408F8" w:rsidRDefault="00183356">
      <w:pPr>
        <w:tabs>
          <w:tab w:val="left" w:pos="426"/>
        </w:tabs>
        <w:spacing w:before="120" w:after="120"/>
        <w:ind w:left="1134"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b) De las adjudicaciones directas: </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1)</w:t>
      </w:r>
      <w:r>
        <w:rPr>
          <w:rFonts w:ascii="Palatino Linotype" w:eastAsia="Palatino Linotype" w:hAnsi="Palatino Linotype" w:cs="Palatino Linotype"/>
          <w:i/>
          <w:iCs/>
          <w:sz w:val="22"/>
          <w:szCs w:val="22"/>
        </w:rPr>
        <w:t xml:space="preserve"> La propuesta enviada por el participante; </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2)</w:t>
      </w:r>
      <w:r>
        <w:rPr>
          <w:rFonts w:ascii="Palatino Linotype" w:eastAsia="Palatino Linotype" w:hAnsi="Palatino Linotype" w:cs="Palatino Linotype"/>
          <w:i/>
          <w:iCs/>
          <w:sz w:val="22"/>
          <w:szCs w:val="22"/>
        </w:rPr>
        <w:t xml:space="preserve"> Los motivos y fundamentos legales aplicados para llevarla a cabo;</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3)</w:t>
      </w:r>
      <w:r>
        <w:rPr>
          <w:rFonts w:ascii="Palatino Linotype" w:eastAsia="Palatino Linotype" w:hAnsi="Palatino Linotype" w:cs="Palatino Linotype"/>
          <w:i/>
          <w:iCs/>
          <w:sz w:val="22"/>
          <w:szCs w:val="22"/>
        </w:rPr>
        <w:t xml:space="preserve"> La autorización del ejercicio de la opción; </w:t>
      </w:r>
    </w:p>
    <w:p w:rsidR="001408F8" w:rsidRDefault="00183356">
      <w:pPr>
        <w:tabs>
          <w:tab w:val="left" w:pos="426"/>
        </w:tabs>
        <w:spacing w:before="120" w:after="120"/>
        <w:ind w:left="1134"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4) </w:t>
      </w:r>
      <w:r>
        <w:rPr>
          <w:rFonts w:ascii="Palatino Linotype" w:eastAsia="Palatino Linotype" w:hAnsi="Palatino Linotype" w:cs="Palatino Linotype"/>
          <w:i/>
          <w:iCs/>
          <w:sz w:val="22"/>
          <w:szCs w:val="22"/>
        </w:rPr>
        <w:t>En su caso, las cotizaciones consideradas, especificando los nombres de los proveedores y sus montos;</w:t>
      </w:r>
      <w:r>
        <w:rPr>
          <w:rFonts w:ascii="Palatino Linotype" w:eastAsia="Palatino Linotype" w:hAnsi="Palatino Linotype" w:cs="Palatino Linotype"/>
          <w:b/>
          <w:bCs/>
          <w:i/>
          <w:iCs/>
          <w:sz w:val="22"/>
          <w:szCs w:val="22"/>
        </w:rPr>
        <w:t xml:space="preserve"> </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5)</w:t>
      </w:r>
      <w:r>
        <w:rPr>
          <w:rFonts w:ascii="Palatino Linotype" w:eastAsia="Palatino Linotype" w:hAnsi="Palatino Linotype" w:cs="Palatino Linotype"/>
          <w:i/>
          <w:iCs/>
          <w:sz w:val="22"/>
          <w:szCs w:val="22"/>
        </w:rPr>
        <w:t xml:space="preserve"> El nombre de la persona física o jurídica colectiva adjudicada; </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6)</w:t>
      </w:r>
      <w:r>
        <w:rPr>
          <w:rFonts w:ascii="Palatino Linotype" w:eastAsia="Palatino Linotype" w:hAnsi="Palatino Linotype" w:cs="Palatino Linotype"/>
          <w:i/>
          <w:iCs/>
          <w:sz w:val="22"/>
          <w:szCs w:val="22"/>
        </w:rPr>
        <w:t xml:space="preserve"> La unidad administrativa solicitante y la responsable de su ejecución; </w:t>
      </w:r>
    </w:p>
    <w:p w:rsidR="001408F8" w:rsidRDefault="00183356">
      <w:pPr>
        <w:tabs>
          <w:tab w:val="left" w:pos="426"/>
        </w:tabs>
        <w:spacing w:before="120" w:after="120"/>
        <w:ind w:left="1134"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7) El número, fecha, el monto del contrato y el plazo de entrega o de ejecución de los servicios u obra; </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8) </w:t>
      </w:r>
      <w:r>
        <w:rPr>
          <w:rFonts w:ascii="Palatino Linotype" w:eastAsia="Palatino Linotype" w:hAnsi="Palatino Linotype" w:cs="Palatino Linotype"/>
          <w:i/>
          <w:iCs/>
          <w:sz w:val="22"/>
          <w:szCs w:val="22"/>
        </w:rPr>
        <w:t xml:space="preserve">Los mecanismos de vigilancia y supervisión, incluyendo, en su caso, los estudios de impacto urbano y ambiental, según corresponda; </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9)</w:t>
      </w:r>
      <w:r>
        <w:rPr>
          <w:rFonts w:ascii="Palatino Linotype" w:eastAsia="Palatino Linotype" w:hAnsi="Palatino Linotype" w:cs="Palatino Linotype"/>
          <w:i/>
          <w:iCs/>
          <w:sz w:val="22"/>
          <w:szCs w:val="22"/>
        </w:rPr>
        <w:t xml:space="preserve"> Los informes de avance sobre las obras o servicios contratados; </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10)</w:t>
      </w:r>
      <w:r>
        <w:rPr>
          <w:rFonts w:ascii="Palatino Linotype" w:eastAsia="Palatino Linotype" w:hAnsi="Palatino Linotype" w:cs="Palatino Linotype"/>
          <w:i/>
          <w:iCs/>
          <w:sz w:val="22"/>
          <w:szCs w:val="22"/>
        </w:rPr>
        <w:t xml:space="preserve"> El convenio de terminación; y </w:t>
      </w:r>
    </w:p>
    <w:p w:rsidR="001408F8" w:rsidRDefault="00183356">
      <w:pPr>
        <w:tabs>
          <w:tab w:val="left" w:pos="426"/>
        </w:tabs>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11)</w:t>
      </w:r>
      <w:r>
        <w:rPr>
          <w:rFonts w:ascii="Palatino Linotype" w:eastAsia="Palatino Linotype" w:hAnsi="Palatino Linotype" w:cs="Palatino Linotype"/>
          <w:i/>
          <w:iCs/>
          <w:sz w:val="22"/>
          <w:szCs w:val="22"/>
        </w:rPr>
        <w:t xml:space="preserve"> El finiquito;”</w:t>
      </w:r>
    </w:p>
    <w:p w:rsidR="001408F8" w:rsidRDefault="00183356">
      <w:pPr>
        <w:numPr>
          <w:ilvl w:val="0"/>
          <w:numId w:val="3"/>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expuesto,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 xml:space="preserve">Licitación pública: </w:t>
      </w:r>
      <w:r>
        <w:rPr>
          <w:rFonts w:ascii="Palatino Linotype" w:eastAsia="Palatino Linotype" w:hAnsi="Palatino Linotype" w:cs="Palatino Linotype"/>
          <w:i/>
          <w:iCs/>
          <w:sz w:val="22"/>
          <w:szCs w:val="22"/>
        </w:rPr>
        <w:t>convocatoria y fundamentos legales aplicables para llevarla a cabo, nombre de los participantes, nombre del ganador y razones, área solicitante y responsable de su ejecución, convocatorias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 xml:space="preserve">Invitación restringida: </w:t>
      </w:r>
      <w:r>
        <w:rPr>
          <w:rFonts w:ascii="Palatino Linotype" w:eastAsia="Palatino Linotype" w:hAnsi="Palatino Linotype" w:cs="Palatino Linotype"/>
          <w:i/>
          <w:iCs/>
          <w:sz w:val="22"/>
          <w:szCs w:val="22"/>
        </w:rPr>
        <w:t xml:space="preserve">invitación emitida y fundamentos legales aplicables para llevarla a cabo, nombre de los o invitados, nombre del ganador y razones, área solicitante y responsable de su ejecución, invitaciones emitidas, </w:t>
      </w:r>
      <w:r>
        <w:rPr>
          <w:rFonts w:ascii="Palatino Linotype" w:eastAsia="Palatino Linotype" w:hAnsi="Palatino Linotype" w:cs="Palatino Linotype"/>
          <w:i/>
          <w:iCs/>
          <w:sz w:val="22"/>
          <w:szCs w:val="22"/>
        </w:rPr>
        <w:lastRenderedPageBreak/>
        <w:t>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rsidR="001408F8" w:rsidRDefault="00183356">
      <w:pPr>
        <w:spacing w:before="240" w:after="24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 xml:space="preserve">Adjudicaciones directas: </w:t>
      </w:r>
      <w:r>
        <w:rPr>
          <w:rFonts w:ascii="Palatino Linotype" w:eastAsia="Palatino Linotype" w:hAnsi="Palatino Linotype" w:cs="Palatino Linotype"/>
          <w:i/>
          <w:iCs/>
          <w:sz w:val="22"/>
          <w:szCs w:val="22"/>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rsidR="001408F8" w:rsidRDefault="00183356">
      <w:pPr>
        <w:numPr>
          <w:ilvl w:val="0"/>
          <w:numId w:val="3"/>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consiguiente y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para el cumplimiento de la obligación de transparencia señalada en el artículo 70  fracción XXVIII de la Ley General de Transparencia y Acceso a la Información Pública, vigentes a la fecha de la solicitud, los sujetos obligados deben publicar información sobre los actos, </w:t>
      </w:r>
      <w:r>
        <w:rPr>
          <w:rFonts w:ascii="Palatino Linotype" w:eastAsia="Palatino Linotype" w:hAnsi="Palatino Linotype" w:cs="Palatino Linotype"/>
          <w:b/>
          <w:bCs/>
          <w:i/>
          <w:iCs/>
          <w:color w:val="000000"/>
        </w:rPr>
        <w:t>contratos</w:t>
      </w:r>
      <w:r>
        <w:rPr>
          <w:rFonts w:ascii="Palatino Linotype" w:eastAsia="Palatino Linotype" w:hAnsi="Palatino Linotype" w:cs="Palatino Linotype"/>
          <w:i/>
          <w:iCs/>
          <w:color w:val="000000"/>
        </w:rPr>
        <w:t xml:space="preserve"> y convenios celebrados, misma que debe presentarse en una base de datos en la que cada registro se hará por tipo de procedimiento, ya sea licitación pública, invitación restringida o adjudicación directa, </w:t>
      </w:r>
      <w:r>
        <w:rPr>
          <w:rFonts w:ascii="Palatino Linotype" w:eastAsia="Palatino Linotype" w:hAnsi="Palatino Linotype" w:cs="Palatino Linotype"/>
          <w:color w:val="000000"/>
        </w:rPr>
        <w:t xml:space="preserve">especificando para cada tipo de procedimiento la materia, pudiendo ser obra pública, servicios relacionados con obra pública, arrendamiento, adquisiciones, o servicios, así como el carácter de cada uno, </w:t>
      </w:r>
      <w:r>
        <w:rPr>
          <w:rFonts w:ascii="Palatino Linotype" w:eastAsia="Palatino Linotype" w:hAnsi="Palatino Linotype" w:cs="Palatino Linotype"/>
          <w:color w:val="000000"/>
        </w:rPr>
        <w:lastRenderedPageBreak/>
        <w:t>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rsidR="001408F8" w:rsidRDefault="001408F8">
      <w:pPr>
        <w:spacing w:before="240" w:after="240" w:line="360" w:lineRule="auto"/>
        <w:jc w:val="both"/>
        <w:rPr>
          <w:rFonts w:ascii="Palatino Linotype" w:eastAsia="Palatino Linotype" w:hAnsi="Palatino Linotype" w:cs="Palatino Linotype"/>
          <w:sz w:val="22"/>
          <w:szCs w:val="22"/>
        </w:rPr>
      </w:pPr>
    </w:p>
    <w:p w:rsidR="001408F8" w:rsidRDefault="0018335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derivado de la información solicitada, también es necesario traer a contexto lo dispuesto en la Ley de la Contratación Pública del Estado de México y Municipios, la cual tiene por objeto regular los actos relativos a la planeación, programación, presupuestación, ejecución y control de </w:t>
      </w:r>
      <w:r>
        <w:rPr>
          <w:rFonts w:ascii="Palatino Linotype" w:eastAsia="Palatino Linotype" w:hAnsi="Palatino Linotype" w:cs="Palatino Linotype"/>
          <w:b/>
          <w:bCs/>
          <w:color w:val="000000"/>
        </w:rPr>
        <w:t>la adquisición</w:t>
      </w:r>
      <w:r>
        <w:rPr>
          <w:rFonts w:ascii="Palatino Linotype" w:eastAsia="Palatino Linotype" w:hAnsi="Palatino Linotype" w:cs="Palatino Linotype"/>
          <w:color w:val="000000"/>
        </w:rPr>
        <w:t xml:space="preserve">, enajenación y </w:t>
      </w:r>
      <w:r>
        <w:rPr>
          <w:rFonts w:ascii="Palatino Linotype" w:eastAsia="Palatino Linotype" w:hAnsi="Palatino Linotype" w:cs="Palatino Linotype"/>
          <w:b/>
          <w:bCs/>
          <w:color w:val="000000"/>
        </w:rPr>
        <w:t>arrendamiento de bienes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y la contratación de servicios de cualquier naturaleza</w:t>
      </w:r>
      <w:r>
        <w:rPr>
          <w:rFonts w:ascii="Palatino Linotype" w:eastAsia="Palatino Linotype" w:hAnsi="Palatino Linotype" w:cs="Palatino Linotype"/>
          <w:color w:val="000000"/>
        </w:rPr>
        <w:t>, que realicen los Ayuntamientos del Estado; los cuales se adjudicarán a través de licitaciones públicas, invitación restringida o adjudicación directa, mediante convocatoria pública, tal y como lo establecen los artículos 4, 26 y 27 de dicha Ley, los cuales son del tenor siguiente:</w:t>
      </w:r>
    </w:p>
    <w:p w:rsidR="001408F8" w:rsidRDefault="001408F8">
      <w:pPr>
        <w:jc w:val="both"/>
        <w:rPr>
          <w:rFonts w:ascii="Palatino Linotype" w:eastAsia="Palatino Linotype" w:hAnsi="Palatino Linotype" w:cs="Palatino Linotype"/>
          <w:sz w:val="22"/>
          <w:szCs w:val="22"/>
        </w:rPr>
      </w:pPr>
    </w:p>
    <w:p w:rsidR="001408F8" w:rsidRDefault="00183356">
      <w:pPr>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4.-</w:t>
      </w:r>
      <w:r>
        <w:rPr>
          <w:rFonts w:ascii="Palatino Linotype" w:eastAsia="Palatino Linotype" w:hAnsi="Palatino Linotype" w:cs="Palatino Linotype"/>
          <w:i/>
          <w:iCs/>
          <w:sz w:val="22"/>
          <w:szCs w:val="22"/>
        </w:rPr>
        <w:t xml:space="preserve"> Para los efectos de esta Ley, en las adquisiciones, enajenaciones, arrendamientos y servicios, quedan comprendidos: </w:t>
      </w:r>
    </w:p>
    <w:p w:rsidR="001408F8" w:rsidRDefault="00183356">
      <w:pPr>
        <w:ind w:left="1134" w:right="851"/>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I. La adquisición de bienes muebles. </w:t>
      </w:r>
    </w:p>
    <w:p w:rsidR="001408F8" w:rsidRDefault="00183356">
      <w:pPr>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 La adquisición de bienes inmuebles, a través de compraventa. </w:t>
      </w:r>
    </w:p>
    <w:p w:rsidR="001408F8" w:rsidRDefault="00183356">
      <w:pPr>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III. La enajenación de bienes muebles e inmuebles. </w:t>
      </w:r>
    </w:p>
    <w:p w:rsidR="001408F8" w:rsidRDefault="00183356">
      <w:pPr>
        <w:ind w:left="1134" w:right="851"/>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lastRenderedPageBreak/>
        <w:t xml:space="preserve">IV. El arrendamiento de bienes muebles e inmuebles. </w:t>
      </w:r>
    </w:p>
    <w:p w:rsidR="001408F8" w:rsidRDefault="00183356">
      <w:pPr>
        <w:ind w:left="1134" w:right="851"/>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V. La contratación de los servicios, relacionados con bienes muebles que se encuentran incorporados o adheridos a bienes inmuebles, cuya instalación o mantenimiento no implique modificación al bien inmueble. </w:t>
      </w:r>
    </w:p>
    <w:p w:rsidR="001408F8" w:rsidRDefault="00183356">
      <w:pPr>
        <w:ind w:left="1134" w:right="851"/>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VI. La contratación de los servicios de reconstrucción y mantenimiento de bienes muebles. </w:t>
      </w:r>
    </w:p>
    <w:p w:rsidR="001408F8" w:rsidRDefault="00183356">
      <w:pPr>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VII. La contratación de los servicios </w:t>
      </w:r>
      <w:r>
        <w:rPr>
          <w:rFonts w:ascii="Palatino Linotype" w:eastAsia="Palatino Linotype" w:hAnsi="Palatino Linotype" w:cs="Palatino Linotype"/>
          <w:i/>
          <w:iCs/>
          <w:sz w:val="22"/>
          <w:szCs w:val="22"/>
        </w:rPr>
        <w:t>de maquila, seguros y transportación, así como de los de limpieza y vigilancia de bienes inmuebles</w:t>
      </w:r>
    </w:p>
    <w:p w:rsidR="001408F8" w:rsidRDefault="00183356">
      <w:pPr>
        <w:ind w:left="1134" w:right="851"/>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VIII. La prestación de servicios profesionales, la contratación de consultorías, asesorías y estudios e investigaciones, excepto la contratación de servicios personales de personas físicas bajo el régimen de honorarios. </w:t>
      </w:r>
    </w:p>
    <w:p w:rsidR="001408F8" w:rsidRDefault="00183356">
      <w:pPr>
        <w:ind w:left="1134" w:right="851"/>
        <w:jc w:val="both"/>
        <w:rPr>
          <w:rFonts w:ascii="Palatino Linotype" w:eastAsia="Palatino Linotype" w:hAnsi="Palatino Linotype" w:cs="Palatino Linotype"/>
          <w:b/>
          <w:bCs/>
          <w:i/>
          <w:iCs/>
          <w:sz w:val="22"/>
          <w:szCs w:val="22"/>
          <w:u w:val="single"/>
        </w:rPr>
      </w:pPr>
      <w:r>
        <w:rPr>
          <w:rFonts w:ascii="Palatino Linotype" w:eastAsia="Palatino Linotype" w:hAnsi="Palatino Linotype" w:cs="Palatino Linotype"/>
          <w:b/>
          <w:bCs/>
          <w:i/>
          <w:iCs/>
          <w:sz w:val="22"/>
          <w:szCs w:val="22"/>
          <w:u w:val="single"/>
        </w:rPr>
        <w:t>En general, otros actos que impliquen la contratación de servicios de cualquier naturaleza.</w:t>
      </w:r>
    </w:p>
    <w:p w:rsidR="001408F8" w:rsidRDefault="00183356">
      <w:pPr>
        <w:ind w:left="1134" w:right="851"/>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Artículo 26.- Las adquisiciones, arrendamientos y servicios se adjudicarán a través de licitaciones públicas, mediante convocatoria pública.</w:t>
      </w:r>
    </w:p>
    <w:p w:rsidR="001408F8" w:rsidRDefault="001408F8">
      <w:pPr>
        <w:ind w:left="1134" w:right="851"/>
        <w:jc w:val="both"/>
        <w:rPr>
          <w:rFonts w:ascii="Palatino Linotype" w:eastAsia="Palatino Linotype" w:hAnsi="Palatino Linotype" w:cs="Palatino Linotype"/>
          <w:b/>
          <w:bCs/>
          <w:i/>
          <w:iCs/>
          <w:sz w:val="22"/>
          <w:szCs w:val="22"/>
        </w:rPr>
      </w:pPr>
    </w:p>
    <w:p w:rsidR="001408F8" w:rsidRDefault="00183356">
      <w:pPr>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Artículo 27.- </w:t>
      </w:r>
      <w:r>
        <w:rPr>
          <w:rFonts w:ascii="Palatino Linotype" w:eastAsia="Palatino Linotype" w:hAnsi="Palatino Linotype" w:cs="Palatino Linotype"/>
          <w:i/>
          <w:iCs/>
          <w:sz w:val="22"/>
          <w:szCs w:val="22"/>
        </w:rPr>
        <w:t xml:space="preserve">La Secretaría, las entidades, los tribunales administrativos y los ayuntamientos podrán adjudicar adquisiciones, arrendamientos y servicios, mediante las excepciones al procedimiento de licitación que a continuación se señalan: </w:t>
      </w:r>
    </w:p>
    <w:p w:rsidR="001408F8" w:rsidRDefault="00183356">
      <w:pPr>
        <w:ind w:left="1134" w:right="851"/>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I. Invitación restringida. </w:t>
      </w:r>
    </w:p>
    <w:p w:rsidR="001408F8" w:rsidRDefault="00183356">
      <w:pPr>
        <w:ind w:left="1134" w:right="851"/>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II. Adjudicación directa.”</w:t>
      </w:r>
    </w:p>
    <w:p w:rsidR="001408F8" w:rsidRDefault="00183356">
      <w:pPr>
        <w:ind w:left="567" w:right="567"/>
        <w:jc w:val="right"/>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(Énfasis añadido) </w:t>
      </w:r>
    </w:p>
    <w:p w:rsidR="001408F8" w:rsidRDefault="001408F8">
      <w:pPr>
        <w:spacing w:line="360" w:lineRule="auto"/>
        <w:jc w:val="both"/>
        <w:rPr>
          <w:rFonts w:ascii="Palatino Linotype" w:eastAsia="Palatino Linotype" w:hAnsi="Palatino Linotype" w:cs="Palatino Linotype"/>
          <w:sz w:val="22"/>
          <w:szCs w:val="22"/>
        </w:rPr>
      </w:pPr>
    </w:p>
    <w:p w:rsidR="001408F8" w:rsidRDefault="00183356">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1408F8" w:rsidRDefault="001408F8">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1408F8" w:rsidRDefault="0018335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1408F8" w:rsidRDefault="001408F8">
      <w:pPr>
        <w:pBdr>
          <w:top w:val="nil"/>
          <w:left w:val="nil"/>
          <w:bottom w:val="nil"/>
          <w:right w:val="nil"/>
          <w:between w:val="nil"/>
        </w:pBdr>
        <w:rPr>
          <w:rFonts w:ascii="Palatino Linotype" w:eastAsia="Palatino Linotype" w:hAnsi="Palatino Linotype" w:cs="Palatino Linotype"/>
          <w:color w:val="000000"/>
          <w:sz w:val="22"/>
          <w:szCs w:val="22"/>
        </w:rPr>
      </w:pPr>
    </w:p>
    <w:p w:rsidR="001408F8" w:rsidRDefault="0018335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en las licitaciones se debe seguir el procedimiento marcado en el artículo 35 del precitado ordenamiento, que literalmente establece:</w:t>
      </w:r>
    </w:p>
    <w:p w:rsidR="001408F8" w:rsidRDefault="001408F8">
      <w:pPr>
        <w:jc w:val="both"/>
        <w:rPr>
          <w:rFonts w:ascii="Palatino Linotype" w:eastAsia="Palatino Linotype" w:hAnsi="Palatino Linotype" w:cs="Palatino Linotype"/>
          <w:sz w:val="22"/>
          <w:szCs w:val="22"/>
        </w:rPr>
      </w:pPr>
    </w:p>
    <w:p w:rsidR="001408F8" w:rsidRDefault="00183356">
      <w:pPr>
        <w:spacing w:line="360" w:lineRule="auto"/>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35</w:t>
      </w:r>
      <w:r>
        <w:rPr>
          <w:rFonts w:ascii="Palatino Linotype" w:eastAsia="Palatino Linotype" w:hAnsi="Palatino Linotype" w:cs="Palatino Linotype"/>
          <w:i/>
          <w:iCs/>
          <w:sz w:val="22"/>
          <w:szCs w:val="22"/>
        </w:rPr>
        <w:t>.- En los procedimientos de licitación pública se observará lo siguiente:</w:t>
      </w:r>
    </w:p>
    <w:p w:rsidR="001408F8" w:rsidRDefault="00183356">
      <w:pPr>
        <w:spacing w:line="360" w:lineRule="auto"/>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 El acto de presentación y apertura de propuestas se llevará a cabo por el servidor público que designe la convocante, conforme al procedimiento que se establezca en el reglamento de esta Ley.</w:t>
      </w:r>
    </w:p>
    <w:p w:rsidR="001408F8" w:rsidRDefault="00183356">
      <w:pPr>
        <w:spacing w:line="360" w:lineRule="auto"/>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II. El comité de adquisiciones y servicios evaluará y analizará las propuestas técnicas y económicas presentadas por los licitantes en el ámbito de las respectivas competencias de sus integrantes, y emitirá el dictamen de adjudicación.</w:t>
      </w:r>
    </w:p>
    <w:p w:rsidR="001408F8" w:rsidRDefault="00183356">
      <w:pPr>
        <w:spacing w:line="360" w:lineRule="auto"/>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III. Las bases de licitación se pondrán a la venta a partir de la fecha de publicación de la convocatoria y hasta el día hábil anterior a la fecha de celebración </w:t>
      </w:r>
      <w:r>
        <w:rPr>
          <w:rFonts w:ascii="Palatino Linotype" w:eastAsia="Palatino Linotype" w:hAnsi="Palatino Linotype" w:cs="Palatino Linotype"/>
          <w:b/>
          <w:bCs/>
          <w:i/>
          <w:iCs/>
          <w:sz w:val="22"/>
          <w:szCs w:val="22"/>
        </w:rPr>
        <w:t>de la junta de aclaraciones</w:t>
      </w:r>
      <w:r>
        <w:rPr>
          <w:rFonts w:ascii="Palatino Linotype" w:eastAsia="Palatino Linotype" w:hAnsi="Palatino Linotype" w:cs="Palatino Linotype"/>
          <w:i/>
          <w:iCs/>
          <w:sz w:val="22"/>
          <w:szCs w:val="22"/>
        </w:rPr>
        <w:t xml:space="preserve"> o, en su defecto, del acto de presentación y apertura de propuestas.</w:t>
      </w:r>
    </w:p>
    <w:p w:rsidR="001408F8" w:rsidRDefault="00183356">
      <w:pPr>
        <w:spacing w:line="360" w:lineRule="auto"/>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IV. Las convocantes podrán modificar los plazos y términos establecidos en la convocatoria o en las bases de licitación, hasta cinco días hábiles anteriores a la fecha de la celebración del acto de presentación y apertura de propuestas.</w:t>
      </w:r>
    </w:p>
    <w:p w:rsidR="001408F8" w:rsidRDefault="00183356">
      <w:pPr>
        <w:spacing w:line="360" w:lineRule="auto"/>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 Las modificaciones no podrán limitar el número de licitantes, sustituir o variar sustancialmente los bienes o servicios convocados originalmente, ni adicionar otros  distintos.</w:t>
      </w:r>
    </w:p>
    <w:p w:rsidR="001408F8" w:rsidRDefault="00183356">
      <w:pPr>
        <w:spacing w:line="360" w:lineRule="auto"/>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VI. Las modificaciones a la convocatoria o a las bases se harán del conocimiento de los interesados hasta tres días hábiles antes de la fecha señalada para el acto de presentación y apertura de propuestas.</w:t>
      </w:r>
    </w:p>
    <w:p w:rsidR="001408F8" w:rsidRDefault="00183356">
      <w:pPr>
        <w:spacing w:line="360" w:lineRule="auto"/>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VII. Se emitirá el fallo dentro de los 15 días hábiles siguientes a la publicación de la convocatoria.</w:t>
      </w:r>
    </w:p>
    <w:p w:rsidR="001408F8" w:rsidRDefault="00183356">
      <w:pPr>
        <w:spacing w:line="360" w:lineRule="auto"/>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VIII. Los licitantes se podrán registrar hasta el día y la hora fijados para el acto de presentación y apertura de propuestas.</w:t>
      </w:r>
      <w:r>
        <w:rPr>
          <w:rFonts w:ascii="Palatino Linotype" w:eastAsia="Palatino Linotype" w:hAnsi="Palatino Linotype" w:cs="Palatino Linotype"/>
          <w:b/>
          <w:bCs/>
          <w:i/>
          <w:iCs/>
          <w:sz w:val="22"/>
          <w:szCs w:val="22"/>
        </w:rPr>
        <w:t>”</w:t>
      </w:r>
    </w:p>
    <w:p w:rsidR="001408F8" w:rsidRDefault="00183356">
      <w:pPr>
        <w:spacing w:line="360" w:lineRule="auto"/>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(Énfasis añadido)</w:t>
      </w:r>
    </w:p>
    <w:p w:rsidR="001408F8" w:rsidRDefault="001408F8">
      <w:pPr>
        <w:spacing w:line="360" w:lineRule="auto"/>
        <w:ind w:left="567" w:right="567"/>
        <w:jc w:val="both"/>
        <w:rPr>
          <w:rFonts w:ascii="Palatino Linotype" w:eastAsia="Palatino Linotype" w:hAnsi="Palatino Linotype" w:cs="Palatino Linotype"/>
          <w:i/>
          <w:iCs/>
          <w:sz w:val="22"/>
          <w:szCs w:val="22"/>
        </w:rPr>
      </w:pPr>
    </w:p>
    <w:p w:rsidR="001408F8" w:rsidRDefault="0018335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1408F8" w:rsidRDefault="001408F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408F8" w:rsidRDefault="0018335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Además, respecto al dictamen y el fallo de la adjudicación, es de señalar que la Ley en mención indica lo siguiente:</w:t>
      </w:r>
    </w:p>
    <w:p w:rsidR="001408F8" w:rsidRDefault="001408F8">
      <w:pPr>
        <w:jc w:val="both"/>
        <w:rPr>
          <w:rFonts w:ascii="Palatino Linotype" w:eastAsia="Palatino Linotype" w:hAnsi="Palatino Linotype" w:cs="Palatino Linotype"/>
          <w:sz w:val="22"/>
          <w:szCs w:val="22"/>
        </w:rPr>
      </w:pPr>
    </w:p>
    <w:p w:rsidR="001408F8" w:rsidRDefault="00183356">
      <w:pPr>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37.-</w:t>
      </w:r>
      <w:r>
        <w:rPr>
          <w:rFonts w:ascii="Palatino Linotype" w:eastAsia="Palatino Linotype" w:hAnsi="Palatino Linotype" w:cs="Palatino Linotype"/>
          <w:i/>
          <w:iCs/>
          <w:sz w:val="22"/>
          <w:szCs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1408F8" w:rsidRDefault="001408F8">
      <w:pPr>
        <w:ind w:left="1134" w:right="851"/>
        <w:jc w:val="both"/>
        <w:rPr>
          <w:rFonts w:ascii="Palatino Linotype" w:eastAsia="Palatino Linotype" w:hAnsi="Palatino Linotype" w:cs="Palatino Linotype"/>
          <w:b/>
          <w:bCs/>
          <w:i/>
          <w:iCs/>
          <w:sz w:val="22"/>
          <w:szCs w:val="22"/>
        </w:rPr>
      </w:pPr>
    </w:p>
    <w:p w:rsidR="001408F8" w:rsidRDefault="00183356">
      <w:pPr>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38.-</w:t>
      </w:r>
      <w:r>
        <w:rPr>
          <w:rFonts w:ascii="Palatino Linotype" w:eastAsia="Palatino Linotype" w:hAnsi="Palatino Linotype" w:cs="Palatino Linotype"/>
          <w:i/>
          <w:iCs/>
          <w:sz w:val="22"/>
          <w:szCs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1408F8" w:rsidRDefault="00183356">
      <w:pPr>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Pr>
          <w:rFonts w:ascii="Palatino Linotype" w:eastAsia="Palatino Linotype" w:hAnsi="Palatino Linotype" w:cs="Palatino Linotype"/>
          <w:b/>
          <w:bCs/>
          <w:i/>
          <w:iCs/>
          <w:sz w:val="22"/>
          <w:szCs w:val="22"/>
        </w:rPr>
        <w:t>”</w:t>
      </w:r>
      <w:r>
        <w:rPr>
          <w:rFonts w:ascii="Palatino Linotype" w:eastAsia="Palatino Linotype" w:hAnsi="Palatino Linotype" w:cs="Palatino Linotype"/>
          <w:i/>
          <w:iCs/>
          <w:sz w:val="22"/>
          <w:szCs w:val="22"/>
        </w:rPr>
        <w:t xml:space="preserve"> </w:t>
      </w:r>
    </w:p>
    <w:p w:rsidR="001408F8" w:rsidRDefault="001408F8">
      <w:pPr>
        <w:spacing w:line="360" w:lineRule="auto"/>
        <w:ind w:left="567" w:right="567"/>
        <w:jc w:val="both"/>
        <w:rPr>
          <w:rFonts w:ascii="Palatino Linotype" w:eastAsia="Palatino Linotype" w:hAnsi="Palatino Linotype" w:cs="Palatino Linotype"/>
          <w:i/>
          <w:iCs/>
          <w:sz w:val="22"/>
          <w:szCs w:val="22"/>
        </w:rPr>
      </w:pPr>
    </w:p>
    <w:p w:rsidR="001408F8" w:rsidRDefault="0018335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rsidR="001408F8" w:rsidRDefault="001408F8">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1408F8" w:rsidRDefault="0018335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es oportuno señalar que, las disposiciones respecto a las bases, dictámenes, fallos y fianzas, se realizan con similitud al procedimiento de licitación pública, tal como lo señalan los artículos 46 y 90 de la misma Ley, que literalmente establecen:</w:t>
      </w:r>
    </w:p>
    <w:p w:rsidR="001408F8" w:rsidRDefault="001408F8">
      <w:pPr>
        <w:spacing w:line="360" w:lineRule="auto"/>
        <w:jc w:val="both"/>
        <w:rPr>
          <w:rFonts w:ascii="Palatino Linotype" w:eastAsia="Palatino Linotype" w:hAnsi="Palatino Linotype" w:cs="Palatino Linotype"/>
          <w:sz w:val="22"/>
          <w:szCs w:val="22"/>
        </w:rPr>
      </w:pPr>
    </w:p>
    <w:p w:rsidR="001408F8" w:rsidRDefault="00183356">
      <w:pPr>
        <w:tabs>
          <w:tab w:val="left" w:pos="7938"/>
        </w:tabs>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46.-</w:t>
      </w:r>
      <w:r>
        <w:rPr>
          <w:rFonts w:ascii="Palatino Linotype" w:eastAsia="Palatino Linotype" w:hAnsi="Palatino Linotype" w:cs="Palatino Linotype"/>
          <w:i/>
          <w:iCs/>
          <w:sz w:val="22"/>
          <w:szCs w:val="22"/>
        </w:rPr>
        <w:t xml:space="preserve"> El procedimiento de invitación restringida se desarrollará en los términos de la licitación pública, a excepción de la publicación de la convocatoria.” (Sic)</w:t>
      </w:r>
    </w:p>
    <w:p w:rsidR="001408F8" w:rsidRDefault="00183356">
      <w:pPr>
        <w:tabs>
          <w:tab w:val="left" w:pos="7938"/>
        </w:tabs>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Por ello, el Reglamento de la Ley en comento, en su artículo 90, indica cuales son los supuestos que deberán observarse para llevar a cabo dicho procedimiento:</w:t>
      </w:r>
    </w:p>
    <w:p w:rsidR="001408F8" w:rsidRDefault="001408F8">
      <w:pPr>
        <w:tabs>
          <w:tab w:val="left" w:pos="7938"/>
        </w:tabs>
        <w:ind w:left="1134" w:right="851"/>
        <w:jc w:val="both"/>
        <w:rPr>
          <w:rFonts w:ascii="Palatino Linotype" w:eastAsia="Palatino Linotype" w:hAnsi="Palatino Linotype" w:cs="Palatino Linotype"/>
          <w:b/>
          <w:bCs/>
          <w:i/>
          <w:iCs/>
          <w:sz w:val="22"/>
          <w:szCs w:val="22"/>
        </w:rPr>
      </w:pPr>
    </w:p>
    <w:p w:rsidR="001408F8" w:rsidRDefault="00183356">
      <w:pPr>
        <w:tabs>
          <w:tab w:val="left" w:pos="7938"/>
        </w:tabs>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90.-</w:t>
      </w:r>
      <w:r>
        <w:rPr>
          <w:rFonts w:ascii="Palatino Linotype" w:eastAsia="Palatino Linotype" w:hAnsi="Palatino Linotype" w:cs="Palatino Linotype"/>
          <w:i/>
          <w:iCs/>
          <w:sz w:val="22"/>
          <w:szCs w:val="22"/>
        </w:rPr>
        <w:t xml:space="preserve"> En el procedimiento de invitación restringida se deberá observar lo siguiente:</w:t>
      </w:r>
    </w:p>
    <w:p w:rsidR="001408F8" w:rsidRDefault="001408F8">
      <w:pPr>
        <w:tabs>
          <w:tab w:val="left" w:pos="7938"/>
        </w:tabs>
        <w:ind w:left="1134" w:right="851"/>
        <w:jc w:val="both"/>
        <w:rPr>
          <w:rFonts w:ascii="Palatino Linotype" w:eastAsia="Palatino Linotype" w:hAnsi="Palatino Linotype" w:cs="Palatino Linotype"/>
          <w:i/>
          <w:iCs/>
          <w:sz w:val="22"/>
          <w:szCs w:val="22"/>
        </w:rPr>
      </w:pPr>
    </w:p>
    <w:p w:rsidR="001408F8" w:rsidRDefault="00183356">
      <w:pPr>
        <w:tabs>
          <w:tab w:val="left" w:pos="7938"/>
        </w:tabs>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 Se invitará a un mínimo de tres personas seleccionadas de entre las que se encuentren inscritas en el catálogo de proveedores y de prestadores de servicios.</w:t>
      </w:r>
    </w:p>
    <w:p w:rsidR="001408F8" w:rsidRDefault="00183356">
      <w:pPr>
        <w:tabs>
          <w:tab w:val="left" w:pos="7938"/>
        </w:tabs>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Se podrá invitar a personas que no se encuentren inscritas, cuando en el giro correspondiente del catálogo de proveedores y prestadores de servicios no exista el registro mínimo de personas requeridas para tal modalidad;</w:t>
      </w:r>
    </w:p>
    <w:p w:rsidR="001408F8" w:rsidRDefault="00183356">
      <w:pPr>
        <w:tabs>
          <w:tab w:val="left" w:pos="7938"/>
        </w:tabs>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II. Las bases de la invitación restringida indicarán los aspectos de la adquisición o contratación; y</w:t>
      </w:r>
    </w:p>
    <w:p w:rsidR="001408F8" w:rsidRDefault="00183356">
      <w:pPr>
        <w:tabs>
          <w:tab w:val="left" w:pos="7938"/>
        </w:tabs>
        <w:ind w:left="1134" w:right="851"/>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i/>
          <w:iCs/>
          <w:sz w:val="22"/>
          <w:szCs w:val="22"/>
        </w:rPr>
        <w:t>III. Serán aplicables, en lo conducente, las disposiciones de la licitación pública.</w:t>
      </w:r>
      <w:r>
        <w:rPr>
          <w:rFonts w:ascii="Palatino Linotype" w:eastAsia="Palatino Linotype" w:hAnsi="Palatino Linotype" w:cs="Palatino Linotype"/>
          <w:b/>
          <w:bCs/>
          <w:i/>
          <w:iCs/>
          <w:sz w:val="22"/>
          <w:szCs w:val="22"/>
        </w:rPr>
        <w:t>”</w:t>
      </w:r>
    </w:p>
    <w:p w:rsidR="001408F8" w:rsidRDefault="001408F8">
      <w:pPr>
        <w:tabs>
          <w:tab w:val="left" w:pos="7938"/>
        </w:tabs>
        <w:ind w:left="1134" w:right="851"/>
        <w:jc w:val="both"/>
        <w:rPr>
          <w:rFonts w:ascii="Palatino Linotype" w:eastAsia="Palatino Linotype" w:hAnsi="Palatino Linotype" w:cs="Palatino Linotype"/>
          <w:i/>
          <w:iCs/>
          <w:sz w:val="22"/>
          <w:szCs w:val="22"/>
        </w:rPr>
      </w:pPr>
    </w:p>
    <w:p w:rsidR="001408F8" w:rsidRDefault="0018335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conclusión, referente a este punto cuando los procedimientos de adquisición o prestación de servicios materia de la Ley en cita, se hubieran llevado a cabo mediante invitación restringida, por cada procedimiento se debe contar con las </w:t>
      </w:r>
      <w:r>
        <w:rPr>
          <w:rFonts w:ascii="Palatino Linotype" w:eastAsia="Palatino Linotype" w:hAnsi="Palatino Linotype" w:cs="Palatino Linotype"/>
          <w:color w:val="000000"/>
        </w:rPr>
        <w:lastRenderedPageBreak/>
        <w:t>bases, dictámenes, fallos y en su caso, fianzas, de haber sido esta la garantía exhibida.</w:t>
      </w:r>
    </w:p>
    <w:p w:rsidR="001408F8" w:rsidRDefault="001408F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408F8" w:rsidRDefault="0018335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último, y en cuanto hace a la adjudicación directa, el artículo 48 de la Ley de la Contratación Pública del Estado de México y Municipios y 91 del Reglamento de dicha Ley, indican en qué supuestos puede llevarse a cabo este procedimiento.</w:t>
      </w:r>
    </w:p>
    <w:p w:rsidR="001408F8" w:rsidRDefault="001408F8">
      <w:pPr>
        <w:pBdr>
          <w:top w:val="nil"/>
          <w:left w:val="nil"/>
          <w:bottom w:val="nil"/>
          <w:right w:val="nil"/>
          <w:between w:val="nil"/>
        </w:pBdr>
        <w:rPr>
          <w:rFonts w:ascii="Palatino Linotype" w:eastAsia="Palatino Linotype" w:hAnsi="Palatino Linotype" w:cs="Palatino Linotype"/>
          <w:color w:val="000000"/>
        </w:rPr>
      </w:pPr>
    </w:p>
    <w:p w:rsidR="001408F8" w:rsidRDefault="0018335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1408F8" w:rsidRDefault="001408F8">
      <w:pPr>
        <w:pBdr>
          <w:top w:val="nil"/>
          <w:left w:val="nil"/>
          <w:bottom w:val="nil"/>
          <w:right w:val="nil"/>
          <w:between w:val="nil"/>
        </w:pBdr>
        <w:rPr>
          <w:rFonts w:ascii="Palatino Linotype" w:eastAsia="Palatino Linotype" w:hAnsi="Palatino Linotype" w:cs="Palatino Linotype"/>
          <w:color w:val="000000"/>
        </w:rPr>
      </w:pPr>
    </w:p>
    <w:p w:rsidR="001408F8" w:rsidRDefault="0018335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sentido, debe decirse que lo relativo a las información solicitada,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1408F8" w:rsidRDefault="001408F8">
      <w:pPr>
        <w:jc w:val="both"/>
        <w:rPr>
          <w:rFonts w:ascii="Palatino Linotype" w:eastAsia="Palatino Linotype" w:hAnsi="Palatino Linotype" w:cs="Palatino Linotype"/>
          <w:sz w:val="22"/>
          <w:szCs w:val="22"/>
        </w:rPr>
      </w:pPr>
    </w:p>
    <w:p w:rsidR="001408F8" w:rsidRDefault="00183356">
      <w:pPr>
        <w:tabs>
          <w:tab w:val="left" w:pos="8080"/>
        </w:tabs>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lastRenderedPageBreak/>
        <w:t>“Artículo 92. </w:t>
      </w:r>
      <w:r>
        <w:rPr>
          <w:rFonts w:ascii="Palatino Linotype" w:eastAsia="Palatino Linotype" w:hAnsi="Palatino Linotype" w:cs="Palatino Linotype"/>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408F8" w:rsidRDefault="00183356">
      <w:pPr>
        <w:tabs>
          <w:tab w:val="left" w:pos="8080"/>
        </w:tabs>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w:t>
      </w:r>
    </w:p>
    <w:p w:rsidR="001408F8" w:rsidRDefault="001408F8">
      <w:pPr>
        <w:spacing w:line="360" w:lineRule="auto"/>
        <w:ind w:left="851" w:right="822"/>
        <w:jc w:val="both"/>
        <w:rPr>
          <w:rFonts w:ascii="Palatino Linotype" w:eastAsia="Palatino Linotype" w:hAnsi="Palatino Linotype" w:cs="Palatino Linotype"/>
          <w:b/>
          <w:bCs/>
          <w:i/>
          <w:iCs/>
          <w:sz w:val="22"/>
          <w:szCs w:val="22"/>
        </w:rPr>
      </w:pP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XXIX. </w:t>
      </w:r>
      <w:r>
        <w:rPr>
          <w:rFonts w:ascii="Palatino Linotype" w:eastAsia="Palatino Linotype" w:hAnsi="Palatino Linotype" w:cs="Palatino Linotype"/>
          <w:i/>
          <w:iCs/>
          <w:sz w:val="22"/>
          <w:szCs w:val="22"/>
        </w:rPr>
        <w:t>La información sobre los procesos y resultados sobre procedimientos de adjudicación directa, invitación restringida y licitación de cualquier naturaleza, </w:t>
      </w:r>
      <w:r>
        <w:rPr>
          <w:rFonts w:ascii="Palatino Linotype" w:eastAsia="Palatino Linotype" w:hAnsi="Palatino Linotype" w:cs="Palatino Linotype"/>
          <w:b/>
          <w:bCs/>
          <w:i/>
          <w:iCs/>
          <w:sz w:val="22"/>
          <w:szCs w:val="22"/>
        </w:rPr>
        <w:t>incluyendo la versión pública del expediente respectivo y de los contratos</w:t>
      </w:r>
      <w:r>
        <w:rPr>
          <w:rFonts w:ascii="Palatino Linotype" w:eastAsia="Palatino Linotype" w:hAnsi="Palatino Linotype" w:cs="Palatino Linotype"/>
          <w:i/>
          <w:iCs/>
          <w:sz w:val="22"/>
          <w:szCs w:val="22"/>
        </w:rPr>
        <w:t> celebrados, que deberán contener, por los menos, lo siguiente:</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a) </w:t>
      </w:r>
      <w:r>
        <w:rPr>
          <w:rFonts w:ascii="Palatino Linotype" w:eastAsia="Palatino Linotype" w:hAnsi="Palatino Linotype" w:cs="Palatino Linotype"/>
          <w:i/>
          <w:iCs/>
          <w:sz w:val="22"/>
          <w:szCs w:val="22"/>
        </w:rPr>
        <w:t>De licitaciones públicas o procedimientos de invitación restringida:</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1)</w:t>
      </w:r>
      <w:r>
        <w:rPr>
          <w:rFonts w:ascii="Palatino Linotype" w:eastAsia="Palatino Linotype" w:hAnsi="Palatino Linotype" w:cs="Palatino Linotype"/>
          <w:i/>
          <w:iCs/>
          <w:sz w:val="22"/>
          <w:szCs w:val="22"/>
        </w:rPr>
        <w:t> La convocatoria o invitación emitida, así como los fundamentos legales aplicados para llevarla a cabo;</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2) </w:t>
      </w:r>
      <w:r>
        <w:rPr>
          <w:rFonts w:ascii="Palatino Linotype" w:eastAsia="Palatino Linotype" w:hAnsi="Palatino Linotype" w:cs="Palatino Linotype"/>
          <w:i/>
          <w:iCs/>
          <w:sz w:val="22"/>
          <w:szCs w:val="22"/>
        </w:rPr>
        <w:t>Los nombres de los participantes o invitados;</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3)</w:t>
      </w:r>
      <w:r>
        <w:rPr>
          <w:rFonts w:ascii="Palatino Linotype" w:eastAsia="Palatino Linotype" w:hAnsi="Palatino Linotype" w:cs="Palatino Linotype"/>
          <w:i/>
          <w:iCs/>
          <w:sz w:val="22"/>
          <w:szCs w:val="22"/>
        </w:rPr>
        <w:t> El nombre del ganador y las razones que lo justifican;</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4) </w:t>
      </w:r>
      <w:r>
        <w:rPr>
          <w:rFonts w:ascii="Palatino Linotype" w:eastAsia="Palatino Linotype" w:hAnsi="Palatino Linotype" w:cs="Palatino Linotype"/>
          <w:i/>
          <w:iCs/>
          <w:sz w:val="22"/>
          <w:szCs w:val="22"/>
        </w:rPr>
        <w:t>El área solicitante y la responsable de su ejecución;</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5) </w:t>
      </w:r>
      <w:r>
        <w:rPr>
          <w:rFonts w:ascii="Palatino Linotype" w:eastAsia="Palatino Linotype" w:hAnsi="Palatino Linotype" w:cs="Palatino Linotype"/>
          <w:i/>
          <w:iCs/>
          <w:sz w:val="22"/>
          <w:szCs w:val="22"/>
        </w:rPr>
        <w:t>Las convocatorias e invitaciones emitidas;</w:t>
      </w:r>
    </w:p>
    <w:p w:rsidR="001408F8" w:rsidRDefault="00183356">
      <w:pPr>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6) Los dictámenes y fallo de adjudicación;</w:t>
      </w:r>
    </w:p>
    <w:p w:rsidR="001408F8" w:rsidRDefault="00183356">
      <w:pPr>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7</w:t>
      </w:r>
      <w:r>
        <w:rPr>
          <w:rFonts w:ascii="Palatino Linotype" w:eastAsia="Palatino Linotype" w:hAnsi="Palatino Linotype" w:cs="Palatino Linotype"/>
          <w:b/>
          <w:bCs/>
          <w:i/>
          <w:iCs/>
          <w:sz w:val="22"/>
          <w:szCs w:val="22"/>
        </w:rPr>
        <w:t>) </w:t>
      </w:r>
      <w:r>
        <w:rPr>
          <w:rFonts w:ascii="Palatino Linotype" w:eastAsia="Palatino Linotype" w:hAnsi="Palatino Linotype" w:cs="Palatino Linotype"/>
          <w:i/>
          <w:iCs/>
          <w:sz w:val="22"/>
          <w:szCs w:val="22"/>
        </w:rPr>
        <w:t>El contrato y, en su caso, sus anexos;</w:t>
      </w:r>
    </w:p>
    <w:p w:rsidR="001408F8" w:rsidRDefault="00183356">
      <w:pPr>
        <w:ind w:left="1134" w:right="851"/>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8) Los mecanismos de vigilancia y supervisión, incluyendo en su caso, los estudios de impacto urbano y ambiental, según corresponda;</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9) </w:t>
      </w:r>
      <w:r>
        <w:rPr>
          <w:rFonts w:ascii="Palatino Linotype" w:eastAsia="Palatino Linotype" w:hAnsi="Palatino Linotype" w:cs="Palatino Linotype"/>
          <w:i/>
          <w:iCs/>
          <w:sz w:val="22"/>
          <w:szCs w:val="22"/>
        </w:rPr>
        <w:t>La partida presupuestal, de conformidad con el clasificador por objeto del gasto, en el caso de ser aplicable;</w:t>
      </w:r>
    </w:p>
    <w:p w:rsidR="001408F8" w:rsidRDefault="00183356">
      <w:pPr>
        <w:ind w:left="1134" w:right="851"/>
        <w:jc w:val="both"/>
        <w:rPr>
          <w:rFonts w:ascii="Palatino Linotype" w:eastAsia="Palatino Linotype" w:hAnsi="Palatino Linotype" w:cs="Palatino Linotype"/>
          <w:b/>
          <w:bCs/>
          <w:sz w:val="22"/>
          <w:szCs w:val="22"/>
        </w:rPr>
      </w:pPr>
      <w:r>
        <w:rPr>
          <w:rFonts w:ascii="Palatino Linotype" w:eastAsia="Palatino Linotype" w:hAnsi="Palatino Linotype" w:cs="Palatino Linotype"/>
          <w:i/>
          <w:iCs/>
          <w:sz w:val="22"/>
          <w:szCs w:val="22"/>
        </w:rPr>
        <w:t>10) </w:t>
      </w:r>
      <w:r>
        <w:rPr>
          <w:rFonts w:ascii="Palatino Linotype" w:eastAsia="Palatino Linotype" w:hAnsi="Palatino Linotype" w:cs="Palatino Linotype"/>
          <w:b/>
          <w:bCs/>
          <w:i/>
          <w:iCs/>
          <w:sz w:val="22"/>
          <w:szCs w:val="22"/>
        </w:rPr>
        <w:t>Origen de los recursos especificando si son federales, estatales o municipales, así como el tipo de fondo de participación o aportación respectiva;</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11) </w:t>
      </w:r>
      <w:r>
        <w:rPr>
          <w:rFonts w:ascii="Palatino Linotype" w:eastAsia="Palatino Linotype" w:hAnsi="Palatino Linotype" w:cs="Palatino Linotype"/>
          <w:i/>
          <w:iCs/>
          <w:sz w:val="22"/>
          <w:szCs w:val="22"/>
        </w:rPr>
        <w:t>Los convenios modificatorios que, en su caso, sean firmados, precisando el objeto y la fecha de celebración;</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12) </w:t>
      </w:r>
      <w:r>
        <w:rPr>
          <w:rFonts w:ascii="Palatino Linotype" w:eastAsia="Palatino Linotype" w:hAnsi="Palatino Linotype" w:cs="Palatino Linotype"/>
          <w:i/>
          <w:iCs/>
          <w:sz w:val="22"/>
          <w:szCs w:val="22"/>
        </w:rPr>
        <w:t>Los informes de avance físico y financiero sobre las obras o servicios contratados;</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13) </w:t>
      </w:r>
      <w:r>
        <w:rPr>
          <w:rFonts w:ascii="Palatino Linotype" w:eastAsia="Palatino Linotype" w:hAnsi="Palatino Linotype" w:cs="Palatino Linotype"/>
          <w:i/>
          <w:iCs/>
          <w:sz w:val="22"/>
          <w:szCs w:val="22"/>
        </w:rPr>
        <w:t>El convenio de terminación; y</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14) </w:t>
      </w:r>
      <w:r>
        <w:rPr>
          <w:rFonts w:ascii="Palatino Linotype" w:eastAsia="Palatino Linotype" w:hAnsi="Palatino Linotype" w:cs="Palatino Linotype"/>
          <w:i/>
          <w:iCs/>
          <w:sz w:val="22"/>
          <w:szCs w:val="22"/>
        </w:rPr>
        <w:t>El finiquito.</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lastRenderedPageBreak/>
        <w:t>b) </w:t>
      </w:r>
      <w:r>
        <w:rPr>
          <w:rFonts w:ascii="Palatino Linotype" w:eastAsia="Palatino Linotype" w:hAnsi="Palatino Linotype" w:cs="Palatino Linotype"/>
          <w:i/>
          <w:iCs/>
          <w:sz w:val="22"/>
          <w:szCs w:val="22"/>
        </w:rPr>
        <w:t>De las adjudicaciones directas:</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1) </w:t>
      </w:r>
      <w:r>
        <w:rPr>
          <w:rFonts w:ascii="Palatino Linotype" w:eastAsia="Palatino Linotype" w:hAnsi="Palatino Linotype" w:cs="Palatino Linotype"/>
          <w:i/>
          <w:iCs/>
          <w:sz w:val="22"/>
          <w:szCs w:val="22"/>
        </w:rPr>
        <w:t>La propuesta enviada por el participante;</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2) </w:t>
      </w:r>
      <w:r>
        <w:rPr>
          <w:rFonts w:ascii="Palatino Linotype" w:eastAsia="Palatino Linotype" w:hAnsi="Palatino Linotype" w:cs="Palatino Linotype"/>
          <w:i/>
          <w:iCs/>
          <w:sz w:val="22"/>
          <w:szCs w:val="22"/>
        </w:rPr>
        <w:t>Los motivos y fundamentos legales aplicados para llevarla a cabo;</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3) </w:t>
      </w:r>
      <w:r>
        <w:rPr>
          <w:rFonts w:ascii="Palatino Linotype" w:eastAsia="Palatino Linotype" w:hAnsi="Palatino Linotype" w:cs="Palatino Linotype"/>
          <w:i/>
          <w:iCs/>
          <w:sz w:val="22"/>
          <w:szCs w:val="22"/>
        </w:rPr>
        <w:t>La autorización del ejercicio de la opción;</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4) En su caso, las cotizaciones consideradas, especificando los nombres de los proveedores y sus montos;</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5) </w:t>
      </w:r>
      <w:r>
        <w:rPr>
          <w:rFonts w:ascii="Palatino Linotype" w:eastAsia="Palatino Linotype" w:hAnsi="Palatino Linotype" w:cs="Palatino Linotype"/>
          <w:i/>
          <w:iCs/>
          <w:sz w:val="22"/>
          <w:szCs w:val="22"/>
        </w:rPr>
        <w:t>El nombre de la persona física o jurídica colectiva adjudicada;</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6) </w:t>
      </w:r>
      <w:r>
        <w:rPr>
          <w:rFonts w:ascii="Palatino Linotype" w:eastAsia="Palatino Linotype" w:hAnsi="Palatino Linotype" w:cs="Palatino Linotype"/>
          <w:i/>
          <w:iCs/>
          <w:sz w:val="22"/>
          <w:szCs w:val="22"/>
        </w:rPr>
        <w:t>La unidad administrativa solicitante y la responsable de su ejecución;</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7)</w:t>
      </w:r>
      <w:r>
        <w:rPr>
          <w:rFonts w:ascii="Palatino Linotype" w:eastAsia="Palatino Linotype" w:hAnsi="Palatino Linotype" w:cs="Palatino Linotype"/>
          <w:i/>
          <w:iCs/>
          <w:sz w:val="22"/>
          <w:szCs w:val="22"/>
        </w:rPr>
        <w:t> El número, fecha, el monto del contrato y el plazo de entrega o de ejecución de los servicios u obra;</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8) </w:t>
      </w:r>
      <w:r>
        <w:rPr>
          <w:rFonts w:ascii="Palatino Linotype" w:eastAsia="Palatino Linotype" w:hAnsi="Palatino Linotype" w:cs="Palatino Linotype"/>
          <w:i/>
          <w:iCs/>
          <w:sz w:val="22"/>
          <w:szCs w:val="22"/>
        </w:rPr>
        <w:t>Los mecanismos de vigilancia y supervisión, incluyendo, en su caso, los estudios de impacto urbano y ambiental, según corresponda;</w:t>
      </w:r>
    </w:p>
    <w:p w:rsidR="001408F8" w:rsidRDefault="00183356">
      <w:pPr>
        <w:ind w:left="1134" w:right="1134"/>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9) Los informes de avance sobre las obras o servicios contratados;</w:t>
      </w:r>
    </w:p>
    <w:p w:rsidR="001408F8" w:rsidRDefault="00183356">
      <w:pPr>
        <w:ind w:left="1134"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bCs/>
          <w:i/>
          <w:iCs/>
          <w:sz w:val="22"/>
          <w:szCs w:val="22"/>
        </w:rPr>
        <w:t>10) </w:t>
      </w:r>
      <w:r>
        <w:rPr>
          <w:rFonts w:ascii="Palatino Linotype" w:eastAsia="Palatino Linotype" w:hAnsi="Palatino Linotype" w:cs="Palatino Linotype"/>
          <w:i/>
          <w:iCs/>
          <w:sz w:val="22"/>
          <w:szCs w:val="22"/>
        </w:rPr>
        <w:t>El convenio de terminación; y</w:t>
      </w:r>
    </w:p>
    <w:p w:rsidR="001408F8" w:rsidRDefault="00183356">
      <w:pPr>
        <w:ind w:left="1134" w:right="851"/>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11) </w:t>
      </w:r>
      <w:r>
        <w:rPr>
          <w:rFonts w:ascii="Palatino Linotype" w:eastAsia="Palatino Linotype" w:hAnsi="Palatino Linotype" w:cs="Palatino Linotype"/>
          <w:i/>
          <w:iCs/>
          <w:sz w:val="22"/>
          <w:szCs w:val="22"/>
        </w:rPr>
        <w:t>El finiquito.</w:t>
      </w:r>
      <w:r>
        <w:rPr>
          <w:rFonts w:ascii="Palatino Linotype" w:eastAsia="Palatino Linotype" w:hAnsi="Palatino Linotype" w:cs="Palatino Linotype"/>
          <w:b/>
          <w:bCs/>
          <w:i/>
          <w:iCs/>
          <w:sz w:val="22"/>
          <w:szCs w:val="22"/>
        </w:rPr>
        <w:t>”</w:t>
      </w:r>
    </w:p>
    <w:p w:rsidR="001408F8" w:rsidRDefault="001408F8">
      <w:pPr>
        <w:ind w:left="851" w:right="850"/>
        <w:jc w:val="both"/>
        <w:rPr>
          <w:rFonts w:ascii="Palatino Linotype" w:eastAsia="Palatino Linotype" w:hAnsi="Palatino Linotype" w:cs="Palatino Linotype"/>
          <w:sz w:val="22"/>
          <w:szCs w:val="22"/>
        </w:rPr>
      </w:pPr>
    </w:p>
    <w:p w:rsidR="001408F8" w:rsidRDefault="00183356">
      <w:pPr>
        <w:numPr>
          <w:ilvl w:val="0"/>
          <w:numId w:val="8"/>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este mismo sentido se tiene como obligación de transparencia común la de poner a disposición la información relativa a las concesiones, </w:t>
      </w:r>
      <w:r>
        <w:rPr>
          <w:rFonts w:ascii="Palatino Linotype" w:eastAsia="Palatino Linotype" w:hAnsi="Palatino Linotype" w:cs="Palatino Linotype"/>
          <w:b/>
          <w:bCs/>
        </w:rPr>
        <w:t>contratos</w:t>
      </w:r>
      <w:r>
        <w:rPr>
          <w:rFonts w:ascii="Palatino Linotype" w:eastAsia="Palatino Linotype" w:hAnsi="Palatino Linotype" w:cs="Palatino Linotype"/>
        </w:rPr>
        <w:t>,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tal como lo señala el artículo 92, de la Ley de Transparencia y Acceso a la Información Pública del Estado de México y Municipios:</w:t>
      </w:r>
    </w:p>
    <w:p w:rsidR="001408F8" w:rsidRDefault="001408F8">
      <w:pPr>
        <w:spacing w:line="360" w:lineRule="auto"/>
        <w:ind w:right="-787"/>
        <w:jc w:val="both"/>
        <w:rPr>
          <w:rFonts w:ascii="Palatino Linotype" w:eastAsia="Palatino Linotype" w:hAnsi="Palatino Linotype" w:cs="Palatino Linotype"/>
        </w:rPr>
      </w:pPr>
    </w:p>
    <w:p w:rsidR="001408F8" w:rsidRDefault="00183356">
      <w:pPr>
        <w:ind w:left="1134" w:right="1134"/>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De las Obligaciones de Transparencia Comunes</w:t>
      </w:r>
    </w:p>
    <w:p w:rsidR="001408F8" w:rsidRDefault="001408F8">
      <w:pPr>
        <w:ind w:left="1134" w:right="1134"/>
        <w:jc w:val="both"/>
        <w:rPr>
          <w:rFonts w:ascii="Palatino Linotype" w:eastAsia="Palatino Linotype" w:hAnsi="Palatino Linotype" w:cs="Palatino Linotype"/>
          <w:i/>
          <w:iCs/>
          <w:sz w:val="22"/>
          <w:szCs w:val="22"/>
        </w:rPr>
      </w:pP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92</w:t>
      </w:r>
      <w:r>
        <w:rPr>
          <w:rFonts w:ascii="Palatino Linotype" w:eastAsia="Palatino Linotype" w:hAnsi="Palatino Linotype" w:cs="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w:t>
      </w:r>
      <w:r>
        <w:rPr>
          <w:rFonts w:ascii="Palatino Linotype" w:eastAsia="Palatino Linotype" w:hAnsi="Palatino Linotype" w:cs="Palatino Linotype"/>
          <w:i/>
          <w:iCs/>
          <w:sz w:val="22"/>
          <w:szCs w:val="22"/>
        </w:rPr>
        <w:lastRenderedPageBreak/>
        <w:t>atribuciones, funciones u objeto social, según corresponda, la información, por lo menos, de los temas, documentos y políticas que a continuación se señalan:</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XXIX</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 xml:space="preserve">La información sobre los procesos y resultados sobre procedimientos de adjudicación directa, invitación restringida y licitación de cualquier naturaleza, </w:t>
      </w:r>
      <w:r>
        <w:rPr>
          <w:rFonts w:ascii="Palatino Linotype" w:eastAsia="Palatino Linotype" w:hAnsi="Palatino Linotype" w:cs="Palatino Linotype"/>
          <w:b/>
          <w:bCs/>
          <w:i/>
          <w:iCs/>
          <w:sz w:val="22"/>
          <w:szCs w:val="22"/>
          <w:u w:val="single"/>
        </w:rPr>
        <w:t>incluyendo la versión pública del expediente respectivo y de los contratos celebrados</w:t>
      </w:r>
      <w:r>
        <w:rPr>
          <w:rFonts w:ascii="Palatino Linotype" w:eastAsia="Palatino Linotype" w:hAnsi="Palatino Linotype" w:cs="Palatino Linotype"/>
          <w:i/>
          <w:iCs/>
          <w:sz w:val="22"/>
          <w:szCs w:val="22"/>
        </w:rPr>
        <w:t xml:space="preserve">, que deberán contener, por los menos, lo siguiente: </w:t>
      </w:r>
    </w:p>
    <w:p w:rsidR="001408F8" w:rsidRDefault="001408F8">
      <w:pPr>
        <w:ind w:left="1134" w:right="1134"/>
        <w:jc w:val="both"/>
        <w:rPr>
          <w:rFonts w:ascii="Palatino Linotype" w:eastAsia="Palatino Linotype" w:hAnsi="Palatino Linotype" w:cs="Palatino Linotype"/>
          <w:i/>
          <w:iCs/>
          <w:sz w:val="22"/>
          <w:szCs w:val="22"/>
        </w:rPr>
      </w:pPr>
    </w:p>
    <w:p w:rsidR="001408F8" w:rsidRDefault="00183356">
      <w:pPr>
        <w:ind w:left="1134"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a) De licitaciones públicas o procedimientos de invitación restringida: </w:t>
      </w:r>
    </w:p>
    <w:p w:rsidR="001408F8" w:rsidRDefault="001408F8">
      <w:pPr>
        <w:ind w:left="1134" w:right="1134"/>
        <w:jc w:val="both"/>
        <w:rPr>
          <w:rFonts w:ascii="Palatino Linotype" w:eastAsia="Palatino Linotype" w:hAnsi="Palatino Linotype" w:cs="Palatino Linotype"/>
          <w:i/>
          <w:iCs/>
          <w:sz w:val="22"/>
          <w:szCs w:val="22"/>
        </w:rPr>
      </w:pP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1) La convocatoria o invitación emitida, así como los fundamentos legales aplicados para llevarla a cabo;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2) Los nombres de los participantes o invitados;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3) El nombre del ganador y las razones que lo justifican;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4) El área solicitante y la responsable de su ejecución;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5) Las convocatorias e invitaciones emitidas;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6) Los dictámenes y fallo de adjudicación;</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7) El contrato y, en su caso, sus anexos;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8) Los mecanismos de vigilancia y supervisión, incluyendo en su caso, los estudios de impacto urbano y ambiental, según corresponda;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9) La partida presupuestal, de conformidad con el clasificador por objeto del gasto, en el caso de ser aplicable;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10) Origen de los recursos especificando si son federales, estatales o municipales, así como el tipo de fondo de participación o aportación respectiva;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11) Los convenios modificatorios que, en su caso, sean firmados, precisando el objeto y la fecha de celebración;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12) Los informes de avance físico y financiero sobre las obras o servicios contratados;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13) El convenio de terminación; y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14) El finiquito. </w:t>
      </w:r>
    </w:p>
    <w:p w:rsidR="001408F8" w:rsidRDefault="001408F8">
      <w:pPr>
        <w:ind w:left="1134" w:right="1134"/>
        <w:jc w:val="both"/>
        <w:rPr>
          <w:rFonts w:ascii="Palatino Linotype" w:eastAsia="Palatino Linotype" w:hAnsi="Palatino Linotype" w:cs="Palatino Linotype"/>
          <w:i/>
          <w:iCs/>
          <w:sz w:val="22"/>
          <w:szCs w:val="22"/>
        </w:rPr>
      </w:pPr>
    </w:p>
    <w:p w:rsidR="001408F8" w:rsidRDefault="00183356">
      <w:pPr>
        <w:ind w:left="1134"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b) De las adjudicaciones directas: </w:t>
      </w:r>
    </w:p>
    <w:p w:rsidR="001408F8" w:rsidRDefault="001408F8">
      <w:pPr>
        <w:ind w:left="1134" w:right="1134"/>
        <w:jc w:val="both"/>
        <w:rPr>
          <w:rFonts w:ascii="Palatino Linotype" w:eastAsia="Palatino Linotype" w:hAnsi="Palatino Linotype" w:cs="Palatino Linotype"/>
          <w:i/>
          <w:iCs/>
          <w:sz w:val="22"/>
          <w:szCs w:val="22"/>
        </w:rPr>
      </w:pP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lastRenderedPageBreak/>
        <w:t xml:space="preserve">1) La propuesta enviada por el participante;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2) Los motivos y fundamentos legales aplicados para llevarla a cabo;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3) La autorización del ejercicio de la opción;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4) En su caso, las cotizaciones consideradas, especificando los nombres de los proveedores y sus montos;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5) El nombre de la persona física o jurídica colectiva adjudicada;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6) La unidad administrativa solicitante y la responsable de su ejecución;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7) El número, fecha, el monto del contrato y el plazo de entrega o de ejecución de los servicios u obra;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8) Los mecanismos de vigilancia y supervisión, incluyendo, en su caso, los estudios de impacto urbano y ambiental, según corresponda;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9) Los informes de avance sobre las obras o servicios contratados;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10) El convenio de terminación; y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11) El finiquito.</w:t>
      </w:r>
    </w:p>
    <w:p w:rsidR="001408F8" w:rsidRDefault="001408F8">
      <w:pPr>
        <w:ind w:left="1134" w:right="1134"/>
        <w:jc w:val="both"/>
        <w:rPr>
          <w:rFonts w:ascii="Palatino Linotype" w:eastAsia="Palatino Linotype" w:hAnsi="Palatino Linotype" w:cs="Palatino Linotype"/>
          <w:i/>
          <w:iCs/>
          <w:sz w:val="22"/>
          <w:szCs w:val="22"/>
        </w:rPr>
      </w:pP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408F8" w:rsidRDefault="001408F8">
      <w:pPr>
        <w:ind w:left="1134" w:right="1134"/>
        <w:jc w:val="both"/>
        <w:rPr>
          <w:rFonts w:ascii="Palatino Linotype" w:eastAsia="Palatino Linotype" w:hAnsi="Palatino Linotype" w:cs="Palatino Linotype"/>
          <w:i/>
          <w:iCs/>
          <w:sz w:val="22"/>
          <w:szCs w:val="22"/>
        </w:rPr>
      </w:pP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XXXII</w:t>
      </w:r>
      <w:r>
        <w:rPr>
          <w:rFonts w:ascii="Palatino Linotype" w:eastAsia="Palatino Linotype" w:hAnsi="Palatino Linotype" w:cs="Palatino Linotype"/>
          <w:i/>
          <w:iCs/>
          <w:sz w:val="22"/>
          <w:szCs w:val="22"/>
        </w:rPr>
        <w:t xml:space="preserve">. Las concesiones, </w:t>
      </w:r>
      <w:r>
        <w:rPr>
          <w:rFonts w:ascii="Palatino Linotype" w:eastAsia="Palatino Linotype" w:hAnsi="Palatino Linotype" w:cs="Palatino Linotype"/>
          <w:b/>
          <w:bCs/>
          <w:i/>
          <w:iCs/>
          <w:sz w:val="22"/>
          <w:szCs w:val="22"/>
        </w:rPr>
        <w:t>contratos</w:t>
      </w:r>
      <w:r>
        <w:rPr>
          <w:rFonts w:ascii="Palatino Linotype" w:eastAsia="Palatino Linotype" w:hAnsi="Palatino Linotype" w:cs="Palatino Linotype"/>
          <w:i/>
          <w:iCs/>
          <w:sz w:val="22"/>
          <w:szCs w:val="22"/>
        </w:rPr>
        <w:t xml:space="preserve">, convenios, permisos, licencias o autorizaciones otorgados, especificando los titulares de aquéllos, debiendo publicarse su objeto, nombre o razón social del titular, vigencia, tipo, términos, condiciones, monto y modificaciones, </w:t>
      </w:r>
      <w:r>
        <w:rPr>
          <w:rFonts w:ascii="Palatino Linotype" w:eastAsia="Palatino Linotype" w:hAnsi="Palatino Linotype" w:cs="Palatino Linotype"/>
          <w:b/>
          <w:bCs/>
          <w:i/>
          <w:iCs/>
          <w:sz w:val="22"/>
          <w:szCs w:val="22"/>
        </w:rPr>
        <w:t>así como si el procedimiento involucra el aprovechamiento de bienes, servicios y/o recursos públicos</w:t>
      </w:r>
      <w:r>
        <w:rPr>
          <w:rFonts w:ascii="Palatino Linotype" w:eastAsia="Palatino Linotype" w:hAnsi="Palatino Linotype" w:cs="Palatino Linotype"/>
          <w:i/>
          <w:iCs/>
          <w:sz w:val="22"/>
          <w:szCs w:val="22"/>
        </w:rPr>
        <w:t>;</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408F8" w:rsidRDefault="001408F8">
      <w:pPr>
        <w:spacing w:line="360" w:lineRule="auto"/>
        <w:jc w:val="both"/>
        <w:rPr>
          <w:rFonts w:ascii="Palatino Linotype" w:eastAsia="Palatino Linotype" w:hAnsi="Palatino Linotype" w:cs="Palatino Linotype"/>
          <w:color w:val="000000"/>
        </w:rPr>
      </w:pPr>
    </w:p>
    <w:p w:rsidR="001408F8" w:rsidRDefault="00183356">
      <w:pPr>
        <w:numPr>
          <w:ilvl w:val="0"/>
          <w:numId w:val="1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w:t>
      </w:r>
      <w:r>
        <w:rPr>
          <w:rFonts w:ascii="Palatino Linotype" w:eastAsia="Palatino Linotype" w:hAnsi="Palatino Linotype" w:cs="Palatino Linotype"/>
        </w:rPr>
        <w:t>existe</w:t>
      </w:r>
      <w:r>
        <w:rPr>
          <w:rFonts w:ascii="Palatino Linotype" w:eastAsia="Palatino Linotype" w:hAnsi="Palatino Linotype" w:cs="Palatino Linotype"/>
          <w:color w:val="000000"/>
        </w:rPr>
        <w:t xml:space="preserve"> la obligación de publicitar la información que involucra recursos públicos, como lo son los expedientes de procedimientos de adquisiciones y servicios, y los contratos celebrados derivados de un procedimiento de adquisición y servicios, así como,  el documento que ampara las erogaciones realizadas con erario público, al ser información que resulta relevante y beneficiosa para la sociedad y no </w:t>
      </w:r>
      <w:r>
        <w:rPr>
          <w:rFonts w:ascii="Palatino Linotype" w:eastAsia="Palatino Linotype" w:hAnsi="Palatino Linotype" w:cs="Palatino Linotype"/>
          <w:color w:val="000000"/>
        </w:rPr>
        <w:lastRenderedPageBreak/>
        <w:t>simplemente de interés individual, cuya divulgación resulta útil para que el público comprenda las actividades que llevan a cabo los sujetos obligados.</w:t>
      </w:r>
    </w:p>
    <w:p w:rsidR="001408F8" w:rsidRDefault="001408F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408F8" w:rsidRDefault="00183356">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consecuencia, se determina que existe fuente obligacional para celebrar contratos relacionados de arrendamiento y de adquisición de bienes y servicios, a través de procedimientos de licitación, invitación restringida o adjudicación directa, en todos los casos, existe la obligación de hacer pública la información relacionada con las mismas, de acuerdo al artículo 92 de la Ley de Transparencia Local, ya que existe un interés colectivo de conocer el uso y destino de los recursos públicos.</w:t>
      </w:r>
    </w:p>
    <w:p w:rsidR="001408F8" w:rsidRDefault="001408F8">
      <w:pPr>
        <w:pBdr>
          <w:top w:val="nil"/>
          <w:left w:val="nil"/>
          <w:bottom w:val="nil"/>
          <w:right w:val="nil"/>
          <w:between w:val="nil"/>
        </w:pBdr>
        <w:ind w:left="720"/>
        <w:rPr>
          <w:rFonts w:ascii="Palatino Linotype" w:eastAsia="Palatino Linotype" w:hAnsi="Palatino Linotype" w:cs="Palatino Linotype"/>
          <w:color w:val="000000"/>
        </w:rPr>
      </w:pPr>
    </w:p>
    <w:p w:rsidR="001408F8" w:rsidRDefault="00183356">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por cuanto hace a la Partida Presupuestal requerida por el particular relacionada a los contratos de referencia, para las documentales donde enunciativamente pudiera constar la información solicitada, resulta necesario comenzar  trayendo a colación lo señalado por el Código Financiero del Estado de México y Municipios:</w:t>
      </w:r>
    </w:p>
    <w:p w:rsidR="001408F8" w:rsidRDefault="001408F8">
      <w:pPr>
        <w:pBdr>
          <w:top w:val="nil"/>
          <w:left w:val="nil"/>
          <w:bottom w:val="nil"/>
          <w:right w:val="nil"/>
          <w:between w:val="nil"/>
        </w:pBdr>
        <w:ind w:left="720"/>
        <w:rPr>
          <w:rFonts w:ascii="Palatino Linotype" w:eastAsia="Palatino Linotype" w:hAnsi="Palatino Linotype" w:cs="Palatino Linotype"/>
          <w:color w:val="000000"/>
        </w:rPr>
      </w:pPr>
    </w:p>
    <w:p w:rsidR="001408F8" w:rsidRDefault="00183356">
      <w:pPr>
        <w:spacing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 “Artículo 292</w:t>
      </w:r>
      <w:r>
        <w:rPr>
          <w:rFonts w:ascii="Palatino Linotype" w:eastAsia="Palatino Linotype" w:hAnsi="Palatino Linotype" w:cs="Palatino Linotype"/>
          <w:i/>
          <w:iCs/>
          <w:sz w:val="22"/>
          <w:szCs w:val="22"/>
        </w:rPr>
        <w:t xml:space="preserve">.- 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 </w:t>
      </w:r>
    </w:p>
    <w:p w:rsidR="001408F8" w:rsidRDefault="00183356">
      <w:pPr>
        <w:spacing w:after="120"/>
        <w:ind w:left="1134"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lastRenderedPageBreak/>
        <w:t xml:space="preserve">Para el caso de los Municipios, el Proyecto de Presupuesto se integrará con los recursos que se destinen al Ayuntamiento y a los organismos municipales. </w:t>
      </w:r>
    </w:p>
    <w:p w:rsidR="001408F8" w:rsidRDefault="00183356">
      <w:pPr>
        <w:spacing w:after="120"/>
        <w:ind w:left="1134"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i/>
          <w:iCs/>
          <w:sz w:val="22"/>
          <w:szCs w:val="22"/>
        </w:rPr>
        <w:t>La distribución será conforme a lo siguiente:</w:t>
      </w:r>
    </w:p>
    <w:p w:rsidR="001408F8" w:rsidRDefault="00183356">
      <w:pPr>
        <w:spacing w:after="120"/>
        <w:ind w:left="1134" w:right="1134"/>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I.</w:t>
      </w:r>
      <w:r>
        <w:rPr>
          <w:rFonts w:ascii="Palatino Linotype" w:eastAsia="Palatino Linotype" w:hAnsi="Palatino Linotype" w:cs="Palatino Linotype"/>
          <w:sz w:val="22"/>
          <w:szCs w:val="22"/>
        </w:rPr>
        <w:t xml:space="preserve"> El gasto programable comprende los siguientes capítulos: </w:t>
      </w:r>
    </w:p>
    <w:p w:rsidR="001408F8" w:rsidRDefault="00183356">
      <w:pPr>
        <w:spacing w:after="120"/>
        <w:ind w:left="1134" w:right="113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 1000 Servicios Personales. </w:t>
      </w:r>
    </w:p>
    <w:p w:rsidR="001408F8" w:rsidRDefault="00183356">
      <w:pPr>
        <w:spacing w:after="120"/>
        <w:ind w:left="1134" w:right="113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b). 2000 Materiales y Suministros. </w:t>
      </w:r>
    </w:p>
    <w:p w:rsidR="001408F8" w:rsidRDefault="00183356">
      <w:pPr>
        <w:spacing w:after="120"/>
        <w:ind w:left="1134" w:right="113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 3000 Servicios Generales. </w:t>
      </w:r>
    </w:p>
    <w:p w:rsidR="001408F8" w:rsidRDefault="00183356">
      <w:pPr>
        <w:spacing w:after="120"/>
        <w:ind w:left="1134" w:right="113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 4000 Transferencias, Asignaciones, Subsidios y otras ayudas. </w:t>
      </w:r>
    </w:p>
    <w:p w:rsidR="001408F8" w:rsidRDefault="00183356">
      <w:pPr>
        <w:spacing w:after="120"/>
        <w:ind w:left="1134" w:right="113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 5000 Bienes Muebles, Inmuebles e Intangibles. </w:t>
      </w:r>
    </w:p>
    <w:p w:rsidR="001408F8" w:rsidRDefault="00183356">
      <w:pPr>
        <w:spacing w:after="120"/>
        <w:ind w:left="1134" w:right="1134"/>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f). 6000 Inversión Pública. </w:t>
      </w:r>
    </w:p>
    <w:p w:rsidR="001408F8" w:rsidRDefault="00183356">
      <w:pPr>
        <w:spacing w:after="120"/>
        <w:ind w:left="1134" w:right="113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g). 7000 Inversiones Financieras y otras provisiones. </w:t>
      </w:r>
    </w:p>
    <w:p w:rsidR="001408F8" w:rsidRDefault="00183356">
      <w:pPr>
        <w:spacing w:after="120"/>
        <w:ind w:left="1134" w:right="1134"/>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II</w:t>
      </w:r>
      <w:r>
        <w:rPr>
          <w:rFonts w:ascii="Palatino Linotype" w:eastAsia="Palatino Linotype" w:hAnsi="Palatino Linotype" w:cs="Palatino Linotype"/>
          <w:sz w:val="22"/>
          <w:szCs w:val="22"/>
        </w:rPr>
        <w:t xml:space="preserve">. El gasto no programable comprende los siguientes capítulos: </w:t>
      </w:r>
    </w:p>
    <w:p w:rsidR="001408F8" w:rsidRDefault="00183356">
      <w:pPr>
        <w:spacing w:after="120"/>
        <w:ind w:left="1134" w:right="113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 8000 Participaciones y Aportaciones. </w:t>
      </w:r>
    </w:p>
    <w:p w:rsidR="001408F8" w:rsidRDefault="00183356">
      <w:pPr>
        <w:pBdr>
          <w:top w:val="nil"/>
          <w:left w:val="nil"/>
          <w:bottom w:val="nil"/>
          <w:right w:val="nil"/>
          <w:between w:val="nil"/>
        </w:pBdr>
        <w:spacing w:after="120"/>
        <w:ind w:left="1134" w:right="113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b). 9000 Deuda Pública.</w:t>
      </w:r>
    </w:p>
    <w:p w:rsidR="001408F8" w:rsidRDefault="00183356">
      <w:pPr>
        <w:numPr>
          <w:ilvl w:val="0"/>
          <w:numId w:val="12"/>
        </w:numPr>
        <w:pBdr>
          <w:top w:val="nil"/>
          <w:left w:val="nil"/>
          <w:bottom w:val="nil"/>
          <w:right w:val="nil"/>
          <w:between w:val="nil"/>
        </w:pBdr>
        <w:spacing w:before="240" w:after="240" w:line="360" w:lineRule="auto"/>
        <w:ind w:left="0" w:right="2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acuerdo con el Manual para la Planeación, Programación y Presupuesto de Egresos Municipal, para el Ejercicio Fiscal 2025, la definición de los Capítulos de gasto es la siguiente:</w:t>
      </w:r>
    </w:p>
    <w:p w:rsidR="001408F8" w:rsidRDefault="00183356">
      <w:pPr>
        <w:pBdr>
          <w:top w:val="nil"/>
          <w:left w:val="nil"/>
          <w:bottom w:val="nil"/>
          <w:right w:val="nil"/>
          <w:between w:val="nil"/>
        </w:pBdr>
        <w:spacing w:before="240" w:after="240" w:line="276" w:lineRule="auto"/>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1000 SERVICIOS PERSONALES</w:t>
      </w:r>
      <w:r>
        <w:rPr>
          <w:rFonts w:ascii="Palatino Linotype" w:eastAsia="Palatino Linotype" w:hAnsi="Palatino Linotype" w:cs="Palatino Linotype"/>
          <w:i/>
          <w:iCs/>
          <w:sz w:val="22"/>
          <w:szCs w:val="22"/>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rsidR="001408F8" w:rsidRDefault="00183356">
      <w:pPr>
        <w:pBdr>
          <w:top w:val="nil"/>
          <w:left w:val="nil"/>
          <w:bottom w:val="nil"/>
          <w:right w:val="nil"/>
          <w:between w:val="nil"/>
        </w:pBdr>
        <w:spacing w:before="240" w:after="240" w:line="276" w:lineRule="auto"/>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2000 MATERIALES Y SUMINISTROS</w:t>
      </w:r>
      <w:r>
        <w:rPr>
          <w:rFonts w:ascii="Palatino Linotype" w:eastAsia="Palatino Linotype" w:hAnsi="Palatino Linotype" w:cs="Palatino Linotype"/>
          <w:i/>
          <w:iCs/>
          <w:sz w:val="22"/>
          <w:szCs w:val="22"/>
        </w:rPr>
        <w:t xml:space="preserve">. Agrupa las asignaciones destinadas a la adquisición de toda clase de insumos y suministros requeridos para la prestación de bienes y servicios públicos y para el desempeño de las actividades administrativas. </w:t>
      </w:r>
    </w:p>
    <w:p w:rsidR="001408F8" w:rsidRDefault="00183356">
      <w:pPr>
        <w:pBdr>
          <w:top w:val="nil"/>
          <w:left w:val="nil"/>
          <w:bottom w:val="nil"/>
          <w:right w:val="nil"/>
          <w:between w:val="nil"/>
        </w:pBdr>
        <w:spacing w:before="240" w:after="240" w:line="276" w:lineRule="auto"/>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3000 SERVICIOS GENERALES</w:t>
      </w:r>
      <w:r>
        <w:rPr>
          <w:rFonts w:ascii="Palatino Linotype" w:eastAsia="Palatino Linotype" w:hAnsi="Palatino Linotype" w:cs="Palatino Linotype"/>
          <w:i/>
          <w:iCs/>
          <w:sz w:val="22"/>
          <w:szCs w:val="22"/>
        </w:rPr>
        <w:t xml:space="preserve">. Asignaciones destinadas a cubrir el costo de todo tipo de servicios que se contraten con particulares o instituciones del propio sector público; así como los servicios oficiales requeridos para el desempeño de actividades vinculadas con la función pública. </w:t>
      </w:r>
    </w:p>
    <w:p w:rsidR="001408F8" w:rsidRDefault="00183356">
      <w:pPr>
        <w:pBdr>
          <w:top w:val="nil"/>
          <w:left w:val="nil"/>
          <w:bottom w:val="nil"/>
          <w:right w:val="nil"/>
          <w:between w:val="nil"/>
        </w:pBdr>
        <w:spacing w:before="240" w:after="240" w:line="276" w:lineRule="auto"/>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4000 TRANSFERENCIAS, ASIGNACIONES, SUBSIDIOS Y OTRAS AYUDAS. </w:t>
      </w:r>
      <w:r>
        <w:rPr>
          <w:rFonts w:ascii="Palatino Linotype" w:eastAsia="Palatino Linotype" w:hAnsi="Palatino Linotype" w:cs="Palatino Linotype"/>
          <w:i/>
          <w:iCs/>
          <w:sz w:val="22"/>
          <w:szCs w:val="22"/>
        </w:rPr>
        <w:t xml:space="preserve">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 </w:t>
      </w:r>
    </w:p>
    <w:p w:rsidR="001408F8" w:rsidRDefault="00183356">
      <w:pPr>
        <w:pBdr>
          <w:top w:val="nil"/>
          <w:left w:val="nil"/>
          <w:bottom w:val="nil"/>
          <w:right w:val="nil"/>
          <w:between w:val="nil"/>
        </w:pBdr>
        <w:spacing w:before="240" w:after="240" w:line="276" w:lineRule="auto"/>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5000 BIENES MUEBLES, INMUEBLES E INTANGIBLES</w:t>
      </w:r>
      <w:r>
        <w:rPr>
          <w:rFonts w:ascii="Palatino Linotype" w:eastAsia="Palatino Linotype" w:hAnsi="Palatino Linotype" w:cs="Palatino Linotype"/>
          <w:i/>
          <w:iCs/>
          <w:sz w:val="22"/>
          <w:szCs w:val="22"/>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rsidR="001408F8" w:rsidRDefault="00183356">
      <w:pPr>
        <w:pBdr>
          <w:top w:val="nil"/>
          <w:left w:val="nil"/>
          <w:bottom w:val="nil"/>
          <w:right w:val="nil"/>
          <w:between w:val="nil"/>
        </w:pBdr>
        <w:spacing w:before="240" w:after="240" w:line="276" w:lineRule="auto"/>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6000 INVERSIÓN PÚBLICA</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Asignaciones destinadas a obras por contrato</w:t>
      </w:r>
      <w:r>
        <w:rPr>
          <w:rFonts w:ascii="Palatino Linotype" w:eastAsia="Palatino Linotype" w:hAnsi="Palatino Linotype" w:cs="Palatino Linotype"/>
          <w:i/>
          <w:iCs/>
          <w:sz w:val="22"/>
          <w:szCs w:val="22"/>
        </w:rPr>
        <w:t xml:space="preserve"> y proyectos productivos y acciones de fomento. Incluye los gastos en estudios de pre‐inversión y preparación del proyecto.</w:t>
      </w:r>
    </w:p>
    <w:p w:rsidR="001408F8" w:rsidRDefault="00183356">
      <w:pPr>
        <w:pBdr>
          <w:top w:val="nil"/>
          <w:left w:val="nil"/>
          <w:bottom w:val="nil"/>
          <w:right w:val="nil"/>
          <w:between w:val="nil"/>
        </w:pBdr>
        <w:spacing w:before="240" w:after="240" w:line="276" w:lineRule="auto"/>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7000 INVERSIONES FINANCIERAS Y OTRAS PROVISIONES</w:t>
      </w:r>
      <w:r>
        <w:rPr>
          <w:rFonts w:ascii="Palatino Linotype" w:eastAsia="Palatino Linotype" w:hAnsi="Palatino Linotype" w:cs="Palatino Linotype"/>
          <w:i/>
          <w:iCs/>
          <w:sz w:val="22"/>
          <w:szCs w:val="22"/>
        </w:rPr>
        <w:t xml:space="preserve">. Erogaciones que realiza la administración pública en la adquisición de acciones, bonos y otros títulos y valores; así como en préstamos otorgados a diversos agentes económicos. Se incluyen las aportaciones de capital a las </w:t>
      </w:r>
      <w:r>
        <w:rPr>
          <w:rFonts w:ascii="Palatino Linotype" w:eastAsia="Palatino Linotype" w:hAnsi="Palatino Linotype" w:cs="Palatino Linotype"/>
          <w:i/>
          <w:iCs/>
          <w:sz w:val="22"/>
          <w:szCs w:val="22"/>
        </w:rPr>
        <w:lastRenderedPageBreak/>
        <w:t>entidades públicas; así como las erogaciones contingentes e imprevistas para el cumplimiento de obligaciones del Gobierno.</w:t>
      </w:r>
    </w:p>
    <w:p w:rsidR="001408F8" w:rsidRDefault="00183356">
      <w:pPr>
        <w:pBdr>
          <w:top w:val="nil"/>
          <w:left w:val="nil"/>
          <w:bottom w:val="nil"/>
          <w:right w:val="nil"/>
          <w:between w:val="nil"/>
        </w:pBdr>
        <w:spacing w:before="240" w:after="240" w:line="276" w:lineRule="auto"/>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8000 PARTICIPACIONES Y APORTACIONES.</w:t>
      </w:r>
      <w:r>
        <w:rPr>
          <w:rFonts w:ascii="Palatino Linotype" w:eastAsia="Palatino Linotype" w:hAnsi="Palatino Linotype" w:cs="Palatino Linotype"/>
          <w:i/>
          <w:iCs/>
          <w:sz w:val="22"/>
          <w:szCs w:val="22"/>
        </w:rPr>
        <w:t xml:space="preserve">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rsidR="001408F8" w:rsidRDefault="00183356">
      <w:pPr>
        <w:pBdr>
          <w:top w:val="nil"/>
          <w:left w:val="nil"/>
          <w:bottom w:val="nil"/>
          <w:right w:val="nil"/>
          <w:between w:val="nil"/>
        </w:pBdr>
        <w:spacing w:before="240" w:after="240" w:line="276" w:lineRule="auto"/>
        <w:ind w:left="1134"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9000 DEUDA PÚBLICA</w:t>
      </w:r>
      <w:r>
        <w:rPr>
          <w:rFonts w:ascii="Palatino Linotype" w:eastAsia="Palatino Linotype" w:hAnsi="Palatino Linotype" w:cs="Palatino Linotype"/>
          <w:i/>
          <w:iCs/>
          <w:sz w:val="22"/>
          <w:szCs w:val="22"/>
        </w:rPr>
        <w:t>.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rsidR="001408F8" w:rsidRDefault="00183356">
      <w:pPr>
        <w:numPr>
          <w:ilvl w:val="0"/>
          <w:numId w:val="12"/>
        </w:numPr>
        <w:pBdr>
          <w:top w:val="nil"/>
          <w:left w:val="nil"/>
          <w:bottom w:val="nil"/>
          <w:right w:val="nil"/>
          <w:between w:val="nil"/>
        </w:pBdr>
        <w:spacing w:before="240" w:after="240" w:line="360" w:lineRule="auto"/>
        <w:ind w:left="0" w:right="2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el Código Financiero del Estado de México, en su artículo 285, señala que el presupuesto de egresos constituye el instrumento jurídico, de política económica y de política de gasto, que aprueba la Legislatura conforme a la iniciativa que presenta el Gobernador, en el cual se establece el ejercicio, control del gasto público y evaluación del desempeño de los Entes Públicos, de acuerdo con su naturaleza jurídica y según corresponda, con base en los objetivos, parámetros e indicadores de desempeño y programas derivados del Plan de Desarrollo del Estado </w:t>
      </w:r>
      <w:r>
        <w:rPr>
          <w:rFonts w:ascii="Palatino Linotype" w:eastAsia="Palatino Linotype" w:hAnsi="Palatino Linotype" w:cs="Palatino Linotype"/>
          <w:color w:val="000000"/>
        </w:rPr>
        <w:lastRenderedPageBreak/>
        <w:t>de México, durante el ejercicio fiscal correspondiente y en apego a lo establecido en la legislación aplicable.</w:t>
      </w:r>
    </w:p>
    <w:p w:rsidR="001408F8" w:rsidRDefault="001408F8">
      <w:pPr>
        <w:pBdr>
          <w:top w:val="nil"/>
          <w:left w:val="nil"/>
          <w:bottom w:val="nil"/>
          <w:right w:val="nil"/>
          <w:between w:val="nil"/>
        </w:pBdr>
        <w:spacing w:before="240" w:after="240"/>
        <w:ind w:right="27"/>
        <w:jc w:val="both"/>
        <w:rPr>
          <w:rFonts w:ascii="Palatino Linotype" w:eastAsia="Palatino Linotype" w:hAnsi="Palatino Linotype" w:cs="Palatino Linotype"/>
        </w:rPr>
      </w:pPr>
    </w:p>
    <w:p w:rsidR="001408F8" w:rsidRDefault="00183356">
      <w:pPr>
        <w:numPr>
          <w:ilvl w:val="0"/>
          <w:numId w:val="12"/>
        </w:numPr>
        <w:pBdr>
          <w:top w:val="nil"/>
          <w:left w:val="nil"/>
          <w:bottom w:val="nil"/>
          <w:right w:val="nil"/>
          <w:between w:val="nil"/>
        </w:pBdr>
        <w:spacing w:before="240" w:after="240" w:line="360" w:lineRule="auto"/>
        <w:ind w:right="2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el mismo sentido, el Manual para la Planeación, Programación y Presupuesto de Egresos Municipal para el ejercicio fiscal 2025, en el marco conceptual, numeral 1.2, define al presupuesto de la siguiente forma:</w:t>
      </w:r>
    </w:p>
    <w:p w:rsidR="001408F8" w:rsidRDefault="00183356">
      <w:pPr>
        <w:spacing w:before="120" w:after="120"/>
        <w:ind w:left="1134"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i/>
          <w:iCs/>
          <w:sz w:val="22"/>
          <w:szCs w:val="22"/>
        </w:rPr>
        <w:t xml:space="preserve">“Con base en lo que establece el artículo 285 del Código Financiero del Estado de México y Municipios, el </w:t>
      </w:r>
      <w:r>
        <w:rPr>
          <w:rFonts w:ascii="Palatino Linotype" w:eastAsia="Palatino Linotype" w:hAnsi="Palatino Linotype" w:cs="Palatino Linotype"/>
          <w:b/>
          <w:bCs/>
          <w:i/>
          <w:iCs/>
          <w:sz w:val="22"/>
          <w:szCs w:val="22"/>
        </w:rPr>
        <w:t>Presupuesto de Egresos Municipal</w:t>
      </w:r>
      <w:r>
        <w:rPr>
          <w:rFonts w:ascii="Palatino Linotype" w:eastAsia="Palatino Linotype" w:hAnsi="Palatino Linotype" w:cs="Palatino Linotype"/>
          <w:i/>
          <w:iCs/>
          <w:sz w:val="22"/>
          <w:szCs w:val="22"/>
        </w:rPr>
        <w:t xml:space="preserve"> se conceptualiza como </w:t>
      </w:r>
      <w:r>
        <w:rPr>
          <w:rFonts w:ascii="Palatino Linotype" w:eastAsia="Palatino Linotype" w:hAnsi="Palatino Linotype" w:cs="Palatino Linotype"/>
          <w:b/>
          <w:bCs/>
          <w:i/>
          <w:iCs/>
          <w:sz w:val="22"/>
          <w:szCs w:val="22"/>
        </w:rPr>
        <w:t>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 xml:space="preserve">durante el ejercicio fiscal correspondiente. </w:t>
      </w:r>
    </w:p>
    <w:p w:rsidR="001408F8" w:rsidRDefault="00183356">
      <w:pPr>
        <w:spacing w:before="120" w:after="120"/>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Para efecto de este Manual, </w:t>
      </w:r>
      <w:r>
        <w:rPr>
          <w:rFonts w:ascii="Palatino Linotype" w:eastAsia="Palatino Linotype" w:hAnsi="Palatino Linotype" w:cs="Palatino Linotype"/>
          <w:b/>
          <w:bCs/>
          <w:i/>
          <w:iCs/>
          <w:sz w:val="22"/>
          <w:szCs w:val="22"/>
        </w:rPr>
        <w:t xml:space="preserve">el presupuesto es la estimación financiera anticipada, generalmente anual, de los ingresos y egresos del gobierno, necesarios para cumplir con los objetivos establecidos en los planes, programas y proyectos determinados. </w:t>
      </w:r>
      <w:r>
        <w:rPr>
          <w:rFonts w:ascii="Palatino Linotype" w:eastAsia="Palatino Linotype" w:hAnsi="Palatino Linotype" w:cs="Palatino Linotype"/>
          <w:i/>
          <w:iCs/>
          <w:sz w:val="22"/>
          <w:szCs w:val="22"/>
        </w:rPr>
        <w:t xml:space="preserve">Asimismo, constituye el instrumento operativo básico para la ejecución de las decisiones de política económica y de planeación. </w:t>
      </w:r>
      <w:r>
        <w:rPr>
          <w:rFonts w:ascii="Palatino Linotype" w:eastAsia="Palatino Linotype" w:hAnsi="Palatino Linotype" w:cs="Palatino Linotype"/>
          <w:b/>
          <w:bCs/>
          <w:i/>
          <w:iCs/>
          <w:sz w:val="22"/>
          <w:szCs w:val="22"/>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r>
        <w:rPr>
          <w:rFonts w:ascii="Palatino Linotype" w:eastAsia="Palatino Linotype" w:hAnsi="Palatino Linotype" w:cs="Palatino Linotype"/>
          <w:i/>
          <w:iCs/>
          <w:sz w:val="22"/>
          <w:szCs w:val="22"/>
        </w:rPr>
        <w:t>.”</w:t>
      </w:r>
    </w:p>
    <w:p w:rsidR="001408F8" w:rsidRDefault="001408F8">
      <w:pPr>
        <w:spacing w:before="120" w:after="120"/>
        <w:ind w:left="1134" w:right="1134"/>
        <w:jc w:val="both"/>
        <w:rPr>
          <w:rFonts w:ascii="Palatino Linotype" w:eastAsia="Palatino Linotype" w:hAnsi="Palatino Linotype" w:cs="Palatino Linotype"/>
          <w:i/>
          <w:iCs/>
          <w:sz w:val="22"/>
          <w:szCs w:val="22"/>
        </w:rPr>
      </w:pPr>
    </w:p>
    <w:p w:rsidR="001408F8" w:rsidRDefault="00183356">
      <w:pPr>
        <w:numPr>
          <w:ilvl w:val="0"/>
          <w:numId w:val="12"/>
        </w:numPr>
        <w:pBdr>
          <w:top w:val="nil"/>
          <w:left w:val="nil"/>
          <w:bottom w:val="nil"/>
          <w:right w:val="nil"/>
          <w:between w:val="nil"/>
        </w:pBdr>
        <w:spacing w:before="240" w:after="240" w:line="360" w:lineRule="auto"/>
        <w:ind w:left="0" w:right="2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Asimismo, resulta pertinente señalar que, de conformidad con el Manual para la Planeación, Programación y Presupuesto de Egresos Municipal, los formatos que integran el presupuesto de egresos municipal son los siguientes: </w:t>
      </w:r>
    </w:p>
    <w:p w:rsidR="001408F8" w:rsidRDefault="00183356">
      <w:pPr>
        <w:pBdr>
          <w:top w:val="nil"/>
          <w:left w:val="nil"/>
          <w:bottom w:val="nil"/>
          <w:right w:val="nil"/>
          <w:between w:val="nil"/>
        </w:pBdr>
        <w:spacing w:before="240" w:after="240" w:line="360" w:lineRule="auto"/>
        <w:ind w:right="27"/>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4320000" cy="3503743"/>
            <wp:effectExtent l="0" t="0" r="0" b="0"/>
            <wp:docPr id="20548258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320000" cy="3503743"/>
                    </a:xfrm>
                    <a:prstGeom prst="rect">
                      <a:avLst/>
                    </a:prstGeom>
                    <a:ln/>
                  </pic:spPr>
                </pic:pic>
              </a:graphicData>
            </a:graphic>
          </wp:inline>
        </w:drawing>
      </w:r>
    </w:p>
    <w:p w:rsidR="001408F8" w:rsidRDefault="001408F8">
      <w:pPr>
        <w:pBdr>
          <w:top w:val="nil"/>
          <w:left w:val="nil"/>
          <w:bottom w:val="nil"/>
          <w:right w:val="nil"/>
          <w:between w:val="nil"/>
        </w:pBdr>
        <w:spacing w:before="240" w:after="240" w:line="360" w:lineRule="auto"/>
        <w:ind w:right="27"/>
        <w:jc w:val="center"/>
        <w:rPr>
          <w:rFonts w:ascii="Palatino Linotype" w:eastAsia="Palatino Linotype" w:hAnsi="Palatino Linotype" w:cs="Palatino Linotype"/>
        </w:rPr>
      </w:pPr>
    </w:p>
    <w:p w:rsidR="001408F8" w:rsidRDefault="00183356">
      <w:pPr>
        <w:numPr>
          <w:ilvl w:val="0"/>
          <w:numId w:val="12"/>
        </w:numPr>
        <w:pBdr>
          <w:top w:val="nil"/>
          <w:left w:val="nil"/>
          <w:bottom w:val="nil"/>
          <w:right w:val="nil"/>
          <w:between w:val="nil"/>
        </w:pBdr>
        <w:spacing w:before="240" w:after="240" w:line="360" w:lineRule="auto"/>
        <w:ind w:left="0" w:right="2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iniciar con el llenado de los formatos que integran el Programa Anual se deberá llenar el formato </w:t>
      </w:r>
      <w:r>
        <w:rPr>
          <w:rFonts w:ascii="Palatino Linotype" w:eastAsia="Palatino Linotype" w:hAnsi="Palatino Linotype" w:cs="Palatino Linotype"/>
          <w:b/>
          <w:bCs/>
          <w:color w:val="000000"/>
        </w:rPr>
        <w:t>PbRM-01a “Dimensión Administrativa del Gasto”,</w:t>
      </w:r>
      <w:r>
        <w:rPr>
          <w:rFonts w:ascii="Palatino Linotype" w:eastAsia="Palatino Linotype" w:hAnsi="Palatino Linotype" w:cs="Palatino Linotype"/>
          <w:color w:val="000000"/>
        </w:rPr>
        <w:t xml:space="preserve"> el cual tiene como propósito identificar a nivel de estructura administrativa los programas y proyectos de los cuales se responsabiliza cada una de las Dependencias y Organismos </w:t>
      </w:r>
      <w:r>
        <w:rPr>
          <w:rFonts w:ascii="Palatino Linotype" w:eastAsia="Palatino Linotype" w:hAnsi="Palatino Linotype" w:cs="Palatino Linotype"/>
          <w:color w:val="000000"/>
        </w:rPr>
        <w:lastRenderedPageBreak/>
        <w:t xml:space="preserve">municipales, se </w:t>
      </w:r>
      <w:r>
        <w:rPr>
          <w:rFonts w:ascii="Palatino Linotype" w:eastAsia="Palatino Linotype" w:hAnsi="Palatino Linotype" w:cs="Palatino Linotype"/>
        </w:rPr>
        <w:t>continúa</w:t>
      </w:r>
      <w:r>
        <w:rPr>
          <w:rFonts w:ascii="Palatino Linotype" w:eastAsia="Palatino Linotype" w:hAnsi="Palatino Linotype" w:cs="Palatino Linotype"/>
          <w:color w:val="000000"/>
        </w:rPr>
        <w:t xml:space="preserve"> con el llenado del formato </w:t>
      </w:r>
      <w:r>
        <w:rPr>
          <w:rFonts w:ascii="Palatino Linotype" w:eastAsia="Palatino Linotype" w:hAnsi="Palatino Linotype" w:cs="Palatino Linotype"/>
          <w:b/>
          <w:bCs/>
          <w:color w:val="000000"/>
        </w:rPr>
        <w:t>PbRM-01b “Descripción del Programa presupuestario”</w:t>
      </w:r>
      <w:r>
        <w:rPr>
          <w:rFonts w:ascii="Palatino Linotype" w:eastAsia="Palatino Linotype" w:hAnsi="Palatino Linotype" w:cs="Palatino Linotype"/>
          <w:color w:val="000000"/>
        </w:rPr>
        <w:t>, mismo que tiene como propósito, identificar el diagnóstico del entorno de responsabilidad del programa respectivo para sustentar y justificar la asignación del presupuesto del ejercicio fiscal 2025, definir los objetivos que se pretenden alcanzar y establecer las estrategias que serán aplicadas para dar viabilidad al logro de dichos objetivos.</w:t>
      </w:r>
    </w:p>
    <w:p w:rsidR="001408F8" w:rsidRDefault="00183356">
      <w:pPr>
        <w:pBdr>
          <w:top w:val="nil"/>
          <w:left w:val="nil"/>
          <w:bottom w:val="nil"/>
          <w:right w:val="nil"/>
          <w:between w:val="nil"/>
        </w:pBdr>
        <w:spacing w:before="240" w:after="240" w:line="360" w:lineRule="auto"/>
        <w:ind w:right="27"/>
        <w:jc w:val="both"/>
        <w:rPr>
          <w:rFonts w:ascii="Palatino Linotype" w:eastAsia="Palatino Linotype" w:hAnsi="Palatino Linotype" w:cs="Palatino Linotype"/>
        </w:rPr>
      </w:pPr>
      <w:r>
        <w:rPr>
          <w:rFonts w:ascii="Palatino Linotype" w:eastAsia="Palatino Linotype" w:hAnsi="Palatino Linotype" w:cs="Palatino Linotype"/>
        </w:rPr>
        <w:t xml:space="preserve">El formato </w:t>
      </w:r>
      <w:r>
        <w:rPr>
          <w:rFonts w:ascii="Palatino Linotype" w:eastAsia="Palatino Linotype" w:hAnsi="Palatino Linotype" w:cs="Palatino Linotype"/>
          <w:b/>
          <w:bCs/>
        </w:rPr>
        <w:t>PbRM-01c “Programa Anual de Metas de actividad por Proyecto”,</w:t>
      </w:r>
      <w:r>
        <w:rPr>
          <w:rFonts w:ascii="Palatino Linotype" w:eastAsia="Palatino Linotype" w:hAnsi="Palatino Linotype" w:cs="Palatino Linotype"/>
        </w:rPr>
        <w:t xml:space="preserve"> tiene como propósito establecer las acciones sustantivas para cada proyecto, mismas que deberán reflejar la diferencia entre el cumplimiento alcanzado durante el ejercicio fiscal 2024 y las cifras programadas que se estimen alcanzar en el ejercicio 2025.</w:t>
      </w:r>
    </w:p>
    <w:p w:rsidR="001408F8" w:rsidRDefault="00183356">
      <w:pPr>
        <w:pBdr>
          <w:top w:val="nil"/>
          <w:left w:val="nil"/>
          <w:bottom w:val="nil"/>
          <w:right w:val="nil"/>
          <w:between w:val="nil"/>
        </w:pBdr>
        <w:spacing w:before="240" w:after="240" w:line="360" w:lineRule="auto"/>
        <w:ind w:right="27"/>
        <w:jc w:val="both"/>
        <w:rPr>
          <w:rFonts w:ascii="Palatino Linotype" w:eastAsia="Palatino Linotype" w:hAnsi="Palatino Linotype" w:cs="Palatino Linotype"/>
        </w:rPr>
      </w:pPr>
      <w:r>
        <w:rPr>
          <w:rFonts w:ascii="Palatino Linotype" w:eastAsia="Palatino Linotype" w:hAnsi="Palatino Linotype" w:cs="Palatino Linotype"/>
        </w:rPr>
        <w:t xml:space="preserve">El formato </w:t>
      </w:r>
      <w:r>
        <w:rPr>
          <w:rFonts w:ascii="Palatino Linotype" w:eastAsia="Palatino Linotype" w:hAnsi="Palatino Linotype" w:cs="Palatino Linotype"/>
          <w:b/>
          <w:bCs/>
        </w:rPr>
        <w:t>PbRM-01d “Ficha técnica de diseño de indicadores estratégicos o de gestión 2025”</w:t>
      </w:r>
      <w:r>
        <w:rPr>
          <w:rFonts w:ascii="Palatino Linotype" w:eastAsia="Palatino Linotype" w:hAnsi="Palatino Linotype" w:cs="Palatino Linotype"/>
        </w:rPr>
        <w:t xml:space="preserve">, tiene como finalidad el registro de los indicadores de gestión que se manejan en el SEGEMUN, mismos que deberán estar vinculados directamente a las metas programadas en el formato </w:t>
      </w:r>
      <w:r>
        <w:rPr>
          <w:rFonts w:ascii="Palatino Linotype" w:eastAsia="Palatino Linotype" w:hAnsi="Palatino Linotype" w:cs="Palatino Linotype"/>
          <w:b/>
          <w:bCs/>
        </w:rPr>
        <w:t>PbRM-01e “Matriz de Indicadores para Resultados por Programa presupuestario y Dependencia General”.</w:t>
      </w:r>
      <w:r>
        <w:rPr>
          <w:rFonts w:ascii="Palatino Linotype" w:eastAsia="Palatino Linotype" w:hAnsi="Palatino Linotype" w:cs="Palatino Linotype"/>
        </w:rPr>
        <w:t xml:space="preserve"> Estos indicadores están alineados a nivel estratégico o de gestión. El formato PbRM-01e tiene relación con el formato PbRM-01d, ya que su finalidad consiste en conjuntar la totalidad de los indicadores que permitan identificar el logro o beneficio que se espera alcanzar, y que, a través de los procesos de evaluación, se medirán para conocer el nivel de </w:t>
      </w:r>
      <w:r>
        <w:rPr>
          <w:rFonts w:ascii="Palatino Linotype" w:eastAsia="Palatino Linotype" w:hAnsi="Palatino Linotype" w:cs="Palatino Linotype"/>
        </w:rPr>
        <w:lastRenderedPageBreak/>
        <w:t>cumplimiento de los objetivos y metas de cada uno de los Programas presupuestarios que comprende el programa anual del ejercicio fiscal 2025.</w:t>
      </w:r>
    </w:p>
    <w:p w:rsidR="001408F8" w:rsidRDefault="00183356">
      <w:pPr>
        <w:pBdr>
          <w:top w:val="nil"/>
          <w:left w:val="nil"/>
          <w:bottom w:val="nil"/>
          <w:right w:val="nil"/>
          <w:between w:val="nil"/>
        </w:pBdr>
        <w:spacing w:before="240" w:after="240" w:line="360" w:lineRule="auto"/>
        <w:ind w:right="27"/>
        <w:jc w:val="both"/>
        <w:rPr>
          <w:rFonts w:ascii="Palatino Linotype" w:eastAsia="Palatino Linotype" w:hAnsi="Palatino Linotype" w:cs="Palatino Linotype"/>
        </w:rPr>
      </w:pPr>
      <w:r>
        <w:rPr>
          <w:rFonts w:ascii="Palatino Linotype" w:eastAsia="Palatino Linotype" w:hAnsi="Palatino Linotype" w:cs="Palatino Linotype"/>
        </w:rPr>
        <w:t xml:space="preserve">El formato </w:t>
      </w:r>
      <w:r>
        <w:rPr>
          <w:rFonts w:ascii="Palatino Linotype" w:eastAsia="Palatino Linotype" w:hAnsi="Palatino Linotype" w:cs="Palatino Linotype"/>
          <w:b/>
          <w:bCs/>
        </w:rPr>
        <w:t>PbRM-02a “Calendarización de metas de actividad”,</w:t>
      </w:r>
      <w:r>
        <w:rPr>
          <w:rFonts w:ascii="Palatino Linotype" w:eastAsia="Palatino Linotype" w:hAnsi="Palatino Linotype" w:cs="Palatino Linotype"/>
        </w:rPr>
        <w:t xml:space="preserve"> tiene por objeto identificar trimestralmente la ejecución de la meta anual, la cual proviene del formato PbRM-01c, con el propósito de dar seguimiento a lo programado y tomar en su caso las medidas correctivas para evitar su desviación.</w:t>
      </w:r>
    </w:p>
    <w:p w:rsidR="001408F8" w:rsidRDefault="00183356">
      <w:pPr>
        <w:pBdr>
          <w:top w:val="nil"/>
          <w:left w:val="nil"/>
          <w:bottom w:val="nil"/>
          <w:right w:val="nil"/>
          <w:between w:val="nil"/>
        </w:pBdr>
        <w:spacing w:before="240" w:after="240" w:line="360" w:lineRule="auto"/>
        <w:ind w:right="27"/>
        <w:jc w:val="both"/>
        <w:rPr>
          <w:rFonts w:ascii="Palatino Linotype" w:eastAsia="Palatino Linotype" w:hAnsi="Palatino Linotype" w:cs="Palatino Linotype"/>
        </w:rPr>
      </w:pPr>
      <w:r>
        <w:rPr>
          <w:rFonts w:ascii="Palatino Linotype" w:eastAsia="Palatino Linotype" w:hAnsi="Palatino Linotype" w:cs="Palatino Linotype"/>
        </w:rPr>
        <w:t xml:space="preserve">En el formato </w:t>
      </w:r>
      <w:r>
        <w:rPr>
          <w:rFonts w:ascii="Palatino Linotype" w:eastAsia="Palatino Linotype" w:hAnsi="Palatino Linotype" w:cs="Palatino Linotype"/>
          <w:b/>
          <w:bCs/>
        </w:rPr>
        <w:t xml:space="preserve">PbRM-03a“Presupuesto de Ingresos Detallado”, </w:t>
      </w:r>
      <w:r>
        <w:rPr>
          <w:rFonts w:ascii="Palatino Linotype" w:eastAsia="Palatino Linotype" w:hAnsi="Palatino Linotype" w:cs="Palatino Linotype"/>
        </w:rPr>
        <w:t>se deben</w:t>
      </w:r>
      <w:r>
        <w:rPr>
          <w:rFonts w:ascii="Palatino Linotype" w:eastAsia="Palatino Linotype" w:hAnsi="Palatino Linotype" w:cs="Palatino Linotype"/>
          <w:b/>
          <w:bCs/>
        </w:rPr>
        <w:t xml:space="preserve"> </w:t>
      </w:r>
      <w:r>
        <w:rPr>
          <w:rFonts w:ascii="Palatino Linotype" w:eastAsia="Palatino Linotype" w:hAnsi="Palatino Linotype" w:cs="Palatino Linotype"/>
        </w:rPr>
        <w:t>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w:t>
      </w:r>
    </w:p>
    <w:p w:rsidR="001408F8" w:rsidRDefault="00183356">
      <w:pPr>
        <w:pBdr>
          <w:top w:val="nil"/>
          <w:left w:val="nil"/>
          <w:bottom w:val="nil"/>
          <w:right w:val="nil"/>
          <w:between w:val="nil"/>
        </w:pBdr>
        <w:spacing w:before="240" w:after="240" w:line="360" w:lineRule="auto"/>
        <w:ind w:right="27"/>
        <w:jc w:val="both"/>
        <w:rPr>
          <w:rFonts w:ascii="Palatino Linotype" w:eastAsia="Palatino Linotype" w:hAnsi="Palatino Linotype" w:cs="Palatino Linotype"/>
        </w:rPr>
      </w:pPr>
      <w:r>
        <w:rPr>
          <w:rFonts w:ascii="Palatino Linotype" w:eastAsia="Palatino Linotype" w:hAnsi="Palatino Linotype" w:cs="Palatino Linotype"/>
        </w:rPr>
        <w:t xml:space="preserve">El formato </w:t>
      </w:r>
      <w:r>
        <w:rPr>
          <w:rFonts w:ascii="Palatino Linotype" w:eastAsia="Palatino Linotype" w:hAnsi="Palatino Linotype" w:cs="Palatino Linotype"/>
          <w:b/>
          <w:bCs/>
        </w:rPr>
        <w:t>PbRM-03b “Carátula de Presupuesto de Ingresos”</w:t>
      </w:r>
      <w:r>
        <w:rPr>
          <w:rFonts w:ascii="Palatino Linotype" w:eastAsia="Palatino Linotype" w:hAnsi="Palatino Linotype" w:cs="Palatino Linotype"/>
        </w:rPr>
        <w:t xml:space="preserve"> tiene por objeto presentar a nivel capítulo el total del Presupuesto Autorizado de Ingresos del Municipio para el ejercicio presupuestal. El cual se integra con los datos globales del formato PbRM 03a Ingreso detallado.</w:t>
      </w:r>
    </w:p>
    <w:p w:rsidR="001408F8" w:rsidRDefault="00183356">
      <w:pPr>
        <w:pBdr>
          <w:top w:val="nil"/>
          <w:left w:val="nil"/>
          <w:bottom w:val="nil"/>
          <w:right w:val="nil"/>
          <w:between w:val="nil"/>
        </w:pBdr>
        <w:spacing w:before="240" w:after="240" w:line="360" w:lineRule="auto"/>
        <w:ind w:right="27"/>
        <w:jc w:val="both"/>
        <w:rPr>
          <w:rFonts w:ascii="Palatino Linotype" w:eastAsia="Palatino Linotype" w:hAnsi="Palatino Linotype" w:cs="Palatino Linotype"/>
        </w:rPr>
      </w:pPr>
      <w:r>
        <w:rPr>
          <w:rFonts w:ascii="Palatino Linotype" w:eastAsia="Palatino Linotype" w:hAnsi="Palatino Linotype" w:cs="Palatino Linotype"/>
        </w:rPr>
        <w:t>En el formato</w:t>
      </w:r>
      <w:r>
        <w:rPr>
          <w:rFonts w:ascii="Palatino Linotype" w:eastAsia="Palatino Linotype" w:hAnsi="Palatino Linotype" w:cs="Palatino Linotype"/>
          <w:b/>
          <w:bCs/>
        </w:rPr>
        <w:t xml:space="preserve"> PbRM-04a “Presupuesto de Egresos Detallado" </w:t>
      </w:r>
      <w:r>
        <w:rPr>
          <w:rFonts w:ascii="Palatino Linotype" w:eastAsia="Palatino Linotype" w:hAnsi="Palatino Linotype" w:cs="Palatino Linotype"/>
        </w:rPr>
        <w:t>se identificar el gasto total según el clasificador por objeto del gasto y su programación durante el ejercicio presupuestal correspondiente.</w:t>
      </w:r>
    </w:p>
    <w:p w:rsidR="001408F8" w:rsidRDefault="00183356">
      <w:pPr>
        <w:pBdr>
          <w:top w:val="nil"/>
          <w:left w:val="nil"/>
          <w:bottom w:val="nil"/>
          <w:right w:val="nil"/>
          <w:between w:val="nil"/>
        </w:pBdr>
        <w:spacing w:before="240" w:after="240" w:line="360" w:lineRule="auto"/>
        <w:ind w:right="27"/>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Formato </w:t>
      </w:r>
      <w:r>
        <w:rPr>
          <w:rFonts w:ascii="Palatino Linotype" w:eastAsia="Palatino Linotype" w:hAnsi="Palatino Linotype" w:cs="Palatino Linotype"/>
          <w:b/>
          <w:bCs/>
        </w:rPr>
        <w:t>PbRM-04b “Presupuesto de Egresos por Objeto del Gasto y Dependencia General”</w:t>
      </w:r>
      <w:r>
        <w:rPr>
          <w:rFonts w:ascii="Palatino Linotype" w:eastAsia="Palatino Linotype" w:hAnsi="Palatino Linotype" w:cs="Palatino Linotype"/>
        </w:rPr>
        <w:t xml:space="preserve"> identifica del gasto a nivel de dependencia general por partida del gasto, con calendarización mensual y total anual.</w:t>
      </w:r>
    </w:p>
    <w:p w:rsidR="001408F8" w:rsidRDefault="00183356">
      <w:pPr>
        <w:pBdr>
          <w:top w:val="nil"/>
          <w:left w:val="nil"/>
          <w:bottom w:val="nil"/>
          <w:right w:val="nil"/>
          <w:between w:val="nil"/>
        </w:pBdr>
        <w:spacing w:before="240" w:after="240" w:line="360" w:lineRule="auto"/>
        <w:ind w:right="27"/>
        <w:jc w:val="both"/>
        <w:rPr>
          <w:rFonts w:ascii="Palatino Linotype" w:eastAsia="Palatino Linotype" w:hAnsi="Palatino Linotype" w:cs="Palatino Linotype"/>
        </w:rPr>
      </w:pPr>
      <w:r>
        <w:rPr>
          <w:rFonts w:ascii="Palatino Linotype" w:eastAsia="Palatino Linotype" w:hAnsi="Palatino Linotype" w:cs="Palatino Linotype"/>
        </w:rPr>
        <w:t xml:space="preserve">En el formato </w:t>
      </w:r>
      <w:r>
        <w:rPr>
          <w:rFonts w:ascii="Palatino Linotype" w:eastAsia="Palatino Linotype" w:hAnsi="Palatino Linotype" w:cs="Palatino Linotype"/>
          <w:b/>
          <w:bCs/>
        </w:rPr>
        <w:t>PbRM-04c Presupuesto de Egresos Global Calendarizado</w:t>
      </w:r>
      <w:r>
        <w:rPr>
          <w:rFonts w:ascii="Palatino Linotype" w:eastAsia="Palatino Linotype" w:hAnsi="Palatino Linotype" w:cs="Palatino Linotype"/>
        </w:rPr>
        <w:t xml:space="preserve"> se identifica el gasto total según el clasificador por objeto del gasto y su programación durante todo el ejercicio presupuestal.</w:t>
      </w:r>
    </w:p>
    <w:p w:rsidR="001408F8" w:rsidRDefault="00183356">
      <w:pPr>
        <w:pBdr>
          <w:top w:val="nil"/>
          <w:left w:val="nil"/>
          <w:bottom w:val="nil"/>
          <w:right w:val="nil"/>
          <w:between w:val="nil"/>
        </w:pBdr>
        <w:spacing w:before="240" w:after="240" w:line="360" w:lineRule="auto"/>
        <w:ind w:right="27"/>
        <w:jc w:val="both"/>
        <w:rPr>
          <w:rFonts w:ascii="Palatino Linotype" w:eastAsia="Palatino Linotype" w:hAnsi="Palatino Linotype" w:cs="Palatino Linotype"/>
        </w:rPr>
      </w:pPr>
      <w:r>
        <w:rPr>
          <w:rFonts w:ascii="Palatino Linotype" w:eastAsia="Palatino Linotype" w:hAnsi="Palatino Linotype" w:cs="Palatino Linotype"/>
        </w:rPr>
        <w:t xml:space="preserve">En el </w:t>
      </w:r>
      <w:r>
        <w:rPr>
          <w:rFonts w:ascii="Palatino Linotype" w:eastAsia="Palatino Linotype" w:hAnsi="Palatino Linotype" w:cs="Palatino Linotype"/>
          <w:b/>
          <w:bCs/>
        </w:rPr>
        <w:t xml:space="preserve">formato PbRM-04d “Carátula de presupuesto de egresos” </w:t>
      </w:r>
      <w:r>
        <w:rPr>
          <w:rFonts w:ascii="Palatino Linotype" w:eastAsia="Palatino Linotype" w:hAnsi="Palatino Linotype" w:cs="Palatino Linotype"/>
        </w:rPr>
        <w:t>se</w:t>
      </w:r>
      <w:r>
        <w:rPr>
          <w:rFonts w:ascii="Palatino Linotype" w:eastAsia="Palatino Linotype" w:hAnsi="Palatino Linotype" w:cs="Palatino Linotype"/>
          <w:b/>
          <w:bCs/>
        </w:rPr>
        <w:t xml:space="preserve"> </w:t>
      </w:r>
      <w:r>
        <w:rPr>
          <w:rFonts w:ascii="Palatino Linotype" w:eastAsia="Palatino Linotype" w:hAnsi="Palatino Linotype" w:cs="Palatino Linotype"/>
        </w:rPr>
        <w:t>presenta a nivel capítulo, el total del Presupuesto Autorizado de Egresos del Municipio para el ejercicio presupuestal que se proyectará tomando como antecedente los dos ejercicios anteriores.</w:t>
      </w:r>
    </w:p>
    <w:p w:rsidR="001408F8" w:rsidRDefault="00183356">
      <w:pPr>
        <w:pBdr>
          <w:top w:val="nil"/>
          <w:left w:val="nil"/>
          <w:bottom w:val="nil"/>
          <w:right w:val="nil"/>
          <w:between w:val="nil"/>
        </w:pBdr>
        <w:spacing w:before="240" w:after="240" w:line="360" w:lineRule="auto"/>
        <w:ind w:right="27"/>
        <w:jc w:val="both"/>
        <w:rPr>
          <w:rFonts w:ascii="Palatino Linotype" w:eastAsia="Palatino Linotype" w:hAnsi="Palatino Linotype" w:cs="Palatino Linotype"/>
        </w:rPr>
      </w:pPr>
      <w:r>
        <w:rPr>
          <w:rFonts w:ascii="Palatino Linotype" w:eastAsia="Palatino Linotype" w:hAnsi="Palatino Linotype" w:cs="Palatino Linotype"/>
        </w:rPr>
        <w:t xml:space="preserve">El formato </w:t>
      </w:r>
      <w:r>
        <w:rPr>
          <w:rFonts w:ascii="Palatino Linotype" w:eastAsia="Palatino Linotype" w:hAnsi="Palatino Linotype" w:cs="Palatino Linotype"/>
          <w:b/>
          <w:bCs/>
        </w:rPr>
        <w:t>PbRM-05 “Tabulador de Sueldos Formato</w:t>
      </w:r>
      <w:r>
        <w:rPr>
          <w:rFonts w:ascii="Palatino Linotype" w:eastAsia="Palatino Linotype" w:hAnsi="Palatino Linotype" w:cs="Palatino Linotype"/>
        </w:rPr>
        <w:t>” registrar las remuneraciones que se perciben por el empleo, cargo o comisión de cualquier naturaleza por los servidores públicos municipales.</w:t>
      </w:r>
    </w:p>
    <w:p w:rsidR="001408F8" w:rsidRDefault="00183356">
      <w:pPr>
        <w:pBdr>
          <w:top w:val="nil"/>
          <w:left w:val="nil"/>
          <w:bottom w:val="nil"/>
          <w:right w:val="nil"/>
          <w:between w:val="nil"/>
        </w:pBdr>
        <w:spacing w:before="240" w:after="240" w:line="360" w:lineRule="auto"/>
        <w:ind w:right="27"/>
        <w:jc w:val="both"/>
        <w:rPr>
          <w:rFonts w:ascii="Palatino Linotype" w:eastAsia="Palatino Linotype" w:hAnsi="Palatino Linotype" w:cs="Palatino Linotype"/>
        </w:rPr>
      </w:pPr>
      <w:r>
        <w:rPr>
          <w:rFonts w:ascii="Palatino Linotype" w:eastAsia="Palatino Linotype" w:hAnsi="Palatino Linotype" w:cs="Palatino Linotype"/>
        </w:rPr>
        <w:t>El formato</w:t>
      </w:r>
      <w:r>
        <w:rPr>
          <w:rFonts w:ascii="Palatino Linotype" w:eastAsia="Palatino Linotype" w:hAnsi="Palatino Linotype" w:cs="Palatino Linotype"/>
          <w:b/>
          <w:bCs/>
        </w:rPr>
        <w:t xml:space="preserve"> PbRM-06 “Programa Anual de Adquisiciones”, </w:t>
      </w:r>
      <w:r>
        <w:rPr>
          <w:rFonts w:ascii="Palatino Linotype" w:eastAsia="Palatino Linotype" w:hAnsi="Palatino Linotype" w:cs="Palatino Linotype"/>
        </w:rPr>
        <w:t>describe de manera precisa a nivel de capítulo, concepto, partida genérica y partida específica presupuestal, el gasto que el ayuntamiento realice por concepto de adquisiciones directas a nivel de proyecto, los capítulos que básicamente se plasmarán en este formato son los referidos a Materiales y Suministros, Servicios Generales y Bienes Muebles, Inmuebles e Intangibles.</w:t>
      </w:r>
    </w:p>
    <w:p w:rsidR="001408F8" w:rsidRDefault="00183356">
      <w:pPr>
        <w:pBdr>
          <w:top w:val="nil"/>
          <w:left w:val="nil"/>
          <w:bottom w:val="nil"/>
          <w:right w:val="nil"/>
          <w:between w:val="nil"/>
        </w:pBdr>
        <w:spacing w:before="240" w:after="240" w:line="360" w:lineRule="auto"/>
        <w:ind w:right="27"/>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formato </w:t>
      </w:r>
      <w:r>
        <w:rPr>
          <w:rFonts w:ascii="Palatino Linotype" w:eastAsia="Palatino Linotype" w:hAnsi="Palatino Linotype" w:cs="Palatino Linotype"/>
          <w:b/>
          <w:bCs/>
        </w:rPr>
        <w:t>PbRM-07a</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Programa Anual de Obra” </w:t>
      </w:r>
      <w:r>
        <w:rPr>
          <w:rFonts w:ascii="Palatino Linotype" w:eastAsia="Palatino Linotype" w:hAnsi="Palatino Linotype" w:cs="Palatino Linotype"/>
        </w:rPr>
        <w:t>especifica de manera precisa el período de ejecución y presupuesto ejercido de la obra pública de que se trate; así como la fuente de financiamiento con la que ésta se llevará a cabo.</w:t>
      </w:r>
    </w:p>
    <w:p w:rsidR="001408F8" w:rsidRDefault="00183356">
      <w:pPr>
        <w:pBdr>
          <w:top w:val="nil"/>
          <w:left w:val="nil"/>
          <w:bottom w:val="nil"/>
          <w:right w:val="nil"/>
          <w:between w:val="nil"/>
        </w:pBdr>
        <w:spacing w:before="240" w:after="240" w:line="360" w:lineRule="auto"/>
        <w:ind w:right="27"/>
        <w:jc w:val="both"/>
        <w:rPr>
          <w:rFonts w:ascii="Palatino Linotype" w:eastAsia="Palatino Linotype" w:hAnsi="Palatino Linotype" w:cs="Palatino Linotype"/>
        </w:rPr>
      </w:pPr>
      <w:r>
        <w:rPr>
          <w:rFonts w:ascii="Palatino Linotype" w:eastAsia="Palatino Linotype" w:hAnsi="Palatino Linotype" w:cs="Palatino Linotype"/>
        </w:rPr>
        <w:t>El formato</w:t>
      </w:r>
      <w:r>
        <w:rPr>
          <w:rFonts w:ascii="Palatino Linotype" w:eastAsia="Palatino Linotype" w:hAnsi="Palatino Linotype" w:cs="Palatino Linotype"/>
          <w:b/>
          <w:bCs/>
        </w:rPr>
        <w:t xml:space="preserve"> </w:t>
      </w:r>
      <w:r>
        <w:rPr>
          <w:rFonts w:ascii="Palatino Linotype" w:eastAsia="Palatino Linotype" w:hAnsi="Palatino Linotype" w:cs="Palatino Linotype"/>
        </w:rPr>
        <w:t>especifica de manera precisa el periodo de ejecución y el presupuesto que destina el ayuntamiento por concepto de Reparaciones y Mantenimiento; así como la fuente de financiamiento con la que ésta se llevará a cabo.</w:t>
      </w:r>
    </w:p>
    <w:p w:rsidR="001408F8" w:rsidRDefault="00183356">
      <w:pPr>
        <w:numPr>
          <w:ilvl w:val="0"/>
          <w:numId w:val="12"/>
        </w:numPr>
        <w:pBdr>
          <w:top w:val="nil"/>
          <w:left w:val="nil"/>
          <w:bottom w:val="nil"/>
          <w:right w:val="nil"/>
          <w:between w:val="nil"/>
        </w:pBdr>
        <w:spacing w:before="240" w:after="240" w:line="360" w:lineRule="auto"/>
        <w:ind w:left="0" w:right="2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de lo anterior, es oportuno mencionar que el “Clasificador por objeto del gasto” contenido en el Manual para la Planeación, Programación y Presupuesto de Egresos Municipal,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rsidR="001408F8" w:rsidRDefault="001408F8">
      <w:pPr>
        <w:pBdr>
          <w:top w:val="nil"/>
          <w:left w:val="nil"/>
          <w:bottom w:val="nil"/>
          <w:right w:val="nil"/>
          <w:between w:val="nil"/>
        </w:pBdr>
        <w:spacing w:before="240" w:after="240" w:line="360" w:lineRule="auto"/>
        <w:ind w:right="27"/>
        <w:jc w:val="both"/>
        <w:rPr>
          <w:rFonts w:ascii="Palatino Linotype" w:eastAsia="Palatino Linotype" w:hAnsi="Palatino Linotype" w:cs="Palatino Linotype"/>
        </w:rPr>
      </w:pPr>
    </w:p>
    <w:p w:rsidR="001408F8" w:rsidRDefault="00183356">
      <w:pPr>
        <w:numPr>
          <w:ilvl w:val="0"/>
          <w:numId w:val="12"/>
        </w:numPr>
        <w:pBdr>
          <w:top w:val="nil"/>
          <w:left w:val="nil"/>
          <w:bottom w:val="nil"/>
          <w:right w:val="nil"/>
          <w:between w:val="nil"/>
        </w:pBdr>
        <w:spacing w:before="280" w:after="280" w:line="360" w:lineRule="auto"/>
        <w:ind w:left="0" w:right="2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estructura del Clasificador, según lo previsto en el anexo del Manual, fue diseñada con un nivel de desagregación que permite que sus cuentas faciliten el registro único de todas las transacciones con incidencia económica – financiera, es por </w:t>
      </w:r>
      <w:r>
        <w:rPr>
          <w:rFonts w:ascii="Palatino Linotype" w:eastAsia="Palatino Linotype" w:hAnsi="Palatino Linotype" w:cs="Palatino Linotype"/>
          <w:color w:val="000000"/>
        </w:rPr>
        <w:lastRenderedPageBreak/>
        <w:t>ello que la armonización se realiza a tercer digito que corresponde a la partida genérica, dejando en poder de las entidades federativas la desagregación e identificación de la partida específica, dando origen a la siguiente estructura de codificación:</w:t>
      </w:r>
    </w:p>
    <w:p w:rsidR="001408F8" w:rsidRDefault="00183356">
      <w:pPr>
        <w:spacing w:before="280" w:after="280" w:line="360" w:lineRule="auto"/>
        <w:ind w:right="27"/>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5612130" cy="1223010"/>
            <wp:effectExtent l="0" t="0" r="0" b="0"/>
            <wp:docPr id="20548258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612130" cy="1223010"/>
                    </a:xfrm>
                    <a:prstGeom prst="rect">
                      <a:avLst/>
                    </a:prstGeom>
                    <a:ln/>
                  </pic:spPr>
                </pic:pic>
              </a:graphicData>
            </a:graphic>
          </wp:inline>
        </w:drawing>
      </w:r>
    </w:p>
    <w:p w:rsidR="001408F8" w:rsidRDefault="00183356">
      <w:pPr>
        <w:spacing w:before="280" w:after="280" w:line="360" w:lineRule="auto"/>
        <w:ind w:right="27"/>
        <w:jc w:val="both"/>
        <w:rPr>
          <w:rFonts w:ascii="Palatino Linotype" w:eastAsia="Palatino Linotype" w:hAnsi="Palatino Linotype" w:cs="Palatino Linotype"/>
        </w:rPr>
      </w:pPr>
      <w:r>
        <w:rPr>
          <w:rFonts w:ascii="Palatino Linotype" w:eastAsia="Palatino Linotype" w:hAnsi="Palatino Linotype" w:cs="Palatino Linotype"/>
        </w:rPr>
        <w:t>Debiendo definir cada una de las partes que lo integran como sigue:</w:t>
      </w:r>
    </w:p>
    <w:p w:rsidR="001408F8" w:rsidRDefault="00183356">
      <w:pPr>
        <w:numPr>
          <w:ilvl w:val="0"/>
          <w:numId w:val="13"/>
        </w:numPr>
        <w:pBdr>
          <w:top w:val="nil"/>
          <w:left w:val="nil"/>
          <w:bottom w:val="nil"/>
          <w:right w:val="nil"/>
          <w:between w:val="nil"/>
        </w:pBdr>
        <w:spacing w:before="120" w:after="120" w:line="360" w:lineRule="auto"/>
        <w:ind w:left="284" w:right="27" w:firstLine="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Capítulo:</w:t>
      </w:r>
      <w:r>
        <w:rPr>
          <w:rFonts w:ascii="Palatino Linotype" w:eastAsia="Palatino Linotype" w:hAnsi="Palatino Linotype" w:cs="Palatino Linotype"/>
          <w:i/>
          <w:iCs/>
          <w:sz w:val="22"/>
          <w:szCs w:val="22"/>
        </w:rPr>
        <w:t xml:space="preserve"> Es el mayor nivel de agregación que identifica el conjunto homogéneo y ordenado de los bienes y servicios requeridos por los entes públicos. </w:t>
      </w:r>
    </w:p>
    <w:p w:rsidR="001408F8" w:rsidRDefault="00183356">
      <w:pPr>
        <w:numPr>
          <w:ilvl w:val="0"/>
          <w:numId w:val="13"/>
        </w:numPr>
        <w:pBdr>
          <w:top w:val="nil"/>
          <w:left w:val="nil"/>
          <w:bottom w:val="nil"/>
          <w:right w:val="nil"/>
          <w:between w:val="nil"/>
        </w:pBdr>
        <w:spacing w:before="120" w:after="120" w:line="360" w:lineRule="auto"/>
        <w:ind w:left="284" w:right="27" w:firstLine="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Concepto:</w:t>
      </w:r>
      <w:r>
        <w:rPr>
          <w:rFonts w:ascii="Palatino Linotype" w:eastAsia="Palatino Linotype" w:hAnsi="Palatino Linotype" w:cs="Palatino Linotype"/>
          <w:i/>
          <w:iCs/>
          <w:sz w:val="22"/>
          <w:szCs w:val="22"/>
        </w:rPr>
        <w:t xml:space="preserve"> Son subconjuntos homogéneos y ordenados en forma específica, producto de la desagregación de los bienes y servicios, incluidos en cada capítulo. </w:t>
      </w:r>
    </w:p>
    <w:p w:rsidR="001408F8" w:rsidRDefault="00183356">
      <w:pPr>
        <w:numPr>
          <w:ilvl w:val="0"/>
          <w:numId w:val="13"/>
        </w:numPr>
        <w:pBdr>
          <w:top w:val="nil"/>
          <w:left w:val="nil"/>
          <w:bottom w:val="nil"/>
          <w:right w:val="nil"/>
          <w:between w:val="nil"/>
        </w:pBdr>
        <w:spacing w:before="120" w:after="120" w:line="360" w:lineRule="auto"/>
        <w:ind w:left="284" w:right="27" w:firstLine="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Partida:</w:t>
      </w:r>
      <w:r>
        <w:rPr>
          <w:rFonts w:ascii="Palatino Linotype" w:eastAsia="Palatino Linotype" w:hAnsi="Palatino Linotype" w:cs="Palatino Linotype"/>
          <w:i/>
          <w:iCs/>
          <w:sz w:val="22"/>
          <w:szCs w:val="22"/>
        </w:rPr>
        <w:t xml:space="preserve"> Es el nivel de agregación más específico en el cual se describen las expresiones concretas y detalladas de los bienes y servicios que se adquieren y se compone de: </w:t>
      </w:r>
    </w:p>
    <w:p w:rsidR="001408F8" w:rsidRDefault="00183356">
      <w:pPr>
        <w:numPr>
          <w:ilvl w:val="0"/>
          <w:numId w:val="14"/>
        </w:numPr>
        <w:pBdr>
          <w:top w:val="nil"/>
          <w:left w:val="nil"/>
          <w:bottom w:val="nil"/>
          <w:right w:val="nil"/>
          <w:between w:val="nil"/>
        </w:pBdr>
        <w:tabs>
          <w:tab w:val="left" w:pos="851"/>
        </w:tabs>
        <w:spacing w:before="120" w:line="360" w:lineRule="auto"/>
        <w:ind w:left="567" w:right="27" w:firstLine="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La Partida Genérica</w:t>
      </w:r>
      <w:r>
        <w:rPr>
          <w:rFonts w:ascii="Palatino Linotype" w:eastAsia="Palatino Linotype" w:hAnsi="Palatino Linotype" w:cs="Palatino Linotype"/>
          <w:i/>
          <w:iCs/>
          <w:sz w:val="22"/>
          <w:szCs w:val="22"/>
        </w:rPr>
        <w:t xml:space="preserve"> se refiere al tercer dígito, el cual logrará la armonización a todos los niveles de gobierno.</w:t>
      </w:r>
    </w:p>
    <w:p w:rsidR="001408F8" w:rsidRDefault="00183356">
      <w:pPr>
        <w:numPr>
          <w:ilvl w:val="0"/>
          <w:numId w:val="14"/>
        </w:numPr>
        <w:pBdr>
          <w:top w:val="nil"/>
          <w:left w:val="nil"/>
          <w:bottom w:val="nil"/>
          <w:right w:val="nil"/>
          <w:between w:val="nil"/>
        </w:pBdr>
        <w:tabs>
          <w:tab w:val="left" w:pos="851"/>
        </w:tabs>
        <w:spacing w:after="120" w:line="360" w:lineRule="auto"/>
        <w:ind w:left="567" w:right="27" w:firstLine="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lastRenderedPageBreak/>
        <w:t>La Partida Específica</w:t>
      </w:r>
      <w:r>
        <w:rPr>
          <w:rFonts w:ascii="Palatino Linotype" w:eastAsia="Palatino Linotype" w:hAnsi="Palatino Linotype" w:cs="Palatino Linotype"/>
          <w:i/>
          <w:iCs/>
          <w:sz w:val="22"/>
          <w:szCs w:val="22"/>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rsidR="001408F8" w:rsidRDefault="001408F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408F8" w:rsidRDefault="001408F8">
      <w:pPr>
        <w:pBdr>
          <w:top w:val="nil"/>
          <w:left w:val="nil"/>
          <w:bottom w:val="nil"/>
          <w:right w:val="nil"/>
          <w:between w:val="nil"/>
        </w:pBdr>
        <w:ind w:left="720"/>
        <w:rPr>
          <w:rFonts w:ascii="Palatino Linotype" w:eastAsia="Palatino Linotype" w:hAnsi="Palatino Linotype" w:cs="Palatino Linotype"/>
          <w:color w:val="000000"/>
        </w:rPr>
      </w:pPr>
    </w:p>
    <w:p w:rsidR="001408F8" w:rsidRDefault="00183356">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por lo expuesto que éste Órgano Garante considera que ha quedado acreditada la competencia del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para conocer la información que es del interés de la persona solicitante.</w:t>
      </w:r>
    </w:p>
    <w:p w:rsidR="001408F8" w:rsidRDefault="001408F8">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1408F8" w:rsidRDefault="00183356">
      <w:pPr>
        <w:keepNext/>
        <w:keepLines/>
        <w:spacing w:after="160"/>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QUINTO. De la versión pública.</w:t>
      </w:r>
    </w:p>
    <w:p w:rsidR="001408F8" w:rsidRDefault="00183356">
      <w:pPr>
        <w:keepNext/>
        <w:keepLines/>
        <w:numPr>
          <w:ilvl w:val="0"/>
          <w:numId w:val="9"/>
        </w:numPr>
        <w:tabs>
          <w:tab w:val="left" w:pos="284"/>
        </w:tabs>
        <w:spacing w:after="160"/>
        <w:ind w:left="0" w:firstLine="0"/>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Nociones generales. </w:t>
      </w:r>
    </w:p>
    <w:p w:rsidR="001408F8" w:rsidRDefault="00183356">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Debe destacarse, que debido a la información solicitada por el </w:t>
      </w:r>
      <w:r>
        <w:rPr>
          <w:rFonts w:ascii="Palatino Linotype" w:eastAsia="Palatino Linotype" w:hAnsi="Palatino Linotype" w:cs="Palatino Linotype"/>
          <w:b/>
          <w:bCs/>
          <w:color w:val="000000"/>
        </w:rPr>
        <w:t xml:space="preserve">RECURRENTE, pueden obrar </w:t>
      </w:r>
      <w:r>
        <w:rPr>
          <w:rFonts w:ascii="Palatino Linotype" w:eastAsia="Palatino Linotype" w:hAnsi="Palatino Linotype" w:cs="Palatino Linotype"/>
          <w:color w:val="000000"/>
        </w:rPr>
        <w:t xml:space="preserve">datos personales susceptibles de protegerse, así como información susceptible de clasificarse como confidenciales,  por lo que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1408F8" w:rsidRDefault="001408F8">
      <w:pPr>
        <w:tabs>
          <w:tab w:val="left" w:pos="0"/>
          <w:tab w:val="left" w:pos="284"/>
        </w:tabs>
        <w:spacing w:line="360" w:lineRule="auto"/>
        <w:jc w:val="both"/>
        <w:rPr>
          <w:rFonts w:ascii="Palatino Linotype" w:eastAsia="Palatino Linotype" w:hAnsi="Palatino Linotype" w:cs="Palatino Linotype"/>
          <w:highlight w:val="yellow"/>
        </w:rPr>
      </w:pPr>
    </w:p>
    <w:p w:rsidR="001408F8" w:rsidRDefault="00183356">
      <w:pPr>
        <w:numPr>
          <w:ilvl w:val="0"/>
          <w:numId w:val="4"/>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pasa desapercibido para este Órgano Garante que los sujetos obligados</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serán responsables de los datos personales en su posesión y que, en caso de localizarse datos concernientes a terceros, éstos no podrán difundir, distribuir o comercializar los </w:t>
      </w:r>
      <w:r>
        <w:rPr>
          <w:rFonts w:ascii="Palatino Linotype" w:eastAsia="Palatino Linotype" w:hAnsi="Palatino Linotype" w:cs="Palatino Linotype"/>
          <w:color w:val="000000"/>
        </w:rPr>
        <w:lastRenderedPageBreak/>
        <w:t>datos personales.  Cabe destacar que, para la realización de la clasificación de la información, se deben seguir una serie de pasos y procedimientos, por lo que es menester reiterar los mismos:</w:t>
      </w:r>
    </w:p>
    <w:p w:rsidR="001408F8" w:rsidRDefault="001408F8">
      <w:pPr>
        <w:tabs>
          <w:tab w:val="left" w:pos="284"/>
        </w:tabs>
        <w:spacing w:after="160" w:line="360" w:lineRule="auto"/>
        <w:jc w:val="both"/>
        <w:rPr>
          <w:rFonts w:ascii="Palatino Linotype" w:eastAsia="Palatino Linotype" w:hAnsi="Palatino Linotype" w:cs="Palatino Linotype"/>
          <w:color w:val="000000"/>
          <w:sz w:val="22"/>
          <w:szCs w:val="22"/>
        </w:rPr>
      </w:pPr>
    </w:p>
    <w:tbl>
      <w:tblPr>
        <w:tblStyle w:val="a"/>
        <w:tblW w:w="9073"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6810"/>
      </w:tblGrid>
      <w:tr w:rsidR="001408F8">
        <w:tc>
          <w:tcPr>
            <w:tcW w:w="2263" w:type="dxa"/>
          </w:tcPr>
          <w:p w:rsidR="001408F8" w:rsidRDefault="00183356">
            <w:pPr>
              <w:tabs>
                <w:tab w:val="left" w:pos="284"/>
              </w:tabs>
              <w:spacing w:line="360" w:lineRule="auto"/>
              <w:rPr>
                <w:rFonts w:ascii="Palatino Linotype" w:eastAsia="Palatino Linotype" w:hAnsi="Palatino Linotype" w:cs="Palatino Linotype"/>
                <w:b/>
                <w:bCs/>
              </w:rPr>
            </w:pPr>
            <w:r>
              <w:rPr>
                <w:rFonts w:ascii="Palatino Linotype" w:eastAsia="Palatino Linotype" w:hAnsi="Palatino Linotype" w:cs="Palatino Linotype"/>
                <w:b/>
                <w:bCs/>
              </w:rPr>
              <w:t>a) Requisitos previos.</w:t>
            </w:r>
          </w:p>
        </w:tc>
        <w:tc>
          <w:tcPr>
            <w:tcW w:w="6810" w:type="dxa"/>
          </w:tcPr>
          <w:p w:rsidR="001408F8" w:rsidRDefault="00183356">
            <w:pPr>
              <w:tabs>
                <w:tab w:val="left" w:pos="284"/>
              </w:tabs>
              <w:spacing w:line="276" w:lineRule="auto"/>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Los artículos 100 y 122 de la Ley Estatal y de la Ley General vigente a la fecha de la solicitud, respectivamente, señalan que si los Sujetos Obligados determinan que la información actualiza alguno de los supuestos de clasificación, es deber de los titulares de las áreas proponer su clasificación y no del Comité de Transparencia. </w:t>
            </w:r>
          </w:p>
          <w:p w:rsidR="001408F8" w:rsidRDefault="00183356">
            <w:pPr>
              <w:tabs>
                <w:tab w:val="left" w:pos="284"/>
              </w:tabs>
              <w:spacing w:line="276" w:lineRule="auto"/>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Al hacerlo tienen que precisar de qué información se trata, señalando el supuesto de clasificación (confidencialidad o reserva).</w:t>
            </w:r>
          </w:p>
          <w:p w:rsidR="001408F8" w:rsidRDefault="00183356">
            <w:pPr>
              <w:tabs>
                <w:tab w:val="left" w:pos="284"/>
              </w:tabs>
              <w:spacing w:line="276" w:lineRule="auto"/>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Además, se debe señalar el procedimiento, de los tres que establecen los artículos 132 y 106 de la Ley Estatal y General, respectivamente.</w:t>
            </w:r>
          </w:p>
          <w:p w:rsidR="001408F8" w:rsidRDefault="00183356">
            <w:pPr>
              <w:tabs>
                <w:tab w:val="left" w:pos="284"/>
              </w:tabs>
              <w:spacing w:line="276" w:lineRule="auto"/>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color w:val="000000"/>
                <w:sz w:val="22"/>
                <w:szCs w:val="22"/>
              </w:rPr>
              <w:t xml:space="preserve">El último de estos requisitos previos consiste en que no se pueden emitir acuerdos de carácter general ni particular, esto es, </w:t>
            </w:r>
            <w:r>
              <w:rPr>
                <w:rFonts w:ascii="Palatino Linotype" w:eastAsia="Palatino Linotype" w:hAnsi="Palatino Linotype" w:cs="Palatino Linotype"/>
                <w:i/>
                <w:iCs/>
                <w:color w:val="000000"/>
                <w:sz w:val="22"/>
                <w:szCs w:val="22"/>
                <w:u w:val="single"/>
              </w:rPr>
              <w:t>no se puede hacer un acuerdo para clasificar de manera general todos los documentos de un expediente o área, sin</w:t>
            </w:r>
            <w:r>
              <w:rPr>
                <w:rFonts w:ascii="Palatino Linotype" w:eastAsia="Palatino Linotype" w:hAnsi="Palatino Linotype" w:cs="Palatino Linotype"/>
                <w:i/>
                <w:iCs/>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1408F8">
        <w:tc>
          <w:tcPr>
            <w:tcW w:w="2263" w:type="dxa"/>
            <w:shd w:val="clear" w:color="auto" w:fill="D9D9D9"/>
          </w:tcPr>
          <w:p w:rsidR="001408F8" w:rsidRDefault="00183356">
            <w:pPr>
              <w:tabs>
                <w:tab w:val="left" w:pos="284"/>
              </w:tabs>
              <w:spacing w:line="360" w:lineRule="auto"/>
              <w:rPr>
                <w:rFonts w:ascii="Palatino Linotype" w:eastAsia="Palatino Linotype" w:hAnsi="Palatino Linotype" w:cs="Palatino Linotype"/>
                <w:b/>
                <w:bCs/>
              </w:rPr>
            </w:pPr>
            <w:r>
              <w:rPr>
                <w:rFonts w:ascii="Palatino Linotype" w:eastAsia="Palatino Linotype" w:hAnsi="Palatino Linotype" w:cs="Palatino Linotype"/>
                <w:b/>
                <w:bCs/>
              </w:rPr>
              <w:t>b) Supuestos de clasificación.</w:t>
            </w:r>
          </w:p>
        </w:tc>
        <w:tc>
          <w:tcPr>
            <w:tcW w:w="6810" w:type="dxa"/>
            <w:shd w:val="clear" w:color="auto" w:fill="D9D9D9"/>
          </w:tcPr>
          <w:p w:rsidR="001408F8" w:rsidRDefault="00183356">
            <w:pPr>
              <w:tabs>
                <w:tab w:val="left" w:pos="284"/>
              </w:tabs>
              <w:spacing w:line="276" w:lineRule="auto"/>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Las disposiciones constitucionales y legales en la materia establecen los dos supuestos generales para clasificar la información: por reserva y por confidencialidad.</w:t>
            </w:r>
          </w:p>
          <w:p w:rsidR="001408F8" w:rsidRDefault="00183356">
            <w:pPr>
              <w:tabs>
                <w:tab w:val="left" w:pos="284"/>
              </w:tabs>
              <w:spacing w:line="276" w:lineRule="auto"/>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Los artículos 116 y 143 de la Ley Estatal y de la Ley General vigente a la fecha de la solicitud, respectivamente, señalan los supuestos para que la información pueda ser clasificada como confidencial. Mientras que los artículos 105 y 130 de la Ley Estatal y de la Ley General vigente a la fecha de la solicitud, respectivamente, señalan que la aplicación de estos </w:t>
            </w:r>
            <w:r>
              <w:rPr>
                <w:rFonts w:ascii="Palatino Linotype" w:eastAsia="Palatino Linotype" w:hAnsi="Palatino Linotype" w:cs="Palatino Linotype"/>
                <w:i/>
                <w:iCs/>
                <w:color w:val="000000"/>
                <w:sz w:val="22"/>
                <w:szCs w:val="22"/>
              </w:rPr>
              <w:lastRenderedPageBreak/>
              <w:t>supuestos debe realizarse de manera restrictiva y limitada, por lo que debe acreditarse que se cumple con esta condición y no se pueden ampliar las excepciones o supuestos de clasificación aduciendo analogía o mayoría de razón.</w:t>
            </w:r>
          </w:p>
          <w:p w:rsidR="001408F8" w:rsidRDefault="00183356">
            <w:pPr>
              <w:tabs>
                <w:tab w:val="left" w:pos="284"/>
              </w:tabs>
              <w:spacing w:line="276" w:lineRule="auto"/>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color w:val="000000"/>
                <w:sz w:val="22"/>
                <w:szCs w:val="22"/>
              </w:rPr>
              <w:t xml:space="preserve">El </w:t>
            </w:r>
            <w:r>
              <w:rPr>
                <w:rFonts w:ascii="Palatino Linotype" w:eastAsia="Palatino Linotype" w:hAnsi="Palatino Linotype" w:cs="Palatino Linotype"/>
                <w:b/>
                <w:bCs/>
                <w:i/>
                <w:iCs/>
                <w:color w:val="000000"/>
                <w:sz w:val="22"/>
                <w:szCs w:val="22"/>
              </w:rPr>
              <w:t>Sujeto Obligado</w:t>
            </w:r>
            <w:r>
              <w:rPr>
                <w:rFonts w:ascii="Palatino Linotype" w:eastAsia="Palatino Linotype" w:hAnsi="Palatino Linotype" w:cs="Palatino Linotype"/>
                <w:i/>
                <w:iCs/>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408F8">
        <w:tc>
          <w:tcPr>
            <w:tcW w:w="2263" w:type="dxa"/>
          </w:tcPr>
          <w:p w:rsidR="001408F8" w:rsidRDefault="00183356">
            <w:pPr>
              <w:tabs>
                <w:tab w:val="left" w:pos="284"/>
              </w:tabs>
              <w:spacing w:line="360" w:lineRule="auto"/>
              <w:rPr>
                <w:rFonts w:ascii="Palatino Linotype" w:eastAsia="Palatino Linotype" w:hAnsi="Palatino Linotype" w:cs="Palatino Linotype"/>
                <w:b/>
                <w:bCs/>
              </w:rPr>
            </w:pPr>
            <w:r>
              <w:rPr>
                <w:rFonts w:ascii="Palatino Linotype" w:eastAsia="Palatino Linotype" w:hAnsi="Palatino Linotype" w:cs="Palatino Linotype"/>
                <w:b/>
                <w:bCs/>
              </w:rPr>
              <w:lastRenderedPageBreak/>
              <w:t>c) Formalidades para emitir el acuerdo de clasificación.</w:t>
            </w:r>
          </w:p>
        </w:tc>
        <w:tc>
          <w:tcPr>
            <w:tcW w:w="6810" w:type="dxa"/>
          </w:tcPr>
          <w:p w:rsidR="001408F8" w:rsidRDefault="00183356">
            <w:pPr>
              <w:tabs>
                <w:tab w:val="left" w:pos="284"/>
              </w:tabs>
              <w:spacing w:line="276" w:lineRule="auto"/>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El Comité de Transparencia, según lo dispuesto en los artículos cuenta con las facultades para aprobar, modificar o revocar la clasificación de la información que haya propuesto. </w:t>
            </w:r>
          </w:p>
          <w:p w:rsidR="001408F8" w:rsidRDefault="00183356">
            <w:pPr>
              <w:tabs>
                <w:tab w:val="left" w:pos="284"/>
              </w:tabs>
              <w:spacing w:line="276" w:lineRule="auto"/>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Es necesario que </w:t>
            </w:r>
            <w:r>
              <w:rPr>
                <w:rFonts w:ascii="Palatino Linotype" w:eastAsia="Palatino Linotype" w:hAnsi="Palatino Linotype" w:cs="Palatino Linotype"/>
                <w:b/>
                <w:bCs/>
                <w:i/>
                <w:iCs/>
                <w:color w:val="000000"/>
                <w:sz w:val="22"/>
                <w:szCs w:val="22"/>
                <w:u w:val="single"/>
              </w:rPr>
              <w:t>el acto reúna con los requisitos elementales</w:t>
            </w:r>
            <w:r>
              <w:rPr>
                <w:rFonts w:ascii="Palatino Linotype" w:eastAsia="Palatino Linotype" w:hAnsi="Palatino Linotype" w:cs="Palatino Linotype"/>
                <w:i/>
                <w:iCs/>
                <w:color w:val="000000"/>
                <w:sz w:val="22"/>
                <w:szCs w:val="22"/>
              </w:rPr>
              <w:t>, entre ellos, que la autoridad que va a emitir el acto de autoridad sea la legalmente facultada para ello.</w:t>
            </w:r>
          </w:p>
          <w:p w:rsidR="001408F8" w:rsidRDefault="00183356">
            <w:pPr>
              <w:tabs>
                <w:tab w:val="left" w:pos="284"/>
              </w:tabs>
              <w:spacing w:line="276" w:lineRule="auto"/>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color w:val="000000"/>
                <w:sz w:val="22"/>
                <w:szCs w:val="22"/>
              </w:rPr>
              <w:t xml:space="preserve">La decisión de aprobar, modificar o revocar la clasificación deberá de asentarse en un documento que registre la determinación a la que se llegue después de un análisis minucioso a partir de lo propuesto por el Titular del I. </w:t>
            </w:r>
            <w:r>
              <w:rPr>
                <w:rFonts w:ascii="Palatino Linotype" w:eastAsia="Palatino Linotype" w:hAnsi="Palatino Linotype" w:cs="Palatino Linotype"/>
                <w:i/>
                <w:iCs/>
                <w:sz w:val="22"/>
                <w:szCs w:val="22"/>
              </w:rPr>
              <w:t>El área</w:t>
            </w:r>
            <w:r>
              <w:rPr>
                <w:rFonts w:ascii="Palatino Linotype" w:eastAsia="Palatino Linotype" w:hAnsi="Palatino Linotype" w:cs="Palatino Linotype"/>
                <w:i/>
                <w:iCs/>
                <w:color w:val="000000"/>
                <w:sz w:val="22"/>
                <w:szCs w:val="22"/>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408F8">
        <w:tc>
          <w:tcPr>
            <w:tcW w:w="2263" w:type="dxa"/>
            <w:shd w:val="clear" w:color="auto" w:fill="D9D9D9"/>
          </w:tcPr>
          <w:p w:rsidR="001408F8" w:rsidRDefault="001408F8">
            <w:pPr>
              <w:tabs>
                <w:tab w:val="left" w:pos="284"/>
              </w:tabs>
              <w:spacing w:line="360" w:lineRule="auto"/>
              <w:rPr>
                <w:rFonts w:ascii="Palatino Linotype" w:eastAsia="Palatino Linotype" w:hAnsi="Palatino Linotype" w:cs="Palatino Linotype"/>
                <w:b/>
                <w:bCs/>
              </w:rPr>
            </w:pPr>
          </w:p>
          <w:p w:rsidR="001408F8" w:rsidRDefault="00183356">
            <w:pPr>
              <w:tabs>
                <w:tab w:val="left" w:pos="284"/>
              </w:tabs>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color w:val="000000"/>
              </w:rPr>
              <w:t xml:space="preserve">d) Requisitos de fondo del acuerdo de clasificación. </w:t>
            </w:r>
          </w:p>
        </w:tc>
        <w:tc>
          <w:tcPr>
            <w:tcW w:w="6810" w:type="dxa"/>
            <w:shd w:val="clear" w:color="auto" w:fill="D9D9D9"/>
          </w:tcPr>
          <w:p w:rsidR="001408F8" w:rsidRDefault="00183356">
            <w:pPr>
              <w:tabs>
                <w:tab w:val="left" w:pos="284"/>
              </w:tabs>
              <w:spacing w:line="276" w:lineRule="auto"/>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bCs/>
                <w:i/>
                <w:iCs/>
                <w:color w:val="000000"/>
                <w:sz w:val="22"/>
                <w:szCs w:val="22"/>
              </w:rPr>
              <w:t>Sujetos Obligados</w:t>
            </w:r>
            <w:r>
              <w:rPr>
                <w:rFonts w:ascii="Palatino Linotype" w:eastAsia="Palatino Linotype" w:hAnsi="Palatino Linotype" w:cs="Palatino Linotype"/>
                <w:i/>
                <w:iCs/>
                <w:color w:val="000000"/>
                <w:sz w:val="22"/>
                <w:szCs w:val="22"/>
              </w:rPr>
              <w:t xml:space="preserve">, por lo que deberán fundar y motivar debidamente la clasificación. </w:t>
            </w:r>
          </w:p>
          <w:p w:rsidR="001408F8" w:rsidRDefault="00183356">
            <w:pPr>
              <w:tabs>
                <w:tab w:val="left" w:pos="284"/>
              </w:tabs>
              <w:spacing w:line="276" w:lineRule="auto"/>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lastRenderedPageBreak/>
              <w:t xml:space="preserve">De lo anterior, se desprende que para una correcta </w:t>
            </w:r>
            <w:r>
              <w:rPr>
                <w:rFonts w:ascii="Palatino Linotype" w:eastAsia="Palatino Linotype" w:hAnsi="Palatino Linotype" w:cs="Palatino Linotype"/>
                <w:b/>
                <w:bCs/>
                <w:i/>
                <w:iCs/>
                <w:color w:val="000000"/>
                <w:sz w:val="22"/>
                <w:szCs w:val="22"/>
              </w:rPr>
              <w:t>clasificación total o parcial</w:t>
            </w:r>
            <w:r>
              <w:rPr>
                <w:rFonts w:ascii="Palatino Linotype" w:eastAsia="Palatino Linotype" w:hAnsi="Palatino Linotype" w:cs="Palatino Linotype"/>
                <w:i/>
                <w:iCs/>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1408F8" w:rsidRDefault="00183356">
            <w:pPr>
              <w:tabs>
                <w:tab w:val="left" w:pos="284"/>
              </w:tabs>
              <w:spacing w:line="276" w:lineRule="auto"/>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1408F8" w:rsidRDefault="00183356">
            <w:pPr>
              <w:tabs>
                <w:tab w:val="left" w:pos="284"/>
              </w:tabs>
              <w:spacing w:line="276" w:lineRule="auto"/>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En ese mismo sentido, el numeral trigésimo tercero fracción V de los Lineamientos Generales, precisa que para motivar la clasificación se deben acreditar las circunstancias de tiempo, modo y lugar.</w:t>
            </w:r>
          </w:p>
          <w:p w:rsidR="001408F8" w:rsidRDefault="00183356">
            <w:pPr>
              <w:tabs>
                <w:tab w:val="left" w:pos="284"/>
              </w:tabs>
              <w:spacing w:line="276" w:lineRule="auto"/>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Ahora bien, </w:t>
            </w:r>
            <w:r>
              <w:rPr>
                <w:rFonts w:ascii="Palatino Linotype" w:eastAsia="Palatino Linotype" w:hAnsi="Palatino Linotype" w:cs="Palatino Linotype"/>
                <w:b/>
                <w:bCs/>
                <w:i/>
                <w:iCs/>
                <w:color w:val="000000"/>
                <w:sz w:val="22"/>
                <w:szCs w:val="22"/>
                <w:u w:val="single"/>
              </w:rPr>
              <w:t>para cada caso además de fundar y motivar</w:t>
            </w:r>
            <w:r>
              <w:rPr>
                <w:rFonts w:ascii="Palatino Linotype" w:eastAsia="Palatino Linotype" w:hAnsi="Palatino Linotype" w:cs="Palatino Linotype"/>
                <w:i/>
                <w:iCs/>
                <w:color w:val="000000"/>
                <w:sz w:val="22"/>
                <w:szCs w:val="22"/>
              </w:rPr>
              <w:t xml:space="preserve">, se debe identificar con claridad </w:t>
            </w:r>
            <w:r>
              <w:rPr>
                <w:rFonts w:ascii="Palatino Linotype" w:eastAsia="Palatino Linotype" w:hAnsi="Palatino Linotype" w:cs="Palatino Linotype"/>
                <w:i/>
                <w:iCs/>
                <w:sz w:val="22"/>
                <w:szCs w:val="22"/>
              </w:rPr>
              <w:t>qué</w:t>
            </w:r>
            <w:r>
              <w:rPr>
                <w:rFonts w:ascii="Palatino Linotype" w:eastAsia="Palatino Linotype" w:hAnsi="Palatino Linotype" w:cs="Palatino Linotype"/>
                <w:i/>
                <w:iCs/>
                <w:color w:val="000000"/>
                <w:sz w:val="22"/>
                <w:szCs w:val="22"/>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408F8">
        <w:tc>
          <w:tcPr>
            <w:tcW w:w="2263" w:type="dxa"/>
          </w:tcPr>
          <w:p w:rsidR="001408F8" w:rsidRDefault="00183356">
            <w:pPr>
              <w:tabs>
                <w:tab w:val="left" w:pos="284"/>
              </w:tabs>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lastRenderedPageBreak/>
              <w:t xml:space="preserve">e) Condiciones especiales de la clasificación de la información como confidencial. </w:t>
            </w:r>
          </w:p>
        </w:tc>
        <w:tc>
          <w:tcPr>
            <w:tcW w:w="6810" w:type="dxa"/>
          </w:tcPr>
          <w:p w:rsidR="001408F8" w:rsidRDefault="00183356">
            <w:pPr>
              <w:tabs>
                <w:tab w:val="left" w:pos="284"/>
              </w:tabs>
              <w:spacing w:line="276" w:lineRule="auto"/>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Los artículos 148 y 120 de la Ley Estatal y de la Ley General vigente a la fecha de la solicitud, respectivamente, establecen que aun tratándose de datos personales, se podrán proporcionar, incluso sin solicitar el consentimiento de su titular. </w:t>
            </w:r>
          </w:p>
          <w:p w:rsidR="001408F8" w:rsidRDefault="00183356">
            <w:pPr>
              <w:tabs>
                <w:tab w:val="left" w:pos="284"/>
              </w:tabs>
              <w:spacing w:line="276" w:lineRule="auto"/>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w:t>
            </w:r>
            <w:r>
              <w:rPr>
                <w:rFonts w:ascii="Palatino Linotype" w:eastAsia="Palatino Linotype" w:hAnsi="Palatino Linotype" w:cs="Palatino Linotype"/>
                <w:i/>
                <w:iCs/>
                <w:color w:val="000000"/>
                <w:sz w:val="22"/>
                <w:szCs w:val="22"/>
              </w:rPr>
              <w:lastRenderedPageBreak/>
              <w:t xml:space="preserve">servidores públicos nos encontramos sujetos a un régimen menor de protección. </w:t>
            </w:r>
          </w:p>
          <w:p w:rsidR="001408F8" w:rsidRDefault="00183356">
            <w:pPr>
              <w:tabs>
                <w:tab w:val="left" w:pos="284"/>
              </w:tabs>
              <w:spacing w:line="276" w:lineRule="auto"/>
              <w:rPr>
                <w:rFonts w:ascii="Palatino Linotype" w:eastAsia="Palatino Linotype" w:hAnsi="Palatino Linotype" w:cs="Palatino Linotype"/>
                <w:i/>
                <w:iCs/>
                <w:sz w:val="22"/>
                <w:szCs w:val="22"/>
              </w:rPr>
            </w:pPr>
            <w:r>
              <w:rPr>
                <w:rFonts w:ascii="Palatino Linotype" w:eastAsia="Palatino Linotype" w:hAnsi="Palatino Linotype" w:cs="Palatino Linotype"/>
                <w:i/>
                <w:iCs/>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1408F8" w:rsidRDefault="001408F8">
      <w:pPr>
        <w:tabs>
          <w:tab w:val="left" w:pos="284"/>
        </w:tabs>
        <w:spacing w:line="360" w:lineRule="auto"/>
        <w:jc w:val="both"/>
        <w:rPr>
          <w:rFonts w:ascii="Palatino Linotype" w:eastAsia="Palatino Linotype" w:hAnsi="Palatino Linotype" w:cs="Palatino Linotype"/>
          <w:color w:val="000000"/>
          <w:sz w:val="22"/>
          <w:szCs w:val="22"/>
        </w:rPr>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Dada la </w:t>
      </w:r>
      <w:r>
        <w:rPr>
          <w:rFonts w:ascii="Palatino Linotype" w:eastAsia="Palatino Linotype" w:hAnsi="Palatino Linotype" w:cs="Palatino Linotype"/>
          <w:color w:val="000000"/>
        </w:rPr>
        <w:t>complejidad</w:t>
      </w:r>
      <w:r>
        <w:rPr>
          <w:rFonts w:ascii="Palatino Linotype" w:eastAsia="Palatino Linotype" w:hAnsi="Palatino Linotype" w:cs="Palatino Linotype"/>
        </w:rPr>
        <w:t xml:space="preserve">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1408F8" w:rsidRDefault="001408F8">
      <w:pPr>
        <w:spacing w:line="360" w:lineRule="auto"/>
        <w:jc w:val="both"/>
        <w:rPr>
          <w:rFonts w:ascii="Palatino Linotype" w:eastAsia="Palatino Linotype" w:hAnsi="Palatino Linotype" w:cs="Palatino Linotype"/>
        </w:rPr>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w:t>
      </w:r>
      <w:r>
        <w:rPr>
          <w:rFonts w:ascii="Palatino Linotype" w:eastAsia="Palatino Linotype" w:hAnsi="Palatino Linotype" w:cs="Palatino Linotype"/>
          <w:color w:val="000000"/>
        </w:rPr>
        <w:t>cuando</w:t>
      </w:r>
      <w:r>
        <w:rPr>
          <w:rFonts w:ascii="Palatino Linotype" w:eastAsia="Palatino Linotype" w:hAnsi="Palatino Linotype" w:cs="Palatino Linotype"/>
        </w:rPr>
        <w:t xml:space="preserve"> las personas tienen una relación comercial, laboral, de servicios, trámites o del tipo que sea, necesariamente por un tema de interés público, debe cederse un poco de privacidad, de tal forma que la gente en general pueda </w:t>
      </w:r>
      <w:r>
        <w:rPr>
          <w:rFonts w:ascii="Palatino Linotype" w:eastAsia="Palatino Linotype" w:hAnsi="Palatino Linotype" w:cs="Palatino Linotype"/>
        </w:rPr>
        <w:lastRenderedPageBreak/>
        <w:t>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1408F8" w:rsidRDefault="001408F8">
      <w:pPr>
        <w:spacing w:line="360" w:lineRule="auto"/>
        <w:jc w:val="both"/>
        <w:rPr>
          <w:rFonts w:ascii="Palatino Linotype" w:eastAsia="Palatino Linotype" w:hAnsi="Palatino Linotype" w:cs="Palatino Linotype"/>
        </w:rPr>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Bajo este esquema, se aprecia que la información ordenada, puede contener información susceptible a clasificar como confidencial y otra que resulta publica; a fin de aportar mayores elementos para la correcta elaboración de las versiones públicas; de forma enunciativa más no limitativa; se analizan el Registro Federal de Contribuyentes (RFC) y la Clave Única de Registro de Población (CURP), el nombre de representante legal de una persona jurídico colectiva; entre otros, ya que son datos que obran en los documentos solicitados.</w:t>
      </w:r>
    </w:p>
    <w:p w:rsidR="001408F8" w:rsidRDefault="001408F8">
      <w:pPr>
        <w:jc w:val="both"/>
        <w:rPr>
          <w:rFonts w:ascii="Palatino Linotype" w:eastAsia="Palatino Linotype" w:hAnsi="Palatino Linotype" w:cs="Palatino Linotype"/>
          <w:b/>
          <w:bCs/>
        </w:rPr>
      </w:pPr>
    </w:p>
    <w:p w:rsidR="001408F8" w:rsidRDefault="0018335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Registro Federal de Contribuyentes (RFC)</w:t>
      </w:r>
    </w:p>
    <w:p w:rsidR="001408F8" w:rsidRDefault="00183356">
      <w:pPr>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Persona física.</w:t>
      </w: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w:t>
      </w:r>
      <w:r>
        <w:rPr>
          <w:rFonts w:ascii="Palatino Linotype" w:eastAsia="Palatino Linotype" w:hAnsi="Palatino Linotype" w:cs="Palatino Linotype"/>
        </w:rPr>
        <w:lastRenderedPageBreak/>
        <w:t>de la Secretaría de Hacienda y Crédito Público, de acuerdo al artículo 27 del Código Fiscal de la Federación.</w:t>
      </w:r>
    </w:p>
    <w:p w:rsidR="001408F8" w:rsidRDefault="001408F8">
      <w:pPr>
        <w:jc w:val="both"/>
        <w:rPr>
          <w:rFonts w:ascii="Palatino Linotype" w:eastAsia="Palatino Linotype" w:hAnsi="Palatino Linotype" w:cs="Palatino Linotype"/>
        </w:rPr>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De acuerdo con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001408F8" w:rsidRDefault="001408F8">
      <w:pPr>
        <w:jc w:val="both"/>
        <w:rPr>
          <w:rFonts w:ascii="Palatino Linotype" w:eastAsia="Palatino Linotype" w:hAnsi="Palatino Linotype" w:cs="Palatino Linotype"/>
        </w:rPr>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1408F8" w:rsidRDefault="001408F8">
      <w:pPr>
        <w:jc w:val="both"/>
        <w:rPr>
          <w:rFonts w:ascii="Palatino Linotype" w:eastAsia="Palatino Linotype" w:hAnsi="Palatino Linotype" w:cs="Palatino Linotype"/>
        </w:rPr>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001408F8" w:rsidRDefault="001408F8">
      <w:pPr>
        <w:spacing w:line="360" w:lineRule="auto"/>
        <w:jc w:val="both"/>
        <w:rPr>
          <w:rFonts w:ascii="Palatino Linotype" w:eastAsia="Palatino Linotype" w:hAnsi="Palatino Linotype" w:cs="Palatino Linotype"/>
        </w:rPr>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Lo anterior, resulta congruente con el Criterio orientador 19/17 emitido por el Instituto Nacional de Transparencia, Acceso a la Información y Protección de Datos Personales, en el cual se señala lo siguiente:</w:t>
      </w:r>
    </w:p>
    <w:p w:rsidR="001408F8" w:rsidRDefault="001408F8">
      <w:pPr>
        <w:spacing w:line="360" w:lineRule="auto"/>
        <w:ind w:right="-787"/>
        <w:jc w:val="both"/>
        <w:rPr>
          <w:rFonts w:ascii="Palatino Linotype" w:eastAsia="Palatino Linotype" w:hAnsi="Palatino Linotype" w:cs="Palatino Linotype"/>
        </w:rPr>
      </w:pP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Registro Federal de Contribuyentes (RFC) de personas físicas.</w:t>
      </w:r>
      <w:r>
        <w:rPr>
          <w:rFonts w:ascii="Palatino Linotype" w:eastAsia="Palatino Linotype" w:hAnsi="Palatino Linotype" w:cs="Palatino Linotype"/>
          <w:i/>
          <w:iCs/>
          <w:sz w:val="22"/>
          <w:szCs w:val="22"/>
        </w:rPr>
        <w:t xml:space="preserve"> El RFC es una clave de carácter fiscal, única e irrepetible, que permite identificar al titular, su edad y fecha de nacimiento, por lo que es un dato personal de carácter confidencial.</w:t>
      </w:r>
    </w:p>
    <w:p w:rsidR="001408F8" w:rsidRDefault="001408F8">
      <w:pPr>
        <w:spacing w:line="360" w:lineRule="auto"/>
        <w:ind w:left="567"/>
        <w:jc w:val="both"/>
        <w:rPr>
          <w:rFonts w:ascii="Palatino Linotype" w:eastAsia="Palatino Linotype" w:hAnsi="Palatino Linotype" w:cs="Palatino Linotype"/>
          <w:sz w:val="22"/>
          <w:szCs w:val="22"/>
        </w:rPr>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De tal suerte, el Registro Federal de Contribuyentes de persona físicas no guarda relación con la transparencia de los recursos públicos, por lo que constituye un dato personal confidencial al actualizar el supuesto normativo del artículo 143, fracción I, de la Ley de Transparencia y Acceso a la Información Pública del Estado de México y Municipios.</w:t>
      </w:r>
    </w:p>
    <w:p w:rsidR="001408F8" w:rsidRDefault="001408F8">
      <w:pPr>
        <w:jc w:val="both"/>
        <w:rPr>
          <w:rFonts w:ascii="Palatino Linotype" w:eastAsia="Palatino Linotype" w:hAnsi="Palatino Linotype" w:cs="Palatino Linotype"/>
        </w:rPr>
      </w:pPr>
    </w:p>
    <w:p w:rsidR="001408F8" w:rsidRDefault="00183356">
      <w:pPr>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Persona Jurídico-colectiva.</w:t>
      </w: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w:t>
      </w:r>
      <w:r>
        <w:rPr>
          <w:rFonts w:ascii="Palatino Linotype" w:eastAsia="Palatino Linotype" w:hAnsi="Palatino Linotype" w:cs="Palatino Linotype"/>
        </w:rPr>
        <w:lastRenderedPageBreak/>
        <w:t xml:space="preserve">notarial con el que se acredite la personalidad del representante legal, o carta poder firmada ante dos testigos y ratificadas las firmas ante las autoridades fiscales o ante notario o fedatario público.  Derivado del trámite se obtiene, entre otros, la </w:t>
      </w:r>
      <w:r>
        <w:rPr>
          <w:rFonts w:ascii="Palatino Linotype" w:eastAsia="Palatino Linotype" w:hAnsi="Palatino Linotype" w:cs="Palatino Linotype"/>
          <w:b/>
          <w:bCs/>
        </w:rPr>
        <w:t>cédula de identificación fiscal o constancia de registro.</w:t>
      </w:r>
    </w:p>
    <w:p w:rsidR="001408F8" w:rsidRDefault="001408F8">
      <w:pPr>
        <w:jc w:val="both"/>
        <w:rPr>
          <w:rFonts w:ascii="Palatino Linotype" w:eastAsia="Palatino Linotype" w:hAnsi="Palatino Linotype" w:cs="Palatino Linotype"/>
        </w:rPr>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Por ende, la información correspondiente al Registro Federal de Contribuyentes de una persona moral da cuenta del cumplimiento o no en sus obligaciones fiscales; por tanto, no se actualiza su clasificación como confidencial.</w:t>
      </w:r>
    </w:p>
    <w:p w:rsidR="001408F8" w:rsidRDefault="001408F8">
      <w:pPr>
        <w:jc w:val="both"/>
        <w:rPr>
          <w:rFonts w:ascii="Palatino Linotype" w:eastAsia="Palatino Linotype" w:hAnsi="Palatino Linotype" w:cs="Palatino Linotype"/>
          <w:b/>
          <w:bCs/>
        </w:rPr>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Además, resulta aplicable el Criterio orientador 08/19 emitido por el Instituto Nacional de Transparencia, Acceso a la Información y Protección de Datos Personales, que señala lo siguiente:</w:t>
      </w:r>
    </w:p>
    <w:p w:rsidR="001408F8" w:rsidRDefault="001408F8">
      <w:pPr>
        <w:pBdr>
          <w:top w:val="nil"/>
          <w:left w:val="nil"/>
          <w:bottom w:val="nil"/>
          <w:right w:val="nil"/>
          <w:between w:val="nil"/>
        </w:pBdr>
        <w:ind w:left="720"/>
        <w:rPr>
          <w:rFonts w:ascii="Palatino Linotype" w:eastAsia="Palatino Linotype" w:hAnsi="Palatino Linotype" w:cs="Palatino Linotype"/>
          <w:color w:val="000000"/>
        </w:rPr>
      </w:pPr>
    </w:p>
    <w:p w:rsidR="001408F8" w:rsidRDefault="00183356">
      <w:pPr>
        <w:ind w:left="567"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Razón social y RFC de personas morales. </w:t>
      </w:r>
      <w:r>
        <w:rPr>
          <w:rFonts w:ascii="Palatino Linotype" w:eastAsia="Palatino Linotype" w:hAnsi="Palatino Linotype" w:cs="Palatino Linotype"/>
          <w:i/>
          <w:iCs/>
          <w:sz w:val="22"/>
          <w:szCs w:val="22"/>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rsidR="001408F8" w:rsidRDefault="001408F8">
      <w:pPr>
        <w:spacing w:line="360" w:lineRule="auto"/>
        <w:ind w:right="-93"/>
        <w:jc w:val="both"/>
        <w:rPr>
          <w:rFonts w:ascii="Palatino Linotype" w:eastAsia="Palatino Linotype" w:hAnsi="Palatino Linotype" w:cs="Palatino Linotype"/>
          <w:sz w:val="22"/>
          <w:szCs w:val="22"/>
        </w:rPr>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Dicho criterio, precisa que el Registro Federal de Contribuyentes de personas morales, es público, al no referir a hechos o actos de carácter económico, contable, jurídico o administrativo que sean útiles o representen una ventaja a sus competidores.</w:t>
      </w:r>
    </w:p>
    <w:p w:rsidR="001408F8" w:rsidRDefault="001408F8">
      <w:pPr>
        <w:spacing w:line="360" w:lineRule="auto"/>
        <w:ind w:right="-93"/>
        <w:jc w:val="both"/>
        <w:rPr>
          <w:rFonts w:ascii="Palatino Linotype" w:eastAsia="Palatino Linotype" w:hAnsi="Palatino Linotype" w:cs="Palatino Linotype"/>
        </w:rPr>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tales circunstancias, el </w:t>
      </w:r>
      <w:r>
        <w:rPr>
          <w:rFonts w:ascii="Palatino Linotype" w:eastAsia="Palatino Linotype" w:hAnsi="Palatino Linotype" w:cs="Palatino Linotype"/>
          <w:b/>
          <w:bCs/>
        </w:rPr>
        <w:t>Registro Federal de Contribuyentes de personas morales, no actualizan la causal de clasificación</w:t>
      </w:r>
      <w:r>
        <w:rPr>
          <w:rFonts w:ascii="Palatino Linotype" w:eastAsia="Palatino Linotype" w:hAnsi="Palatino Linotype" w:cs="Palatino Linotype"/>
        </w:rPr>
        <w:t>, prevista en el artículo 143, fracción I de la Ley de Transparencia y Acceso a la Información Pública del Estado de México y Municipios, al ser de naturaleza pública.</w:t>
      </w:r>
    </w:p>
    <w:p w:rsidR="001408F8" w:rsidRDefault="001408F8">
      <w:pPr>
        <w:spacing w:line="360" w:lineRule="auto"/>
        <w:jc w:val="both"/>
        <w:rPr>
          <w:rFonts w:ascii="Palatino Linotype" w:eastAsia="Palatino Linotype" w:hAnsi="Palatino Linotype" w:cs="Palatino Linotype"/>
        </w:rPr>
      </w:pPr>
    </w:p>
    <w:p w:rsidR="001408F8" w:rsidRDefault="00183356">
      <w:pPr>
        <w:numPr>
          <w:ilvl w:val="0"/>
          <w:numId w:val="15"/>
        </w:numPr>
        <w:spacing w:line="360" w:lineRule="auto"/>
        <w:ind w:left="0" w:firstLine="0"/>
        <w:jc w:val="both"/>
      </w:pPr>
      <w:r>
        <w:rPr>
          <w:rFonts w:ascii="Palatino Linotype" w:eastAsia="Palatino Linotype" w:hAnsi="Palatino Linotype" w:cs="Palatino Linotype"/>
          <w:color w:val="000000"/>
        </w:rPr>
        <w:t xml:space="preserve">Además, las personas físicas que realicen las actividades contratadas por las instituciones, renuncian </w:t>
      </w:r>
      <w:r>
        <w:rPr>
          <w:rFonts w:ascii="Palatino Linotype" w:eastAsia="Palatino Linotype" w:hAnsi="Palatino Linotype" w:cs="Palatino Linotype"/>
        </w:rPr>
        <w:t>implícitamente</w:t>
      </w:r>
      <w:r>
        <w:rPr>
          <w:rFonts w:ascii="Palatino Linotype" w:eastAsia="Palatino Linotype" w:hAnsi="Palatino Linotype" w:cs="Palatino Linotype"/>
          <w:color w:val="000000"/>
        </w:rPr>
        <w:t xml:space="preserv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1408F8" w:rsidRDefault="001408F8">
      <w:pPr>
        <w:spacing w:line="360" w:lineRule="auto"/>
        <w:jc w:val="both"/>
      </w:pPr>
    </w:p>
    <w:p w:rsidR="001408F8" w:rsidRDefault="00183356">
      <w:pPr>
        <w:numPr>
          <w:ilvl w:val="0"/>
          <w:numId w:val="15"/>
        </w:numPr>
        <w:spacing w:line="360" w:lineRule="auto"/>
        <w:ind w:left="0" w:firstLine="0"/>
        <w:jc w:val="both"/>
      </w:pPr>
      <w:r>
        <w:rPr>
          <w:rFonts w:ascii="Palatino Linotype" w:eastAsia="Palatino Linotype" w:hAnsi="Palatino Linotype" w:cs="Palatino Linotype"/>
          <w:color w:val="000000"/>
        </w:rPr>
        <w:t>Robustece lo anterior el criterio orientador 04/21 emitido por el Instituto Nacional de Transparencia, Acceso a la Información y Protección de Datos Personales, INAI, el cual refiere:</w:t>
      </w:r>
    </w:p>
    <w:p w:rsidR="001408F8" w:rsidRDefault="001408F8">
      <w:pPr>
        <w:spacing w:line="360" w:lineRule="auto"/>
        <w:ind w:right="-787"/>
        <w:jc w:val="both"/>
      </w:pPr>
    </w:p>
    <w:p w:rsidR="001408F8" w:rsidRDefault="00183356">
      <w:pPr>
        <w:ind w:left="1134" w:right="113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“Registro Federal de Contribuyentes (RFC) de personas físicas proveedoras o contratistas. </w:t>
      </w:r>
      <w:r>
        <w:rPr>
          <w:rFonts w:ascii="Palatino Linotype" w:eastAsia="Palatino Linotype" w:hAnsi="Palatino Linotype" w:cs="Palatino Linotype"/>
          <w:i/>
          <w:iCs/>
          <w:color w:val="000000"/>
          <w:sz w:val="22"/>
          <w:szCs w:val="22"/>
        </w:rPr>
        <w:t xml:space="preserve">El RFC de contratistas o proveedores de los sujetos obligados debe ser público, ya que al tratarse de personas con contrataciones públicas, su difusión favorece la </w:t>
      </w:r>
      <w:r>
        <w:rPr>
          <w:rFonts w:ascii="Palatino Linotype" w:eastAsia="Palatino Linotype" w:hAnsi="Palatino Linotype" w:cs="Palatino Linotype"/>
          <w:i/>
          <w:iCs/>
          <w:sz w:val="22"/>
          <w:szCs w:val="22"/>
        </w:rPr>
        <w:t>transparencia</w:t>
      </w:r>
      <w:r>
        <w:rPr>
          <w:rFonts w:ascii="Palatino Linotype" w:eastAsia="Palatino Linotype" w:hAnsi="Palatino Linotype" w:cs="Palatino Linotype"/>
          <w:i/>
          <w:iCs/>
          <w:color w:val="000000"/>
          <w:sz w:val="22"/>
          <w:szCs w:val="22"/>
        </w:rPr>
        <w:t xml:space="preserve"> con la que deben administrarse los recursos públicos, en términos del artículo 134 de la Constitución Política de los Estados Unidos Mexicanos.”</w:t>
      </w:r>
    </w:p>
    <w:p w:rsidR="001408F8" w:rsidRDefault="001408F8">
      <w:pPr>
        <w:jc w:val="both"/>
        <w:rPr>
          <w:rFonts w:ascii="Palatino Linotype" w:eastAsia="Palatino Linotype" w:hAnsi="Palatino Linotype" w:cs="Palatino Linotype"/>
        </w:rPr>
      </w:pPr>
    </w:p>
    <w:p w:rsidR="001408F8" w:rsidRDefault="00183356">
      <w:pPr>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Clave Única de Registro de Población (CURP).</w:t>
      </w: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igual manera la </w:t>
      </w:r>
      <w:r>
        <w:rPr>
          <w:rFonts w:ascii="Palatino Linotype" w:eastAsia="Palatino Linotype" w:hAnsi="Palatino Linotype" w:cs="Palatino Linotype"/>
          <w:b/>
          <w:bCs/>
        </w:rPr>
        <w:t>Clave Única de Registro de Población (CURP),</w:t>
      </w:r>
      <w:r>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1408F8" w:rsidRDefault="001408F8">
      <w:pPr>
        <w:tabs>
          <w:tab w:val="left" w:pos="284"/>
        </w:tabs>
        <w:spacing w:line="360" w:lineRule="auto"/>
        <w:jc w:val="both"/>
        <w:rPr>
          <w:rFonts w:ascii="Palatino Linotype" w:eastAsia="Palatino Linotype" w:hAnsi="Palatino Linotype" w:cs="Palatino Linotype"/>
        </w:rPr>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es compartido por el Instituto Nacional de Transparencia, Acceso a la Información y Protección de Datos Personales, INAI, conforme al criterio orientador 18/17, el cual refiere: </w:t>
      </w:r>
    </w:p>
    <w:p w:rsidR="001408F8" w:rsidRDefault="00183356">
      <w:pPr>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“Clave Única de Registro de Población (CURP). </w:t>
      </w:r>
      <w:r>
        <w:rPr>
          <w:rFonts w:ascii="Palatino Linotype" w:eastAsia="Palatino Linotype" w:hAnsi="Palatino Linotype" w:cs="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408F8" w:rsidRDefault="001408F8">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1408F8" w:rsidRDefault="00183356">
      <w:pPr>
        <w:pBdr>
          <w:top w:val="nil"/>
          <w:left w:val="nil"/>
          <w:bottom w:val="nil"/>
          <w:right w:val="nil"/>
          <w:between w:val="nil"/>
        </w:pBdr>
        <w:spacing w:line="360" w:lineRule="auto"/>
        <w:ind w:right="-787"/>
        <w:jc w:val="both"/>
        <w:rPr>
          <w:rFonts w:ascii="Palatino Linotype" w:eastAsia="Palatino Linotype" w:hAnsi="Palatino Linotype" w:cs="Palatino Linotype"/>
          <w:b/>
          <w:bCs/>
        </w:rPr>
      </w:pPr>
      <w:r>
        <w:rPr>
          <w:rFonts w:ascii="Palatino Linotype" w:eastAsia="Palatino Linotype" w:hAnsi="Palatino Linotype" w:cs="Palatino Linotype"/>
          <w:b/>
          <w:bCs/>
          <w:color w:val="000000"/>
        </w:rPr>
        <w:t>Cuentas bancarias o clabes interbancarias</w:t>
      </w:r>
    </w:p>
    <w:p w:rsidR="001408F8" w:rsidRDefault="00183356">
      <w:pPr>
        <w:numPr>
          <w:ilvl w:val="0"/>
          <w:numId w:val="15"/>
        </w:numPr>
        <w:spacing w:line="360" w:lineRule="auto"/>
        <w:ind w:left="0" w:firstLine="0"/>
        <w:jc w:val="both"/>
      </w:pPr>
      <w:r>
        <w:rPr>
          <w:rFonts w:ascii="Palatino Linotype" w:eastAsia="Palatino Linotype" w:hAnsi="Palatino Linotype" w:cs="Palatino Linotype"/>
        </w:rPr>
        <w:lastRenderedPageBreak/>
        <w:t xml:space="preserve">Resulta importante señalar que </w:t>
      </w:r>
      <w:r>
        <w:rPr>
          <w:rFonts w:ascii="Palatino Linotype" w:eastAsia="Palatino Linotype" w:hAnsi="Palatino Linotype" w:cs="Palatino Linotype"/>
          <w:color w:val="000000"/>
        </w:rPr>
        <w:t>tratándose de las cuentas bancarias o clabes interbancarias de los Sujetos Obligados ya que su publicidad cede a la rendición de cuentas al transparentar la forma en que son administrados los recursos públicos.</w:t>
      </w:r>
    </w:p>
    <w:p w:rsidR="001408F8" w:rsidRDefault="001408F8">
      <w:pPr>
        <w:spacing w:line="360" w:lineRule="auto"/>
        <w:ind w:right="276"/>
        <w:jc w:val="both"/>
      </w:pPr>
    </w:p>
    <w:p w:rsidR="001408F8" w:rsidRDefault="00183356">
      <w:pPr>
        <w:numPr>
          <w:ilvl w:val="0"/>
          <w:numId w:val="15"/>
        </w:numPr>
        <w:spacing w:line="360" w:lineRule="auto"/>
        <w:ind w:left="0" w:firstLine="0"/>
        <w:jc w:val="both"/>
      </w:pPr>
      <w:r>
        <w:rPr>
          <w:rFonts w:ascii="Palatino Linotype" w:eastAsia="Palatino Linotype" w:hAnsi="Palatino Linotype" w:cs="Palatino Linotype"/>
          <w:color w:val="000000"/>
        </w:rPr>
        <w:t xml:space="preserve">Lo </w:t>
      </w:r>
      <w:r>
        <w:rPr>
          <w:rFonts w:ascii="Palatino Linotype" w:eastAsia="Palatino Linotype" w:hAnsi="Palatino Linotype" w:cs="Palatino Linotype"/>
        </w:rPr>
        <w:t>argumentado</w:t>
      </w:r>
      <w:r>
        <w:rPr>
          <w:rFonts w:ascii="Palatino Linotype" w:eastAsia="Palatino Linotype" w:hAnsi="Palatino Linotype" w:cs="Palatino Linotype"/>
          <w:color w:val="000000"/>
        </w:rPr>
        <w:t xml:space="preserve"> encuentra sustento en los criterios orientadores 10/17 y 11/17 emitidos por el Instituto Nacional de Transparencia, Acceso a la Información y Protección de Datos Personales, INAI, que llevan por rubro y texto los siguientes:</w:t>
      </w:r>
    </w:p>
    <w:p w:rsidR="001408F8" w:rsidRDefault="00183356">
      <w:pPr>
        <w:pBdr>
          <w:top w:val="nil"/>
          <w:left w:val="nil"/>
          <w:bottom w:val="nil"/>
          <w:right w:val="nil"/>
          <w:between w:val="nil"/>
        </w:pBdr>
        <w:spacing w:before="240" w:after="240"/>
        <w:ind w:left="1134" w:right="1134"/>
        <w:jc w:val="both"/>
        <w:rPr>
          <w:color w:val="000000"/>
        </w:rPr>
      </w:pPr>
      <w:r>
        <w:rPr>
          <w:rFonts w:ascii="Palatino Linotype" w:eastAsia="Palatino Linotype" w:hAnsi="Palatino Linotype" w:cs="Palatino Linotype"/>
          <w:b/>
          <w:bCs/>
          <w:i/>
          <w:iCs/>
          <w:color w:val="000000"/>
          <w:sz w:val="22"/>
          <w:szCs w:val="22"/>
        </w:rPr>
        <w:t>“Cuentas bancarias y/o CLABE interbancaria de personas físicas y morales privadas.</w:t>
      </w:r>
      <w:r>
        <w:rPr>
          <w:rFonts w:ascii="Palatino Linotype" w:eastAsia="Palatino Linotype" w:hAnsi="Palatino Linotype" w:cs="Palatino Linotype"/>
          <w:i/>
          <w:iCs/>
          <w:color w:val="000000"/>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1408F8" w:rsidRDefault="0018335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Cuentas bancarias y/o CLABE interbancaria de sujetos obligados que reciben y/o transfieren recursos públicos, son información pública</w:t>
      </w:r>
      <w:r>
        <w:rPr>
          <w:rFonts w:ascii="Palatino Linotype" w:eastAsia="Palatino Linotype" w:hAnsi="Palatino Linotype" w:cs="Palatino Linotype"/>
          <w:i/>
          <w:iCs/>
          <w:color w:val="000000"/>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1408F8" w:rsidRDefault="001408F8">
      <w:pPr>
        <w:pBdr>
          <w:top w:val="nil"/>
          <w:left w:val="nil"/>
          <w:bottom w:val="nil"/>
          <w:right w:val="nil"/>
          <w:between w:val="nil"/>
        </w:pBdr>
        <w:spacing w:before="240" w:after="240"/>
        <w:ind w:right="1127"/>
        <w:jc w:val="both"/>
        <w:rPr>
          <w:rFonts w:ascii="Palatino Linotype" w:eastAsia="Palatino Linotype" w:hAnsi="Palatino Linotype" w:cs="Palatino Linotype"/>
          <w:i/>
          <w:iCs/>
          <w:color w:val="000000"/>
          <w:sz w:val="22"/>
          <w:szCs w:val="22"/>
        </w:rPr>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Si bien las cuentas bancarias y/o CLABE de personas que reciben y/o transfieren recursos públicos corresponden a datos personales, no actualizan la causal de </w:t>
      </w:r>
      <w:r>
        <w:rPr>
          <w:rFonts w:ascii="Palatino Linotype" w:eastAsia="Palatino Linotype" w:hAnsi="Palatino Linotype" w:cs="Palatino Linotype"/>
        </w:rPr>
        <w:lastRenderedPageBreak/>
        <w:t>clasificación establecida en el artículo 143, fracción I, de la Ley de Transparencia y Acceso a la Información Pública del Estado de México y Municipios.</w:t>
      </w:r>
    </w:p>
    <w:p w:rsidR="001408F8" w:rsidRDefault="001408F8">
      <w:pPr>
        <w:spacing w:line="360" w:lineRule="auto"/>
        <w:ind w:right="-93"/>
        <w:jc w:val="both"/>
        <w:rPr>
          <w:rFonts w:ascii="Palatino Linotype" w:eastAsia="Palatino Linotype" w:hAnsi="Palatino Linotype" w:cs="Palatino Linotype"/>
        </w:rPr>
      </w:pPr>
    </w:p>
    <w:p w:rsidR="001408F8" w:rsidRDefault="00183356">
      <w:pPr>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Nombre, firma y rúbrica de representante legal.</w:t>
      </w: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Al respecto, resulta necesario señalar que las personas jurídico colectivas son representadas mediante personas físicas, debidamente acreditadas para realizar determinados actos a nombre de la jurídico-colectiva, por lo que, el nombre de dichos individuos no puede ser objeto de clasificación, en virtud de que la representación persigue la finalidad de dar certeza jurídica a los actos que realiza, en el presente caso, solicitar y recibir diversas Licencias de Funcionamiento.</w:t>
      </w:r>
    </w:p>
    <w:p w:rsidR="001408F8" w:rsidRDefault="001408F8">
      <w:pPr>
        <w:spacing w:line="360" w:lineRule="auto"/>
        <w:jc w:val="both"/>
        <w:rPr>
          <w:rFonts w:ascii="Palatino Linotype" w:eastAsia="Palatino Linotype" w:hAnsi="Palatino Linotype" w:cs="Palatino Linotype"/>
        </w:rPr>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ese sentido,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rsidR="001408F8" w:rsidRDefault="001408F8">
      <w:pPr>
        <w:spacing w:line="360" w:lineRule="auto"/>
        <w:jc w:val="both"/>
        <w:rPr>
          <w:rFonts w:ascii="Palatino Linotype" w:eastAsia="Palatino Linotype" w:hAnsi="Palatino Linotype" w:cs="Palatino Linotype"/>
        </w:rPr>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esa tesitura, la representación de las personas morales se realizará por medio de representantes o apoderados, y en el caso específico de las sociedades mercantiles, dicha representación se otorgará mediante instrumento público.</w:t>
      </w:r>
    </w:p>
    <w:p w:rsidR="001408F8" w:rsidRDefault="001408F8">
      <w:pPr>
        <w:spacing w:line="360" w:lineRule="auto"/>
        <w:jc w:val="both"/>
        <w:rPr>
          <w:rFonts w:ascii="Palatino Linotype" w:eastAsia="Palatino Linotype" w:hAnsi="Palatino Linotype" w:cs="Palatino Linotype"/>
        </w:rPr>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Ello, toda vez que la representación legal debe ser conocida para surtir efectos ante terceros; es decir, la publicidad de la misma tiene por objeto dar certeza a quienes se relacionan con la persona jurídico-colectiva representada, que las actuaciones de su representante están previamente autorizadas y que surtirán efectos legales a que constriñe cada acto.</w:t>
      </w:r>
    </w:p>
    <w:p w:rsidR="001408F8" w:rsidRDefault="001408F8">
      <w:pPr>
        <w:spacing w:line="360" w:lineRule="auto"/>
        <w:jc w:val="both"/>
        <w:rPr>
          <w:rFonts w:ascii="Palatino Linotype" w:eastAsia="Palatino Linotype" w:hAnsi="Palatino Linotype" w:cs="Palatino Linotype"/>
        </w:rPr>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se estima que si bien, el nombre es uno de los atributos de la personalidad y la manifestación principal del derecho subjetivo a la identidad, en virtud de que hace una persona física identificada o identificable; lo cierto es que el </w:t>
      </w:r>
      <w:r>
        <w:rPr>
          <w:rFonts w:ascii="Palatino Linotype" w:eastAsia="Palatino Linotype" w:hAnsi="Palatino Linotype" w:cs="Palatino Linotype"/>
          <w:b/>
          <w:bCs/>
        </w:rPr>
        <w:t>nombre, la firma y la rúbrica del apoderado legal de una empresa</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es público, </w:t>
      </w:r>
      <w:r>
        <w:rPr>
          <w:rFonts w:ascii="Palatino Linotype" w:eastAsia="Palatino Linotype" w:hAnsi="Palatino Linotype" w:cs="Palatino Linotype"/>
        </w:rPr>
        <w:t xml:space="preserve">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w:t>
      </w:r>
    </w:p>
    <w:p w:rsidR="001408F8" w:rsidRDefault="001408F8">
      <w:pPr>
        <w:spacing w:line="360" w:lineRule="auto"/>
        <w:jc w:val="both"/>
        <w:rPr>
          <w:rFonts w:ascii="Palatino Linotype" w:eastAsia="Palatino Linotype" w:hAnsi="Palatino Linotype" w:cs="Palatino Linotype"/>
        </w:rPr>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Lo anterior, se robustece con el criterio orientador 01/19, emitido por el Instituto Nacional de Transparencia, Acceso a la Información Pública y Protección de Datos Personales, que establece lo siguiente:</w:t>
      </w:r>
    </w:p>
    <w:p w:rsidR="001408F8" w:rsidRDefault="001408F8">
      <w:pPr>
        <w:ind w:right="-788"/>
        <w:jc w:val="both"/>
        <w:rPr>
          <w:rFonts w:ascii="Palatino Linotype" w:eastAsia="Palatino Linotype" w:hAnsi="Palatino Linotype" w:cs="Palatino Linotype"/>
        </w:rPr>
      </w:pPr>
    </w:p>
    <w:p w:rsidR="001408F8" w:rsidRDefault="00183356">
      <w:pPr>
        <w:tabs>
          <w:tab w:val="left" w:pos="8080"/>
        </w:tabs>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Datos de identificación del representante o apoderado legal.</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 xml:space="preserve">Naturaleza jurídica. </w:t>
      </w:r>
      <w:r>
        <w:rPr>
          <w:rFonts w:ascii="Palatino Linotype" w:eastAsia="Palatino Linotype" w:hAnsi="Palatino Linotype" w:cs="Palatino Linotype"/>
          <w:i/>
          <w:iCs/>
          <w:sz w:val="22"/>
          <w:szCs w:val="22"/>
        </w:rPr>
        <w:t xml:space="preserve">El nombre, la firma y la rúbrica de una persona física, </w:t>
      </w:r>
      <w:r>
        <w:rPr>
          <w:rFonts w:ascii="Palatino Linotype" w:eastAsia="Palatino Linotype" w:hAnsi="Palatino Linotype" w:cs="Palatino Linotype"/>
          <w:i/>
          <w:iCs/>
          <w:sz w:val="22"/>
          <w:szCs w:val="22"/>
        </w:rPr>
        <w:lastRenderedPageBreak/>
        <w:t>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rsidR="001408F8" w:rsidRDefault="001408F8">
      <w:pPr>
        <w:tabs>
          <w:tab w:val="left" w:pos="8080"/>
        </w:tabs>
        <w:ind w:left="1134" w:right="1134"/>
        <w:jc w:val="both"/>
        <w:rPr>
          <w:rFonts w:ascii="Palatino Linotype" w:eastAsia="Palatino Linotype" w:hAnsi="Palatino Linotype" w:cs="Palatino Linotype"/>
          <w:i/>
          <w:iCs/>
          <w:sz w:val="22"/>
          <w:szCs w:val="22"/>
        </w:rPr>
      </w:pPr>
    </w:p>
    <w:p w:rsidR="001408F8" w:rsidRDefault="00183356">
      <w:pPr>
        <w:numPr>
          <w:ilvl w:val="0"/>
          <w:numId w:val="15"/>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Ante tales situaciones, </w:t>
      </w:r>
      <w:r>
        <w:rPr>
          <w:rFonts w:ascii="Palatino Linotype" w:eastAsia="Palatino Linotype" w:hAnsi="Palatino Linotype" w:cs="Palatino Linotype"/>
          <w:b/>
          <w:bCs/>
        </w:rPr>
        <w:t>el nombre, firma y rúbrica del representante legal</w:t>
      </w:r>
      <w:r>
        <w:rPr>
          <w:rFonts w:ascii="Palatino Linotype" w:eastAsia="Palatino Linotype" w:hAnsi="Palatino Linotype" w:cs="Palatino Linotype"/>
        </w:rPr>
        <w:t xml:space="preserve">, de una persona jurídica colectiva que solicitó una Licencia de Funcionamiento, </w:t>
      </w:r>
      <w:r>
        <w:rPr>
          <w:rFonts w:ascii="Palatino Linotype" w:eastAsia="Palatino Linotype" w:hAnsi="Palatino Linotype" w:cs="Palatino Linotype"/>
          <w:b/>
          <w:bCs/>
        </w:rPr>
        <w:t>no es susceptible de ser clasificado como confidencial</w:t>
      </w:r>
      <w:r>
        <w:rPr>
          <w:rFonts w:ascii="Palatino Linotype" w:eastAsia="Palatino Linotype" w:hAnsi="Palatino Linotype" w:cs="Palatino Linotype"/>
        </w:rPr>
        <w:t>, en términos del artículo 143, fracción I de la Ley Federal de Transparencia y Acceso a la Información Pública; inclusive ayuda a rendir cuentas, de que dicha autorización fue entregada a la persona adecuada.</w:t>
      </w:r>
    </w:p>
    <w:p w:rsidR="001408F8" w:rsidRDefault="001408F8">
      <w:pPr>
        <w:spacing w:line="360" w:lineRule="auto"/>
        <w:ind w:right="-787"/>
        <w:jc w:val="both"/>
        <w:rPr>
          <w:rFonts w:ascii="Palatino Linotype" w:eastAsia="Palatino Linotype" w:hAnsi="Palatino Linotype" w:cs="Palatino Linotype"/>
        </w:rPr>
      </w:pPr>
    </w:p>
    <w:p w:rsidR="001408F8" w:rsidRDefault="001408F8">
      <w:pPr>
        <w:spacing w:line="360" w:lineRule="auto"/>
        <w:ind w:right="-787"/>
        <w:jc w:val="both"/>
        <w:rPr>
          <w:rFonts w:ascii="Palatino Linotype" w:eastAsia="Palatino Linotype" w:hAnsi="Palatino Linotype" w:cs="Palatino Linotype"/>
        </w:rPr>
      </w:pPr>
    </w:p>
    <w:p w:rsidR="001408F8" w:rsidRDefault="001408F8">
      <w:pPr>
        <w:spacing w:line="360" w:lineRule="auto"/>
        <w:ind w:right="-787"/>
        <w:jc w:val="both"/>
        <w:rPr>
          <w:rFonts w:ascii="Palatino Linotype" w:eastAsia="Palatino Linotype" w:hAnsi="Palatino Linotype" w:cs="Palatino Linotype"/>
        </w:rPr>
      </w:pPr>
    </w:p>
    <w:p w:rsidR="001408F8" w:rsidRDefault="00183356">
      <w:pPr>
        <w:shd w:val="clear" w:color="auto" w:fill="FFFFFF"/>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Domicilio Fiscal o legal (proveedor persona física o moral)</w:t>
      </w:r>
    </w:p>
    <w:p w:rsidR="001408F8" w:rsidRDefault="00183356">
      <w:pPr>
        <w:numPr>
          <w:ilvl w:val="0"/>
          <w:numId w:val="15"/>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rsidR="001408F8" w:rsidRDefault="001408F8">
      <w:pPr>
        <w:spacing w:line="360" w:lineRule="auto"/>
        <w:ind w:right="-787"/>
        <w:jc w:val="both"/>
        <w:rPr>
          <w:rFonts w:ascii="Palatino Linotype" w:eastAsia="Palatino Linotype" w:hAnsi="Palatino Linotype" w:cs="Palatino Linotype"/>
        </w:rPr>
      </w:pPr>
    </w:p>
    <w:p w:rsidR="001408F8" w:rsidRDefault="00183356">
      <w:pPr>
        <w:numPr>
          <w:ilvl w:val="0"/>
          <w:numId w:val="15"/>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Además, respecto al domicilio fiscal, resulta necesario traer el artículo 22 del Código Financiero del Estado de México y Municipios, que establece:</w:t>
      </w:r>
    </w:p>
    <w:p w:rsidR="001408F8" w:rsidRDefault="00183356">
      <w:pPr>
        <w:tabs>
          <w:tab w:val="left" w:pos="8080"/>
        </w:tabs>
        <w:ind w:left="1134" w:right="113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Artículo 22.- Se considera domicilio fiscal de las personas físicas y </w:t>
      </w:r>
      <w:r>
        <w:rPr>
          <w:rFonts w:ascii="Palatino Linotype" w:eastAsia="Palatino Linotype" w:hAnsi="Palatino Linotype" w:cs="Palatino Linotype"/>
          <w:i/>
          <w:iCs/>
          <w:sz w:val="22"/>
          <w:szCs w:val="22"/>
        </w:rPr>
        <w:t>jurídicas</w:t>
      </w:r>
      <w:r>
        <w:rPr>
          <w:rFonts w:ascii="Palatino Linotype" w:eastAsia="Palatino Linotype" w:hAnsi="Palatino Linotype" w:cs="Palatino Linotype"/>
          <w:b/>
          <w:bCs/>
          <w:i/>
          <w:iCs/>
          <w:sz w:val="22"/>
          <w:szCs w:val="22"/>
        </w:rPr>
        <w:t xml:space="preserve"> colectivas: </w:t>
      </w:r>
    </w:p>
    <w:p w:rsidR="001408F8" w:rsidRDefault="001408F8">
      <w:pPr>
        <w:shd w:val="clear" w:color="auto" w:fill="FFFFFF"/>
        <w:ind w:left="1134" w:right="1134"/>
        <w:jc w:val="both"/>
        <w:rPr>
          <w:rFonts w:ascii="Palatino Linotype" w:eastAsia="Palatino Linotype" w:hAnsi="Palatino Linotype" w:cs="Palatino Linotype"/>
          <w:i/>
          <w:iCs/>
          <w:sz w:val="22"/>
          <w:szCs w:val="22"/>
        </w:rPr>
      </w:pPr>
    </w:p>
    <w:p w:rsidR="001408F8" w:rsidRDefault="00183356">
      <w:pPr>
        <w:tabs>
          <w:tab w:val="left" w:pos="8080"/>
        </w:tabs>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 El lugar o establecimiento donde se realicen actividades que generen obligaciones fiscales. </w:t>
      </w:r>
    </w:p>
    <w:p w:rsidR="001408F8" w:rsidRDefault="001408F8">
      <w:pPr>
        <w:tabs>
          <w:tab w:val="left" w:pos="8080"/>
        </w:tabs>
        <w:ind w:left="1134" w:right="1134"/>
        <w:jc w:val="both"/>
        <w:rPr>
          <w:rFonts w:ascii="Palatino Linotype" w:eastAsia="Palatino Linotype" w:hAnsi="Palatino Linotype" w:cs="Palatino Linotype"/>
          <w:i/>
          <w:iCs/>
          <w:sz w:val="22"/>
          <w:szCs w:val="22"/>
        </w:rPr>
      </w:pPr>
    </w:p>
    <w:p w:rsidR="001408F8" w:rsidRDefault="00183356">
      <w:pPr>
        <w:tabs>
          <w:tab w:val="left" w:pos="8080"/>
        </w:tabs>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 El lugar o establecimiento en que se realice el hecho generador de la obligación fiscal, cuando las actividades no se realicen en forma habitual. </w:t>
      </w:r>
    </w:p>
    <w:p w:rsidR="001408F8" w:rsidRDefault="001408F8">
      <w:pPr>
        <w:tabs>
          <w:tab w:val="left" w:pos="8080"/>
        </w:tabs>
        <w:ind w:left="1134" w:right="1134"/>
        <w:jc w:val="both"/>
        <w:rPr>
          <w:rFonts w:ascii="Palatino Linotype" w:eastAsia="Palatino Linotype" w:hAnsi="Palatino Linotype" w:cs="Palatino Linotype"/>
          <w:i/>
          <w:iCs/>
          <w:sz w:val="22"/>
          <w:szCs w:val="22"/>
        </w:rPr>
      </w:pPr>
    </w:p>
    <w:p w:rsidR="001408F8" w:rsidRDefault="00183356">
      <w:pPr>
        <w:tabs>
          <w:tab w:val="left" w:pos="8080"/>
        </w:tabs>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III. El inmueble en el que residan en el territorio del Estado de México, cuando realicen sus actividades en la vía pública, en puestos fijos y semifijos; </w:t>
      </w:r>
    </w:p>
    <w:p w:rsidR="001408F8" w:rsidRDefault="001408F8">
      <w:pPr>
        <w:tabs>
          <w:tab w:val="left" w:pos="8080"/>
        </w:tabs>
        <w:ind w:left="1134" w:right="1134"/>
        <w:jc w:val="both"/>
        <w:rPr>
          <w:rFonts w:ascii="Palatino Linotype" w:eastAsia="Palatino Linotype" w:hAnsi="Palatino Linotype" w:cs="Palatino Linotype"/>
          <w:i/>
          <w:iCs/>
          <w:sz w:val="22"/>
          <w:szCs w:val="22"/>
        </w:rPr>
      </w:pPr>
    </w:p>
    <w:p w:rsidR="001408F8" w:rsidRDefault="00183356">
      <w:pPr>
        <w:tabs>
          <w:tab w:val="left" w:pos="8080"/>
        </w:tabs>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IV. La residencia que identifique la autoridad fiscal, cuando exista certeza de que es el único lugar posible de localización del contribuyente. </w:t>
      </w:r>
    </w:p>
    <w:p w:rsidR="001408F8" w:rsidRDefault="001408F8">
      <w:pPr>
        <w:tabs>
          <w:tab w:val="left" w:pos="8080"/>
        </w:tabs>
        <w:ind w:left="1134" w:right="1134"/>
        <w:jc w:val="both"/>
        <w:rPr>
          <w:rFonts w:ascii="Palatino Linotype" w:eastAsia="Palatino Linotype" w:hAnsi="Palatino Linotype" w:cs="Palatino Linotype"/>
          <w:i/>
          <w:iCs/>
          <w:sz w:val="22"/>
          <w:szCs w:val="22"/>
        </w:rPr>
      </w:pPr>
    </w:p>
    <w:p w:rsidR="001408F8" w:rsidRDefault="00183356">
      <w:pPr>
        <w:tabs>
          <w:tab w:val="left" w:pos="8080"/>
        </w:tabs>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V. Aquel que señalen a las entidades financieras o sociedades cooperativas de ahorro y préstamo, cuando sean usuarios de los servicios que presten estas, siempre que los contribuyentes no hayan manifestado alguno de los domicilios citados en las fracciones anteriores o no hayan sido localizados en los mismos.</w:t>
      </w:r>
    </w:p>
    <w:p w:rsidR="001408F8" w:rsidRDefault="00183356">
      <w:pPr>
        <w:tabs>
          <w:tab w:val="left" w:pos="8080"/>
        </w:tabs>
        <w:ind w:left="1134" w:right="113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1408F8" w:rsidRDefault="001408F8">
      <w:pPr>
        <w:jc w:val="both"/>
        <w:rPr>
          <w:rFonts w:ascii="Palatino Linotype" w:eastAsia="Palatino Linotype" w:hAnsi="Palatino Linotype" w:cs="Palatino Linotype"/>
        </w:rPr>
      </w:pPr>
    </w:p>
    <w:p w:rsidR="001408F8" w:rsidRDefault="00183356">
      <w:pPr>
        <w:spacing w:line="360" w:lineRule="auto"/>
        <w:ind w:right="-787"/>
        <w:jc w:val="both"/>
        <w:rPr>
          <w:rFonts w:ascii="Palatino Linotype" w:eastAsia="Palatino Linotype" w:hAnsi="Palatino Linotype" w:cs="Palatino Linotype"/>
          <w:b/>
          <w:bCs/>
        </w:rPr>
      </w:pPr>
      <w:r>
        <w:rPr>
          <w:rFonts w:ascii="Palatino Linotype" w:eastAsia="Palatino Linotype" w:hAnsi="Palatino Linotype" w:cs="Palatino Linotype"/>
          <w:b/>
          <w:bCs/>
        </w:rPr>
        <w:t>Número telefónico</w:t>
      </w: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b/>
          <w:bCs/>
        </w:rPr>
        <w:t>Un</w:t>
      </w:r>
      <w:r>
        <w:rPr>
          <w:rFonts w:ascii="Palatino Linotype" w:eastAsia="Palatino Linotype" w:hAnsi="Palatino Linotype" w:cs="Palatino Linotype"/>
        </w:rPr>
        <w:t> </w:t>
      </w:r>
      <w:r>
        <w:rPr>
          <w:rFonts w:ascii="Palatino Linotype" w:eastAsia="Palatino Linotype" w:hAnsi="Palatino Linotype" w:cs="Palatino Linotype"/>
          <w:b/>
          <w:bCs/>
        </w:rPr>
        <w:t>número de teléfono</w:t>
      </w:r>
      <w:r>
        <w:rPr>
          <w:rFonts w:ascii="Palatino Linotype" w:eastAsia="Palatino Linotype" w:hAnsi="Palatino Linotype" w:cs="Palatino Linotype"/>
        </w:rPr>
        <w:t> es una secuencia de </w:t>
      </w:r>
      <w:r>
        <w:rPr>
          <w:rFonts w:ascii="Palatino Linotype" w:eastAsia="Palatino Linotype" w:hAnsi="Palatino Linotype" w:cs="Palatino Linotype"/>
          <w:color w:val="000000"/>
        </w:rPr>
        <w:t>dígitos</w:t>
      </w:r>
      <w:r>
        <w:rPr>
          <w:rFonts w:ascii="Palatino Linotype" w:eastAsia="Palatino Linotype" w:hAnsi="Palatino Linotype" w:cs="Palatino Linotype"/>
        </w:rPr>
        <w:t> utilizada para identificar una </w:t>
      </w:r>
      <w:r>
        <w:rPr>
          <w:rFonts w:ascii="Palatino Linotype" w:eastAsia="Palatino Linotype" w:hAnsi="Palatino Linotype" w:cs="Palatino Linotype"/>
          <w:color w:val="000000"/>
        </w:rPr>
        <w:t>línea telefónica</w:t>
      </w:r>
      <w:r>
        <w:rPr>
          <w:rFonts w:ascii="Palatino Linotype" w:eastAsia="Palatino Linotype" w:hAnsi="Palatino Linotype" w:cs="Palatino Linotype"/>
        </w:rPr>
        <w:t> dentro de una </w:t>
      </w:r>
      <w:r>
        <w:rPr>
          <w:rFonts w:ascii="Palatino Linotype" w:eastAsia="Palatino Linotype" w:hAnsi="Palatino Linotype" w:cs="Palatino Linotype"/>
          <w:color w:val="000000"/>
        </w:rPr>
        <w:t>Red Telefónica Conmutada</w:t>
      </w:r>
      <w:r>
        <w:rPr>
          <w:rFonts w:ascii="Palatino Linotype" w:eastAsia="Palatino Linotype" w:hAnsi="Palatino Linotype" w:cs="Palatino Linotype"/>
        </w:rPr>
        <w:t>, el número contiene la información necesaria para identificar el punto final de la llamada. Los números de teléfono están a menudo asignados a líneas que tienen conectados dispositivos distintos de un </w:t>
      </w:r>
      <w:r>
        <w:rPr>
          <w:rFonts w:ascii="Palatino Linotype" w:eastAsia="Palatino Linotype" w:hAnsi="Palatino Linotype" w:cs="Palatino Linotype"/>
          <w:color w:val="000000"/>
        </w:rPr>
        <w:t>teléfono</w:t>
      </w:r>
      <w:r>
        <w:rPr>
          <w:rFonts w:ascii="Palatino Linotype" w:eastAsia="Palatino Linotype" w:hAnsi="Palatino Linotype" w:cs="Palatino Linotype"/>
        </w:rPr>
        <w:t>, tales como </w:t>
      </w:r>
      <w:r>
        <w:rPr>
          <w:rFonts w:ascii="Palatino Linotype" w:eastAsia="Palatino Linotype" w:hAnsi="Palatino Linotype" w:cs="Palatino Linotype"/>
          <w:color w:val="000000"/>
        </w:rPr>
        <w:t>faxes</w:t>
      </w:r>
      <w:r>
        <w:rPr>
          <w:rFonts w:ascii="Palatino Linotype" w:eastAsia="Palatino Linotype" w:hAnsi="Palatino Linotype" w:cs="Palatino Linotype"/>
        </w:rPr>
        <w:t> y </w:t>
      </w:r>
      <w:r>
        <w:rPr>
          <w:rFonts w:ascii="Palatino Linotype" w:eastAsia="Palatino Linotype" w:hAnsi="Palatino Linotype" w:cs="Palatino Linotype"/>
          <w:color w:val="000000"/>
        </w:rPr>
        <w:t>módems</w:t>
      </w:r>
      <w:r>
        <w:rPr>
          <w:rFonts w:ascii="Palatino Linotype" w:eastAsia="Palatino Linotype" w:hAnsi="Palatino Linotype" w:cs="Palatino Linotype"/>
        </w:rPr>
        <w:t>. Cada uno de esos </w:t>
      </w:r>
      <w:r>
        <w:rPr>
          <w:rFonts w:ascii="Palatino Linotype" w:eastAsia="Palatino Linotype" w:hAnsi="Palatino Linotype" w:cs="Palatino Linotype"/>
          <w:color w:val="000000"/>
        </w:rPr>
        <w:t>puntos de terminación de red</w:t>
      </w:r>
      <w:r>
        <w:rPr>
          <w:rFonts w:ascii="Palatino Linotype" w:eastAsia="Palatino Linotype" w:hAnsi="Palatino Linotype" w:cs="Palatino Linotype"/>
        </w:rPr>
        <w:t> deben de tener un número único en la red para poder realizar una </w:t>
      </w:r>
      <w:r>
        <w:rPr>
          <w:rFonts w:ascii="Palatino Linotype" w:eastAsia="Palatino Linotype" w:hAnsi="Palatino Linotype" w:cs="Palatino Linotype"/>
          <w:color w:val="000000"/>
        </w:rPr>
        <w:t>llamada telefónica</w:t>
      </w:r>
      <w:r>
        <w:rPr>
          <w:rFonts w:ascii="Palatino Linotype" w:eastAsia="Palatino Linotype" w:hAnsi="Palatino Linotype" w:cs="Palatino Linotype"/>
        </w:rPr>
        <w:t>.</w:t>
      </w:r>
    </w:p>
    <w:p w:rsidR="001408F8" w:rsidRDefault="001408F8">
      <w:pPr>
        <w:spacing w:line="360" w:lineRule="auto"/>
        <w:jc w:val="both"/>
        <w:rPr>
          <w:rFonts w:ascii="Palatino Linotype" w:eastAsia="Palatino Linotype" w:hAnsi="Palatino Linotype" w:cs="Palatino Linotype"/>
        </w:rPr>
      </w:pPr>
    </w:p>
    <w:p w:rsidR="001408F8" w:rsidRDefault="0018335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lastRenderedPageBreak/>
        <w:t>Correo electrónico</w:t>
      </w: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bCs/>
        </w:rPr>
        <w:t>correo electrónico</w:t>
      </w:r>
      <w:r>
        <w:rPr>
          <w:rFonts w:ascii="Palatino Linotype" w:eastAsia="Palatino Linotype" w:hAnsi="Palatino Linotype" w:cs="Palatino Linotype"/>
        </w:rPr>
        <w:t xml:space="preserve"> es un sistema de transmisión de mensajes a través de internet.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001408F8" w:rsidRDefault="001408F8">
      <w:pPr>
        <w:spacing w:line="360" w:lineRule="auto"/>
        <w:jc w:val="both"/>
      </w:pPr>
    </w:p>
    <w:p w:rsidR="001408F8" w:rsidRDefault="00183356">
      <w:pPr>
        <w:numPr>
          <w:ilvl w:val="0"/>
          <w:numId w:val="15"/>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debe mencionarse que conforme a lo establecido en los criterios números 16, 18 y 19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correspondiente a la fracción XXXII. “Padrón de proveedores y contratistas” de la Ley General de Transparencia, artículo 70, </w:t>
      </w:r>
      <w:r>
        <w:rPr>
          <w:rFonts w:ascii="Palatino Linotype" w:eastAsia="Palatino Linotype" w:hAnsi="Palatino Linotype" w:cs="Palatino Linotype"/>
          <w:b/>
          <w:bCs/>
        </w:rPr>
        <w:t>el domicilio fiscal, y datos de contacto como teléfono y correo electrónico de los proveedores y contratistas, es un dato que debe ser público, motivo por el cual no es procedente que se realice su clasificación como confidencial.</w:t>
      </w:r>
    </w:p>
    <w:p w:rsidR="001408F8" w:rsidRDefault="001408F8">
      <w:pPr>
        <w:spacing w:line="360" w:lineRule="auto"/>
        <w:jc w:val="both"/>
        <w:rPr>
          <w:rFonts w:ascii="Palatino Linotype" w:eastAsia="Palatino Linotype" w:hAnsi="Palatino Linotype" w:cs="Palatino Linotype"/>
        </w:rPr>
      </w:pPr>
    </w:p>
    <w:p w:rsidR="001408F8" w:rsidRDefault="00183356">
      <w:pPr>
        <w:numPr>
          <w:ilvl w:val="0"/>
          <w:numId w:val="10"/>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La </w:t>
      </w:r>
      <w:r>
        <w:rPr>
          <w:rFonts w:ascii="Palatino Linotype" w:eastAsia="Palatino Linotype" w:hAnsi="Palatino Linotype" w:cs="Palatino Linotype"/>
          <w:b/>
          <w:bCs/>
          <w:color w:val="000000"/>
        </w:rPr>
        <w:t>clave de elector</w:t>
      </w:r>
      <w:r>
        <w:rPr>
          <w:rFonts w:ascii="Palatino Linotype" w:eastAsia="Palatino Linotype" w:hAnsi="Palatino Linotype" w:cs="Palatino Linotype"/>
          <w:color w:val="000000"/>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rsidR="001408F8" w:rsidRDefault="001408F8">
      <w:pPr>
        <w:pBdr>
          <w:top w:val="nil"/>
          <w:left w:val="nil"/>
          <w:bottom w:val="nil"/>
          <w:right w:val="nil"/>
          <w:between w:val="nil"/>
        </w:pBdr>
        <w:ind w:left="720"/>
        <w:rPr>
          <w:rFonts w:ascii="Palatino Linotype" w:eastAsia="Palatino Linotype" w:hAnsi="Palatino Linotype" w:cs="Palatino Linotype"/>
          <w:color w:val="000000"/>
        </w:rPr>
      </w:pPr>
    </w:p>
    <w:p w:rsidR="001408F8" w:rsidRDefault="00183356">
      <w:pPr>
        <w:numPr>
          <w:ilvl w:val="0"/>
          <w:numId w:val="10"/>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número de OCR,</w:t>
      </w:r>
      <w:r>
        <w:rPr>
          <w:rFonts w:ascii="Palatino Linotype" w:eastAsia="Palatino Linotype" w:hAnsi="Palatino Linotype" w:cs="Palatino Linotype"/>
          <w:color w:val="000000"/>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 electoral ahí contenida, por lo que es susceptible de resguardarse.</w:t>
      </w:r>
    </w:p>
    <w:p w:rsidR="001408F8" w:rsidRDefault="001408F8">
      <w:pPr>
        <w:spacing w:before="240" w:after="240"/>
        <w:jc w:val="both"/>
        <w:rPr>
          <w:rFonts w:ascii="Palatino Linotype" w:eastAsia="Palatino Linotype" w:hAnsi="Palatino Linotype" w:cs="Palatino Linotype"/>
        </w:rPr>
      </w:pPr>
    </w:p>
    <w:p w:rsidR="001408F8" w:rsidRDefault="00183356">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tal situación, el Sujeto Obligado deberá seguir el procedimiento establecido en el artículo 168 de la Ley de Transparencia y Acceso a la Información Pública del Estado de México y Municipios; esto es, que el área competente deberá elaborar la versión pública, así como emitir el Acuerdo, por parte del Comité de Transparencia, donde confirme la clasificación de los datos o documentos, fundando y motivando la clasificación.</w:t>
      </w:r>
    </w:p>
    <w:p w:rsidR="001408F8" w:rsidRDefault="001408F8">
      <w:pPr>
        <w:spacing w:line="360" w:lineRule="auto"/>
        <w:jc w:val="both"/>
        <w:rPr>
          <w:rFonts w:ascii="Palatino Linotype" w:eastAsia="Palatino Linotype" w:hAnsi="Palatino Linotype" w:cs="Palatino Linotype"/>
        </w:rPr>
      </w:pPr>
    </w:p>
    <w:p w:rsidR="001408F8" w:rsidRDefault="00183356">
      <w:pPr>
        <w:numPr>
          <w:ilvl w:val="0"/>
          <w:numId w:val="10"/>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Si el servidor público incumple con estas formalidades y entrega la información sin proteger los datos personales incumple con lo que estipula las disposiciones legales establecidas.</w:t>
      </w:r>
    </w:p>
    <w:p w:rsidR="001408F8" w:rsidRDefault="001408F8">
      <w:pPr>
        <w:pBdr>
          <w:top w:val="nil"/>
          <w:left w:val="nil"/>
          <w:bottom w:val="nil"/>
          <w:right w:val="nil"/>
          <w:between w:val="nil"/>
        </w:pBdr>
        <w:ind w:left="720"/>
        <w:rPr>
          <w:rFonts w:ascii="Palatino Linotype" w:eastAsia="Palatino Linotype" w:hAnsi="Palatino Linotype" w:cs="Palatino Linotype"/>
          <w:color w:val="000000"/>
        </w:rPr>
      </w:pPr>
    </w:p>
    <w:p w:rsidR="001408F8" w:rsidRDefault="00183356">
      <w:pPr>
        <w:numPr>
          <w:ilvl w:val="0"/>
          <w:numId w:val="10"/>
        </w:numPr>
        <w:spacing w:line="360" w:lineRule="auto"/>
        <w:ind w:left="0" w:firstLine="0"/>
        <w:jc w:val="both"/>
        <w:rPr>
          <w:color w:val="000000"/>
        </w:rPr>
      </w:pPr>
      <w:r>
        <w:rPr>
          <w:rFonts w:ascii="Palatino Linotype" w:eastAsia="Palatino Linotype" w:hAnsi="Palatino Linotype" w:cs="Palatino Linotype"/>
        </w:rPr>
        <w:t>Por lo anteriormente expuesto, este Órgano Garante considera fundadas las razones o motivos de inconformidad que plantea el</w:t>
      </w:r>
      <w:r>
        <w:rPr>
          <w:rFonts w:ascii="Palatino Linotype" w:eastAsia="Palatino Linotype" w:hAnsi="Palatino Linotype" w:cs="Palatino Linotype"/>
          <w:b/>
          <w:bCs/>
        </w:rPr>
        <w:t xml:space="preserve"> RECURRENTE</w:t>
      </w:r>
      <w:r>
        <w:rPr>
          <w:rFonts w:ascii="Palatino Linotype" w:eastAsia="Palatino Linotype" w:hAnsi="Palatino Linotype" w:cs="Palatino Linotype"/>
        </w:rPr>
        <w:t xml:space="preserve">, determinando </w:t>
      </w:r>
      <w:r>
        <w:rPr>
          <w:rFonts w:ascii="Palatino Linotype" w:eastAsia="Palatino Linotype" w:hAnsi="Palatino Linotype" w:cs="Palatino Linotype"/>
          <w:b/>
          <w:bCs/>
          <w:smallCaps/>
        </w:rPr>
        <w:t xml:space="preserve">REVOCAR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Pr>
          <w:rFonts w:ascii="Palatino Linotype" w:eastAsia="Palatino Linotype" w:hAnsi="Palatino Linotype" w:cs="Palatino Linotype"/>
          <w:color w:val="000000"/>
        </w:rPr>
        <w:t xml:space="preserve">este </w:t>
      </w:r>
      <w:r>
        <w:rPr>
          <w:rFonts w:ascii="Palatino Linotype" w:eastAsia="Palatino Linotype" w:hAnsi="Palatino Linotype" w:cs="Palatino Linotype"/>
          <w:b/>
          <w:bCs/>
          <w:color w:val="000000"/>
        </w:rPr>
        <w:t>ÓRGANO GARANTE</w:t>
      </w:r>
      <w:r>
        <w:rPr>
          <w:rFonts w:ascii="Palatino Linotype" w:eastAsia="Palatino Linotype" w:hAnsi="Palatino Linotype" w:cs="Palatino Linotype"/>
          <w:color w:val="000000"/>
        </w:rPr>
        <w:t xml:space="preserve"> emite los siguientes.</w:t>
      </w:r>
    </w:p>
    <w:p w:rsidR="001408F8" w:rsidRDefault="001408F8">
      <w:pPr>
        <w:pBdr>
          <w:top w:val="nil"/>
          <w:left w:val="nil"/>
          <w:bottom w:val="nil"/>
          <w:right w:val="nil"/>
          <w:between w:val="nil"/>
        </w:pBdr>
        <w:ind w:left="720"/>
        <w:rPr>
          <w:rFonts w:ascii="Palatino Linotype" w:eastAsia="Palatino Linotype" w:hAnsi="Palatino Linotype" w:cs="Palatino Linotype"/>
          <w:color w:val="000000"/>
        </w:rPr>
      </w:pPr>
    </w:p>
    <w:p w:rsidR="001408F8" w:rsidRDefault="001408F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408F8" w:rsidRDefault="00183356">
      <w:pPr>
        <w:pStyle w:val="Ttulo1"/>
        <w:spacing w:before="0" w:line="360" w:lineRule="auto"/>
        <w:jc w:val="center"/>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R E S O L U T I V O S</w:t>
      </w:r>
    </w:p>
    <w:p w:rsidR="001408F8" w:rsidRDefault="001408F8"/>
    <w:p w:rsidR="001408F8" w:rsidRDefault="00183356">
      <w:pPr>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PRIMERO</w:t>
      </w:r>
      <w:r>
        <w:rPr>
          <w:rFonts w:ascii="Palatino Linotype" w:eastAsia="Palatino Linotype" w:hAnsi="Palatino Linotype" w:cs="Palatino Linotype"/>
        </w:rPr>
        <w:t xml:space="preserve">. Resultan fundadas las razones o motivos de inconformidad hechos valer en el Recurso de Revisión </w:t>
      </w:r>
      <w:r>
        <w:rPr>
          <w:rFonts w:ascii="Palatino Linotype" w:eastAsia="Palatino Linotype" w:hAnsi="Palatino Linotype" w:cs="Palatino Linotype"/>
          <w:b/>
          <w:bCs/>
        </w:rPr>
        <w:t xml:space="preserve">13003/INFOEM/IP/RR/2025, </w:t>
      </w:r>
      <w:r>
        <w:rPr>
          <w:rFonts w:ascii="Palatino Linotype" w:eastAsia="Palatino Linotype" w:hAnsi="Palatino Linotype" w:cs="Palatino Linotype"/>
        </w:rPr>
        <w:t xml:space="preserve">en términos del Considerando </w:t>
      </w:r>
      <w:r>
        <w:rPr>
          <w:rFonts w:ascii="Palatino Linotype" w:eastAsia="Palatino Linotype" w:hAnsi="Palatino Linotype" w:cs="Palatino Linotype"/>
          <w:b/>
          <w:bCs/>
        </w:rPr>
        <w:t xml:space="preserve">Cuarto y Quinto </w:t>
      </w:r>
      <w:r>
        <w:rPr>
          <w:rFonts w:ascii="Palatino Linotype" w:eastAsia="Palatino Linotype" w:hAnsi="Palatino Linotype" w:cs="Palatino Linotype"/>
        </w:rPr>
        <w:t xml:space="preserve">de la presente resolución. </w:t>
      </w:r>
    </w:p>
    <w:p w:rsidR="001408F8" w:rsidRDefault="001408F8">
      <w:pPr>
        <w:spacing w:line="360" w:lineRule="auto"/>
        <w:jc w:val="both"/>
        <w:rPr>
          <w:rFonts w:ascii="Palatino Linotype" w:eastAsia="Palatino Linotype" w:hAnsi="Palatino Linotype" w:cs="Palatino Linotype"/>
        </w:rPr>
      </w:pPr>
    </w:p>
    <w:p w:rsidR="001408F8" w:rsidRDefault="00183356">
      <w:pPr>
        <w:pBdr>
          <w:top w:val="nil"/>
          <w:left w:val="nil"/>
          <w:bottom w:val="nil"/>
          <w:right w:val="nil"/>
          <w:between w:val="nil"/>
        </w:pBdr>
        <w:spacing w:line="360" w:lineRule="auto"/>
        <w:jc w:val="both"/>
        <w:rPr>
          <w:rFonts w:ascii="Palatino Linotype" w:eastAsia="Palatino Linotype" w:hAnsi="Palatino Linotype" w:cs="Palatino Linotype"/>
        </w:rPr>
      </w:pPr>
      <w:bookmarkStart w:id="12" w:name="_heading=h.1ksv4uv" w:colFirst="0" w:colLast="0"/>
      <w:bookmarkEnd w:id="12"/>
      <w:r>
        <w:rPr>
          <w:rFonts w:ascii="Palatino Linotype" w:eastAsia="Palatino Linotype" w:hAnsi="Palatino Linotype" w:cs="Palatino Linotype"/>
          <w:b/>
          <w:bCs/>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bCs/>
          <w:color w:val="000000"/>
        </w:rPr>
        <w:t xml:space="preserve">REVOCA </w:t>
      </w:r>
      <w:r>
        <w:rPr>
          <w:rFonts w:ascii="Palatino Linotype" w:eastAsia="Palatino Linotype" w:hAnsi="Palatino Linotype" w:cs="Palatino Linotype"/>
          <w:color w:val="000000"/>
        </w:rPr>
        <w:t xml:space="preserve">la respuesta emitida por el </w:t>
      </w:r>
      <w:r>
        <w:rPr>
          <w:rFonts w:ascii="Palatino Linotype" w:eastAsia="Palatino Linotype" w:hAnsi="Palatino Linotype" w:cs="Palatino Linotype"/>
          <w:b/>
          <w:bCs/>
          <w:color w:val="000000"/>
        </w:rPr>
        <w:t xml:space="preserve">Organismo Público Descentralizado para la Prestación de Los Servicios de Agua Potable Alcantarillado </w:t>
      </w:r>
      <w:r>
        <w:rPr>
          <w:rFonts w:ascii="Palatino Linotype" w:eastAsia="Palatino Linotype" w:hAnsi="Palatino Linotype" w:cs="Palatino Linotype"/>
          <w:b/>
          <w:bCs/>
          <w:color w:val="000000"/>
        </w:rPr>
        <w:lastRenderedPageBreak/>
        <w:t xml:space="preserve">y Saneamiento de Tenancingo </w:t>
      </w:r>
      <w:r>
        <w:rPr>
          <w:rFonts w:ascii="Palatino Linotype" w:eastAsia="Palatino Linotype" w:hAnsi="Palatino Linotype" w:cs="Palatino Linotype"/>
          <w:color w:val="000000"/>
        </w:rPr>
        <w:t xml:space="preserve">y se </w:t>
      </w:r>
      <w:r>
        <w:rPr>
          <w:rFonts w:ascii="Palatino Linotype" w:eastAsia="Palatino Linotype" w:hAnsi="Palatino Linotype" w:cs="Palatino Linotype"/>
          <w:b/>
          <w:bCs/>
          <w:color w:val="000000"/>
        </w:rPr>
        <w:t>ORDENA</w:t>
      </w:r>
      <w:r>
        <w:rPr>
          <w:rFonts w:ascii="Palatino Linotype" w:eastAsia="Palatino Linotype" w:hAnsi="Palatino Linotype" w:cs="Palatino Linotype"/>
          <w:color w:val="000000"/>
        </w:rPr>
        <w:t xml:space="preserve"> entregar vía Sistema de Acceso a la Información,</w:t>
      </w:r>
      <w:r>
        <w:rPr>
          <w:rFonts w:ascii="Palatino Linotype" w:eastAsia="Palatino Linotype" w:hAnsi="Palatino Linotype" w:cs="Palatino Linotype"/>
        </w:rPr>
        <w:t xml:space="preserve"> después de una búsqueda exhaustiva y de ser procedente en versión pública:  </w:t>
      </w:r>
    </w:p>
    <w:p w:rsidR="001408F8" w:rsidRDefault="001408F8">
      <w:pPr>
        <w:spacing w:line="360" w:lineRule="auto"/>
        <w:jc w:val="both"/>
        <w:rPr>
          <w:rFonts w:ascii="Palatino Linotype" w:eastAsia="Palatino Linotype" w:hAnsi="Palatino Linotype" w:cs="Palatino Linotype"/>
        </w:rPr>
      </w:pPr>
    </w:p>
    <w:p w:rsidR="001408F8" w:rsidRDefault="00183356">
      <w:pPr>
        <w:pBdr>
          <w:top w:val="nil"/>
          <w:left w:val="nil"/>
          <w:bottom w:val="nil"/>
          <w:right w:val="nil"/>
          <w:between w:val="nil"/>
        </w:pBdr>
        <w:spacing w:line="360" w:lineRule="auto"/>
        <w:ind w:left="1134" w:right="1134"/>
        <w:jc w:val="both"/>
        <w:rPr>
          <w:rFonts w:ascii="Palatino Linotype" w:eastAsia="Palatino Linotype" w:hAnsi="Palatino Linotype" w:cs="Palatino Linotype"/>
          <w:i/>
          <w:iCs/>
          <w:color w:val="000000"/>
        </w:rPr>
      </w:pPr>
      <w:bookmarkStart w:id="13" w:name="_heading=h.lnxbz9" w:colFirst="0" w:colLast="0"/>
      <w:bookmarkEnd w:id="13"/>
      <w:r>
        <w:rPr>
          <w:rFonts w:ascii="Palatino Linotype" w:eastAsia="Palatino Linotype" w:hAnsi="Palatino Linotype" w:cs="Palatino Linotype"/>
          <w:b/>
          <w:bCs/>
          <w:i/>
          <w:iCs/>
          <w:color w:val="000000"/>
        </w:rPr>
        <w:t xml:space="preserve"> </w:t>
      </w:r>
      <w:r>
        <w:rPr>
          <w:rFonts w:ascii="Palatino Linotype" w:eastAsia="Palatino Linotype" w:hAnsi="Palatino Linotype" w:cs="Palatino Linotype"/>
          <w:i/>
          <w:iCs/>
          <w:color w:val="000000"/>
        </w:rPr>
        <w:t>De los ejercicios 2022, 2024 y del uno de enero al veintiocho de octubre de dos mil veinticinco:</w:t>
      </w:r>
    </w:p>
    <w:p w:rsidR="001408F8" w:rsidRDefault="00183356">
      <w:pPr>
        <w:numPr>
          <w:ilvl w:val="0"/>
          <w:numId w:val="11"/>
        </w:numPr>
        <w:pBdr>
          <w:top w:val="nil"/>
          <w:left w:val="nil"/>
          <w:bottom w:val="nil"/>
          <w:right w:val="nil"/>
          <w:between w:val="nil"/>
        </w:pBdr>
        <w:spacing w:line="360" w:lineRule="auto"/>
        <w:ind w:right="113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Contratos de Obra Pública</w:t>
      </w:r>
    </w:p>
    <w:p w:rsidR="001408F8" w:rsidRDefault="00183356">
      <w:pPr>
        <w:numPr>
          <w:ilvl w:val="0"/>
          <w:numId w:val="11"/>
        </w:numPr>
        <w:pBdr>
          <w:top w:val="nil"/>
          <w:left w:val="nil"/>
          <w:bottom w:val="nil"/>
          <w:right w:val="nil"/>
          <w:between w:val="nil"/>
        </w:pBdr>
        <w:spacing w:line="360" w:lineRule="auto"/>
        <w:ind w:right="113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Contratos de Servicios</w:t>
      </w:r>
    </w:p>
    <w:p w:rsidR="001408F8" w:rsidRDefault="00183356">
      <w:pPr>
        <w:numPr>
          <w:ilvl w:val="0"/>
          <w:numId w:val="11"/>
        </w:numPr>
        <w:pBdr>
          <w:top w:val="nil"/>
          <w:left w:val="nil"/>
          <w:bottom w:val="nil"/>
          <w:right w:val="nil"/>
          <w:between w:val="nil"/>
        </w:pBdr>
        <w:spacing w:line="360" w:lineRule="auto"/>
        <w:ind w:right="113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Contratos de Adquisiciones</w:t>
      </w:r>
    </w:p>
    <w:p w:rsidR="001408F8" w:rsidRDefault="00183356">
      <w:pPr>
        <w:numPr>
          <w:ilvl w:val="0"/>
          <w:numId w:val="11"/>
        </w:numPr>
        <w:pBdr>
          <w:top w:val="nil"/>
          <w:left w:val="nil"/>
          <w:bottom w:val="nil"/>
          <w:right w:val="nil"/>
          <w:between w:val="nil"/>
        </w:pBdr>
        <w:spacing w:line="360" w:lineRule="auto"/>
        <w:ind w:right="113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Contratos de Arrendamientos</w:t>
      </w:r>
    </w:p>
    <w:p w:rsidR="001408F8" w:rsidRDefault="00183356">
      <w:pPr>
        <w:numPr>
          <w:ilvl w:val="0"/>
          <w:numId w:val="11"/>
        </w:numPr>
        <w:pBdr>
          <w:top w:val="nil"/>
          <w:left w:val="nil"/>
          <w:bottom w:val="nil"/>
          <w:right w:val="nil"/>
          <w:between w:val="nil"/>
        </w:pBdr>
        <w:spacing w:line="360" w:lineRule="auto"/>
        <w:ind w:right="113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Documento o Documentos donde conste la partida presupuestal a la que correspondan</w:t>
      </w:r>
    </w:p>
    <w:p w:rsidR="001408F8" w:rsidRDefault="001408F8">
      <w:pPr>
        <w:pBdr>
          <w:top w:val="nil"/>
          <w:left w:val="nil"/>
          <w:bottom w:val="nil"/>
          <w:right w:val="nil"/>
          <w:between w:val="nil"/>
        </w:pBdr>
        <w:spacing w:line="360" w:lineRule="auto"/>
        <w:ind w:left="1134" w:right="1134"/>
        <w:jc w:val="both"/>
        <w:rPr>
          <w:rFonts w:ascii="Palatino Linotype" w:eastAsia="Palatino Linotype" w:hAnsi="Palatino Linotype" w:cs="Palatino Linotype"/>
          <w:b/>
          <w:bCs/>
          <w:i/>
          <w:iCs/>
          <w:color w:val="000000"/>
        </w:rPr>
      </w:pPr>
    </w:p>
    <w:p w:rsidR="001408F8" w:rsidRDefault="00183356">
      <w:pPr>
        <w:tabs>
          <w:tab w:val="left" w:pos="8080"/>
        </w:tabs>
        <w:spacing w:line="276" w:lineRule="auto"/>
        <w:ind w:left="1134" w:right="1134"/>
        <w:jc w:val="both"/>
        <w:rPr>
          <w:rFonts w:ascii="Palatino Linotype" w:eastAsia="Palatino Linotype" w:hAnsi="Palatino Linotype" w:cs="Palatino Linotype"/>
          <w:b/>
          <w:bCs/>
          <w:i/>
          <w:iCs/>
        </w:rPr>
      </w:pPr>
      <w:bookmarkStart w:id="14" w:name="_heading=h.v2ssfq389cm4" w:colFirst="0" w:colLast="0"/>
      <w:bookmarkEnd w:id="14"/>
      <w:r>
        <w:rPr>
          <w:rFonts w:ascii="Palatino Linotype" w:eastAsia="Palatino Linotype" w:hAnsi="Palatino Linotype" w:cs="Palatino Linotype"/>
          <w:i/>
          <w:iC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Pr>
          <w:rFonts w:ascii="Palatino Linotype" w:eastAsia="Palatino Linotype" w:hAnsi="Palatino Linotype" w:cs="Palatino Linotype"/>
          <w:b/>
          <w:bCs/>
          <w:i/>
          <w:iCs/>
        </w:rPr>
        <w:t>RECURRENTE.</w:t>
      </w:r>
    </w:p>
    <w:p w:rsidR="001408F8" w:rsidRDefault="001408F8">
      <w:pPr>
        <w:tabs>
          <w:tab w:val="left" w:pos="8080"/>
        </w:tabs>
        <w:spacing w:line="276" w:lineRule="auto"/>
        <w:ind w:left="1134" w:right="1134"/>
        <w:jc w:val="both"/>
        <w:rPr>
          <w:rFonts w:ascii="Palatino Linotype" w:eastAsia="Palatino Linotype" w:hAnsi="Palatino Linotype" w:cs="Palatino Linotype"/>
          <w:i/>
          <w:iCs/>
        </w:rPr>
      </w:pPr>
    </w:p>
    <w:p w:rsidR="001408F8" w:rsidRDefault="00183356">
      <w:pPr>
        <w:tabs>
          <w:tab w:val="left" w:pos="8080"/>
        </w:tabs>
        <w:spacing w:line="276" w:lineRule="auto"/>
        <w:ind w:left="1134" w:right="1134"/>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Sin embargo, para el caso en que no se cuente con la información por no haber sido generada, bastará con que así se haga del conocimiento a LA </w:t>
      </w:r>
      <w:r>
        <w:rPr>
          <w:rFonts w:ascii="Palatino Linotype" w:eastAsia="Palatino Linotype" w:hAnsi="Palatino Linotype" w:cs="Palatino Linotype"/>
          <w:i/>
          <w:iCs/>
        </w:rPr>
        <w:lastRenderedPageBreak/>
        <w:t>PARTE RECURRENTE en términos de lo que establece el artículo 19 segundo párrafo de la Ley de Transparencia Local, que es del tenor literal siguiente:</w:t>
      </w:r>
    </w:p>
    <w:p w:rsidR="001408F8" w:rsidRDefault="00183356">
      <w:pPr>
        <w:tabs>
          <w:tab w:val="left" w:pos="8080"/>
        </w:tabs>
        <w:ind w:left="1133" w:right="113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1408F8" w:rsidRDefault="00183356">
      <w:pPr>
        <w:tabs>
          <w:tab w:val="left" w:pos="8080"/>
        </w:tabs>
        <w:ind w:left="1133" w:right="1137"/>
        <w:jc w:val="both"/>
        <w:rPr>
          <w:rFonts w:ascii="Palatino Linotype" w:eastAsia="Palatino Linotype" w:hAnsi="Palatino Linotype" w:cs="Palatino Linotype"/>
          <w:i/>
          <w:iCs/>
        </w:rPr>
      </w:pPr>
      <w:r>
        <w:rPr>
          <w:rFonts w:ascii="Palatino Linotype" w:eastAsia="Palatino Linotype" w:hAnsi="Palatino Linotype" w:cs="Palatino Linotype"/>
          <w:i/>
          <w:iCs/>
        </w:rPr>
        <w:t>En los casos en que ciertas facultades, competencias o funciones no se hayan ejercido, se debe motivar la respuesta en función de las causas que motiven tal circunstancia.”</w:t>
      </w:r>
    </w:p>
    <w:p w:rsidR="001408F8" w:rsidRDefault="001408F8">
      <w:pPr>
        <w:tabs>
          <w:tab w:val="left" w:pos="8080"/>
        </w:tabs>
        <w:ind w:left="1701" w:right="1701"/>
        <w:jc w:val="both"/>
        <w:rPr>
          <w:rFonts w:ascii="Palatino Linotype" w:eastAsia="Palatino Linotype" w:hAnsi="Palatino Linotype" w:cs="Palatino Linotype"/>
          <w:i/>
          <w:iCs/>
        </w:rPr>
      </w:pPr>
    </w:p>
    <w:p w:rsidR="001408F8" w:rsidRDefault="001408F8">
      <w:pPr>
        <w:tabs>
          <w:tab w:val="left" w:pos="8080"/>
        </w:tabs>
        <w:spacing w:line="360" w:lineRule="auto"/>
        <w:jc w:val="both"/>
        <w:rPr>
          <w:rFonts w:ascii="Palatino Linotype" w:eastAsia="Palatino Linotype" w:hAnsi="Palatino Linotype" w:cs="Palatino Linotype"/>
        </w:rPr>
      </w:pPr>
    </w:p>
    <w:p w:rsidR="001408F8" w:rsidRDefault="00183356">
      <w:pPr>
        <w:tabs>
          <w:tab w:val="left" w:pos="8080"/>
        </w:tabs>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bCs/>
        </w:rPr>
        <w:t xml:space="preserve">TERCERO. </w:t>
      </w:r>
      <w:r>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bCs/>
          <w:color w:val="222222"/>
        </w:rPr>
        <w:t xml:space="preserve">dé cumplimiento a lo ordenado dentro del plazo de diez días hábiles, </w:t>
      </w:r>
      <w:r>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1408F8" w:rsidRDefault="001408F8">
      <w:pPr>
        <w:tabs>
          <w:tab w:val="left" w:pos="8080"/>
        </w:tabs>
        <w:spacing w:line="360" w:lineRule="auto"/>
        <w:jc w:val="both"/>
        <w:rPr>
          <w:rFonts w:ascii="Palatino Linotype" w:eastAsia="Palatino Linotype" w:hAnsi="Palatino Linotype" w:cs="Palatino Linotype"/>
          <w:color w:val="222222"/>
        </w:rPr>
      </w:pPr>
    </w:p>
    <w:p w:rsidR="001408F8" w:rsidRDefault="0018335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Pr>
          <w:rFonts w:ascii="Palatino Linotype" w:eastAsia="Palatino Linotype" w:hAnsi="Palatino Linotype" w:cs="Palatino Linotype"/>
        </w:rPr>
        <w:lastRenderedPageBreak/>
        <w:t xml:space="preserve">procedente,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1408F8" w:rsidRDefault="001408F8">
      <w:pPr>
        <w:spacing w:line="360" w:lineRule="auto"/>
        <w:jc w:val="both"/>
        <w:rPr>
          <w:rFonts w:ascii="Palatino Linotype" w:eastAsia="Palatino Linotype" w:hAnsi="Palatino Linotype" w:cs="Palatino Linotype"/>
        </w:rPr>
      </w:pPr>
    </w:p>
    <w:p w:rsidR="001408F8" w:rsidRDefault="00183356">
      <w:pPr>
        <w:spacing w:line="360" w:lineRule="auto"/>
        <w:jc w:val="both"/>
        <w:rPr>
          <w:rFonts w:ascii="Palatino Linotype" w:eastAsia="Palatino Linotype" w:hAnsi="Palatino Linotype" w:cs="Palatino Linotype"/>
        </w:rPr>
      </w:pPr>
      <w:bookmarkStart w:id="15" w:name="_heading=h.2jxsxqh" w:colFirst="0" w:colLast="0"/>
      <w:bookmarkEnd w:id="15"/>
      <w:r>
        <w:rPr>
          <w:rFonts w:ascii="Palatino Linotype" w:eastAsia="Palatino Linotype" w:hAnsi="Palatino Linotype" w:cs="Palatino Linotype"/>
          <w:b/>
          <w:bCs/>
        </w:rPr>
        <w:t xml:space="preserve">QUINTO. </w:t>
      </w:r>
      <w:r>
        <w:rPr>
          <w:rFonts w:ascii="Palatino Linotype" w:eastAsia="Palatino Linotype" w:hAnsi="Palatino Linotype" w:cs="Palatino Linotype"/>
        </w:rPr>
        <w:t xml:space="preserve">Notifíquese a </w:t>
      </w:r>
      <w:r>
        <w:rPr>
          <w:rFonts w:ascii="Palatino Linotype" w:eastAsia="Palatino Linotype" w:hAnsi="Palatino Linotype" w:cs="Palatino Linotype"/>
          <w:b/>
          <w:bCs/>
        </w:rPr>
        <w:t>EL RECURRENTE</w:t>
      </w:r>
      <w:r>
        <w:rPr>
          <w:rFonts w:ascii="Palatino Linotype" w:eastAsia="Palatino Linotype" w:hAnsi="Palatino Linotype" w:cs="Palatino Linotype"/>
        </w:rPr>
        <w:t xml:space="preserve"> la presente resolución, vía SAIMEX.</w:t>
      </w:r>
    </w:p>
    <w:p w:rsidR="001408F8" w:rsidRDefault="001408F8">
      <w:pPr>
        <w:shd w:val="clear" w:color="auto" w:fill="FFFFFF"/>
        <w:spacing w:line="360" w:lineRule="auto"/>
        <w:jc w:val="both"/>
        <w:rPr>
          <w:rFonts w:ascii="Palatino Linotype" w:eastAsia="Palatino Linotype" w:hAnsi="Palatino Linotype" w:cs="Palatino Linotype"/>
          <w:b/>
          <w:bCs/>
        </w:rPr>
      </w:pPr>
    </w:p>
    <w:p w:rsidR="001408F8" w:rsidRDefault="0018335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SEXTO. </w:t>
      </w:r>
      <w:r>
        <w:rPr>
          <w:rFonts w:ascii="Palatino Linotype" w:eastAsia="Palatino Linotype" w:hAnsi="Palatino Linotype" w:cs="Palatino Linotype"/>
        </w:rPr>
        <w:t xml:space="preserve">Se hace del conocimiento del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1408F8" w:rsidRDefault="001408F8">
      <w:pPr>
        <w:shd w:val="clear" w:color="auto" w:fill="FFFFFF"/>
        <w:spacing w:line="360" w:lineRule="auto"/>
        <w:jc w:val="both"/>
        <w:rPr>
          <w:rFonts w:ascii="Palatino Linotype" w:eastAsia="Palatino Linotype" w:hAnsi="Palatino Linotype" w:cs="Palatino Linotype"/>
        </w:rPr>
      </w:pPr>
    </w:p>
    <w:p w:rsidR="00455B9A" w:rsidRPr="003E2295" w:rsidRDefault="00455B9A" w:rsidP="00455B9A">
      <w:pPr>
        <w:spacing w:before="240" w:after="240" w:line="360" w:lineRule="auto"/>
        <w:ind w:firstLine="1"/>
        <w:jc w:val="both"/>
        <w:rPr>
          <w:rFonts w:ascii="Palatino Linotype" w:hAnsi="Palatino Linotype"/>
        </w:rPr>
      </w:pPr>
      <w:bookmarkStart w:id="16" w:name="_Hlk99014733"/>
      <w:r w:rsidRPr="003E229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DÉCIMA</w:t>
      </w:r>
      <w:r w:rsidRPr="003E2295">
        <w:rPr>
          <w:rFonts w:ascii="Palatino Linotype" w:hAnsi="Palatino Linotype" w:cs="Palatino Linotype"/>
        </w:rPr>
        <w:t xml:space="preserve"> SESIÓN O</w:t>
      </w:r>
      <w:r>
        <w:rPr>
          <w:rFonts w:ascii="Palatino Linotype" w:hAnsi="Palatino Linotype" w:cs="Palatino Linotype"/>
        </w:rPr>
        <w:t>RDINARIA, CELEBRADA EL DIECINUEVE (19</w:t>
      </w:r>
      <w:r w:rsidRPr="003E2295">
        <w:rPr>
          <w:rFonts w:ascii="Palatino Linotype" w:hAnsi="Palatino Linotype" w:cs="Palatino Linotype"/>
        </w:rPr>
        <w:t xml:space="preserve">) DE </w:t>
      </w:r>
      <w:r>
        <w:rPr>
          <w:rFonts w:ascii="Palatino Linotype" w:hAnsi="Palatino Linotype" w:cs="Palatino Linotype"/>
        </w:rPr>
        <w:t>MARZO</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16"/>
    <w:p w:rsidR="001408F8" w:rsidRDefault="001408F8">
      <w:pPr>
        <w:spacing w:before="240" w:after="240" w:line="360" w:lineRule="auto"/>
        <w:jc w:val="both"/>
        <w:rPr>
          <w:rFonts w:ascii="Palatino Linotype" w:eastAsia="Palatino Linotype" w:hAnsi="Palatino Linotype" w:cs="Palatino Linotype"/>
          <w:sz w:val="22"/>
          <w:szCs w:val="22"/>
        </w:rPr>
      </w:pPr>
    </w:p>
    <w:p w:rsidR="001408F8" w:rsidRDefault="001408F8">
      <w:pPr>
        <w:spacing w:before="240" w:after="240" w:line="360" w:lineRule="auto"/>
        <w:jc w:val="both"/>
        <w:rPr>
          <w:rFonts w:ascii="Palatino Linotype" w:eastAsia="Palatino Linotype" w:hAnsi="Palatino Linotype" w:cs="Palatino Linotype"/>
          <w:sz w:val="22"/>
          <w:szCs w:val="22"/>
        </w:rPr>
      </w:pPr>
    </w:p>
    <w:p w:rsidR="001408F8" w:rsidRDefault="001408F8">
      <w:pPr>
        <w:spacing w:before="240" w:after="240" w:line="360" w:lineRule="auto"/>
        <w:jc w:val="both"/>
        <w:rPr>
          <w:rFonts w:ascii="Palatino Linotype" w:eastAsia="Palatino Linotype" w:hAnsi="Palatino Linotype" w:cs="Palatino Linotype"/>
          <w:sz w:val="22"/>
          <w:szCs w:val="22"/>
        </w:rPr>
      </w:pPr>
    </w:p>
    <w:p w:rsidR="001408F8" w:rsidRDefault="001408F8">
      <w:pPr>
        <w:spacing w:before="240" w:after="240" w:line="360" w:lineRule="auto"/>
        <w:jc w:val="both"/>
        <w:rPr>
          <w:rFonts w:ascii="Palatino Linotype" w:eastAsia="Palatino Linotype" w:hAnsi="Palatino Linotype" w:cs="Palatino Linotype"/>
          <w:sz w:val="22"/>
          <w:szCs w:val="22"/>
        </w:rPr>
      </w:pPr>
    </w:p>
    <w:p w:rsidR="001408F8" w:rsidRDefault="001408F8">
      <w:pPr>
        <w:spacing w:before="240" w:after="240" w:line="360" w:lineRule="auto"/>
        <w:jc w:val="both"/>
        <w:rPr>
          <w:rFonts w:ascii="Palatino Linotype" w:eastAsia="Palatino Linotype" w:hAnsi="Palatino Linotype" w:cs="Palatino Linotype"/>
          <w:sz w:val="22"/>
          <w:szCs w:val="22"/>
        </w:rPr>
      </w:pPr>
    </w:p>
    <w:p w:rsidR="001408F8" w:rsidRDefault="001408F8">
      <w:pPr>
        <w:spacing w:before="240" w:after="240" w:line="360" w:lineRule="auto"/>
        <w:jc w:val="both"/>
        <w:rPr>
          <w:rFonts w:ascii="Palatino Linotype" w:eastAsia="Palatino Linotype" w:hAnsi="Palatino Linotype" w:cs="Palatino Linotype"/>
          <w:sz w:val="22"/>
          <w:szCs w:val="22"/>
        </w:rPr>
      </w:pPr>
    </w:p>
    <w:p w:rsidR="001408F8" w:rsidRDefault="001408F8">
      <w:pPr>
        <w:spacing w:before="240" w:after="240" w:line="360" w:lineRule="auto"/>
        <w:jc w:val="both"/>
        <w:rPr>
          <w:rFonts w:ascii="Palatino Linotype" w:eastAsia="Palatino Linotype" w:hAnsi="Palatino Linotype" w:cs="Palatino Linotype"/>
          <w:sz w:val="22"/>
          <w:szCs w:val="22"/>
        </w:rPr>
      </w:pPr>
    </w:p>
    <w:p w:rsidR="001408F8" w:rsidRDefault="001408F8">
      <w:pPr>
        <w:spacing w:before="240" w:after="240" w:line="360" w:lineRule="auto"/>
        <w:jc w:val="both"/>
        <w:rPr>
          <w:rFonts w:ascii="Palatino Linotype" w:eastAsia="Palatino Linotype" w:hAnsi="Palatino Linotype" w:cs="Palatino Linotype"/>
          <w:sz w:val="22"/>
          <w:szCs w:val="22"/>
        </w:rPr>
      </w:pPr>
    </w:p>
    <w:p w:rsidR="001408F8" w:rsidRDefault="001408F8">
      <w:pPr>
        <w:spacing w:before="240" w:after="240" w:line="360" w:lineRule="auto"/>
        <w:jc w:val="both"/>
        <w:rPr>
          <w:rFonts w:ascii="Palatino Linotype" w:eastAsia="Palatino Linotype" w:hAnsi="Palatino Linotype" w:cs="Palatino Linotype"/>
          <w:sz w:val="22"/>
          <w:szCs w:val="22"/>
        </w:rPr>
      </w:pPr>
    </w:p>
    <w:p w:rsidR="001408F8" w:rsidRDefault="001408F8">
      <w:pPr>
        <w:spacing w:before="240" w:after="240" w:line="360" w:lineRule="auto"/>
        <w:jc w:val="both"/>
        <w:rPr>
          <w:rFonts w:ascii="Palatino Linotype" w:eastAsia="Palatino Linotype" w:hAnsi="Palatino Linotype" w:cs="Palatino Linotype"/>
          <w:sz w:val="22"/>
          <w:szCs w:val="22"/>
        </w:rPr>
      </w:pPr>
    </w:p>
    <w:p w:rsidR="001408F8" w:rsidRDefault="001408F8">
      <w:pPr>
        <w:spacing w:before="240" w:after="240" w:line="360" w:lineRule="auto"/>
        <w:jc w:val="both"/>
        <w:rPr>
          <w:rFonts w:ascii="Palatino Linotype" w:eastAsia="Palatino Linotype" w:hAnsi="Palatino Linotype" w:cs="Palatino Linotype"/>
          <w:sz w:val="22"/>
          <w:szCs w:val="22"/>
        </w:rPr>
      </w:pPr>
    </w:p>
    <w:p w:rsidR="001408F8" w:rsidRDefault="001408F8">
      <w:pPr>
        <w:spacing w:before="240" w:after="240" w:line="360" w:lineRule="auto"/>
        <w:jc w:val="both"/>
        <w:rPr>
          <w:rFonts w:ascii="Palatino Linotype" w:eastAsia="Palatino Linotype" w:hAnsi="Palatino Linotype" w:cs="Palatino Linotype"/>
          <w:sz w:val="22"/>
          <w:szCs w:val="22"/>
        </w:rPr>
      </w:pPr>
    </w:p>
    <w:p w:rsidR="001408F8" w:rsidRDefault="001408F8">
      <w:pPr>
        <w:spacing w:before="240" w:after="240" w:line="360" w:lineRule="auto"/>
        <w:jc w:val="both"/>
        <w:rPr>
          <w:rFonts w:ascii="Palatino Linotype" w:eastAsia="Palatino Linotype" w:hAnsi="Palatino Linotype" w:cs="Palatino Linotype"/>
          <w:sz w:val="22"/>
          <w:szCs w:val="22"/>
        </w:rPr>
      </w:pPr>
    </w:p>
    <w:p w:rsidR="001408F8" w:rsidRDefault="001408F8">
      <w:pPr>
        <w:rPr>
          <w:rFonts w:ascii="Palatino Linotype" w:eastAsia="Palatino Linotype" w:hAnsi="Palatino Linotype" w:cs="Palatino Linotype"/>
          <w:sz w:val="22"/>
          <w:szCs w:val="22"/>
        </w:rPr>
      </w:pPr>
    </w:p>
    <w:sectPr w:rsidR="001408F8">
      <w:headerReference w:type="default" r:id="rId17"/>
      <w:footerReference w:type="default" r:id="rId18"/>
      <w:headerReference w:type="first" r:id="rId19"/>
      <w:footerReference w:type="first" r:id="rId20"/>
      <w:pgSz w:w="12240" w:h="15840"/>
      <w:pgMar w:top="2410" w:right="1467"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27D" w:rsidRDefault="00D3627D">
      <w:r>
        <w:separator/>
      </w:r>
    </w:p>
  </w:endnote>
  <w:endnote w:type="continuationSeparator" w:id="0">
    <w:p w:rsidR="00D3627D" w:rsidRDefault="00D36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03752B77-1468-46B3-9BAA-92E8148E1365}"/>
    <w:embedBold r:id="rId2" w:fontKey="{986BBD65-087D-480A-81DD-D910F8B04808}"/>
    <w:embedItalic r:id="rId3" w:fontKey="{216A01C7-1628-45C5-B15D-D2D464DC4F01}"/>
    <w:embedBoldItalic r:id="rId4" w:fontKey="{B02CBC0D-B092-4036-91E3-83074E66A9B0}"/>
  </w:font>
  <w:font w:name="Noto Sans Symbols">
    <w:altName w:val="Times New Roman"/>
    <w:charset w:val="00"/>
    <w:family w:val="auto"/>
    <w:pitch w:val="default"/>
    <w:embedRegular r:id="rId5" w:fontKey="{425B40AA-3C8A-4D78-84E7-38DCB2C227C6}"/>
    <w:embedBold r:id="rId6" w:fontKey="{C2BD6BA0-BBF1-4BFA-9647-DC873D90B6F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31154E48-F838-487C-A772-2CC377D05324}"/>
  </w:font>
  <w:font w:name="Calibri Light">
    <w:panose1 w:val="020F0302020204030204"/>
    <w:charset w:val="00"/>
    <w:family w:val="swiss"/>
    <w:pitch w:val="variable"/>
    <w:sig w:usb0="E4002EFF" w:usb1="C200247B" w:usb2="00000009" w:usb3="00000000" w:csb0="000001FF" w:csb1="00000000"/>
    <w:embedRegular r:id="rId8" w:fontKey="{B56BD953-2C59-41D4-9E74-993167659592}"/>
  </w:font>
  <w:font w:name="Georgia">
    <w:panose1 w:val="02040502050405020303"/>
    <w:charset w:val="00"/>
    <w:family w:val="roman"/>
    <w:pitch w:val="variable"/>
    <w:sig w:usb0="00000287" w:usb1="00000000" w:usb2="00000000" w:usb3="00000000" w:csb0="0000009F" w:csb1="00000000"/>
    <w:embedItalic r:id="rId9" w:fontKey="{11F00EC2-0388-4B8A-BF21-D1551346DC3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8F8" w:rsidRDefault="0018335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C24241">
      <w:rPr>
        <w:rFonts w:ascii="Arial" w:eastAsia="Arial" w:hAnsi="Arial" w:cs="Arial"/>
        <w:b/>
        <w:bCs/>
        <w:noProof/>
        <w:color w:val="000000"/>
        <w:sz w:val="20"/>
        <w:szCs w:val="20"/>
      </w:rPr>
      <w:t>21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C24241">
      <w:rPr>
        <w:rFonts w:ascii="Arial" w:eastAsia="Arial" w:hAnsi="Arial" w:cs="Arial"/>
        <w:b/>
        <w:bCs/>
        <w:noProof/>
        <w:color w:val="000000"/>
        <w:sz w:val="20"/>
        <w:szCs w:val="20"/>
      </w:rPr>
      <w:t>96</w:t>
    </w:r>
    <w:r>
      <w:rPr>
        <w:rFonts w:ascii="Arial" w:eastAsia="Arial" w:hAnsi="Arial" w:cs="Arial"/>
        <w:b/>
        <w:bCs/>
        <w:color w:val="000000"/>
        <w:sz w:val="20"/>
        <w:szCs w:val="20"/>
      </w:rPr>
      <w:fldChar w:fldCharType="end"/>
    </w:r>
  </w:p>
  <w:p w:rsidR="001408F8" w:rsidRDefault="001408F8">
    <w:pPr>
      <w:pBdr>
        <w:top w:val="nil"/>
        <w:left w:val="nil"/>
        <w:bottom w:val="nil"/>
        <w:right w:val="nil"/>
        <w:between w:val="nil"/>
      </w:pBdr>
      <w:tabs>
        <w:tab w:val="center" w:pos="4252"/>
        <w:tab w:val="right" w:pos="8504"/>
      </w:tabs>
      <w:rPr>
        <w:color w:val="000000"/>
      </w:rPr>
    </w:pPr>
  </w:p>
  <w:p w:rsidR="001408F8" w:rsidRDefault="001408F8">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8F8" w:rsidRDefault="0018335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C24241">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C24241">
      <w:rPr>
        <w:rFonts w:ascii="Arial" w:eastAsia="Arial" w:hAnsi="Arial" w:cs="Arial"/>
        <w:b/>
        <w:bCs/>
        <w:noProof/>
        <w:color w:val="000000"/>
        <w:sz w:val="20"/>
        <w:szCs w:val="20"/>
      </w:rPr>
      <w:t>96</w:t>
    </w:r>
    <w:r>
      <w:rPr>
        <w:rFonts w:ascii="Arial" w:eastAsia="Arial" w:hAnsi="Arial" w:cs="Arial"/>
        <w:b/>
        <w:bCs/>
        <w:color w:val="000000"/>
        <w:sz w:val="20"/>
        <w:szCs w:val="20"/>
      </w:rPr>
      <w:fldChar w:fldCharType="end"/>
    </w:r>
  </w:p>
  <w:p w:rsidR="001408F8" w:rsidRDefault="001408F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27D" w:rsidRDefault="00D3627D">
      <w:r>
        <w:separator/>
      </w:r>
    </w:p>
  </w:footnote>
  <w:footnote w:type="continuationSeparator" w:id="0">
    <w:p w:rsidR="00D3627D" w:rsidRDefault="00D3627D">
      <w:r>
        <w:continuationSeparator/>
      </w:r>
    </w:p>
  </w:footnote>
  <w:footnote w:id="1">
    <w:p w:rsidR="001408F8" w:rsidRDefault="0018335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1408F8" w:rsidRDefault="0018335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1408F8" w:rsidRDefault="0018335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1408F8" w:rsidRDefault="0018335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rsidR="001408F8" w:rsidRDefault="0018335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Manual de organización OPDAPAS apartado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8F8" w:rsidRDefault="00183356">
    <w:pPr>
      <w:widowControl w:val="0"/>
      <w:pBdr>
        <w:top w:val="nil"/>
        <w:left w:val="nil"/>
        <w:bottom w:val="nil"/>
        <w:right w:val="nil"/>
        <w:between w:val="nil"/>
      </w:pBdr>
      <w:spacing w:line="276" w:lineRule="auto"/>
      <w:rPr>
        <w:color w:val="000000"/>
        <w:sz w:val="20"/>
        <w:szCs w:val="20"/>
      </w:rPr>
    </w:pPr>
    <w:r>
      <w:rPr>
        <w:noProof/>
      </w:rPr>
      <w:drawing>
        <wp:anchor distT="0" distB="0" distL="0" distR="0" simplePos="0" relativeHeight="251658240" behindDoc="1" locked="0" layoutInCell="1" hidden="0" allowOverlap="1">
          <wp:simplePos x="0" y="0"/>
          <wp:positionH relativeFrom="column">
            <wp:posOffset>-1257299</wp:posOffset>
          </wp:positionH>
          <wp:positionV relativeFrom="paragraph">
            <wp:posOffset>-569594</wp:posOffset>
          </wp:positionV>
          <wp:extent cx="7813085" cy="10170000"/>
          <wp:effectExtent l="0" t="0" r="0" b="0"/>
          <wp:wrapNone/>
          <wp:docPr id="20548258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0"/>
      <w:tblW w:w="7996" w:type="dxa"/>
      <w:tblInd w:w="2209" w:type="dxa"/>
      <w:tblLayout w:type="fixed"/>
      <w:tblLook w:val="0400" w:firstRow="0" w:lastRow="0" w:firstColumn="0" w:lastColumn="0" w:noHBand="0" w:noVBand="1"/>
    </w:tblPr>
    <w:tblGrid>
      <w:gridCol w:w="2044"/>
      <w:gridCol w:w="5952"/>
    </w:tblGrid>
    <w:tr w:rsidR="001408F8">
      <w:tc>
        <w:tcPr>
          <w:tcW w:w="2044" w:type="dxa"/>
          <w:vAlign w:val="center"/>
        </w:tcPr>
        <w:p w:rsidR="001408F8" w:rsidRPr="00455B9A" w:rsidRDefault="00183356">
          <w:pPr>
            <w:ind w:left="377"/>
            <w:rPr>
              <w:rFonts w:ascii="Palatino Linotype" w:eastAsia="Palatino Linotype" w:hAnsi="Palatino Linotype" w:cs="Palatino Linotype"/>
              <w:b/>
              <w:bCs/>
              <w:sz w:val="22"/>
              <w:szCs w:val="20"/>
            </w:rPr>
          </w:pPr>
          <w:r w:rsidRPr="00455B9A">
            <w:rPr>
              <w:rFonts w:ascii="Palatino Linotype" w:eastAsia="Palatino Linotype" w:hAnsi="Palatino Linotype" w:cs="Palatino Linotype"/>
              <w:b/>
              <w:bCs/>
              <w:sz w:val="22"/>
              <w:szCs w:val="20"/>
            </w:rPr>
            <w:t>Recurso de Revisión:</w:t>
          </w:r>
        </w:p>
      </w:tc>
      <w:tc>
        <w:tcPr>
          <w:tcW w:w="5953" w:type="dxa"/>
          <w:vAlign w:val="center"/>
        </w:tcPr>
        <w:p w:rsidR="001408F8" w:rsidRPr="00455B9A" w:rsidRDefault="00183356">
          <w:pPr>
            <w:ind w:right="-1093"/>
            <w:jc w:val="both"/>
            <w:rPr>
              <w:rFonts w:ascii="Palatino Linotype" w:eastAsia="Palatino Linotype" w:hAnsi="Palatino Linotype" w:cs="Palatino Linotype"/>
              <w:b/>
              <w:bCs/>
              <w:sz w:val="22"/>
              <w:szCs w:val="20"/>
            </w:rPr>
          </w:pPr>
          <w:r w:rsidRPr="00455B9A">
            <w:rPr>
              <w:rFonts w:ascii="Palatino Linotype" w:eastAsia="Palatino Linotype" w:hAnsi="Palatino Linotype" w:cs="Palatino Linotype"/>
              <w:b/>
              <w:bCs/>
              <w:sz w:val="22"/>
              <w:szCs w:val="20"/>
            </w:rPr>
            <w:t xml:space="preserve">13003/INFOEM/IP/RR/2025 </w:t>
          </w:r>
        </w:p>
      </w:tc>
    </w:tr>
    <w:tr w:rsidR="001408F8">
      <w:trPr>
        <w:trHeight w:val="228"/>
      </w:trPr>
      <w:tc>
        <w:tcPr>
          <w:tcW w:w="2044" w:type="dxa"/>
          <w:vAlign w:val="center"/>
        </w:tcPr>
        <w:p w:rsidR="001408F8" w:rsidRPr="00455B9A" w:rsidRDefault="00183356">
          <w:pPr>
            <w:ind w:left="377"/>
            <w:rPr>
              <w:rFonts w:ascii="Palatino Linotype" w:eastAsia="Palatino Linotype" w:hAnsi="Palatino Linotype" w:cs="Palatino Linotype"/>
              <w:b/>
              <w:bCs/>
              <w:sz w:val="22"/>
              <w:szCs w:val="20"/>
            </w:rPr>
          </w:pPr>
          <w:r w:rsidRPr="00455B9A">
            <w:rPr>
              <w:rFonts w:ascii="Palatino Linotype" w:eastAsia="Palatino Linotype" w:hAnsi="Palatino Linotype" w:cs="Palatino Linotype"/>
              <w:b/>
              <w:bCs/>
              <w:sz w:val="22"/>
              <w:szCs w:val="20"/>
            </w:rPr>
            <w:t>Sujeto Obligado:</w:t>
          </w:r>
        </w:p>
      </w:tc>
      <w:tc>
        <w:tcPr>
          <w:tcW w:w="5953" w:type="dxa"/>
          <w:shd w:val="clear" w:color="auto" w:fill="auto"/>
          <w:vAlign w:val="center"/>
        </w:tcPr>
        <w:p w:rsidR="001408F8" w:rsidRPr="00455B9A" w:rsidRDefault="00183356">
          <w:pPr>
            <w:ind w:right="-108"/>
            <w:rPr>
              <w:rFonts w:ascii="Palatino Linotype" w:eastAsia="Palatino Linotype" w:hAnsi="Palatino Linotype" w:cs="Palatino Linotype"/>
              <w:b/>
              <w:bCs/>
              <w:color w:val="000000"/>
              <w:sz w:val="22"/>
              <w:szCs w:val="20"/>
            </w:rPr>
          </w:pPr>
          <w:r w:rsidRPr="00455B9A">
            <w:rPr>
              <w:rFonts w:ascii="Palatino Linotype" w:eastAsia="Palatino Linotype" w:hAnsi="Palatino Linotype" w:cs="Palatino Linotype"/>
              <w:b/>
              <w:bCs/>
              <w:color w:val="000000"/>
              <w:sz w:val="22"/>
              <w:szCs w:val="20"/>
            </w:rPr>
            <w:t>Organismo Público Descentralizado</w:t>
          </w:r>
        </w:p>
        <w:p w:rsidR="001408F8" w:rsidRPr="00455B9A" w:rsidRDefault="00183356">
          <w:pPr>
            <w:ind w:right="-108"/>
            <w:rPr>
              <w:rFonts w:ascii="Palatino Linotype" w:eastAsia="Palatino Linotype" w:hAnsi="Palatino Linotype" w:cs="Palatino Linotype"/>
              <w:b/>
              <w:bCs/>
              <w:color w:val="000000"/>
              <w:sz w:val="22"/>
              <w:szCs w:val="20"/>
            </w:rPr>
          </w:pPr>
          <w:r w:rsidRPr="00455B9A">
            <w:rPr>
              <w:rFonts w:ascii="Palatino Linotype" w:eastAsia="Palatino Linotype" w:hAnsi="Palatino Linotype" w:cs="Palatino Linotype"/>
              <w:b/>
              <w:bCs/>
              <w:color w:val="000000"/>
              <w:sz w:val="22"/>
              <w:szCs w:val="20"/>
            </w:rPr>
            <w:t xml:space="preserve">para la Prestación de Los Servicios de </w:t>
          </w:r>
        </w:p>
        <w:p w:rsidR="001408F8" w:rsidRPr="00455B9A" w:rsidRDefault="00183356">
          <w:pPr>
            <w:ind w:right="-108"/>
            <w:rPr>
              <w:rFonts w:ascii="Palatino Linotype" w:eastAsia="Palatino Linotype" w:hAnsi="Palatino Linotype" w:cs="Palatino Linotype"/>
              <w:b/>
              <w:bCs/>
              <w:color w:val="000000"/>
              <w:sz w:val="22"/>
              <w:szCs w:val="20"/>
            </w:rPr>
          </w:pPr>
          <w:r w:rsidRPr="00455B9A">
            <w:rPr>
              <w:rFonts w:ascii="Palatino Linotype" w:eastAsia="Palatino Linotype" w:hAnsi="Palatino Linotype" w:cs="Palatino Linotype"/>
              <w:b/>
              <w:bCs/>
              <w:color w:val="000000"/>
              <w:sz w:val="22"/>
              <w:szCs w:val="20"/>
            </w:rPr>
            <w:t xml:space="preserve">Agua Potable Alcantarillado y </w:t>
          </w:r>
        </w:p>
        <w:p w:rsidR="001408F8" w:rsidRPr="00455B9A" w:rsidRDefault="00183356">
          <w:pPr>
            <w:ind w:right="-108"/>
            <w:rPr>
              <w:rFonts w:ascii="Palatino Linotype" w:eastAsia="Palatino Linotype" w:hAnsi="Palatino Linotype" w:cs="Palatino Linotype"/>
              <w:color w:val="000000"/>
              <w:sz w:val="22"/>
              <w:szCs w:val="20"/>
            </w:rPr>
          </w:pPr>
          <w:r w:rsidRPr="00455B9A">
            <w:rPr>
              <w:rFonts w:ascii="Palatino Linotype" w:eastAsia="Palatino Linotype" w:hAnsi="Palatino Linotype" w:cs="Palatino Linotype"/>
              <w:b/>
              <w:bCs/>
              <w:color w:val="000000"/>
              <w:sz w:val="22"/>
              <w:szCs w:val="20"/>
            </w:rPr>
            <w:t>Saneamiento de Tenancingo</w:t>
          </w:r>
        </w:p>
      </w:tc>
    </w:tr>
    <w:tr w:rsidR="001408F8">
      <w:tc>
        <w:tcPr>
          <w:tcW w:w="2044" w:type="dxa"/>
          <w:vAlign w:val="center"/>
        </w:tcPr>
        <w:p w:rsidR="001408F8" w:rsidRPr="00455B9A" w:rsidRDefault="00183356">
          <w:pPr>
            <w:ind w:left="377"/>
            <w:rPr>
              <w:rFonts w:ascii="Palatino Linotype" w:eastAsia="Palatino Linotype" w:hAnsi="Palatino Linotype" w:cs="Palatino Linotype"/>
              <w:b/>
              <w:bCs/>
              <w:sz w:val="22"/>
              <w:szCs w:val="20"/>
            </w:rPr>
          </w:pPr>
          <w:r w:rsidRPr="00455B9A">
            <w:rPr>
              <w:rFonts w:ascii="Palatino Linotype" w:eastAsia="Palatino Linotype" w:hAnsi="Palatino Linotype" w:cs="Palatino Linotype"/>
              <w:b/>
              <w:bCs/>
              <w:sz w:val="22"/>
              <w:szCs w:val="20"/>
            </w:rPr>
            <w:t>Comisionada Ponente:</w:t>
          </w:r>
        </w:p>
      </w:tc>
      <w:tc>
        <w:tcPr>
          <w:tcW w:w="5953" w:type="dxa"/>
          <w:vAlign w:val="center"/>
        </w:tcPr>
        <w:p w:rsidR="001408F8" w:rsidRPr="00455B9A" w:rsidRDefault="00183356">
          <w:pPr>
            <w:ind w:right="-1093"/>
            <w:jc w:val="both"/>
            <w:rPr>
              <w:rFonts w:ascii="Palatino Linotype" w:eastAsia="Palatino Linotype" w:hAnsi="Palatino Linotype" w:cs="Palatino Linotype"/>
              <w:b/>
              <w:bCs/>
              <w:sz w:val="22"/>
              <w:szCs w:val="20"/>
            </w:rPr>
          </w:pPr>
          <w:r w:rsidRPr="00455B9A">
            <w:rPr>
              <w:rFonts w:ascii="Palatino Linotype" w:eastAsia="Palatino Linotype" w:hAnsi="Palatino Linotype" w:cs="Palatino Linotype"/>
              <w:b/>
              <w:bCs/>
              <w:sz w:val="22"/>
              <w:szCs w:val="20"/>
            </w:rPr>
            <w:t>María del Rosario Mejía Ayala</w:t>
          </w:r>
        </w:p>
      </w:tc>
    </w:tr>
  </w:tbl>
  <w:p w:rsidR="001408F8" w:rsidRDefault="00183356">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8F8" w:rsidRDefault="00183356">
    <w:pPr>
      <w:pBdr>
        <w:top w:val="nil"/>
        <w:left w:val="nil"/>
        <w:bottom w:val="nil"/>
        <w:right w:val="nil"/>
        <w:between w:val="nil"/>
      </w:pBdr>
      <w:tabs>
        <w:tab w:val="center" w:pos="4252"/>
        <w:tab w:val="right" w:pos="8504"/>
        <w:tab w:val="left" w:pos="7154"/>
      </w:tabs>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noProof/>
      </w:rPr>
      <w:drawing>
        <wp:anchor distT="0" distB="0" distL="0" distR="0" simplePos="0" relativeHeight="251659264" behindDoc="1" locked="0" layoutInCell="1" hidden="0" allowOverlap="1">
          <wp:simplePos x="0" y="0"/>
          <wp:positionH relativeFrom="column">
            <wp:posOffset>-1078863</wp:posOffset>
          </wp:positionH>
          <wp:positionV relativeFrom="paragraph">
            <wp:posOffset>-411477</wp:posOffset>
          </wp:positionV>
          <wp:extent cx="7813085" cy="10170000"/>
          <wp:effectExtent l="0" t="0" r="0" b="0"/>
          <wp:wrapNone/>
          <wp:docPr id="20548258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Style w:val="a1"/>
      <w:tblW w:w="6660" w:type="dxa"/>
      <w:tblInd w:w="2694" w:type="dxa"/>
      <w:tblLayout w:type="fixed"/>
      <w:tblLook w:val="0400" w:firstRow="0" w:lastRow="0" w:firstColumn="0" w:lastColumn="0" w:noHBand="0" w:noVBand="1"/>
    </w:tblPr>
    <w:tblGrid>
      <w:gridCol w:w="2977"/>
      <w:gridCol w:w="3683"/>
    </w:tblGrid>
    <w:tr w:rsidR="001408F8">
      <w:trPr>
        <w:trHeight w:val="227"/>
      </w:trPr>
      <w:tc>
        <w:tcPr>
          <w:tcW w:w="2977" w:type="dxa"/>
          <w:vAlign w:val="center"/>
        </w:tcPr>
        <w:p w:rsidR="001408F8" w:rsidRDefault="00183356">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683" w:type="dxa"/>
          <w:vAlign w:val="center"/>
        </w:tcPr>
        <w:p w:rsidR="001408F8" w:rsidRDefault="0018335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highlight w:val="green"/>
            </w:rPr>
          </w:pPr>
          <w:r>
            <w:rPr>
              <w:rFonts w:ascii="Palatino Linotype" w:eastAsia="Palatino Linotype" w:hAnsi="Palatino Linotype" w:cs="Palatino Linotype"/>
              <w:b/>
              <w:bCs/>
              <w:color w:val="000000"/>
              <w:sz w:val="22"/>
              <w:szCs w:val="22"/>
            </w:rPr>
            <w:t>13003/INFOEM/IP/RR/2025</w:t>
          </w:r>
        </w:p>
      </w:tc>
    </w:tr>
    <w:tr w:rsidR="001408F8">
      <w:trPr>
        <w:trHeight w:val="242"/>
      </w:trPr>
      <w:tc>
        <w:tcPr>
          <w:tcW w:w="2977" w:type="dxa"/>
          <w:vAlign w:val="center"/>
        </w:tcPr>
        <w:p w:rsidR="001408F8" w:rsidRDefault="00183356">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683" w:type="dxa"/>
        </w:tcPr>
        <w:p w:rsidR="001408F8" w:rsidRDefault="00C24241">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bCs/>
              <w:sz w:val="22"/>
              <w:szCs w:val="22"/>
              <w:highlight w:val="green"/>
            </w:rPr>
          </w:pPr>
          <w:r>
            <w:rPr>
              <w:rFonts w:ascii="Palatino Linotype" w:eastAsia="Palatino Linotype" w:hAnsi="Palatino Linotype" w:cs="Palatino Linotype"/>
              <w:b/>
              <w:bCs/>
              <w:sz w:val="22"/>
              <w:szCs w:val="22"/>
            </w:rPr>
            <w:t>XXXX</w:t>
          </w:r>
        </w:p>
      </w:tc>
    </w:tr>
    <w:tr w:rsidR="001408F8">
      <w:trPr>
        <w:trHeight w:val="342"/>
      </w:trPr>
      <w:tc>
        <w:tcPr>
          <w:tcW w:w="2977" w:type="dxa"/>
          <w:vAlign w:val="center"/>
        </w:tcPr>
        <w:p w:rsidR="001408F8" w:rsidRDefault="00183356">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683" w:type="dxa"/>
          <w:vAlign w:val="center"/>
        </w:tcPr>
        <w:p w:rsidR="001408F8" w:rsidRDefault="00183356">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 w:val="22"/>
              <w:szCs w:val="22"/>
              <w:highlight w:val="green"/>
            </w:rPr>
          </w:pPr>
          <w:r>
            <w:rPr>
              <w:rFonts w:ascii="Palatino Linotype" w:eastAsia="Palatino Linotype" w:hAnsi="Palatino Linotype" w:cs="Palatino Linotype"/>
              <w:b/>
              <w:bCs/>
              <w:color w:val="000000"/>
              <w:sz w:val="22"/>
              <w:szCs w:val="22"/>
            </w:rPr>
            <w:t>Organismo Público Descentralizado para la Prestación de Los Servicios de Agua Potable Alcantarillado y Saneamiento de Tenancingo</w:t>
          </w:r>
        </w:p>
      </w:tc>
    </w:tr>
    <w:tr w:rsidR="001408F8">
      <w:trPr>
        <w:trHeight w:val="342"/>
      </w:trPr>
      <w:tc>
        <w:tcPr>
          <w:tcW w:w="2977" w:type="dxa"/>
          <w:vAlign w:val="center"/>
        </w:tcPr>
        <w:p w:rsidR="001408F8" w:rsidRDefault="00183356">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683" w:type="dxa"/>
          <w:vAlign w:val="center"/>
        </w:tcPr>
        <w:p w:rsidR="001408F8" w:rsidRDefault="0018335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María del Rosario Mejía Ayala</w:t>
          </w:r>
        </w:p>
      </w:tc>
    </w:tr>
  </w:tbl>
  <w:p w:rsidR="001408F8" w:rsidRDefault="001408F8">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78D3"/>
    <w:multiLevelType w:val="multilevel"/>
    <w:tmpl w:val="F0822A98"/>
    <w:lvl w:ilvl="0">
      <w:start w:val="1"/>
      <w:numFmt w:val="upperRoman"/>
      <w:lvlText w:val="%1."/>
      <w:lvlJc w:val="righ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 w15:restartNumberingAfterBreak="0">
    <w:nsid w:val="043D427D"/>
    <w:multiLevelType w:val="multilevel"/>
    <w:tmpl w:val="DBA252DE"/>
    <w:lvl w:ilvl="0">
      <w:start w:val="86"/>
      <w:numFmt w:val="decimal"/>
      <w:lvlText w:val="%1."/>
      <w:lvlJc w:val="left"/>
      <w:pPr>
        <w:ind w:left="786"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 w15:restartNumberingAfterBreak="0">
    <w:nsid w:val="04643102"/>
    <w:multiLevelType w:val="multilevel"/>
    <w:tmpl w:val="BFE8A2FE"/>
    <w:lvl w:ilvl="0">
      <w:start w:val="88"/>
      <w:numFmt w:val="decimal"/>
      <w:lvlText w:val="%1."/>
      <w:lvlJc w:val="left"/>
      <w:pPr>
        <w:ind w:left="2629" w:hanging="360"/>
      </w:pPr>
      <w:rPr>
        <w:rFonts w:ascii="Palatino Linotype" w:eastAsia="Palatino Linotype" w:hAnsi="Palatino Linotype" w:cs="Palatino Linotype"/>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bC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450E90"/>
    <w:multiLevelType w:val="multilevel"/>
    <w:tmpl w:val="9A701F8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4" w15:restartNumberingAfterBreak="0">
    <w:nsid w:val="180C2A29"/>
    <w:multiLevelType w:val="multilevel"/>
    <w:tmpl w:val="3C5AC41C"/>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AF524B"/>
    <w:multiLevelType w:val="multilevel"/>
    <w:tmpl w:val="BEC2BD2C"/>
    <w:lvl w:ilvl="0">
      <w:start w:val="74"/>
      <w:numFmt w:val="decimal"/>
      <w:lvlText w:val="%1."/>
      <w:lvlJc w:val="left"/>
      <w:pPr>
        <w:ind w:left="2629" w:hanging="360"/>
      </w:pPr>
      <w:rPr>
        <w:rFonts w:ascii="Palatino Linotype" w:eastAsia="Palatino Linotype" w:hAnsi="Palatino Linotype" w:cs="Palatino Linotype"/>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bC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FF5DA7"/>
    <w:multiLevelType w:val="multilevel"/>
    <w:tmpl w:val="387C5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616010"/>
    <w:multiLevelType w:val="multilevel"/>
    <w:tmpl w:val="28AE1ED6"/>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09727CC"/>
    <w:multiLevelType w:val="multilevel"/>
    <w:tmpl w:val="C86ED990"/>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9" w15:restartNumberingAfterBreak="0">
    <w:nsid w:val="41EE0908"/>
    <w:multiLevelType w:val="multilevel"/>
    <w:tmpl w:val="3606FA60"/>
    <w:lvl w:ilvl="0">
      <w:start w:val="1"/>
      <w:numFmt w:val="upperRoman"/>
      <w:lvlText w:val="%1."/>
      <w:lvlJc w:val="righ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0" w15:restartNumberingAfterBreak="0">
    <w:nsid w:val="492A0C5D"/>
    <w:multiLevelType w:val="multilevel"/>
    <w:tmpl w:val="EE4EB33A"/>
    <w:lvl w:ilvl="0">
      <w:start w:val="1"/>
      <w:numFmt w:val="upperRoman"/>
      <w:lvlText w:val="%1."/>
      <w:lvlJc w:val="righ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1" w15:restartNumberingAfterBreak="0">
    <w:nsid w:val="50C84508"/>
    <w:multiLevelType w:val="multilevel"/>
    <w:tmpl w:val="1DAC8E9C"/>
    <w:lvl w:ilvl="0">
      <w:start w:val="121"/>
      <w:numFmt w:val="decimal"/>
      <w:lvlText w:val="%1."/>
      <w:lvlJc w:val="left"/>
      <w:pPr>
        <w:ind w:left="786"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2" w15:restartNumberingAfterBreak="0">
    <w:nsid w:val="55306933"/>
    <w:multiLevelType w:val="multilevel"/>
    <w:tmpl w:val="28967DC4"/>
    <w:lvl w:ilvl="0">
      <w:start w:val="9"/>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20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BE34AAA"/>
    <w:multiLevelType w:val="multilevel"/>
    <w:tmpl w:val="2EE20D20"/>
    <w:lvl w:ilvl="0">
      <w:start w:val="1"/>
      <w:numFmt w:val="lowerLetter"/>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4" w15:restartNumberingAfterBreak="0">
    <w:nsid w:val="615E2B6E"/>
    <w:multiLevelType w:val="multilevel"/>
    <w:tmpl w:val="BC36098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F147B1F"/>
    <w:multiLevelType w:val="multilevel"/>
    <w:tmpl w:val="42DEA766"/>
    <w:lvl w:ilvl="0">
      <w:start w:val="75"/>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2"/>
  </w:num>
  <w:num w:numId="3">
    <w:abstractNumId w:val="4"/>
  </w:num>
  <w:num w:numId="4">
    <w:abstractNumId w:val="1"/>
  </w:num>
  <w:num w:numId="5">
    <w:abstractNumId w:val="8"/>
  </w:num>
  <w:num w:numId="6">
    <w:abstractNumId w:val="0"/>
  </w:num>
  <w:num w:numId="7">
    <w:abstractNumId w:val="10"/>
  </w:num>
  <w:num w:numId="8">
    <w:abstractNumId w:val="5"/>
  </w:num>
  <w:num w:numId="9">
    <w:abstractNumId w:val="14"/>
  </w:num>
  <w:num w:numId="10">
    <w:abstractNumId w:val="11"/>
  </w:num>
  <w:num w:numId="11">
    <w:abstractNumId w:val="9"/>
  </w:num>
  <w:num w:numId="12">
    <w:abstractNumId w:val="15"/>
  </w:num>
  <w:num w:numId="13">
    <w:abstractNumId w:val="6"/>
  </w:num>
  <w:num w:numId="14">
    <w:abstractNumId w:val="13"/>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8F8"/>
    <w:rsid w:val="001408F8"/>
    <w:rsid w:val="00183356"/>
    <w:rsid w:val="00455B9A"/>
    <w:rsid w:val="00512080"/>
    <w:rsid w:val="00667FF1"/>
    <w:rsid w:val="00C24241"/>
    <w:rsid w:val="00D3627D"/>
    <w:rsid w:val="00E21DEB"/>
    <w:rsid w:val="00FB4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093807-958D-40CA-9155-C6C4C4B9C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BE0BA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BE0BA7"/>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0BA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E0BA7"/>
    <w:rPr>
      <w:rFonts w:ascii="Times New Roman" w:eastAsia="Times New Roman" w:hAnsi="Times New Roman" w:cs="Times New Roman"/>
      <w:sz w:val="24"/>
      <w:szCs w:val="24"/>
      <w:lang w:eastAsia="es-MX"/>
    </w:rPr>
  </w:style>
  <w:style w:type="table" w:styleId="Tabladecuadrcula4">
    <w:name w:val="Grid Table 4"/>
    <w:basedOn w:val="Tablanormal"/>
    <w:uiPriority w:val="49"/>
    <w:rsid w:val="00BE0BA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BE0BA7"/>
    <w:pPr>
      <w:tabs>
        <w:tab w:val="center" w:pos="4419"/>
        <w:tab w:val="right" w:pos="8838"/>
      </w:tabs>
    </w:pPr>
  </w:style>
  <w:style w:type="character" w:customStyle="1" w:styleId="EncabezadoCar">
    <w:name w:val="Encabezado Car"/>
    <w:basedOn w:val="Fuentedeprrafopredeter"/>
    <w:link w:val="Encabezado"/>
    <w:uiPriority w:val="99"/>
    <w:rsid w:val="00BE0BA7"/>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BE0BA7"/>
    <w:pPr>
      <w:tabs>
        <w:tab w:val="center" w:pos="4419"/>
        <w:tab w:val="right" w:pos="8838"/>
      </w:tabs>
    </w:pPr>
  </w:style>
  <w:style w:type="character" w:customStyle="1" w:styleId="PiedepginaCar">
    <w:name w:val="Pie de página Car"/>
    <w:basedOn w:val="Fuentedeprrafopredeter"/>
    <w:link w:val="Piedepgina"/>
    <w:uiPriority w:val="99"/>
    <w:rsid w:val="00BE0BA7"/>
    <w:rPr>
      <w:rFonts w:ascii="Times New Roman" w:eastAsia="Times New Roman" w:hAnsi="Times New Roman" w:cs="Times New Roman"/>
      <w:sz w:val="24"/>
      <w:szCs w:val="24"/>
      <w:lang w:eastAsia="es-MX"/>
    </w:rPr>
  </w:style>
  <w:style w:type="paragraph" w:styleId="Listaconvietas">
    <w:name w:val="List Bullet"/>
    <w:basedOn w:val="Normal"/>
    <w:uiPriority w:val="99"/>
    <w:unhideWhenUsed/>
    <w:rsid w:val="009E7B61"/>
    <w:pPr>
      <w:numPr>
        <w:numId w:val="16"/>
      </w:numPr>
      <w:contextualSpacing/>
    </w:pPr>
    <w:rPr>
      <w:lang w:val="es-ES"/>
    </w:rPr>
  </w:style>
  <w:style w:type="paragraph" w:styleId="Sinespaciado">
    <w:name w:val="No Spacing"/>
    <w:aliases w:val="Francesa,INAI"/>
    <w:link w:val="SinespaciadoCar"/>
    <w:uiPriority w:val="1"/>
    <w:qFormat/>
    <w:rsid w:val="00436063"/>
  </w:style>
  <w:style w:type="character" w:customStyle="1" w:styleId="SinespaciadoCar">
    <w:name w:val="Sin espaciado Car"/>
    <w:aliases w:val="Francesa Car,INAI Car"/>
    <w:link w:val="Sinespaciado"/>
    <w:uiPriority w:val="1"/>
    <w:locked/>
    <w:rsid w:val="00436063"/>
  </w:style>
  <w:style w:type="character" w:styleId="Hipervnculo">
    <w:name w:val="Hyperlink"/>
    <w:aliases w:val="Hipervínculo1,Hipervínculo11,Hipervínculo12,Hipervínculo13,Hipervínculo14,Hipervínculo15"/>
    <w:basedOn w:val="Fuentedeprrafopredeter"/>
    <w:uiPriority w:val="99"/>
    <w:unhideWhenUsed/>
    <w:qFormat/>
    <w:rsid w:val="008A5366"/>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472AB"/>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472AB"/>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0472AB"/>
    <w:rPr>
      <w:vertAlign w:val="superscript"/>
    </w:rPr>
  </w:style>
  <w:style w:type="character" w:customStyle="1" w:styleId="normaltextrun">
    <w:name w:val="normaltextrun"/>
    <w:basedOn w:val="Fuentedeprrafopredeter"/>
    <w:rsid w:val="00EF4E30"/>
  </w:style>
  <w:style w:type="paragraph" w:styleId="NormalWeb">
    <w:name w:val="Normal (Web)"/>
    <w:basedOn w:val="Normal"/>
    <w:uiPriority w:val="99"/>
    <w:rsid w:val="00036436"/>
    <w:pPr>
      <w:spacing w:before="100" w:beforeAutospacing="1" w:after="100" w:afterAutospacing="1"/>
    </w:pPr>
    <w:rPr>
      <w:lang w:val="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uHiVjObfhHQGDA0kopcoUlQ+wQ==">CgMxLjAyCGguZ2pkZ3hzMgloLjFmb2I5dGUyCWguM3pueXNoNzIJaC4yZXQ5MnAwMghoLnR5amN3dDIJaC4zZHk2dmttMgloLjF0M2g1c2YyCWguNGQzNG9nODIJaC4yczhleW8xMgloLjE3ZHA4dnUyCWguMjZpbjFyZzIJaC4xa3N2NHV2MghoLmxueGJ6OTIOaC52MnNzZnEzODljbTQyCWguMmp4c3hxaDgAciExR0JUdmk2LTlWX3NIV0hBREpSUlpoS29UMmtOYXp4Q2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96</Pages>
  <Words>20565</Words>
  <Characters>113113</Characters>
  <Application>Microsoft Office Word</Application>
  <DocSecurity>0</DocSecurity>
  <Lines>942</Lines>
  <Paragraphs>266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133412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6</cp:revision>
  <cp:lastPrinted>2026-03-23T16:21:00Z</cp:lastPrinted>
  <dcterms:created xsi:type="dcterms:W3CDTF">2026-03-10T19:46:00Z</dcterms:created>
  <dcterms:modified xsi:type="dcterms:W3CDTF">2026-04-08T00:02:00Z</dcterms:modified>
</cp:coreProperties>
</file>