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BD5" w:rsidRDefault="00EC6BD5">
      <w:pPr>
        <w:widowControl w:val="0"/>
        <w:pBdr>
          <w:top w:val="nil"/>
          <w:left w:val="nil"/>
          <w:bottom w:val="nil"/>
          <w:right w:val="nil"/>
          <w:between w:val="nil"/>
        </w:pBdr>
        <w:spacing w:line="276" w:lineRule="auto"/>
      </w:pPr>
    </w:p>
    <w:p w:rsidR="00EC6BD5" w:rsidRDefault="00EC6BD5">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bookmarkStart w:id="0" w:name="_heading=h.34ymvt7pmc02" w:colFirst="0" w:colLast="0"/>
      <w:bookmarkEnd w:id="0"/>
    </w:p>
    <w:p w:rsidR="00EC6BD5" w:rsidRDefault="00CE61A9">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07926/INFOEM/IP/RR/2025 Y ACUMULADO</w:t>
      </w:r>
    </w:p>
    <w:sdt>
      <w:sdtPr>
        <w:rPr>
          <w:sz w:val="20"/>
          <w:szCs w:val="20"/>
          <w:lang w:val="es-ES"/>
        </w:rPr>
        <w:id w:val="-1066333463"/>
        <w:docPartObj>
          <w:docPartGallery w:val="Table of Contents"/>
          <w:docPartUnique/>
        </w:docPartObj>
      </w:sdtPr>
      <w:sdtEndPr>
        <w:rPr>
          <w:b/>
          <w:bCs/>
        </w:rPr>
      </w:sdtEndPr>
      <w:sdtContent>
        <w:p w:rsidR="004D5D8C" w:rsidRDefault="004D5D8C">
          <w:pPr>
            <w:pStyle w:val="TtulodeTDC"/>
          </w:pPr>
        </w:p>
        <w:p w:rsidR="00DF63B6" w:rsidRPr="00DF63B6" w:rsidRDefault="004D5D8C">
          <w:pPr>
            <w:pStyle w:val="TDC1"/>
            <w:tabs>
              <w:tab w:val="right" w:leader="dot" w:pos="8828"/>
            </w:tabs>
            <w:rPr>
              <w:rFonts w:cstheme="minorBidi"/>
              <w:noProof/>
            </w:rPr>
          </w:pPr>
          <w:r w:rsidRPr="00DF63B6">
            <w:rPr>
              <w:bCs/>
              <w:lang w:val="es-ES"/>
            </w:rPr>
            <w:fldChar w:fldCharType="begin"/>
          </w:r>
          <w:r w:rsidRPr="00DF63B6">
            <w:rPr>
              <w:bCs/>
              <w:lang w:val="es-ES"/>
            </w:rPr>
            <w:instrText xml:space="preserve"> TOC \o "1-3" \h \z \u </w:instrText>
          </w:r>
          <w:r w:rsidRPr="00DF63B6">
            <w:rPr>
              <w:bCs/>
              <w:lang w:val="es-ES"/>
            </w:rPr>
            <w:fldChar w:fldCharType="separate"/>
          </w:r>
          <w:hyperlink w:anchor="_Toc221201477" w:history="1">
            <w:r w:rsidR="00DF63B6" w:rsidRPr="00DF63B6">
              <w:rPr>
                <w:rStyle w:val="Hipervnculo"/>
                <w:rFonts w:ascii="Palatino Linotype" w:eastAsia="Palatino Linotype" w:hAnsi="Palatino Linotype" w:cs="Palatino Linotype"/>
                <w:bCs/>
                <w:noProof/>
              </w:rPr>
              <w:t>A N T E C E D E N T E S</w:t>
            </w:r>
            <w:r w:rsidR="00DF63B6" w:rsidRPr="00DF63B6">
              <w:rPr>
                <w:noProof/>
                <w:webHidden/>
              </w:rPr>
              <w:tab/>
            </w:r>
            <w:r w:rsidR="00DF63B6" w:rsidRPr="00DF63B6">
              <w:rPr>
                <w:noProof/>
                <w:webHidden/>
              </w:rPr>
              <w:fldChar w:fldCharType="begin"/>
            </w:r>
            <w:r w:rsidR="00DF63B6" w:rsidRPr="00DF63B6">
              <w:rPr>
                <w:noProof/>
                <w:webHidden/>
              </w:rPr>
              <w:instrText xml:space="preserve"> PAGEREF _Toc221201477 \h </w:instrText>
            </w:r>
            <w:r w:rsidR="00DF63B6" w:rsidRPr="00DF63B6">
              <w:rPr>
                <w:noProof/>
                <w:webHidden/>
              </w:rPr>
            </w:r>
            <w:r w:rsidR="00DF63B6" w:rsidRPr="00DF63B6">
              <w:rPr>
                <w:noProof/>
                <w:webHidden/>
              </w:rPr>
              <w:fldChar w:fldCharType="separate"/>
            </w:r>
            <w:r w:rsidR="00B01123">
              <w:rPr>
                <w:noProof/>
                <w:webHidden/>
              </w:rPr>
              <w:t>2</w:t>
            </w:r>
            <w:r w:rsidR="00DF63B6" w:rsidRPr="00DF63B6">
              <w:rPr>
                <w:noProof/>
                <w:webHidden/>
              </w:rPr>
              <w:fldChar w:fldCharType="end"/>
            </w:r>
          </w:hyperlink>
        </w:p>
        <w:p w:rsidR="00DF63B6" w:rsidRPr="00DF63B6" w:rsidRDefault="008F3758">
          <w:pPr>
            <w:pStyle w:val="TDC2"/>
            <w:tabs>
              <w:tab w:val="right" w:leader="dot" w:pos="8828"/>
            </w:tabs>
            <w:rPr>
              <w:rFonts w:cstheme="minorBidi"/>
              <w:noProof/>
            </w:rPr>
          </w:pPr>
          <w:hyperlink w:anchor="_Toc221201478" w:history="1">
            <w:r w:rsidR="00DF63B6" w:rsidRPr="00DF63B6">
              <w:rPr>
                <w:rStyle w:val="Hipervnculo"/>
                <w:rFonts w:ascii="Palatino Linotype" w:eastAsia="Palatino Linotype" w:hAnsi="Palatino Linotype" w:cs="Palatino Linotype"/>
                <w:bCs/>
                <w:noProof/>
              </w:rPr>
              <w:t>I. Presentación de las solicitudes de información</w:t>
            </w:r>
            <w:r w:rsidR="00DF63B6" w:rsidRPr="00DF63B6">
              <w:rPr>
                <w:noProof/>
                <w:webHidden/>
              </w:rPr>
              <w:tab/>
            </w:r>
            <w:r w:rsidR="00DF63B6" w:rsidRPr="00DF63B6">
              <w:rPr>
                <w:noProof/>
                <w:webHidden/>
              </w:rPr>
              <w:fldChar w:fldCharType="begin"/>
            </w:r>
            <w:r w:rsidR="00DF63B6" w:rsidRPr="00DF63B6">
              <w:rPr>
                <w:noProof/>
                <w:webHidden/>
              </w:rPr>
              <w:instrText xml:space="preserve"> PAGEREF _Toc221201478 \h </w:instrText>
            </w:r>
            <w:r w:rsidR="00DF63B6" w:rsidRPr="00DF63B6">
              <w:rPr>
                <w:noProof/>
                <w:webHidden/>
              </w:rPr>
            </w:r>
            <w:r w:rsidR="00DF63B6" w:rsidRPr="00DF63B6">
              <w:rPr>
                <w:noProof/>
                <w:webHidden/>
              </w:rPr>
              <w:fldChar w:fldCharType="separate"/>
            </w:r>
            <w:r w:rsidR="00B01123">
              <w:rPr>
                <w:noProof/>
                <w:webHidden/>
              </w:rPr>
              <w:t>2</w:t>
            </w:r>
            <w:r w:rsidR="00DF63B6" w:rsidRPr="00DF63B6">
              <w:rPr>
                <w:noProof/>
                <w:webHidden/>
              </w:rPr>
              <w:fldChar w:fldCharType="end"/>
            </w:r>
          </w:hyperlink>
        </w:p>
        <w:p w:rsidR="00DF63B6" w:rsidRPr="00DF63B6" w:rsidRDefault="008F3758">
          <w:pPr>
            <w:pStyle w:val="TDC2"/>
            <w:tabs>
              <w:tab w:val="right" w:leader="dot" w:pos="8828"/>
            </w:tabs>
            <w:rPr>
              <w:rFonts w:cstheme="minorBidi"/>
              <w:noProof/>
            </w:rPr>
          </w:pPr>
          <w:hyperlink w:anchor="_Toc221201479" w:history="1">
            <w:r w:rsidR="00DF63B6" w:rsidRPr="00DF63B6">
              <w:rPr>
                <w:rStyle w:val="Hipervnculo"/>
                <w:rFonts w:ascii="Palatino Linotype" w:eastAsia="Palatino Linotype" w:hAnsi="Palatino Linotype" w:cs="Palatino Linotype"/>
                <w:bCs/>
                <w:noProof/>
              </w:rPr>
              <w:t>II. Respuesta del Sujeto Obligado</w:t>
            </w:r>
            <w:r w:rsidR="00DF63B6" w:rsidRPr="00DF63B6">
              <w:rPr>
                <w:noProof/>
                <w:webHidden/>
              </w:rPr>
              <w:tab/>
            </w:r>
            <w:r w:rsidR="00DF63B6" w:rsidRPr="00DF63B6">
              <w:rPr>
                <w:noProof/>
                <w:webHidden/>
              </w:rPr>
              <w:fldChar w:fldCharType="begin"/>
            </w:r>
            <w:r w:rsidR="00DF63B6" w:rsidRPr="00DF63B6">
              <w:rPr>
                <w:noProof/>
                <w:webHidden/>
              </w:rPr>
              <w:instrText xml:space="preserve"> PAGEREF _Toc221201479 \h </w:instrText>
            </w:r>
            <w:r w:rsidR="00DF63B6" w:rsidRPr="00DF63B6">
              <w:rPr>
                <w:noProof/>
                <w:webHidden/>
              </w:rPr>
            </w:r>
            <w:r w:rsidR="00DF63B6" w:rsidRPr="00DF63B6">
              <w:rPr>
                <w:noProof/>
                <w:webHidden/>
              </w:rPr>
              <w:fldChar w:fldCharType="separate"/>
            </w:r>
            <w:r w:rsidR="00B01123">
              <w:rPr>
                <w:noProof/>
                <w:webHidden/>
              </w:rPr>
              <w:t>3</w:t>
            </w:r>
            <w:r w:rsidR="00DF63B6" w:rsidRPr="00DF63B6">
              <w:rPr>
                <w:noProof/>
                <w:webHidden/>
              </w:rPr>
              <w:fldChar w:fldCharType="end"/>
            </w:r>
          </w:hyperlink>
        </w:p>
        <w:p w:rsidR="00DF63B6" w:rsidRPr="00DF63B6" w:rsidRDefault="008F3758">
          <w:pPr>
            <w:pStyle w:val="TDC2"/>
            <w:tabs>
              <w:tab w:val="right" w:leader="dot" w:pos="8828"/>
            </w:tabs>
            <w:rPr>
              <w:rFonts w:cstheme="minorBidi"/>
              <w:noProof/>
            </w:rPr>
          </w:pPr>
          <w:hyperlink w:anchor="_Toc221201480" w:history="1">
            <w:r w:rsidR="00DF63B6" w:rsidRPr="00DF63B6">
              <w:rPr>
                <w:rStyle w:val="Hipervnculo"/>
                <w:rFonts w:ascii="Palatino Linotype" w:eastAsia="Palatino Linotype" w:hAnsi="Palatino Linotype" w:cs="Palatino Linotype"/>
                <w:bCs/>
                <w:noProof/>
              </w:rPr>
              <w:t>III. Interposición del Recurso de Revisión</w:t>
            </w:r>
            <w:r w:rsidR="00DF63B6" w:rsidRPr="00DF63B6">
              <w:rPr>
                <w:noProof/>
                <w:webHidden/>
              </w:rPr>
              <w:tab/>
            </w:r>
            <w:r w:rsidR="00DF63B6" w:rsidRPr="00DF63B6">
              <w:rPr>
                <w:noProof/>
                <w:webHidden/>
              </w:rPr>
              <w:fldChar w:fldCharType="begin"/>
            </w:r>
            <w:r w:rsidR="00DF63B6" w:rsidRPr="00DF63B6">
              <w:rPr>
                <w:noProof/>
                <w:webHidden/>
              </w:rPr>
              <w:instrText xml:space="preserve"> PAGEREF _Toc221201480 \h </w:instrText>
            </w:r>
            <w:r w:rsidR="00DF63B6" w:rsidRPr="00DF63B6">
              <w:rPr>
                <w:noProof/>
                <w:webHidden/>
              </w:rPr>
            </w:r>
            <w:r w:rsidR="00DF63B6" w:rsidRPr="00DF63B6">
              <w:rPr>
                <w:noProof/>
                <w:webHidden/>
              </w:rPr>
              <w:fldChar w:fldCharType="separate"/>
            </w:r>
            <w:r w:rsidR="00B01123">
              <w:rPr>
                <w:noProof/>
                <w:webHidden/>
              </w:rPr>
              <w:t>4</w:t>
            </w:r>
            <w:r w:rsidR="00DF63B6" w:rsidRPr="00DF63B6">
              <w:rPr>
                <w:noProof/>
                <w:webHidden/>
              </w:rPr>
              <w:fldChar w:fldCharType="end"/>
            </w:r>
          </w:hyperlink>
        </w:p>
        <w:p w:rsidR="00DF63B6" w:rsidRPr="00DF63B6" w:rsidRDefault="008F3758">
          <w:pPr>
            <w:pStyle w:val="TDC2"/>
            <w:tabs>
              <w:tab w:val="right" w:leader="dot" w:pos="8828"/>
            </w:tabs>
            <w:rPr>
              <w:rFonts w:cstheme="minorBidi"/>
              <w:noProof/>
            </w:rPr>
          </w:pPr>
          <w:hyperlink w:anchor="_Toc221201481" w:history="1">
            <w:r w:rsidR="00DF63B6" w:rsidRPr="00DF63B6">
              <w:rPr>
                <w:rStyle w:val="Hipervnculo"/>
                <w:rFonts w:ascii="Palatino Linotype" w:eastAsia="Palatino Linotype" w:hAnsi="Palatino Linotype" w:cs="Palatino Linotype"/>
                <w:bCs/>
                <w:noProof/>
              </w:rPr>
              <w:t>IV. Trámite del Recurso de Revisión ante el Instituto</w:t>
            </w:r>
            <w:r w:rsidR="00DF63B6" w:rsidRPr="00DF63B6">
              <w:rPr>
                <w:noProof/>
                <w:webHidden/>
              </w:rPr>
              <w:tab/>
            </w:r>
            <w:r w:rsidR="00DF63B6" w:rsidRPr="00DF63B6">
              <w:rPr>
                <w:noProof/>
                <w:webHidden/>
              </w:rPr>
              <w:fldChar w:fldCharType="begin"/>
            </w:r>
            <w:r w:rsidR="00DF63B6" w:rsidRPr="00DF63B6">
              <w:rPr>
                <w:noProof/>
                <w:webHidden/>
              </w:rPr>
              <w:instrText xml:space="preserve"> PAGEREF _Toc221201481 \h </w:instrText>
            </w:r>
            <w:r w:rsidR="00DF63B6" w:rsidRPr="00DF63B6">
              <w:rPr>
                <w:noProof/>
                <w:webHidden/>
              </w:rPr>
            </w:r>
            <w:r w:rsidR="00DF63B6" w:rsidRPr="00DF63B6">
              <w:rPr>
                <w:noProof/>
                <w:webHidden/>
              </w:rPr>
              <w:fldChar w:fldCharType="separate"/>
            </w:r>
            <w:r w:rsidR="00B01123">
              <w:rPr>
                <w:noProof/>
                <w:webHidden/>
              </w:rPr>
              <w:t>4</w:t>
            </w:r>
            <w:r w:rsidR="00DF63B6" w:rsidRPr="00DF63B6">
              <w:rPr>
                <w:noProof/>
                <w:webHidden/>
              </w:rPr>
              <w:fldChar w:fldCharType="end"/>
            </w:r>
          </w:hyperlink>
        </w:p>
        <w:p w:rsidR="00DF63B6" w:rsidRPr="00DF63B6" w:rsidRDefault="008F3758">
          <w:pPr>
            <w:pStyle w:val="TDC1"/>
            <w:tabs>
              <w:tab w:val="right" w:leader="dot" w:pos="8828"/>
            </w:tabs>
            <w:rPr>
              <w:rFonts w:cstheme="minorBidi"/>
              <w:noProof/>
            </w:rPr>
          </w:pPr>
          <w:hyperlink w:anchor="_Toc221201482" w:history="1">
            <w:r w:rsidR="00DF63B6" w:rsidRPr="00DF63B6">
              <w:rPr>
                <w:rStyle w:val="Hipervnculo"/>
                <w:rFonts w:ascii="Palatino Linotype" w:eastAsia="Palatino Linotype" w:hAnsi="Palatino Linotype" w:cs="Palatino Linotype"/>
                <w:bCs/>
                <w:noProof/>
              </w:rPr>
              <w:t>C O N S I D E R A N D O S</w:t>
            </w:r>
            <w:r w:rsidR="00DF63B6" w:rsidRPr="00DF63B6">
              <w:rPr>
                <w:noProof/>
                <w:webHidden/>
              </w:rPr>
              <w:tab/>
            </w:r>
            <w:r w:rsidR="00DF63B6" w:rsidRPr="00DF63B6">
              <w:rPr>
                <w:noProof/>
                <w:webHidden/>
              </w:rPr>
              <w:fldChar w:fldCharType="begin"/>
            </w:r>
            <w:r w:rsidR="00DF63B6" w:rsidRPr="00DF63B6">
              <w:rPr>
                <w:noProof/>
                <w:webHidden/>
              </w:rPr>
              <w:instrText xml:space="preserve"> PAGEREF _Toc221201482 \h </w:instrText>
            </w:r>
            <w:r w:rsidR="00DF63B6" w:rsidRPr="00DF63B6">
              <w:rPr>
                <w:noProof/>
                <w:webHidden/>
              </w:rPr>
            </w:r>
            <w:r w:rsidR="00DF63B6" w:rsidRPr="00DF63B6">
              <w:rPr>
                <w:noProof/>
                <w:webHidden/>
              </w:rPr>
              <w:fldChar w:fldCharType="separate"/>
            </w:r>
            <w:r w:rsidR="00B01123">
              <w:rPr>
                <w:noProof/>
                <w:webHidden/>
              </w:rPr>
              <w:t>6</w:t>
            </w:r>
            <w:r w:rsidR="00DF63B6" w:rsidRPr="00DF63B6">
              <w:rPr>
                <w:noProof/>
                <w:webHidden/>
              </w:rPr>
              <w:fldChar w:fldCharType="end"/>
            </w:r>
          </w:hyperlink>
        </w:p>
        <w:p w:rsidR="00DF63B6" w:rsidRPr="00DF63B6" w:rsidRDefault="008F3758">
          <w:pPr>
            <w:pStyle w:val="TDC2"/>
            <w:tabs>
              <w:tab w:val="right" w:leader="dot" w:pos="8828"/>
            </w:tabs>
            <w:rPr>
              <w:rFonts w:cstheme="minorBidi"/>
              <w:noProof/>
            </w:rPr>
          </w:pPr>
          <w:hyperlink w:anchor="_Toc221201483" w:history="1">
            <w:r w:rsidR="00DF63B6" w:rsidRPr="00DF63B6">
              <w:rPr>
                <w:rStyle w:val="Hipervnculo"/>
                <w:rFonts w:ascii="Palatino Linotype" w:eastAsia="Palatino Linotype" w:hAnsi="Palatino Linotype" w:cs="Palatino Linotype"/>
                <w:bCs/>
                <w:noProof/>
              </w:rPr>
              <w:t>PRIMERO. Competencia</w:t>
            </w:r>
            <w:r w:rsidR="00DF63B6" w:rsidRPr="00DF63B6">
              <w:rPr>
                <w:noProof/>
                <w:webHidden/>
              </w:rPr>
              <w:tab/>
            </w:r>
            <w:r w:rsidR="00DF63B6" w:rsidRPr="00DF63B6">
              <w:rPr>
                <w:noProof/>
                <w:webHidden/>
              </w:rPr>
              <w:fldChar w:fldCharType="begin"/>
            </w:r>
            <w:r w:rsidR="00DF63B6" w:rsidRPr="00DF63B6">
              <w:rPr>
                <w:noProof/>
                <w:webHidden/>
              </w:rPr>
              <w:instrText xml:space="preserve"> PAGEREF _Toc221201483 \h </w:instrText>
            </w:r>
            <w:r w:rsidR="00DF63B6" w:rsidRPr="00DF63B6">
              <w:rPr>
                <w:noProof/>
                <w:webHidden/>
              </w:rPr>
            </w:r>
            <w:r w:rsidR="00DF63B6" w:rsidRPr="00DF63B6">
              <w:rPr>
                <w:noProof/>
                <w:webHidden/>
              </w:rPr>
              <w:fldChar w:fldCharType="separate"/>
            </w:r>
            <w:r w:rsidR="00B01123">
              <w:rPr>
                <w:noProof/>
                <w:webHidden/>
              </w:rPr>
              <w:t>6</w:t>
            </w:r>
            <w:r w:rsidR="00DF63B6" w:rsidRPr="00DF63B6">
              <w:rPr>
                <w:noProof/>
                <w:webHidden/>
              </w:rPr>
              <w:fldChar w:fldCharType="end"/>
            </w:r>
          </w:hyperlink>
        </w:p>
        <w:p w:rsidR="00DF63B6" w:rsidRPr="00DF63B6" w:rsidRDefault="008F3758">
          <w:pPr>
            <w:pStyle w:val="TDC2"/>
            <w:tabs>
              <w:tab w:val="right" w:leader="dot" w:pos="8828"/>
            </w:tabs>
            <w:rPr>
              <w:rFonts w:cstheme="minorBidi"/>
              <w:noProof/>
            </w:rPr>
          </w:pPr>
          <w:hyperlink w:anchor="_Toc221201484" w:history="1">
            <w:r w:rsidR="00DF63B6" w:rsidRPr="00DF63B6">
              <w:rPr>
                <w:rStyle w:val="Hipervnculo"/>
                <w:rFonts w:ascii="Palatino Linotype" w:eastAsia="Palatino Linotype" w:hAnsi="Palatino Linotype" w:cs="Palatino Linotype"/>
                <w:bCs/>
                <w:noProof/>
              </w:rPr>
              <w:t>SEGUNDO. Causales de improcedencia y sobreseimiento</w:t>
            </w:r>
            <w:r w:rsidR="00DF63B6" w:rsidRPr="00DF63B6">
              <w:rPr>
                <w:noProof/>
                <w:webHidden/>
              </w:rPr>
              <w:tab/>
            </w:r>
            <w:r w:rsidR="00DF63B6" w:rsidRPr="00DF63B6">
              <w:rPr>
                <w:noProof/>
                <w:webHidden/>
              </w:rPr>
              <w:fldChar w:fldCharType="begin"/>
            </w:r>
            <w:r w:rsidR="00DF63B6" w:rsidRPr="00DF63B6">
              <w:rPr>
                <w:noProof/>
                <w:webHidden/>
              </w:rPr>
              <w:instrText xml:space="preserve"> PAGEREF _Toc221201484 \h </w:instrText>
            </w:r>
            <w:r w:rsidR="00DF63B6" w:rsidRPr="00DF63B6">
              <w:rPr>
                <w:noProof/>
                <w:webHidden/>
              </w:rPr>
            </w:r>
            <w:r w:rsidR="00DF63B6" w:rsidRPr="00DF63B6">
              <w:rPr>
                <w:noProof/>
                <w:webHidden/>
              </w:rPr>
              <w:fldChar w:fldCharType="separate"/>
            </w:r>
            <w:r w:rsidR="00B01123">
              <w:rPr>
                <w:noProof/>
                <w:webHidden/>
              </w:rPr>
              <w:t>7</w:t>
            </w:r>
            <w:r w:rsidR="00DF63B6" w:rsidRPr="00DF63B6">
              <w:rPr>
                <w:noProof/>
                <w:webHidden/>
              </w:rPr>
              <w:fldChar w:fldCharType="end"/>
            </w:r>
          </w:hyperlink>
        </w:p>
        <w:p w:rsidR="00DF63B6" w:rsidRPr="00DF63B6" w:rsidRDefault="008F3758">
          <w:pPr>
            <w:pStyle w:val="TDC2"/>
            <w:tabs>
              <w:tab w:val="right" w:leader="dot" w:pos="8828"/>
            </w:tabs>
            <w:rPr>
              <w:rFonts w:cstheme="minorBidi"/>
              <w:noProof/>
            </w:rPr>
          </w:pPr>
          <w:hyperlink w:anchor="_Toc221201485" w:history="1">
            <w:r w:rsidR="00DF63B6" w:rsidRPr="00DF63B6">
              <w:rPr>
                <w:rStyle w:val="Hipervnculo"/>
                <w:rFonts w:ascii="Palatino Linotype" w:eastAsia="Palatino Linotype" w:hAnsi="Palatino Linotype" w:cs="Palatino Linotype"/>
                <w:bCs/>
                <w:noProof/>
              </w:rPr>
              <w:t>CUARTO. Marco normativo aplicable en materia de transparencia y acceso a la información pública</w:t>
            </w:r>
            <w:r w:rsidR="00DF63B6" w:rsidRPr="00DF63B6">
              <w:rPr>
                <w:noProof/>
                <w:webHidden/>
              </w:rPr>
              <w:tab/>
            </w:r>
            <w:r w:rsidR="00DF63B6" w:rsidRPr="00DF63B6">
              <w:rPr>
                <w:noProof/>
                <w:webHidden/>
              </w:rPr>
              <w:fldChar w:fldCharType="begin"/>
            </w:r>
            <w:r w:rsidR="00DF63B6" w:rsidRPr="00DF63B6">
              <w:rPr>
                <w:noProof/>
                <w:webHidden/>
              </w:rPr>
              <w:instrText xml:space="preserve"> PAGEREF _Toc221201485 \h </w:instrText>
            </w:r>
            <w:r w:rsidR="00DF63B6" w:rsidRPr="00DF63B6">
              <w:rPr>
                <w:noProof/>
                <w:webHidden/>
              </w:rPr>
            </w:r>
            <w:r w:rsidR="00DF63B6" w:rsidRPr="00DF63B6">
              <w:rPr>
                <w:noProof/>
                <w:webHidden/>
              </w:rPr>
              <w:fldChar w:fldCharType="separate"/>
            </w:r>
            <w:r w:rsidR="00B01123">
              <w:rPr>
                <w:noProof/>
                <w:webHidden/>
              </w:rPr>
              <w:t>10</w:t>
            </w:r>
            <w:r w:rsidR="00DF63B6" w:rsidRPr="00DF63B6">
              <w:rPr>
                <w:noProof/>
                <w:webHidden/>
              </w:rPr>
              <w:fldChar w:fldCharType="end"/>
            </w:r>
          </w:hyperlink>
        </w:p>
        <w:p w:rsidR="00DF63B6" w:rsidRPr="00DF63B6" w:rsidRDefault="008F3758">
          <w:pPr>
            <w:pStyle w:val="TDC2"/>
            <w:tabs>
              <w:tab w:val="right" w:leader="dot" w:pos="8828"/>
            </w:tabs>
            <w:rPr>
              <w:rFonts w:cstheme="minorBidi"/>
              <w:noProof/>
            </w:rPr>
          </w:pPr>
          <w:hyperlink w:anchor="_Toc221201486" w:history="1">
            <w:r w:rsidR="00DF63B6" w:rsidRPr="00DF63B6">
              <w:rPr>
                <w:rStyle w:val="Hipervnculo"/>
                <w:rFonts w:ascii="Palatino Linotype" w:eastAsia="Palatino Linotype" w:hAnsi="Palatino Linotype" w:cs="Palatino Linotype"/>
                <w:bCs/>
                <w:noProof/>
              </w:rPr>
              <w:t>QUINTO. Estudio de Fondo</w:t>
            </w:r>
            <w:r w:rsidR="00DF63B6" w:rsidRPr="00DF63B6">
              <w:rPr>
                <w:noProof/>
                <w:webHidden/>
              </w:rPr>
              <w:tab/>
            </w:r>
            <w:r w:rsidR="00DF63B6" w:rsidRPr="00DF63B6">
              <w:rPr>
                <w:noProof/>
                <w:webHidden/>
              </w:rPr>
              <w:fldChar w:fldCharType="begin"/>
            </w:r>
            <w:r w:rsidR="00DF63B6" w:rsidRPr="00DF63B6">
              <w:rPr>
                <w:noProof/>
                <w:webHidden/>
              </w:rPr>
              <w:instrText xml:space="preserve"> PAGEREF _Toc221201486 \h </w:instrText>
            </w:r>
            <w:r w:rsidR="00DF63B6" w:rsidRPr="00DF63B6">
              <w:rPr>
                <w:noProof/>
                <w:webHidden/>
              </w:rPr>
            </w:r>
            <w:r w:rsidR="00DF63B6" w:rsidRPr="00DF63B6">
              <w:rPr>
                <w:noProof/>
                <w:webHidden/>
              </w:rPr>
              <w:fldChar w:fldCharType="separate"/>
            </w:r>
            <w:r w:rsidR="00B01123">
              <w:rPr>
                <w:noProof/>
                <w:webHidden/>
              </w:rPr>
              <w:t>11</w:t>
            </w:r>
            <w:r w:rsidR="00DF63B6" w:rsidRPr="00DF63B6">
              <w:rPr>
                <w:noProof/>
                <w:webHidden/>
              </w:rPr>
              <w:fldChar w:fldCharType="end"/>
            </w:r>
          </w:hyperlink>
        </w:p>
        <w:p w:rsidR="00DF63B6" w:rsidRPr="00DF63B6" w:rsidRDefault="008F3758">
          <w:pPr>
            <w:pStyle w:val="TDC2"/>
            <w:tabs>
              <w:tab w:val="right" w:leader="dot" w:pos="8828"/>
            </w:tabs>
            <w:rPr>
              <w:rFonts w:cstheme="minorBidi"/>
              <w:noProof/>
            </w:rPr>
          </w:pPr>
          <w:hyperlink w:anchor="_Toc221201487" w:history="1">
            <w:r w:rsidR="00DF63B6" w:rsidRPr="00DF63B6">
              <w:rPr>
                <w:rStyle w:val="Hipervnculo"/>
                <w:rFonts w:ascii="Palatino Linotype" w:eastAsia="Palatino Linotype" w:hAnsi="Palatino Linotype" w:cs="Palatino Linotype"/>
                <w:bCs/>
                <w:noProof/>
              </w:rPr>
              <w:t>SEXTO. Decisión</w:t>
            </w:r>
            <w:r w:rsidR="00DF63B6" w:rsidRPr="00DF63B6">
              <w:rPr>
                <w:noProof/>
                <w:webHidden/>
              </w:rPr>
              <w:tab/>
            </w:r>
            <w:r w:rsidR="00DF63B6" w:rsidRPr="00DF63B6">
              <w:rPr>
                <w:noProof/>
                <w:webHidden/>
              </w:rPr>
              <w:fldChar w:fldCharType="begin"/>
            </w:r>
            <w:r w:rsidR="00DF63B6" w:rsidRPr="00DF63B6">
              <w:rPr>
                <w:noProof/>
                <w:webHidden/>
              </w:rPr>
              <w:instrText xml:space="preserve"> PAGEREF _Toc221201487 \h </w:instrText>
            </w:r>
            <w:r w:rsidR="00DF63B6" w:rsidRPr="00DF63B6">
              <w:rPr>
                <w:noProof/>
                <w:webHidden/>
              </w:rPr>
            </w:r>
            <w:r w:rsidR="00DF63B6" w:rsidRPr="00DF63B6">
              <w:rPr>
                <w:noProof/>
                <w:webHidden/>
              </w:rPr>
              <w:fldChar w:fldCharType="separate"/>
            </w:r>
            <w:r w:rsidR="00B01123">
              <w:rPr>
                <w:noProof/>
                <w:webHidden/>
              </w:rPr>
              <w:t>38</w:t>
            </w:r>
            <w:r w:rsidR="00DF63B6" w:rsidRPr="00DF63B6">
              <w:rPr>
                <w:noProof/>
                <w:webHidden/>
              </w:rPr>
              <w:fldChar w:fldCharType="end"/>
            </w:r>
          </w:hyperlink>
        </w:p>
        <w:p w:rsidR="00DF63B6" w:rsidRPr="00DF63B6" w:rsidRDefault="008F3758">
          <w:pPr>
            <w:pStyle w:val="TDC1"/>
            <w:tabs>
              <w:tab w:val="right" w:leader="dot" w:pos="8828"/>
            </w:tabs>
            <w:rPr>
              <w:rFonts w:cstheme="minorBidi"/>
              <w:noProof/>
            </w:rPr>
          </w:pPr>
          <w:hyperlink w:anchor="_Toc221201488" w:history="1">
            <w:r w:rsidR="00DF63B6" w:rsidRPr="00DF63B6">
              <w:rPr>
                <w:rStyle w:val="Hipervnculo"/>
                <w:rFonts w:ascii="Palatino Linotype" w:eastAsia="Palatino Linotype" w:hAnsi="Palatino Linotype" w:cs="Palatino Linotype"/>
                <w:bCs/>
                <w:noProof/>
              </w:rPr>
              <w:t>R E S U E L V E</w:t>
            </w:r>
            <w:r w:rsidR="00DF63B6" w:rsidRPr="00DF63B6">
              <w:rPr>
                <w:noProof/>
                <w:webHidden/>
              </w:rPr>
              <w:tab/>
            </w:r>
            <w:r w:rsidR="00DF63B6" w:rsidRPr="00DF63B6">
              <w:rPr>
                <w:noProof/>
                <w:webHidden/>
              </w:rPr>
              <w:fldChar w:fldCharType="begin"/>
            </w:r>
            <w:r w:rsidR="00DF63B6" w:rsidRPr="00DF63B6">
              <w:rPr>
                <w:noProof/>
                <w:webHidden/>
              </w:rPr>
              <w:instrText xml:space="preserve"> PAGEREF _Toc221201488 \h </w:instrText>
            </w:r>
            <w:r w:rsidR="00DF63B6" w:rsidRPr="00DF63B6">
              <w:rPr>
                <w:noProof/>
                <w:webHidden/>
              </w:rPr>
            </w:r>
            <w:r w:rsidR="00DF63B6" w:rsidRPr="00DF63B6">
              <w:rPr>
                <w:noProof/>
                <w:webHidden/>
              </w:rPr>
              <w:fldChar w:fldCharType="separate"/>
            </w:r>
            <w:r w:rsidR="00B01123">
              <w:rPr>
                <w:noProof/>
                <w:webHidden/>
              </w:rPr>
              <w:t>39</w:t>
            </w:r>
            <w:r w:rsidR="00DF63B6" w:rsidRPr="00DF63B6">
              <w:rPr>
                <w:noProof/>
                <w:webHidden/>
              </w:rPr>
              <w:fldChar w:fldCharType="end"/>
            </w:r>
          </w:hyperlink>
        </w:p>
        <w:p w:rsidR="004D5D8C" w:rsidRDefault="004D5D8C">
          <w:r w:rsidRPr="00DF63B6">
            <w:rPr>
              <w:bCs/>
              <w:lang w:val="es-ES"/>
            </w:rPr>
            <w:fldChar w:fldCharType="end"/>
          </w:r>
        </w:p>
      </w:sdtContent>
    </w:sdt>
    <w:p w:rsidR="00EC6BD5" w:rsidRDefault="00EC6BD5">
      <w:pPr>
        <w:spacing w:line="360" w:lineRule="auto"/>
        <w:jc w:val="both"/>
      </w:pPr>
    </w:p>
    <w:p w:rsidR="004D5D8C" w:rsidRDefault="004D5D8C">
      <w:pPr>
        <w:spacing w:line="360" w:lineRule="auto"/>
        <w:jc w:val="both"/>
      </w:pPr>
    </w:p>
    <w:p w:rsidR="004D5D8C" w:rsidRDefault="004D5D8C">
      <w:pPr>
        <w:spacing w:line="360" w:lineRule="auto"/>
        <w:jc w:val="both"/>
      </w:pPr>
    </w:p>
    <w:p w:rsidR="004D5D8C" w:rsidRDefault="004D5D8C">
      <w:pPr>
        <w:spacing w:line="360" w:lineRule="auto"/>
        <w:jc w:val="both"/>
      </w:pPr>
    </w:p>
    <w:p w:rsidR="004D5D8C" w:rsidRDefault="004D5D8C">
      <w:pPr>
        <w:spacing w:line="360" w:lineRule="auto"/>
        <w:jc w:val="both"/>
      </w:pPr>
    </w:p>
    <w:p w:rsidR="004D5D8C" w:rsidRDefault="004D5D8C">
      <w:pPr>
        <w:spacing w:line="360" w:lineRule="auto"/>
        <w:jc w:val="both"/>
      </w:pPr>
    </w:p>
    <w:p w:rsidR="004D5D8C" w:rsidRDefault="004D5D8C">
      <w:pPr>
        <w:spacing w:line="360" w:lineRule="auto"/>
        <w:jc w:val="both"/>
      </w:pPr>
    </w:p>
    <w:p w:rsidR="004D5D8C" w:rsidRDefault="004D5D8C">
      <w:pPr>
        <w:spacing w:line="360" w:lineRule="auto"/>
        <w:jc w:val="both"/>
      </w:pPr>
    </w:p>
    <w:p w:rsidR="004D5D8C" w:rsidRDefault="004D5D8C">
      <w:pPr>
        <w:spacing w:line="360" w:lineRule="auto"/>
        <w:jc w:val="both"/>
      </w:pPr>
    </w:p>
    <w:p w:rsidR="004D5D8C" w:rsidRDefault="004D5D8C">
      <w:pPr>
        <w:spacing w:line="360" w:lineRule="auto"/>
        <w:jc w:val="both"/>
      </w:pPr>
    </w:p>
    <w:p w:rsidR="004D5D8C" w:rsidRDefault="004D5D8C">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cinco de febrero de dos mil veintiséis.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VISTO </w:t>
      </w:r>
      <w:r>
        <w:rPr>
          <w:rFonts w:ascii="Palatino Linotype" w:eastAsia="Palatino Linotype" w:hAnsi="Palatino Linotype" w:cs="Palatino Linotype"/>
          <w:sz w:val="22"/>
          <w:szCs w:val="22"/>
        </w:rPr>
        <w:t xml:space="preserve">el expediente conformado con motivo de los Recursos de Revisión </w:t>
      </w:r>
      <w:r w:rsidRPr="0071253A">
        <w:rPr>
          <w:rFonts w:ascii="Palatino Linotype" w:eastAsia="Palatino Linotype" w:hAnsi="Palatino Linotype" w:cs="Palatino Linotype"/>
          <w:b/>
          <w:sz w:val="22"/>
          <w:szCs w:val="22"/>
        </w:rPr>
        <w:t>07926/INFOEM/IP/RR/2025 y 07927/INFOEM/IP/RR/2025</w:t>
      </w:r>
      <w:r>
        <w:rPr>
          <w:rFonts w:ascii="Palatino Linotype" w:eastAsia="Palatino Linotype" w:hAnsi="Palatino Linotype" w:cs="Palatino Linotype"/>
          <w:sz w:val="22"/>
          <w:szCs w:val="22"/>
        </w:rPr>
        <w:t xml:space="preserve">, interpuestos por quien en adelante será nombrado como el Recurrente o Particular, en contra de las respuestas del Sujeto Obligado, </w:t>
      </w:r>
      <w:r w:rsidRPr="0071253A">
        <w:rPr>
          <w:rFonts w:ascii="Palatino Linotype" w:eastAsia="Palatino Linotype" w:hAnsi="Palatino Linotype" w:cs="Palatino Linotype"/>
          <w:b/>
          <w:sz w:val="22"/>
          <w:szCs w:val="22"/>
        </w:rPr>
        <w:t>Ayuntamiento de Toluca</w:t>
      </w:r>
      <w:r>
        <w:rPr>
          <w:rFonts w:ascii="Palatino Linotype" w:eastAsia="Palatino Linotype" w:hAnsi="Palatino Linotype" w:cs="Palatino Linotype"/>
          <w:sz w:val="22"/>
          <w:szCs w:val="22"/>
        </w:rPr>
        <w:t>, a las solicitudes 02901/TOLUCA/IP/2025 y 02900/TOLUCA/IP/2025, se emite la presente Resolución, con base en los Antecedentes y Considerandos que a continuación se exponen:</w:t>
      </w:r>
    </w:p>
    <w:p w:rsidR="00EC6BD5" w:rsidRDefault="00EC6BD5">
      <w:pPr>
        <w:spacing w:line="360" w:lineRule="auto"/>
        <w:jc w:val="both"/>
        <w:rPr>
          <w:rFonts w:ascii="Palatino Linotype" w:eastAsia="Palatino Linotype" w:hAnsi="Palatino Linotype" w:cs="Palatino Linotype"/>
          <w:b/>
          <w:bCs/>
          <w:sz w:val="18"/>
          <w:szCs w:val="18"/>
        </w:rPr>
      </w:pPr>
    </w:p>
    <w:p w:rsidR="00EC6BD5" w:rsidRDefault="00CE61A9">
      <w:pPr>
        <w:pStyle w:val="Ttulo1"/>
        <w:spacing w:before="0" w:line="360" w:lineRule="auto"/>
        <w:jc w:val="center"/>
        <w:rPr>
          <w:rFonts w:ascii="Palatino Linotype" w:eastAsia="Palatino Linotype" w:hAnsi="Palatino Linotype" w:cs="Palatino Linotype"/>
          <w:b/>
          <w:bCs/>
          <w:color w:val="000000"/>
          <w:sz w:val="22"/>
          <w:szCs w:val="22"/>
        </w:rPr>
      </w:pPr>
      <w:bookmarkStart w:id="1" w:name="_heading=h.4tzdc7abehdj" w:colFirst="0" w:colLast="0"/>
      <w:bookmarkStart w:id="2" w:name="_Toc221201477"/>
      <w:bookmarkEnd w:id="1"/>
      <w:r>
        <w:rPr>
          <w:rFonts w:ascii="Palatino Linotype" w:eastAsia="Palatino Linotype" w:hAnsi="Palatino Linotype" w:cs="Palatino Linotype"/>
          <w:b/>
          <w:bCs/>
          <w:color w:val="000000"/>
          <w:sz w:val="22"/>
          <w:szCs w:val="22"/>
        </w:rPr>
        <w:t>A N T E C E D E N T E S</w:t>
      </w:r>
      <w:bookmarkEnd w:id="2"/>
    </w:p>
    <w:p w:rsidR="00EC6BD5" w:rsidRDefault="00EC6BD5">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rPr>
      </w:pPr>
    </w:p>
    <w:p w:rsidR="00EC6BD5" w:rsidRDefault="00CE61A9">
      <w:pPr>
        <w:pStyle w:val="Ttulo2"/>
        <w:spacing w:before="0" w:line="360" w:lineRule="auto"/>
        <w:rPr>
          <w:rFonts w:ascii="Palatino Linotype" w:eastAsia="Palatino Linotype" w:hAnsi="Palatino Linotype" w:cs="Palatino Linotype"/>
          <w:b/>
          <w:bCs/>
          <w:color w:val="000000"/>
          <w:sz w:val="22"/>
          <w:szCs w:val="22"/>
        </w:rPr>
      </w:pPr>
      <w:bookmarkStart w:id="3" w:name="_heading=h.sfqxereln6k5" w:colFirst="0" w:colLast="0"/>
      <w:bookmarkStart w:id="4" w:name="_Toc221201478"/>
      <w:bookmarkEnd w:id="3"/>
      <w:r>
        <w:rPr>
          <w:rFonts w:ascii="Palatino Linotype" w:eastAsia="Palatino Linotype" w:hAnsi="Palatino Linotype" w:cs="Palatino Linotype"/>
          <w:b/>
          <w:bCs/>
          <w:color w:val="000000"/>
          <w:sz w:val="22"/>
          <w:szCs w:val="22"/>
        </w:rPr>
        <w:t>I. Presentación de las solicitudes de información</w:t>
      </w:r>
      <w:bookmarkEnd w:id="4"/>
    </w:p>
    <w:p w:rsidR="00EC6BD5" w:rsidRDefault="00EC6BD5">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sz w:val="18"/>
          <w:szCs w:val="18"/>
        </w:rPr>
      </w:pPr>
    </w:p>
    <w:p w:rsidR="00EC6BD5" w:rsidRDefault="00CE61A9">
      <w:pP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diecinueve de mayo de dos mil veinticinco, el Particular presentó solicitudes de acceso a la información pública, a través del Sistema de Acceso a la Información Mexiquense, en lo sucesivo el SAIMEX, ante el Ayuntamiento de Toluca, misma que fueron registradas con los números de folio 02901/TOLUCA/IP/2025 y 02900/TOLUCA/IP/2025,</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mediante las cuales requirió de manera idéntica, lo siguiente: </w:t>
      </w:r>
    </w:p>
    <w:p w:rsidR="00EC6BD5" w:rsidRDefault="00EC6BD5">
      <w:pPr>
        <w:tabs>
          <w:tab w:val="left" w:pos="567"/>
        </w:tabs>
        <w:spacing w:line="360" w:lineRule="auto"/>
        <w:jc w:val="both"/>
        <w:rPr>
          <w:rFonts w:ascii="Palatino Linotype" w:eastAsia="Palatino Linotype" w:hAnsi="Palatino Linotype" w:cs="Palatino Linotype"/>
          <w:sz w:val="22"/>
          <w:szCs w:val="22"/>
        </w:rPr>
      </w:pPr>
    </w:p>
    <w:p w:rsidR="00EC6BD5" w:rsidRDefault="00CE61A9">
      <w:pPr>
        <w:tabs>
          <w:tab w:val="left" w:pos="567"/>
        </w:tabs>
        <w:spacing w:line="360" w:lineRule="auto"/>
        <w:ind w:left="567" w:right="539"/>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rPr>
        <w:t>“DESCRIPCIÓN CLARA Y PRECISA DE LA INFORMACIÓN SOLICITADA</w:t>
      </w:r>
    </w:p>
    <w:p w:rsidR="00EC6BD5" w:rsidRDefault="00CE61A9">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La octava Regidora informo que se estará pendiente del uso a que se le </w:t>
      </w:r>
      <w:proofErr w:type="spellStart"/>
      <w:r>
        <w:rPr>
          <w:rFonts w:ascii="Palatino Linotype" w:eastAsia="Palatino Linotype" w:hAnsi="Palatino Linotype" w:cs="Palatino Linotype"/>
          <w:i/>
          <w:iCs/>
          <w:color w:val="000000"/>
        </w:rPr>
        <w:t>de</w:t>
      </w:r>
      <w:proofErr w:type="spellEnd"/>
      <w:r>
        <w:rPr>
          <w:rFonts w:ascii="Palatino Linotype" w:eastAsia="Palatino Linotype" w:hAnsi="Palatino Linotype" w:cs="Palatino Linotype"/>
          <w:i/>
          <w:iCs/>
          <w:color w:val="000000"/>
        </w:rPr>
        <w:t xml:space="preserve"> a los vehículos asignados, </w:t>
      </w:r>
      <w:proofErr w:type="spellStart"/>
      <w:r>
        <w:rPr>
          <w:rFonts w:ascii="Palatino Linotype" w:eastAsia="Palatino Linotype" w:hAnsi="Palatino Linotype" w:cs="Palatino Linotype"/>
          <w:i/>
          <w:iCs/>
          <w:color w:val="000000"/>
        </w:rPr>
        <w:t>bse</w:t>
      </w:r>
      <w:proofErr w:type="spellEnd"/>
      <w:r>
        <w:rPr>
          <w:rFonts w:ascii="Palatino Linotype" w:eastAsia="Palatino Linotype" w:hAnsi="Palatino Linotype" w:cs="Palatino Linotype"/>
          <w:i/>
          <w:iCs/>
          <w:color w:val="000000"/>
        </w:rPr>
        <w:t xml:space="preserve"> quiere saber el Padrón de los vehículos asignando por unidad administrativa a toda las unidades qué vehículo se les asigno con marca, </w:t>
      </w:r>
      <w:proofErr w:type="spellStart"/>
      <w:r>
        <w:rPr>
          <w:rFonts w:ascii="Palatino Linotype" w:eastAsia="Palatino Linotype" w:hAnsi="Palatino Linotype" w:cs="Palatino Linotype"/>
          <w:i/>
          <w:iCs/>
          <w:color w:val="000000"/>
        </w:rPr>
        <w:t>submarca</w:t>
      </w:r>
      <w:proofErr w:type="spellEnd"/>
      <w:r>
        <w:rPr>
          <w:rFonts w:ascii="Palatino Linotype" w:eastAsia="Palatino Linotype" w:hAnsi="Palatino Linotype" w:cs="Palatino Linotype"/>
          <w:i/>
          <w:iCs/>
          <w:color w:val="000000"/>
        </w:rPr>
        <w:t xml:space="preserve">, modelo, año, color placas, cuanto tiene asignado de gasolina, el nombre del servidor público qué se le asigno. El formato de resguardo, la </w:t>
      </w:r>
      <w:r>
        <w:rPr>
          <w:rFonts w:ascii="Palatino Linotype" w:eastAsia="Palatino Linotype" w:hAnsi="Palatino Linotype" w:cs="Palatino Linotype"/>
          <w:i/>
          <w:iCs/>
          <w:color w:val="000000"/>
        </w:rPr>
        <w:lastRenderedPageBreak/>
        <w:t xml:space="preserve">licencia de manejo de quien lo manejará y del qué se le asigno, la factura o arrendamiento del vehículo el contrato, lugar de resguardado del vehículo el estacionamiento donde se debe resguardar, horario qué s e puede utilizar el vehículo será operativo o asignación directa incluyen también para las camionetas </w:t>
      </w:r>
      <w:proofErr w:type="spellStart"/>
      <w:r>
        <w:rPr>
          <w:rFonts w:ascii="Palatino Linotype" w:eastAsia="Palatino Linotype" w:hAnsi="Palatino Linotype" w:cs="Palatino Linotype"/>
          <w:i/>
          <w:iCs/>
          <w:color w:val="000000"/>
        </w:rPr>
        <w:t>thaoo</w:t>
      </w:r>
      <w:proofErr w:type="spellEnd"/>
      <w:r>
        <w:rPr>
          <w:rFonts w:ascii="Palatino Linotype" w:eastAsia="Palatino Linotype" w:hAnsi="Palatino Linotype" w:cs="Palatino Linotype"/>
          <w:i/>
          <w:iCs/>
          <w:color w:val="000000"/>
        </w:rPr>
        <w:t xml:space="preserve"> y todos los vehículos de seguridad fotográfica de los vehículos pata ver su estado actual y color del vehículo" (Sic).</w:t>
      </w:r>
    </w:p>
    <w:p w:rsidR="00EC6BD5" w:rsidRDefault="00EC6BD5">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i/>
          <w:iCs/>
          <w:color w:val="000000"/>
        </w:rPr>
      </w:pPr>
    </w:p>
    <w:p w:rsidR="00EC6BD5" w:rsidRDefault="00CE61A9">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MODALIDAD DE ENTREGA </w:t>
      </w:r>
    </w:p>
    <w:p w:rsidR="00EC6BD5" w:rsidRDefault="00CE61A9">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 través del SAIMEX”</w:t>
      </w:r>
    </w:p>
    <w:p w:rsidR="00EC6BD5" w:rsidRDefault="00EC6BD5">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i/>
          <w:iCs/>
          <w:color w:val="000000"/>
        </w:rPr>
      </w:pPr>
    </w:p>
    <w:p w:rsidR="00EC6BD5" w:rsidRDefault="00CE61A9">
      <w:pPr>
        <w:pStyle w:val="Ttulo2"/>
        <w:spacing w:before="0" w:line="360" w:lineRule="auto"/>
        <w:rPr>
          <w:color w:val="000000"/>
        </w:rPr>
      </w:pPr>
      <w:bookmarkStart w:id="5" w:name="_heading=h.m1t37ga91aqn" w:colFirst="0" w:colLast="0"/>
      <w:bookmarkStart w:id="6" w:name="_Toc221201479"/>
      <w:bookmarkEnd w:id="5"/>
      <w:r>
        <w:rPr>
          <w:rFonts w:ascii="Palatino Linotype" w:eastAsia="Palatino Linotype" w:hAnsi="Palatino Linotype" w:cs="Palatino Linotype"/>
          <w:b/>
          <w:bCs/>
          <w:color w:val="000000"/>
          <w:sz w:val="22"/>
          <w:szCs w:val="22"/>
        </w:rPr>
        <w:t>II. Respuesta del Sujeto Obligado</w:t>
      </w:r>
      <w:bookmarkEnd w:id="6"/>
    </w:p>
    <w:p w:rsidR="00EC6BD5" w:rsidRDefault="00EC6BD5">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nueve de junio de dos mil veinticinco, el Sujeto Obligado otorgó respuestas similares que </w:t>
      </w:r>
      <w:proofErr w:type="spellStart"/>
      <w:r>
        <w:rPr>
          <w:rFonts w:ascii="Palatino Linotype" w:eastAsia="Palatino Linotype" w:hAnsi="Palatino Linotype" w:cs="Palatino Linotype"/>
          <w:sz w:val="22"/>
          <w:szCs w:val="22"/>
        </w:rPr>
        <w:t>unicamente</w:t>
      </w:r>
      <w:proofErr w:type="spellEnd"/>
      <w:r>
        <w:rPr>
          <w:rFonts w:ascii="Palatino Linotype" w:eastAsia="Palatino Linotype" w:hAnsi="Palatino Linotype" w:cs="Palatino Linotype"/>
          <w:sz w:val="22"/>
          <w:szCs w:val="22"/>
        </w:rPr>
        <w:t xml:space="preserve"> cambiaron el número de la solicitud, a través del SAIMEX, en los siguientes términos: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tabs>
          <w:tab w:val="left" w:pos="2282"/>
        </w:tabs>
        <w:spacing w:line="360" w:lineRule="auto"/>
        <w:ind w:left="567" w:right="397"/>
        <w:jc w:val="both"/>
        <w:rPr>
          <w:rFonts w:ascii="Palatino Linotype" w:eastAsia="Palatino Linotype" w:hAnsi="Palatino Linotype" w:cs="Palatino Linotype"/>
          <w:i/>
          <w:iCs/>
        </w:rPr>
      </w:pPr>
      <w:r>
        <w:rPr>
          <w:rFonts w:ascii="Palatino Linotype" w:eastAsia="Palatino Linotype" w:hAnsi="Palatino Linotype" w:cs="Palatino Linotype"/>
          <w:i/>
          <w:iCs/>
        </w:rPr>
        <w:t>En atención a la solicitud con folio 02901/TOLUCA/IP/2025, me permito adjuntar al presente la respuesta correspondiente, Sin más por el momento, reciba un saludo.</w:t>
      </w:r>
    </w:p>
    <w:p w:rsidR="00EC6BD5" w:rsidRDefault="00EC6BD5">
      <w:pPr>
        <w:tabs>
          <w:tab w:val="left" w:pos="2282"/>
        </w:tabs>
        <w:spacing w:line="360" w:lineRule="auto"/>
        <w:ind w:left="567" w:right="397"/>
        <w:jc w:val="both"/>
        <w:rPr>
          <w:rFonts w:ascii="Palatino Linotype" w:eastAsia="Palatino Linotype" w:hAnsi="Palatino Linotype" w:cs="Palatino Linotype"/>
          <w:i/>
          <w:iCs/>
        </w:rPr>
      </w:pPr>
    </w:p>
    <w:p w:rsidR="00EC6BD5" w:rsidRDefault="00CE61A9">
      <w:pPr>
        <w:tabs>
          <w:tab w:val="left" w:pos="312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esta respuesta, adjuntó dos archivos que contienen lo siguiente:</w:t>
      </w:r>
    </w:p>
    <w:p w:rsidR="00EC6BD5" w:rsidRDefault="00EC6BD5">
      <w:pPr>
        <w:tabs>
          <w:tab w:val="left" w:pos="3122"/>
        </w:tabs>
        <w:spacing w:line="360" w:lineRule="auto"/>
        <w:jc w:val="both"/>
        <w:rPr>
          <w:rFonts w:ascii="Palatino Linotype" w:eastAsia="Palatino Linotype" w:hAnsi="Palatino Linotype" w:cs="Palatino Linotype"/>
          <w:sz w:val="22"/>
          <w:szCs w:val="22"/>
        </w:rPr>
      </w:pPr>
    </w:p>
    <w:p w:rsidR="00EC6BD5" w:rsidRDefault="00CE61A9">
      <w:pPr>
        <w:tabs>
          <w:tab w:val="left" w:pos="3122"/>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02901</w:t>
      </w:r>
      <w:proofErr w:type="gramStart"/>
      <w:r>
        <w:rPr>
          <w:rFonts w:ascii="Palatino Linotype" w:eastAsia="Palatino Linotype" w:hAnsi="Palatino Linotype" w:cs="Palatino Linotype"/>
          <w:b/>
          <w:bCs/>
          <w:sz w:val="22"/>
          <w:szCs w:val="22"/>
        </w:rPr>
        <w:t>.pdf</w:t>
      </w:r>
      <w:proofErr w:type="gramEnd"/>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Documento de cuatro fojas, que contiene el inventario de vehículos que contiene doscientos setenta y cuatro vehículos, con un desglose de detalle, dividido en dieciséis columnas, que incluyen el número progresivo del inventario, el área </w:t>
      </w:r>
      <w:proofErr w:type="spellStart"/>
      <w:r>
        <w:rPr>
          <w:rFonts w:ascii="Palatino Linotype" w:eastAsia="Palatino Linotype" w:hAnsi="Palatino Linotype" w:cs="Palatino Linotype"/>
          <w:sz w:val="22"/>
          <w:szCs w:val="22"/>
        </w:rPr>
        <w:t>resguardataria</w:t>
      </w:r>
      <w:proofErr w:type="spellEnd"/>
      <w:r>
        <w:rPr>
          <w:rFonts w:ascii="Palatino Linotype" w:eastAsia="Palatino Linotype" w:hAnsi="Palatino Linotype" w:cs="Palatino Linotype"/>
          <w:sz w:val="22"/>
          <w:szCs w:val="22"/>
        </w:rPr>
        <w:t xml:space="preserve">, el nombre del </w:t>
      </w:r>
      <w:proofErr w:type="spellStart"/>
      <w:r>
        <w:rPr>
          <w:rFonts w:ascii="Palatino Linotype" w:eastAsia="Palatino Linotype" w:hAnsi="Palatino Linotype" w:cs="Palatino Linotype"/>
          <w:sz w:val="22"/>
          <w:szCs w:val="22"/>
        </w:rPr>
        <w:t>resguardatario</w:t>
      </w:r>
      <w:proofErr w:type="spellEnd"/>
      <w:r>
        <w:rPr>
          <w:rFonts w:ascii="Palatino Linotype" w:eastAsia="Palatino Linotype" w:hAnsi="Palatino Linotype" w:cs="Palatino Linotype"/>
          <w:sz w:val="22"/>
          <w:szCs w:val="22"/>
        </w:rPr>
        <w:t>, el número de inventario, el número económico, la descripción del vehículo, la marca, el color, el modelo, la serie, el número de placa, el  tipo de vehículo, el número de factura, la fecha de adquisición, el proveedor y el costo.</w:t>
      </w:r>
    </w:p>
    <w:p w:rsidR="00EC6BD5" w:rsidRDefault="00EC6BD5">
      <w:pPr>
        <w:tabs>
          <w:tab w:val="left" w:pos="3122"/>
        </w:tabs>
        <w:spacing w:line="360" w:lineRule="auto"/>
        <w:jc w:val="both"/>
        <w:rPr>
          <w:rFonts w:ascii="Palatino Linotype" w:eastAsia="Palatino Linotype" w:hAnsi="Palatino Linotype" w:cs="Palatino Linotype"/>
          <w:b/>
          <w:bCs/>
          <w:sz w:val="22"/>
          <w:szCs w:val="22"/>
        </w:rPr>
      </w:pPr>
    </w:p>
    <w:p w:rsidR="00EC6BD5" w:rsidRDefault="00CE61A9">
      <w:pPr>
        <w:tabs>
          <w:tab w:val="left" w:pos="312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R. 02901. 2025</w:t>
      </w:r>
      <w:proofErr w:type="gramStart"/>
      <w:r>
        <w:rPr>
          <w:rFonts w:ascii="Palatino Linotype" w:eastAsia="Palatino Linotype" w:hAnsi="Palatino Linotype" w:cs="Palatino Linotype"/>
          <w:b/>
          <w:bCs/>
          <w:sz w:val="22"/>
          <w:szCs w:val="22"/>
        </w:rPr>
        <w:t>.pdf</w:t>
      </w:r>
      <w:proofErr w:type="gramEnd"/>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Documento de dos fojas, firmado por el Titular de la Unidad de Transparencia, en donde refirió lo siguiente:</w:t>
      </w:r>
    </w:p>
    <w:p w:rsidR="00EC6BD5" w:rsidRDefault="00CE61A9">
      <w:pPr>
        <w:tabs>
          <w:tab w:val="left" w:pos="2282"/>
        </w:tabs>
        <w:spacing w:line="360" w:lineRule="auto"/>
        <w:ind w:left="2282" w:right="397" w:hanging="1715"/>
        <w:jc w:val="both"/>
        <w:rPr>
          <w:rFonts w:ascii="Palatino Linotype" w:eastAsia="Palatino Linotype" w:hAnsi="Palatino Linotype" w:cs="Palatino Linotype"/>
          <w:i/>
          <w:iCs/>
        </w:rPr>
      </w:pPr>
      <w:r>
        <w:rPr>
          <w:rFonts w:ascii="Palatino Linotype" w:eastAsia="Palatino Linotype" w:hAnsi="Palatino Linotype" w:cs="Palatino Linotype"/>
          <w:i/>
          <w:iCs/>
        </w:rPr>
        <w:t>“…; hago de su conocimiento que la Dirección General de Administración y Servidora Pública Habilitada, informó que el departamento de Control Patrimonial, después de una búsqueda exhaustiva y razonable en los archivos, informa de acuerdo a su competencia la información referente a la relación de vehículos, se anexa lo solicitado.</w:t>
      </w:r>
    </w:p>
    <w:p w:rsidR="00EC6BD5" w:rsidRDefault="00EC6BD5">
      <w:pPr>
        <w:tabs>
          <w:tab w:val="left" w:pos="2282"/>
        </w:tabs>
        <w:spacing w:line="360" w:lineRule="auto"/>
        <w:ind w:left="567" w:right="397"/>
        <w:jc w:val="both"/>
        <w:rPr>
          <w:rFonts w:ascii="Palatino Linotype" w:eastAsia="Palatino Linotype" w:hAnsi="Palatino Linotype" w:cs="Palatino Linotype"/>
          <w:i/>
          <w:iCs/>
        </w:rPr>
      </w:pPr>
    </w:p>
    <w:p w:rsidR="00EC6BD5" w:rsidRDefault="00CE61A9">
      <w:pPr>
        <w:tabs>
          <w:tab w:val="left" w:pos="2282"/>
        </w:tabs>
        <w:spacing w:line="360" w:lineRule="auto"/>
        <w:ind w:left="567" w:right="397"/>
        <w:jc w:val="both"/>
        <w:rPr>
          <w:rFonts w:ascii="Palatino Linotype" w:eastAsia="Palatino Linotype" w:hAnsi="Palatino Linotype" w:cs="Palatino Linotype"/>
          <w:i/>
          <w:iCs/>
        </w:rPr>
      </w:pPr>
      <w:r>
        <w:rPr>
          <w:rFonts w:ascii="Palatino Linotype" w:eastAsia="Palatino Linotype" w:hAnsi="Palatino Linotype" w:cs="Palatino Linotype"/>
          <w:i/>
          <w:iCs/>
        </w:rPr>
        <w:t>Lo anterior, de conformidad en los artículos 12 y 24 de la Ley de Transparencia, Acceso a la Información Pública del Estado de México y Municipios…</w:t>
      </w:r>
    </w:p>
    <w:p w:rsidR="00EC6BD5" w:rsidRDefault="00CE61A9">
      <w:pPr>
        <w:tabs>
          <w:tab w:val="left" w:pos="2282"/>
        </w:tabs>
        <w:spacing w:line="360" w:lineRule="auto"/>
        <w:ind w:left="567" w:right="39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EC6BD5" w:rsidRDefault="00EC6BD5">
      <w:pPr>
        <w:tabs>
          <w:tab w:val="left" w:pos="3122"/>
        </w:tabs>
        <w:spacing w:line="360" w:lineRule="auto"/>
        <w:jc w:val="both"/>
        <w:rPr>
          <w:rFonts w:ascii="Palatino Linotype" w:eastAsia="Palatino Linotype" w:hAnsi="Palatino Linotype" w:cs="Palatino Linotype"/>
          <w:sz w:val="22"/>
          <w:szCs w:val="22"/>
        </w:rPr>
      </w:pPr>
    </w:p>
    <w:p w:rsidR="00EC6BD5" w:rsidRDefault="00CE61A9">
      <w:pPr>
        <w:pStyle w:val="Ttulo2"/>
        <w:spacing w:before="0" w:line="360" w:lineRule="auto"/>
        <w:rPr>
          <w:rFonts w:ascii="Palatino Linotype" w:eastAsia="Palatino Linotype" w:hAnsi="Palatino Linotype" w:cs="Palatino Linotype"/>
          <w:b/>
          <w:bCs/>
          <w:color w:val="000000"/>
          <w:sz w:val="22"/>
          <w:szCs w:val="22"/>
        </w:rPr>
      </w:pPr>
      <w:bookmarkStart w:id="7" w:name="_heading=h.rxgw3a8b4ws0" w:colFirst="0" w:colLast="0"/>
      <w:bookmarkStart w:id="8" w:name="_Toc221201480"/>
      <w:bookmarkEnd w:id="7"/>
      <w:r>
        <w:rPr>
          <w:rFonts w:ascii="Palatino Linotype" w:eastAsia="Palatino Linotype" w:hAnsi="Palatino Linotype" w:cs="Palatino Linotype"/>
          <w:b/>
          <w:bCs/>
          <w:color w:val="000000"/>
          <w:sz w:val="22"/>
          <w:szCs w:val="22"/>
        </w:rPr>
        <w:t>III. Interposición del Recurso de Revisión</w:t>
      </w:r>
      <w:bookmarkEnd w:id="8"/>
    </w:p>
    <w:p w:rsidR="00EC6BD5" w:rsidRDefault="00EC6BD5">
      <w:pPr>
        <w:spacing w:line="360" w:lineRule="auto"/>
        <w:jc w:val="both"/>
        <w:rPr>
          <w:rFonts w:ascii="Palatino Linotype" w:eastAsia="Palatino Linotype" w:hAnsi="Palatino Linotype" w:cs="Palatino Linotype"/>
          <w:b/>
          <w:bCs/>
          <w:sz w:val="18"/>
          <w:szCs w:val="18"/>
        </w:rPr>
      </w:pPr>
    </w:p>
    <w:p w:rsidR="00EC6BD5" w:rsidRDefault="00CE61A9">
      <w:pPr>
        <w:tabs>
          <w:tab w:val="left" w:pos="312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treinta de junio de dos mil veinticinco, a través del SAIMEX, se interpusieron Recursos de Revisión por el Recurrente, en contra de las respuestas emitida por el Sujeto Obligado a las solicitudes de información, en términos idénticos que son los siguientes:</w:t>
      </w:r>
    </w:p>
    <w:p w:rsidR="00EC6BD5" w:rsidRDefault="00EC6BD5">
      <w:pPr>
        <w:tabs>
          <w:tab w:val="left" w:pos="4995"/>
        </w:tabs>
        <w:spacing w:line="360" w:lineRule="auto"/>
        <w:jc w:val="both"/>
        <w:rPr>
          <w:rFonts w:ascii="Palatino Linotype" w:eastAsia="Palatino Linotype" w:hAnsi="Palatino Linotype" w:cs="Palatino Linotype"/>
          <w:sz w:val="22"/>
          <w:szCs w:val="22"/>
        </w:rPr>
      </w:pPr>
    </w:p>
    <w:p w:rsidR="00EC6BD5" w:rsidRDefault="00CE61A9">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“ACTO IMPUGNADO</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La respuesta no entrega lo solicitado” (Sic).</w:t>
      </w:r>
    </w:p>
    <w:p w:rsidR="00EC6BD5" w:rsidRDefault="00EC6BD5">
      <w:pPr>
        <w:spacing w:line="360" w:lineRule="auto"/>
        <w:ind w:left="567" w:right="539"/>
        <w:jc w:val="both"/>
        <w:rPr>
          <w:rFonts w:ascii="Palatino Linotype" w:eastAsia="Palatino Linotype" w:hAnsi="Palatino Linotype" w:cs="Palatino Linotype"/>
          <w:i/>
          <w:iCs/>
        </w:rPr>
      </w:pPr>
    </w:p>
    <w:p w:rsidR="00EC6BD5" w:rsidRDefault="00CE61A9">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EC6BD5" w:rsidRDefault="00CE61A9">
      <w:pPr>
        <w:spacing w:line="360" w:lineRule="auto"/>
        <w:ind w:left="567" w:right="539"/>
        <w:jc w:val="both"/>
        <w:rPr>
          <w:rFonts w:ascii="Palatino Linotype" w:eastAsia="Palatino Linotype" w:hAnsi="Palatino Linotype" w:cs="Palatino Linotype"/>
          <w:b/>
          <w:bCs/>
        </w:rPr>
      </w:pPr>
      <w:r>
        <w:rPr>
          <w:rFonts w:ascii="Palatino Linotype" w:eastAsia="Palatino Linotype" w:hAnsi="Palatino Linotype" w:cs="Palatino Linotype"/>
          <w:i/>
          <w:iCs/>
        </w:rPr>
        <w:t>La negativa de la información</w:t>
      </w:r>
      <w:r>
        <w:rPr>
          <w:rFonts w:ascii="Palatino Linotype" w:eastAsia="Palatino Linotype" w:hAnsi="Palatino Linotype" w:cs="Palatino Linotype"/>
        </w:rPr>
        <w:t>” (Sic)</w:t>
      </w:r>
    </w:p>
    <w:p w:rsidR="00EC6BD5" w:rsidRDefault="00EC6BD5">
      <w:pPr>
        <w:spacing w:line="360" w:lineRule="auto"/>
        <w:ind w:right="539"/>
        <w:jc w:val="both"/>
        <w:rPr>
          <w:rFonts w:ascii="Palatino Linotype" w:eastAsia="Palatino Linotype" w:hAnsi="Palatino Linotype" w:cs="Palatino Linotype"/>
          <w:i/>
          <w:iCs/>
        </w:rPr>
      </w:pPr>
      <w:bookmarkStart w:id="9" w:name="_heading=h.wa7jfctkv9cg" w:colFirst="0" w:colLast="0"/>
      <w:bookmarkEnd w:id="9"/>
    </w:p>
    <w:p w:rsidR="00EC6BD5" w:rsidRDefault="00CE61A9">
      <w:pPr>
        <w:pStyle w:val="Ttulo2"/>
        <w:spacing w:before="0" w:line="360" w:lineRule="auto"/>
        <w:rPr>
          <w:rFonts w:ascii="Palatino Linotype" w:eastAsia="Palatino Linotype" w:hAnsi="Palatino Linotype" w:cs="Palatino Linotype"/>
          <w:b/>
          <w:bCs/>
          <w:color w:val="000000"/>
          <w:sz w:val="22"/>
          <w:szCs w:val="22"/>
        </w:rPr>
      </w:pPr>
      <w:bookmarkStart w:id="10" w:name="_heading=h.gcgk3ejrvqmt" w:colFirst="0" w:colLast="0"/>
      <w:bookmarkStart w:id="11" w:name="_Toc221201481"/>
      <w:bookmarkEnd w:id="10"/>
      <w:r>
        <w:rPr>
          <w:rFonts w:ascii="Palatino Linotype" w:eastAsia="Palatino Linotype" w:hAnsi="Palatino Linotype" w:cs="Palatino Linotype"/>
          <w:b/>
          <w:bCs/>
          <w:color w:val="000000"/>
          <w:sz w:val="22"/>
          <w:szCs w:val="22"/>
        </w:rPr>
        <w:t>IV. Trámite del Recurso de Revisión ante el Instituto</w:t>
      </w:r>
      <w:bookmarkEnd w:id="11"/>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spacing w:line="360" w:lineRule="auto"/>
        <w:jc w:val="both"/>
        <w:rPr>
          <w:rFonts w:ascii="Palatino Linotype" w:eastAsia="Palatino Linotype" w:hAnsi="Palatino Linotype" w:cs="Palatino Linotype"/>
          <w:sz w:val="22"/>
          <w:szCs w:val="22"/>
        </w:rPr>
      </w:pPr>
      <w:bookmarkStart w:id="12" w:name="_heading=h.4ewtie7qn0ei" w:colFirst="0" w:colLast="0"/>
      <w:bookmarkEnd w:id="12"/>
      <w:r>
        <w:rPr>
          <w:rFonts w:ascii="Palatino Linotype" w:eastAsia="Palatino Linotype" w:hAnsi="Palatino Linotype" w:cs="Palatino Linotype"/>
          <w:b/>
          <w:bCs/>
          <w:color w:val="000000"/>
          <w:sz w:val="22"/>
          <w:szCs w:val="22"/>
        </w:rPr>
        <w:lastRenderedPageBreak/>
        <w:t>a) Turno del Recurso de Revisión</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El treinta de junio de dos mil veinticinco, el SAIMEX, asignó el número de expediente </w:t>
      </w:r>
      <w:r>
        <w:rPr>
          <w:rFonts w:ascii="Palatino Linotype" w:eastAsia="Palatino Linotype" w:hAnsi="Palatino Linotype" w:cs="Palatino Linotype"/>
          <w:b/>
          <w:bCs/>
          <w:sz w:val="22"/>
          <w:szCs w:val="22"/>
        </w:rPr>
        <w:t>07926/INFOEM/IP/RR/2025</w:t>
      </w:r>
      <w:r>
        <w:rPr>
          <w:rFonts w:ascii="Palatino Linotype" w:eastAsia="Palatino Linotype" w:hAnsi="Palatino Linotype" w:cs="Palatino Linotype"/>
          <w:sz w:val="22"/>
          <w:szCs w:val="22"/>
        </w:rPr>
        <w:t xml:space="preserve">, al medio de impugnación que nos ocupa, con base en el sistema aprobado por el Pleno de este Órgano Garante y lo turnó al </w:t>
      </w:r>
      <w:r>
        <w:rPr>
          <w:rFonts w:ascii="Palatino Linotype" w:eastAsia="Palatino Linotype" w:hAnsi="Palatino Linotype" w:cs="Palatino Linotype"/>
          <w:b/>
          <w:bCs/>
          <w:sz w:val="22"/>
          <w:szCs w:val="22"/>
        </w:rPr>
        <w:t>Comisionado Ponente Luis Gustavo Parra Noriega</w:t>
      </w:r>
      <w:r>
        <w:rPr>
          <w:rFonts w:ascii="Palatino Linotype" w:eastAsia="Palatino Linotype" w:hAnsi="Palatino Linotype" w:cs="Palatino Linotype"/>
          <w:sz w:val="22"/>
          <w:szCs w:val="22"/>
        </w:rPr>
        <w:t xml:space="preserve"> y en la misma fecha, se turnó el recurso de revisión </w:t>
      </w:r>
      <w:r>
        <w:rPr>
          <w:rFonts w:ascii="Palatino Linotype" w:eastAsia="Palatino Linotype" w:hAnsi="Palatino Linotype" w:cs="Palatino Linotype"/>
          <w:b/>
          <w:bCs/>
          <w:sz w:val="22"/>
          <w:szCs w:val="22"/>
        </w:rPr>
        <w:t xml:space="preserve">07927/INFOEM/IP/RR/2025 </w:t>
      </w:r>
      <w:r>
        <w:rPr>
          <w:rFonts w:ascii="Palatino Linotype" w:eastAsia="Palatino Linotype" w:hAnsi="Palatino Linotype" w:cs="Palatino Linotype"/>
          <w:sz w:val="22"/>
          <w:szCs w:val="22"/>
        </w:rPr>
        <w:t xml:space="preserve">a la </w:t>
      </w:r>
      <w:r>
        <w:rPr>
          <w:rFonts w:ascii="Palatino Linotype" w:eastAsia="Palatino Linotype" w:hAnsi="Palatino Linotype" w:cs="Palatino Linotype"/>
          <w:b/>
          <w:bCs/>
          <w:sz w:val="22"/>
          <w:szCs w:val="22"/>
        </w:rPr>
        <w:t>Comisionada Sharon Cristina Morales Martínez</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spacing w:line="360" w:lineRule="auto"/>
        <w:jc w:val="both"/>
        <w:rPr>
          <w:rFonts w:ascii="Palatino Linotype" w:eastAsia="Palatino Linotype" w:hAnsi="Palatino Linotype" w:cs="Palatino Linotype"/>
          <w:sz w:val="22"/>
          <w:szCs w:val="22"/>
        </w:rPr>
      </w:pPr>
      <w:bookmarkStart w:id="13" w:name="_heading=h.3e034wjh2m32" w:colFirst="0" w:colLast="0"/>
      <w:bookmarkEnd w:id="13"/>
      <w:r>
        <w:rPr>
          <w:rFonts w:ascii="Palatino Linotype" w:eastAsia="Palatino Linotype" w:hAnsi="Palatino Linotype" w:cs="Palatino Linotype"/>
          <w:b/>
          <w:bCs/>
          <w:color w:val="000000"/>
          <w:sz w:val="22"/>
          <w:szCs w:val="22"/>
        </w:rPr>
        <w:t>b) Admisión del Recurso de Revisión</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El tres de julio de dos mil veinticinco, se acordó la admisión de los Recursos de Revisión interpuestos por el Recurrente en contra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en términos del artículo 185, fracciones I, II y IV,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bookmarkStart w:id="14" w:name="_heading=h.k7z6xee9lv7n" w:colFirst="0" w:colLast="0"/>
      <w:bookmarkEnd w:id="14"/>
      <w:r>
        <w:rPr>
          <w:rFonts w:ascii="Palatino Linotype" w:eastAsia="Palatino Linotype" w:hAnsi="Palatino Linotype" w:cs="Palatino Linotype"/>
          <w:b/>
          <w:bCs/>
          <w:color w:val="000000"/>
          <w:sz w:val="22"/>
          <w:szCs w:val="22"/>
        </w:rPr>
        <w:t>c) Informe Justificado.</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El once de julio de dos mil veinticinco, el Sujeto Obligado, remitió en cada uno de los recursos de revisión, dos archivos a través de los cuales, ratificó su respuesta.</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Estos documentos fueron objeto de estudio y por cuanto hacer al Recurso de revisión </w:t>
      </w:r>
      <w:r>
        <w:rPr>
          <w:rFonts w:ascii="Palatino Linotype" w:eastAsia="Palatino Linotype" w:hAnsi="Palatino Linotype" w:cs="Palatino Linotype"/>
          <w:b/>
          <w:bCs/>
          <w:sz w:val="22"/>
          <w:szCs w:val="22"/>
        </w:rPr>
        <w:t>07926/INFOEM/IP/RR/2025</w:t>
      </w:r>
      <w:r>
        <w:rPr>
          <w:rFonts w:ascii="Palatino Linotype" w:eastAsia="Palatino Linotype" w:hAnsi="Palatino Linotype" w:cs="Palatino Linotype"/>
          <w:sz w:val="22"/>
          <w:szCs w:val="22"/>
        </w:rPr>
        <w:t xml:space="preserve"> se puso a la vista del Particular al catorce de enero de dos mil veintiséis, y el Recurso de Revisión </w:t>
      </w:r>
      <w:r>
        <w:rPr>
          <w:rFonts w:ascii="Palatino Linotype" w:eastAsia="Palatino Linotype" w:hAnsi="Palatino Linotype" w:cs="Palatino Linotype"/>
          <w:b/>
          <w:bCs/>
          <w:sz w:val="22"/>
          <w:szCs w:val="22"/>
        </w:rPr>
        <w:t>07927/INFOEM/IP/RR/2025</w:t>
      </w:r>
      <w:r>
        <w:rPr>
          <w:rFonts w:ascii="Palatino Linotype" w:eastAsia="Palatino Linotype" w:hAnsi="Palatino Linotype" w:cs="Palatino Linotype"/>
          <w:sz w:val="22"/>
          <w:szCs w:val="22"/>
        </w:rPr>
        <w:t>, fue puesto a la vista del Particular el veintiuno de enero de dos mil veintiséis.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bookmarkStart w:id="15" w:name="_heading=h.qnq7ngv5676w" w:colFirst="0" w:colLast="0"/>
      <w:bookmarkEnd w:id="15"/>
      <w:r>
        <w:rPr>
          <w:rFonts w:ascii="Palatino Linotype" w:eastAsia="Palatino Linotype" w:hAnsi="Palatino Linotype" w:cs="Palatino Linotype"/>
          <w:b/>
          <w:bCs/>
          <w:color w:val="000000"/>
          <w:sz w:val="22"/>
          <w:szCs w:val="22"/>
        </w:rPr>
        <w:lastRenderedPageBreak/>
        <w:t>d) Manifestaciones.</w:t>
      </w:r>
      <w:r>
        <w:rPr>
          <w:rFonts w:ascii="Palatino Linotype" w:eastAsia="Palatino Linotype" w:hAnsi="Palatino Linotype" w:cs="Palatino Linotype"/>
          <w:sz w:val="18"/>
          <w:szCs w:val="18"/>
        </w:rPr>
        <w:t xml:space="preserve"> </w:t>
      </w:r>
      <w:r>
        <w:rPr>
          <w:rFonts w:ascii="Palatino Linotype" w:eastAsia="Palatino Linotype" w:hAnsi="Palatino Linotype" w:cs="Palatino Linotype"/>
          <w:sz w:val="22"/>
          <w:szCs w:val="22"/>
        </w:rPr>
        <w:t>Transcurrido el plazo que se otorga a las partes para realizar un pronunciamiento que a su derecho convenga, el Particular fue omiso en realizar pronunciamiento alguno.</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bookmarkStart w:id="16" w:name="_heading=h.k5r8go787hut" w:colFirst="0" w:colLast="0"/>
      <w:bookmarkEnd w:id="16"/>
      <w:r>
        <w:rPr>
          <w:rFonts w:ascii="Palatino Linotype" w:eastAsia="Palatino Linotype" w:hAnsi="Palatino Linotype" w:cs="Palatino Linotype"/>
          <w:b/>
          <w:bCs/>
          <w:color w:val="000000"/>
          <w:sz w:val="22"/>
          <w:szCs w:val="22"/>
        </w:rPr>
        <w:t>e) Ampliación de plazo.</w:t>
      </w:r>
      <w:r>
        <w:rPr>
          <w:rFonts w:ascii="Palatino Linotype" w:eastAsia="Palatino Linotype" w:hAnsi="Palatino Linotype" w:cs="Palatino Linotype"/>
          <w:sz w:val="22"/>
          <w:szCs w:val="22"/>
        </w:rPr>
        <w:t xml:space="preserve"> Por acuerdo notificado el quince de enero de dos mil veinticinco, se determinó la ampliación de plazo, para resolver el medio de impugnación que nos ocupa.</w:t>
      </w:r>
    </w:p>
    <w:p w:rsidR="00EC6BD5" w:rsidRDefault="00EC6BD5">
      <w:pPr>
        <w:spacing w:line="360" w:lineRule="auto"/>
        <w:jc w:val="both"/>
        <w:rPr>
          <w:rFonts w:ascii="Palatino Linotype" w:eastAsia="Palatino Linotype" w:hAnsi="Palatino Linotype" w:cs="Palatino Linotype"/>
          <w:sz w:val="18"/>
          <w:szCs w:val="18"/>
        </w:rPr>
      </w:pPr>
    </w:p>
    <w:p w:rsidR="00EC6BD5" w:rsidRDefault="00DF63B6">
      <w:pPr>
        <w:spacing w:line="360" w:lineRule="auto"/>
        <w:jc w:val="both"/>
        <w:rPr>
          <w:rFonts w:ascii="Palatino Linotype" w:eastAsia="Palatino Linotype" w:hAnsi="Palatino Linotype" w:cs="Palatino Linotype"/>
          <w:sz w:val="22"/>
          <w:szCs w:val="22"/>
        </w:rPr>
      </w:pPr>
      <w:bookmarkStart w:id="17" w:name="_heading=h.naev0ue5rqbl" w:colFirst="0" w:colLast="0"/>
      <w:bookmarkEnd w:id="17"/>
      <w:r>
        <w:rPr>
          <w:rFonts w:ascii="Palatino Linotype" w:eastAsia="Palatino Linotype" w:hAnsi="Palatino Linotype" w:cs="Palatino Linotype"/>
          <w:b/>
          <w:bCs/>
          <w:color w:val="000000"/>
          <w:sz w:val="22"/>
          <w:szCs w:val="22"/>
        </w:rPr>
        <w:t>f</w:t>
      </w:r>
      <w:r w:rsidR="00CE61A9">
        <w:rPr>
          <w:rFonts w:ascii="Palatino Linotype" w:eastAsia="Palatino Linotype" w:hAnsi="Palatino Linotype" w:cs="Palatino Linotype"/>
          <w:b/>
          <w:bCs/>
          <w:color w:val="000000"/>
          <w:sz w:val="22"/>
          <w:szCs w:val="22"/>
        </w:rPr>
        <w:t>) Cierre de instrucción</w:t>
      </w:r>
      <w:r w:rsidR="00CE61A9">
        <w:rPr>
          <w:rFonts w:ascii="Palatino Linotype" w:eastAsia="Palatino Linotype" w:hAnsi="Palatino Linotype" w:cs="Palatino Linotype"/>
          <w:b/>
          <w:bCs/>
          <w:sz w:val="22"/>
          <w:szCs w:val="22"/>
        </w:rPr>
        <w:t xml:space="preserve">. </w:t>
      </w:r>
      <w:r w:rsidR="00CE61A9">
        <w:rPr>
          <w:rFonts w:ascii="Palatino Linotype" w:eastAsia="Palatino Linotype" w:hAnsi="Palatino Linotype" w:cs="Palatino Linotype"/>
          <w:sz w:val="22"/>
          <w:szCs w:val="22"/>
        </w:rPr>
        <w:t>El cinco de febrero de dos mil veintiséis,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SAIMEX.</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a los siguientes: </w:t>
      </w:r>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pStyle w:val="Ttulo1"/>
        <w:spacing w:before="0" w:after="0" w:line="360" w:lineRule="auto"/>
        <w:jc w:val="center"/>
        <w:rPr>
          <w:rFonts w:ascii="Palatino Linotype" w:eastAsia="Palatino Linotype" w:hAnsi="Palatino Linotype" w:cs="Palatino Linotype"/>
          <w:b/>
          <w:bCs/>
          <w:color w:val="000000"/>
          <w:sz w:val="22"/>
          <w:szCs w:val="22"/>
        </w:rPr>
      </w:pPr>
      <w:bookmarkStart w:id="18" w:name="_heading=h.qtc1rlwdhudu" w:colFirst="0" w:colLast="0"/>
      <w:bookmarkStart w:id="19" w:name="_Toc221201482"/>
      <w:bookmarkEnd w:id="18"/>
      <w:r>
        <w:rPr>
          <w:rFonts w:ascii="Palatino Linotype" w:eastAsia="Palatino Linotype" w:hAnsi="Palatino Linotype" w:cs="Palatino Linotype"/>
          <w:b/>
          <w:bCs/>
          <w:color w:val="000000"/>
          <w:sz w:val="22"/>
          <w:szCs w:val="22"/>
        </w:rPr>
        <w:t>C O N S I D E R A N D O S</w:t>
      </w:r>
      <w:bookmarkEnd w:id="19"/>
    </w:p>
    <w:p w:rsidR="00EC6BD5" w:rsidRDefault="00EC6BD5">
      <w:pPr>
        <w:spacing w:line="360" w:lineRule="auto"/>
      </w:pPr>
    </w:p>
    <w:p w:rsidR="00EC6BD5" w:rsidRDefault="00CE61A9">
      <w:pPr>
        <w:pStyle w:val="Ttulo2"/>
        <w:spacing w:before="0" w:after="0" w:line="360" w:lineRule="auto"/>
        <w:rPr>
          <w:rFonts w:ascii="Palatino Linotype" w:eastAsia="Palatino Linotype" w:hAnsi="Palatino Linotype" w:cs="Palatino Linotype"/>
          <w:b/>
          <w:bCs/>
          <w:color w:val="000000"/>
          <w:sz w:val="22"/>
          <w:szCs w:val="22"/>
        </w:rPr>
      </w:pPr>
      <w:bookmarkStart w:id="20" w:name="_heading=h.gdaexfj4h1vo" w:colFirst="0" w:colLast="0"/>
      <w:bookmarkStart w:id="21" w:name="_Toc221201483"/>
      <w:bookmarkEnd w:id="20"/>
      <w:r>
        <w:rPr>
          <w:rFonts w:ascii="Palatino Linotype" w:eastAsia="Palatino Linotype" w:hAnsi="Palatino Linotype" w:cs="Palatino Linotype"/>
          <w:b/>
          <w:bCs/>
          <w:color w:val="000000"/>
          <w:sz w:val="22"/>
          <w:szCs w:val="22"/>
        </w:rPr>
        <w:t>PRIMERO. Competencia</w:t>
      </w:r>
      <w:bookmarkEnd w:id="21"/>
    </w:p>
    <w:p w:rsidR="00EC6BD5" w:rsidRDefault="00EC6BD5">
      <w:pPr>
        <w:spacing w:line="360" w:lineRule="auto"/>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w:t>
      </w:r>
      <w:r>
        <w:rPr>
          <w:rFonts w:ascii="Palatino Linotype" w:eastAsia="Palatino Linotype" w:hAnsi="Palatino Linotype" w:cs="Palatino Linotype"/>
          <w:sz w:val="22"/>
          <w:szCs w:val="22"/>
        </w:rPr>
        <w:lastRenderedPageBreak/>
        <w:t>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pStyle w:val="Ttulo2"/>
        <w:spacing w:before="0" w:after="0" w:line="360" w:lineRule="auto"/>
        <w:rPr>
          <w:rFonts w:ascii="Palatino Linotype" w:eastAsia="Palatino Linotype" w:hAnsi="Palatino Linotype" w:cs="Palatino Linotype"/>
          <w:b/>
          <w:bCs/>
          <w:color w:val="000000"/>
          <w:sz w:val="22"/>
          <w:szCs w:val="22"/>
        </w:rPr>
      </w:pPr>
      <w:bookmarkStart w:id="22" w:name="_heading=h.r2vn1esr7qez" w:colFirst="0" w:colLast="0"/>
      <w:bookmarkStart w:id="23" w:name="_Toc221201484"/>
      <w:bookmarkEnd w:id="22"/>
      <w:r>
        <w:rPr>
          <w:rFonts w:ascii="Palatino Linotype" w:eastAsia="Palatino Linotype" w:hAnsi="Palatino Linotype" w:cs="Palatino Linotype"/>
          <w:b/>
          <w:bCs/>
          <w:color w:val="000000"/>
          <w:sz w:val="22"/>
          <w:szCs w:val="22"/>
        </w:rPr>
        <w:t>SEGUNDO. Causales de improcedencia y sobreseimiento</w:t>
      </w:r>
      <w:bookmarkEnd w:id="23"/>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iCs/>
          <w:sz w:val="22"/>
          <w:szCs w:val="22"/>
        </w:rPr>
        <w:t>litis</w:t>
      </w:r>
      <w:proofErr w:type="spellEnd"/>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presente caso, no se actualiza ninguna de las causales de improcedencia establecidas en el ordenamiento jurídico previamente señalado, toda vez que: el recurso fue presentado </w:t>
      </w:r>
      <w:r>
        <w:rPr>
          <w:rFonts w:ascii="Palatino Linotype" w:eastAsia="Palatino Linotype" w:hAnsi="Palatino Linotype" w:cs="Palatino Linotype"/>
          <w:sz w:val="22"/>
          <w:szCs w:val="22"/>
        </w:rPr>
        <w:lastRenderedPageBreak/>
        <w:t>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Causales de sobreseimiento</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rsidR="00EC6BD5" w:rsidRDefault="00EC6BD5">
      <w:pPr>
        <w:tabs>
          <w:tab w:val="left" w:pos="4962"/>
        </w:tabs>
        <w:spacing w:line="360" w:lineRule="auto"/>
        <w:jc w:val="both"/>
        <w:rPr>
          <w:rFonts w:ascii="Palatino Linotype" w:eastAsia="Palatino Linotype" w:hAnsi="Palatino Linotype" w:cs="Palatino Linotype"/>
          <w:b/>
          <w:bCs/>
          <w:sz w:val="22"/>
          <w:szCs w:val="22"/>
        </w:rPr>
      </w:pPr>
    </w:p>
    <w:p w:rsidR="00EC6BD5" w:rsidRDefault="00CE61A9">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TERCERO. Determinación de la Controversia</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realizado el estudio de las constancias que integran el expediente en que se actúa, se desprende que el Particular requirió los siguientes puntos de información:</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Padrón de los vehículos:</w:t>
      </w:r>
    </w:p>
    <w:p w:rsidR="00EC6BD5" w:rsidRDefault="00CE61A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unidad administrativa.</w:t>
      </w:r>
    </w:p>
    <w:p w:rsidR="00EC6BD5" w:rsidRDefault="00CE61A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Qué vehículo se les asigno con marca, </w:t>
      </w:r>
      <w:proofErr w:type="spellStart"/>
      <w:r>
        <w:rPr>
          <w:rFonts w:ascii="Palatino Linotype" w:eastAsia="Palatino Linotype" w:hAnsi="Palatino Linotype" w:cs="Palatino Linotype"/>
          <w:color w:val="000000"/>
          <w:sz w:val="22"/>
          <w:szCs w:val="22"/>
        </w:rPr>
        <w:t>submarca</w:t>
      </w:r>
      <w:proofErr w:type="spellEnd"/>
      <w:r>
        <w:rPr>
          <w:rFonts w:ascii="Palatino Linotype" w:eastAsia="Palatino Linotype" w:hAnsi="Palatino Linotype" w:cs="Palatino Linotype"/>
          <w:color w:val="000000"/>
          <w:sz w:val="22"/>
          <w:szCs w:val="22"/>
        </w:rPr>
        <w:t>, modelo, año, color placas.</w:t>
      </w:r>
    </w:p>
    <w:p w:rsidR="00EC6BD5" w:rsidRDefault="00CE61A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Asignación de gasolina por vehículo o área.</w:t>
      </w:r>
    </w:p>
    <w:p w:rsidR="00EC6BD5" w:rsidRDefault="00CE61A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nombre del servidor público qué se le asigno. </w:t>
      </w:r>
    </w:p>
    <w:p w:rsidR="00EC6BD5" w:rsidRDefault="00CE61A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formato de resguardo.</w:t>
      </w:r>
    </w:p>
    <w:p w:rsidR="00EC6BD5" w:rsidRDefault="00CE61A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licencia de manejo de quien lo manejará y del qué se le asigno</w:t>
      </w:r>
    </w:p>
    <w:p w:rsidR="00EC6BD5" w:rsidRDefault="00CE61A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factura o arrendamiento del vehículo el contrato</w:t>
      </w:r>
    </w:p>
    <w:p w:rsidR="00EC6BD5" w:rsidRDefault="00CE61A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Lugar de resguardado del vehículo el estacionamiento donde se debe resguardar.</w:t>
      </w:r>
    </w:p>
    <w:p w:rsidR="00EC6BD5" w:rsidRDefault="00CE61A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Horario qué se puede utilizar el vehículo.</w:t>
      </w:r>
    </w:p>
    <w:p w:rsidR="00EC6BD5" w:rsidRDefault="00CE61A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Será operativo o asignación directa</w:t>
      </w:r>
    </w:p>
    <w:p w:rsidR="00EC6BD5" w:rsidRDefault="00CE61A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Incluyen también para las camionetas </w:t>
      </w:r>
      <w:proofErr w:type="spellStart"/>
      <w:r>
        <w:rPr>
          <w:rFonts w:ascii="Palatino Linotype" w:eastAsia="Palatino Linotype" w:hAnsi="Palatino Linotype" w:cs="Palatino Linotype"/>
          <w:color w:val="000000"/>
          <w:sz w:val="22"/>
          <w:szCs w:val="22"/>
        </w:rPr>
        <w:t>thaoo</w:t>
      </w:r>
      <w:proofErr w:type="spellEnd"/>
      <w:r>
        <w:rPr>
          <w:rFonts w:ascii="Palatino Linotype" w:eastAsia="Palatino Linotype" w:hAnsi="Palatino Linotype" w:cs="Palatino Linotype"/>
          <w:color w:val="000000"/>
          <w:sz w:val="22"/>
          <w:szCs w:val="22"/>
        </w:rPr>
        <w:t xml:space="preserve"> y todos los vehículos de seguridad fotográfica de los vehículos pata ver su estado actual y color del vehículo.</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respuesta, el Sujeto Obligado, entregó el Padrón vehicular, a lo que el Particular se inconformó al señalar que se le negó la información solicitada. En este contexto</w:t>
      </w:r>
      <w:r>
        <w:rPr>
          <w:rFonts w:ascii="Palatino Linotype" w:eastAsia="Palatino Linotype" w:hAnsi="Palatino Linotype" w:cs="Palatino Linotype"/>
          <w:color w:val="000000"/>
          <w:sz w:val="22"/>
          <w:szCs w:val="22"/>
        </w:rPr>
        <w:t xml:space="preserve">, se actualiza la causal de procedencia contemplada en el artículo 179, fracción I de la Ley de Transparencia y Acceso a la Información Pública del Estado de México y Municipios, que considera que el recurso de revisión es un medio de protección que la Ley otorga a los particulares, para hacer valer su derecho de acceso a la información pública, y procederá en contra de </w:t>
      </w:r>
      <w:r>
        <w:rPr>
          <w:rFonts w:ascii="Palatino Linotype" w:eastAsia="Palatino Linotype" w:hAnsi="Palatino Linotype" w:cs="Palatino Linotype"/>
          <w:b/>
          <w:bCs/>
          <w:color w:val="000000"/>
          <w:sz w:val="22"/>
          <w:szCs w:val="22"/>
        </w:rPr>
        <w:t>–la negativa de la información solicitada-.</w:t>
      </w:r>
    </w:p>
    <w:p w:rsidR="00EC6BD5" w:rsidRDefault="00EC6BD5">
      <w:pPr>
        <w:tabs>
          <w:tab w:val="left" w:pos="4962"/>
        </w:tabs>
        <w:spacing w:line="360" w:lineRule="auto"/>
        <w:jc w:val="both"/>
        <w:rPr>
          <w:rFonts w:ascii="Palatino Linotype" w:eastAsia="Palatino Linotype" w:hAnsi="Palatino Linotype" w:cs="Palatino Linotype"/>
          <w:sz w:val="22"/>
          <w:szCs w:val="22"/>
        </w:rPr>
      </w:pPr>
    </w:p>
    <w:p w:rsidR="00EC6BD5" w:rsidRDefault="00CE61A9">
      <w:pPr>
        <w:pStyle w:val="Ttulo2"/>
        <w:spacing w:before="0" w:after="0" w:line="360" w:lineRule="auto"/>
        <w:jc w:val="both"/>
        <w:rPr>
          <w:rFonts w:ascii="Palatino Linotype" w:eastAsia="Palatino Linotype" w:hAnsi="Palatino Linotype" w:cs="Palatino Linotype"/>
          <w:b/>
          <w:bCs/>
          <w:color w:val="000000"/>
          <w:sz w:val="22"/>
          <w:szCs w:val="22"/>
        </w:rPr>
      </w:pPr>
      <w:bookmarkStart w:id="24" w:name="_heading=h.9m9cn03ubirj" w:colFirst="0" w:colLast="0"/>
      <w:bookmarkStart w:id="25" w:name="_Toc221201485"/>
      <w:bookmarkEnd w:id="24"/>
      <w:r>
        <w:rPr>
          <w:rFonts w:ascii="Palatino Linotype" w:eastAsia="Palatino Linotype" w:hAnsi="Palatino Linotype" w:cs="Palatino Linotype"/>
          <w:b/>
          <w:bCs/>
          <w:color w:val="000000"/>
          <w:sz w:val="22"/>
          <w:szCs w:val="22"/>
        </w:rPr>
        <w:lastRenderedPageBreak/>
        <w:t>CUARTO. Marco normativo aplicable en materia de transparencia y acceso a la información pública</w:t>
      </w:r>
      <w:bookmarkEnd w:id="25"/>
    </w:p>
    <w:p w:rsidR="00EC6BD5" w:rsidRDefault="00EC6BD5">
      <w:pPr>
        <w:widowControl w:val="0"/>
        <w:spacing w:line="360" w:lineRule="auto"/>
        <w:jc w:val="both"/>
        <w:rPr>
          <w:rFonts w:ascii="Palatino Linotype" w:eastAsia="Palatino Linotype" w:hAnsi="Palatino Linotype" w:cs="Palatino Linotype"/>
          <w:sz w:val="22"/>
          <w:szCs w:val="22"/>
        </w:rPr>
      </w:pPr>
    </w:p>
    <w:p w:rsidR="00EC6BD5" w:rsidRDefault="00CE61A9">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EC6BD5" w:rsidRDefault="00EC6BD5">
      <w:pPr>
        <w:widowControl w:val="0"/>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EC6BD5" w:rsidRDefault="00EC6BD5">
      <w:pPr>
        <w:widowControl w:val="0"/>
        <w:spacing w:line="360" w:lineRule="auto"/>
        <w:jc w:val="both"/>
        <w:rPr>
          <w:rFonts w:ascii="Palatino Linotype" w:eastAsia="Palatino Linotype" w:hAnsi="Palatino Linotype" w:cs="Palatino Linotype"/>
          <w:sz w:val="22"/>
          <w:szCs w:val="22"/>
        </w:rPr>
      </w:pPr>
    </w:p>
    <w:p w:rsidR="00EC6BD5" w:rsidRDefault="00CE61A9">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rsidR="00EC6BD5" w:rsidRDefault="00EC6BD5">
      <w:pPr>
        <w:widowControl w:val="0"/>
        <w:spacing w:line="360" w:lineRule="auto"/>
        <w:jc w:val="both"/>
        <w:rPr>
          <w:rFonts w:ascii="Palatino Linotype" w:eastAsia="Palatino Linotype" w:hAnsi="Palatino Linotype" w:cs="Palatino Linotype"/>
          <w:sz w:val="22"/>
          <w:szCs w:val="22"/>
        </w:rPr>
      </w:pPr>
    </w:p>
    <w:p w:rsidR="00EC6BD5" w:rsidRDefault="00CE61A9">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EC6BD5" w:rsidRDefault="00EC6BD5">
      <w:pPr>
        <w:widowControl w:val="0"/>
        <w:spacing w:line="360" w:lineRule="auto"/>
        <w:jc w:val="both"/>
        <w:rPr>
          <w:rFonts w:ascii="Palatino Linotype" w:eastAsia="Palatino Linotype" w:hAnsi="Palatino Linotype" w:cs="Palatino Linotype"/>
          <w:sz w:val="22"/>
          <w:szCs w:val="22"/>
        </w:rPr>
      </w:pPr>
    </w:p>
    <w:p w:rsidR="00EC6BD5" w:rsidRDefault="00CE61A9">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EC6BD5" w:rsidRDefault="00EC6BD5">
      <w:pPr>
        <w:widowControl w:val="0"/>
        <w:spacing w:line="360" w:lineRule="auto"/>
        <w:jc w:val="both"/>
        <w:rPr>
          <w:rFonts w:ascii="Palatino Linotype" w:eastAsia="Palatino Linotype" w:hAnsi="Palatino Linotype" w:cs="Palatino Linotype"/>
          <w:sz w:val="22"/>
          <w:szCs w:val="22"/>
        </w:rPr>
      </w:pPr>
    </w:p>
    <w:p w:rsidR="00EC6BD5" w:rsidRDefault="00CE61A9">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 que, se presume que la información debe existir si se refiere a las facultades, </w:t>
      </w:r>
      <w:r>
        <w:rPr>
          <w:rFonts w:ascii="Palatino Linotype" w:eastAsia="Palatino Linotype" w:hAnsi="Palatino Linotype" w:cs="Palatino Linotype"/>
          <w:sz w:val="22"/>
          <w:szCs w:val="22"/>
        </w:rPr>
        <w:lastRenderedPageBreak/>
        <w:t>competencias y funciones que los ordenamientos jurídicos aplicables otorgan a los sujetos obligados y en caso de que dichas facultades no se hayan ejercido, se deberá motivar la respuesta en función de las causas que motivaron tal circunstancia.</w:t>
      </w:r>
    </w:p>
    <w:p w:rsidR="00EC6BD5" w:rsidRDefault="00EC6BD5">
      <w:pPr>
        <w:tabs>
          <w:tab w:val="left" w:pos="4962"/>
        </w:tabs>
        <w:spacing w:line="360" w:lineRule="auto"/>
        <w:jc w:val="both"/>
        <w:rPr>
          <w:rFonts w:ascii="Palatino Linotype" w:eastAsia="Palatino Linotype" w:hAnsi="Palatino Linotype" w:cs="Palatino Linotype"/>
          <w:sz w:val="22"/>
          <w:szCs w:val="22"/>
        </w:rPr>
      </w:pPr>
    </w:p>
    <w:p w:rsidR="00EC6BD5" w:rsidRDefault="00CE61A9">
      <w:pPr>
        <w:pStyle w:val="Ttulo2"/>
        <w:spacing w:before="0" w:after="0" w:line="360" w:lineRule="auto"/>
        <w:rPr>
          <w:rFonts w:ascii="Palatino Linotype" w:eastAsia="Palatino Linotype" w:hAnsi="Palatino Linotype" w:cs="Palatino Linotype"/>
          <w:b/>
          <w:bCs/>
          <w:color w:val="000000"/>
          <w:sz w:val="22"/>
          <w:szCs w:val="22"/>
        </w:rPr>
      </w:pPr>
      <w:bookmarkStart w:id="26" w:name="_heading=h.r2bxhzbf7cy1" w:colFirst="0" w:colLast="0"/>
      <w:bookmarkStart w:id="27" w:name="_Toc221201486"/>
      <w:bookmarkEnd w:id="26"/>
      <w:r>
        <w:rPr>
          <w:rFonts w:ascii="Palatino Linotype" w:eastAsia="Palatino Linotype" w:hAnsi="Palatino Linotype" w:cs="Palatino Linotype"/>
          <w:b/>
          <w:bCs/>
          <w:color w:val="000000"/>
          <w:sz w:val="22"/>
          <w:szCs w:val="22"/>
        </w:rPr>
        <w:t>QUINTO. Estudio de Fondo</w:t>
      </w:r>
      <w:bookmarkEnd w:id="27"/>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en primer aspecto a naturalizar la información solicitada; al respecto, el Particular de los puntos solicitados requiere lo siguiente:</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Padrón de los vehículos:</w:t>
      </w:r>
    </w:p>
    <w:p w:rsidR="00EC6BD5" w:rsidRDefault="00CE61A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unidad administrativa.</w:t>
      </w:r>
    </w:p>
    <w:p w:rsidR="00EC6BD5" w:rsidRDefault="00CE61A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Qué vehículo se les asigno con marca, </w:t>
      </w:r>
      <w:proofErr w:type="spellStart"/>
      <w:r>
        <w:rPr>
          <w:rFonts w:ascii="Palatino Linotype" w:eastAsia="Palatino Linotype" w:hAnsi="Palatino Linotype" w:cs="Palatino Linotype"/>
          <w:color w:val="000000"/>
          <w:sz w:val="22"/>
          <w:szCs w:val="22"/>
        </w:rPr>
        <w:t>submarca</w:t>
      </w:r>
      <w:proofErr w:type="spellEnd"/>
      <w:r>
        <w:rPr>
          <w:rFonts w:ascii="Palatino Linotype" w:eastAsia="Palatino Linotype" w:hAnsi="Palatino Linotype" w:cs="Palatino Linotype"/>
          <w:color w:val="000000"/>
          <w:sz w:val="22"/>
          <w:szCs w:val="22"/>
        </w:rPr>
        <w:t>, modelo, año, color placas.</w:t>
      </w:r>
    </w:p>
    <w:p w:rsidR="00EC6BD5" w:rsidRDefault="00CE61A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Asignación de gasolina por vehículo o área.</w:t>
      </w:r>
    </w:p>
    <w:p w:rsidR="00EC6BD5" w:rsidRDefault="00CE61A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nombre del servidor público qué se le asigno. </w:t>
      </w:r>
    </w:p>
    <w:p w:rsidR="00EC6BD5" w:rsidRDefault="00CE61A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formato de resguardo.</w:t>
      </w:r>
    </w:p>
    <w:p w:rsidR="00EC6BD5" w:rsidRDefault="00CE61A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licencia de manejo de quien lo manejará y del qué se le asigno</w:t>
      </w:r>
    </w:p>
    <w:p w:rsidR="00EC6BD5" w:rsidRDefault="00CE61A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factura o arrendamiento del vehículo el contrato</w:t>
      </w:r>
    </w:p>
    <w:p w:rsidR="00EC6BD5" w:rsidRDefault="00CE61A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Lugar de resguardado del vehículo el estacionamiento donde se debe resguardar.</w:t>
      </w:r>
    </w:p>
    <w:p w:rsidR="00EC6BD5" w:rsidRDefault="00CE61A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Horario qué se puede utilizar el vehículo.</w:t>
      </w:r>
    </w:p>
    <w:p w:rsidR="00EC6BD5" w:rsidRDefault="00CE61A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Será operativo o asignación directa</w:t>
      </w:r>
    </w:p>
    <w:p w:rsidR="00EC6BD5" w:rsidRDefault="00CE61A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Incluyen también para las camionetas </w:t>
      </w:r>
      <w:proofErr w:type="spellStart"/>
      <w:r>
        <w:rPr>
          <w:rFonts w:ascii="Palatino Linotype" w:eastAsia="Palatino Linotype" w:hAnsi="Palatino Linotype" w:cs="Palatino Linotype"/>
          <w:color w:val="000000"/>
          <w:sz w:val="22"/>
          <w:szCs w:val="22"/>
        </w:rPr>
        <w:t>thaoo</w:t>
      </w:r>
      <w:proofErr w:type="spellEnd"/>
      <w:r>
        <w:rPr>
          <w:rFonts w:ascii="Palatino Linotype" w:eastAsia="Palatino Linotype" w:hAnsi="Palatino Linotype" w:cs="Palatino Linotype"/>
          <w:color w:val="000000"/>
          <w:sz w:val="22"/>
          <w:szCs w:val="22"/>
        </w:rPr>
        <w:t xml:space="preserve"> y todos los vehículos de seguridad fotográfica de los vehículos pata ver su estado actual y color del vehículo.</w:t>
      </w:r>
    </w:p>
    <w:p w:rsidR="00EC6BD5" w:rsidRDefault="00EC6BD5">
      <w:pPr>
        <w:spacing w:line="360" w:lineRule="auto"/>
        <w:jc w:val="both"/>
        <w:rPr>
          <w:rFonts w:ascii="Palatino Linotype" w:eastAsia="Palatino Linotype" w:hAnsi="Palatino Linotype" w:cs="Palatino Linotype"/>
          <w:i/>
          <w:iCs/>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sentido, lo solicitado se </w:t>
      </w:r>
      <w:proofErr w:type="gramStart"/>
      <w:r>
        <w:rPr>
          <w:rFonts w:ascii="Palatino Linotype" w:eastAsia="Palatino Linotype" w:hAnsi="Palatino Linotype" w:cs="Palatino Linotype"/>
          <w:sz w:val="22"/>
          <w:szCs w:val="22"/>
        </w:rPr>
        <w:t>refieren</w:t>
      </w:r>
      <w:proofErr w:type="gramEnd"/>
      <w:r>
        <w:rPr>
          <w:rFonts w:ascii="Palatino Linotype" w:eastAsia="Palatino Linotype" w:hAnsi="Palatino Linotype" w:cs="Palatino Linotype"/>
          <w:sz w:val="22"/>
          <w:szCs w:val="22"/>
        </w:rPr>
        <w:t xml:space="preserve"> a bienes muebles, los cuales son definidos por el Código Civil del Estado de México, a través de su artículo 5.6, que contempla:</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Muebles por su naturaleza </w:t>
      </w:r>
    </w:p>
    <w:p w:rsidR="00EC6BD5" w:rsidRDefault="00CE61A9">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Artículo 5.6.- Son bienes muebles por su naturaleza, los que pueden trasladarse de un lugar a otro, ya sea por sí mismos, o por efecto de una fuerza exterior.</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los vehículos automotores, como bienes inmuebles, deben ser registrados en el inventario correspondiente, conforme se establece en los artículos 31 fracción XV, 53, fracción VII y 97 </w:t>
      </w:r>
      <w:proofErr w:type="gramStart"/>
      <w:r>
        <w:rPr>
          <w:rFonts w:ascii="Palatino Linotype" w:eastAsia="Palatino Linotype" w:hAnsi="Palatino Linotype" w:cs="Palatino Linotype"/>
          <w:sz w:val="22"/>
          <w:szCs w:val="22"/>
        </w:rPr>
        <w:t>fracción</w:t>
      </w:r>
      <w:proofErr w:type="gramEnd"/>
      <w:r>
        <w:rPr>
          <w:rFonts w:ascii="Palatino Linotype" w:eastAsia="Palatino Linotype" w:hAnsi="Palatino Linotype" w:cs="Palatino Linotype"/>
          <w:sz w:val="22"/>
          <w:szCs w:val="22"/>
        </w:rPr>
        <w:t xml:space="preserve"> II; esta atribución de registrar los bienes muebles del Ayuntamiento, recae especialmente en los síndicos municipales.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el Sujeto Obligado, a través de su Código Reglamentario Municipal de Toluca, regula que la Dirección General de Administración, es el área competente para </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Artículo 3.31. La o el titular de la Dirección General de Administración, tiene las siguientes atribuciones:</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XVI. Desarrollar, implementar y supervisar las actividades relativas a la dotación de combustible, gasolina y diésel al parque vehicular del Ayuntamiento, solicitar se realicen las contrataciones pertinentes con el propósito de establecer los mecanismos que coadyuven al control para la dotación de combustible;</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XVII. Establecer los mecanismos y procesos administrativos necesarios para el diagnóstico, mantenimiento preventivo y correctivo, del parque vehicular del Ayuntamiento, definir los requisitos para ingresar los vehículos al taller municipal o en su caso canalizarlos a talleres externos;</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XXIII. Implementar las medidas necesarias para la actualización y resguardo del inventario general de bienes muebles y vehículos del Ayuntamiento;</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XXIV. Identificar los bienes muebles y vehículos que se encuentren en mal estado y obsoletos, para que, en su caso, se inicie el proceso de baja como activo, y se proceda a su enajenación, conforme a la normatividad respectiva;</w:t>
      </w:r>
    </w:p>
    <w:p w:rsidR="00EC6BD5" w:rsidRDefault="00EC6BD5">
      <w:pPr>
        <w:spacing w:line="360" w:lineRule="auto"/>
        <w:ind w:left="567" w:right="539"/>
        <w:jc w:val="both"/>
        <w:rPr>
          <w:rFonts w:ascii="Palatino Linotype" w:eastAsia="Palatino Linotype" w:hAnsi="Palatino Linotype" w:cs="Palatino Linotype"/>
          <w:i/>
          <w:iCs/>
        </w:rPr>
      </w:pP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Artículo 6.62. Todo vehículo que no sea del servicio público de limpia, que transporte residuos sólidos urbanos y de manejo especial, será inscrito en el padrón que para tal efecto lleve la autoridad municipal competente, donde se fijarán las condiciones del servicio.</w:t>
      </w:r>
    </w:p>
    <w:p w:rsidR="00EC6BD5" w:rsidRDefault="00EC6BD5">
      <w:pPr>
        <w:spacing w:line="360" w:lineRule="auto"/>
        <w:ind w:left="567" w:right="539"/>
        <w:jc w:val="both"/>
        <w:rPr>
          <w:rFonts w:ascii="Palatino Linotype" w:eastAsia="Palatino Linotype" w:hAnsi="Palatino Linotype" w:cs="Palatino Linotype"/>
          <w:i/>
          <w:iCs/>
        </w:rPr>
      </w:pPr>
    </w:p>
    <w:p w:rsidR="00EC6BD5" w:rsidRDefault="00CE61A9">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es de señalar que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 xml:space="preserve">el Órgano Superior de Fiscalización del Estado de México emitió el Instructivo para la Integración del Informe Trimestral de los Sujetos de Fiscalización Municipales, en el cual se advierte que el Sujeto Obligado debe seguir lo señalado en el </w:t>
      </w:r>
      <w:r>
        <w:rPr>
          <w:rFonts w:ascii="Palatino Linotype" w:eastAsia="Palatino Linotype" w:hAnsi="Palatino Linotype" w:cs="Palatino Linotype"/>
          <w:b/>
          <w:bCs/>
          <w:sz w:val="22"/>
          <w:szCs w:val="22"/>
        </w:rPr>
        <w:t>Módulo 4</w:t>
      </w:r>
      <w:r>
        <w:rPr>
          <w:rFonts w:ascii="Palatino Linotype" w:eastAsia="Palatino Linotype" w:hAnsi="Palatino Linotype" w:cs="Palatino Linotype"/>
          <w:sz w:val="22"/>
          <w:szCs w:val="22"/>
        </w:rPr>
        <w:t>, mismo que tiene el punto 15 Inventario de Bienes Muebles el cual debe contener entre otros los siguientes datos:</w:t>
      </w:r>
    </w:p>
    <w:p w:rsidR="00EC6BD5" w:rsidRDefault="00EC6BD5">
      <w:pPr>
        <w:tabs>
          <w:tab w:val="left" w:pos="4962"/>
        </w:tabs>
        <w:spacing w:line="360" w:lineRule="auto"/>
        <w:jc w:val="both"/>
        <w:rPr>
          <w:rFonts w:ascii="Palatino Linotype" w:eastAsia="Palatino Linotype" w:hAnsi="Palatino Linotype" w:cs="Palatino Linotype"/>
          <w:sz w:val="22"/>
          <w:szCs w:val="22"/>
        </w:rPr>
      </w:pPr>
    </w:p>
    <w:p w:rsidR="00EC6BD5" w:rsidRDefault="00CE61A9">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575300" cy="2597150"/>
            <wp:effectExtent l="0" t="0" r="0" b="0"/>
            <wp:docPr id="8967954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75300" cy="2597150"/>
                    </a:xfrm>
                    <a:prstGeom prst="rect">
                      <a:avLst/>
                    </a:prstGeom>
                    <a:ln/>
                  </pic:spPr>
                </pic:pic>
              </a:graphicData>
            </a:graphic>
          </wp:inline>
        </w:drawing>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Derivado de lo anterior, se observa que el Sujeto Obligado debe contar en sus archivos con los documentos que den cuenta de la adquisición de los vehículos con los que cuenta, además al tratarse de adquisiciones, corresponde a obligaciones de transparencia de acuerdo a lo señalado en el artículo 92, fracción XXIX, de la Ley de Transparencia y Acceso a la Información Pública del Estado de México y Municipios, que se transcribe a continuación:</w:t>
      </w:r>
    </w:p>
    <w:p w:rsidR="00EC6BD5" w:rsidRDefault="00EC6BD5">
      <w:pPr>
        <w:spacing w:line="360" w:lineRule="auto"/>
        <w:ind w:right="-93"/>
        <w:jc w:val="both"/>
        <w:rPr>
          <w:rFonts w:ascii="Palatino Linotype" w:eastAsia="Palatino Linotype" w:hAnsi="Palatino Linotype" w:cs="Palatino Linotype"/>
          <w:sz w:val="22"/>
          <w:szCs w:val="22"/>
        </w:rPr>
      </w:pP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92.</w:t>
      </w:r>
      <w:r>
        <w:rPr>
          <w:rFonts w:ascii="Palatino Linotype" w:eastAsia="Palatino Linotype" w:hAnsi="Palatino Linotype" w:cs="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C6BD5" w:rsidRDefault="00EC6BD5">
      <w:pPr>
        <w:spacing w:line="360" w:lineRule="auto"/>
        <w:ind w:left="567" w:right="539"/>
        <w:jc w:val="both"/>
        <w:rPr>
          <w:rFonts w:ascii="Palatino Linotype" w:eastAsia="Palatino Linotype" w:hAnsi="Palatino Linotype" w:cs="Palatino Linotype"/>
          <w:i/>
          <w:iCs/>
        </w:rPr>
      </w:pPr>
    </w:p>
    <w:p w:rsidR="00EC6BD5" w:rsidRDefault="00CE61A9">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i/>
          <w:iCs/>
        </w:rPr>
        <w:tab/>
      </w:r>
      <w:r>
        <w:rPr>
          <w:rFonts w:ascii="Palatino Linotype" w:eastAsia="Palatino Linotype" w:hAnsi="Palatino Linotype" w:cs="Palatino Linotype"/>
          <w:b/>
          <w:bCs/>
          <w:i/>
          <w:iCs/>
        </w:rPr>
        <w:t xml:space="preserve">I </w:t>
      </w:r>
      <w:r>
        <w:rPr>
          <w:rFonts w:ascii="Palatino Linotype" w:eastAsia="Palatino Linotype" w:hAnsi="Palatino Linotype" w:cs="Palatino Linotype"/>
          <w:i/>
          <w:iCs/>
        </w:rPr>
        <w:t>al</w:t>
      </w:r>
      <w:r>
        <w:rPr>
          <w:rFonts w:ascii="Palatino Linotype" w:eastAsia="Palatino Linotype" w:hAnsi="Palatino Linotype" w:cs="Palatino Linotype"/>
          <w:b/>
          <w:bCs/>
          <w:i/>
          <w:iCs/>
        </w:rPr>
        <w:t xml:space="preserve"> XXVIII…</w:t>
      </w:r>
    </w:p>
    <w:p w:rsidR="00EC6BD5" w:rsidRDefault="00EC6BD5">
      <w:pPr>
        <w:spacing w:line="360" w:lineRule="auto"/>
        <w:ind w:left="567" w:right="539"/>
        <w:jc w:val="both"/>
        <w:rPr>
          <w:rFonts w:ascii="Palatino Linotype" w:eastAsia="Palatino Linotype" w:hAnsi="Palatino Linotype" w:cs="Palatino Linotype"/>
          <w:b/>
          <w:bCs/>
          <w:i/>
          <w:iCs/>
        </w:rPr>
      </w:pP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XXIX. </w:t>
      </w:r>
      <w:r>
        <w:rPr>
          <w:rFonts w:ascii="Palatino Linotype" w:eastAsia="Palatino Linotype" w:hAnsi="Palatino Linotype" w:cs="Palatino Linotype"/>
          <w:i/>
          <w:iCs/>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 </w:t>
      </w:r>
      <w:r>
        <w:rPr>
          <w:rFonts w:ascii="Palatino Linotype" w:eastAsia="Palatino Linotype" w:hAnsi="Palatino Linotype" w:cs="Palatino Linotype"/>
          <w:i/>
          <w:iCs/>
        </w:rPr>
        <w:t>De licitaciones públicas o procedimientos de invitación restringida:</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EC6BD5" w:rsidRDefault="00CE61A9">
      <w:pPr>
        <w:spacing w:line="360" w:lineRule="auto"/>
        <w:ind w:left="708" w:right="-93"/>
        <w:jc w:val="both"/>
        <w:rPr>
          <w:rFonts w:ascii="Palatino Linotype" w:eastAsia="Palatino Linotype" w:hAnsi="Palatino Linotype" w:cs="Palatino Linotype"/>
          <w:i/>
          <w:iCs/>
        </w:rPr>
      </w:pPr>
      <w:r>
        <w:rPr>
          <w:rFonts w:ascii="Palatino Linotype" w:eastAsia="Palatino Linotype" w:hAnsi="Palatino Linotype" w:cs="Palatino Linotype"/>
          <w:i/>
          <w:iCs/>
        </w:rPr>
        <w:t>a) De licitaciones públicas o procedimientos de invitación restringida:</w:t>
      </w:r>
    </w:p>
    <w:p w:rsidR="00EC6BD5" w:rsidRDefault="00CE61A9">
      <w:pPr>
        <w:spacing w:line="360" w:lineRule="auto"/>
        <w:ind w:left="708" w:right="-93"/>
        <w:jc w:val="both"/>
        <w:rPr>
          <w:rFonts w:ascii="Palatino Linotype" w:eastAsia="Palatino Linotype" w:hAnsi="Palatino Linotype" w:cs="Palatino Linotype"/>
          <w:i/>
          <w:iCs/>
        </w:rPr>
      </w:pPr>
      <w:r>
        <w:rPr>
          <w:rFonts w:ascii="Palatino Linotype" w:eastAsia="Palatino Linotype" w:hAnsi="Palatino Linotype" w:cs="Palatino Linotype"/>
          <w:i/>
          <w:iCs/>
        </w:rPr>
        <w:t>1) a 14</w:t>
      </w:r>
      <w:proofErr w:type="gramStart"/>
      <w:r>
        <w:rPr>
          <w:rFonts w:ascii="Palatino Linotype" w:eastAsia="Palatino Linotype" w:hAnsi="Palatino Linotype" w:cs="Palatino Linotype"/>
          <w:i/>
          <w:iCs/>
        </w:rPr>
        <w:t>) …</w:t>
      </w:r>
      <w:proofErr w:type="gramEnd"/>
    </w:p>
    <w:p w:rsidR="00EC6BD5" w:rsidRDefault="00CE61A9">
      <w:pPr>
        <w:spacing w:line="360" w:lineRule="auto"/>
        <w:ind w:left="708" w:right="-93"/>
        <w:jc w:val="both"/>
        <w:rPr>
          <w:rFonts w:ascii="Palatino Linotype" w:eastAsia="Palatino Linotype" w:hAnsi="Palatino Linotype" w:cs="Palatino Linotype"/>
          <w:i/>
          <w:iCs/>
        </w:rPr>
      </w:pPr>
      <w:r>
        <w:rPr>
          <w:rFonts w:ascii="Palatino Linotype" w:eastAsia="Palatino Linotype" w:hAnsi="Palatino Linotype" w:cs="Palatino Linotype"/>
          <w:i/>
          <w:iCs/>
        </w:rPr>
        <w:t>b) De las adjudicaciones directas:</w:t>
      </w:r>
    </w:p>
    <w:p w:rsidR="00EC6BD5" w:rsidRDefault="00CE61A9">
      <w:pPr>
        <w:spacing w:line="360" w:lineRule="auto"/>
        <w:ind w:left="708" w:right="-93"/>
        <w:jc w:val="both"/>
        <w:rPr>
          <w:rFonts w:ascii="Palatino Linotype" w:eastAsia="Palatino Linotype" w:hAnsi="Palatino Linotype" w:cs="Palatino Linotype"/>
          <w:i/>
          <w:iCs/>
        </w:rPr>
      </w:pPr>
      <w:r>
        <w:rPr>
          <w:rFonts w:ascii="Palatino Linotype" w:eastAsia="Palatino Linotype" w:hAnsi="Palatino Linotype" w:cs="Palatino Linotype"/>
          <w:i/>
          <w:iCs/>
        </w:rPr>
        <w:t>1) a 11</w:t>
      </w:r>
      <w:proofErr w:type="gramStart"/>
      <w:r>
        <w:rPr>
          <w:rFonts w:ascii="Palatino Linotype" w:eastAsia="Palatino Linotype" w:hAnsi="Palatino Linotype" w:cs="Palatino Linotype"/>
          <w:i/>
          <w:iCs/>
        </w:rPr>
        <w:t>) …</w:t>
      </w:r>
      <w:proofErr w:type="gramEnd"/>
    </w:p>
    <w:p w:rsidR="00EC6BD5" w:rsidRDefault="00CE61A9">
      <w:pPr>
        <w:spacing w:line="360" w:lineRule="auto"/>
        <w:ind w:left="708" w:right="-93"/>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XXX a XLIX…</w:t>
      </w:r>
    </w:p>
    <w:p w:rsidR="00EC6BD5" w:rsidRDefault="00EC6BD5">
      <w:pPr>
        <w:spacing w:line="360" w:lineRule="auto"/>
        <w:ind w:right="-93"/>
        <w:jc w:val="both"/>
        <w:rPr>
          <w:rFonts w:ascii="Palatino Linotype" w:eastAsia="Palatino Linotype" w:hAnsi="Palatino Linotype" w:cs="Palatino Linotype"/>
          <w:sz w:val="22"/>
          <w:szCs w:val="22"/>
        </w:rPr>
      </w:pPr>
    </w:p>
    <w:p w:rsidR="00EC6BD5" w:rsidRDefault="00CE61A9">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Aunado a lo anterior, la Ley de Contratación Pública del Estado de México y Municipios, señala lo siguiente:</w:t>
      </w:r>
    </w:p>
    <w:p w:rsidR="00EC6BD5" w:rsidRDefault="00EC6BD5">
      <w:pPr>
        <w:spacing w:line="360" w:lineRule="auto"/>
        <w:ind w:right="-93"/>
        <w:jc w:val="both"/>
        <w:rPr>
          <w:rFonts w:ascii="Palatino Linotype" w:eastAsia="Palatino Linotype" w:hAnsi="Palatino Linotype" w:cs="Palatino Linotype"/>
          <w:b/>
          <w:bCs/>
          <w:sz w:val="22"/>
          <w:szCs w:val="22"/>
        </w:rPr>
      </w:pP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26.-</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u w:val="single"/>
        </w:rPr>
        <w:t>Las adquisiciones, arrendamientos</w:t>
      </w:r>
      <w:r>
        <w:rPr>
          <w:rFonts w:ascii="Palatino Linotype" w:eastAsia="Palatino Linotype" w:hAnsi="Palatino Linotype" w:cs="Palatino Linotype"/>
          <w:i/>
          <w:iCs/>
        </w:rPr>
        <w:t xml:space="preserve"> y servicios se adjudicarán a través de </w:t>
      </w:r>
      <w:r>
        <w:rPr>
          <w:rFonts w:ascii="Palatino Linotype" w:eastAsia="Palatino Linotype" w:hAnsi="Palatino Linotype" w:cs="Palatino Linotype"/>
          <w:b/>
          <w:bCs/>
          <w:i/>
          <w:iCs/>
          <w:u w:val="single"/>
        </w:rPr>
        <w:t>licitaciones públicas, mediante convocatoria pública</w:t>
      </w:r>
      <w:r>
        <w:rPr>
          <w:rFonts w:ascii="Palatino Linotype" w:eastAsia="Palatino Linotype" w:hAnsi="Palatino Linotype" w:cs="Palatino Linotype"/>
          <w:i/>
          <w:iCs/>
        </w:rPr>
        <w:t>.</w:t>
      </w:r>
    </w:p>
    <w:p w:rsidR="00EC6BD5" w:rsidRDefault="00EC6BD5">
      <w:pPr>
        <w:spacing w:line="360" w:lineRule="auto"/>
        <w:ind w:left="567" w:right="539"/>
        <w:jc w:val="both"/>
        <w:rPr>
          <w:rFonts w:ascii="Palatino Linotype" w:eastAsia="Palatino Linotype" w:hAnsi="Palatino Linotype" w:cs="Palatino Linotype"/>
          <w:b/>
          <w:bCs/>
          <w:i/>
          <w:iCs/>
        </w:rPr>
      </w:pP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27.-</w:t>
      </w:r>
      <w:r>
        <w:rPr>
          <w:rFonts w:ascii="Palatino Linotype" w:eastAsia="Palatino Linotype" w:hAnsi="Palatino Linotype" w:cs="Palatino Linotype"/>
          <w:i/>
          <w:iCs/>
        </w:rPr>
        <w:t xml:space="preserve"> La Secretaría, las entidades, los tribunales administrativos y los ayuntamientos podrán adjudicar adquisiciones, arrendamientos y servicios, mediante las excepciones al procedimiento de licitación que a continuación se señalan:</w:t>
      </w:r>
    </w:p>
    <w:p w:rsidR="00EC6BD5" w:rsidRDefault="00EC6BD5">
      <w:pPr>
        <w:spacing w:line="360" w:lineRule="auto"/>
        <w:ind w:left="567" w:right="539"/>
        <w:jc w:val="both"/>
        <w:rPr>
          <w:rFonts w:ascii="Palatino Linotype" w:eastAsia="Palatino Linotype" w:hAnsi="Palatino Linotype" w:cs="Palatino Linotype"/>
          <w:b/>
          <w:bCs/>
          <w:i/>
          <w:iCs/>
          <w:u w:val="single"/>
        </w:rPr>
      </w:pPr>
    </w:p>
    <w:p w:rsidR="00EC6BD5" w:rsidRDefault="00CE61A9">
      <w:pPr>
        <w:spacing w:line="360" w:lineRule="auto"/>
        <w:ind w:left="567" w:right="539"/>
        <w:jc w:val="both"/>
        <w:rPr>
          <w:rFonts w:ascii="Palatino Linotype" w:eastAsia="Palatino Linotype" w:hAnsi="Palatino Linotype" w:cs="Palatino Linotype"/>
          <w:b/>
          <w:bCs/>
          <w:i/>
          <w:iCs/>
          <w:u w:val="single"/>
        </w:rPr>
      </w:pPr>
      <w:r>
        <w:rPr>
          <w:rFonts w:ascii="Palatino Linotype" w:eastAsia="Palatino Linotype" w:hAnsi="Palatino Linotype" w:cs="Palatino Linotype"/>
          <w:b/>
          <w:bCs/>
          <w:i/>
          <w:iCs/>
          <w:u w:val="single"/>
        </w:rPr>
        <w:t>I. Invitación restringida.</w:t>
      </w:r>
    </w:p>
    <w:p w:rsidR="00EC6BD5" w:rsidRDefault="00CE61A9">
      <w:pPr>
        <w:spacing w:line="360" w:lineRule="auto"/>
        <w:ind w:left="567" w:right="539"/>
        <w:jc w:val="both"/>
        <w:rPr>
          <w:rFonts w:ascii="Palatino Linotype" w:eastAsia="Palatino Linotype" w:hAnsi="Palatino Linotype" w:cs="Palatino Linotype"/>
          <w:b/>
          <w:bCs/>
          <w:i/>
          <w:iCs/>
          <w:u w:val="single"/>
        </w:rPr>
      </w:pPr>
      <w:r>
        <w:rPr>
          <w:rFonts w:ascii="Palatino Linotype" w:eastAsia="Palatino Linotype" w:hAnsi="Palatino Linotype" w:cs="Palatino Linotype"/>
          <w:b/>
          <w:bCs/>
          <w:i/>
          <w:iCs/>
          <w:u w:val="single"/>
        </w:rPr>
        <w:t>II. Adjudicación directa.</w:t>
      </w:r>
    </w:p>
    <w:p w:rsidR="00EC6BD5" w:rsidRDefault="00EC6BD5">
      <w:pPr>
        <w:spacing w:line="360" w:lineRule="auto"/>
        <w:ind w:left="567" w:right="539"/>
        <w:jc w:val="both"/>
        <w:rPr>
          <w:rFonts w:ascii="Palatino Linotype" w:eastAsia="Palatino Linotype" w:hAnsi="Palatino Linotype" w:cs="Palatino Linotype"/>
          <w:i/>
          <w:iCs/>
        </w:rPr>
      </w:pP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65.-</w:t>
      </w:r>
      <w:r>
        <w:rPr>
          <w:rFonts w:ascii="Palatino Linotype" w:eastAsia="Palatino Linotype" w:hAnsi="Palatino Linotype" w:cs="Palatino Linotype"/>
          <w:i/>
          <w:iCs/>
        </w:rPr>
        <w:t xml:space="preserve"> La adjudicación de los contratos derivados de los procedimientos de adquisiciones de bienes o servicios, </w:t>
      </w:r>
      <w:r>
        <w:rPr>
          <w:rFonts w:ascii="Palatino Linotype" w:eastAsia="Palatino Linotype" w:hAnsi="Palatino Linotype" w:cs="Palatino Linotype"/>
          <w:b/>
          <w:bCs/>
          <w:i/>
          <w:iCs/>
          <w:u w:val="single"/>
        </w:rPr>
        <w:t>obligará a la convocante y al licitante ganador a suscribir el contrato respectivo</w:t>
      </w:r>
      <w:r>
        <w:rPr>
          <w:rFonts w:ascii="Palatino Linotype" w:eastAsia="Palatino Linotype" w:hAnsi="Palatino Linotype" w:cs="Palatino Linotype"/>
          <w:i/>
          <w:iCs/>
        </w:rPr>
        <w:t>, dentro de los diez días hábiles siguientes al de la notificación del fallo. Los contratos podrán suscribirse mediante el uso de la firma electrónica, en apego a las disposiciones de la Ley de Medios Electrónicos y de su Reglamento.</w:t>
      </w:r>
    </w:p>
    <w:p w:rsidR="00EC6BD5" w:rsidRDefault="00EC6BD5">
      <w:pPr>
        <w:spacing w:line="360" w:lineRule="auto"/>
        <w:ind w:left="567" w:right="539"/>
        <w:jc w:val="both"/>
        <w:rPr>
          <w:rFonts w:ascii="Palatino Linotype" w:eastAsia="Palatino Linotype" w:hAnsi="Palatino Linotype" w:cs="Palatino Linotype"/>
          <w:i/>
          <w:iCs/>
        </w:rPr>
      </w:pP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75.-</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u w:val="single"/>
        </w:rPr>
        <w:t>En las adquisiciones y arrendamientos</w:t>
      </w:r>
      <w:r>
        <w:rPr>
          <w:rFonts w:ascii="Palatino Linotype" w:eastAsia="Palatino Linotype" w:hAnsi="Palatino Linotype" w:cs="Palatino Linotype"/>
          <w:i/>
          <w:iCs/>
        </w:rPr>
        <w:t xml:space="preserve"> de los bienes inmuebles y en la enajenación de bienes muebles e inmuebles, el otorgamiento del contrato se sujetará a las normas, políticas o lineamientos que expida la Oficialía Mayor y, supletoriamente, a las disposiciones del Código Civil del Estado de México.</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sobre lo establecido, el Sujeto Obligado debe contar con los documentos en donde conste los solicitado, respecto del total de vehículos con los que cuenta, así como la marca y modelo, e incluso el documento en donde conste la adquisición y/o arrendamiento y las unidades administrativas que los tienen asignados. </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Ahora es de recordar que en respuesta el Sujeto Obligado se pronunció únicamente a través de la Dirección General de Administración, por lo que invoca lo señalar en el Código Reglamentario Municipal de Toluca 2022-2024 vigente para la presente administración el cual en su artículo 3.40 señala las atribuciones del titular de la Dirección General de Administración que tiene dentro de sus atribuciones las de crear los mecanismos para dotar de combustible al parque vehicular y maquinaria del Ayuntamiento, conforme a los controles establecidos; así como establecer mecanismos y procesos administrativos necesarios para el diagnóstico, mantenimiento y reparación del parque vehicular del Ayuntamiento, de igual forma se consultó el Manual de Organización de la Dirección General de Administración en el cual señala el Objetivo de dicha unidad dentro del que se observa que incluye definir, establecer, difundir y aplicar la normatividad para la administración de personal, así como adquisición, uso y mantenimiento de bienes, contratación y prestación de servicios, de la tecnología de la información y comunicaciones que requieran las diferentes dependencias y órganos que integran la administración pública municipal, para la ejecución de sus funciones, privilegiando las mejores condiciones de oportunidad, precio, calidad y financiamiento, en un esquema de transparencia, a fin de optimizar los recursos humanos, materiales, técnicos y tecnológicos, </w:t>
      </w:r>
      <w:r>
        <w:rPr>
          <w:rFonts w:ascii="Palatino Linotype" w:eastAsia="Palatino Linotype" w:hAnsi="Palatino Linotype" w:cs="Palatino Linotype"/>
          <w:sz w:val="22"/>
          <w:szCs w:val="22"/>
          <w:u w:val="single"/>
        </w:rPr>
        <w:t>así como el adecuado control del parque vehicular</w:t>
      </w:r>
      <w:r>
        <w:rPr>
          <w:rFonts w:ascii="Palatino Linotype" w:eastAsia="Palatino Linotype" w:hAnsi="Palatino Linotype" w:cs="Palatino Linotype"/>
          <w:sz w:val="22"/>
          <w:szCs w:val="22"/>
        </w:rPr>
        <w:t xml:space="preserve"> y de bienes muebles e inmuebles.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se pronunció el área competente, pero la respuesta no fue exhaustiva al no haberse pronunciado sobre todos los puntos solicitados por el Particular.</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una vez analizada la naturaleza de la información y la competencia del área para pronunciarse, se utiliza un cuadro para referencia la información entregada, la faltante y lo susceptible de ser entregado.</w:t>
      </w:r>
    </w:p>
    <w:p w:rsidR="00EC6BD5" w:rsidRDefault="00EC6BD5">
      <w:pPr>
        <w:spacing w:line="360" w:lineRule="auto"/>
        <w:jc w:val="both"/>
        <w:rPr>
          <w:rFonts w:ascii="Palatino Linotype" w:eastAsia="Palatino Linotype" w:hAnsi="Palatino Linotype" w:cs="Palatino Linotype"/>
          <w:sz w:val="22"/>
          <w:szCs w:val="22"/>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EC6BD5">
        <w:tc>
          <w:tcPr>
            <w:tcW w:w="2942"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Información solicitada</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Información entregada</w:t>
            </w:r>
          </w:p>
        </w:tc>
        <w:tc>
          <w:tcPr>
            <w:tcW w:w="2943" w:type="dxa"/>
          </w:tcPr>
          <w:p w:rsidR="00EC6BD5" w:rsidRDefault="00CE61A9">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Observaciones</w:t>
            </w:r>
          </w:p>
        </w:tc>
      </w:tr>
      <w:tr w:rsidR="00EC6BD5">
        <w:tc>
          <w:tcPr>
            <w:tcW w:w="2942"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Padrón vehicular</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Entregó el padrón vehicular</w:t>
            </w:r>
          </w:p>
        </w:tc>
        <w:tc>
          <w:tcPr>
            <w:tcW w:w="2943" w:type="dxa"/>
          </w:tcPr>
          <w:p w:rsidR="00EC6BD5" w:rsidRDefault="00CE61A9">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atendió</w:t>
            </w:r>
          </w:p>
        </w:tc>
      </w:tr>
      <w:tr w:rsidR="00EC6BD5">
        <w:tc>
          <w:tcPr>
            <w:tcW w:w="2942"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unidad administrativa</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Viene en el desglose del padrón vehicular</w:t>
            </w:r>
          </w:p>
        </w:tc>
        <w:tc>
          <w:tcPr>
            <w:tcW w:w="2943" w:type="dxa"/>
          </w:tcPr>
          <w:p w:rsidR="00EC6BD5" w:rsidRDefault="00CE61A9">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atendió</w:t>
            </w:r>
          </w:p>
        </w:tc>
      </w:tr>
      <w:tr w:rsidR="00EC6BD5">
        <w:tc>
          <w:tcPr>
            <w:tcW w:w="2942"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Marca, </w:t>
            </w:r>
            <w:proofErr w:type="spellStart"/>
            <w:r>
              <w:rPr>
                <w:rFonts w:ascii="Palatino Linotype" w:eastAsia="Palatino Linotype" w:hAnsi="Palatino Linotype" w:cs="Palatino Linotype"/>
                <w:sz w:val="22"/>
                <w:szCs w:val="22"/>
              </w:rPr>
              <w:t>submarca</w:t>
            </w:r>
            <w:proofErr w:type="spellEnd"/>
            <w:r>
              <w:rPr>
                <w:rFonts w:ascii="Palatino Linotype" w:eastAsia="Palatino Linotype" w:hAnsi="Palatino Linotype" w:cs="Palatino Linotype"/>
                <w:sz w:val="22"/>
                <w:szCs w:val="22"/>
              </w:rPr>
              <w:t>, modelo, año, color y placas.</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Viene en el desglose del padrón vehicular</w:t>
            </w:r>
          </w:p>
        </w:tc>
        <w:tc>
          <w:tcPr>
            <w:tcW w:w="2943" w:type="dxa"/>
          </w:tcPr>
          <w:p w:rsidR="00EC6BD5" w:rsidRDefault="00CE61A9">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atendió</w:t>
            </w:r>
          </w:p>
        </w:tc>
      </w:tr>
      <w:tr w:rsidR="00EC6BD5">
        <w:tc>
          <w:tcPr>
            <w:tcW w:w="2942"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Asignación de gasolina por vehículo o área.</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entregó información ni hay pronunciamiento</w:t>
            </w:r>
          </w:p>
        </w:tc>
        <w:tc>
          <w:tcPr>
            <w:tcW w:w="2943" w:type="dxa"/>
          </w:tcPr>
          <w:p w:rsidR="00EC6BD5" w:rsidRDefault="00CE61A9">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entregó información; es parte de las obligaciones de la Dirección General de Administración conforme a lo estudiado</w:t>
            </w:r>
          </w:p>
        </w:tc>
      </w:tr>
      <w:tr w:rsidR="00EC6BD5">
        <w:tc>
          <w:tcPr>
            <w:tcW w:w="2942"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nombre del servidor público qué se le asigno</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Viene en el desglose del padrón vehicular</w:t>
            </w:r>
          </w:p>
        </w:tc>
        <w:tc>
          <w:tcPr>
            <w:tcW w:w="2943" w:type="dxa"/>
          </w:tcPr>
          <w:p w:rsidR="00EC6BD5" w:rsidRDefault="00CE61A9">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atendió</w:t>
            </w:r>
          </w:p>
        </w:tc>
      </w:tr>
      <w:tr w:rsidR="00EC6BD5">
        <w:tc>
          <w:tcPr>
            <w:tcW w:w="2942"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formato de resguardo.</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entregó información ni hay pronunciamiento</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se entregó información; no se advierte la obligación de generar un formato de resguardo en </w:t>
            </w:r>
            <w:proofErr w:type="spellStart"/>
            <w:r>
              <w:rPr>
                <w:rFonts w:ascii="Palatino Linotype" w:eastAsia="Palatino Linotype" w:hAnsi="Palatino Linotype" w:cs="Palatino Linotype"/>
                <w:sz w:val="22"/>
                <w:szCs w:val="22"/>
              </w:rPr>
              <w:t>especifico</w:t>
            </w:r>
            <w:proofErr w:type="spellEnd"/>
            <w:r>
              <w:rPr>
                <w:rFonts w:ascii="Palatino Linotype" w:eastAsia="Palatino Linotype" w:hAnsi="Palatino Linotype" w:cs="Palatino Linotype"/>
                <w:sz w:val="22"/>
                <w:szCs w:val="22"/>
              </w:rPr>
              <w:t xml:space="preserve"> diverso a lo entregado, sin embargo, ante la falta de pronunciamiento deberá hacer entrega de la información.</w:t>
            </w:r>
          </w:p>
        </w:tc>
      </w:tr>
      <w:tr w:rsidR="00EC6BD5">
        <w:tc>
          <w:tcPr>
            <w:tcW w:w="2942"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licencia de manejo de quien lo manejará y del qué se le asigno</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entregó información ni hay pronunciamiento</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se entregó información; se advierte que conforme al Manual de Procedimientos de la Dirección general de </w:t>
            </w:r>
            <w:r>
              <w:rPr>
                <w:rFonts w:ascii="Palatino Linotype" w:eastAsia="Palatino Linotype" w:hAnsi="Palatino Linotype" w:cs="Palatino Linotype"/>
                <w:sz w:val="22"/>
                <w:szCs w:val="22"/>
              </w:rPr>
              <w:lastRenderedPageBreak/>
              <w:t>Administración, se debe tener una licencia asociada a los vehículos por lo que debe contar con esta información.</w:t>
            </w:r>
          </w:p>
        </w:tc>
      </w:tr>
      <w:tr w:rsidR="00EC6BD5">
        <w:tc>
          <w:tcPr>
            <w:tcW w:w="2942"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La factura o arrendamiento del vehículo el contrato</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entregó información ni hay pronunciamiento</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entregó información; en estudio se analizó la obligación de contar con esta información.</w:t>
            </w:r>
          </w:p>
        </w:tc>
      </w:tr>
      <w:tr w:rsidR="00EC6BD5">
        <w:tc>
          <w:tcPr>
            <w:tcW w:w="2942"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Lugar de resguardado del vehículo el estacionamiento donde se debe resguardar.</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entregó información ni hay pronunciamiento</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entregó información; no se encontró obligación de tener esta información, sin embargo, ante la falta de pronunciamiento, deberá hacer entrega de la misma.</w:t>
            </w:r>
          </w:p>
        </w:tc>
      </w:tr>
      <w:tr w:rsidR="00EC6BD5">
        <w:tc>
          <w:tcPr>
            <w:tcW w:w="2942"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Horario qué se puede utilizar el vehículo.</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entregó información ni hay pronunciamiento</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entregó información; no se encontró obligación de tener esta información, sin embargo, ante la falta de pronunciamiento, deberá hacer entrega de la misma.</w:t>
            </w:r>
          </w:p>
        </w:tc>
      </w:tr>
      <w:tr w:rsidR="00EC6BD5">
        <w:tc>
          <w:tcPr>
            <w:tcW w:w="2942"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Será operativo o asignación directa</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entregó información ni hay pronunciamiento</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punto, si bien se entregó el nombre del </w:t>
            </w:r>
            <w:proofErr w:type="spellStart"/>
            <w:r>
              <w:rPr>
                <w:rFonts w:ascii="Palatino Linotype" w:eastAsia="Palatino Linotype" w:hAnsi="Palatino Linotype" w:cs="Palatino Linotype"/>
                <w:sz w:val="22"/>
                <w:szCs w:val="22"/>
              </w:rPr>
              <w:t>resguardatario</w:t>
            </w:r>
            <w:proofErr w:type="spellEnd"/>
            <w:r>
              <w:rPr>
                <w:rFonts w:ascii="Palatino Linotype" w:eastAsia="Palatino Linotype" w:hAnsi="Palatino Linotype" w:cs="Palatino Linotype"/>
                <w:sz w:val="22"/>
                <w:szCs w:val="22"/>
              </w:rPr>
              <w:t xml:space="preserve">, se desconoce si el uso será exclusivamente de esta </w:t>
            </w:r>
            <w:r>
              <w:rPr>
                <w:rFonts w:ascii="Palatino Linotype" w:eastAsia="Palatino Linotype" w:hAnsi="Palatino Linotype" w:cs="Palatino Linotype"/>
                <w:sz w:val="22"/>
                <w:szCs w:val="22"/>
              </w:rPr>
              <w:lastRenderedPageBreak/>
              <w:t>persona o bien los vehículos si bien tiene un responsable se usan por diversos servidores públicos, en este sentido, tampoco se advierte que exista dicha distinción legal, sin embargo, ante la falta de pronunciamiento deberá entregar la información.</w:t>
            </w:r>
          </w:p>
        </w:tc>
      </w:tr>
      <w:tr w:rsidR="00EC6BD5">
        <w:tc>
          <w:tcPr>
            <w:tcW w:w="2942"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Incluyen también para las camionetas </w:t>
            </w:r>
            <w:proofErr w:type="spellStart"/>
            <w:r>
              <w:rPr>
                <w:rFonts w:ascii="Palatino Linotype" w:eastAsia="Palatino Linotype" w:hAnsi="Palatino Linotype" w:cs="Palatino Linotype"/>
                <w:sz w:val="22"/>
                <w:szCs w:val="22"/>
              </w:rPr>
              <w:t>thaoo</w:t>
            </w:r>
            <w:proofErr w:type="spellEnd"/>
            <w:r>
              <w:rPr>
                <w:rFonts w:ascii="Palatino Linotype" w:eastAsia="Palatino Linotype" w:hAnsi="Palatino Linotype" w:cs="Palatino Linotype"/>
                <w:sz w:val="22"/>
                <w:szCs w:val="22"/>
              </w:rPr>
              <w:t xml:space="preserve"> y todos los vehículos de seguridad </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w:t>
            </w:r>
            <w:proofErr w:type="spellStart"/>
            <w:r>
              <w:rPr>
                <w:rFonts w:ascii="Palatino Linotype" w:eastAsia="Palatino Linotype" w:hAnsi="Palatino Linotype" w:cs="Palatino Linotype"/>
                <w:sz w:val="22"/>
                <w:szCs w:val="22"/>
              </w:rPr>
              <w:t>entrego</w:t>
            </w:r>
            <w:proofErr w:type="spellEnd"/>
            <w:r>
              <w:rPr>
                <w:rFonts w:ascii="Palatino Linotype" w:eastAsia="Palatino Linotype" w:hAnsi="Palatino Linotype" w:cs="Palatino Linotype"/>
                <w:sz w:val="22"/>
                <w:szCs w:val="22"/>
              </w:rPr>
              <w:t xml:space="preserve"> padrón vehicular, en donde no se advierte ninguna camioneta de marca, </w:t>
            </w:r>
            <w:proofErr w:type="spellStart"/>
            <w:r>
              <w:rPr>
                <w:rFonts w:ascii="Palatino Linotype" w:eastAsia="Palatino Linotype" w:hAnsi="Palatino Linotype" w:cs="Palatino Linotype"/>
                <w:sz w:val="22"/>
                <w:szCs w:val="22"/>
              </w:rPr>
              <w:t>submarca</w:t>
            </w:r>
            <w:proofErr w:type="spellEnd"/>
            <w:r>
              <w:rPr>
                <w:rFonts w:ascii="Palatino Linotype" w:eastAsia="Palatino Linotype" w:hAnsi="Palatino Linotype" w:cs="Palatino Linotype"/>
                <w:sz w:val="22"/>
                <w:szCs w:val="22"/>
              </w:rPr>
              <w:t xml:space="preserve"> o modelo </w:t>
            </w:r>
            <w:proofErr w:type="spellStart"/>
            <w:r>
              <w:rPr>
                <w:rFonts w:ascii="Palatino Linotype" w:eastAsia="Palatino Linotype" w:hAnsi="Palatino Linotype" w:cs="Palatino Linotype"/>
                <w:sz w:val="22"/>
                <w:szCs w:val="22"/>
              </w:rPr>
              <w:t>Thaoo</w:t>
            </w:r>
            <w:proofErr w:type="spellEnd"/>
            <w:r>
              <w:rPr>
                <w:rFonts w:ascii="Palatino Linotype" w:eastAsia="Palatino Linotype" w:hAnsi="Palatino Linotype" w:cs="Palatino Linotype"/>
                <w:sz w:val="22"/>
                <w:szCs w:val="22"/>
              </w:rPr>
              <w:t>.</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identifica que no viene el padrón de vehículos utilizados para temas de seguridad, por lo que la información se encuentra incompleta.</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punto no otorga claridad</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Como se advierte en estudio, todos los vehículos deben ser integrados al padrón vehicular, por lo que se advierte la ausencia de vehículos usados para temas de seguridad. Respecto a las camionetas marca, </w:t>
            </w:r>
            <w:proofErr w:type="spellStart"/>
            <w:r>
              <w:rPr>
                <w:rFonts w:ascii="Palatino Linotype" w:eastAsia="Palatino Linotype" w:hAnsi="Palatino Linotype" w:cs="Palatino Linotype"/>
                <w:sz w:val="22"/>
                <w:szCs w:val="22"/>
              </w:rPr>
              <w:t>submarca</w:t>
            </w:r>
            <w:proofErr w:type="spellEnd"/>
            <w:r>
              <w:rPr>
                <w:rFonts w:ascii="Palatino Linotype" w:eastAsia="Palatino Linotype" w:hAnsi="Palatino Linotype" w:cs="Palatino Linotype"/>
                <w:sz w:val="22"/>
                <w:szCs w:val="22"/>
              </w:rPr>
              <w:t xml:space="preserve"> o modelo </w:t>
            </w:r>
            <w:proofErr w:type="spellStart"/>
            <w:r>
              <w:rPr>
                <w:rFonts w:ascii="Palatino Linotype" w:eastAsia="Palatino Linotype" w:hAnsi="Palatino Linotype" w:cs="Palatino Linotype"/>
                <w:sz w:val="22"/>
                <w:szCs w:val="22"/>
              </w:rPr>
              <w:t>Thaoo</w:t>
            </w:r>
            <w:proofErr w:type="spellEnd"/>
            <w:r>
              <w:rPr>
                <w:rFonts w:ascii="Palatino Linotype" w:eastAsia="Palatino Linotype" w:hAnsi="Palatino Linotype" w:cs="Palatino Linotype"/>
                <w:sz w:val="22"/>
                <w:szCs w:val="22"/>
              </w:rPr>
              <w:t>, no se encontró que existan esos vehículos, ni siquiera una vez realizada la búsqueda en motores de internet.</w:t>
            </w:r>
          </w:p>
        </w:tc>
      </w:tr>
      <w:tr w:rsidR="00EC6BD5">
        <w:tc>
          <w:tcPr>
            <w:tcW w:w="2942"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fotográfica de los vehículos pata ver su estado actual y color del vehículo</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entregó información ni hay pronunciamiento</w:t>
            </w:r>
          </w:p>
        </w:tc>
        <w:tc>
          <w:tcPr>
            <w:tcW w:w="2943" w:type="dxa"/>
          </w:tcPr>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entregó información; no se encontró obligación de tener esta información, sin embargo, ante la falta de pronunciamiento, deberá hacer entrega de la misma.</w:t>
            </w:r>
          </w:p>
        </w:tc>
      </w:tr>
    </w:tbl>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estos puntos antes tocados, </w:t>
      </w:r>
      <w:proofErr w:type="spellStart"/>
      <w:r>
        <w:rPr>
          <w:rFonts w:ascii="Palatino Linotype" w:eastAsia="Palatino Linotype" w:hAnsi="Palatino Linotype" w:cs="Palatino Linotype"/>
          <w:sz w:val="22"/>
          <w:szCs w:val="22"/>
        </w:rPr>
        <w:t>dedemos</w:t>
      </w:r>
      <w:proofErr w:type="spellEnd"/>
      <w:r>
        <w:rPr>
          <w:rFonts w:ascii="Palatino Linotype" w:eastAsia="Palatino Linotype" w:hAnsi="Palatino Linotype" w:cs="Palatino Linotype"/>
          <w:sz w:val="22"/>
          <w:szCs w:val="22"/>
        </w:rPr>
        <w:t xml:space="preserve"> considerar dos puntos, el primero, es que cuando no existe un pronunciamiento, pero no se advierte la existencia de fuente obligacional, que constriña a los sujetos obligados a generar la información, deberán entregarla, sin embargo, de no contar con ella, basta con hacerlo del conocimiento de manera precisa y clara, lo que implica indefectiblemente una debida fundamentación y motivación, que explique las razones por las cuales la información no obra en sus archivos, ante la falta de una fuente obligacional de haber sido generada.</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la otra parte, tenemos que referente a los vehículos utilizados en materia de seguridad, al no haberse entregado, nos encontramos que falta información en su totalidad. </w:t>
      </w:r>
    </w:p>
    <w:p w:rsidR="00EC6BD5" w:rsidRDefault="00EC6BD5">
      <w:pPr>
        <w:spacing w:line="360" w:lineRule="auto"/>
        <w:jc w:val="both"/>
        <w:rPr>
          <w:rFonts w:ascii="Palatino Linotype" w:eastAsia="Palatino Linotype" w:hAnsi="Palatino Linotype" w:cs="Palatino Linotype"/>
          <w:sz w:val="22"/>
          <w:szCs w:val="22"/>
        </w:rPr>
      </w:pP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debemos señalar que la información referente a patrullas puede tener información de naturaleza reservada, pero exclusivamente aquella que se relacione con medidas de seguridad.  En estos casos, los Sujetos Obligados, deben desarrollar un acuerdo aprobado por el Comité de Transparencia, debidamente fundado y motivado, por lo que se trae a colación las siguientes Tesis de Jurisprudencia:</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 xml:space="preserve">Jurisprudencia I.3o.C. J/47, de Tribunales Colegiados de Circuito, visible en la página 1964 del Semanario Judicial de la Federación y su Gaceta, Tomo XXVII, febrero de 2008, Novena Época, de rubro: </w:t>
      </w:r>
      <w:r>
        <w:rPr>
          <w:rFonts w:ascii="Palatino Linotype" w:eastAsia="Palatino Linotype" w:hAnsi="Palatino Linotype" w:cs="Palatino Linotype"/>
          <w:b/>
          <w:bCs/>
          <w:i/>
          <w:iCs/>
        </w:rPr>
        <w:t>FUNDAMENTACIÓN Y MOTIVACIÓN. LA DIFERENCIA ENTRE LA FALTA Y LA INDEBIDA SATISFACCIÓN DE AMBOS REQUISITOS CONSTITUCIONALES TRASCIENDE AL ORDEN EN QUE DEBEN ESTUDIARSE LOS CONCEPTOS DE VIOLACIÓN Y A LOS EFECTOS DEL FALLO PROTECTOR</w:t>
      </w:r>
      <w:r>
        <w:rPr>
          <w:rFonts w:ascii="Palatino Linotype" w:eastAsia="Palatino Linotype" w:hAnsi="Palatino Linotype" w:cs="Palatino Linotype"/>
          <w:i/>
          <w:iCs/>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rsidR="00EC6BD5" w:rsidRDefault="00EC6BD5">
      <w:pPr>
        <w:spacing w:line="360" w:lineRule="auto"/>
        <w:ind w:left="567" w:right="567"/>
        <w:jc w:val="both"/>
        <w:rPr>
          <w:rFonts w:ascii="Palatino Linotype" w:eastAsia="Palatino Linotype" w:hAnsi="Palatino Linotype" w:cs="Palatino Linotype"/>
          <w:i/>
          <w:iCs/>
        </w:rPr>
      </w:pPr>
    </w:p>
    <w:p w:rsidR="00EC6BD5" w:rsidRDefault="00CE61A9">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Jurisprudencia IV.2o.C. J/12, de Tribunales Colegiados de Circuito, visible en la página 2053 del Semanario Judicial de la Federación y su Gaceta, Tomo XXXIII, febrero de 2011, Novena Época, de rubro y texto siguientes:</w:t>
      </w:r>
    </w:p>
    <w:p w:rsidR="00EC6BD5" w:rsidRDefault="00EC6BD5">
      <w:pPr>
        <w:spacing w:line="360" w:lineRule="auto"/>
        <w:ind w:left="567" w:right="567"/>
        <w:jc w:val="both"/>
        <w:rPr>
          <w:rFonts w:ascii="Palatino Linotype" w:eastAsia="Palatino Linotype" w:hAnsi="Palatino Linotype" w:cs="Palatino Linotype"/>
          <w:i/>
          <w:iCs/>
        </w:rPr>
      </w:pPr>
    </w:p>
    <w:p w:rsidR="00EC6BD5" w:rsidRDefault="00CE61A9">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FUNDAMENTACIÓN Y MOTIVACIÓN. ARGUMENTOS QUE DEBEN EXAMINARSE PARA DETERMINAR LO FUNDADO O INFUNDADO DE UNA INCONFORMIDAD CUANDO SE ALEGA LA AUSENCIA DE AQUÉLLA O SE TACHA DE INDEBIDA.</w:t>
      </w:r>
      <w:r>
        <w:rPr>
          <w:rFonts w:ascii="Palatino Linotype" w:eastAsia="Palatino Linotype" w:hAnsi="Palatino Linotype" w:cs="Palatino Linotype"/>
          <w:i/>
          <w:iCs/>
        </w:rPr>
        <w:t xml:space="preserve"> Al atender un motivo de desacuerdo relacionado con la fundamentación y motivación, para producir una respuesta congruente debe, del contexto integral de la argumentación del inconforme, advertirse 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insuficiente, pues será a la luz de tales razones que pueda establecerse lo fundado o infundado de la inconformidad.</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Esto implica en la especie a acreditar la </w:t>
      </w:r>
      <w:proofErr w:type="spellStart"/>
      <w:r>
        <w:rPr>
          <w:rFonts w:ascii="Palatino Linotype" w:eastAsia="Palatino Linotype" w:hAnsi="Palatino Linotype" w:cs="Palatino Linotype"/>
          <w:sz w:val="22"/>
          <w:szCs w:val="22"/>
        </w:rPr>
        <w:t>preba</w:t>
      </w:r>
      <w:proofErr w:type="spellEnd"/>
      <w:r>
        <w:rPr>
          <w:rFonts w:ascii="Palatino Linotype" w:eastAsia="Palatino Linotype" w:hAnsi="Palatino Linotype" w:cs="Palatino Linotype"/>
          <w:sz w:val="22"/>
          <w:szCs w:val="22"/>
        </w:rPr>
        <w:t xml:space="preserve"> de daño de conformidad con los artículos 125, 128, 129 y 140 de la Ley de Transparencia y Acceso a la Información Pública del Estado de México y Municipios, situación que se robustece con lo señalado en la Tesis Aislada número I.10o.A.79 A (10a.), (Gaceta del Semanario Judicial de la Federación, Libro 60, Noviembre de 2018, Tomo III, </w:t>
      </w:r>
      <w:proofErr w:type="spellStart"/>
      <w:r>
        <w:rPr>
          <w:rFonts w:ascii="Palatino Linotype" w:eastAsia="Palatino Linotype" w:hAnsi="Palatino Linotype" w:cs="Palatino Linotype"/>
          <w:sz w:val="22"/>
          <w:szCs w:val="22"/>
        </w:rPr>
        <w:t>pag</w:t>
      </w:r>
      <w:proofErr w:type="spellEnd"/>
      <w:r>
        <w:rPr>
          <w:rFonts w:ascii="Palatino Linotype" w:eastAsia="Palatino Linotype" w:hAnsi="Palatino Linotype" w:cs="Palatino Linotype"/>
          <w:sz w:val="22"/>
          <w:szCs w:val="22"/>
        </w:rPr>
        <w:t>. 2318) como se muestra a continuación:</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ind w:left="567" w:right="616"/>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PRUEBA DE DAÑO EN LA CLASIFICACIÓN DE LA INFORMACIÓN PÚBLICA. SU VALIDEZ NO DEPENDE DE LOS MEDIOS DE PRUEBA QUE EL SUJETO OBLIGADO APORTE.</w:t>
      </w:r>
    </w:p>
    <w:p w:rsidR="00EC6BD5" w:rsidRDefault="00EC6BD5">
      <w:pPr>
        <w:spacing w:line="360" w:lineRule="auto"/>
        <w:ind w:left="567" w:right="616"/>
        <w:jc w:val="both"/>
        <w:rPr>
          <w:rFonts w:ascii="Palatino Linotype" w:eastAsia="Palatino Linotype" w:hAnsi="Palatino Linotype" w:cs="Palatino Linotype"/>
          <w:i/>
          <w:iCs/>
        </w:rPr>
      </w:pPr>
    </w:p>
    <w:p w:rsidR="00EC6BD5" w:rsidRDefault="00CE61A9">
      <w:pPr>
        <w:spacing w:line="360" w:lineRule="auto"/>
        <w:ind w:left="567" w:right="616"/>
        <w:jc w:val="both"/>
        <w:rPr>
          <w:rFonts w:ascii="Palatino Linotype" w:eastAsia="Palatino Linotype" w:hAnsi="Palatino Linotype" w:cs="Palatino Linotype"/>
          <w:b/>
          <w:bCs/>
          <w:i/>
          <w:iCs/>
          <w:sz w:val="22"/>
          <w:szCs w:val="22"/>
          <w:u w:val="single"/>
        </w:rPr>
      </w:pPr>
      <w:r>
        <w:rPr>
          <w:rFonts w:ascii="Palatino Linotype" w:eastAsia="Palatino Linotype" w:hAnsi="Palatino Linotype" w:cs="Palatino Linotype"/>
          <w:i/>
          <w:iCs/>
        </w:rPr>
        <w:t>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w:t>
      </w:r>
      <w:r>
        <w:rPr>
          <w:rFonts w:ascii="Palatino Linotype" w:eastAsia="Palatino Linotype" w:hAnsi="Palatino Linotype" w:cs="Palatino Linotype"/>
          <w:b/>
          <w:bCs/>
          <w:i/>
          <w:iCs/>
          <w:u w:val="single"/>
        </w:rPr>
        <w:t xml:space="preserve">, la validez de la prueba de daño no depende de los medios de prueba que </w:t>
      </w:r>
      <w:r>
        <w:rPr>
          <w:rFonts w:ascii="Palatino Linotype" w:eastAsia="Palatino Linotype" w:hAnsi="Palatino Linotype" w:cs="Palatino Linotype"/>
          <w:b/>
          <w:bCs/>
          <w:i/>
          <w:iCs/>
          <w:u w:val="single"/>
        </w:rPr>
        <w:lastRenderedPageBreak/>
        <w:t>el sujeto obligado aporte, sino de la solidez del juicio de ponderación que se efectúe en los términos señalados</w:t>
      </w:r>
      <w:r>
        <w:rPr>
          <w:rFonts w:ascii="Palatino Linotype" w:eastAsia="Palatino Linotype" w:hAnsi="Palatino Linotype" w:cs="Palatino Linotype"/>
          <w:b/>
          <w:bCs/>
          <w:i/>
          <w:iCs/>
          <w:sz w:val="22"/>
          <w:szCs w:val="22"/>
          <w:u w:val="single"/>
        </w:rPr>
        <w:t>.</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 anterior, se desprende que la información reservada, es aquella que cuando, de manera excepcional y por razones de interés público, su publicidad puede causar un daño al interés jurídico tutelado por la Ley, en alguno de los supuestos establecidos en el artículo 140 de la Ley de la materia, y desarrollar la prueba de daño de acuerdo a lo establecido en los Lineamientos Generales en materia de Clasificación y Desclasificación de la Información, así como para Elaboración de Versiones Públicas, misma que </w:t>
      </w:r>
      <w:proofErr w:type="spellStart"/>
      <w:r>
        <w:rPr>
          <w:rFonts w:ascii="Palatino Linotype" w:eastAsia="Palatino Linotype" w:hAnsi="Palatino Linotype" w:cs="Palatino Linotype"/>
          <w:sz w:val="22"/>
          <w:szCs w:val="22"/>
        </w:rPr>
        <w:t>sera</w:t>
      </w:r>
      <w:proofErr w:type="spellEnd"/>
      <w:r>
        <w:rPr>
          <w:rFonts w:ascii="Palatino Linotype" w:eastAsia="Palatino Linotype" w:hAnsi="Palatino Linotype" w:cs="Palatino Linotype"/>
          <w:sz w:val="22"/>
          <w:szCs w:val="22"/>
        </w:rPr>
        <w:t xml:space="preserve"> caso por caso, ya que no se podrá clasificar la información </w:t>
      </w:r>
      <w:proofErr w:type="spellStart"/>
      <w:r>
        <w:rPr>
          <w:rFonts w:ascii="Palatino Linotype" w:eastAsia="Palatino Linotype" w:hAnsi="Palatino Linotype" w:cs="Palatino Linotype"/>
          <w:sz w:val="22"/>
          <w:szCs w:val="22"/>
        </w:rPr>
        <w:t>unicamente</w:t>
      </w:r>
      <w:proofErr w:type="spellEnd"/>
      <w:r>
        <w:rPr>
          <w:rFonts w:ascii="Palatino Linotype" w:eastAsia="Palatino Linotype" w:hAnsi="Palatino Linotype" w:cs="Palatino Linotype"/>
          <w:sz w:val="22"/>
          <w:szCs w:val="22"/>
        </w:rPr>
        <w:t xml:space="preserve"> por estar vinculada con los supuestos establecidos en la Ley sino que además se demostrara que efectivamente dar a conocer la información que se clasifica podría afectar las funciones y el actuar de los diversos </w:t>
      </w:r>
      <w:proofErr w:type="spellStart"/>
      <w:r>
        <w:rPr>
          <w:rFonts w:ascii="Palatino Linotype" w:eastAsia="Palatino Linotype" w:hAnsi="Palatino Linotype" w:cs="Palatino Linotype"/>
          <w:sz w:val="22"/>
          <w:szCs w:val="22"/>
        </w:rPr>
        <w:t>susjetos</w:t>
      </w:r>
      <w:proofErr w:type="spellEnd"/>
      <w:r>
        <w:rPr>
          <w:rFonts w:ascii="Palatino Linotype" w:eastAsia="Palatino Linotype" w:hAnsi="Palatino Linotype" w:cs="Palatino Linotype"/>
          <w:sz w:val="22"/>
          <w:szCs w:val="22"/>
        </w:rPr>
        <w:t xml:space="preserve"> obligados .</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Dicha prueba de daño, consiste en exponer los argumentos y razones, basados en elementos verificables, a partir de los cuales se derive que la divulgación de información, en particular, puede afectar, poner en riesgo o dañar el interés protegido. Asimismo, esta no debe basarse en meras especulaciones o suposiciones, sino en elementos objetivos que deban evaluar que existe un riego actual e inminente.</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contexto, resulta de valor analizar si existen secciones de la información susceptibles a ser clasificados como información reservadas sin embargo, resulta improcedente la reserva de la información de manera general; situación que toma relevancia, pues los vehículos destinados a la seguridad pública, deben ser visibles para los ciudadanos, para poder acudir a estos, en caso de una situación de emergencia.</w:t>
      </w:r>
    </w:p>
    <w:p w:rsidR="00EC6BD5" w:rsidRDefault="00EC6BD5">
      <w:pPr>
        <w:tabs>
          <w:tab w:val="left" w:pos="4962"/>
        </w:tabs>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No pasa desapercibido para este Instituto que si hay información que encuadra en el supuesto de clasificación como son las características o especificaciones de los equipos o armamento adquiridos o arrendados, ya que revelaría la nueva tecnología, sistemas  y componentes, con los que cuenta la Dirección de Seguridad para el combate a la delincuencia en el Municipio, pues al proporcionar información sobre el </w:t>
      </w:r>
      <w:r>
        <w:rPr>
          <w:rFonts w:ascii="Palatino Linotype" w:eastAsia="Palatino Linotype" w:hAnsi="Palatino Linotype" w:cs="Palatino Linotype"/>
          <w:b/>
          <w:bCs/>
          <w:sz w:val="22"/>
          <w:szCs w:val="22"/>
        </w:rPr>
        <w:t>armamento,  blindaje y radios con los que cuentan dicha área,</w:t>
      </w:r>
      <w:r>
        <w:rPr>
          <w:rFonts w:ascii="Palatino Linotype" w:eastAsia="Palatino Linotype" w:hAnsi="Palatino Linotype" w:cs="Palatino Linotype"/>
          <w:sz w:val="22"/>
          <w:szCs w:val="22"/>
        </w:rPr>
        <w:t xml:space="preserve"> se estaría dando cuenta de los aparatos que se utilizan para estar en comunicación los policías municipales, así como, las características del equipo y armamento especial, con el que cuentan el personal o los vehículos, y que es utilizado para mantener la seguridad dentro del territorio del Municipio.</w:t>
      </w:r>
    </w:p>
    <w:p w:rsidR="00EC6BD5" w:rsidRDefault="00EC6BD5">
      <w:pPr>
        <w:spacing w:line="360" w:lineRule="auto"/>
        <w:ind w:right="-93"/>
        <w:jc w:val="both"/>
        <w:rPr>
          <w:rFonts w:ascii="Palatino Linotype" w:eastAsia="Palatino Linotype" w:hAnsi="Palatino Linotype" w:cs="Palatino Linotype"/>
          <w:sz w:val="22"/>
          <w:szCs w:val="22"/>
        </w:rPr>
      </w:pPr>
    </w:p>
    <w:p w:rsidR="00EC6BD5" w:rsidRDefault="00CE61A9">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Inclusive, dar a conocer las especificaciones y características de dicho equipamiento, podría ocasionar que los entes delincuenciales busquen allegarse de instrumentos para disminuir o destruir estos, con el fin de aumentar la inseguridad, pues podría ser utilizada dicha información para buscar las debilidades de las mismas y poderse aprovechar de dichas situaciones para realizar diversos delitos, lo cual va en detrimento de la paz y orden social.</w:t>
      </w:r>
    </w:p>
    <w:p w:rsidR="00EC6BD5" w:rsidRDefault="00EC6BD5">
      <w:pPr>
        <w:spacing w:line="360" w:lineRule="auto"/>
        <w:ind w:right="-93"/>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b/>
          <w:bCs/>
          <w:sz w:val="22"/>
          <w:szCs w:val="22"/>
        </w:rPr>
      </w:pPr>
      <w:bookmarkStart w:id="28" w:name="_heading=h.6j2cz85iynih" w:colFirst="0" w:colLast="0"/>
      <w:bookmarkEnd w:id="28"/>
      <w:r>
        <w:rPr>
          <w:rFonts w:ascii="Palatino Linotype" w:eastAsia="Palatino Linotype" w:hAnsi="Palatino Linotype" w:cs="Palatino Linotype"/>
          <w:sz w:val="22"/>
          <w:szCs w:val="22"/>
        </w:rPr>
        <w:t xml:space="preserve">Conforme a lo anterior, se puede colegir que proporcionar la información en análisis podría comprometer la seguridad pública, al poner en peligro las funciones a cargo del Municipio, </w:t>
      </w:r>
      <w:r>
        <w:t xml:space="preserve"> </w:t>
      </w:r>
      <w:r>
        <w:rPr>
          <w:rFonts w:ascii="Palatino Linotype" w:eastAsia="Palatino Linotype" w:hAnsi="Palatino Linotype" w:cs="Palatino Linotype"/>
          <w:sz w:val="22"/>
          <w:szCs w:val="22"/>
        </w:rPr>
        <w:t xml:space="preserve">tendientes a preservar y resguardar la vida, la salud, la integridad y el ejercicio de los derechos de las personas, así como para el mantenimiento del orden público, toda vez </w:t>
      </w:r>
      <w:r>
        <w:rPr>
          <w:rFonts w:ascii="Palatino Linotype" w:eastAsia="Palatino Linotype" w:hAnsi="Palatino Linotype" w:cs="Palatino Linotype"/>
          <w:b/>
          <w:bCs/>
          <w:sz w:val="22"/>
          <w:szCs w:val="22"/>
        </w:rPr>
        <w:t xml:space="preserve">que da cuenta de las tecnologías, componentes y sistemas del equipo y armamento utilizado por la Dirección de Seguridad </w:t>
      </w:r>
      <w:r>
        <w:rPr>
          <w:rFonts w:ascii="Palatino Linotype" w:eastAsia="Palatino Linotype" w:hAnsi="Palatino Linotype" w:cs="Palatino Linotype"/>
          <w:sz w:val="22"/>
          <w:szCs w:val="22"/>
        </w:rPr>
        <w:t>por lo tanto, acredita la causal de clasificación prevista en el artículo 140, fracción I de la Ley de Transparencia y Acceso a la Información Pública del Estado de México</w:t>
      </w:r>
      <w:r>
        <w:rPr>
          <w:rFonts w:ascii="Palatino Linotype" w:eastAsia="Palatino Linotype" w:hAnsi="Palatino Linotype" w:cs="Palatino Linotype"/>
          <w:b/>
          <w:bCs/>
          <w:sz w:val="22"/>
          <w:szCs w:val="22"/>
        </w:rPr>
        <w:t>.</w:t>
      </w:r>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00EC6BD5" w:rsidRDefault="00EC6BD5">
      <w:pPr>
        <w:tabs>
          <w:tab w:val="left" w:pos="4962"/>
        </w:tabs>
        <w:spacing w:line="360" w:lineRule="auto"/>
        <w:jc w:val="both"/>
        <w:rPr>
          <w:rFonts w:ascii="Palatino Linotype" w:eastAsia="Palatino Linotype" w:hAnsi="Palatino Linotype" w:cs="Palatino Linotype"/>
          <w:sz w:val="22"/>
          <w:szCs w:val="22"/>
        </w:rPr>
      </w:pPr>
    </w:p>
    <w:p w:rsidR="00EC6BD5" w:rsidRDefault="00CE61A9">
      <w:pPr>
        <w:numPr>
          <w:ilvl w:val="0"/>
          <w:numId w:val="1"/>
        </w:num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divulgación de la información representa un riesgo real, demostrable e identificable de perjuicio significativo al interés público o a la seguridad nacional.</w:t>
      </w:r>
    </w:p>
    <w:p w:rsidR="00EC6BD5" w:rsidRDefault="00CE61A9">
      <w:pPr>
        <w:numPr>
          <w:ilvl w:val="0"/>
          <w:numId w:val="1"/>
        </w:num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riesgo de perjuicio supera el interés público general de que se difunda.</w:t>
      </w:r>
    </w:p>
    <w:p w:rsidR="00EC6BD5" w:rsidRDefault="00CE61A9">
      <w:pPr>
        <w:numPr>
          <w:ilvl w:val="0"/>
          <w:numId w:val="1"/>
        </w:num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Que la limitación se adecua al principio de proporcionalidad y representa el medio menos restrictivo disponible para evitar el perjuicio.</w:t>
      </w:r>
    </w:p>
    <w:p w:rsidR="00EC6BD5" w:rsidRDefault="00EC6BD5">
      <w:pPr>
        <w:tabs>
          <w:tab w:val="left" w:pos="4962"/>
        </w:tabs>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b/>
          <w:bCs/>
          <w:sz w:val="22"/>
          <w:szCs w:val="22"/>
        </w:rPr>
      </w:pPr>
      <w:bookmarkStart w:id="29" w:name="_heading=h.njgyklo6set2" w:colFirst="0" w:colLast="0"/>
      <w:bookmarkEnd w:id="29"/>
      <w:r>
        <w:rPr>
          <w:rFonts w:ascii="Palatino Linotype" w:eastAsia="Palatino Linotype" w:hAnsi="Palatino Linotype" w:cs="Palatino Linotype"/>
          <w:sz w:val="22"/>
          <w:szCs w:val="22"/>
        </w:rPr>
        <w:t xml:space="preserve">Por tales consideraciones, </w:t>
      </w:r>
      <w:r>
        <w:rPr>
          <w:rFonts w:ascii="Palatino Linotype" w:eastAsia="Palatino Linotype" w:hAnsi="Palatino Linotype" w:cs="Palatino Linotype"/>
          <w:b/>
          <w:bCs/>
          <w:sz w:val="22"/>
          <w:szCs w:val="22"/>
        </w:rPr>
        <w:t xml:space="preserve">resulta procedente la reserva, en términos del artículo 140, fracción I, de </w:t>
      </w:r>
      <w:proofErr w:type="spellStart"/>
      <w:r>
        <w:rPr>
          <w:rFonts w:ascii="Palatino Linotype" w:eastAsia="Palatino Linotype" w:hAnsi="Palatino Linotype" w:cs="Palatino Linotype"/>
          <w:b/>
          <w:bCs/>
          <w:sz w:val="22"/>
          <w:szCs w:val="22"/>
        </w:rPr>
        <w:t>de</w:t>
      </w:r>
      <w:proofErr w:type="spellEnd"/>
      <w:r>
        <w:rPr>
          <w:rFonts w:ascii="Palatino Linotype" w:eastAsia="Palatino Linotype" w:hAnsi="Palatino Linotype" w:cs="Palatino Linotype"/>
          <w:b/>
          <w:bCs/>
          <w:sz w:val="22"/>
          <w:szCs w:val="22"/>
        </w:rPr>
        <w:t xml:space="preserve"> la Ley de Transparencia y Acceso a la Información Pública del Estado de México y Municipios, </w:t>
      </w:r>
      <w:r>
        <w:rPr>
          <w:rFonts w:ascii="Palatino Linotype" w:eastAsia="Palatino Linotype" w:hAnsi="Palatino Linotype" w:cs="Palatino Linotype"/>
          <w:b/>
          <w:bCs/>
          <w:sz w:val="22"/>
          <w:szCs w:val="22"/>
          <w:u w:val="single"/>
        </w:rPr>
        <w:t>respecto a las características del equipamiento de las patrullas.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Establecido lo anterior, lo procedentes es ordenar el documento que contenga el listado de los </w:t>
      </w:r>
      <w:proofErr w:type="spellStart"/>
      <w:r>
        <w:rPr>
          <w:rFonts w:ascii="Palatino Linotype" w:eastAsia="Palatino Linotype" w:hAnsi="Palatino Linotype" w:cs="Palatino Linotype"/>
          <w:sz w:val="22"/>
          <w:szCs w:val="22"/>
        </w:rPr>
        <w:t>vehiculos</w:t>
      </w:r>
      <w:proofErr w:type="spellEnd"/>
      <w:r>
        <w:rPr>
          <w:rFonts w:ascii="Palatino Linotype" w:eastAsia="Palatino Linotype" w:hAnsi="Palatino Linotype" w:cs="Palatino Linotype"/>
          <w:sz w:val="22"/>
          <w:szCs w:val="22"/>
        </w:rPr>
        <w:t xml:space="preserve"> con los que cuenta el Ayuntamiento que como ya se señaló de acuerdo al documento que se remite al OSFEM debe contener la Marca, Modelo, Nombre del </w:t>
      </w:r>
      <w:proofErr w:type="spellStart"/>
      <w:r>
        <w:rPr>
          <w:rFonts w:ascii="Palatino Linotype" w:eastAsia="Palatino Linotype" w:hAnsi="Palatino Linotype" w:cs="Palatino Linotype"/>
          <w:sz w:val="22"/>
          <w:szCs w:val="22"/>
        </w:rPr>
        <w:t>Resguardatario</w:t>
      </w:r>
      <w:proofErr w:type="spellEnd"/>
      <w:r>
        <w:rPr>
          <w:rFonts w:ascii="Palatino Linotype" w:eastAsia="Palatino Linotype" w:hAnsi="Palatino Linotype" w:cs="Palatino Linotype"/>
          <w:sz w:val="22"/>
          <w:szCs w:val="22"/>
        </w:rPr>
        <w:t xml:space="preserve">, Número de placa, número de serie, datos de la factura, nombre del </w:t>
      </w:r>
      <w:proofErr w:type="spellStart"/>
      <w:r>
        <w:rPr>
          <w:rFonts w:ascii="Palatino Linotype" w:eastAsia="Palatino Linotype" w:hAnsi="Palatino Linotype" w:cs="Palatino Linotype"/>
          <w:sz w:val="22"/>
          <w:szCs w:val="22"/>
        </w:rPr>
        <w:t>resguardatario</w:t>
      </w:r>
      <w:proofErr w:type="spellEnd"/>
      <w:r>
        <w:rPr>
          <w:rFonts w:ascii="Palatino Linotype" w:eastAsia="Palatino Linotype" w:hAnsi="Palatino Linotype" w:cs="Palatino Linotype"/>
          <w:sz w:val="22"/>
          <w:szCs w:val="22"/>
        </w:rPr>
        <w:t xml:space="preserve">, no obstante por lo que hace a los datos restantes se procede a </w:t>
      </w:r>
      <w:proofErr w:type="spellStart"/>
      <w:r>
        <w:rPr>
          <w:rFonts w:ascii="Palatino Linotype" w:eastAsia="Palatino Linotype" w:hAnsi="Palatino Linotype" w:cs="Palatino Linotype"/>
          <w:sz w:val="22"/>
          <w:szCs w:val="22"/>
        </w:rPr>
        <w:t>verifiar</w:t>
      </w:r>
      <w:proofErr w:type="spellEnd"/>
      <w:r>
        <w:rPr>
          <w:rFonts w:ascii="Palatino Linotype" w:eastAsia="Palatino Linotype" w:hAnsi="Palatino Linotype" w:cs="Palatino Linotype"/>
          <w:sz w:val="22"/>
          <w:szCs w:val="22"/>
        </w:rPr>
        <w:t xml:space="preserve"> si el Sujeto Obligado tiene </w:t>
      </w:r>
      <w:proofErr w:type="spellStart"/>
      <w:r>
        <w:rPr>
          <w:rFonts w:ascii="Palatino Linotype" w:eastAsia="Palatino Linotype" w:hAnsi="Palatino Linotype" w:cs="Palatino Linotype"/>
          <w:sz w:val="22"/>
          <w:szCs w:val="22"/>
        </w:rPr>
        <w:t>algun</w:t>
      </w:r>
      <w:proofErr w:type="spellEnd"/>
      <w:r>
        <w:rPr>
          <w:rFonts w:ascii="Palatino Linotype" w:eastAsia="Palatino Linotype" w:hAnsi="Palatino Linotype" w:cs="Palatino Linotype"/>
          <w:sz w:val="22"/>
          <w:szCs w:val="22"/>
        </w:rPr>
        <w:t xml:space="preserve"> documento que de cuente de lo requerido.</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ind w:right="-93"/>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Porlo</w:t>
      </w:r>
      <w:proofErr w:type="spellEnd"/>
      <w:r>
        <w:rPr>
          <w:rFonts w:ascii="Palatino Linotype" w:eastAsia="Palatino Linotype" w:hAnsi="Palatino Linotype" w:cs="Palatino Linotype"/>
          <w:sz w:val="22"/>
          <w:szCs w:val="22"/>
        </w:rPr>
        <w:t xml:space="preserve"> que hace a la </w:t>
      </w:r>
      <w:r>
        <w:rPr>
          <w:rFonts w:ascii="Palatino Linotype" w:eastAsia="Palatino Linotype" w:hAnsi="Palatino Linotype" w:cs="Palatino Linotype"/>
          <w:b/>
          <w:bCs/>
          <w:sz w:val="22"/>
          <w:szCs w:val="22"/>
        </w:rPr>
        <w:t>Dotación de gasolina, con bitácora de gasolina</w:t>
      </w:r>
      <w:r>
        <w:rPr>
          <w:rFonts w:ascii="Palatino Linotype" w:eastAsia="Palatino Linotype" w:hAnsi="Palatino Linotype" w:cs="Palatino Linotype"/>
          <w:sz w:val="22"/>
          <w:szCs w:val="22"/>
        </w:rPr>
        <w:t>,</w:t>
      </w:r>
      <w:r>
        <w:rPr>
          <w:rFonts w:ascii="Palatino Linotype" w:eastAsia="Palatino Linotype" w:hAnsi="Palatino Linotype" w:cs="Palatino Linotype"/>
        </w:rPr>
        <w:t xml:space="preserve"> </w:t>
      </w:r>
      <w:r>
        <w:rPr>
          <w:rFonts w:ascii="Palatino Linotype" w:eastAsia="Palatino Linotype" w:hAnsi="Palatino Linotype" w:cs="Palatino Linotype"/>
          <w:sz w:val="22"/>
          <w:szCs w:val="22"/>
        </w:rPr>
        <w:t xml:space="preserve">se trae a colación el Manual para la Planeación, Programación y Presupuesto de Egresos Municipal para el </w:t>
      </w:r>
      <w:r>
        <w:rPr>
          <w:rFonts w:ascii="Palatino Linotype" w:eastAsia="Palatino Linotype" w:hAnsi="Palatino Linotype" w:cs="Palatino Linotype"/>
          <w:sz w:val="22"/>
          <w:szCs w:val="22"/>
        </w:rPr>
        <w:lastRenderedPageBreak/>
        <w:t xml:space="preserve">Ejercicio Fiscal 2025, el cual establece el Clasificador por objeto del gasto el cual dentro de sus finalidades permite identificar con claridad y transparencia los bienes y servicios que se adquieren, las transferencias que se realizan y las aplicaciones previstas en el presupuesto. </w:t>
      </w:r>
    </w:p>
    <w:p w:rsidR="00EC6BD5" w:rsidRDefault="00EC6BD5">
      <w:pPr>
        <w:spacing w:line="360" w:lineRule="auto"/>
        <w:ind w:right="-93"/>
        <w:jc w:val="both"/>
        <w:rPr>
          <w:rFonts w:ascii="Palatino Linotype" w:eastAsia="Palatino Linotype" w:hAnsi="Palatino Linotype" w:cs="Palatino Linotype"/>
          <w:sz w:val="22"/>
          <w:szCs w:val="22"/>
        </w:rPr>
      </w:pPr>
    </w:p>
    <w:p w:rsidR="00EC6BD5" w:rsidRDefault="00CE61A9">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acuerdo al nivel de desagregación del Clasificador por Objeto del Gasto Estatal y Municipal, se encuentra el capítulo de gasto </w:t>
      </w:r>
      <w:r>
        <w:rPr>
          <w:rFonts w:ascii="Palatino Linotype" w:eastAsia="Palatino Linotype" w:hAnsi="Palatino Linotype" w:cs="Palatino Linotype"/>
          <w:b/>
          <w:bCs/>
          <w:sz w:val="22"/>
          <w:szCs w:val="22"/>
        </w:rPr>
        <w:t>2000 MATERIALES Y SUMINISTROS</w:t>
      </w:r>
      <w:r>
        <w:rPr>
          <w:rFonts w:ascii="Palatino Linotype" w:eastAsia="Palatino Linotype" w:hAnsi="Palatino Linotype" w:cs="Palatino Linotype"/>
          <w:sz w:val="22"/>
          <w:szCs w:val="22"/>
        </w:rPr>
        <w:t xml:space="preserve"> el cual agrupa las asignaciones destinadas a la adquisición de toda clase de insumos y suministros requeridos para la prestación de bienes y servicios públicos y para el desempeño de las actividades administrativas</w:t>
      </w:r>
    </w:p>
    <w:p w:rsidR="00EC6BD5" w:rsidRDefault="00EC6BD5">
      <w:pPr>
        <w:spacing w:line="360" w:lineRule="auto"/>
        <w:ind w:right="-93"/>
        <w:jc w:val="both"/>
        <w:rPr>
          <w:rFonts w:ascii="Palatino Linotype" w:eastAsia="Palatino Linotype" w:hAnsi="Palatino Linotype" w:cs="Palatino Linotype"/>
          <w:sz w:val="22"/>
          <w:szCs w:val="22"/>
        </w:rPr>
      </w:pPr>
    </w:p>
    <w:p w:rsidR="00EC6BD5" w:rsidRDefault="00CE61A9">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Dentro de dicho capítulo se encuentran los siguientes conceptos y partidas:</w:t>
      </w:r>
    </w:p>
    <w:p w:rsidR="00EC6BD5" w:rsidRDefault="00EC6BD5">
      <w:pPr>
        <w:spacing w:line="360" w:lineRule="auto"/>
        <w:ind w:left="567" w:right="539"/>
        <w:jc w:val="both"/>
        <w:rPr>
          <w:rFonts w:ascii="Palatino Linotype" w:eastAsia="Palatino Linotype" w:hAnsi="Palatino Linotype" w:cs="Palatino Linotype"/>
          <w:i/>
          <w:iCs/>
        </w:rPr>
      </w:pPr>
    </w:p>
    <w:p w:rsidR="00EC6BD5" w:rsidRDefault="00CE61A9">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2600 COMBUSTIBLES, LUBRICANTES Y ADITIVOS.</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Asignaciones destinadas a la adquisición de combustibles, lubricantes y aditivos de todo tipo, necesarios para el funcionamiento de vehículos de transporte terrestres, aéreos, marítimos, lacustres y fluviales; así como de maquinaria y equipo.</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2610 Combustibles, lubricantes y aditivos</w:t>
      </w:r>
      <w:r>
        <w:rPr>
          <w:rFonts w:ascii="Palatino Linotype" w:eastAsia="Palatino Linotype" w:hAnsi="Palatino Linotype" w:cs="Palatino Linotype"/>
          <w:i/>
          <w:iCs/>
        </w:rPr>
        <w:t xml:space="preserve">. Asignaciones destinadas a la adquisición de productos derivados del petróleo (como gasolina, diésel, leña, etc.), aceites y grasas lubricantes para el uso en equipo de transporte e industrial y regeneración de aceite usado. Incluye el etanol y el biogás, entre otros. Excluye el petróleo crudo y gas natural, así como los combustibles utilizados como materia prima. </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2611</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Combustibles, lubricantes y aditivos</w:t>
      </w:r>
      <w:r>
        <w:rPr>
          <w:rFonts w:ascii="Palatino Linotype" w:eastAsia="Palatino Linotype" w:hAnsi="Palatino Linotype" w:cs="Palatino Linotype"/>
          <w:i/>
          <w:iCs/>
        </w:rPr>
        <w:t>. Asignaciones destinadas a la adquisición de toda clase de combustibles, en estado líquido o gaseoso, crudos o refinados, así como de lubricantes y aditivos, requeridos para el funcionamiento de vehículos y equipos de transporte terrestre, aéreo o lacustre, así como, para maquinaria, equipo de producción, Plantas de emergencia, servicios administrativos y elaboración de alimentos.</w:t>
      </w:r>
    </w:p>
    <w:p w:rsidR="00EC6BD5" w:rsidRDefault="00EC6BD5">
      <w:pPr>
        <w:spacing w:line="360" w:lineRule="auto"/>
        <w:ind w:left="567" w:right="539"/>
        <w:jc w:val="both"/>
        <w:rPr>
          <w:rFonts w:ascii="Palatino Linotype" w:eastAsia="Palatino Linotype" w:hAnsi="Palatino Linotype" w:cs="Palatino Linotype"/>
          <w:i/>
          <w:iCs/>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Así de lo anterior, se advierte que el Sujeto Obligado cuenta con partidas específicas destinadas al consumo de gasolina por lo que debe llevar el control de la distribución que les otorga, así lo procedente es ordenar su entrega, además es necesario señalar que respecto de este requerimiento no identificó la temporalidad de la cual requería la información, por lo que se debe delimitar así resulta aplicable el criterio orientador número 03/2019 expedido por el entonces Instituto Nacional de Transparencia, Acceso a la Información Pública y Protección de Datos Personales el cual señala: </w:t>
      </w:r>
    </w:p>
    <w:p w:rsidR="00EC6BD5" w:rsidRDefault="00EC6BD5">
      <w:pPr>
        <w:tabs>
          <w:tab w:val="left" w:pos="5828"/>
        </w:tabs>
        <w:spacing w:line="360" w:lineRule="auto"/>
        <w:jc w:val="both"/>
        <w:rPr>
          <w:rFonts w:ascii="Palatino Linotype" w:eastAsia="Palatino Linotype" w:hAnsi="Palatino Linotype" w:cs="Palatino Linotype"/>
          <w:sz w:val="22"/>
          <w:szCs w:val="22"/>
        </w:rPr>
      </w:pP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Periodo de búsqueda de la información. </w:t>
      </w:r>
      <w:r>
        <w:rPr>
          <w:rFonts w:ascii="Palatino Linotype" w:eastAsia="Palatino Linotype" w:hAnsi="Palatino Linotype" w:cs="Palatino Linotype"/>
          <w:i/>
          <w:iC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esta manera, la información que deberá proporcionar el Sujeto Obligado, respecto de la dotación de gasolina y bitácoras es del diecinueve de mayo de dos mil veinticuatro al diecinueve de mayo de dos mil veinticinco.</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que hace a la Licencia vigente que corresponda con el resguardo de servidor que lo tiene en resguardo y uso y disfrute, es de señalar que el artículo 42 del Reglamento de la Ley de Tránsito del Estado de México señala lo siguiente: </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ind w:left="567" w:right="539"/>
        <w:jc w:val="center"/>
        <w:rPr>
          <w:rFonts w:ascii="Palatino Linotype" w:eastAsia="Palatino Linotype" w:hAnsi="Palatino Linotype" w:cs="Palatino Linotype"/>
          <w:b/>
          <w:bCs/>
          <w:i/>
          <w:iCs/>
        </w:rPr>
      </w:pPr>
      <w:r>
        <w:rPr>
          <w:rFonts w:ascii="Palatino Linotype" w:eastAsia="Palatino Linotype" w:hAnsi="Palatino Linotype" w:cs="Palatino Linotype"/>
          <w:b/>
          <w:bCs/>
          <w:i/>
          <w:iCs/>
        </w:rPr>
        <w:t>CAPITULO II</w:t>
      </w:r>
    </w:p>
    <w:p w:rsidR="00EC6BD5" w:rsidRDefault="00CE61A9">
      <w:pPr>
        <w:spacing w:line="360" w:lineRule="auto"/>
        <w:ind w:left="567" w:right="539"/>
        <w:jc w:val="center"/>
        <w:rPr>
          <w:rFonts w:ascii="Palatino Linotype" w:eastAsia="Palatino Linotype" w:hAnsi="Palatino Linotype" w:cs="Palatino Linotype"/>
          <w:b/>
          <w:bCs/>
          <w:i/>
          <w:iCs/>
        </w:rPr>
      </w:pPr>
      <w:r>
        <w:rPr>
          <w:rFonts w:ascii="Palatino Linotype" w:eastAsia="Palatino Linotype" w:hAnsi="Palatino Linotype" w:cs="Palatino Linotype"/>
          <w:b/>
          <w:bCs/>
          <w:i/>
          <w:iCs/>
        </w:rPr>
        <w:t>DE LA EXPEDICIÓN DE LICENCIAS Y PERMISOS PARA CONDUCIR</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42.</w:t>
      </w:r>
      <w:r>
        <w:rPr>
          <w:rFonts w:ascii="Palatino Linotype" w:eastAsia="Palatino Linotype" w:hAnsi="Palatino Linotype" w:cs="Palatino Linotype"/>
          <w:i/>
          <w:iCs/>
        </w:rPr>
        <w:t xml:space="preserve"> Las licencias y permisos provisionales de práctica que expida la Secretaría de Movilidad serán de los siguientes tipos y autorizan a conducir: </w:t>
      </w:r>
    </w:p>
    <w:p w:rsidR="00EC6BD5" w:rsidRDefault="00CE61A9">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u w:val="single"/>
        </w:rPr>
        <w:lastRenderedPageBreak/>
        <w:t>I. Licencia de automovilista, que autoriza a las personas a conducir automóviles particulares</w:t>
      </w:r>
      <w:r>
        <w:rPr>
          <w:rFonts w:ascii="Palatino Linotype" w:eastAsia="Palatino Linotype" w:hAnsi="Palatino Linotype" w:cs="Palatino Linotype"/>
          <w:b/>
          <w:bCs/>
          <w:i/>
          <w:iCs/>
        </w:rPr>
        <w:t xml:space="preserve">; </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 Licencia de motociclista, que autoriza a las personas a conducir motocicletas; </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III. y IV…</w:t>
      </w:r>
    </w:p>
    <w:p w:rsidR="00EC6BD5" w:rsidRDefault="00EC6BD5">
      <w:pPr>
        <w:spacing w:line="360" w:lineRule="auto"/>
        <w:ind w:left="567" w:right="539"/>
        <w:jc w:val="both"/>
        <w:rPr>
          <w:rFonts w:ascii="Palatino Linotype" w:eastAsia="Palatino Linotype" w:hAnsi="Palatino Linotype" w:cs="Palatino Linotype"/>
          <w:i/>
          <w:iCs/>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cuanto a la obligatoriedad de las licencias se señala el contenido del artículo 90 fracción III del mismo Reglamento arriba mencionado: </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90.-</w:t>
      </w:r>
      <w:r>
        <w:rPr>
          <w:rFonts w:ascii="Palatino Linotype" w:eastAsia="Palatino Linotype" w:hAnsi="Palatino Linotype" w:cs="Palatino Linotype"/>
          <w:i/>
          <w:iCs/>
        </w:rPr>
        <w:t xml:space="preserve"> Son obligaciones de los conductores de vehículos automotores:</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I y II…</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III. </w:t>
      </w:r>
      <w:r>
        <w:rPr>
          <w:rFonts w:ascii="Palatino Linotype" w:eastAsia="Palatino Linotype" w:hAnsi="Palatino Linotype" w:cs="Palatino Linotype"/>
          <w:b/>
          <w:bCs/>
          <w:i/>
          <w:iCs/>
          <w:u w:val="single"/>
        </w:rPr>
        <w:t>Traer consigo la licencia y/o el permiso vigente para conducir el vehículo</w:t>
      </w:r>
      <w:r>
        <w:rPr>
          <w:rFonts w:ascii="Palatino Linotype" w:eastAsia="Palatino Linotype" w:hAnsi="Palatino Linotype" w:cs="Palatino Linotype"/>
          <w:i/>
          <w:iCs/>
        </w:rPr>
        <w:t xml:space="preserve"> de que se trate expedida por la Secretaría de Movilidad, así como la documentación que autorice la circulación del vehículo;</w:t>
      </w:r>
    </w:p>
    <w:p w:rsidR="00EC6BD5" w:rsidRDefault="00CE61A9">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IV a XXX</w:t>
      </w:r>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lo anterior, se advierte que los conductores de vehículos automotores deben llevar consigo la licencia y/o el permiso vigente para conducir el vehículo, de lo que se infiere que es una obligación personal de todos los conductores impuesta por el Estado. No obstante, no se observa que contar con licencia de conducir sea un requisito para ingresar al servicio público, según lo establecido en el artículo 47 de la Ley del Trabajo de los Servidores Públicos del Estado y Municipios, ni tampoco para la asignación de un vehículo por parte de la Administración Pública contratante.</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Sin embargo, en el Manual de procedimientos de la Dirección General de Administración del Ayuntamiento de Toluca establece el procedimiento Supervisión de bienes muebles y vehículos en el que se observa que el Departamento de Control tiene como actividad verificar e inspeccionar físicamente los bienes muebles y vehículos por usuario(a) y contra </w:t>
      </w:r>
      <w:r>
        <w:rPr>
          <w:rFonts w:ascii="Palatino Linotype" w:eastAsia="Palatino Linotype" w:hAnsi="Palatino Linotype" w:cs="Palatino Linotype"/>
          <w:sz w:val="22"/>
          <w:szCs w:val="22"/>
        </w:rPr>
        <w:lastRenderedPageBreak/>
        <w:t xml:space="preserve">el último resguardo firmado, el día y hora establecidos, con la finalidad de actualizarlos, detectando nuevos bienes no resguardados, sin etiqueta de inventario o faltantes, así como el estado físico externo e interno de la unidad vehicular, documentos y hologramas que debe portar (póliza de seguro, </w:t>
      </w:r>
      <w:r>
        <w:rPr>
          <w:rFonts w:ascii="Palatino Linotype" w:eastAsia="Palatino Linotype" w:hAnsi="Palatino Linotype" w:cs="Palatino Linotype"/>
          <w:b/>
          <w:bCs/>
          <w:sz w:val="22"/>
          <w:szCs w:val="22"/>
          <w:u w:val="single"/>
        </w:rPr>
        <w:t>licencia de manejo</w:t>
      </w:r>
      <w:r>
        <w:rPr>
          <w:rFonts w:ascii="Palatino Linotype" w:eastAsia="Palatino Linotype" w:hAnsi="Palatino Linotype" w:cs="Palatino Linotype"/>
          <w:sz w:val="22"/>
          <w:szCs w:val="22"/>
        </w:rPr>
        <w:t xml:space="preserve">, tarjeta de circulación, verificación de emisiones contaminantes), entre otros. </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ello debe verificar que, los servidores públicos que hagan uso de los vehículos oficiales cuenten con licencia de conducir vigente, por lo que, es de hacer notar que pueden contener diversos datos considerados como confidenciales tales como los siguientes: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Domicilio</w:t>
      </w:r>
    </w:p>
    <w:p w:rsidR="00EC6BD5" w:rsidRDefault="00CE61A9">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Tipo de Sangre</w:t>
      </w:r>
    </w:p>
    <w:p w:rsidR="00EC6BD5" w:rsidRDefault="00CE61A9">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CURP.</w:t>
      </w:r>
    </w:p>
    <w:p w:rsidR="00EC6BD5" w:rsidRDefault="00CE61A9">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Donador de órganos </w:t>
      </w:r>
    </w:p>
    <w:p w:rsidR="00EC6BD5" w:rsidRDefault="00CE61A9">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caso de emergencia comunicarse con…</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advierte, los elementos contenidos en la licencia de conducir pueden hacer a su titular, identificado, identificable, por ello su relevancia y lo delicado de su uso, por tal razón se debe entregar en versión pública. Es de tener presente que la finalidad esencial de la licencia de conducir es la de poder manejar un vehículo y cumplir con las disposiciones reglamentarias de tránsito, si bien no es un requisito para entrar a laborar al servicio público deben de contar con ellos para poder conducir los vehículos que formen parte del parque vehicular del Sujeto Obligado, por lo que deberá proporcionarlas en su caso en versión pública.</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Ahora respecto del último punto de la solicitud relacionado con el </w:t>
      </w:r>
      <w:r>
        <w:rPr>
          <w:rFonts w:ascii="Palatino Linotype" w:eastAsia="Palatino Linotype" w:hAnsi="Palatino Linotype" w:cs="Palatino Linotype"/>
          <w:b/>
          <w:bCs/>
          <w:sz w:val="22"/>
          <w:szCs w:val="22"/>
        </w:rPr>
        <w:t xml:space="preserve">horario del vehículo es operativo o libre lugar de encierro del vehículo de esta administración </w:t>
      </w:r>
      <w:r>
        <w:rPr>
          <w:rFonts w:ascii="Palatino Linotype" w:eastAsia="Palatino Linotype" w:hAnsi="Palatino Linotype" w:cs="Palatino Linotype"/>
          <w:sz w:val="22"/>
          <w:szCs w:val="22"/>
        </w:rPr>
        <w:t xml:space="preserve">se puede entender que el Particular quiere saber el horario de uso asignado al vehículo oficial de esta administración, precisando si dicho vehículo opera bajo un régimen de disponibilidad administrativa (asignado a funciones oficiales en horarios específicos) o bien de libre disposición (sin restricción horaria), así como el lugar físico destinado al resguardo, encierro o guarda del citado vehículo, fuera del horario de uso, por lo que el Sujeto Obligado deberá de proporcionar dicha información del listado que proporcione en atención de los requerimientos del Particular, ello en virtud de que 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ya que los sujetos obligados únicamente están constreñidos a proporcionar la documentación que obre en sus archivos; por lo que, no están obligados a generar o elaborar documentos </w:t>
      </w:r>
      <w:r>
        <w:rPr>
          <w:rFonts w:ascii="Palatino Linotype" w:eastAsia="Palatino Linotype" w:hAnsi="Palatino Linotype" w:cs="Palatino Linotype"/>
          <w:i/>
          <w:iCs/>
          <w:sz w:val="22"/>
          <w:szCs w:val="22"/>
        </w:rPr>
        <w:t>Ad hoc</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Versión pública</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este Instituto considera que el Sujeto Obligado deberá proporcionar lo solicitado, en su caso, en versión pública;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w:t>
      </w:r>
      <w:r>
        <w:rPr>
          <w:rFonts w:ascii="Palatino Linotype" w:eastAsia="Palatino Linotype" w:hAnsi="Palatino Linotype" w:cs="Palatino Linotype"/>
          <w:sz w:val="22"/>
          <w:szCs w:val="22"/>
        </w:rPr>
        <w:lastRenderedPageBreak/>
        <w:t>clasificadas, indicando su contenido de manera genérica y fundando y motivando su clasificación.</w:t>
      </w: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 Además de que si dentro de la información que se ordena entregar se encuentran nombres de elementos operativos del área de seguridad deberá clasificarlos de acuerdo a las siguientes consideraciones; así resulta necesario traer a colación por analogía, el Criterio 06/09, emitido por el entonces Instituto Federal de Acceso a la Información y Protección de Datos, que establece lo siguiente:</w:t>
      </w:r>
    </w:p>
    <w:p w:rsidR="00EC6BD5" w:rsidRDefault="00EC6BD5">
      <w:pPr>
        <w:spacing w:line="360" w:lineRule="auto"/>
        <w:jc w:val="both"/>
        <w:rPr>
          <w:rFonts w:ascii="Palatino Linotype" w:eastAsia="Palatino Linotype" w:hAnsi="Palatino Linotype" w:cs="Palatino Linotype"/>
          <w:i/>
          <w:iCs/>
          <w:sz w:val="22"/>
          <w:szCs w:val="22"/>
        </w:rPr>
      </w:pPr>
    </w:p>
    <w:p w:rsidR="00EC6BD5" w:rsidRDefault="00CE61A9">
      <w:pPr>
        <w:tabs>
          <w:tab w:val="left" w:pos="4962"/>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“Nombres de servidores públicos dedicados a actividades en materia de seguridad, por excepción pueden considerarse información reservada.</w:t>
      </w:r>
      <w:r>
        <w:rPr>
          <w:rFonts w:ascii="Palatino Linotype" w:eastAsia="Palatino Linotype" w:hAnsi="Palatino Linotype" w:cs="Palatino Linotype"/>
          <w:i/>
          <w:iC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w:t>
      </w:r>
      <w:r>
        <w:rPr>
          <w:rFonts w:ascii="Palatino Linotype" w:eastAsia="Palatino Linotype" w:hAnsi="Palatino Linotype" w:cs="Palatino Linotype"/>
          <w:i/>
          <w:iCs/>
        </w:rPr>
        <w:lastRenderedPageBreak/>
        <w:t>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si bien por regla general los nombres de los trabajadores gubernamentales son información pública de oficio, existe una excepción relativa a </w:t>
      </w:r>
      <w:r>
        <w:rPr>
          <w:rFonts w:ascii="Palatino Linotype" w:eastAsia="Palatino Linotype" w:hAnsi="Palatino Linotype" w:cs="Palatino Linotype"/>
          <w:b/>
          <w:bCs/>
          <w:sz w:val="22"/>
          <w:szCs w:val="22"/>
        </w:rPr>
        <w:t>aquellos que realicen actividades operativas en materia de seguridad,</w:t>
      </w:r>
      <w:r>
        <w:rPr>
          <w:rFonts w:ascii="Palatino Linotype" w:eastAsia="Palatino Linotype" w:hAnsi="Palatino Linotype" w:cs="Palatino Linotype"/>
          <w:sz w:val="22"/>
          <w:szCs w:val="22"/>
        </w:rPr>
        <w:t xml:space="preserve"> como es el caso de los elementos operativos y la policía municipal.</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6, fracciones XI y XII de dicho ordenamiento jurídico, establece los siguientes conceptos: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rPr>
        <w:t xml:space="preserve">Instituciones Policiales: </w:t>
      </w:r>
      <w:r>
        <w:rPr>
          <w:rFonts w:ascii="Palatino Linotype" w:eastAsia="Palatino Linotype" w:hAnsi="Palatino Linotype" w:cs="Palatino Linotype"/>
          <w:color w:val="000000"/>
        </w:rPr>
        <w:t xml:space="preserve">Son los cuerpos de policía, de vigilancia y custodia de los establecimientos penitenciarios, detención preventiva, centros de arraigo y en general, </w:t>
      </w:r>
      <w:r>
        <w:rPr>
          <w:rFonts w:ascii="Palatino Linotype" w:eastAsia="Palatino Linotype" w:hAnsi="Palatino Linotype" w:cs="Palatino Linotype"/>
          <w:b/>
          <w:bCs/>
          <w:color w:val="000000"/>
        </w:rPr>
        <w:t>todas las dependencias encargadas de la seguridad pública a nivel</w:t>
      </w:r>
      <w:r>
        <w:rPr>
          <w:rFonts w:ascii="Palatino Linotype" w:eastAsia="Palatino Linotype" w:hAnsi="Palatino Linotype" w:cs="Palatino Linotype"/>
          <w:color w:val="000000"/>
        </w:rPr>
        <w:t xml:space="preserve"> estatal y </w:t>
      </w:r>
      <w:r>
        <w:rPr>
          <w:rFonts w:ascii="Palatino Linotype" w:eastAsia="Palatino Linotype" w:hAnsi="Palatino Linotype" w:cs="Palatino Linotype"/>
          <w:b/>
          <w:bCs/>
          <w:color w:val="000000"/>
        </w:rPr>
        <w:t>municipal.</w:t>
      </w:r>
    </w:p>
    <w:p w:rsidR="00EC6BD5" w:rsidRDefault="00EC6BD5">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EC6BD5" w:rsidRDefault="00CE61A9">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Instituciones de Seguridad Pública: </w:t>
      </w:r>
      <w:r>
        <w:rPr>
          <w:rFonts w:ascii="Palatino Linotype" w:eastAsia="Palatino Linotype" w:hAnsi="Palatino Linotype" w:cs="Palatino Linotype"/>
          <w:color w:val="000000"/>
        </w:rPr>
        <w:t xml:space="preserve">Instituciones Policiales, Procuración de Justicia, Sistema Penitenciario y </w:t>
      </w:r>
      <w:r>
        <w:rPr>
          <w:rFonts w:ascii="Palatino Linotype" w:eastAsia="Palatino Linotype" w:hAnsi="Palatino Linotype" w:cs="Palatino Linotype"/>
          <w:b/>
          <w:bCs/>
          <w:color w:val="000000"/>
        </w:rPr>
        <w:t xml:space="preserve">dependencias encargadas de la seguridad pública a nivel </w:t>
      </w:r>
      <w:r>
        <w:rPr>
          <w:rFonts w:ascii="Palatino Linotype" w:eastAsia="Palatino Linotype" w:hAnsi="Palatino Linotype" w:cs="Palatino Linotype"/>
          <w:color w:val="000000"/>
        </w:rPr>
        <w:t xml:space="preserve">estatal y </w:t>
      </w:r>
      <w:r>
        <w:rPr>
          <w:rFonts w:ascii="Palatino Linotype" w:eastAsia="Palatino Linotype" w:hAnsi="Palatino Linotype" w:cs="Palatino Linotype"/>
          <w:b/>
          <w:bCs/>
          <w:color w:val="000000"/>
        </w:rPr>
        <w:t>municipal.</w:t>
      </w:r>
    </w:p>
    <w:p w:rsidR="00EC6BD5" w:rsidRDefault="00EC6BD5">
      <w:pPr>
        <w:pBdr>
          <w:top w:val="nil"/>
          <w:left w:val="nil"/>
          <w:bottom w:val="nil"/>
          <w:right w:val="nil"/>
          <w:between w:val="nil"/>
        </w:pBdr>
        <w:ind w:left="720"/>
        <w:rPr>
          <w:rFonts w:ascii="Palatino Linotype" w:eastAsia="Palatino Linotype" w:hAnsi="Palatino Linotype" w:cs="Palatino Linotype"/>
          <w:b/>
          <w:bCs/>
          <w:color w:val="000000"/>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puede deducir que la Dirección de Seguridad Ciudadana, es una institución de seguridad pública, pues tiene como atribución principal resguardar el orden público y la paz social, la prevención de delitos y la inhibición de manifestaciones de conductas antisociales.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tabs>
          <w:tab w:val="left" w:pos="4962"/>
        </w:tabs>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el Instructivo de llenado del Formato “Personal de Seguridad Pública”, del Secretariado Ejecutivo del Sistema Nacional de Seguridad Pública (consultado en la liga electrónica </w:t>
      </w:r>
      <w:hyperlink r:id="rId10">
        <w:r>
          <w:rPr>
            <w:rFonts w:ascii="Palatino Linotype" w:eastAsia="Palatino Linotype" w:hAnsi="Palatino Linotype" w:cs="Palatino Linotype"/>
            <w:color w:val="0563C1"/>
            <w:sz w:val="22"/>
            <w:szCs w:val="22"/>
            <w:u w:val="single"/>
          </w:rPr>
          <w:t>http://secretariadoejecutivo.gob.mx/work/models/SecretariadoEjecutivo/Resource/328/1/images/instructivo_final_edo_fuerza(1).pdf</w:t>
        </w:r>
      </w:hyperlink>
      <w:r>
        <w:rPr>
          <w:rFonts w:ascii="Palatino Linotype" w:eastAsia="Palatino Linotype" w:hAnsi="Palatino Linotype" w:cs="Palatino Linotype"/>
          <w:sz w:val="22"/>
          <w:szCs w:val="22"/>
        </w:rPr>
        <w:t xml:space="preserve">), establece que los elementos operativos de seguridad pública, son aquellos que desempeñan funciones de campo (policiacas, especializadas o equivalentes y que no </w:t>
      </w:r>
      <w:r>
        <w:rPr>
          <w:rFonts w:ascii="Palatino Linotype" w:eastAsia="Palatino Linotype" w:hAnsi="Palatino Linotype" w:cs="Palatino Linotype"/>
          <w:b/>
          <w:bCs/>
          <w:sz w:val="22"/>
          <w:szCs w:val="22"/>
        </w:rPr>
        <w:t>desempeña funciones de mando</w:t>
      </w:r>
      <w:r>
        <w:rPr>
          <w:rFonts w:ascii="Palatino Linotype" w:eastAsia="Palatino Linotype" w:hAnsi="Palatino Linotype" w:cs="Palatino Linotype"/>
          <w:sz w:val="22"/>
          <w:szCs w:val="22"/>
        </w:rPr>
        <w:t xml:space="preserve">), entre los cuales, se encuentra </w:t>
      </w:r>
      <w:r>
        <w:rPr>
          <w:rFonts w:ascii="Palatino Linotype" w:eastAsia="Palatino Linotype" w:hAnsi="Palatino Linotype" w:cs="Palatino Linotype"/>
          <w:b/>
          <w:bCs/>
          <w:sz w:val="22"/>
          <w:szCs w:val="22"/>
        </w:rPr>
        <w:t>la Policía Municipal</w:t>
      </w:r>
      <w:r>
        <w:rPr>
          <w:rFonts w:ascii="Palatino Linotype" w:eastAsia="Palatino Linotype" w:hAnsi="Palatino Linotype" w:cs="Palatino Linotype"/>
          <w:sz w:val="22"/>
          <w:szCs w:val="22"/>
        </w:rPr>
        <w:t>.</w:t>
      </w:r>
    </w:p>
    <w:p w:rsidR="00EC6BD5" w:rsidRDefault="00EC6BD5">
      <w:pPr>
        <w:tabs>
          <w:tab w:val="left" w:pos="4962"/>
        </w:tabs>
        <w:spacing w:line="360" w:lineRule="auto"/>
        <w:ind w:right="-28"/>
        <w:jc w:val="both"/>
        <w:rPr>
          <w:rFonts w:ascii="Palatino Linotype" w:eastAsia="Palatino Linotype" w:hAnsi="Palatino Linotype" w:cs="Palatino Linotype"/>
          <w:sz w:val="22"/>
          <w:szCs w:val="22"/>
        </w:rPr>
      </w:pPr>
    </w:p>
    <w:p w:rsidR="00EC6BD5" w:rsidRDefault="00CE61A9">
      <w:pPr>
        <w:tabs>
          <w:tab w:val="left" w:pos="4962"/>
        </w:tabs>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w:t>
      </w:r>
      <w:r>
        <w:rPr>
          <w:rFonts w:ascii="Palatino Linotype" w:eastAsia="Palatino Linotype" w:hAnsi="Palatino Linotype" w:cs="Palatino Linotype"/>
          <w:sz w:val="22"/>
          <w:szCs w:val="22"/>
        </w:rPr>
        <w:lastRenderedPageBreak/>
        <w:t>tenga trabajadores a su cargo. De tales circunstancias, se puede observar que la Dirección de Seguridad Ciudadana, tiene dos clases de servidores públicos, por una parte, los operativos (policía municipal) y por otra, los administrativos, de apoyo y personal de mando, los cuales no realizan funciones operativas.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el particular, cabe traer a colación el artículo 141 de la Ley de Transparencia y Acceso a la Información Pública del Estado de México y Municipios, que establece que las causales </w:t>
      </w:r>
      <w:r>
        <w:rPr>
          <w:rFonts w:ascii="Palatino Linotype" w:eastAsia="Palatino Linotype" w:hAnsi="Palatino Linotype" w:cs="Palatino Linotype"/>
          <w:sz w:val="22"/>
          <w:szCs w:val="22"/>
        </w:rPr>
        <w:lastRenderedPageBreak/>
        <w:t>de reserva se deberán fundar y motivar, a través de la aplicación de la prueba de daño establecida en el artículo 129 de dicho ordenamiento, que se debe justificar de la siguiente manera:</w:t>
      </w:r>
    </w:p>
    <w:p w:rsidR="00EC6BD5" w:rsidRDefault="00EC6BD5">
      <w:pPr>
        <w:tabs>
          <w:tab w:val="left" w:pos="4962"/>
        </w:tabs>
        <w:spacing w:line="360" w:lineRule="auto"/>
        <w:jc w:val="both"/>
        <w:rPr>
          <w:rFonts w:ascii="Palatino Linotype" w:eastAsia="Palatino Linotype" w:hAnsi="Palatino Linotype" w:cs="Palatino Linotype"/>
          <w:sz w:val="22"/>
          <w:szCs w:val="22"/>
        </w:rPr>
      </w:pPr>
    </w:p>
    <w:p w:rsidR="00EC6BD5" w:rsidRDefault="00CE61A9">
      <w:pPr>
        <w:numPr>
          <w:ilvl w:val="0"/>
          <w:numId w:val="1"/>
        </w:num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divulgación de la información representa un riesgo real, demostrable e identificable de perjuicio significativo al interés público o a la seguridad nacional.</w:t>
      </w:r>
    </w:p>
    <w:p w:rsidR="00EC6BD5" w:rsidRDefault="00CE61A9">
      <w:pPr>
        <w:numPr>
          <w:ilvl w:val="0"/>
          <w:numId w:val="1"/>
        </w:num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riesgo de perjuicio supera el interés público general de que se difunda.</w:t>
      </w:r>
    </w:p>
    <w:p w:rsidR="00EC6BD5" w:rsidRDefault="00CE61A9">
      <w:pPr>
        <w:numPr>
          <w:ilvl w:val="0"/>
          <w:numId w:val="1"/>
        </w:num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Que la limitación se adecua al principio de proporcionalidad y representa el medio menos restrictivo disponible para evitar el perjuicio.</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Por tales consideraciones, </w:t>
      </w:r>
      <w:r>
        <w:rPr>
          <w:rFonts w:ascii="Palatino Linotype" w:eastAsia="Palatino Linotype" w:hAnsi="Palatino Linotype" w:cs="Palatino Linotype"/>
          <w:b/>
          <w:bCs/>
          <w:sz w:val="22"/>
          <w:szCs w:val="22"/>
        </w:rPr>
        <w:t xml:space="preserve">resulta procedente la reserva del nombre de los elementos operativos de la Dirección de Seguridad Ciudadana, en términos del artículo 140, fracción IV, de </w:t>
      </w:r>
      <w:proofErr w:type="spellStart"/>
      <w:r>
        <w:rPr>
          <w:rFonts w:ascii="Palatino Linotype" w:eastAsia="Palatino Linotype" w:hAnsi="Palatino Linotype" w:cs="Palatino Linotype"/>
          <w:b/>
          <w:bCs/>
          <w:sz w:val="22"/>
          <w:szCs w:val="22"/>
        </w:rPr>
        <w:t>de</w:t>
      </w:r>
      <w:proofErr w:type="spellEnd"/>
      <w:r>
        <w:rPr>
          <w:rFonts w:ascii="Palatino Linotype" w:eastAsia="Palatino Linotype" w:hAnsi="Palatino Linotype" w:cs="Palatino Linotype"/>
          <w:b/>
          <w:bCs/>
          <w:sz w:val="22"/>
          <w:szCs w:val="22"/>
        </w:rPr>
        <w:t xml:space="preserve"> la Ley de Transparencia y Acceso a la Información Pública del Estado de México y Municipios.</w:t>
      </w:r>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w:t>
      </w:r>
      <w:r>
        <w:rPr>
          <w:rFonts w:ascii="Palatino Linotype" w:eastAsia="Palatino Linotype" w:hAnsi="Palatino Linotype" w:cs="Palatino Linotype"/>
          <w:sz w:val="22"/>
          <w:szCs w:val="22"/>
        </w:rPr>
        <w:lastRenderedPageBreak/>
        <w:t>clasificar el nombre de los elementos operativos en materia de seguridad, y proporcionar sus remuneraciones, junto con su respectivo acuerdo de Clasificación.</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se advierten documentos que podrían contener la fotografía de servidores públicos, como puede ser la licencia para conducir, para lo cual, este Organismo Garante ha sostenido el siguiente criterio, por mayoría de votos de los Comisionados.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Fotografía de servidores públicos </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existen documentos que contienen la fotografía con los cuales se permite identificar que una persona que se acredita como trabajador gubernamental, realmente tiene </w:t>
      </w:r>
      <w:r>
        <w:rPr>
          <w:rFonts w:ascii="Palatino Linotype" w:eastAsia="Palatino Linotype" w:hAnsi="Palatino Linotype" w:cs="Palatino Linotype"/>
          <w:sz w:val="22"/>
          <w:szCs w:val="22"/>
        </w:rPr>
        <w:lastRenderedPageBreak/>
        <w:t>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w:t>
      </w:r>
      <w:r>
        <w:rPr>
          <w:rFonts w:ascii="Palatino Linotype" w:eastAsia="Palatino Linotype" w:hAnsi="Palatino Linotype" w:cs="Palatino Linotype"/>
          <w:sz w:val="22"/>
          <w:szCs w:val="22"/>
        </w:rPr>
        <w:lastRenderedPageBreak/>
        <w:t>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pStyle w:val="Ttulo2"/>
        <w:spacing w:before="0" w:after="0" w:line="360" w:lineRule="auto"/>
        <w:jc w:val="both"/>
        <w:rPr>
          <w:rFonts w:ascii="Palatino Linotype" w:eastAsia="Palatino Linotype" w:hAnsi="Palatino Linotype" w:cs="Palatino Linotype"/>
          <w:b/>
          <w:bCs/>
          <w:color w:val="000000"/>
          <w:sz w:val="22"/>
          <w:szCs w:val="22"/>
        </w:rPr>
      </w:pPr>
      <w:bookmarkStart w:id="30" w:name="_heading=h.4rpf65f867zz" w:colFirst="0" w:colLast="0"/>
      <w:bookmarkStart w:id="31" w:name="_Toc221201487"/>
      <w:bookmarkEnd w:id="30"/>
      <w:r>
        <w:rPr>
          <w:rFonts w:ascii="Palatino Linotype" w:eastAsia="Palatino Linotype" w:hAnsi="Palatino Linotype" w:cs="Palatino Linotype"/>
          <w:b/>
          <w:bCs/>
          <w:color w:val="000000"/>
          <w:sz w:val="22"/>
          <w:szCs w:val="22"/>
        </w:rPr>
        <w:t>SEXTO. Decisión</w:t>
      </w:r>
      <w:bookmarkEnd w:id="31"/>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bCs/>
          <w:sz w:val="22"/>
          <w:szCs w:val="22"/>
        </w:rPr>
        <w:t xml:space="preserve">MODIFICAR </w:t>
      </w:r>
      <w:r>
        <w:rPr>
          <w:rFonts w:ascii="Palatino Linotype" w:eastAsia="Palatino Linotype" w:hAnsi="Palatino Linotype" w:cs="Palatino Linotype"/>
          <w:sz w:val="22"/>
          <w:szCs w:val="22"/>
        </w:rPr>
        <w:t xml:space="preserve">las respuestas otorgadas por el Sujeto Obligado a las solicitudes de información </w:t>
      </w:r>
      <w:r>
        <w:rPr>
          <w:rFonts w:ascii="Palatino Linotype" w:eastAsia="Palatino Linotype" w:hAnsi="Palatino Linotype" w:cs="Palatino Linotype"/>
          <w:b/>
          <w:bCs/>
          <w:sz w:val="22"/>
          <w:szCs w:val="22"/>
        </w:rPr>
        <w:t>02901/TOLUCA/IP/2025 y 02900/TOLUCA/IP/2025</w:t>
      </w:r>
      <w:r>
        <w:rPr>
          <w:rFonts w:ascii="Palatino Linotype" w:eastAsia="Palatino Linotype" w:hAnsi="Palatino Linotype" w:cs="Palatino Linotype"/>
          <w:sz w:val="22"/>
          <w:szCs w:val="22"/>
        </w:rPr>
        <w:t xml:space="preserve">, referente a los recursos de revisión </w:t>
      </w:r>
      <w:r>
        <w:rPr>
          <w:rFonts w:ascii="Palatino Linotype" w:eastAsia="Palatino Linotype" w:hAnsi="Palatino Linotype" w:cs="Palatino Linotype"/>
          <w:b/>
          <w:bCs/>
          <w:sz w:val="22"/>
          <w:szCs w:val="22"/>
        </w:rPr>
        <w:t>07926/INFOEM/IP/RR/2025 y 07927/INFOEM/IP/RR/2025</w:t>
      </w:r>
      <w:r>
        <w:rPr>
          <w:rFonts w:ascii="Palatino Linotype" w:eastAsia="Palatino Linotype" w:hAnsi="Palatino Linotype" w:cs="Palatino Linotype"/>
          <w:sz w:val="22"/>
          <w:szCs w:val="22"/>
        </w:rPr>
        <w:t>, a efecto de que a efecto de que, entregue la información faltante.</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le hace del conocimiento al Particular, que, en el presente caso, se le concede parcialmente la razón, debido a que se le entregó información de manera incompleta, por lo que deberá hacer una búsqueda exhaustiva y razonable de la información y hacer entrega de la misma.</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rsidR="00EC6BD5" w:rsidRDefault="00CE61A9">
      <w:pPr>
        <w:pStyle w:val="Ttulo1"/>
        <w:spacing w:before="0" w:after="0" w:line="360" w:lineRule="auto"/>
        <w:jc w:val="center"/>
        <w:rPr>
          <w:rFonts w:ascii="Palatino Linotype" w:eastAsia="Palatino Linotype" w:hAnsi="Palatino Linotype" w:cs="Palatino Linotype"/>
          <w:b/>
          <w:bCs/>
          <w:color w:val="000000"/>
          <w:sz w:val="22"/>
          <w:szCs w:val="22"/>
        </w:rPr>
      </w:pPr>
      <w:bookmarkStart w:id="32" w:name="_heading=h.trl8t9fr4rcc" w:colFirst="0" w:colLast="0"/>
      <w:bookmarkStart w:id="33" w:name="_Toc221201488"/>
      <w:bookmarkEnd w:id="32"/>
      <w:r>
        <w:rPr>
          <w:rFonts w:ascii="Palatino Linotype" w:eastAsia="Palatino Linotype" w:hAnsi="Palatino Linotype" w:cs="Palatino Linotype"/>
          <w:b/>
          <w:bCs/>
          <w:color w:val="000000"/>
          <w:sz w:val="22"/>
          <w:szCs w:val="22"/>
        </w:rPr>
        <w:t>R E S U E L V E</w:t>
      </w:r>
      <w:bookmarkEnd w:id="33"/>
    </w:p>
    <w:p w:rsidR="00EC6BD5" w:rsidRDefault="00EC6BD5">
      <w:pPr>
        <w:spacing w:line="360" w:lineRule="auto"/>
        <w:ind w:right="-91"/>
        <w:jc w:val="both"/>
        <w:rPr>
          <w:rFonts w:ascii="Palatino Linotype" w:eastAsia="Palatino Linotype" w:hAnsi="Palatino Linotype" w:cs="Palatino Linotype"/>
          <w:b/>
          <w:bCs/>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PRIMERO. Se MODIFICAN </w:t>
      </w:r>
      <w:r>
        <w:rPr>
          <w:rFonts w:ascii="Palatino Linotype" w:eastAsia="Palatino Linotype" w:hAnsi="Palatino Linotype" w:cs="Palatino Linotype"/>
          <w:sz w:val="22"/>
          <w:szCs w:val="22"/>
        </w:rPr>
        <w:t xml:space="preserve">las respuestas entregadas por la Ayuntamiento de Toluca, a las solicitudes de información </w:t>
      </w:r>
      <w:r>
        <w:rPr>
          <w:rFonts w:ascii="Palatino Linotype" w:eastAsia="Palatino Linotype" w:hAnsi="Palatino Linotype" w:cs="Palatino Linotype"/>
          <w:b/>
          <w:bCs/>
          <w:sz w:val="22"/>
          <w:szCs w:val="22"/>
        </w:rPr>
        <w:t>02901/TOLUCA/IP/2025 y 02900/TOLUCA/IP/2025</w:t>
      </w:r>
      <w:r>
        <w:rPr>
          <w:rFonts w:ascii="Palatino Linotype" w:eastAsia="Palatino Linotype" w:hAnsi="Palatino Linotype" w:cs="Palatino Linotype"/>
          <w:sz w:val="22"/>
          <w:szCs w:val="22"/>
        </w:rPr>
        <w:t xml:space="preserve">, por resultar </w:t>
      </w:r>
      <w:r>
        <w:rPr>
          <w:rFonts w:ascii="Palatino Linotype" w:eastAsia="Palatino Linotype" w:hAnsi="Palatino Linotype" w:cs="Palatino Linotype"/>
          <w:b/>
          <w:bCs/>
          <w:sz w:val="22"/>
          <w:szCs w:val="22"/>
        </w:rPr>
        <w:t>PARCIALMENTE FUNDADAS</w:t>
      </w:r>
      <w:r>
        <w:rPr>
          <w:rFonts w:ascii="Palatino Linotype" w:eastAsia="Palatino Linotype" w:hAnsi="Palatino Linotype" w:cs="Palatino Linotype"/>
          <w:sz w:val="22"/>
          <w:szCs w:val="22"/>
        </w:rPr>
        <w:t xml:space="preserve"> las razones o motivos de inconformidad hechos valer por la persona Recurrente, en términos de los considerandos </w:t>
      </w:r>
      <w:r>
        <w:rPr>
          <w:rFonts w:ascii="Palatino Linotype" w:eastAsia="Palatino Linotype" w:hAnsi="Palatino Linotype" w:cs="Palatino Linotype"/>
          <w:b/>
          <w:bCs/>
          <w:sz w:val="22"/>
          <w:szCs w:val="22"/>
        </w:rPr>
        <w:t>QUINTO y SEXTO</w:t>
      </w:r>
      <w:r>
        <w:rPr>
          <w:rFonts w:ascii="Palatino Linotype" w:eastAsia="Palatino Linotype" w:hAnsi="Palatino Linotype" w:cs="Palatino Linotype"/>
          <w:sz w:val="22"/>
          <w:szCs w:val="22"/>
        </w:rPr>
        <w:t xml:space="preserve"> de la presente Resolución.</w:t>
      </w:r>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b/>
          <w:bCs/>
          <w:color w:val="000000"/>
          <w:sz w:val="22"/>
          <w:szCs w:val="22"/>
        </w:rPr>
        <w:t>ORDENA</w:t>
      </w:r>
      <w:r>
        <w:rPr>
          <w:rFonts w:ascii="Palatino Linotype" w:eastAsia="Palatino Linotype" w:hAnsi="Palatino Linotype" w:cs="Palatino Linotype"/>
          <w:color w:val="000000"/>
          <w:sz w:val="22"/>
          <w:szCs w:val="22"/>
        </w:rPr>
        <w:t xml:space="preserve"> al Sujeto Obligado, a efecto de que previa búsqueda exhaustiva y razonable, entregue a través del SAIMEX, en su caso en versión pública, los siguientes documentos:</w:t>
      </w:r>
    </w:p>
    <w:p w:rsidR="00EC6BD5" w:rsidRDefault="00EC6BD5">
      <w:pPr>
        <w:spacing w:line="360" w:lineRule="auto"/>
        <w:ind w:right="142"/>
        <w:jc w:val="both"/>
        <w:rPr>
          <w:rFonts w:ascii="Palatino Linotype" w:eastAsia="Palatino Linotype" w:hAnsi="Palatino Linotype" w:cs="Palatino Linotype"/>
          <w:color w:val="000000"/>
          <w:sz w:val="22"/>
          <w:szCs w:val="22"/>
        </w:rPr>
      </w:pPr>
    </w:p>
    <w:p w:rsidR="00EC6BD5" w:rsidRDefault="00CE61A9">
      <w:pPr>
        <w:numPr>
          <w:ilvl w:val="0"/>
          <w:numId w:val="8"/>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Del padrón vehicular remitido en respuesta:</w:t>
      </w:r>
    </w:p>
    <w:p w:rsidR="00EC6BD5" w:rsidRDefault="00CE61A9">
      <w:pPr>
        <w:numPr>
          <w:ilvl w:val="1"/>
          <w:numId w:val="8"/>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Asignación de gasolina por vehículo o por área, del diecinueve de mayo de dos mil veinticuatro al diecinueve de mayo de dos mil veinticinco.</w:t>
      </w:r>
    </w:p>
    <w:p w:rsidR="00EC6BD5" w:rsidRDefault="00CE61A9">
      <w:pPr>
        <w:numPr>
          <w:ilvl w:val="1"/>
          <w:numId w:val="8"/>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Formato de resguardo al diecinueve de mayo de dos mil veinticinco.</w:t>
      </w:r>
    </w:p>
    <w:p w:rsidR="00EC6BD5" w:rsidRDefault="00CE61A9">
      <w:pPr>
        <w:numPr>
          <w:ilvl w:val="1"/>
          <w:numId w:val="8"/>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Licencia de manejo al diecinueve de mayo de dos mil veinticinco.</w:t>
      </w:r>
    </w:p>
    <w:p w:rsidR="00EC6BD5" w:rsidRDefault="00CE61A9">
      <w:pPr>
        <w:numPr>
          <w:ilvl w:val="1"/>
          <w:numId w:val="8"/>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Factura o arrendamiento de los vehículos al diecinueve de mayo de dos mil veinticinco.</w:t>
      </w:r>
    </w:p>
    <w:p w:rsidR="00EC6BD5" w:rsidRDefault="00CE61A9">
      <w:pPr>
        <w:numPr>
          <w:ilvl w:val="1"/>
          <w:numId w:val="8"/>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Lugar de resguardado del vehículo el estacionamiento donde se debe resguardar al diecinueve de mayo de dos mil veinticinco.</w:t>
      </w:r>
    </w:p>
    <w:p w:rsidR="00EC6BD5" w:rsidRDefault="00CE61A9">
      <w:pPr>
        <w:numPr>
          <w:ilvl w:val="1"/>
          <w:numId w:val="8"/>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Horario qué se puede utilizar cada vehículo al diecinueve de mayo de dos mil veinticinco.</w:t>
      </w:r>
    </w:p>
    <w:p w:rsidR="00EC6BD5" w:rsidRDefault="00CE61A9">
      <w:pPr>
        <w:numPr>
          <w:ilvl w:val="1"/>
          <w:numId w:val="8"/>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 son vehículos operativos o de asignación a un servidor público, al diecinueve de mayo de dos mil veinticinco.</w:t>
      </w:r>
    </w:p>
    <w:p w:rsidR="00EC6BD5" w:rsidRDefault="00CE61A9">
      <w:pPr>
        <w:numPr>
          <w:ilvl w:val="1"/>
          <w:numId w:val="8"/>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Evidencia fotográfica de los vehículos al diecinueve de mayo de dos mil veinticinco.</w:t>
      </w:r>
    </w:p>
    <w:p w:rsidR="00EC6BD5" w:rsidRDefault="00EC6BD5">
      <w:pPr>
        <w:spacing w:line="360" w:lineRule="auto"/>
        <w:ind w:right="142"/>
        <w:jc w:val="both"/>
        <w:rPr>
          <w:rFonts w:ascii="Palatino Linotype" w:eastAsia="Palatino Linotype" w:hAnsi="Palatino Linotype" w:cs="Palatino Linotype"/>
          <w:color w:val="000000"/>
          <w:sz w:val="22"/>
          <w:szCs w:val="22"/>
        </w:rPr>
      </w:pPr>
    </w:p>
    <w:p w:rsidR="00EC6BD5" w:rsidRDefault="00CE61A9">
      <w:pPr>
        <w:numPr>
          <w:ilvl w:val="0"/>
          <w:numId w:val="8"/>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Del padrón vehicular faltante, entre lo que se advierten vehículos utilizados para actividades de seguridad pública:</w:t>
      </w:r>
    </w:p>
    <w:p w:rsidR="00EC6BD5" w:rsidRDefault="00CE61A9">
      <w:pPr>
        <w:numPr>
          <w:ilvl w:val="0"/>
          <w:numId w:val="9"/>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Asignación por unidad administrativa al diecinueve de mayo de dos mil veinticinco</w:t>
      </w:r>
    </w:p>
    <w:p w:rsidR="00EC6BD5" w:rsidRDefault="00CE61A9">
      <w:pPr>
        <w:numPr>
          <w:ilvl w:val="0"/>
          <w:numId w:val="9"/>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Marca, </w:t>
      </w:r>
      <w:proofErr w:type="spellStart"/>
      <w:r>
        <w:rPr>
          <w:rFonts w:ascii="Palatino Linotype" w:eastAsia="Palatino Linotype" w:hAnsi="Palatino Linotype" w:cs="Palatino Linotype"/>
          <w:color w:val="000000"/>
          <w:sz w:val="22"/>
          <w:szCs w:val="22"/>
        </w:rPr>
        <w:t>submarca</w:t>
      </w:r>
      <w:proofErr w:type="spellEnd"/>
      <w:r>
        <w:rPr>
          <w:rFonts w:ascii="Palatino Linotype" w:eastAsia="Palatino Linotype" w:hAnsi="Palatino Linotype" w:cs="Palatino Linotype"/>
          <w:color w:val="000000"/>
          <w:sz w:val="22"/>
          <w:szCs w:val="22"/>
        </w:rPr>
        <w:t>, modelo, año, color y placas.</w:t>
      </w:r>
    </w:p>
    <w:p w:rsidR="00EC6BD5" w:rsidRDefault="00CE61A9">
      <w:pPr>
        <w:numPr>
          <w:ilvl w:val="0"/>
          <w:numId w:val="9"/>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Asignación de gasolina por vehículo o por área, del diecinueve de mayo de dos mil veinticuatro al diecinueve de mayo de dos mil veinticinco.</w:t>
      </w:r>
    </w:p>
    <w:p w:rsidR="00EC6BD5" w:rsidRDefault="00CE61A9">
      <w:pPr>
        <w:numPr>
          <w:ilvl w:val="0"/>
          <w:numId w:val="9"/>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nombre del servidor público qué se le asignó al diecinueve de mayo de dos mil veinticinco.</w:t>
      </w:r>
    </w:p>
    <w:p w:rsidR="00EC6BD5" w:rsidRDefault="00CE61A9">
      <w:pPr>
        <w:numPr>
          <w:ilvl w:val="0"/>
          <w:numId w:val="9"/>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formato de resguardo al diecinueve de mayo de dos mil veinticinco.</w:t>
      </w:r>
    </w:p>
    <w:p w:rsidR="00EC6BD5" w:rsidRDefault="00CE61A9">
      <w:pPr>
        <w:numPr>
          <w:ilvl w:val="0"/>
          <w:numId w:val="9"/>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licencia de manejo relacionada al vehículo al diecinueve de mayo de dos mil veinticinco.</w:t>
      </w:r>
    </w:p>
    <w:p w:rsidR="00EC6BD5" w:rsidRDefault="00CE61A9">
      <w:pPr>
        <w:numPr>
          <w:ilvl w:val="0"/>
          <w:numId w:val="9"/>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factura o arrendamiento del vehículo el contrato al diecinueve de mayo de dos mil veinticinco.</w:t>
      </w:r>
    </w:p>
    <w:p w:rsidR="00EC6BD5" w:rsidRDefault="00CE61A9">
      <w:pPr>
        <w:numPr>
          <w:ilvl w:val="0"/>
          <w:numId w:val="9"/>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Lugar de resguardado del vehículo el estacionamiento donde se debe resguardar al diecinueve de mayo de dos mil veinticinco.</w:t>
      </w:r>
    </w:p>
    <w:p w:rsidR="00EC6BD5" w:rsidRDefault="00CE61A9">
      <w:pPr>
        <w:numPr>
          <w:ilvl w:val="0"/>
          <w:numId w:val="9"/>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Horario qué se puede utilizar el vehículo, al diecinueve de mayo de dos mil veinticinco.</w:t>
      </w:r>
    </w:p>
    <w:p w:rsidR="00EC6BD5" w:rsidRDefault="00CE61A9">
      <w:pPr>
        <w:numPr>
          <w:ilvl w:val="0"/>
          <w:numId w:val="9"/>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 son vehículos operativos o de asignación a un servidor público, al diecinueve de mayo de dos mil veinticinco.</w:t>
      </w:r>
    </w:p>
    <w:p w:rsidR="00EC6BD5" w:rsidRDefault="00CE61A9">
      <w:pPr>
        <w:numPr>
          <w:ilvl w:val="0"/>
          <w:numId w:val="9"/>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Evidencia fotográfica de los vehículos al diecinueve de mayo de dos mil veinticinco.</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Junto con las versiones públicas, se deberá entregar el Acuerdo del Comité de Transparencia mediante el cual se funde y motive la eliminación de la información o documentos clasificados, en términos de los artículos 49, fracción VIII y 132 de la Ley de Transparencia y Acceso a la Información Pública del Estado de México y Municipios.</w:t>
      </w:r>
    </w:p>
    <w:p w:rsidR="00EC6BD5" w:rsidRDefault="00EC6BD5">
      <w:pPr>
        <w:spacing w:line="360" w:lineRule="auto"/>
        <w:jc w:val="both"/>
        <w:rPr>
          <w:rFonts w:ascii="Palatino Linotype" w:eastAsia="Palatino Linotype" w:hAnsi="Palatino Linotype" w:cs="Palatino Linotype"/>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el caso de que la información que se ordena en los numerales 1, incisos b), e), f), g) y h), y 2, incisos e), h), i), j) y k), no obre en sus archivos por no haber sido generada, bastará con hacerlo del conocimiento al Particular de manera precisa y clara.</w:t>
      </w:r>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NOTIFÍQUESE POR SAIMEX </w:t>
      </w:r>
      <w:r>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rsidR="00EC6BD5" w:rsidRDefault="00EC6BD5">
      <w:pPr>
        <w:spacing w:line="360" w:lineRule="auto"/>
        <w:ind w:right="-28"/>
        <w:jc w:val="both"/>
        <w:rPr>
          <w:rFonts w:ascii="Palatino Linotype" w:eastAsia="Palatino Linotype" w:hAnsi="Palatino Linotype" w:cs="Palatino Linotype"/>
          <w:sz w:val="22"/>
          <w:szCs w:val="22"/>
        </w:rPr>
      </w:pPr>
    </w:p>
    <w:p w:rsidR="00EC6BD5" w:rsidRDefault="00CE61A9">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De conformidad con el artículo 198 de la Ley de la materia, de considerarlo procedente, el Sujeto Obligado de manera fundada y motivada, podrá solicitar una ampliación de plazo para el cumplimiento de la presente resolución.</w:t>
      </w:r>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CUARTO. NOTIFÍQUESE POR SAIMEX </w:t>
      </w:r>
      <w:r>
        <w:rPr>
          <w:rFonts w:ascii="Palatino Linotype" w:eastAsia="Palatino Linotype" w:hAnsi="Palatino Linotype" w:cs="Palatino Linotype"/>
          <w:sz w:val="22"/>
          <w:szCs w:val="22"/>
        </w:rPr>
        <w:t xml:space="preserve">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rsidR="00EC6BD5" w:rsidRDefault="00EC6BD5">
      <w:pPr>
        <w:spacing w:line="360" w:lineRule="auto"/>
        <w:jc w:val="both"/>
        <w:rPr>
          <w:rFonts w:ascii="Palatino Linotype" w:eastAsia="Palatino Linotype" w:hAnsi="Palatino Linotype" w:cs="Palatino Linotype"/>
          <w:b/>
          <w:bCs/>
          <w:sz w:val="22"/>
          <w:szCs w:val="22"/>
        </w:rPr>
      </w:pPr>
    </w:p>
    <w:p w:rsidR="00EC6BD5" w:rsidRDefault="00CE61A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w:t>
      </w:r>
      <w:r w:rsidR="0071253A">
        <w:rPr>
          <w:rFonts w:ascii="Palatino Linotype" w:eastAsia="Palatino Linotype" w:hAnsi="Palatino Linotype" w:cs="Palatino Linotype"/>
          <w:sz w:val="22"/>
          <w:szCs w:val="22"/>
        </w:rPr>
        <w:t xml:space="preserve">ARON CRISTINA MORALES MARTÍNEZ CON </w:t>
      </w:r>
      <w:r>
        <w:rPr>
          <w:rFonts w:ascii="Palatino Linotype" w:eastAsia="Palatino Linotype" w:hAnsi="Palatino Linotype" w:cs="Palatino Linotype"/>
          <w:sz w:val="22"/>
          <w:szCs w:val="22"/>
        </w:rPr>
        <w:t>VOTO PARTICULAR</w:t>
      </w:r>
      <w:r w:rsidR="0071253A">
        <w:rPr>
          <w:rFonts w:ascii="Palatino Linotype" w:eastAsia="Palatino Linotype" w:hAnsi="Palatino Linotype" w:cs="Palatino Linotype"/>
          <w:sz w:val="22"/>
          <w:szCs w:val="22"/>
        </w:rPr>
        <w:t xml:space="preserve">, LUIS GUSTAVO PARRA NORIEGA  CON VOTO PARTICULAR Y GUADALUPE RAMÍREZ PEÑA CON </w:t>
      </w:r>
      <w:r>
        <w:rPr>
          <w:rFonts w:ascii="Palatino Linotype" w:eastAsia="Palatino Linotype" w:hAnsi="Palatino Linotype" w:cs="Palatino Linotype"/>
          <w:sz w:val="22"/>
          <w:szCs w:val="22"/>
        </w:rPr>
        <w:t>VOTO PARTICULAR</w:t>
      </w:r>
      <w:bookmarkStart w:id="34" w:name="_GoBack"/>
      <w:bookmarkEnd w:id="34"/>
      <w:r>
        <w:rPr>
          <w:rFonts w:ascii="Palatino Linotype" w:eastAsia="Palatino Linotype" w:hAnsi="Palatino Linotype" w:cs="Palatino Linotype"/>
          <w:sz w:val="22"/>
          <w:szCs w:val="22"/>
        </w:rPr>
        <w:t>, EN LA CUARTA SESIÓN ORDINARIA, CELEBRADA EL CINCO DE FEBRERO DE DOS MIL VEINTISÉIS, ANTE EL SECRETARIO TÉCNICO DEL PLENO, ALEXIS TAPIA RAMÍREZ.</w:t>
      </w: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rPr>
          <w:rFonts w:ascii="Palatino Linotype" w:eastAsia="Palatino Linotype" w:hAnsi="Palatino Linotype" w:cs="Palatino Linotype"/>
        </w:rPr>
      </w:pPr>
    </w:p>
    <w:p w:rsidR="00EC6BD5" w:rsidRDefault="00EC6BD5">
      <w:pPr>
        <w:spacing w:line="360" w:lineRule="auto"/>
      </w:pPr>
    </w:p>
    <w:p w:rsidR="00EC6BD5" w:rsidRDefault="00EC6BD5">
      <w:pPr>
        <w:spacing w:line="360" w:lineRule="auto"/>
      </w:pPr>
    </w:p>
    <w:p w:rsidR="00EC6BD5" w:rsidRDefault="00EC6BD5">
      <w:pPr>
        <w:spacing w:line="360" w:lineRule="auto"/>
      </w:pPr>
    </w:p>
    <w:p w:rsidR="00EC6BD5" w:rsidRDefault="00EC6BD5">
      <w:pPr>
        <w:spacing w:line="360" w:lineRule="auto"/>
      </w:pPr>
    </w:p>
    <w:p w:rsidR="00EC6BD5" w:rsidRDefault="00EC6BD5">
      <w:pPr>
        <w:spacing w:line="360" w:lineRule="auto"/>
      </w:pPr>
    </w:p>
    <w:p w:rsidR="00EC6BD5" w:rsidRDefault="00EC6BD5">
      <w:pPr>
        <w:spacing w:line="360" w:lineRule="auto"/>
      </w:pPr>
    </w:p>
    <w:p w:rsidR="00EC6BD5" w:rsidRDefault="00EC6BD5">
      <w:pPr>
        <w:spacing w:line="360" w:lineRule="auto"/>
      </w:pPr>
    </w:p>
    <w:p w:rsidR="00EC6BD5" w:rsidRDefault="00EC6BD5"/>
    <w:p w:rsidR="00EC6BD5" w:rsidRDefault="00EC6BD5"/>
    <w:sectPr w:rsidR="00EC6BD5">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758" w:rsidRDefault="008F3758">
      <w:r>
        <w:separator/>
      </w:r>
    </w:p>
  </w:endnote>
  <w:endnote w:type="continuationSeparator" w:id="0">
    <w:p w:rsidR="008F3758" w:rsidRDefault="008F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2F304EED-7F3D-4C9F-93CF-CD52A8170FC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5483AA9-9B73-4E62-81AA-96D644A4C969}"/>
  </w:font>
  <w:font w:name="Calibri Light">
    <w:panose1 w:val="020F0302020204030204"/>
    <w:charset w:val="00"/>
    <w:family w:val="swiss"/>
    <w:pitch w:val="variable"/>
    <w:sig w:usb0="E4002EFF" w:usb1="C200247B" w:usb2="00000009" w:usb3="00000000" w:csb0="000001FF" w:csb1="00000000"/>
    <w:embedRegular r:id="rId3" w:fontKey="{ECB8510F-E96A-4D0D-ADB9-3E75B170E3A1}"/>
  </w:font>
  <w:font w:name="Palatino Linotype">
    <w:panose1 w:val="02040502050505030304"/>
    <w:charset w:val="00"/>
    <w:family w:val="roman"/>
    <w:pitch w:val="variable"/>
    <w:sig w:usb0="E0000287" w:usb1="40000013" w:usb2="00000000" w:usb3="00000000" w:csb0="0000019F" w:csb1="00000000"/>
    <w:embedRegular r:id="rId4" w:fontKey="{8FBDC2F5-BDEE-4881-9426-C68ED51D2F1B}"/>
    <w:embedBold r:id="rId5" w:fontKey="{272C3F54-6324-49C5-83F2-1B93895609BF}"/>
    <w:embedItalic r:id="rId6" w:fontKey="{0E33D8E2-B058-4E3B-8EC5-0761E90B6DF6}"/>
    <w:embedBoldItalic r:id="rId7" w:fontKey="{3974E9EE-5D60-4E54-97DD-D936B0F94117}"/>
  </w:font>
  <w:font w:name="Georgia">
    <w:panose1 w:val="02040502050405020303"/>
    <w:charset w:val="00"/>
    <w:family w:val="roman"/>
    <w:pitch w:val="variable"/>
    <w:sig w:usb0="00000287" w:usb1="00000000" w:usb2="00000000" w:usb3="00000000" w:csb0="0000009F" w:csb1="00000000"/>
    <w:embedItalic r:id="rId8" w:fontKey="{92C359D6-11AF-46FB-B070-9C72BDF07A3E}"/>
  </w:font>
  <w:font w:name="Garamond">
    <w:panose1 w:val="02020404030301010803"/>
    <w:charset w:val="00"/>
    <w:family w:val="roman"/>
    <w:pitch w:val="variable"/>
    <w:sig w:usb0="00000287" w:usb1="00000000" w:usb2="00000000" w:usb3="00000000" w:csb0="0000009F" w:csb1="00000000"/>
    <w:embedRegular r:id="rId9" w:fontKey="{70771F73-005E-47F0-AEBC-4DBE4D2D75A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BD5" w:rsidRDefault="00CE61A9">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sidR="00B01123">
      <w:rPr>
        <w:rFonts w:ascii="Palatino Linotype" w:eastAsia="Palatino Linotype" w:hAnsi="Palatino Linotype" w:cs="Palatino Linotype"/>
        <w:b/>
        <w:bCs/>
        <w:color w:val="000000"/>
        <w:sz w:val="22"/>
        <w:szCs w:val="22"/>
      </w:rPr>
      <w:fldChar w:fldCharType="separate"/>
    </w:r>
    <w:r w:rsidR="00B01123">
      <w:rPr>
        <w:rFonts w:ascii="Palatino Linotype" w:eastAsia="Palatino Linotype" w:hAnsi="Palatino Linotype" w:cs="Palatino Linotype"/>
        <w:b/>
        <w:bCs/>
        <w:noProof/>
        <w:color w:val="000000"/>
        <w:sz w:val="22"/>
        <w:szCs w:val="22"/>
      </w:rPr>
      <w:t>43</w:t>
    </w:r>
    <w:r>
      <w:rPr>
        <w:rFonts w:ascii="Palatino Linotype" w:eastAsia="Palatino Linotype" w:hAnsi="Palatino Linotype" w:cs="Palatino Linotype"/>
        <w:b/>
        <w:bCs/>
        <w:color w:val="000000"/>
        <w:sz w:val="22"/>
        <w:szCs w:val="22"/>
      </w:rPr>
      <w:fldChar w:fldCharType="end"/>
    </w:r>
  </w:p>
  <w:p w:rsidR="00EC6BD5" w:rsidRDefault="00EC6BD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BD5" w:rsidRDefault="00CE61A9">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B01123">
      <w:rPr>
        <w:rFonts w:ascii="Palatino Linotype" w:eastAsia="Palatino Linotype" w:hAnsi="Palatino Linotype" w:cs="Palatino Linotype"/>
        <w:b/>
        <w:bCs/>
        <w:noProof/>
        <w:color w:val="000000"/>
        <w:sz w:val="22"/>
        <w:szCs w:val="22"/>
      </w:rPr>
      <w:t>42</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B01123">
      <w:rPr>
        <w:rFonts w:ascii="Palatino Linotype" w:eastAsia="Palatino Linotype" w:hAnsi="Palatino Linotype" w:cs="Palatino Linotype"/>
        <w:b/>
        <w:bCs/>
        <w:noProof/>
        <w:color w:val="000000"/>
        <w:sz w:val="22"/>
        <w:szCs w:val="22"/>
      </w:rPr>
      <w:t>43</w:t>
    </w:r>
    <w:r>
      <w:rPr>
        <w:rFonts w:ascii="Palatino Linotype" w:eastAsia="Palatino Linotype" w:hAnsi="Palatino Linotype" w:cs="Palatino Linotype"/>
        <w:b/>
        <w:bCs/>
        <w:color w:val="000000"/>
        <w:sz w:val="22"/>
        <w:szCs w:val="22"/>
      </w:rPr>
      <w:fldChar w:fldCharType="end"/>
    </w:r>
  </w:p>
  <w:p w:rsidR="00EC6BD5" w:rsidRDefault="00EC6BD5">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BD5" w:rsidRDefault="00CE61A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B01123">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B01123">
      <w:rPr>
        <w:rFonts w:ascii="Palatino Linotype" w:eastAsia="Palatino Linotype" w:hAnsi="Palatino Linotype" w:cs="Palatino Linotype"/>
        <w:b/>
        <w:bCs/>
        <w:noProof/>
        <w:color w:val="000000"/>
        <w:sz w:val="22"/>
        <w:szCs w:val="22"/>
      </w:rPr>
      <w:t>43</w:t>
    </w:r>
    <w:r>
      <w:rPr>
        <w:rFonts w:ascii="Palatino Linotype" w:eastAsia="Palatino Linotype" w:hAnsi="Palatino Linotype" w:cs="Palatino Linotype"/>
        <w:b/>
        <w:bCs/>
        <w:color w:val="000000"/>
        <w:sz w:val="22"/>
        <w:szCs w:val="22"/>
      </w:rPr>
      <w:fldChar w:fldCharType="end"/>
    </w:r>
  </w:p>
  <w:p w:rsidR="00EC6BD5" w:rsidRDefault="00EC6BD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758" w:rsidRDefault="008F3758">
      <w:r>
        <w:separator/>
      </w:r>
    </w:p>
  </w:footnote>
  <w:footnote w:type="continuationSeparator" w:id="0">
    <w:p w:rsidR="008F3758" w:rsidRDefault="008F37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BD5" w:rsidRDefault="00EC6BD5">
    <w:pPr>
      <w:widowControl w:val="0"/>
      <w:pBdr>
        <w:top w:val="nil"/>
        <w:left w:val="nil"/>
        <w:bottom w:val="nil"/>
        <w:right w:val="nil"/>
        <w:between w:val="nil"/>
      </w:pBdr>
      <w:spacing w:line="276" w:lineRule="auto"/>
    </w:pPr>
  </w:p>
  <w:tbl>
    <w:tblPr>
      <w:tblStyle w:val="a0"/>
      <w:tblW w:w="9705" w:type="dxa"/>
      <w:tblInd w:w="0" w:type="dxa"/>
      <w:tblLayout w:type="fixed"/>
      <w:tblLook w:val="0400" w:firstRow="0" w:lastRow="0" w:firstColumn="0" w:lastColumn="0" w:noHBand="0" w:noVBand="1"/>
    </w:tblPr>
    <w:tblGrid>
      <w:gridCol w:w="2972"/>
      <w:gridCol w:w="6733"/>
    </w:tblGrid>
    <w:tr w:rsidR="00EC6BD5">
      <w:trPr>
        <w:trHeight w:val="1435"/>
      </w:trPr>
      <w:tc>
        <w:tcPr>
          <w:tcW w:w="0" w:type="auto"/>
        </w:tcPr>
        <w:p w:rsidR="00EC6BD5" w:rsidRDefault="00EC6BD5">
          <w:pPr>
            <w:tabs>
              <w:tab w:val="right" w:pos="4273"/>
            </w:tabs>
            <w:spacing w:line="256" w:lineRule="auto"/>
            <w:rPr>
              <w:rFonts w:ascii="Garamond" w:eastAsia="Garamond" w:hAnsi="Garamond" w:cs="Garamond"/>
              <w:sz w:val="22"/>
              <w:szCs w:val="22"/>
            </w:rPr>
          </w:pPr>
        </w:p>
      </w:tc>
      <w:tc>
        <w:tcPr>
          <w:tcW w:w="0" w:type="auto"/>
        </w:tcPr>
        <w:p w:rsidR="00EC6BD5" w:rsidRDefault="00EC6BD5">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1"/>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EC6BD5">
            <w:trPr>
              <w:trHeight w:val="144"/>
            </w:trPr>
            <w:tc>
              <w:tcPr>
                <w:tcW w:w="0" w:type="auto"/>
              </w:tcPr>
              <w:p w:rsidR="00EC6BD5" w:rsidRDefault="00CE61A9">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0" w:type="auto"/>
              </w:tcPr>
              <w:p w:rsidR="00EC6BD5" w:rsidRDefault="00CE61A9">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EC6BD5">
            <w:trPr>
              <w:trHeight w:val="283"/>
            </w:trPr>
            <w:tc>
              <w:tcPr>
                <w:tcW w:w="0" w:type="auto"/>
              </w:tcPr>
              <w:p w:rsidR="00EC6BD5" w:rsidRDefault="00CE61A9">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0" w:type="auto"/>
              </w:tcPr>
              <w:p w:rsidR="00EC6BD5" w:rsidRDefault="00CE61A9">
                <w:pPr>
                  <w:tabs>
                    <w:tab w:val="left" w:pos="2834"/>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Ayuntamiento de San Antonio la Isla</w:t>
                </w:r>
              </w:p>
            </w:tc>
          </w:tr>
          <w:tr w:rsidR="00EC6BD5">
            <w:trPr>
              <w:trHeight w:val="283"/>
            </w:trPr>
            <w:tc>
              <w:tcPr>
                <w:tcW w:w="0" w:type="auto"/>
              </w:tcPr>
              <w:p w:rsidR="00EC6BD5" w:rsidRDefault="00CE61A9">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0" w:type="auto"/>
              </w:tcPr>
              <w:p w:rsidR="00EC6BD5" w:rsidRDefault="00CE61A9">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rsidR="00EC6BD5" w:rsidRDefault="00EC6BD5">
                <w:pPr>
                  <w:tabs>
                    <w:tab w:val="right" w:pos="8838"/>
                  </w:tabs>
                  <w:ind w:left="-74" w:right="-105"/>
                  <w:jc w:val="both"/>
                  <w:rPr>
                    <w:rFonts w:ascii="Palatino Linotype" w:eastAsia="Palatino Linotype" w:hAnsi="Palatino Linotype" w:cs="Palatino Linotype"/>
                    <w:b/>
                    <w:bCs/>
                    <w:sz w:val="22"/>
                    <w:szCs w:val="22"/>
                  </w:rPr>
                </w:pPr>
              </w:p>
            </w:tc>
          </w:tr>
        </w:tbl>
        <w:p w:rsidR="00EC6BD5" w:rsidRDefault="00EC6BD5">
          <w:pPr>
            <w:tabs>
              <w:tab w:val="right" w:pos="8838"/>
            </w:tabs>
            <w:spacing w:line="256" w:lineRule="auto"/>
            <w:ind w:left="-28"/>
            <w:jc w:val="both"/>
            <w:rPr>
              <w:rFonts w:ascii="Arial" w:eastAsia="Arial" w:hAnsi="Arial" w:cs="Arial"/>
              <w:b/>
              <w:bCs/>
              <w:sz w:val="22"/>
              <w:szCs w:val="22"/>
            </w:rPr>
          </w:pPr>
        </w:p>
      </w:tc>
    </w:tr>
  </w:tbl>
  <w:p w:rsidR="00EC6BD5" w:rsidRDefault="00CE61A9">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simplePos x="0" y="0"/>
          <wp:positionH relativeFrom="margin">
            <wp:posOffset>-1381124</wp:posOffset>
          </wp:positionH>
          <wp:positionV relativeFrom="margin">
            <wp:posOffset>-1611629</wp:posOffset>
          </wp:positionV>
          <wp:extent cx="5612130" cy="7308215"/>
          <wp:effectExtent l="0" t="0" r="0" b="0"/>
          <wp:wrapNone/>
          <wp:docPr id="89679545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BD5" w:rsidRDefault="00EC6BD5">
    <w:pPr>
      <w:widowControl w:val="0"/>
      <w:pBdr>
        <w:top w:val="nil"/>
        <w:left w:val="nil"/>
        <w:bottom w:val="nil"/>
        <w:right w:val="nil"/>
        <w:between w:val="nil"/>
      </w:pBdr>
      <w:spacing w:line="276" w:lineRule="auto"/>
      <w:rPr>
        <w:color w:val="000000"/>
      </w:rPr>
    </w:pPr>
  </w:p>
  <w:tbl>
    <w:tblPr>
      <w:tblStyle w:val="a2"/>
      <w:tblW w:w="9356" w:type="dxa"/>
      <w:tblInd w:w="0" w:type="dxa"/>
      <w:tblLayout w:type="fixed"/>
      <w:tblLook w:val="0400" w:firstRow="0" w:lastRow="0" w:firstColumn="0" w:lastColumn="0" w:noHBand="0" w:noVBand="1"/>
    </w:tblPr>
    <w:tblGrid>
      <w:gridCol w:w="1985"/>
      <w:gridCol w:w="7371"/>
    </w:tblGrid>
    <w:tr w:rsidR="00EC6BD5">
      <w:trPr>
        <w:trHeight w:val="1435"/>
      </w:trPr>
      <w:tc>
        <w:tcPr>
          <w:tcW w:w="1985" w:type="dxa"/>
        </w:tcPr>
        <w:p w:rsidR="00EC6BD5" w:rsidRDefault="00EC6BD5">
          <w:pPr>
            <w:tabs>
              <w:tab w:val="right" w:pos="4273"/>
            </w:tabs>
            <w:spacing w:line="256" w:lineRule="auto"/>
            <w:rPr>
              <w:rFonts w:ascii="Garamond" w:eastAsia="Garamond" w:hAnsi="Garamond" w:cs="Garamond"/>
              <w:sz w:val="22"/>
              <w:szCs w:val="22"/>
            </w:rPr>
          </w:pPr>
        </w:p>
      </w:tc>
      <w:tc>
        <w:tcPr>
          <w:tcW w:w="7371" w:type="dxa"/>
        </w:tcPr>
        <w:p w:rsidR="00EC6BD5" w:rsidRDefault="00EC6BD5">
          <w:pPr>
            <w:rPr>
              <w:sz w:val="28"/>
              <w:szCs w:val="28"/>
            </w:rPr>
          </w:pPr>
        </w:p>
        <w:tbl>
          <w:tblPr>
            <w:tblStyle w:val="a3"/>
            <w:tblW w:w="934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41"/>
            <w:gridCol w:w="4247"/>
            <w:gridCol w:w="2254"/>
          </w:tblGrid>
          <w:tr w:rsidR="00EC6BD5">
            <w:trPr>
              <w:trHeight w:val="194"/>
            </w:trPr>
            <w:tc>
              <w:tcPr>
                <w:tcW w:w="2841" w:type="dxa"/>
              </w:tcPr>
              <w:p w:rsidR="00EC6BD5" w:rsidRDefault="00CE61A9">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4247" w:type="dxa"/>
              </w:tcPr>
              <w:p w:rsidR="00EC6BD5" w:rsidRDefault="00CE61A9">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07926/INFOEM/IP/RR/2025 y acumulado</w:t>
                </w:r>
              </w:p>
            </w:tc>
            <w:tc>
              <w:tcPr>
                <w:tcW w:w="2254" w:type="dxa"/>
              </w:tcPr>
              <w:p w:rsidR="00EC6BD5" w:rsidRDefault="00EC6BD5">
                <w:pPr>
                  <w:tabs>
                    <w:tab w:val="right" w:pos="8838"/>
                  </w:tabs>
                  <w:ind w:left="-114" w:right="-105"/>
                  <w:jc w:val="both"/>
                  <w:rPr>
                    <w:rFonts w:ascii="Palatino Linotype" w:eastAsia="Palatino Linotype" w:hAnsi="Palatino Linotype" w:cs="Palatino Linotype"/>
                    <w:sz w:val="22"/>
                    <w:szCs w:val="22"/>
                  </w:rPr>
                </w:pPr>
              </w:p>
            </w:tc>
          </w:tr>
          <w:tr w:rsidR="00EC6BD5">
            <w:trPr>
              <w:trHeight w:val="88"/>
            </w:trPr>
            <w:tc>
              <w:tcPr>
                <w:tcW w:w="2841" w:type="dxa"/>
              </w:tcPr>
              <w:p w:rsidR="00EC6BD5" w:rsidRDefault="00CE61A9">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4247" w:type="dxa"/>
              </w:tcPr>
              <w:p w:rsidR="00EC6BD5" w:rsidRDefault="00CE61A9">
                <w:pPr>
                  <w:tabs>
                    <w:tab w:val="left" w:pos="2834"/>
                    <w:tab w:val="right" w:pos="8838"/>
                  </w:tabs>
                  <w:ind w:left="-114"/>
                  <w:jc w:val="both"/>
                  <w:rPr>
                    <w:rFonts w:ascii="Palatino Linotype" w:eastAsia="Palatino Linotype" w:hAnsi="Palatino Linotype" w:cs="Palatino Linotype"/>
                    <w:b/>
                    <w:bCs/>
                    <w:sz w:val="32"/>
                    <w:szCs w:val="32"/>
                  </w:rPr>
                </w:pPr>
                <w:r>
                  <w:rPr>
                    <w:rFonts w:ascii="Palatino Linotype" w:eastAsia="Palatino Linotype" w:hAnsi="Palatino Linotype" w:cs="Palatino Linotype"/>
                    <w:sz w:val="22"/>
                    <w:szCs w:val="22"/>
                  </w:rPr>
                  <w:t>Ayuntamiento de Toluca</w:t>
                </w:r>
              </w:p>
            </w:tc>
            <w:tc>
              <w:tcPr>
                <w:tcW w:w="2254" w:type="dxa"/>
              </w:tcPr>
              <w:p w:rsidR="00EC6BD5" w:rsidRDefault="00EC6BD5">
                <w:pPr>
                  <w:tabs>
                    <w:tab w:val="left" w:pos="2834"/>
                    <w:tab w:val="right" w:pos="8838"/>
                  </w:tabs>
                  <w:ind w:left="-114"/>
                  <w:jc w:val="both"/>
                  <w:rPr>
                    <w:rFonts w:ascii="Palatino Linotype" w:eastAsia="Palatino Linotype" w:hAnsi="Palatino Linotype" w:cs="Palatino Linotype"/>
                    <w:sz w:val="22"/>
                    <w:szCs w:val="22"/>
                  </w:rPr>
                </w:pPr>
              </w:p>
            </w:tc>
          </w:tr>
          <w:tr w:rsidR="00EC6BD5">
            <w:trPr>
              <w:trHeight w:val="383"/>
            </w:trPr>
            <w:tc>
              <w:tcPr>
                <w:tcW w:w="2841" w:type="dxa"/>
              </w:tcPr>
              <w:p w:rsidR="00EC6BD5" w:rsidRDefault="00CE61A9">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4247" w:type="dxa"/>
              </w:tcPr>
              <w:p w:rsidR="00EC6BD5" w:rsidRDefault="00CE61A9">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254" w:type="dxa"/>
              </w:tcPr>
              <w:p w:rsidR="00EC6BD5" w:rsidRDefault="00EC6BD5">
                <w:pPr>
                  <w:tabs>
                    <w:tab w:val="right" w:pos="8838"/>
                  </w:tabs>
                  <w:ind w:left="-114" w:right="-105"/>
                  <w:jc w:val="both"/>
                  <w:rPr>
                    <w:rFonts w:ascii="Palatino Linotype" w:eastAsia="Palatino Linotype" w:hAnsi="Palatino Linotype" w:cs="Palatino Linotype"/>
                    <w:sz w:val="22"/>
                    <w:szCs w:val="22"/>
                  </w:rPr>
                </w:pPr>
              </w:p>
            </w:tc>
          </w:tr>
        </w:tbl>
        <w:p w:rsidR="00EC6BD5" w:rsidRDefault="00EC6BD5">
          <w:pPr>
            <w:tabs>
              <w:tab w:val="right" w:pos="8838"/>
            </w:tabs>
            <w:spacing w:line="256" w:lineRule="auto"/>
            <w:ind w:left="-28"/>
            <w:jc w:val="both"/>
            <w:rPr>
              <w:rFonts w:ascii="Arial" w:eastAsia="Arial" w:hAnsi="Arial" w:cs="Arial"/>
              <w:b/>
              <w:bCs/>
              <w:sz w:val="22"/>
              <w:szCs w:val="22"/>
            </w:rPr>
          </w:pPr>
        </w:p>
      </w:tc>
    </w:tr>
  </w:tbl>
  <w:p w:rsidR="00EC6BD5" w:rsidRDefault="00CE61A9">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simplePos x="0" y="0"/>
          <wp:positionH relativeFrom="margin">
            <wp:posOffset>-1153159</wp:posOffset>
          </wp:positionH>
          <wp:positionV relativeFrom="margin">
            <wp:posOffset>-1539239</wp:posOffset>
          </wp:positionV>
          <wp:extent cx="7835900" cy="10203815"/>
          <wp:effectExtent l="0" t="0" r="0" b="0"/>
          <wp:wrapNone/>
          <wp:docPr id="8967954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BD5" w:rsidRDefault="00EC6BD5">
    <w:pPr>
      <w:widowControl w:val="0"/>
      <w:pBdr>
        <w:top w:val="nil"/>
        <w:left w:val="nil"/>
        <w:bottom w:val="nil"/>
        <w:right w:val="nil"/>
        <w:between w:val="nil"/>
      </w:pBdr>
      <w:spacing w:line="276" w:lineRule="auto"/>
      <w:rPr>
        <w:color w:val="000000"/>
      </w:rPr>
    </w:pPr>
  </w:p>
  <w:tbl>
    <w:tblPr>
      <w:tblStyle w:val="a4"/>
      <w:tblW w:w="9214" w:type="dxa"/>
      <w:tblInd w:w="0" w:type="dxa"/>
      <w:tblLayout w:type="fixed"/>
      <w:tblLook w:val="0400" w:firstRow="0" w:lastRow="0" w:firstColumn="0" w:lastColumn="0" w:noHBand="0" w:noVBand="1"/>
    </w:tblPr>
    <w:tblGrid>
      <w:gridCol w:w="1560"/>
      <w:gridCol w:w="7654"/>
    </w:tblGrid>
    <w:tr w:rsidR="00EC6BD5">
      <w:trPr>
        <w:trHeight w:val="1435"/>
      </w:trPr>
      <w:tc>
        <w:tcPr>
          <w:tcW w:w="1560" w:type="dxa"/>
        </w:tcPr>
        <w:p w:rsidR="00EC6BD5" w:rsidRDefault="00EC6BD5">
          <w:pPr>
            <w:tabs>
              <w:tab w:val="right" w:pos="4273"/>
            </w:tabs>
            <w:spacing w:line="256" w:lineRule="auto"/>
            <w:rPr>
              <w:rFonts w:ascii="Garamond" w:eastAsia="Garamond" w:hAnsi="Garamond" w:cs="Garamond"/>
              <w:sz w:val="22"/>
              <w:szCs w:val="22"/>
            </w:rPr>
          </w:pPr>
        </w:p>
      </w:tc>
      <w:tc>
        <w:tcPr>
          <w:tcW w:w="7654" w:type="dxa"/>
        </w:tcPr>
        <w:p w:rsidR="00EC6BD5" w:rsidRDefault="00EC6BD5">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5"/>
            <w:tblW w:w="8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18"/>
            <w:gridCol w:w="4261"/>
            <w:gridCol w:w="452"/>
          </w:tblGrid>
          <w:tr w:rsidR="00EC6BD5">
            <w:trPr>
              <w:gridAfter w:val="1"/>
              <w:wAfter w:w="452" w:type="dxa"/>
              <w:trHeight w:val="132"/>
            </w:trPr>
            <w:tc>
              <w:tcPr>
                <w:tcW w:w="3818" w:type="dxa"/>
              </w:tcPr>
              <w:p w:rsidR="00EC6BD5" w:rsidRDefault="00CE61A9">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4261" w:type="dxa"/>
              </w:tcPr>
              <w:p w:rsidR="00EC6BD5" w:rsidRDefault="00CE61A9">
                <w:pPr>
                  <w:tabs>
                    <w:tab w:val="right" w:pos="8838"/>
                  </w:tabs>
                  <w:ind w:left="-74" w:right="71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07926/INFOEM/IP/RR/2025 y acumulado</w:t>
                </w:r>
              </w:p>
            </w:tc>
          </w:tr>
          <w:tr w:rsidR="00EC6BD5">
            <w:trPr>
              <w:gridAfter w:val="1"/>
              <w:wAfter w:w="452" w:type="dxa"/>
              <w:trHeight w:val="132"/>
            </w:trPr>
            <w:tc>
              <w:tcPr>
                <w:tcW w:w="3818" w:type="dxa"/>
              </w:tcPr>
              <w:p w:rsidR="00EC6BD5" w:rsidRDefault="00CE61A9">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Recurrente:</w:t>
                </w:r>
              </w:p>
            </w:tc>
            <w:tc>
              <w:tcPr>
                <w:tcW w:w="4261" w:type="dxa"/>
              </w:tcPr>
              <w:p w:rsidR="00EC6BD5" w:rsidRDefault="00EC6BD5">
                <w:pPr>
                  <w:tabs>
                    <w:tab w:val="left" w:pos="3122"/>
                    <w:tab w:val="right" w:pos="8838"/>
                  </w:tabs>
                  <w:ind w:left="-74" w:right="-105"/>
                  <w:jc w:val="both"/>
                  <w:rPr>
                    <w:rFonts w:ascii="Palatino Linotype" w:eastAsia="Palatino Linotype" w:hAnsi="Palatino Linotype" w:cs="Palatino Linotype"/>
                    <w:sz w:val="22"/>
                    <w:szCs w:val="22"/>
                  </w:rPr>
                </w:pPr>
              </w:p>
            </w:tc>
          </w:tr>
          <w:tr w:rsidR="00EC6BD5">
            <w:trPr>
              <w:gridAfter w:val="1"/>
              <w:wAfter w:w="452" w:type="dxa"/>
              <w:trHeight w:val="261"/>
            </w:trPr>
            <w:tc>
              <w:tcPr>
                <w:tcW w:w="3818" w:type="dxa"/>
              </w:tcPr>
              <w:p w:rsidR="00EC6BD5" w:rsidRDefault="00CE61A9">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4261" w:type="dxa"/>
              </w:tcPr>
              <w:p w:rsidR="00EC6BD5" w:rsidRDefault="00CE61A9">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Toluca</w:t>
                </w:r>
              </w:p>
            </w:tc>
          </w:tr>
          <w:tr w:rsidR="00EC6BD5">
            <w:trPr>
              <w:trHeight w:val="261"/>
            </w:trPr>
            <w:tc>
              <w:tcPr>
                <w:tcW w:w="3818" w:type="dxa"/>
              </w:tcPr>
              <w:p w:rsidR="00EC6BD5" w:rsidRDefault="00CE61A9">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4713" w:type="dxa"/>
                <w:gridSpan w:val="2"/>
              </w:tcPr>
              <w:p w:rsidR="00EC6BD5" w:rsidRDefault="00CE61A9">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EC6BD5" w:rsidRDefault="00EC6BD5">
          <w:pPr>
            <w:tabs>
              <w:tab w:val="right" w:pos="8838"/>
            </w:tabs>
            <w:spacing w:line="256" w:lineRule="auto"/>
            <w:ind w:left="-28"/>
            <w:jc w:val="both"/>
            <w:rPr>
              <w:rFonts w:ascii="Arial" w:eastAsia="Arial" w:hAnsi="Arial" w:cs="Arial"/>
              <w:b/>
              <w:bCs/>
              <w:sz w:val="22"/>
              <w:szCs w:val="22"/>
            </w:rPr>
          </w:pPr>
        </w:p>
      </w:tc>
    </w:tr>
  </w:tbl>
  <w:p w:rsidR="00EC6BD5" w:rsidRDefault="008F3758">
    <w:pPr>
      <w:pBdr>
        <w:top w:val="nil"/>
        <w:left w:val="nil"/>
        <w:bottom w:val="nil"/>
        <w:right w:val="nil"/>
        <w:between w:val="nil"/>
      </w:pBdr>
      <w:tabs>
        <w:tab w:val="center" w:pos="4419"/>
        <w:tab w:val="right" w:pos="8838"/>
      </w:tabs>
      <w:rPr>
        <w:color w:val="000000"/>
      </w:rPr>
    </w:pPr>
    <w:r>
      <w:rPr>
        <w:rFonts w:ascii="Garamond" w:eastAsia="Garamond" w:hAnsi="Garamond" w:cs="Garamond"/>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5.05pt;margin-top:-133.35pt;width:663.5pt;height:12in;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07E41"/>
    <w:multiLevelType w:val="multilevel"/>
    <w:tmpl w:val="8A9E42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DC37EC"/>
    <w:multiLevelType w:val="multilevel"/>
    <w:tmpl w:val="199CFF38"/>
    <w:lvl w:ilvl="0">
      <w:start w:val="1"/>
      <w:numFmt w:val="decimal"/>
      <w:lvlText w:val="%1."/>
      <w:lvlJc w:val="left"/>
      <w:pPr>
        <w:ind w:left="720" w:hanging="360"/>
      </w:pPr>
      <w:rPr>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0D78A3"/>
    <w:multiLevelType w:val="multilevel"/>
    <w:tmpl w:val="AC249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526641"/>
    <w:multiLevelType w:val="multilevel"/>
    <w:tmpl w:val="3BB61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35F2773"/>
    <w:multiLevelType w:val="multilevel"/>
    <w:tmpl w:val="4A3A185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55F273A8"/>
    <w:multiLevelType w:val="multilevel"/>
    <w:tmpl w:val="A150EECC"/>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FE2F25"/>
    <w:multiLevelType w:val="multilevel"/>
    <w:tmpl w:val="A746CA7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63F910EB"/>
    <w:multiLevelType w:val="multilevel"/>
    <w:tmpl w:val="8646B530"/>
    <w:lvl w:ilvl="0">
      <w:start w:val="1"/>
      <w:numFmt w:val="decimal"/>
      <w:lvlText w:val="%1."/>
      <w:lvlJc w:val="left"/>
      <w:pPr>
        <w:ind w:left="720" w:hanging="360"/>
      </w:pPr>
      <w:rPr>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174D1D"/>
    <w:multiLevelType w:val="multilevel"/>
    <w:tmpl w:val="3E34D78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5"/>
  </w:num>
  <w:num w:numId="2">
    <w:abstractNumId w:val="7"/>
  </w:num>
  <w:num w:numId="3">
    <w:abstractNumId w:val="4"/>
  </w:num>
  <w:num w:numId="4">
    <w:abstractNumId w:val="1"/>
  </w:num>
  <w:num w:numId="5">
    <w:abstractNumId w:val="8"/>
  </w:num>
  <w:num w:numId="6">
    <w:abstractNumId w:val="3"/>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BD5"/>
    <w:rsid w:val="004D5D8C"/>
    <w:rsid w:val="0071253A"/>
    <w:rsid w:val="008F3758"/>
    <w:rsid w:val="00B01123"/>
    <w:rsid w:val="00CE61A9"/>
    <w:rsid w:val="00DC12C4"/>
    <w:rsid w:val="00DF63B6"/>
    <w:rsid w:val="00EC6B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3A92B8C-1C86-4CB2-8CE2-9D6980413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Calibri" w:eastAsia="Calibri" w:hAnsi="Calibri" w:cs="Calibri"/>
      <w:color w:val="2E75B5"/>
      <w:sz w:val="40"/>
      <w:szCs w:val="40"/>
    </w:rPr>
  </w:style>
  <w:style w:type="paragraph" w:styleId="Ttulo2">
    <w:name w:val="heading 2"/>
    <w:basedOn w:val="Normal"/>
    <w:next w:val="Normal"/>
    <w:pPr>
      <w:keepNext/>
      <w:keepLines/>
      <w:spacing w:before="160" w:after="80"/>
      <w:outlineLvl w:val="1"/>
    </w:pPr>
    <w:rPr>
      <w:rFonts w:ascii="Calibri" w:eastAsia="Calibri" w:hAnsi="Calibri" w:cs="Calibri"/>
      <w:color w:val="2E75B5"/>
      <w:sz w:val="32"/>
      <w:szCs w:val="32"/>
    </w:rPr>
  </w:style>
  <w:style w:type="paragraph" w:styleId="Ttulo3">
    <w:name w:val="heading 3"/>
    <w:basedOn w:val="Normal"/>
    <w:next w:val="Normal"/>
    <w:pPr>
      <w:keepNext/>
      <w:keepLines/>
      <w:spacing w:before="40"/>
      <w:outlineLvl w:val="2"/>
    </w:pPr>
    <w:rPr>
      <w:rFonts w:ascii="Calibri" w:eastAsia="Calibri" w:hAnsi="Calibri" w:cs="Calibri"/>
      <w:color w:val="1E4D78"/>
      <w:sz w:val="24"/>
      <w:szCs w:val="24"/>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473E86"/>
    <w:rPr>
      <w:rFonts w:asciiTheme="majorHAnsi" w:eastAsiaTheme="majorEastAsia" w:hAnsiTheme="majorHAnsi" w:cstheme="majorBidi"/>
      <w:color w:val="2E74B5" w:themeColor="accent1" w:themeShade="BF"/>
      <w:sz w:val="40"/>
      <w:szCs w:val="40"/>
      <w:lang w:eastAsia="es-ES"/>
    </w:rPr>
  </w:style>
  <w:style w:type="character" w:customStyle="1" w:styleId="Ttulo2Car">
    <w:name w:val="Título 2 Car"/>
    <w:basedOn w:val="Fuentedeprrafopredeter"/>
    <w:uiPriority w:val="9"/>
    <w:rsid w:val="00473E86"/>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3E8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73E86"/>
    <w:rPr>
      <w:rFonts w:ascii="Times New Roman" w:eastAsia="Times New Roman" w:hAnsi="Times New Roman" w:cs="Times New Roman"/>
      <w:sz w:val="20"/>
      <w:szCs w:val="20"/>
      <w:lang w:eastAsia="es-ES"/>
    </w:rPr>
  </w:style>
  <w:style w:type="table" w:styleId="Tablaconcuadrcula">
    <w:name w:val="Table Grid"/>
    <w:basedOn w:val="Tablanormal"/>
    <w:uiPriority w:val="39"/>
    <w:rsid w:val="00473E8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73E86"/>
    <w:pPr>
      <w:tabs>
        <w:tab w:val="center" w:pos="4419"/>
        <w:tab w:val="right" w:pos="8838"/>
      </w:tabs>
    </w:pPr>
  </w:style>
  <w:style w:type="character" w:customStyle="1" w:styleId="EncabezadoCar">
    <w:name w:val="Encabezado Car"/>
    <w:basedOn w:val="Fuentedeprrafopredeter"/>
    <w:link w:val="Encabezado"/>
    <w:uiPriority w:val="99"/>
    <w:rsid w:val="00473E86"/>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473E86"/>
    <w:pPr>
      <w:tabs>
        <w:tab w:val="center" w:pos="4419"/>
        <w:tab w:val="right" w:pos="8838"/>
      </w:tabs>
    </w:pPr>
  </w:style>
  <w:style w:type="character" w:customStyle="1" w:styleId="PiedepginaCar">
    <w:name w:val="Pie de página Car"/>
    <w:basedOn w:val="Fuentedeprrafopredeter"/>
    <w:link w:val="Piedepgina"/>
    <w:uiPriority w:val="99"/>
    <w:rsid w:val="00473E86"/>
    <w:rPr>
      <w:rFonts w:ascii="Times New Roman" w:eastAsia="Times New Roman" w:hAnsi="Times New Roman" w:cs="Times New Roman"/>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473E86"/>
    <w:rPr>
      <w:color w:val="0563C1" w:themeColor="hyperlink"/>
      <w:u w:val="single"/>
    </w:rPr>
  </w:style>
  <w:style w:type="paragraph" w:styleId="TtulodeTDC">
    <w:name w:val="TOC Heading"/>
    <w:next w:val="Normal"/>
    <w:uiPriority w:val="39"/>
    <w:unhideWhenUsed/>
    <w:qFormat/>
    <w:rsid w:val="00473E86"/>
    <w:pPr>
      <w:spacing w:before="240"/>
    </w:pPr>
    <w:rPr>
      <w:sz w:val="32"/>
      <w:szCs w:val="32"/>
    </w:rPr>
  </w:style>
  <w:style w:type="paragraph" w:styleId="TDC2">
    <w:name w:val="toc 2"/>
    <w:basedOn w:val="Normal"/>
    <w:next w:val="Normal"/>
    <w:autoRedefine/>
    <w:uiPriority w:val="39"/>
    <w:unhideWhenUsed/>
    <w:rsid w:val="00473E86"/>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473E86"/>
    <w:pPr>
      <w:spacing w:after="100" w:line="259" w:lineRule="auto"/>
    </w:pPr>
    <w:rPr>
      <w:rFonts w:asciiTheme="minorHAnsi" w:eastAsiaTheme="minorEastAsia" w:hAnsiTheme="minorHAnsi"/>
      <w:sz w:val="22"/>
      <w:szCs w:val="22"/>
    </w:rPr>
  </w:style>
  <w:style w:type="character" w:customStyle="1" w:styleId="Ttulo3Car">
    <w:name w:val="Título 3 Car"/>
    <w:basedOn w:val="Fuentedeprrafopredeter"/>
    <w:uiPriority w:val="9"/>
    <w:rsid w:val="00DC3DC1"/>
    <w:rPr>
      <w:rFonts w:asciiTheme="majorHAnsi" w:eastAsiaTheme="majorEastAsia" w:hAnsiTheme="majorHAnsi" w:cstheme="majorBidi"/>
      <w:color w:val="1F4D78" w:themeColor="accent1" w:themeShade="7F"/>
      <w:sz w:val="24"/>
      <w:szCs w:val="24"/>
      <w:lang w:eastAsia="es-ES"/>
    </w:rPr>
  </w:style>
  <w:style w:type="paragraph" w:styleId="TDC3">
    <w:name w:val="toc 3"/>
    <w:basedOn w:val="Normal"/>
    <w:next w:val="Normal"/>
    <w:autoRedefine/>
    <w:uiPriority w:val="39"/>
    <w:unhideWhenUsed/>
    <w:rsid w:val="00DC3DC1"/>
    <w:pPr>
      <w:spacing w:after="100"/>
      <w:ind w:left="400"/>
    </w:pPr>
  </w:style>
  <w:style w:type="paragraph" w:customStyle="1" w:styleId="Default">
    <w:name w:val="Default"/>
    <w:rsid w:val="00874ED2"/>
    <w:pPr>
      <w:autoSpaceDE w:val="0"/>
      <w:autoSpaceDN w:val="0"/>
      <w:adjustRightInd w:val="0"/>
    </w:pPr>
    <w:rPr>
      <w:rFonts w:ascii="Palatino Linotype" w:hAnsi="Palatino Linotype" w:cs="Palatino Linotype"/>
      <w:color w:val="000000"/>
      <w:sz w:val="24"/>
      <w:szCs w:val="24"/>
    </w:rPr>
  </w:style>
  <w:style w:type="character" w:customStyle="1" w:styleId="UnresolvedMention">
    <w:name w:val="Unresolved Mention"/>
    <w:basedOn w:val="Fuentedeprrafopredeter"/>
    <w:uiPriority w:val="99"/>
    <w:semiHidden/>
    <w:unhideWhenUsed/>
    <w:rsid w:val="002601A5"/>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ecretariadoejecutivo.gob.mx/work/models/SecretariadoEjecutivo/Resource/328/1/images/instructivo_final_edo_fuerza(1).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DWN30/4HADCLkBSwX1XPrGzDkw==">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730D33-7009-4D49-9B6C-888ACA123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10199</Words>
  <Characters>56097</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66164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INFOEM500</dc:creator>
  <cp:lastModifiedBy>USUARIO</cp:lastModifiedBy>
  <cp:revision>3</cp:revision>
  <cp:lastPrinted>2026-02-09T15:48:00Z</cp:lastPrinted>
  <dcterms:created xsi:type="dcterms:W3CDTF">2026-02-09T15:47:00Z</dcterms:created>
  <dcterms:modified xsi:type="dcterms:W3CDTF">2026-02-09T15:48:00Z</dcterms:modified>
</cp:coreProperties>
</file>