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AB0" w:rsidRDefault="00C255A6">
      <w:pPr>
        <w:tabs>
          <w:tab w:val="left" w:pos="346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R</w:t>
      </w:r>
      <w:bookmarkStart w:id="0" w:name="_GoBack"/>
      <w:bookmarkEnd w:id="0"/>
      <w:r>
        <w:rPr>
          <w:rFonts w:ascii="Palatino Linotype" w:eastAsia="Palatino Linotype" w:hAnsi="Palatino Linotype" w:cs="Palatino Linotype"/>
        </w:rPr>
        <w:t xml:space="preserve">esolución del Pleno del Instituto de Transparencia, Acceso a la Información Pública y Protección de Datos Personales del Estado de México y Municipios, con domicilio en Metepec, Estado de México; </w:t>
      </w:r>
      <w:r w:rsidRPr="001F07DA">
        <w:rPr>
          <w:rFonts w:ascii="Palatino Linotype" w:eastAsia="Palatino Linotype" w:hAnsi="Palatino Linotype" w:cs="Palatino Linotype"/>
          <w:b/>
        </w:rPr>
        <w:t>de fecha veinti</w:t>
      </w:r>
      <w:r w:rsidRPr="001F07DA">
        <w:rPr>
          <w:rFonts w:ascii="Palatino Linotype" w:eastAsia="Palatino Linotype" w:hAnsi="Palatino Linotype" w:cs="Palatino Linotype"/>
          <w:b/>
          <w:color w:val="000000"/>
        </w:rPr>
        <w:t>uno</w:t>
      </w:r>
      <w:r w:rsidR="001F07DA" w:rsidRPr="001F07DA">
        <w:rPr>
          <w:rFonts w:ascii="Palatino Linotype" w:eastAsia="Palatino Linotype" w:hAnsi="Palatino Linotype" w:cs="Palatino Linotype"/>
          <w:b/>
          <w:color w:val="000000"/>
        </w:rPr>
        <w:t xml:space="preserve"> (21)</w:t>
      </w:r>
      <w:r w:rsidRPr="001F07DA">
        <w:rPr>
          <w:rFonts w:ascii="Palatino Linotype" w:eastAsia="Palatino Linotype" w:hAnsi="Palatino Linotype" w:cs="Palatino Linotype"/>
          <w:b/>
          <w:color w:val="000000"/>
        </w:rPr>
        <w:t xml:space="preserve"> de enero de dos mil veintiséis</w:t>
      </w:r>
      <w:r>
        <w:rPr>
          <w:rFonts w:ascii="Palatino Linotype" w:eastAsia="Palatino Linotype" w:hAnsi="Palatino Linotype" w:cs="Palatino Linotype"/>
          <w:color w:val="000000"/>
        </w:rPr>
        <w:t>.</w:t>
      </w:r>
    </w:p>
    <w:p w:rsidR="001F4AB0" w:rsidRDefault="001F4AB0">
      <w:pPr>
        <w:spacing w:line="360" w:lineRule="auto"/>
        <w:jc w:val="both"/>
        <w:rPr>
          <w:rFonts w:ascii="Palatino Linotype" w:eastAsia="Palatino Linotype" w:hAnsi="Palatino Linotype" w:cs="Palatino Linotype"/>
          <w:b/>
          <w:bCs/>
        </w:rPr>
      </w:pPr>
    </w:p>
    <w:p w:rsidR="001F4AB0" w:rsidRDefault="00C255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bCs/>
        </w:rPr>
        <w:t>06233/INFOEM/IP/RR/2025</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promovido por </w:t>
      </w:r>
      <w:r>
        <w:rPr>
          <w:rFonts w:ascii="Palatino Linotype" w:eastAsia="Palatino Linotype" w:hAnsi="Palatino Linotype" w:cs="Palatino Linotype"/>
          <w:b/>
          <w:bCs/>
        </w:rPr>
        <w:t>una persona que no proporcionó datos para ser reconocido,</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Poder Legislativo, </w:t>
      </w:r>
      <w:r>
        <w:rPr>
          <w:rFonts w:ascii="Palatino Linotype" w:eastAsia="Palatino Linotype" w:hAnsi="Palatino Linotype" w:cs="Palatino Linotype"/>
        </w:rPr>
        <w:t xml:space="preserve">en </w:t>
      </w:r>
      <w:r w:rsidR="001F07DA">
        <w:rPr>
          <w:rFonts w:ascii="Palatino Linotype" w:eastAsia="Palatino Linotype" w:hAnsi="Palatino Linotype" w:cs="Palatino Linotype"/>
        </w:rPr>
        <w:t>adelante</w:t>
      </w:r>
      <w:r>
        <w:rPr>
          <w:rFonts w:ascii="Palatino Linotype" w:eastAsia="Palatino Linotype" w:hAnsi="Palatino Linotype" w:cs="Palatino Linotype"/>
        </w:rPr>
        <w:t xml:space="preserv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s</w:t>
      </w:r>
      <w:r w:rsidR="001F07DA">
        <w:rPr>
          <w:rFonts w:ascii="Palatino Linotype" w:eastAsia="Palatino Linotype" w:hAnsi="Palatino Linotype" w:cs="Palatino Linotype"/>
        </w:rPr>
        <w:t>e procede a dictar la presente r</w:t>
      </w:r>
      <w:r>
        <w:rPr>
          <w:rFonts w:ascii="Palatino Linotype" w:eastAsia="Palatino Linotype" w:hAnsi="Palatino Linotype" w:cs="Palatino Linotype"/>
        </w:rPr>
        <w:t>esolución, con base en los siguientes:</w:t>
      </w:r>
    </w:p>
    <w:p w:rsidR="001F4AB0" w:rsidRDefault="001F4AB0">
      <w:pPr>
        <w:spacing w:line="360" w:lineRule="auto"/>
        <w:jc w:val="both"/>
        <w:rPr>
          <w:rFonts w:ascii="Palatino Linotype" w:eastAsia="Palatino Linotype" w:hAnsi="Palatino Linotype" w:cs="Palatino Linotype"/>
        </w:rPr>
      </w:pPr>
    </w:p>
    <w:p w:rsidR="001F4AB0" w:rsidRDefault="00C255A6">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x7kamdczpo7j" w:colFirst="0" w:colLast="0"/>
      <w:bookmarkEnd w:id="1"/>
      <w:r>
        <w:rPr>
          <w:rFonts w:ascii="Palatino Linotype" w:eastAsia="Palatino Linotype" w:hAnsi="Palatino Linotype" w:cs="Palatino Linotype"/>
          <w:b/>
          <w:bCs/>
          <w:color w:val="000000"/>
          <w:sz w:val="24"/>
          <w:szCs w:val="24"/>
        </w:rPr>
        <w:t>A</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T</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C</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T</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S</w:t>
      </w:r>
    </w:p>
    <w:p w:rsidR="001F4AB0" w:rsidRDefault="001F4A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bCs/>
          <w:color w:val="000000"/>
        </w:rPr>
        <w:t xml:space="preserve">veinticuatro de abril de dos mil veinticinco,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Pr>
          <w:rFonts w:ascii="Palatino Linotype" w:eastAsia="Palatino Linotype" w:hAnsi="Palatino Linotype" w:cs="Palatino Linotype"/>
          <w:b/>
          <w:bCs/>
          <w:color w:val="000000"/>
        </w:rPr>
        <w:t xml:space="preserve"> 00219/PLEGISLA/IP/2025; </w:t>
      </w:r>
      <w:r w:rsidR="001F07DA">
        <w:rPr>
          <w:rFonts w:ascii="Palatino Linotype" w:eastAsia="Palatino Linotype" w:hAnsi="Palatino Linotype" w:cs="Palatino Linotype"/>
          <w:color w:val="000000"/>
        </w:rPr>
        <w:t>en la que</w:t>
      </w:r>
      <w:r>
        <w:rPr>
          <w:rFonts w:ascii="Palatino Linotype" w:eastAsia="Palatino Linotype" w:hAnsi="Palatino Linotype" w:cs="Palatino Linotype"/>
          <w:color w:val="000000"/>
        </w:rPr>
        <w:t xml:space="preserve"> se solicitó la siguiente información:</w:t>
      </w:r>
    </w:p>
    <w:p w:rsidR="001F4AB0" w:rsidRDefault="001F4A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F4AB0" w:rsidRDefault="00C255A6">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“Documentos de seguridad de todas las areas de la cámara y Avisos de Privacidad”</w:t>
      </w:r>
    </w:p>
    <w:p w:rsidR="001F4AB0" w:rsidRDefault="001F4AB0">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rPr>
      </w:pPr>
    </w:p>
    <w:p w:rsidR="001F4AB0" w:rsidRDefault="00C255A6">
      <w:pPr>
        <w:numPr>
          <w:ilvl w:val="0"/>
          <w:numId w:val="5"/>
        </w:numPr>
        <w:pBdr>
          <w:top w:val="nil"/>
          <w:left w:val="nil"/>
          <w:bottom w:val="nil"/>
          <w:right w:val="nil"/>
          <w:between w:val="nil"/>
        </w:pBdr>
        <w:spacing w:line="360" w:lineRule="auto"/>
        <w:ind w:left="709" w:hanging="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Modalidad de entrega de la información: Vía SAIMEX.</w:t>
      </w:r>
    </w:p>
    <w:p w:rsidR="001F4AB0" w:rsidRDefault="001F4AB0">
      <w:p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quince de mayo de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 respuesta remitió cuatro archivos electrónicos denominados </w:t>
      </w:r>
      <w:r>
        <w:rPr>
          <w:rFonts w:ascii="Palatino Linotype" w:eastAsia="Palatino Linotype" w:hAnsi="Palatino Linotype" w:cs="Palatino Linotype"/>
          <w:i/>
          <w:iCs/>
          <w:color w:val="000000"/>
        </w:rPr>
        <w:t xml:space="preserve">Respuesta Sol. 00219-2025.pdf, Documento </w:t>
      </w:r>
      <w:r>
        <w:rPr>
          <w:rFonts w:ascii="Palatino Linotype" w:eastAsia="Palatino Linotype" w:hAnsi="Palatino Linotype" w:cs="Palatino Linotype"/>
          <w:i/>
          <w:iCs/>
          <w:color w:val="000000"/>
        </w:rPr>
        <w:lastRenderedPageBreak/>
        <w:t>de Seguridad Censurado.pdf, Respuesta UI.pdf</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i/>
          <w:iCs/>
          <w:color w:val="000000"/>
        </w:rPr>
        <w:t>Acta de la 10a. Sesión Extraordinaria del CT 2025 1.pdf</w:t>
      </w:r>
      <w:r>
        <w:rPr>
          <w:rFonts w:ascii="Palatino Linotype" w:eastAsia="Palatino Linotype" w:hAnsi="Palatino Linotype" w:cs="Palatino Linotype"/>
          <w:color w:val="000000"/>
        </w:rPr>
        <w:t xml:space="preserve">, de los que por su contenido destaca corresponde el oficio contenido en el archivo Respuesta Sol. 00219-2025.pdf, suscrito por la Servidora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Habilitada de la Unidad de Información por medio del cual se informa de un enlace en el que señala se pueden visualizar de manera automática los avisos de privacidad de interés; y por otro lado el contenido del archivo denominado Documento de Seguridad Censurado.pdf, en el que obra soporte documental correspondiente a sistemas de datos personales de diversas áreas administrativas.</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b/>
          <w:bCs/>
          <w:i/>
          <w:iCs/>
          <w:color w:val="000000"/>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respuesta emitida, el </w:t>
      </w:r>
      <w:r>
        <w:rPr>
          <w:rFonts w:ascii="Palatino Linotype" w:eastAsia="Palatino Linotype" w:hAnsi="Palatino Linotype" w:cs="Palatino Linotype"/>
          <w:b/>
          <w:bCs/>
          <w:color w:val="000000"/>
        </w:rPr>
        <w:t>veintinueve de mayo de dos mil veinticinco</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interpuso su Recurso de Revisión, señalando como acto impugnado y razones o motivos de inconformidad, lo siguiente:</w:t>
      </w:r>
    </w:p>
    <w:p w:rsidR="001F4AB0" w:rsidRDefault="001F4AB0">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1F4AB0" w:rsidRPr="001F07DA" w:rsidRDefault="00C255A6" w:rsidP="001F07DA">
      <w:pPr>
        <w:pStyle w:val="Prrafodelista"/>
        <w:numPr>
          <w:ilvl w:val="0"/>
          <w:numId w:val="6"/>
        </w:numPr>
        <w:pBdr>
          <w:top w:val="nil"/>
          <w:left w:val="nil"/>
          <w:bottom w:val="nil"/>
          <w:right w:val="nil"/>
          <w:between w:val="nil"/>
        </w:pBdr>
        <w:spacing w:line="360" w:lineRule="auto"/>
        <w:ind w:left="709" w:right="426"/>
        <w:jc w:val="both"/>
        <w:rPr>
          <w:rFonts w:ascii="Palatino Linotype" w:eastAsia="Palatino Linotype" w:hAnsi="Palatino Linotype" w:cs="Palatino Linotype"/>
          <w:b/>
          <w:bCs/>
          <w:color w:val="000000"/>
        </w:rPr>
      </w:pPr>
      <w:bookmarkStart w:id="2" w:name="_heading=h.fhz3f7b7qbt2" w:colFirst="0" w:colLast="0"/>
      <w:bookmarkEnd w:id="2"/>
      <w:r w:rsidRPr="001F07DA">
        <w:rPr>
          <w:rFonts w:ascii="Palatino Linotype" w:eastAsia="Palatino Linotype" w:hAnsi="Palatino Linotype" w:cs="Palatino Linotype"/>
          <w:b/>
          <w:bCs/>
          <w:color w:val="000000"/>
        </w:rPr>
        <w:t>ACTO IMPUGNADO:</w:t>
      </w:r>
    </w:p>
    <w:p w:rsidR="001F4AB0" w:rsidRDefault="00C255A6">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“Información incompleta”</w:t>
      </w:r>
    </w:p>
    <w:p w:rsidR="001F4AB0" w:rsidRDefault="001F4AB0">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p>
    <w:p w:rsidR="001F4AB0" w:rsidRPr="001F07DA" w:rsidRDefault="00C255A6" w:rsidP="001F07DA">
      <w:pPr>
        <w:pStyle w:val="Prrafodelista"/>
        <w:numPr>
          <w:ilvl w:val="0"/>
          <w:numId w:val="6"/>
        </w:numPr>
        <w:pBdr>
          <w:top w:val="nil"/>
          <w:left w:val="nil"/>
          <w:bottom w:val="nil"/>
          <w:right w:val="nil"/>
          <w:between w:val="nil"/>
        </w:pBdr>
        <w:spacing w:line="360" w:lineRule="auto"/>
        <w:ind w:left="709" w:right="426"/>
        <w:jc w:val="both"/>
        <w:rPr>
          <w:rFonts w:ascii="Palatino Linotype" w:eastAsia="Palatino Linotype" w:hAnsi="Palatino Linotype" w:cs="Palatino Linotype"/>
          <w:b/>
          <w:bCs/>
          <w:color w:val="000000"/>
        </w:rPr>
      </w:pPr>
      <w:r w:rsidRPr="001F07DA">
        <w:rPr>
          <w:rFonts w:ascii="Palatino Linotype" w:eastAsia="Palatino Linotype" w:hAnsi="Palatino Linotype" w:cs="Palatino Linotype"/>
          <w:b/>
          <w:bCs/>
          <w:color w:val="000000"/>
        </w:rPr>
        <w:t>RAZONES O MOTIVOS DE LA INCONFORMIDAD</w:t>
      </w:r>
      <w:r w:rsidRPr="001F07DA">
        <w:rPr>
          <w:rFonts w:ascii="Palatino Linotype" w:eastAsia="Palatino Linotype" w:hAnsi="Palatino Linotype" w:cs="Palatino Linotype"/>
          <w:b/>
          <w:bCs/>
          <w:color w:val="000000"/>
        </w:rPr>
        <w:tab/>
      </w:r>
    </w:p>
    <w:p w:rsidR="001F4AB0" w:rsidRDefault="00C255A6">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“Incompleta”</w:t>
      </w:r>
    </w:p>
    <w:p w:rsidR="001F4AB0" w:rsidRDefault="001F4AB0">
      <w:pPr>
        <w:spacing w:line="360" w:lineRule="auto"/>
        <w:ind w:right="426"/>
        <w:jc w:val="both"/>
        <w:rPr>
          <w:rFonts w:ascii="Palatino Linotype" w:eastAsia="Palatino Linotype" w:hAnsi="Palatino Linotype" w:cs="Palatino Linotype"/>
          <w:i/>
          <w:iCs/>
          <w:color w:val="000000"/>
        </w:rPr>
      </w:pPr>
    </w:p>
    <w:p w:rsidR="001F4AB0" w:rsidRDefault="001F07D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La Comisionada p</w:t>
      </w:r>
      <w:r w:rsidR="00C255A6">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C255A6">
        <w:rPr>
          <w:rFonts w:ascii="Palatino Linotype" w:eastAsia="Palatino Linotype" w:hAnsi="Palatino Linotype" w:cs="Palatino Linotype"/>
          <w:b/>
          <w:bCs/>
          <w:color w:val="000000"/>
        </w:rPr>
        <w:t>tres de junio dos mil veinticinco</w:t>
      </w:r>
      <w:r w:rsidR="00C255A6">
        <w:rPr>
          <w:rFonts w:ascii="Palatino Linotype" w:eastAsia="Palatino Linotype" w:hAnsi="Palatino Linotype" w:cs="Palatino Linotype"/>
          <w:color w:val="000000"/>
        </w:rPr>
        <w:t xml:space="preserve">, puso a disposición de las partes el expediente electrónico vía </w:t>
      </w:r>
      <w:r w:rsidR="00C255A6">
        <w:rPr>
          <w:rFonts w:ascii="Palatino Linotype" w:eastAsia="Palatino Linotype" w:hAnsi="Palatino Linotype" w:cs="Palatino Linotype"/>
          <w:b/>
          <w:bCs/>
          <w:color w:val="000000"/>
        </w:rPr>
        <w:t xml:space="preserve">SAIMEX </w:t>
      </w:r>
      <w:r w:rsidR="00C255A6">
        <w:rPr>
          <w:rFonts w:ascii="Palatino Linotype" w:eastAsia="Palatino Linotype" w:hAnsi="Palatino Linotype" w:cs="Palatino Linotype"/>
          <w:color w:val="000000"/>
        </w:rPr>
        <w:t xml:space="preserve">a efecto de que en un plazo máximo de siete días manifestaran lo que a su derecho conviniera, </w:t>
      </w:r>
      <w:r w:rsidR="00C255A6">
        <w:rPr>
          <w:rFonts w:ascii="Palatino Linotype" w:eastAsia="Palatino Linotype" w:hAnsi="Palatino Linotype" w:cs="Palatino Linotype"/>
          <w:color w:val="000000"/>
        </w:rPr>
        <w:lastRenderedPageBreak/>
        <w:t xml:space="preserve">ofrecieran pruebas y alegatos según corresponda a los casos concretos, y el </w:t>
      </w:r>
      <w:r w:rsidR="00C255A6">
        <w:rPr>
          <w:rFonts w:ascii="Palatino Linotype" w:eastAsia="Palatino Linotype" w:hAnsi="Palatino Linotype" w:cs="Palatino Linotype"/>
          <w:b/>
          <w:bCs/>
          <w:color w:val="000000"/>
        </w:rPr>
        <w:t>SUJETO OBLIGADO</w:t>
      </w:r>
      <w:r w:rsidR="00C255A6">
        <w:rPr>
          <w:rFonts w:ascii="Palatino Linotype" w:eastAsia="Palatino Linotype" w:hAnsi="Palatino Linotype" w:cs="Palatino Linotype"/>
          <w:color w:val="000000"/>
        </w:rPr>
        <w:t xml:space="preserve"> presentará el Informe Justificado procedente.</w:t>
      </w:r>
    </w:p>
    <w:p w:rsidR="001F4AB0" w:rsidRDefault="001F4A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bCs/>
          <w:color w:val="000000"/>
        </w:rPr>
        <w:t xml:space="preserve">doce de junio </w:t>
      </w:r>
      <w:r>
        <w:rPr>
          <w:rFonts w:ascii="Palatino Linotype" w:eastAsia="Palatino Linotype" w:hAnsi="Palatino Linotype" w:cs="Palatino Linotype"/>
          <w:b/>
          <w:bCs/>
        </w:rPr>
        <w:t xml:space="preserve">de </w:t>
      </w:r>
      <w:r>
        <w:rPr>
          <w:rFonts w:ascii="Palatino Linotype" w:eastAsia="Palatino Linotype" w:hAnsi="Palatino Linotype" w:cs="Palatino Linotype"/>
          <w:b/>
          <w:bCs/>
          <w:color w:val="000000"/>
        </w:rPr>
        <w:t>dos mil veinticinco</w:t>
      </w:r>
      <w:r>
        <w:rPr>
          <w:rFonts w:ascii="Palatino Linotype" w:eastAsia="Palatino Linotype" w:hAnsi="Palatino Linotype" w:cs="Palatino Linotype"/>
          <w:color w:val="000000"/>
        </w:rPr>
        <w:t xml:space="preserve">, rindió el informe justificado correspondiente por medio del archivo denominado </w:t>
      </w:r>
      <w:r>
        <w:rPr>
          <w:rFonts w:ascii="Palatino Linotype" w:eastAsia="Palatino Linotype" w:hAnsi="Palatino Linotype" w:cs="Palatino Linotype"/>
          <w:i/>
          <w:iCs/>
          <w:color w:val="000000"/>
        </w:rPr>
        <w:t>6233 INF. JUSTIFICADO.pdf</w:t>
      </w:r>
      <w:r>
        <w:rPr>
          <w:rFonts w:ascii="Palatino Linotype" w:eastAsia="Palatino Linotype" w:hAnsi="Palatino Linotype" w:cs="Palatino Linotype"/>
          <w:color w:val="000000"/>
        </w:rPr>
        <w:t xml:space="preserve">, cuyo contenido corresponde al informe justificado signado por el Titular de la Unidad de Información, en el que de manera general confirma la respuesta inicial. Por su parte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fue omiso en realizar manifestaciones que a su derecho conviniera y asistiera.</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catorce de enero del año en curso</w:t>
      </w:r>
      <w:r>
        <w:rPr>
          <w:rFonts w:ascii="Palatino Linotype" w:eastAsia="Palatino Linotype" w:hAnsi="Palatino Linotype" w:cs="Palatino Linotype"/>
          <w:color w:val="000000"/>
        </w:rPr>
        <w:t>, con fundamento en el artículo 181, tercer párrafo, de la Ley de Transparencia y Acceso a la Información Pública del Estado de México y Municipios se notificó que el plazo de treinta días para resolver el Recurso de Revisión sería ampliado por un periodo de quince días hábiles adicionales.</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Seguidamente al no existir pendientes o diligencia por desahogar, mediante Acuerdo de fecha </w:t>
      </w:r>
      <w:r>
        <w:rPr>
          <w:rFonts w:ascii="Palatino Linotype" w:eastAsia="Palatino Linotype" w:hAnsi="Palatino Linotype" w:cs="Palatino Linotype"/>
          <w:b/>
          <w:bCs/>
          <w:color w:val="000000"/>
        </w:rPr>
        <w:t>veinte de enero de dos mil veintiséis</w:t>
      </w:r>
      <w:r>
        <w:rPr>
          <w:rFonts w:ascii="Palatino Linotype" w:eastAsia="Palatino Linotype" w:hAnsi="Palatino Linotype" w:cs="Palatino Linotype"/>
          <w:color w:val="000000"/>
        </w:rPr>
        <w:t xml:space="preserve"> se decretó el cierre de instrucción, por lo que: </w:t>
      </w:r>
    </w:p>
    <w:p w:rsidR="001F4AB0" w:rsidRDefault="001F4A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F4AB0" w:rsidRDefault="00C255A6">
      <w:pPr>
        <w:pStyle w:val="Ttulo1"/>
        <w:spacing w:before="0" w:line="360" w:lineRule="auto"/>
        <w:jc w:val="center"/>
        <w:rPr>
          <w:rFonts w:ascii="Palatino Linotype" w:eastAsia="Palatino Linotype" w:hAnsi="Palatino Linotype" w:cs="Palatino Linotype"/>
          <w:b/>
          <w:bCs/>
          <w:color w:val="000000"/>
          <w:sz w:val="24"/>
          <w:szCs w:val="24"/>
        </w:rPr>
      </w:pPr>
      <w:bookmarkStart w:id="3" w:name="_heading=h.jhz4cqkjt7su" w:colFirst="0" w:colLast="0"/>
      <w:bookmarkEnd w:id="3"/>
      <w:r>
        <w:rPr>
          <w:rFonts w:ascii="Palatino Linotype" w:eastAsia="Palatino Linotype" w:hAnsi="Palatino Linotype" w:cs="Palatino Linotype"/>
          <w:b/>
          <w:bCs/>
          <w:color w:val="000000"/>
          <w:sz w:val="24"/>
          <w:szCs w:val="24"/>
        </w:rPr>
        <w:t>C</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O</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S</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I</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R</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A</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1F07DA">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O</w:t>
      </w:r>
    </w:p>
    <w:p w:rsidR="001F4AB0" w:rsidRDefault="001F4AB0">
      <w:pPr>
        <w:pStyle w:val="Ttulo2"/>
        <w:spacing w:before="0" w:line="360" w:lineRule="auto"/>
        <w:rPr>
          <w:rFonts w:ascii="Palatino Linotype" w:eastAsia="Palatino Linotype" w:hAnsi="Palatino Linotype" w:cs="Palatino Linotype"/>
          <w:b/>
          <w:bCs/>
          <w:color w:val="000000"/>
          <w:sz w:val="24"/>
          <w:szCs w:val="24"/>
        </w:rPr>
      </w:pPr>
      <w:bookmarkStart w:id="4" w:name="_heading=h.k9s6q6wx65vl" w:colFirst="0" w:colLast="0"/>
      <w:bookmarkEnd w:id="4"/>
    </w:p>
    <w:p w:rsidR="001F4AB0" w:rsidRDefault="00C255A6">
      <w:pPr>
        <w:pStyle w:val="Ttulo2"/>
        <w:spacing w:before="0" w:line="360" w:lineRule="auto"/>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PRIMERO. De la competencia</w:t>
      </w: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w:t>
      </w:r>
      <w:r>
        <w:rPr>
          <w:rFonts w:ascii="Palatino Linotype" w:eastAsia="Palatino Linotype" w:hAnsi="Palatino Linotype" w:cs="Palatino Linotype"/>
          <w:color w:val="000000"/>
        </w:rPr>
        <w:lastRenderedPageBreak/>
        <w:t>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1F4AB0" w:rsidRDefault="001F4AB0">
      <w:pPr>
        <w:pBdr>
          <w:top w:val="nil"/>
          <w:left w:val="nil"/>
          <w:bottom w:val="nil"/>
          <w:right w:val="nil"/>
          <w:between w:val="nil"/>
        </w:pBdr>
        <w:spacing w:line="360" w:lineRule="auto"/>
        <w:ind w:left="644"/>
        <w:jc w:val="both"/>
        <w:rPr>
          <w:rFonts w:ascii="Palatino Linotype" w:eastAsia="Palatino Linotype" w:hAnsi="Palatino Linotype" w:cs="Palatino Linotype"/>
        </w:rPr>
      </w:pPr>
    </w:p>
    <w:p w:rsidR="001F4AB0" w:rsidRDefault="00C255A6">
      <w:pPr>
        <w:spacing w:line="360" w:lineRule="auto"/>
        <w:jc w:val="both"/>
        <w:rPr>
          <w:rFonts w:ascii="Palatino Linotype" w:eastAsia="Palatino Linotype" w:hAnsi="Palatino Linotype" w:cs="Palatino Linotype"/>
          <w:b/>
          <w:bCs/>
        </w:rPr>
      </w:pPr>
      <w:bookmarkStart w:id="5" w:name="_heading=h.1rdjdhr6s5bb" w:colFirst="0" w:colLast="0"/>
      <w:bookmarkEnd w:id="5"/>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rPr>
        <w:t>SEGUNDO. De la oportunidad y procedencia.</w:t>
      </w:r>
    </w:p>
    <w:p w:rsidR="001F4AB0" w:rsidRDefault="00C255A6">
      <w:pPr>
        <w:numPr>
          <w:ilvl w:val="0"/>
          <w:numId w:val="1"/>
        </w:numPr>
        <w:spacing w:line="360" w:lineRule="auto"/>
        <w:ind w:left="0" w:firstLine="0"/>
        <w:jc w:val="both"/>
        <w:rPr>
          <w:rFonts w:ascii="Palatino Linotype" w:eastAsia="Palatino Linotype" w:hAnsi="Palatino Linotype" w:cs="Palatino Linotype"/>
        </w:rPr>
      </w:pPr>
      <w:bookmarkStart w:id="6" w:name="_heading=h.3qy8np21ug4h" w:colFirst="0" w:colLast="0"/>
      <w:bookmarkEnd w:id="6"/>
      <w:r>
        <w:rPr>
          <w:rFonts w:ascii="Palatino Linotype" w:eastAsia="Palatino Linotype" w:hAnsi="Palatino Linotype" w:cs="Palatino Linotype"/>
        </w:rPr>
        <w:t xml:space="preserve">Este Órgano Garante considera que el medio de impugnación reúne los requisitos de procedencia </w:t>
      </w:r>
      <w:r>
        <w:rPr>
          <w:rFonts w:ascii="Palatino Linotype" w:eastAsia="Palatino Linotype" w:hAnsi="Palatino Linotype" w:cs="Palatino Linotype"/>
          <w:color w:val="000000"/>
        </w:rPr>
        <w:t xml:space="preserve">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ante otra instancia.</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w:t>
      </w:r>
      <w:r>
        <w:rPr>
          <w:rFonts w:ascii="Palatino Linotype" w:eastAsia="Palatino Linotype" w:hAnsi="Palatino Linotype" w:cs="Palatino Linotype"/>
          <w:b/>
          <w:bCs/>
          <w:i/>
          <w:iCs/>
        </w:rPr>
        <w:t>Las solicitudes anónimas</w:t>
      </w:r>
      <w:r>
        <w:rPr>
          <w:rFonts w:ascii="Palatino Linotype" w:eastAsia="Palatino Linotype" w:hAnsi="Palatino Linotype" w:cs="Palatino Linotype"/>
          <w:i/>
          <w:iCs/>
        </w:rPr>
        <w:t xml:space="preserve">, con nombre incompleto o seudónimo </w:t>
      </w:r>
      <w:r>
        <w:rPr>
          <w:rFonts w:ascii="Palatino Linotype" w:eastAsia="Palatino Linotype" w:hAnsi="Palatino Linotype" w:cs="Palatino Linotype"/>
          <w:b/>
          <w:bCs/>
          <w:i/>
          <w:iCs/>
        </w:rPr>
        <w:t>serán procedentes para su trámite por parte del sujeto obligado ante quien se presente</w:t>
      </w:r>
      <w:r>
        <w:rPr>
          <w:rFonts w:ascii="Palatino Linotype" w:eastAsia="Palatino Linotype" w:hAnsi="Palatino Linotype" w:cs="Palatino Linotype"/>
          <w:i/>
          <w:iCs/>
        </w:rPr>
        <w:t>. No podrá requerirse información adicional con motivo del nombre proporcionado por el solicitante."</w:t>
      </w:r>
    </w:p>
    <w:p w:rsidR="001F4AB0" w:rsidRDefault="001F4AB0">
      <w:pPr>
        <w:spacing w:line="360" w:lineRule="auto"/>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rsidR="001F4AB0" w:rsidRDefault="001F4AB0">
      <w:pPr>
        <w:spacing w:line="360" w:lineRule="auto"/>
        <w:jc w:val="both"/>
        <w:rPr>
          <w:rFonts w:ascii="Palatino Linotype" w:eastAsia="Palatino Linotype" w:hAnsi="Palatino Linotype" w:cs="Palatino Linotype"/>
        </w:rPr>
      </w:pPr>
    </w:p>
    <w:p w:rsidR="001F4AB0" w:rsidRDefault="00C255A6">
      <w:pPr>
        <w:pStyle w:val="Ttulo2"/>
        <w:spacing w:before="0" w:line="360" w:lineRule="auto"/>
        <w:rPr>
          <w:rFonts w:ascii="Palatino Linotype" w:eastAsia="Palatino Linotype" w:hAnsi="Palatino Linotype" w:cs="Palatino Linotype"/>
          <w:b/>
          <w:bCs/>
          <w:color w:val="000000"/>
          <w:sz w:val="24"/>
          <w:szCs w:val="24"/>
        </w:rPr>
      </w:pPr>
      <w:bookmarkStart w:id="7" w:name="_heading=h.vt4k8q40ju7k" w:colFirst="0" w:colLast="0"/>
      <w:bookmarkEnd w:id="7"/>
      <w:r>
        <w:rPr>
          <w:rFonts w:ascii="Palatino Linotype" w:eastAsia="Palatino Linotype" w:hAnsi="Palatino Linotype" w:cs="Palatino Linotype"/>
          <w:b/>
          <w:bCs/>
          <w:color w:val="000000"/>
          <w:sz w:val="24"/>
          <w:szCs w:val="24"/>
        </w:rPr>
        <w:t>TERCERO. Del planteamiento de la</w:t>
      </w:r>
      <w:r>
        <w:rPr>
          <w:rFonts w:ascii="Palatino Linotype" w:eastAsia="Palatino Linotype" w:hAnsi="Palatino Linotype" w:cs="Palatino Linotype"/>
          <w:b/>
          <w:bCs/>
          <w:i/>
          <w:iCs/>
          <w:color w:val="000000"/>
          <w:sz w:val="24"/>
          <w:szCs w:val="24"/>
        </w:rPr>
        <w:t xml:space="preserve"> Litis</w:t>
      </w: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rsidR="001F4AB0" w:rsidRDefault="00C255A6">
      <w:pPr>
        <w:numPr>
          <w:ilvl w:val="0"/>
          <w:numId w:val="4"/>
        </w:numPr>
        <w:pBdr>
          <w:top w:val="nil"/>
          <w:left w:val="nil"/>
          <w:bottom w:val="nil"/>
          <w:right w:val="nil"/>
          <w:between w:val="nil"/>
        </w:pBdr>
        <w:spacing w:line="360" w:lineRule="auto"/>
        <w:ind w:right="28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Avisos de Privacidad y documentos de seguridad de todas las áreas.</w:t>
      </w:r>
    </w:p>
    <w:p w:rsidR="001F4AB0" w:rsidRDefault="001F4AB0">
      <w:pPr>
        <w:spacing w:line="360" w:lineRule="auto"/>
        <w:jc w:val="both"/>
        <w:rPr>
          <w:rFonts w:ascii="Palatino Linotype" w:eastAsia="Palatino Linotype" w:hAnsi="Palatino Linotype" w:cs="Palatino Linotype"/>
          <w:b/>
          <w:bCs/>
        </w:rPr>
      </w:pPr>
    </w:p>
    <w:p w:rsidR="001F4AB0" w:rsidRDefault="00C255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remitió los archivos ya descritos en el anterior Párrafo 2; no obstante el particular se inconformó, por la entrega de la información incompleta; en dichas condiciones, la </w:t>
      </w:r>
      <w:r>
        <w:rPr>
          <w:rFonts w:ascii="Palatino Linotype" w:eastAsia="Palatino Linotype" w:hAnsi="Palatino Linotype" w:cs="Palatino Linotype"/>
          <w:i/>
          <w:iCs/>
          <w:color w:val="000000"/>
        </w:rPr>
        <w:t>Litis</w:t>
      </w:r>
      <w:r>
        <w:rPr>
          <w:rFonts w:ascii="Palatino Linotype" w:eastAsia="Palatino Linotype" w:hAnsi="Palatino Linotype" w:cs="Palatino Linotype"/>
          <w:color w:val="000000"/>
        </w:rPr>
        <w:t xml:space="preserve"> a resolver en el recurso de revisión se circunscribe a determinar si se actualiza la causal de procedencia prevista en el artículo 179, </w:t>
      </w:r>
      <w:r>
        <w:rPr>
          <w:rFonts w:ascii="Palatino Linotype" w:eastAsia="Palatino Linotype" w:hAnsi="Palatino Linotype" w:cs="Palatino Linotype"/>
          <w:b/>
          <w:bCs/>
          <w:color w:val="000000"/>
        </w:rPr>
        <w:t xml:space="preserve">fracción V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 xml:space="preserve">; fracción que determina las hipótesis jurídica relativa a la entrega de información incompleta; contexto del cual se dolió </w:t>
      </w:r>
      <w:r>
        <w:rPr>
          <w:rFonts w:ascii="Palatino Linotype" w:eastAsia="Palatino Linotype" w:hAnsi="Palatino Linotype" w:cs="Palatino Linotype"/>
          <w:b/>
          <w:bCs/>
          <w:color w:val="000000"/>
        </w:rPr>
        <w:t xml:space="preserve">EL RECURRENTE </w:t>
      </w:r>
      <w:r>
        <w:rPr>
          <w:rFonts w:ascii="Palatino Linotype" w:eastAsia="Palatino Linotype" w:hAnsi="Palatino Linotype" w:cs="Palatino Linotype"/>
          <w:color w:val="000000"/>
        </w:rPr>
        <w:t xml:space="preserve">al momento de interponer su inconformidad. </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modo tal que el presente Recurso de Revisión se abocara en determinar si el </w:t>
      </w:r>
      <w:r>
        <w:rPr>
          <w:rFonts w:ascii="Palatino Linotype" w:eastAsia="Palatino Linotype" w:hAnsi="Palatino Linotype" w:cs="Palatino Linotype"/>
          <w:b/>
          <w:bCs/>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w:t>
      </w:r>
      <w:r>
        <w:rPr>
          <w:rFonts w:ascii="Palatino Linotype" w:eastAsia="Palatino Linotype" w:hAnsi="Palatino Linotype" w:cs="Palatino Linotype"/>
          <w:color w:val="000000"/>
        </w:rPr>
        <w:lastRenderedPageBreak/>
        <w:t>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F4AB0" w:rsidRDefault="001F4AB0">
      <w:pPr>
        <w:pBdr>
          <w:top w:val="nil"/>
          <w:left w:val="nil"/>
          <w:bottom w:val="nil"/>
          <w:right w:val="nil"/>
          <w:between w:val="nil"/>
        </w:pBdr>
        <w:ind w:left="720"/>
        <w:rPr>
          <w:rFonts w:ascii="Palatino Linotype" w:eastAsia="Palatino Linotype" w:hAnsi="Palatino Linotype" w:cs="Palatino Linotype"/>
          <w:color w:val="000000"/>
        </w:rPr>
      </w:pPr>
    </w:p>
    <w:p w:rsidR="001F4AB0" w:rsidRDefault="00C255A6">
      <w:pPr>
        <w:pStyle w:val="Ttulo2"/>
        <w:spacing w:before="0" w:line="360" w:lineRule="auto"/>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CUARTO. Del estudio y resolución del estudio</w:t>
      </w: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w:t>
      </w:r>
      <w:r>
        <w:rPr>
          <w:rFonts w:ascii="Palatino Linotype" w:eastAsia="Palatino Linotype" w:hAnsi="Palatino Linotype" w:cs="Palatino Linotype"/>
          <w:color w:val="000000"/>
        </w:rPr>
        <w:t>Transparencia</w:t>
      </w:r>
      <w:r>
        <w:rPr>
          <w:rFonts w:ascii="Palatino Linotype" w:eastAsia="Palatino Linotype" w:hAnsi="Palatino Linotype" w:cs="Palatino Linotype"/>
        </w:rPr>
        <w:t xml:space="preserve">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F4AB0" w:rsidRDefault="001F4AB0">
      <w:pPr>
        <w:spacing w:line="360" w:lineRule="auto"/>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importante señalar respecto de lo solicitado: que el aviso de privacidad corresponde al documento que tiene por objeto informar al titular los propósitos del tratamiento al que serán sometidos sus datos personales, por lo que deben estar visibles en las diferentes áreas; por su parte, el documento de seguridad corresponde al instrumento que establece las medidas de seguridad técnicas, físicas y administrativas adoptadas para garantizar la confidencialidad, integridad y disponibilidad de la información contenida en los sistemas y bases de datos personales, para mayor referencia se inserta el artículo 4, fracciones V y XVIII de la Ley de Protección de Datos Personales en Posesión de los Sujetos Obligados del Estado de México y Municipios: </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4. </w:t>
      </w:r>
      <w:r>
        <w:rPr>
          <w:rFonts w:ascii="Palatino Linotype" w:eastAsia="Palatino Linotype" w:hAnsi="Palatino Linotype" w:cs="Palatino Linotype"/>
          <w:i/>
          <w:iCs/>
        </w:rPr>
        <w:t>Para los efectos de esta Ley se entenderá por:</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 xml:space="preserve">V. Aviso de Privacidad: </w:t>
      </w:r>
      <w:r>
        <w:rPr>
          <w:rFonts w:ascii="Palatino Linotype" w:eastAsia="Palatino Linotype" w:hAnsi="Palatino Linotype" w:cs="Palatino Linotype"/>
          <w:i/>
          <w:iCs/>
        </w:rPr>
        <w:t>al documento físico, electrónico o en cualquier formato generado por el responsable que es puesto a disposición del Titular con el objeto de informarle los propósitos del tratamiento al que serán sometidos sus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XVIII. Documento de seguridad:</w:t>
      </w:r>
      <w:r>
        <w:rPr>
          <w:rFonts w:ascii="Palatino Linotype" w:eastAsia="Palatino Linotype" w:hAnsi="Palatino Linotype" w:cs="Palatino Linotype"/>
          <w:i/>
          <w:iCs/>
        </w:rPr>
        <w:t xml:space="preserve"> 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 </w:t>
      </w:r>
    </w:p>
    <w:p w:rsidR="001F4AB0" w:rsidRDefault="001F4AB0">
      <w:pPr>
        <w:tabs>
          <w:tab w:val="left" w:pos="851"/>
        </w:tabs>
        <w:spacing w:line="360" w:lineRule="auto"/>
        <w:ind w:right="901"/>
        <w:jc w:val="both"/>
        <w:rPr>
          <w:rFonts w:ascii="Palatino Linotype" w:eastAsia="Palatino Linotype" w:hAnsi="Palatino Linotype" w:cs="Palatino Linotype"/>
          <w:i/>
          <w:iCs/>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Acotado lo anterior, es dable primeramente recordar los motivos de inconformidad, en los que se refiere información incompleta, contexto que resulta improcedente; toda vez que de las constancias que obran en el expediente electrónico en que se actúa se desprende que existe un pronunciamiento de los dos rubros que integran la solicitud de información.</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Relativo a los avisos de privacidad, la respuesta emitida versó en la entrega de un enlace de Internet. Al respecto establecer que el derecho de acceso a la información ciertamente se puede colmar con la entrega de enlaces de Internet, debiéndose para tal efecto cumplirse con las condiciones que establece la Ley de la Materia.</w:t>
      </w:r>
    </w:p>
    <w:p w:rsidR="001F07DA" w:rsidRDefault="001F07DA" w:rsidP="001F07DA">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en virtud que</w:t>
      </w:r>
      <w:r>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w:t>
      </w:r>
      <w:r>
        <w:rPr>
          <w:rFonts w:ascii="Palatino Linotype" w:eastAsia="Palatino Linotype" w:hAnsi="Palatino Linotype" w:cs="Palatino Linotype"/>
        </w:rPr>
        <w:lastRenderedPageBreak/>
        <w:t>obligados desde el momento de su generación, publicación y entrega vía hipervínculo, así como la forma en que se deberá consultar la información, señalando una fuente precisa y concreta, como se observa a continuación:</w:t>
      </w:r>
    </w:p>
    <w:p w:rsidR="001F4AB0" w:rsidRDefault="00C255A6">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11.</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u w:val="single"/>
        </w:rPr>
        <w:t>En la generación, publicación y entrega de información se deberá garantizar que ésta sea accesible</w:t>
      </w:r>
      <w:r>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1F4AB0" w:rsidRDefault="00C255A6">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1F4AB0" w:rsidRDefault="001F4AB0">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1F4AB0" w:rsidRDefault="00C255A6">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Pr>
          <w:rFonts w:ascii="Palatino Linotype" w:eastAsia="Palatino Linotype" w:hAnsi="Palatino Linotype" w:cs="Palatino Linotype"/>
          <w:b/>
          <w:bCs/>
          <w:i/>
          <w:iCs/>
          <w:color w:val="000000"/>
        </w:rPr>
        <w:t>Artículo 161.</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u w:val="single"/>
        </w:rPr>
        <w:t>Cuando la información requerida por el solicitante ya esté</w:t>
      </w:r>
      <w:r>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Pr>
          <w:rFonts w:ascii="Palatino Linotype" w:eastAsia="Palatino Linotype" w:hAnsi="Palatino Linotype" w:cs="Palatino Linotype"/>
          <w:b/>
          <w:bCs/>
          <w:i/>
          <w:iCs/>
          <w:color w:val="000000"/>
          <w:u w:val="single"/>
        </w:rPr>
        <w:t>disponibles en Internet</w:t>
      </w:r>
      <w:r>
        <w:rPr>
          <w:rFonts w:ascii="Palatino Linotype" w:eastAsia="Palatino Linotype" w:hAnsi="Palatino Linotype" w:cs="Palatino Linotype"/>
          <w:i/>
          <w:iCs/>
          <w:color w:val="000000"/>
        </w:rPr>
        <w:t xml:space="preserve"> o en cualquier otro medio, </w:t>
      </w:r>
      <w:r>
        <w:rPr>
          <w:rFonts w:ascii="Palatino Linotype" w:eastAsia="Palatino Linotype" w:hAnsi="Palatino Linotype" w:cs="Palatino Linotype"/>
          <w:b/>
          <w:bCs/>
          <w:i/>
          <w:iCs/>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1F07DA" w:rsidRDefault="001F07DA">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transcritos, se establecen las características que debe tener la </w:t>
      </w:r>
      <w:r>
        <w:rPr>
          <w:rFonts w:ascii="Palatino Linotype" w:eastAsia="Palatino Linotype" w:hAnsi="Palatino Linotype" w:cs="Palatino Linotype"/>
          <w:color w:val="000000"/>
        </w:rPr>
        <w:t>información</w:t>
      </w:r>
      <w:r>
        <w:rPr>
          <w:rFonts w:ascii="Palatino Linotype" w:eastAsia="Palatino Linotype" w:hAnsi="Palatino Linotype" w:cs="Palatino Linotype"/>
        </w:rPr>
        <w:t xml:space="preserve"> desde el momento de su generación, publicación y entrega, de igual manera se contempla el procedimiento a seguir por los sujetos obligados para informar a los </w:t>
      </w:r>
      <w:r>
        <w:rPr>
          <w:rFonts w:ascii="Palatino Linotype" w:eastAsia="Palatino Linotype" w:hAnsi="Palatino Linotype" w:cs="Palatino Linotype"/>
        </w:rPr>
        <w:lastRenderedPageBreak/>
        <w:t>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1F4AB0" w:rsidRDefault="00C255A6">
      <w:pPr>
        <w:numPr>
          <w:ilvl w:val="0"/>
          <w:numId w:val="2"/>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fuente,</w:t>
      </w:r>
    </w:p>
    <w:p w:rsidR="001F4AB0" w:rsidRDefault="00C255A6">
      <w:pPr>
        <w:numPr>
          <w:ilvl w:val="0"/>
          <w:numId w:val="2"/>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lugar, y</w:t>
      </w:r>
    </w:p>
    <w:p w:rsidR="001F4AB0" w:rsidRDefault="00C255A6">
      <w:pPr>
        <w:numPr>
          <w:ilvl w:val="0"/>
          <w:numId w:val="2"/>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forma. </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rsidR="001F4AB0" w:rsidRDefault="00C255A6">
      <w:pPr>
        <w:numPr>
          <w:ilvl w:val="0"/>
          <w:numId w:val="3"/>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Precisa,</w:t>
      </w:r>
    </w:p>
    <w:p w:rsidR="001F4AB0" w:rsidRDefault="00C255A6">
      <w:pPr>
        <w:numPr>
          <w:ilvl w:val="0"/>
          <w:numId w:val="3"/>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Concreta,</w:t>
      </w:r>
    </w:p>
    <w:p w:rsidR="001F4AB0" w:rsidRDefault="00C255A6">
      <w:pPr>
        <w:numPr>
          <w:ilvl w:val="0"/>
          <w:numId w:val="3"/>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Y no debe implicar que el solicitante realice una búsqueda en toda la información que se encuentre disponible.</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Imperativos legales que establecen el procedimiento que debe seguir el Sujeto Obligado para que pueda tomarse como válida su orientación sobre la forma en que puede consultar la información requerida, y que, en el caso en concreto, si acontece, derivado que enlace se encuentra en formato abierto, es decir que basta con colocar el cursor sobre el enlace para que se active el hipervínculo y con solo dar clic dirija al contenido del enlace, como se observa:</w:t>
      </w:r>
    </w:p>
    <w:p w:rsidR="001F4AB0" w:rsidRDefault="001F4AB0">
      <w:pPr>
        <w:spacing w:line="360" w:lineRule="auto"/>
        <w:jc w:val="both"/>
        <w:rPr>
          <w:rFonts w:ascii="Palatino Linotype" w:eastAsia="Palatino Linotype" w:hAnsi="Palatino Linotype" w:cs="Palatino Linotype"/>
        </w:rPr>
      </w:pPr>
    </w:p>
    <w:p w:rsidR="001F4AB0" w:rsidRDefault="00C255A6">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054045" cy="312212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54045" cy="3122123"/>
                    </a:xfrm>
                    <a:prstGeom prst="rect">
                      <a:avLst/>
                    </a:prstGeom>
                    <a:ln/>
                  </pic:spPr>
                </pic:pic>
              </a:graphicData>
            </a:graphic>
          </wp:inline>
        </w:drawing>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Una vez, dado el clic sobre el enlace, se dirige al siguiente sitio web:</w:t>
      </w:r>
    </w:p>
    <w:p w:rsidR="001F4AB0" w:rsidRDefault="00C255A6">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958755" cy="313695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58755" cy="3136953"/>
                    </a:xfrm>
                    <a:prstGeom prst="rect">
                      <a:avLst/>
                    </a:prstGeom>
                    <a:ln/>
                  </pic:spPr>
                </pic:pic>
              </a:graphicData>
            </a:graphic>
          </wp:inline>
        </w:drawing>
      </w:r>
    </w:p>
    <w:p w:rsidR="001F4AB0" w:rsidRDefault="00C255A6">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p>
    <w:p w:rsidR="001F4AB0" w:rsidRDefault="001F4AB0">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p>
    <w:p w:rsidR="001F4AB0" w:rsidRDefault="00C255A6">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581015" cy="395351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81015" cy="3953510"/>
                    </a:xfrm>
                    <a:prstGeom prst="rect">
                      <a:avLst/>
                    </a:prstGeom>
                    <a:ln/>
                  </pic:spPr>
                </pic:pic>
              </a:graphicData>
            </a:graphic>
          </wp:inline>
        </w:drawing>
      </w:r>
    </w:p>
    <w:p w:rsidR="001F4AB0" w:rsidRDefault="00C255A6">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rsidR="001F4AB0" w:rsidRDefault="001F4AB0">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observa, el contenido del sitio web ciertamente corresponde a la publicación de avisos de privacidad, los cuales se puede acceder de manera directa sin que implique mayores gestiones por parte del particular para visualizar u obtener la información de su interés; asimismo se advierte que corresponde a los avisos de privacidad generados por las diversas áreas que conforman la estructura orgánica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como se aseveró en la respuesta inicial.</w:t>
      </w: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Pronunciamiento del cual, es de explorado derecho, este Instituto no está facultado para dudar de su veracidad, ni del contenido, ni de las documentales que ponen a disposición de los solicitantes los sujetos obligados o que obran en el enlace entregado, situación que se aleja de las atribuciones de este Instituto </w:t>
      </w:r>
      <w:r>
        <w:rPr>
          <w:rFonts w:ascii="Palatino Linotype" w:eastAsia="Palatino Linotype" w:hAnsi="Palatino Linotype" w:cs="Palatino Linotype"/>
          <w:i/>
          <w:iCs/>
          <w:color w:val="000000"/>
        </w:rPr>
        <w:t>máxime</w:t>
      </w:r>
      <w:r>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1F4AB0" w:rsidRDefault="001F4AB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rsidR="001F4AB0" w:rsidRDefault="00C255A6">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“El Instituto Federal de Acceso a la Información y Protección de Datos </w:t>
      </w:r>
      <w:r>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lastRenderedPageBreak/>
        <w:t xml:space="preserve">Así como lo dispuesto por la </w:t>
      </w:r>
      <w:r>
        <w:rPr>
          <w:rFonts w:ascii="Palatino Linotype" w:eastAsia="Palatino Linotype" w:hAnsi="Palatino Linotype" w:cs="Palatino Linotype"/>
          <w:b/>
          <w:bCs/>
          <w:color w:val="000000"/>
        </w:rPr>
        <w:t xml:space="preserve">Ley de Transparencia y Acceso a la Información Pública del </w:t>
      </w:r>
      <w:r>
        <w:rPr>
          <w:rFonts w:ascii="Palatino Linotype" w:eastAsia="Palatino Linotype" w:hAnsi="Palatino Linotype" w:cs="Palatino Linotype"/>
          <w:color w:val="000000"/>
        </w:rPr>
        <w:t>Estado</w:t>
      </w:r>
      <w:r>
        <w:rPr>
          <w:rFonts w:ascii="Palatino Linotype" w:eastAsia="Palatino Linotype" w:hAnsi="Palatino Linotype" w:cs="Palatino Linotype"/>
          <w:b/>
          <w:bCs/>
          <w:color w:val="000000"/>
        </w:rPr>
        <w:t xml:space="preserve"> de México y Municipios</w:t>
      </w:r>
      <w:r>
        <w:rPr>
          <w:rFonts w:ascii="Palatino Linotype" w:eastAsia="Palatino Linotype" w:hAnsi="Palatino Linotype" w:cs="Palatino Linotype"/>
          <w:color w:val="000000"/>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1F4AB0" w:rsidRDefault="00C255A6">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1F4AB0" w:rsidRDefault="001F4AB0">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Numerales que compelen al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apegarse en todo momento a los criterios ya expuestos, impidiendo a este Órgano Colegiado cuestionar la veracidad de la información; </w:t>
      </w:r>
      <w:r w:rsidR="00B231D0">
        <w:rPr>
          <w:rFonts w:ascii="Palatino Linotype" w:eastAsia="Palatino Linotype" w:hAnsi="Palatino Linotype" w:cs="Palatino Linotype"/>
          <w:color w:val="000000"/>
        </w:rPr>
        <w:t>también</w:t>
      </w:r>
      <w:r>
        <w:rPr>
          <w:rFonts w:ascii="Palatino Linotype" w:eastAsia="Palatino Linotype" w:hAnsi="Palatino Linotype" w:cs="Palatino Linotype"/>
          <w:color w:val="000000"/>
        </w:rPr>
        <w:t xml:space="preserve"> lo es que de los rubros restantes, se emitió un pronunciamiento por parte del Tesorero Municipal, en el que a su decir la información podría ser localizada en el enlace de Internet que se le adjuntó, por tanto, se tiene por colmado el rubro en comento.</w:t>
      </w:r>
    </w:p>
    <w:p w:rsidR="001F4AB0" w:rsidRDefault="001F4AB0">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relativo a los documentos de seguridad, es dable, primeramente, traer a contexto lo dispuesto por el artículo 43 de la Ley de Protección de Datos Personales en Posesión de Sujetos Obligados del Estado de México y Municipios, el cual dispone: </w:t>
      </w:r>
    </w:p>
    <w:p w:rsidR="001F4AB0" w:rsidRDefault="00C255A6">
      <w:pPr>
        <w:tabs>
          <w:tab w:val="left" w:pos="851"/>
        </w:tabs>
        <w:spacing w:line="360" w:lineRule="auto"/>
        <w:ind w:left="851" w:right="901"/>
        <w:jc w:val="both"/>
        <w:rPr>
          <w:rFonts w:ascii="Palatino Linotype" w:eastAsia="Palatino Linotype" w:hAnsi="Palatino Linotype" w:cs="Palatino Linotype"/>
          <w:b/>
          <w:bCs/>
          <w:i/>
          <w:iCs/>
        </w:rPr>
      </w:pPr>
      <w:r>
        <w:rPr>
          <w:rFonts w:ascii="Palatino Linotype" w:eastAsia="Palatino Linotype" w:hAnsi="Palatino Linotype" w:cs="Palatino Linotype"/>
          <w:i/>
          <w:iCs/>
        </w:rPr>
        <w:lastRenderedPageBreak/>
        <w:t>“</w:t>
      </w:r>
      <w:r>
        <w:rPr>
          <w:rFonts w:ascii="Palatino Linotype" w:eastAsia="Palatino Linotype" w:hAnsi="Palatino Linotype" w:cs="Palatino Linotype"/>
          <w:b/>
          <w:bCs/>
          <w:i/>
          <w:iCs/>
        </w:rPr>
        <w:t xml:space="preserve">Artículo 43. </w:t>
      </w:r>
      <w:r>
        <w:rPr>
          <w:rFonts w:ascii="Palatino Linotype" w:eastAsia="Palatino Linotype" w:hAnsi="Palatino Linotype" w:cs="Palatino Linotype"/>
          <w:i/>
          <w:iCs/>
        </w:rPr>
        <w:t xml:space="preserve">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Pr>
          <w:rFonts w:ascii="Palatino Linotype" w:eastAsia="Palatino Linotype" w:hAnsi="Palatino Linotype" w:cs="Palatino Linotype"/>
          <w:b/>
          <w:bCs/>
          <w:i/>
          <w:iCs/>
        </w:rPr>
        <w:t>Por la naturaleza de la información, las medidas de seguridad que se adopten serán consideradas confidenciales y únicamente se comunicará al Instituto, para su registro, el nivel de seguridad aplicable.</w:t>
      </w:r>
    </w:p>
    <w:p w:rsidR="001F4AB0" w:rsidRDefault="00C255A6">
      <w:pPr>
        <w:tabs>
          <w:tab w:val="left" w:pos="851"/>
        </w:tabs>
        <w:spacing w:line="360" w:lineRule="auto"/>
        <w:ind w:left="851" w:right="901"/>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 </w:t>
      </w:r>
    </w:p>
    <w:p w:rsidR="001F4AB0" w:rsidRDefault="00C255A6">
      <w:pPr>
        <w:tabs>
          <w:tab w:val="left" w:pos="851"/>
        </w:tabs>
        <w:spacing w:line="360" w:lineRule="auto"/>
        <w:ind w:left="851" w:right="901"/>
        <w:jc w:val="both"/>
        <w:rPr>
          <w:rFonts w:ascii="Palatino Linotype" w:eastAsia="Palatino Linotype" w:hAnsi="Palatino Linotype" w:cs="Palatino Linotype"/>
        </w:rPr>
      </w:pPr>
      <w:r>
        <w:rPr>
          <w:rFonts w:ascii="Palatino Linotype" w:eastAsia="Palatino Linotype" w:hAnsi="Palatino Linotype" w:cs="Palatino Linotype"/>
        </w:rPr>
        <w:t>(Énfasis propio)</w:t>
      </w:r>
    </w:p>
    <w:p w:rsidR="001F4AB0" w:rsidRDefault="001F4AB0">
      <w:pPr>
        <w:tabs>
          <w:tab w:val="left" w:pos="851"/>
        </w:tabs>
        <w:spacing w:line="360" w:lineRule="auto"/>
        <w:ind w:right="901"/>
        <w:jc w:val="both"/>
        <w:rPr>
          <w:rFonts w:ascii="Palatino Linotype" w:eastAsia="Palatino Linotype" w:hAnsi="Palatino Linotype" w:cs="Palatino Linotype"/>
          <w:i/>
          <w:iCs/>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 base en lo anterior se actualiza el supuesto de restricción de acceso a la información pública que contempla el artículo 91 de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xml:space="preserve">, aunado a lo que señala el artículo 143 segundo párrafo de la Ley referida, misma que a la letra dice: </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143.</w:t>
      </w:r>
      <w:r>
        <w:rPr>
          <w:rFonts w:ascii="Palatino Linotype" w:eastAsia="Palatino Linotype" w:hAnsi="Palatino Linotype" w:cs="Palatino Linotype"/>
          <w:i/>
          <w:iCs/>
        </w:rPr>
        <w:t xml:space="preserve"> (…)</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obstante, es menester referir el contenido de los siguientes artículos previstos en la Ley de Protección de Datos de la entidad, en los que se prevé el contenido y lo referente a los documentos de seguridad:</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Tipos y Niveles de Seguridad</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44.</w:t>
      </w:r>
      <w:r>
        <w:rPr>
          <w:rFonts w:ascii="Palatino Linotype" w:eastAsia="Palatino Linotype" w:hAnsi="Palatino Linotype" w:cs="Palatino Linotype"/>
          <w:i/>
          <w:iCs/>
        </w:rPr>
        <w:t xml:space="preserve"> El responsable adoptará las medidas de seguridad, conforme a lo siguiente:</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 Tipos de seguridad:</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 Física: a la medida orientada a la protección de instalaciones, equipos, soportes, sistemas o bases de datos para la prevención de riesgos por caso fortuito o causas de fuerza mayor.</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 Lógica: a las medidas de seguridad administrativas y de protección que permiten la identificación y autenticación de las usuarias y los usuarios autorizados para el tratamiento de los datos personales de acuerdo con su función.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IV. De cifrado: a la implementación de algoritmos, claves, contraseñas, así como dispositivos concretos de protección que garanticen la seguridad de la información.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 De comunicaciones y redes: a las medidas de seguridad técnicas, así como restricciones preventivas y de riesgos que deberán observar los usuarios de datos o </w:t>
      </w:r>
      <w:r>
        <w:rPr>
          <w:rFonts w:ascii="Palatino Linotype" w:eastAsia="Palatino Linotype" w:hAnsi="Palatino Linotype" w:cs="Palatino Linotype"/>
          <w:i/>
          <w:iCs/>
        </w:rPr>
        <w:lastRenderedPageBreak/>
        <w:t>sistemas de datos personales para acceder a dominios o cargar programas autorizados, así como para el manejo de telecomunicaciones.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B. Niveles de seguridad:</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 Básico: a las medidas generales de seguridad cuya aplicación es obligatoria para todos los sistemas y bases de datos personales. Dichas medidas corresponden a los siguientes aspectos: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 Documento de seguridad.</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b) Funciones y obligaciones del personal que intervenga en el tratamiento de las bases o sistemas de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c) Registro de incidencias.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d) Identificación y autenticación.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e) Control de acceso.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f) Gestión de soportes.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g) Copias de respaldo y recuperación.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Este nivel de seguridad, de manera adicional a las medidas calificadas como básicas, considera los aspectos siguientes: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 Responsable de seguridad.</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b) Auditoría.</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c) Control de acceso físico.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d) Pruebas con datos reales.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En estos casos, además de incorporar las medidas de nivel básico y medio, deberán completar las que se detallan a continuación: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 Distribución de soportes.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b) Registro de acceso.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c) Telecomunicaciones.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Los diferentes niveles de seguridad serán establecidos atendiendo a las características propias de la información.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Elementos a considerar para la adopción de medidas de seguridad y su naturaleza</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45.</w:t>
      </w:r>
      <w:r>
        <w:rPr>
          <w:rFonts w:ascii="Palatino Linotype" w:eastAsia="Palatino Linotype" w:hAnsi="Palatino Linotype" w:cs="Palatino Linotype"/>
          <w:i/>
          <w:iCs/>
        </w:rPr>
        <w:t xml:space="preserve"> Las medidas de seguridad adoptadas por el responsable considerarán: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 El riesgo inherente a los datos personales tratados.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 La sensibilidad de los datos personales tratados.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III. El desarrollo tecnológico.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IV. Las posibles consecuencias de una vulneración para las y los titulares.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 Las transferencias de datos personales que se realicen.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 El número de titulares.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VII. Las violaciones a la seguridad previas ocurridas en los sistemas de tratamiento.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VIII. El riesgo por el valor potencial cuantitativo o cualitativo que pudieran tener los datos personales tratados para una tercera persona no autorizada para su posesión.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Actividades interrelacionadas para establecer y mantener las medidas de seguridad.</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Artículo 46. Para establecer y mantener las medidas de seguridad para la protección de los datos personales, el responsable realizará, al menos, las actividades interrelacionadas siguientes: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 Crear políticas internas para la gestión y tratamiento de los datos personales, que tomen en cuenta el contexto en el que ocurren los tratamientos y el ciclo de vida de los datos personales, es decir, su obtención, uso y posterior supresión.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 Definir las funciones y obligaciones del personal involucrado en el tratamiento de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III. Elaborar un inventario de datos personales y de las bases y o sistemas de tratamiento.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 Realizar un análisis de brecha, comparando las medidas de seguridad existentes contra las faltantes en la organización del responsable.</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VI. Elaborar un plan de trabajo para la implementación de las medidas de seguridad faltantes, así como las medidas para el cumplimiento cotidiano de las políticas de gestión y tratamiento de los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VII. Monitorear y revisar de manera periódica las medidas de seguridad implementadas, así como las amenazas y vulnerabilidades a las que están sujetos los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VIII. Diseñar y aplicar diferentes niveles de capacitación del personal bajo su mando, dependiendo de sus roles y responsabilidades respecto del tratamiento de los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Actividades interrelacionadas para establecer y mantener las medidas de seguridad.</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Artículo 46. Para establecer y mantener las medidas de seguridad para la protección de los datos personales, el responsable realizará, al menos, las actividades interrelacionadas siguientes: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 Crear políticas internas para la gestión y tratamiento de los datos personales, que tomen en cuenta el contexto en el que ocurren los tratamientos y el ciclo de vida de los datos personales, es decir, su obtención, uso y posterior supresión.</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 Definir las funciones y obligaciones del personal involucrado en el tratamiento de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III. Elaborar un inventario de datos personales y de las bases y o sistemas de tratamiento.</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Realizar un análisis de riesgo de los datos personales, considerando las amenazas y vulnerabilidades existentes para los datos personales y los recursos </w:t>
      </w:r>
      <w:r>
        <w:rPr>
          <w:rFonts w:ascii="Palatino Linotype" w:eastAsia="Palatino Linotype" w:hAnsi="Palatino Linotype" w:cs="Palatino Linotype"/>
          <w:i/>
          <w:iCs/>
        </w:rPr>
        <w:lastRenderedPageBreak/>
        <w:t>involucrados en su tratamiento, como pueden ser, de manera enunciativa más no limitativa, hardware, software, personal del responsable, entre otros.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 Realizar un análisis de brecha, comparando las medidas de seguridad existentes contra las faltantes en la organización del responsable.</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 Elaborar un plan de trabajo para la implementación de las medidas de seguridad faltantes, así como las medidas para el cumplimiento cotidiano de las políticas de gestión y tratamiento de los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VII. Monitorear y revisar de manera periódica las medidas de seguridad implementadas, así como las amenazas y vulnerabilidades a las que están sujetos los datos personales.</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VIII. Diseñar y aplicar diferentes niveles de capacitación del personal bajo su mando, dependiendo de sus roles y responsabilidades respecto del tratamiento de los datos personales.”</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 lo anterior, que se desprende la relevancia de los documentos de seguridad, por lo que en dichos términos y de conformidad con lo emanado por la multi referida Ley de Datos, dicho documento es susceptible de ser entregado en versión pública clasificando de carácter confidencial las medidas de seguridad que hayan sido adoptadas, como se desprende del documento entregado.</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concordancia con lo anterior, el numeral Trigésimo Octavo, segundo párrafo de los Lineamientos Generales den materia de Clasificación y Desclasificación de la </w:t>
      </w:r>
      <w:r>
        <w:rPr>
          <w:rFonts w:ascii="Palatino Linotype" w:eastAsia="Palatino Linotype" w:hAnsi="Palatino Linotype" w:cs="Palatino Linotype"/>
          <w:color w:val="000000"/>
        </w:rPr>
        <w:lastRenderedPageBreak/>
        <w:t xml:space="preserve">información, así como para la elaboración de Versiones Públicas, publicado en el Diario Oficial de la Federación el quince de abril de dos mil dieciséis, señala lo siguiente: </w:t>
      </w: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Trigésimo octavo.</w:t>
      </w:r>
      <w:r>
        <w:rPr>
          <w:rFonts w:ascii="Palatino Linotype" w:eastAsia="Palatino Linotype" w:hAnsi="Palatino Linotype" w:cs="Palatino Linotype"/>
          <w:i/>
          <w:iCs/>
        </w:rPr>
        <w:t xml:space="preserve"> (…)</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tabs>
          <w:tab w:val="left" w:pos="851"/>
        </w:tabs>
        <w:spacing w:line="360" w:lineRule="auto"/>
        <w:ind w:left="851" w:right="901"/>
        <w:jc w:val="both"/>
        <w:rPr>
          <w:rFonts w:ascii="Palatino Linotype" w:eastAsia="Palatino Linotype" w:hAnsi="Palatino Linotype" w:cs="Palatino Linotype"/>
          <w:i/>
          <w:iCs/>
        </w:rPr>
      </w:pPr>
      <w:r>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rsidR="001F4AB0" w:rsidRDefault="001F4AB0">
      <w:pPr>
        <w:tabs>
          <w:tab w:val="left" w:pos="851"/>
        </w:tabs>
        <w:spacing w:line="360" w:lineRule="auto"/>
        <w:ind w:left="851" w:right="901"/>
        <w:jc w:val="both"/>
        <w:rPr>
          <w:rFonts w:ascii="Palatino Linotype" w:eastAsia="Palatino Linotype" w:hAnsi="Palatino Linotype" w:cs="Palatino Linotype"/>
          <w:i/>
          <w:iCs/>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resulta importante señalar que las medidas de seguridad aplicables a las bases de datos personales por parte del responsable es </w:t>
      </w:r>
      <w:r>
        <w:rPr>
          <w:rFonts w:ascii="Palatino Linotype" w:eastAsia="Palatino Linotype" w:hAnsi="Palatino Linotype" w:cs="Palatino Linotype"/>
          <w:b/>
          <w:bCs/>
          <w:color w:val="000000"/>
        </w:rPr>
        <w:t xml:space="preserve">información de carácter confidencial, </w:t>
      </w:r>
      <w:r>
        <w:rPr>
          <w:rFonts w:ascii="Palatino Linotype" w:eastAsia="Palatino Linotype" w:hAnsi="Palatino Linotype" w:cs="Palatino Linotype"/>
          <w:color w:val="000000"/>
        </w:rPr>
        <w:t xml:space="preserve">por mandato expreso del artículo 43 de la Ley de Protección de Datos Personales del Estado de México y Municipios,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 en poder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resulta procedente clasificar como información confidencial los documentos de seguridad; sin embargo, es importante precisar que </w:t>
      </w:r>
      <w:r>
        <w:rPr>
          <w:rFonts w:ascii="Palatino Linotype" w:eastAsia="Palatino Linotype" w:hAnsi="Palatino Linotype" w:cs="Palatino Linotype"/>
          <w:color w:val="0D0D0D"/>
        </w:rPr>
        <w:t xml:space="preserve">la clasificación de la información no se da por el simple mandato de la ley, sino que </w:t>
      </w: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rPr>
        <w:t xml:space="preserve">EL SUJETO OBLIGADO </w:t>
      </w:r>
      <w:r>
        <w:rPr>
          <w:rFonts w:ascii="Palatino Linotype" w:eastAsia="Palatino Linotype" w:hAnsi="Palatino Linotype" w:cs="Palatino Linotype"/>
          <w:color w:val="000000"/>
        </w:rPr>
        <w:t xml:space="preserve">emita el </w:t>
      </w:r>
      <w:r>
        <w:rPr>
          <w:rFonts w:ascii="Palatino Linotype" w:eastAsia="Palatino Linotype" w:hAnsi="Palatino Linotype" w:cs="Palatino Linotype"/>
          <w:color w:val="0D0D0D"/>
        </w:rPr>
        <w:t xml:space="preserve">Acuerdo de clasificación de la información como confidencial, cumpliendo con la </w:t>
      </w:r>
      <w:r>
        <w:rPr>
          <w:rFonts w:ascii="Palatino Linotype" w:eastAsia="Palatino Linotype" w:hAnsi="Palatino Linotype" w:cs="Palatino Linotype"/>
          <w:color w:val="000000"/>
        </w:rPr>
        <w:t xml:space="preserve">forma y formalidades que la ley impone; es decir, mediante acuerdo </w:t>
      </w:r>
      <w:r>
        <w:rPr>
          <w:rFonts w:ascii="Palatino Linotype" w:eastAsia="Palatino Linotype" w:hAnsi="Palatino Linotype" w:cs="Palatino Linotype"/>
          <w:color w:val="000000"/>
        </w:rPr>
        <w:lastRenderedPageBreak/>
        <w:t xml:space="preserve">debidamente fundado y motivado, en términos de los numerales 49, fracción VIII, 132 fracciones I, II y III, de la Ley de Transparencia y Acceso a la Información Pública del Estado de México y Municipios, los cuales disponen lo siguiente: </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49. </w:t>
      </w:r>
      <w:r>
        <w:rPr>
          <w:rFonts w:ascii="Palatino Linotype" w:eastAsia="Palatino Linotype" w:hAnsi="Palatino Linotype" w:cs="Palatino Linotype"/>
          <w:i/>
          <w:iCs/>
        </w:rPr>
        <w:t>Los Comités de Transparencia tendrán las siguientes atribuciones:</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w:t>
      </w:r>
      <w:r>
        <w:rPr>
          <w:rFonts w:ascii="Palatino Linotype" w:eastAsia="Palatino Linotype" w:hAnsi="Palatino Linotype" w:cs="Palatino Linotype"/>
          <w:i/>
          <w:iCs/>
        </w:rPr>
        <w:t xml:space="preserve"> Aprobar, modificar o revocar la clasificación de la información;</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132.</w:t>
      </w:r>
      <w:r>
        <w:rPr>
          <w:rFonts w:ascii="Palatino Linotype" w:eastAsia="Palatino Linotype" w:hAnsi="Palatino Linotype" w:cs="Palatino Linotype"/>
          <w:i/>
          <w:iCs/>
        </w:rPr>
        <w:t xml:space="preserve"> La clasificación de la información se llevará a cabo en el momento en que:</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reciba una solicitud de acceso a la información;</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Se determine mediante resolución de autoridad competente; o</w:t>
      </w:r>
    </w:p>
    <w:p w:rsidR="001F4AB0" w:rsidRDefault="00C255A6">
      <w:pPr>
        <w:spacing w:line="360" w:lineRule="auto"/>
        <w:ind w:left="851" w:right="902"/>
        <w:jc w:val="both"/>
        <w:rPr>
          <w:rFonts w:ascii="Palatino Linotype" w:eastAsia="Palatino Linotype" w:hAnsi="Palatino Linotype" w:cs="Palatino Linotype"/>
          <w:b/>
          <w:bCs/>
          <w:i/>
          <w:iCs/>
        </w:rPr>
      </w:pPr>
      <w:r>
        <w:rPr>
          <w:rFonts w:ascii="Palatino Linotype" w:eastAsia="Palatino Linotype" w:hAnsi="Palatino Linotype" w:cs="Palatino Linotype"/>
          <w:i/>
          <w:iCs/>
        </w:rPr>
        <w:t>III. Se generen versiones públicas para dar cumplimiento a las obligaciones de transparencia previstas en esta Ley.</w:t>
      </w:r>
      <w:r>
        <w:rPr>
          <w:rFonts w:ascii="Palatino Linotype" w:eastAsia="Palatino Linotype" w:hAnsi="Palatino Linotype" w:cs="Palatino Linotype"/>
          <w:b/>
          <w:bCs/>
          <w:i/>
          <w:iCs/>
        </w:rPr>
        <w:t>”</w:t>
      </w:r>
    </w:p>
    <w:p w:rsidR="001F07DA" w:rsidRDefault="001F07DA">
      <w:pPr>
        <w:spacing w:line="360" w:lineRule="auto"/>
        <w:ind w:left="851" w:right="902"/>
        <w:jc w:val="both"/>
        <w:rPr>
          <w:rFonts w:ascii="Palatino Linotype" w:eastAsia="Palatino Linotype" w:hAnsi="Palatino Linotype" w:cs="Palatino Linotype"/>
          <w:i/>
          <w:iCs/>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es de destacar que los numerales del Cuarto al Octavo de los Lineamientos Generales en materia de Clasificación y Desclasificación de la Información, así como para la elaboración de Versiones Públicas, que literalmente expresan:</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“Cuarto.</w:t>
      </w:r>
      <w:r>
        <w:rPr>
          <w:rFonts w:ascii="Palatino Linotype" w:eastAsia="Palatino Linotype" w:hAnsi="Palatino Linotype" w:cs="Palatino Linotype"/>
          <w:i/>
          <w:iCs/>
        </w:rPr>
        <w:t xml:space="preserve"> Para clasificar la información como reservada o </w:t>
      </w:r>
      <w:r>
        <w:rPr>
          <w:rFonts w:ascii="Palatino Linotype" w:eastAsia="Palatino Linotype" w:hAnsi="Palatino Linotype" w:cs="Palatino Linotype"/>
          <w:b/>
          <w:bCs/>
          <w:i/>
          <w:iCs/>
        </w:rPr>
        <w:t>confidencial</w:t>
      </w:r>
      <w:r>
        <w:rPr>
          <w:rFonts w:ascii="Palatino Linotype" w:eastAsia="Palatino Linotype" w:hAnsi="Palatino Linotype" w:cs="Palatino Linotype"/>
          <w:i/>
          <w:iCs/>
        </w:rPr>
        <w:t xml:space="preserve">, de manera </w:t>
      </w:r>
      <w:r>
        <w:rPr>
          <w:rFonts w:ascii="Palatino Linotype" w:eastAsia="Palatino Linotype" w:hAnsi="Palatino Linotype" w:cs="Palatino Linotype"/>
          <w:b/>
          <w:bCs/>
          <w:i/>
          <w:iCs/>
        </w:rPr>
        <w:t>total</w:t>
      </w:r>
      <w:r>
        <w:rPr>
          <w:rFonts w:ascii="Palatino Linotype" w:eastAsia="Palatino Linotype" w:hAnsi="Palatino Linotype" w:cs="Palatino Linotype"/>
          <w:i/>
          <w:iCs/>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Los sujetos obligados deberán aplicar, de manera estricta, las excepciones al derecho de acceso a la información y sólo podrán invocarlas cuando acrediten su procedencia.</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Quinto.</w:t>
      </w:r>
      <w:r>
        <w:rPr>
          <w:rFonts w:ascii="Palatino Linotype" w:eastAsia="Palatino Linotype" w:hAnsi="Palatino Linotype" w:cs="Palatino Linotype"/>
          <w:i/>
          <w:iC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Pr>
          <w:rFonts w:ascii="Palatino Linotype" w:eastAsia="Palatino Linotype" w:hAnsi="Palatino Linotype" w:cs="Palatino Linotype"/>
          <w:b/>
          <w:bCs/>
          <w:i/>
          <w:iCs/>
        </w:rPr>
        <w:t>fundar y motivar debidamente la clasificación de la información ante una solicitud de acceso</w:t>
      </w:r>
      <w:r>
        <w:rPr>
          <w:rFonts w:ascii="Palatino Linotype" w:eastAsia="Palatino Linotype" w:hAnsi="Palatino Linotype" w:cs="Palatino Linotype"/>
          <w:i/>
          <w:iCs/>
        </w:rPr>
        <w:t xml:space="preserve"> o al momento en que generen versiones públicas para dar cumplimiento a las obligaciones de transparencia, observando lo dispuesto en la Ley General y las demás disposiciones aplicables en la materia.</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Sexto.</w:t>
      </w:r>
      <w:r>
        <w:rPr>
          <w:rFonts w:ascii="Palatino Linotype" w:eastAsia="Palatino Linotype" w:hAnsi="Palatino Linotype" w:cs="Palatino Linotype"/>
          <w:i/>
          <w:iC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La clasificación de información</w:t>
      </w:r>
      <w:r>
        <w:rPr>
          <w:rFonts w:ascii="Palatino Linotype" w:eastAsia="Palatino Linotype" w:hAnsi="Palatino Linotype" w:cs="Palatino Linotype"/>
          <w:i/>
          <w:iCs/>
        </w:rPr>
        <w:t xml:space="preserve"> se realizará conforme a un </w:t>
      </w:r>
      <w:r>
        <w:rPr>
          <w:rFonts w:ascii="Palatino Linotype" w:eastAsia="Palatino Linotype" w:hAnsi="Palatino Linotype" w:cs="Palatino Linotype"/>
          <w:b/>
          <w:bCs/>
          <w:i/>
          <w:iCs/>
        </w:rPr>
        <w:t>análisis caso por caso</w:t>
      </w:r>
      <w:r>
        <w:rPr>
          <w:rFonts w:ascii="Palatino Linotype" w:eastAsia="Palatino Linotype" w:hAnsi="Palatino Linotype" w:cs="Palatino Linotype"/>
          <w:i/>
          <w:iCs/>
        </w:rPr>
        <w:t>, mediante la aplicación de la prueba de daño y de interés público.</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Séptimo.</w:t>
      </w:r>
      <w:r>
        <w:rPr>
          <w:rFonts w:ascii="Palatino Linotype" w:eastAsia="Palatino Linotype" w:hAnsi="Palatino Linotype" w:cs="Palatino Linotype"/>
          <w:i/>
          <w:iCs/>
        </w:rPr>
        <w:t xml:space="preserve"> La clasificación de la información se llevará a cabo en el momento en que:</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reciba una solicitud de acceso a la información;</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Se determine mediante resolución de autoridad competente, o</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III.</w:t>
      </w:r>
      <w:r>
        <w:rPr>
          <w:rFonts w:ascii="Palatino Linotype" w:eastAsia="Palatino Linotype" w:hAnsi="Palatino Linotype" w:cs="Palatino Linotype"/>
          <w:i/>
          <w:iCs/>
        </w:rPr>
        <w:t xml:space="preserve"> Se generen versiones públicas para dar cumplimiento a las obligaciones de transparencia previstas en la Ley General, la Ley Federal y las correspondientes de las entidades federativas.</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Los titulares de las áreas deberán revisar la clasificación al momento de la recepción de una solicitud de acceso a la información, para verificar si encuadra en una causal de reserva o de confidencialidad.</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Octavo.</w:t>
      </w:r>
      <w:r>
        <w:rPr>
          <w:rFonts w:ascii="Palatino Linotype" w:eastAsia="Palatino Linotype" w:hAnsi="Palatino Linotype" w:cs="Palatino Linotype"/>
          <w:i/>
          <w:iC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Para motivar la clasificación se deberán señalar las razones o circunstancias especiales que lo llevaron a concluir que el caso particular se ajusta al supuesto previsto por la norma legal invocada como fundamento.</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En caso de referirse a información reservada, la motivación de la clasificación también deberá comprender las circunstancias que justifican el establecimiento de determinado plazo de reserva.</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Tratándose de información clasificada como confidencial respecto de la cual se haya determinado su conservación permanente por tener valor histórico, ésta conservará tal carácter de conformidad con la normativa aplicable en materia de archivos.</w:t>
      </w:r>
    </w:p>
    <w:p w:rsidR="001F4AB0" w:rsidRDefault="00C255A6">
      <w:pPr>
        <w:spacing w:line="360" w:lineRule="auto"/>
        <w:ind w:left="851" w:right="902"/>
        <w:jc w:val="both"/>
        <w:rPr>
          <w:rFonts w:ascii="Palatino Linotype" w:eastAsia="Palatino Linotype" w:hAnsi="Palatino Linotype" w:cs="Palatino Linotype"/>
          <w:b/>
          <w:bCs/>
          <w:i/>
          <w:iCs/>
        </w:rPr>
      </w:pPr>
      <w:r>
        <w:rPr>
          <w:rFonts w:ascii="Palatino Linotype" w:eastAsia="Palatino Linotype" w:hAnsi="Palatino Linotype" w:cs="Palatino Linotype"/>
          <w:i/>
          <w:iCs/>
        </w:rPr>
        <w:t>Los documentos contenidos en los archivos históricos y los identificados como históricos confidenciales no serán susceptibles de clasificación como reservados.</w:t>
      </w:r>
      <w:r>
        <w:rPr>
          <w:rFonts w:ascii="Palatino Linotype" w:eastAsia="Palatino Linotype" w:hAnsi="Palatino Linotype" w:cs="Palatino Linotype"/>
          <w:b/>
          <w:bCs/>
          <w:i/>
          <w:iCs/>
        </w:rPr>
        <w:t>”</w:t>
      </w:r>
    </w:p>
    <w:p w:rsidR="001F4AB0" w:rsidRDefault="001F4AB0">
      <w:pPr>
        <w:spacing w:line="360" w:lineRule="auto"/>
        <w:ind w:left="851" w:right="902"/>
        <w:jc w:val="both"/>
        <w:rPr>
          <w:rFonts w:ascii="Palatino Linotype" w:eastAsia="Palatino Linotype" w:hAnsi="Palatino Linotype" w:cs="Palatino Linotype"/>
          <w:i/>
          <w:iCs/>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puede advertir que para clasificar la información como confidencial, se debe emitir un Acuerdo debidamente fundado y motivado en el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w:t>
      </w:r>
      <w:r>
        <w:rPr>
          <w:rFonts w:ascii="Palatino Linotype" w:eastAsia="Palatino Linotype" w:hAnsi="Palatino Linotype" w:cs="Palatino Linotype"/>
          <w:color w:val="000000"/>
        </w:rPr>
        <w:lastRenderedPageBreak/>
        <w:t>acreditar dichos supuestos jurídicos se debe fundar y motivar correctamente la categorización de la información.</w:t>
      </w:r>
    </w:p>
    <w:p w:rsidR="001F4AB0" w:rsidRDefault="001F4AB0">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1F4AB0" w:rsidRDefault="00C255A6">
      <w:pPr>
        <w:pBdr>
          <w:top w:val="nil"/>
          <w:left w:val="nil"/>
          <w:bottom w:val="nil"/>
          <w:right w:val="nil"/>
          <w:between w:val="nil"/>
        </w:pBdr>
        <w:spacing w:line="360" w:lineRule="auto"/>
        <w:ind w:left="851" w:right="902"/>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 xml:space="preserve">FUNDAMENTACIÓN Y MOTIVACIÓN. </w:t>
      </w:r>
      <w:r>
        <w:rPr>
          <w:rFonts w:ascii="Palatino Linotype" w:eastAsia="Palatino Linotype" w:hAnsi="Palatino Linotype" w:cs="Palatino Linotype"/>
          <w:i/>
          <w:iCs/>
          <w:color w:val="000000"/>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F4AB0" w:rsidRDefault="001F4AB0">
      <w:pPr>
        <w:pBdr>
          <w:top w:val="nil"/>
          <w:left w:val="nil"/>
          <w:bottom w:val="nil"/>
          <w:right w:val="nil"/>
          <w:between w:val="nil"/>
        </w:pBdr>
        <w:spacing w:line="360" w:lineRule="auto"/>
        <w:ind w:left="851" w:right="902"/>
        <w:jc w:val="both"/>
        <w:rPr>
          <w:rFonts w:ascii="Palatino Linotype" w:eastAsia="Palatino Linotype" w:hAnsi="Palatino Linotype" w:cs="Palatino Linotype"/>
          <w:i/>
          <w:iCs/>
          <w:color w:val="000000"/>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1F4AB0" w:rsidRDefault="00C255A6">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iCs/>
        </w:rPr>
        <w:t xml:space="preserve">. El contenido formal de la garantía de legalidad prevista en el artículo 16 constitucional relativa a la </w:t>
      </w:r>
      <w:r>
        <w:rPr>
          <w:rFonts w:ascii="Palatino Linotype" w:eastAsia="Palatino Linotype" w:hAnsi="Palatino Linotype" w:cs="Palatino Linotype"/>
          <w:b/>
          <w:bCs/>
          <w:i/>
          <w:iC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iCs/>
        </w:rPr>
        <w:t xml:space="preserve">. Por tanto, </w:t>
      </w:r>
      <w:r>
        <w:rPr>
          <w:rFonts w:ascii="Palatino Linotype" w:eastAsia="Palatino Linotype" w:hAnsi="Palatino Linotype" w:cs="Palatino Linotype"/>
          <w:b/>
          <w:bCs/>
          <w:i/>
          <w:iCs/>
        </w:rPr>
        <w:t>no basta que el acto de autoridad apenas observe una motivación pro forma pero de una manera incongruente, insuficiente o imprecisa</w:t>
      </w:r>
      <w:r>
        <w:rPr>
          <w:rFonts w:ascii="Palatino Linotype" w:eastAsia="Palatino Linotype" w:hAnsi="Palatino Linotype" w:cs="Palatino Linotype"/>
          <w:i/>
          <w:iCs/>
        </w:rPr>
        <w:t>, que impida la finalidad del conocimiento, comprobación y defensa pertinente</w:t>
      </w:r>
      <w:r>
        <w:rPr>
          <w:rFonts w:ascii="Palatino Linotype" w:eastAsia="Palatino Linotype" w:hAnsi="Palatino Linotype" w:cs="Palatino Linotype"/>
          <w:b/>
          <w:bCs/>
          <w:i/>
          <w:iC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iCs/>
        </w:rPr>
        <w:t>.”</w:t>
      </w:r>
    </w:p>
    <w:p w:rsidR="001F4AB0" w:rsidRDefault="00C255A6">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lastRenderedPageBreak/>
        <w:t xml:space="preserve">En esa tesitura es que el SUJETO OBLIGADO, a través del archivo denominado </w:t>
      </w:r>
      <w:r>
        <w:rPr>
          <w:rFonts w:ascii="Palatino Linotype" w:eastAsia="Palatino Linotype" w:hAnsi="Palatino Linotype" w:cs="Palatino Linotype"/>
          <w:i/>
          <w:iCs/>
          <w:color w:val="000000"/>
        </w:rPr>
        <w:t>Acta de la 10a. Sesión Extraordinaria del CT 2025 1.pdf</w:t>
      </w:r>
      <w:r>
        <w:rPr>
          <w:rFonts w:ascii="Palatino Linotype" w:eastAsia="Palatino Linotype" w:hAnsi="Palatino Linotype" w:cs="Palatino Linotype"/>
          <w:color w:val="000000"/>
        </w:rPr>
        <w:t xml:space="preserve">, contiene el Acta de la Décima Sesión Extraordinaria del </w:t>
      </w:r>
      <w:r>
        <w:rPr>
          <w:rFonts w:ascii="Palatino Linotype" w:eastAsia="Palatino Linotype" w:hAnsi="Palatino Linotype" w:cs="Palatino Linotype"/>
        </w:rPr>
        <w:t>Comité</w:t>
      </w:r>
      <w:r>
        <w:rPr>
          <w:rFonts w:ascii="Palatino Linotype" w:eastAsia="Palatino Linotype" w:hAnsi="Palatino Linotype" w:cs="Palatino Linotype"/>
          <w:color w:val="000000"/>
        </w:rPr>
        <w:t xml:space="preserve"> de Transparencia del Poder Legislativo del Estado Libre y Soberano de México, sometió a clasificación como información confidencial las medidas de seguridad contenidas en el Documento de Seguridad del Poder Legislativo del Estado de México.</w:t>
      </w:r>
    </w:p>
    <w:p w:rsidR="001F4AB0" w:rsidRDefault="001F4AB0">
      <w:pPr>
        <w:spacing w:line="360" w:lineRule="auto"/>
        <w:ind w:right="49"/>
        <w:jc w:val="both"/>
        <w:rPr>
          <w:rFonts w:ascii="Palatino Linotype" w:eastAsia="Palatino Linotype" w:hAnsi="Palatino Linotype" w:cs="Palatino Linotype"/>
          <w:color w:val="0D0D0D"/>
        </w:rPr>
      </w:pPr>
    </w:p>
    <w:p w:rsidR="001F4AB0" w:rsidRDefault="00C255A6">
      <w:pPr>
        <w:numPr>
          <w:ilvl w:val="0"/>
          <w:numId w:val="1"/>
        </w:numPr>
        <w:pBdr>
          <w:top w:val="nil"/>
          <w:left w:val="nil"/>
          <w:bottom w:val="nil"/>
          <w:right w:val="nil"/>
          <w:between w:val="nil"/>
        </w:pBdr>
        <w:tabs>
          <w:tab w:val="left" w:pos="0"/>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D0D0D"/>
        </w:rPr>
        <w:t xml:space="preserve">Lo anterior es así, pues como ya se señaló la clasificación de la información no se da por el simple mandato de la Ley, sino que </w:t>
      </w: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rPr>
        <w:t xml:space="preserve">EL SUJETO OBLIGADO </w:t>
      </w:r>
      <w:r>
        <w:rPr>
          <w:rFonts w:ascii="Palatino Linotype" w:eastAsia="Palatino Linotype" w:hAnsi="Palatino Linotype" w:cs="Palatino Linotype"/>
          <w:color w:val="000000"/>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 de modo tal que se tiene por colmado el rubro en comento.</w:t>
      </w:r>
    </w:p>
    <w:p w:rsidR="001F4AB0" w:rsidRDefault="001F4AB0">
      <w:pPr>
        <w:pBdr>
          <w:top w:val="nil"/>
          <w:left w:val="nil"/>
          <w:bottom w:val="nil"/>
          <w:right w:val="nil"/>
          <w:between w:val="nil"/>
        </w:pBdr>
        <w:tabs>
          <w:tab w:val="left" w:pos="0"/>
          <w:tab w:val="left" w:pos="142"/>
        </w:tabs>
        <w:spacing w:line="360" w:lineRule="auto"/>
        <w:ind w:left="644"/>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es que se estima devienen improcedentes las razones o motivos de inconformidad expuestos por la parte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siendo lo procedente CONFIRMAR</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la respuesta inicial; toda vez </w:t>
      </w:r>
      <w:r>
        <w:rPr>
          <w:rFonts w:ascii="Palatino Linotype" w:eastAsia="Palatino Linotype" w:hAnsi="Palatino Linotype" w:cs="Palatino Linotype"/>
          <w:color w:val="000000"/>
        </w:rPr>
        <w:t xml:space="preserve">que el Derecho que tutela este Órgano Garante </w:t>
      </w:r>
      <w:r>
        <w:rPr>
          <w:rFonts w:ascii="Palatino Linotype" w:eastAsia="Palatino Linotype" w:hAnsi="Palatino Linotype" w:cs="Palatino Linotype"/>
          <w:color w:val="000000"/>
        </w:rPr>
        <w:lastRenderedPageBreak/>
        <w:t xml:space="preserve">corresponde a la  </w:t>
      </w:r>
      <w:r>
        <w:rPr>
          <w:rFonts w:ascii="Palatino Linotype" w:eastAsia="Palatino Linotype" w:hAnsi="Palatino Linotype" w:cs="Palatino Linotype"/>
          <w:i/>
          <w:iCs/>
        </w:rPr>
        <w:t>igualdad de oportunidades para recibir, buscar e impartir información</w:t>
      </w:r>
      <w:r>
        <w:rPr>
          <w:rFonts w:ascii="Palatino Linotype" w:eastAsia="Palatino Linotype" w:hAnsi="Palatino Linotype" w:cs="Palatino Linotype"/>
          <w:i/>
          <w:iCs/>
          <w:vertAlign w:val="superscript"/>
        </w:rPr>
        <w:footnoteReference w:id="2"/>
      </w:r>
      <w:r>
        <w:rPr>
          <w:rFonts w:ascii="Palatino Linotype" w:eastAsia="Palatino Linotype" w:hAnsi="Palatino Linotype" w:cs="Palatino Linotype"/>
          <w:i/>
          <w:iC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i/>
          <w:iCs/>
        </w:rPr>
        <w:t xml:space="preserve"> </w:t>
      </w:r>
      <w:r>
        <w:rPr>
          <w:rFonts w:ascii="Palatino Linotype" w:eastAsia="Palatino Linotype" w:hAnsi="Palatino Linotype" w:cs="Palatino Linotype"/>
        </w:rPr>
        <w:t xml:space="preserve">que se constituye como una herramienta fundamental para </w:t>
      </w:r>
      <w:r>
        <w:rPr>
          <w:rFonts w:ascii="Palatino Linotype" w:eastAsia="Palatino Linotype" w:hAnsi="Palatino Linotype" w:cs="Palatino Linotype"/>
          <w:i/>
          <w:iCs/>
        </w:rPr>
        <w:t>ejercer control democrático de las gestiones estatales, de forma tal que puedan cuestionar, indagar y considerar si se está dando un adecuado cumplimiento de las funciones públicas,</w:t>
      </w:r>
      <w:r>
        <w:rPr>
          <w:rFonts w:ascii="Palatino Linotype" w:eastAsia="Palatino Linotype" w:hAnsi="Palatino Linotype" w:cs="Palatino Linotype"/>
          <w:i/>
          <w:iCs/>
          <w:vertAlign w:val="superscript"/>
        </w:rPr>
        <w:footnoteReference w:id="4"/>
      </w:r>
      <w:r>
        <w:rPr>
          <w:rFonts w:ascii="Palatino Linotype" w:eastAsia="Palatino Linotype" w:hAnsi="Palatino Linotype" w:cs="Palatino Linotype"/>
        </w:rPr>
        <w:t>fomentando</w:t>
      </w:r>
      <w:r>
        <w:rPr>
          <w:rFonts w:ascii="Palatino Linotype" w:eastAsia="Palatino Linotype" w:hAnsi="Palatino Linotype" w:cs="Palatino Linotype"/>
          <w:i/>
          <w:iCs/>
        </w:rPr>
        <w:t xml:space="preserve"> la transparencia de las actividades estatales y</w:t>
      </w:r>
      <w:r>
        <w:rPr>
          <w:rFonts w:ascii="Palatino Linotype" w:eastAsia="Palatino Linotype" w:hAnsi="Palatino Linotype" w:cs="Palatino Linotype"/>
        </w:rPr>
        <w:t xml:space="preserve"> promoviendo</w:t>
      </w:r>
      <w:r>
        <w:rPr>
          <w:rFonts w:ascii="Palatino Linotype" w:eastAsia="Palatino Linotype" w:hAnsi="Palatino Linotype" w:cs="Palatino Linotype"/>
          <w:i/>
          <w:iCs/>
        </w:rPr>
        <w:t xml:space="preserve"> la responsabilidad de los funcionarios sobre su gestión pública</w:t>
      </w:r>
      <w:r>
        <w:rPr>
          <w:rFonts w:ascii="Palatino Linotype" w:eastAsia="Palatino Linotype" w:hAnsi="Palatino Linotype" w:cs="Palatino Linotype"/>
          <w:i/>
          <w:iCs/>
          <w:vertAlign w:val="superscript"/>
        </w:rPr>
        <w:footnoteReference w:id="5"/>
      </w:r>
      <w:r>
        <w:rPr>
          <w:rFonts w:ascii="Palatino Linotype" w:eastAsia="Palatino Linotype" w:hAnsi="Palatino Linotype" w:cs="Palatino Linotype"/>
          <w:i/>
          <w:iCs/>
        </w:rPr>
        <w:t xml:space="preserve"> </w:t>
      </w:r>
      <w:r>
        <w:rPr>
          <w:rFonts w:ascii="Palatino Linotype" w:eastAsia="Palatino Linotype" w:hAnsi="Palatino Linotype" w:cs="Palatino Linotype"/>
        </w:rPr>
        <w:t>que permite</w:t>
      </w:r>
      <w:r>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r>
        <w:rPr>
          <w:rFonts w:ascii="Palatino Linotype" w:eastAsia="Palatino Linotype" w:hAnsi="Palatino Linotype" w:cs="Palatino Linotype"/>
          <w:i/>
          <w:iCs/>
          <w:vertAlign w:val="superscript"/>
        </w:rPr>
        <w:footnoteReference w:id="6"/>
      </w:r>
      <w:r>
        <w:rPr>
          <w:rFonts w:ascii="Palatino Linotype" w:eastAsia="Palatino Linotype" w:hAnsi="Palatino Linotype" w:cs="Palatino Linotype"/>
        </w:rPr>
        <w:t xml:space="preserve"> ” </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todos los actos de autoridad que realicen los Sujetos Obligados </w:t>
      </w:r>
      <w:r>
        <w:rPr>
          <w:rFonts w:ascii="Palatino Linotype" w:eastAsia="Palatino Linotype" w:hAnsi="Palatino Linotype" w:cs="Palatino Linotype"/>
          <w:b/>
          <w:bCs/>
        </w:rPr>
        <w:t>deben estar documentados</w:t>
      </w:r>
      <w:r>
        <w:rPr>
          <w:rFonts w:ascii="Palatino Linotype" w:eastAsia="Palatino Linotype" w:hAnsi="Palatino Linotype" w:cs="Palatino Linotype"/>
        </w:rPr>
        <w:t xml:space="preserve"> y, bajo el más alto estándar de transparencia deberán poner toda la información que se encuentre en su posesión, a disposición de los particulares que la soliciten.</w:t>
      </w:r>
    </w:p>
    <w:p w:rsidR="001F4AB0" w:rsidRDefault="001F4AB0">
      <w:pPr>
        <w:pBdr>
          <w:top w:val="nil"/>
          <w:left w:val="nil"/>
          <w:bottom w:val="nil"/>
          <w:right w:val="nil"/>
          <w:between w:val="nil"/>
        </w:pBdr>
        <w:ind w:left="720"/>
        <w:rPr>
          <w:rFonts w:ascii="Palatino Linotype" w:eastAsia="Palatino Linotype" w:hAnsi="Palatino Linotype" w:cs="Palatino Linotype"/>
          <w:color w:val="000000"/>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Además, debemos tomar en cuenta los artículos 4 y 12, de la Ley de Transparencia y Acceso a la Información Pública del Estado de México y </w:t>
      </w:r>
      <w:r>
        <w:rPr>
          <w:rFonts w:ascii="Palatino Linotype" w:eastAsia="Palatino Linotype" w:hAnsi="Palatino Linotype" w:cs="Palatino Linotype"/>
        </w:rPr>
        <w:t>Municipios</w:t>
      </w:r>
      <w:r>
        <w:rPr>
          <w:rFonts w:ascii="Palatino Linotype" w:eastAsia="Palatino Linotype" w:hAnsi="Palatino Linotype" w:cs="Palatino Linotype"/>
          <w:color w:val="000000"/>
        </w:rPr>
        <w:t>, los cuales establecen lo siguiente:</w:t>
      </w:r>
    </w:p>
    <w:p w:rsidR="001F4AB0" w:rsidRDefault="00C255A6">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4. </w:t>
      </w:r>
      <w:r>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1F4AB0" w:rsidRDefault="00C255A6">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Toda la información</w:t>
      </w:r>
      <w:r>
        <w:rPr>
          <w:rFonts w:ascii="Palatino Linotype" w:eastAsia="Palatino Linotype" w:hAnsi="Palatino Linotype" w:cs="Palatino Linotype"/>
          <w:i/>
          <w:iCs/>
        </w:rPr>
        <w:t xml:space="preserve"> generada, obtenida, adquirida, transformada, administrada o </w:t>
      </w:r>
      <w:r>
        <w:rPr>
          <w:rFonts w:ascii="Palatino Linotype" w:eastAsia="Palatino Linotype" w:hAnsi="Palatino Linotype" w:cs="Palatino Linotype"/>
          <w:b/>
          <w:bCs/>
          <w:i/>
          <w:iCs/>
        </w:rPr>
        <w:t>en posesión de los sujetos obligados es pública</w:t>
      </w:r>
      <w:r>
        <w:rPr>
          <w:rFonts w:ascii="Palatino Linotype" w:eastAsia="Palatino Linotype" w:hAnsi="Palatino Linotype" w:cs="Palatino Linotype"/>
          <w:i/>
          <w:iCs/>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F4AB0" w:rsidRDefault="00C255A6">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1F4AB0" w:rsidRDefault="00C255A6">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Artículo 12. Quienes generen, recopilen, administren, manejen, procesen, archiven o conserven información pública serán responsables de la misma en los términos de las disposiciones jurídicas aplicables.</w:t>
      </w:r>
    </w:p>
    <w:p w:rsidR="001F4AB0" w:rsidRDefault="00C255A6">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Pr>
          <w:rFonts w:ascii="Palatino Linotype" w:eastAsia="Palatino Linotype" w:hAnsi="Palatino Linotype" w:cs="Palatino Linotype"/>
          <w:i/>
          <w:iCs/>
        </w:rPr>
        <w:lastRenderedPageBreak/>
        <w:t>interés del solicitante; no estarán obligados a generarla, resumirla, efectuar cálculos o practicar investigaciones.</w:t>
      </w:r>
    </w:p>
    <w:p w:rsidR="001F4AB0" w:rsidRDefault="001F4AB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1F4AB0" w:rsidRDefault="001F4AB0">
      <w:pPr>
        <w:spacing w:line="360" w:lineRule="auto"/>
        <w:jc w:val="both"/>
        <w:rPr>
          <w:rFonts w:ascii="Palatino Linotype" w:eastAsia="Palatino Linotype" w:hAnsi="Palatino Linotype" w:cs="Palatino Linotype"/>
        </w:rPr>
      </w:pPr>
    </w:p>
    <w:p w:rsidR="001F4AB0" w:rsidRDefault="00C255A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1F4AB0" w:rsidRDefault="00C255A6">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“ACCESO A LA INFORMACIÓN. IMPLICACIÓN DEL PRINCIPIO DE MÁXIMA PUBLICIDAD EN EL DERECHO FUNDAMENTAL RELATIVO.</w:t>
      </w:r>
      <w:r>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w:t>
      </w:r>
      <w:r>
        <w:rPr>
          <w:rFonts w:ascii="Palatino Linotype" w:eastAsia="Palatino Linotype" w:hAnsi="Palatino Linotype" w:cs="Palatino Linotype"/>
          <w:i/>
          <w:iCs/>
          <w:color w:val="000000"/>
        </w:rPr>
        <w:lastRenderedPageBreak/>
        <w:t>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F4AB0" w:rsidRDefault="001F4AB0">
      <w:pPr>
        <w:spacing w:line="360" w:lineRule="auto"/>
        <w:jc w:val="both"/>
        <w:rPr>
          <w:rFonts w:ascii="Palatino Linotype" w:eastAsia="Palatino Linotype" w:hAnsi="Palatino Linotype" w:cs="Palatino Linotype"/>
        </w:rPr>
      </w:pPr>
    </w:p>
    <w:p w:rsidR="001F4AB0" w:rsidRPr="00E35E9A" w:rsidRDefault="00C255A6" w:rsidP="00E35E9A">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 mérito de lo expuesto en líneas anteriores resultan </w:t>
      </w:r>
      <w:r>
        <w:rPr>
          <w:rFonts w:ascii="Palatino Linotype" w:eastAsia="Palatino Linotype" w:hAnsi="Palatino Linotype" w:cs="Palatino Linotype"/>
          <w:b/>
          <w:bCs/>
        </w:rPr>
        <w:t>infundadas</w:t>
      </w:r>
      <w:r>
        <w:rPr>
          <w:rFonts w:ascii="Palatino Linotype" w:eastAsia="Palatino Linotype" w:hAnsi="Palatino Linotype" w:cs="Palatino Linotype"/>
          <w:b/>
          <w:bCs/>
          <w:i/>
          <w:iCs/>
        </w:rPr>
        <w:t xml:space="preserve"> </w:t>
      </w:r>
      <w:r>
        <w:rPr>
          <w:rFonts w:ascii="Palatino Linotype" w:eastAsia="Palatino Linotype" w:hAnsi="Palatino Linotype" w:cs="Palatino Linotype"/>
        </w:rPr>
        <w:t xml:space="preserve">las razones o motivos de </w:t>
      </w:r>
      <w:r>
        <w:rPr>
          <w:rFonts w:ascii="Palatino Linotype" w:eastAsia="Palatino Linotype" w:hAnsi="Palatino Linotype" w:cs="Palatino Linotype"/>
          <w:color w:val="000000"/>
        </w:rPr>
        <w:t>inconformidad</w:t>
      </w:r>
      <w:r>
        <w:rPr>
          <w:rFonts w:ascii="Palatino Linotype" w:eastAsia="Palatino Linotype" w:hAnsi="Palatino Linotype" w:cs="Palatino Linotype"/>
        </w:rPr>
        <w:t xml:space="preserve"> que arguye 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bCs/>
        </w:rPr>
        <w:t>CONFIRMA</w:t>
      </w:r>
      <w:r>
        <w:rPr>
          <w:rFonts w:ascii="Palatino Linotype" w:eastAsia="Palatino Linotype" w:hAnsi="Palatino Linotype" w:cs="Palatino Linotype"/>
        </w:rPr>
        <w:t xml:space="preserve"> la respuesta a la solicitud de información </w:t>
      </w:r>
      <w:r>
        <w:rPr>
          <w:rFonts w:ascii="Palatino Linotype" w:eastAsia="Palatino Linotype" w:hAnsi="Palatino Linotype" w:cs="Palatino Linotype"/>
        </w:rPr>
        <w:lastRenderedPageBreak/>
        <w:t>pública que ha sido materia del presente fallo, por lo antes expuesto y fundado</w:t>
      </w:r>
      <w:r>
        <w:rPr>
          <w:rFonts w:ascii="Palatino Linotype" w:eastAsia="Palatino Linotype" w:hAnsi="Palatino Linotype" w:cs="Palatino Linotype"/>
          <w:color w:val="222222"/>
        </w:rPr>
        <w:t xml:space="preserve">, este </w:t>
      </w:r>
      <w:r>
        <w:rPr>
          <w:rFonts w:ascii="Palatino Linotype" w:eastAsia="Palatino Linotype" w:hAnsi="Palatino Linotype" w:cs="Palatino Linotype"/>
          <w:b/>
          <w:bCs/>
          <w:color w:val="222222"/>
        </w:rPr>
        <w:t>ÓRGANO GARANTE</w:t>
      </w:r>
      <w:r>
        <w:rPr>
          <w:rFonts w:ascii="Palatino Linotype" w:eastAsia="Palatino Linotype" w:hAnsi="Palatino Linotype" w:cs="Palatino Linotype"/>
          <w:color w:val="222222"/>
        </w:rPr>
        <w:t xml:space="preserve"> emite los siguientes:</w:t>
      </w:r>
    </w:p>
    <w:p w:rsidR="001F4AB0" w:rsidRDefault="001F4AB0">
      <w:pPr>
        <w:spacing w:line="360" w:lineRule="auto"/>
        <w:jc w:val="both"/>
        <w:rPr>
          <w:rFonts w:ascii="Palatino Linotype" w:eastAsia="Palatino Linotype" w:hAnsi="Palatino Linotype" w:cs="Palatino Linotype"/>
        </w:rPr>
      </w:pPr>
    </w:p>
    <w:p w:rsidR="001F4AB0" w:rsidRDefault="00C255A6">
      <w:pPr>
        <w:pBdr>
          <w:top w:val="nil"/>
          <w:left w:val="nil"/>
          <w:bottom w:val="nil"/>
          <w:right w:val="nil"/>
          <w:between w:val="nil"/>
        </w:pBdr>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R E S O L U T I V O S</w:t>
      </w:r>
    </w:p>
    <w:p w:rsidR="001F4AB0" w:rsidRDefault="001F4AB0">
      <w:pPr>
        <w:pBdr>
          <w:top w:val="nil"/>
          <w:left w:val="nil"/>
          <w:bottom w:val="nil"/>
          <w:right w:val="nil"/>
          <w:between w:val="nil"/>
        </w:pBdr>
        <w:spacing w:line="360" w:lineRule="auto"/>
        <w:jc w:val="center"/>
        <w:rPr>
          <w:rFonts w:ascii="Palatino Linotype" w:eastAsia="Palatino Linotype" w:hAnsi="Palatino Linotype" w:cs="Palatino Linotype"/>
          <w:b/>
          <w:bCs/>
        </w:rPr>
      </w:pPr>
    </w:p>
    <w:p w:rsidR="001F4AB0" w:rsidRDefault="00C255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infundadas las razones o motivos de inconformidad hechos valer en el Recurso de Revisión </w:t>
      </w:r>
      <w:r>
        <w:rPr>
          <w:rFonts w:ascii="Palatino Linotype" w:eastAsia="Palatino Linotype" w:hAnsi="Palatino Linotype" w:cs="Palatino Linotype"/>
          <w:b/>
          <w:bCs/>
        </w:rPr>
        <w:t>06233/INFOEM/IP/RR/2025</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de la presente Resolución.</w:t>
      </w:r>
    </w:p>
    <w:p w:rsidR="001F4AB0" w:rsidRDefault="001F4AB0">
      <w:pPr>
        <w:spacing w:line="360" w:lineRule="auto"/>
        <w:jc w:val="both"/>
        <w:rPr>
          <w:rFonts w:ascii="Palatino Linotype" w:eastAsia="Palatino Linotype" w:hAnsi="Palatino Linotype" w:cs="Palatino Linotype"/>
        </w:rPr>
      </w:pPr>
    </w:p>
    <w:p w:rsidR="001F4AB0" w:rsidRDefault="00C255A6">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bCs/>
        </w:rPr>
        <w:t>CONFIRMA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bCs/>
          <w:color w:val="000000"/>
        </w:rPr>
        <w:t>Poder Legislativo</w:t>
      </w:r>
      <w:r>
        <w:rPr>
          <w:rFonts w:ascii="Palatino Linotype" w:eastAsia="Palatino Linotype" w:hAnsi="Palatino Linotype" w:cs="Palatino Linotype"/>
          <w:b/>
          <w:bCs/>
        </w:rPr>
        <w:t xml:space="preserve">, </w:t>
      </w:r>
      <w:r>
        <w:rPr>
          <w:rFonts w:ascii="Palatino Linotype" w:eastAsia="Palatino Linotype" w:hAnsi="Palatino Linotype" w:cs="Palatino Linotype"/>
        </w:rPr>
        <w:t>a la Solicitud de Acceso a la Información Pública</w:t>
      </w:r>
      <w:r>
        <w:rPr>
          <w:rFonts w:ascii="Palatino Linotype" w:eastAsia="Palatino Linotype" w:hAnsi="Palatino Linotype" w:cs="Palatino Linotype"/>
          <w:b/>
          <w:bCs/>
        </w:rPr>
        <w:t> 00219/PLEGISLA/IP/2025.</w:t>
      </w:r>
    </w:p>
    <w:p w:rsidR="001F4AB0" w:rsidRDefault="001F4AB0">
      <w:pPr>
        <w:spacing w:line="360" w:lineRule="auto"/>
        <w:jc w:val="both"/>
        <w:rPr>
          <w:rFonts w:ascii="Palatino Linotype" w:eastAsia="Palatino Linotype" w:hAnsi="Palatino Linotype" w:cs="Palatino Linotype"/>
          <w:b/>
          <w:bCs/>
        </w:rPr>
      </w:pPr>
    </w:p>
    <w:p w:rsidR="001F4AB0" w:rsidRDefault="00C255A6">
      <w:pPr>
        <w:spacing w:line="360" w:lineRule="auto"/>
        <w:jc w:val="both"/>
        <w:rPr>
          <w:rFonts w:ascii="Palatino Linotype" w:eastAsia="Palatino Linotype" w:hAnsi="Palatino Linotype" w:cs="Palatino Linotype"/>
        </w:rPr>
      </w:pPr>
      <w:bookmarkStart w:id="8" w:name="_heading=h.i7bz478kigxh" w:colFirst="0" w:colLast="0"/>
      <w:bookmarkEnd w:id="8"/>
      <w:r>
        <w:rPr>
          <w:rFonts w:ascii="Palatino Linotype" w:eastAsia="Palatino Linotype" w:hAnsi="Palatino Linotype" w:cs="Palatino Linotype"/>
          <w:b/>
          <w:bCs/>
        </w:rPr>
        <w:t>TERCERO.</w:t>
      </w:r>
      <w:r>
        <w:rPr>
          <w:rFonts w:ascii="Palatino Linotype" w:eastAsia="Palatino Linotype" w:hAnsi="Palatino Linotype" w:cs="Palatino Linotype"/>
        </w:rPr>
        <w:t xml:space="preserve"> Notifíquese al Titular de la Unidad de Transparencia del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xml:space="preserve"> vía </w:t>
      </w:r>
      <w:r>
        <w:rPr>
          <w:rFonts w:ascii="Palatino Linotype" w:eastAsia="Palatino Linotype" w:hAnsi="Palatino Linotype" w:cs="Palatino Linotype"/>
          <w:b/>
          <w:bCs/>
        </w:rPr>
        <w:t>SAIMEX</w:t>
      </w:r>
      <w:r>
        <w:rPr>
          <w:rFonts w:ascii="Palatino Linotype" w:eastAsia="Palatino Linotype" w:hAnsi="Palatino Linotype" w:cs="Palatino Linotype"/>
        </w:rPr>
        <w:t>, para su conocimiento.</w:t>
      </w:r>
    </w:p>
    <w:p w:rsidR="001F4AB0" w:rsidRDefault="001F4AB0">
      <w:pPr>
        <w:shd w:val="clear" w:color="auto" w:fill="FFFFFF"/>
        <w:spacing w:line="360" w:lineRule="auto"/>
        <w:jc w:val="both"/>
        <w:rPr>
          <w:rFonts w:ascii="Palatino Linotype" w:eastAsia="Palatino Linotype" w:hAnsi="Palatino Linotype" w:cs="Palatino Linotype"/>
        </w:rPr>
      </w:pPr>
    </w:p>
    <w:p w:rsidR="001F4AB0" w:rsidRDefault="00C255A6">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CUARTO.</w:t>
      </w:r>
      <w:r>
        <w:rPr>
          <w:rFonts w:ascii="Palatino Linotype" w:eastAsia="Palatino Linotype" w:hAnsi="Palatino Linotype" w:cs="Palatino Linotype"/>
        </w:rPr>
        <w:t xml:space="preserve"> Notifíquese al</w:t>
      </w:r>
      <w:r>
        <w:rPr>
          <w:rFonts w:ascii="Palatino Linotype" w:eastAsia="Palatino Linotype" w:hAnsi="Palatino Linotype" w:cs="Palatino Linotype"/>
          <w:b/>
          <w:bCs/>
        </w:rPr>
        <w:t xml:space="preserve"> RECURRENTE</w:t>
      </w:r>
      <w:r>
        <w:rPr>
          <w:rFonts w:ascii="Palatino Linotype" w:eastAsia="Palatino Linotype" w:hAnsi="Palatino Linotype" w:cs="Palatino Linotype"/>
        </w:rPr>
        <w:t xml:space="preserve"> la presente Resolución vía SAIMEX.</w:t>
      </w:r>
    </w:p>
    <w:p w:rsidR="001F4AB0" w:rsidRDefault="001F4AB0">
      <w:pPr>
        <w:shd w:val="clear" w:color="auto" w:fill="FFFFFF"/>
        <w:spacing w:line="360" w:lineRule="auto"/>
        <w:jc w:val="both"/>
        <w:rPr>
          <w:rFonts w:ascii="Palatino Linotype" w:eastAsia="Palatino Linotype" w:hAnsi="Palatino Linotype" w:cs="Palatino Linotype"/>
          <w:b/>
          <w:bCs/>
        </w:rPr>
      </w:pPr>
    </w:p>
    <w:p w:rsidR="001F4AB0" w:rsidRDefault="00C255A6">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QUINTO. </w:t>
      </w:r>
      <w:r>
        <w:rPr>
          <w:rFonts w:ascii="Palatino Linotype" w:eastAsia="Palatino Linotype" w:hAnsi="Palatino Linotype" w:cs="Palatino Linotype"/>
        </w:rPr>
        <w:t>Se hace del conocimiento del</w:t>
      </w:r>
      <w:r>
        <w:rPr>
          <w:rFonts w:ascii="Palatino Linotype" w:eastAsia="Palatino Linotype" w:hAnsi="Palatino Linotype" w:cs="Palatino Linotype"/>
          <w:b/>
          <w:bCs/>
        </w:rPr>
        <w:t xml:space="preserve">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F4AB0" w:rsidRDefault="001F4AB0">
      <w:pPr>
        <w:shd w:val="clear" w:color="auto" w:fill="FFFFFF"/>
        <w:spacing w:line="360" w:lineRule="auto"/>
        <w:jc w:val="both"/>
        <w:rPr>
          <w:rFonts w:ascii="Palatino Linotype" w:eastAsia="Palatino Linotype" w:hAnsi="Palatino Linotype" w:cs="Palatino Linotype"/>
        </w:rPr>
      </w:pPr>
    </w:p>
    <w:p w:rsidR="00E35E9A" w:rsidRDefault="00E35E9A" w:rsidP="00E35E9A">
      <w:pPr>
        <w:spacing w:before="240" w:after="240" w:line="360" w:lineRule="auto"/>
        <w:ind w:firstLine="1"/>
        <w:jc w:val="both"/>
        <w:rPr>
          <w:rFonts w:ascii="Palatino Linotype" w:hAnsi="Palatino Linotype"/>
        </w:rPr>
      </w:pPr>
      <w:bookmarkStart w:id="9" w:name="_Hlk99014733"/>
      <w:r>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8304B6">
        <w:rPr>
          <w:rFonts w:ascii="Palatino Linotype" w:hAnsi="Palatino Linotype" w:cs="Palatino Linotype"/>
          <w:color w:val="000000" w:themeColor="text1"/>
        </w:rPr>
        <w:t>ALEXIS TAPIA RAMÍREZ.</w:t>
      </w:r>
    </w:p>
    <w:bookmarkEnd w:id="9"/>
    <w:p w:rsidR="001F4AB0" w:rsidRDefault="001F4AB0">
      <w:pPr>
        <w:spacing w:line="360" w:lineRule="auto"/>
        <w:jc w:val="both"/>
        <w:rPr>
          <w:rFonts w:ascii="Palatino Linotype" w:eastAsia="Palatino Linotype" w:hAnsi="Palatino Linotype" w:cs="Palatino Linotype"/>
        </w:rPr>
      </w:pPr>
    </w:p>
    <w:p w:rsidR="001F4AB0" w:rsidRDefault="001F4AB0">
      <w:pPr>
        <w:spacing w:line="360" w:lineRule="auto"/>
        <w:jc w:val="both"/>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C255A6">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tabs>
          <w:tab w:val="left" w:pos="3374"/>
        </w:tabs>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p w:rsidR="001F4AB0" w:rsidRDefault="001F4AB0">
      <w:pPr>
        <w:spacing w:line="360" w:lineRule="auto"/>
        <w:rPr>
          <w:rFonts w:ascii="Palatino Linotype" w:eastAsia="Palatino Linotype" w:hAnsi="Palatino Linotype" w:cs="Palatino Linotype"/>
        </w:rPr>
      </w:pPr>
    </w:p>
    <w:sectPr w:rsidR="001F4AB0" w:rsidSect="001F07DA">
      <w:headerReference w:type="even" r:id="rId11"/>
      <w:headerReference w:type="default" r:id="rId12"/>
      <w:footerReference w:type="default" r:id="rId13"/>
      <w:headerReference w:type="first" r:id="rId14"/>
      <w:footerReference w:type="first" r:id="rId15"/>
      <w:pgSz w:w="12240" w:h="15840"/>
      <w:pgMar w:top="2269" w:right="900"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A31" w:rsidRDefault="00F86A31">
      <w:r>
        <w:separator/>
      </w:r>
    </w:p>
  </w:endnote>
  <w:endnote w:type="continuationSeparator" w:id="0">
    <w:p w:rsidR="00F86A31" w:rsidRDefault="00F8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7A5337A6-7B66-4F59-9990-E66A328657B0}"/>
  </w:font>
  <w:font w:name="Palatino Linotype">
    <w:panose1 w:val="02040502050505030304"/>
    <w:charset w:val="00"/>
    <w:family w:val="roman"/>
    <w:pitch w:val="variable"/>
    <w:sig w:usb0="E0000287" w:usb1="40000013" w:usb2="00000000" w:usb3="00000000" w:csb0="0000019F" w:csb1="00000000"/>
    <w:embedRegular r:id="rId2" w:fontKey="{35E11417-BC4C-4376-B967-666F3A99A8A0}"/>
    <w:embedBold r:id="rId3" w:fontKey="{42DF0CAD-6F22-488F-9D6F-4CE15B7490D6}"/>
    <w:embedItalic r:id="rId4" w:fontKey="{0B20E9A4-2947-4D64-86C3-7EBD93E18036}"/>
    <w:embedBoldItalic r:id="rId5" w:fontKey="{F28E35D4-9F60-4E8F-9195-6C9C2CEE9CA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529FA01C-D3D2-4731-95A2-96702B660ECD}"/>
    <w:embedBold r:id="rId7" w:fontKey="{D5D919AE-7756-4B34-8391-91BBE94D0E04}"/>
    <w:embedItalic r:id="rId8" w:fontKey="{7C9DDA74-64CE-4B16-A593-335C54BD452C}"/>
  </w:font>
  <w:font w:name="Calibri Light">
    <w:panose1 w:val="020F0302020204030204"/>
    <w:charset w:val="00"/>
    <w:family w:val="swiss"/>
    <w:pitch w:val="variable"/>
    <w:sig w:usb0="E4002EFF" w:usb1="C200247B" w:usb2="00000009" w:usb3="00000000" w:csb0="000001FF" w:csb1="00000000"/>
    <w:embedRegular r:id="rId9" w:fontKey="{D6B743AF-E1D5-4CC6-B291-1246873D621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ED30F802-D611-44A5-8C09-3BAD1AA59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AB0" w:rsidRPr="001F07DA" w:rsidRDefault="00C255A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1F07DA">
      <w:rPr>
        <w:rFonts w:ascii="Palatino Linotype" w:eastAsia="Palatino Linotype" w:hAnsi="Palatino Linotype" w:cs="Palatino Linotype"/>
        <w:color w:val="000000"/>
        <w:sz w:val="22"/>
        <w:szCs w:val="20"/>
      </w:rPr>
      <w:t xml:space="preserve">Página </w:t>
    </w:r>
    <w:r w:rsidRPr="001F07DA">
      <w:rPr>
        <w:rFonts w:ascii="Palatino Linotype" w:eastAsia="Palatino Linotype" w:hAnsi="Palatino Linotype" w:cs="Palatino Linotype"/>
        <w:color w:val="000000"/>
        <w:sz w:val="22"/>
        <w:szCs w:val="20"/>
      </w:rPr>
      <w:fldChar w:fldCharType="begin"/>
    </w:r>
    <w:r w:rsidRPr="001F07DA">
      <w:rPr>
        <w:rFonts w:ascii="Palatino Linotype" w:eastAsia="Palatino Linotype" w:hAnsi="Palatino Linotype" w:cs="Palatino Linotype"/>
        <w:color w:val="000000"/>
        <w:sz w:val="22"/>
        <w:szCs w:val="20"/>
      </w:rPr>
      <w:instrText>PAGE</w:instrText>
    </w:r>
    <w:r w:rsidRPr="001F07DA">
      <w:rPr>
        <w:rFonts w:ascii="Palatino Linotype" w:eastAsia="Palatino Linotype" w:hAnsi="Palatino Linotype" w:cs="Palatino Linotype"/>
        <w:color w:val="000000"/>
        <w:sz w:val="22"/>
        <w:szCs w:val="20"/>
      </w:rPr>
      <w:fldChar w:fldCharType="separate"/>
    </w:r>
    <w:r w:rsidR="001F07DA">
      <w:rPr>
        <w:rFonts w:ascii="Palatino Linotype" w:eastAsia="Palatino Linotype" w:hAnsi="Palatino Linotype" w:cs="Palatino Linotype"/>
        <w:noProof/>
        <w:color w:val="000000"/>
        <w:sz w:val="22"/>
        <w:szCs w:val="20"/>
      </w:rPr>
      <w:t>21</w:t>
    </w:r>
    <w:r w:rsidRPr="001F07DA">
      <w:rPr>
        <w:rFonts w:ascii="Palatino Linotype" w:eastAsia="Palatino Linotype" w:hAnsi="Palatino Linotype" w:cs="Palatino Linotype"/>
        <w:color w:val="000000"/>
        <w:sz w:val="22"/>
        <w:szCs w:val="20"/>
      </w:rPr>
      <w:fldChar w:fldCharType="end"/>
    </w:r>
    <w:r w:rsidRPr="001F07DA">
      <w:rPr>
        <w:rFonts w:ascii="Palatino Linotype" w:eastAsia="Palatino Linotype" w:hAnsi="Palatino Linotype" w:cs="Palatino Linotype"/>
        <w:color w:val="000000"/>
        <w:sz w:val="22"/>
        <w:szCs w:val="20"/>
      </w:rPr>
      <w:t xml:space="preserve"> de </w:t>
    </w:r>
    <w:r w:rsidRPr="001F07DA">
      <w:rPr>
        <w:rFonts w:ascii="Palatino Linotype" w:eastAsia="Palatino Linotype" w:hAnsi="Palatino Linotype" w:cs="Palatino Linotype"/>
        <w:color w:val="000000"/>
        <w:sz w:val="22"/>
        <w:szCs w:val="20"/>
      </w:rPr>
      <w:fldChar w:fldCharType="begin"/>
    </w:r>
    <w:r w:rsidRPr="001F07DA">
      <w:rPr>
        <w:rFonts w:ascii="Palatino Linotype" w:eastAsia="Palatino Linotype" w:hAnsi="Palatino Linotype" w:cs="Palatino Linotype"/>
        <w:color w:val="000000"/>
        <w:sz w:val="22"/>
        <w:szCs w:val="20"/>
      </w:rPr>
      <w:instrText>NUMPAGES</w:instrText>
    </w:r>
    <w:r w:rsidRPr="001F07DA">
      <w:rPr>
        <w:rFonts w:ascii="Palatino Linotype" w:eastAsia="Palatino Linotype" w:hAnsi="Palatino Linotype" w:cs="Palatino Linotype"/>
        <w:color w:val="000000"/>
        <w:sz w:val="22"/>
        <w:szCs w:val="20"/>
      </w:rPr>
      <w:fldChar w:fldCharType="separate"/>
    </w:r>
    <w:r w:rsidR="001F07DA">
      <w:rPr>
        <w:rFonts w:ascii="Palatino Linotype" w:eastAsia="Palatino Linotype" w:hAnsi="Palatino Linotype" w:cs="Palatino Linotype"/>
        <w:noProof/>
        <w:color w:val="000000"/>
        <w:sz w:val="22"/>
        <w:szCs w:val="20"/>
      </w:rPr>
      <w:t>35</w:t>
    </w:r>
    <w:r w:rsidRPr="001F07DA">
      <w:rPr>
        <w:rFonts w:ascii="Palatino Linotype" w:eastAsia="Palatino Linotype" w:hAnsi="Palatino Linotype" w:cs="Palatino Linotype"/>
        <w:color w:val="000000"/>
        <w:sz w:val="22"/>
        <w:szCs w:val="20"/>
      </w:rPr>
      <w:fldChar w:fldCharType="end"/>
    </w:r>
  </w:p>
  <w:p w:rsidR="001F4AB0" w:rsidRDefault="001F4AB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AB0" w:rsidRPr="001F07DA" w:rsidRDefault="00C255A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1F07DA">
      <w:rPr>
        <w:rFonts w:ascii="Palatino Linotype" w:eastAsia="Palatino Linotype" w:hAnsi="Palatino Linotype" w:cs="Palatino Linotype"/>
        <w:color w:val="000000"/>
        <w:sz w:val="22"/>
        <w:szCs w:val="20"/>
      </w:rPr>
      <w:t xml:space="preserve">Página </w:t>
    </w:r>
    <w:r w:rsidRPr="001F07DA">
      <w:rPr>
        <w:rFonts w:ascii="Palatino Linotype" w:eastAsia="Palatino Linotype" w:hAnsi="Palatino Linotype" w:cs="Palatino Linotype"/>
        <w:color w:val="000000"/>
        <w:sz w:val="22"/>
        <w:szCs w:val="20"/>
      </w:rPr>
      <w:fldChar w:fldCharType="begin"/>
    </w:r>
    <w:r w:rsidRPr="001F07DA">
      <w:rPr>
        <w:rFonts w:ascii="Palatino Linotype" w:eastAsia="Palatino Linotype" w:hAnsi="Palatino Linotype" w:cs="Palatino Linotype"/>
        <w:color w:val="000000"/>
        <w:sz w:val="22"/>
        <w:szCs w:val="20"/>
      </w:rPr>
      <w:instrText>PAGE</w:instrText>
    </w:r>
    <w:r w:rsidRPr="001F07DA">
      <w:rPr>
        <w:rFonts w:ascii="Palatino Linotype" w:eastAsia="Palatino Linotype" w:hAnsi="Palatino Linotype" w:cs="Palatino Linotype"/>
        <w:color w:val="000000"/>
        <w:sz w:val="22"/>
        <w:szCs w:val="20"/>
      </w:rPr>
      <w:fldChar w:fldCharType="separate"/>
    </w:r>
    <w:r w:rsidR="001F07DA">
      <w:rPr>
        <w:rFonts w:ascii="Palatino Linotype" w:eastAsia="Palatino Linotype" w:hAnsi="Palatino Linotype" w:cs="Palatino Linotype"/>
        <w:noProof/>
        <w:color w:val="000000"/>
        <w:sz w:val="22"/>
        <w:szCs w:val="20"/>
      </w:rPr>
      <w:t>1</w:t>
    </w:r>
    <w:r w:rsidRPr="001F07DA">
      <w:rPr>
        <w:rFonts w:ascii="Palatino Linotype" w:eastAsia="Palatino Linotype" w:hAnsi="Palatino Linotype" w:cs="Palatino Linotype"/>
        <w:color w:val="000000"/>
        <w:sz w:val="22"/>
        <w:szCs w:val="20"/>
      </w:rPr>
      <w:fldChar w:fldCharType="end"/>
    </w:r>
    <w:r w:rsidRPr="001F07DA">
      <w:rPr>
        <w:rFonts w:ascii="Palatino Linotype" w:eastAsia="Palatino Linotype" w:hAnsi="Palatino Linotype" w:cs="Palatino Linotype"/>
        <w:color w:val="000000"/>
        <w:sz w:val="22"/>
        <w:szCs w:val="20"/>
      </w:rPr>
      <w:t xml:space="preserve"> de </w:t>
    </w:r>
    <w:r w:rsidRPr="001F07DA">
      <w:rPr>
        <w:rFonts w:ascii="Palatino Linotype" w:eastAsia="Palatino Linotype" w:hAnsi="Palatino Linotype" w:cs="Palatino Linotype"/>
        <w:color w:val="000000"/>
        <w:sz w:val="22"/>
        <w:szCs w:val="20"/>
      </w:rPr>
      <w:fldChar w:fldCharType="begin"/>
    </w:r>
    <w:r w:rsidRPr="001F07DA">
      <w:rPr>
        <w:rFonts w:ascii="Palatino Linotype" w:eastAsia="Palatino Linotype" w:hAnsi="Palatino Linotype" w:cs="Palatino Linotype"/>
        <w:color w:val="000000"/>
        <w:sz w:val="22"/>
        <w:szCs w:val="20"/>
      </w:rPr>
      <w:instrText>NUMPAGES</w:instrText>
    </w:r>
    <w:r w:rsidRPr="001F07DA">
      <w:rPr>
        <w:rFonts w:ascii="Palatino Linotype" w:eastAsia="Palatino Linotype" w:hAnsi="Palatino Linotype" w:cs="Palatino Linotype"/>
        <w:color w:val="000000"/>
        <w:sz w:val="22"/>
        <w:szCs w:val="20"/>
      </w:rPr>
      <w:fldChar w:fldCharType="separate"/>
    </w:r>
    <w:r w:rsidR="001F07DA">
      <w:rPr>
        <w:rFonts w:ascii="Palatino Linotype" w:eastAsia="Palatino Linotype" w:hAnsi="Palatino Linotype" w:cs="Palatino Linotype"/>
        <w:noProof/>
        <w:color w:val="000000"/>
        <w:sz w:val="22"/>
        <w:szCs w:val="20"/>
      </w:rPr>
      <w:t>35</w:t>
    </w:r>
    <w:r w:rsidRPr="001F07DA">
      <w:rPr>
        <w:rFonts w:ascii="Palatino Linotype" w:eastAsia="Palatino Linotype" w:hAnsi="Palatino Linotype" w:cs="Palatino Linotype"/>
        <w:color w:val="000000"/>
        <w:sz w:val="22"/>
        <w:szCs w:val="20"/>
      </w:rPr>
      <w:fldChar w:fldCharType="end"/>
    </w:r>
  </w:p>
  <w:p w:rsidR="001F4AB0" w:rsidRDefault="001F4AB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A31" w:rsidRDefault="00F86A31">
      <w:r>
        <w:separator/>
      </w:r>
    </w:p>
  </w:footnote>
  <w:footnote w:type="continuationSeparator" w:id="0">
    <w:p w:rsidR="00F86A31" w:rsidRDefault="00F86A31">
      <w:r>
        <w:continuationSeparator/>
      </w:r>
    </w:p>
  </w:footnote>
  <w:footnote w:id="1">
    <w:p w:rsidR="001F4AB0" w:rsidRDefault="00C255A6">
      <w:pPr>
        <w:rPr>
          <w:rFonts w:ascii="Palatino Linotype" w:eastAsia="Palatino Linotype" w:hAnsi="Palatino Linotype" w:cs="Palatino Linotype"/>
          <w:i/>
          <w:iCs/>
          <w:sz w:val="18"/>
          <w:szCs w:val="18"/>
        </w:rPr>
      </w:pPr>
      <w:r>
        <w:rPr>
          <w:vertAlign w:val="superscript"/>
        </w:rPr>
        <w:footnoteRef/>
      </w:r>
      <w:r>
        <w:t xml:space="preserve"> </w:t>
      </w:r>
      <w:r>
        <w:rPr>
          <w:rFonts w:ascii="Palatino Linotype" w:eastAsia="Palatino Linotype" w:hAnsi="Palatino Linotype" w:cs="Palatino Linotype"/>
          <w:b/>
          <w:bCs/>
          <w:i/>
          <w:iCs/>
          <w:sz w:val="18"/>
          <w:szCs w:val="18"/>
        </w:rPr>
        <w:t xml:space="preserve">Artículo 91. </w:t>
      </w:r>
      <w:r>
        <w:rPr>
          <w:rFonts w:ascii="Palatino Linotype" w:eastAsia="Palatino Linotype" w:hAnsi="Palatino Linotype" w:cs="Palatino Linotype"/>
          <w:i/>
          <w:iCs/>
          <w:sz w:val="18"/>
          <w:szCs w:val="18"/>
        </w:rPr>
        <w:t>El acceso a la información pública será restringido excepcionalmente, cuando ésta sea clasificada como</w:t>
      </w:r>
    </w:p>
    <w:p w:rsidR="001F4AB0" w:rsidRDefault="00C255A6">
      <w:pPr>
        <w:pBdr>
          <w:top w:val="nil"/>
          <w:left w:val="nil"/>
          <w:bottom w:val="nil"/>
          <w:right w:val="nil"/>
          <w:between w:val="nil"/>
        </w:pBdr>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18"/>
          <w:szCs w:val="18"/>
        </w:rPr>
        <w:t>reservada o confidencial.</w:t>
      </w:r>
    </w:p>
  </w:footnote>
  <w:footnote w:id="2">
    <w:p w:rsidR="001F4AB0" w:rsidRDefault="00C255A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rsidR="001F4AB0" w:rsidRDefault="00C255A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rsidR="001F4AB0" w:rsidRDefault="00C255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1F4AB0" w:rsidRDefault="00C255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6">
    <w:p w:rsidR="001F4AB0" w:rsidRDefault="00C255A6">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7">
    <w:p w:rsidR="001F4AB0" w:rsidRDefault="00C255A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1F4AB0" w:rsidRDefault="00C255A6">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rsidR="001F4AB0" w:rsidRDefault="00C255A6">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AB0" w:rsidRDefault="00F86A3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6519" w:type="dxa"/>
      <w:tblInd w:w="3402" w:type="dxa"/>
      <w:tblLayout w:type="fixed"/>
      <w:tblLook w:val="0400" w:firstRow="0" w:lastRow="0" w:firstColumn="0" w:lastColumn="0" w:noHBand="0" w:noVBand="1"/>
    </w:tblPr>
    <w:tblGrid>
      <w:gridCol w:w="2976"/>
      <w:gridCol w:w="3543"/>
    </w:tblGrid>
    <w:tr w:rsidR="001F4AB0" w:rsidTr="001F07DA">
      <w:trPr>
        <w:trHeight w:val="227"/>
      </w:trPr>
      <w:tc>
        <w:tcPr>
          <w:tcW w:w="2976" w:type="dxa"/>
          <w:vAlign w:val="center"/>
        </w:tcPr>
        <w:p w:rsidR="001F4AB0" w:rsidRPr="001F07DA" w:rsidRDefault="00C255A6">
          <w:pPr>
            <w:ind w:right="34"/>
            <w:jc w:val="right"/>
            <w:rPr>
              <w:rFonts w:ascii="Palatino Linotype" w:eastAsia="Palatino Linotype" w:hAnsi="Palatino Linotype" w:cs="Palatino Linotype"/>
              <w:b/>
              <w:bCs/>
              <w:szCs w:val="22"/>
            </w:rPr>
          </w:pPr>
          <w:r w:rsidRPr="001F07DA">
            <w:rPr>
              <w:rFonts w:ascii="Palatino Linotype" w:eastAsia="Palatino Linotype" w:hAnsi="Palatino Linotype" w:cs="Palatino Linotype"/>
              <w:b/>
              <w:bCs/>
              <w:szCs w:val="22"/>
            </w:rPr>
            <w:t>Recurso de Revisión:</w:t>
          </w:r>
        </w:p>
      </w:tc>
      <w:tc>
        <w:tcPr>
          <w:tcW w:w="3543" w:type="dxa"/>
          <w:vAlign w:val="center"/>
        </w:tcPr>
        <w:p w:rsidR="001F4AB0" w:rsidRPr="001F07DA" w:rsidRDefault="00C255A6">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1F07DA">
            <w:rPr>
              <w:rFonts w:ascii="Palatino Linotype" w:eastAsia="Palatino Linotype" w:hAnsi="Palatino Linotype" w:cs="Palatino Linotype"/>
              <w:bCs/>
              <w:color w:val="000000"/>
              <w:szCs w:val="22"/>
            </w:rPr>
            <w:t>06233/INFOEM/IP/RR/2025</w:t>
          </w:r>
        </w:p>
      </w:tc>
    </w:tr>
    <w:tr w:rsidR="001F4AB0" w:rsidTr="001F07DA">
      <w:trPr>
        <w:trHeight w:val="242"/>
      </w:trPr>
      <w:tc>
        <w:tcPr>
          <w:tcW w:w="2976" w:type="dxa"/>
          <w:vAlign w:val="center"/>
        </w:tcPr>
        <w:p w:rsidR="001F4AB0" w:rsidRPr="001F07DA" w:rsidRDefault="00C255A6">
          <w:pPr>
            <w:ind w:right="34"/>
            <w:jc w:val="right"/>
            <w:rPr>
              <w:rFonts w:ascii="Palatino Linotype" w:eastAsia="Palatino Linotype" w:hAnsi="Palatino Linotype" w:cs="Palatino Linotype"/>
              <w:b/>
              <w:bCs/>
              <w:szCs w:val="22"/>
            </w:rPr>
          </w:pPr>
          <w:r w:rsidRPr="001F07DA">
            <w:rPr>
              <w:rFonts w:ascii="Palatino Linotype" w:eastAsia="Palatino Linotype" w:hAnsi="Palatino Linotype" w:cs="Palatino Linotype"/>
              <w:b/>
              <w:bCs/>
              <w:szCs w:val="22"/>
            </w:rPr>
            <w:t>Sujeto Obligado:</w:t>
          </w:r>
        </w:p>
      </w:tc>
      <w:tc>
        <w:tcPr>
          <w:tcW w:w="3543" w:type="dxa"/>
          <w:vAlign w:val="center"/>
        </w:tcPr>
        <w:p w:rsidR="001F4AB0" w:rsidRPr="001F07DA" w:rsidRDefault="00C255A6">
          <w:pPr>
            <w:pBdr>
              <w:top w:val="nil"/>
              <w:left w:val="nil"/>
              <w:bottom w:val="nil"/>
              <w:right w:val="nil"/>
              <w:between w:val="nil"/>
            </w:pBdr>
            <w:tabs>
              <w:tab w:val="center" w:pos="4419"/>
              <w:tab w:val="right" w:pos="8838"/>
            </w:tabs>
            <w:ind w:right="212"/>
            <w:jc w:val="both"/>
            <w:rPr>
              <w:rFonts w:ascii="Palatino Linotype" w:eastAsia="Palatino Linotype" w:hAnsi="Palatino Linotype" w:cs="Palatino Linotype"/>
              <w:bCs/>
              <w:color w:val="000000"/>
              <w:szCs w:val="22"/>
            </w:rPr>
          </w:pPr>
          <w:r w:rsidRPr="001F07DA">
            <w:rPr>
              <w:rFonts w:ascii="Palatino Linotype" w:eastAsia="Palatino Linotype" w:hAnsi="Palatino Linotype" w:cs="Palatino Linotype"/>
              <w:bCs/>
              <w:color w:val="000000"/>
              <w:szCs w:val="22"/>
            </w:rPr>
            <w:t>Poder Legislativo</w:t>
          </w:r>
        </w:p>
      </w:tc>
    </w:tr>
    <w:tr w:rsidR="001F4AB0" w:rsidTr="001F07DA">
      <w:trPr>
        <w:trHeight w:val="342"/>
      </w:trPr>
      <w:tc>
        <w:tcPr>
          <w:tcW w:w="2976" w:type="dxa"/>
          <w:vAlign w:val="center"/>
        </w:tcPr>
        <w:p w:rsidR="001F4AB0" w:rsidRPr="001F07DA" w:rsidRDefault="00C255A6">
          <w:pPr>
            <w:ind w:right="34"/>
            <w:jc w:val="right"/>
            <w:rPr>
              <w:rFonts w:ascii="Palatino Linotype" w:eastAsia="Palatino Linotype" w:hAnsi="Palatino Linotype" w:cs="Palatino Linotype"/>
              <w:b/>
              <w:bCs/>
              <w:szCs w:val="22"/>
            </w:rPr>
          </w:pPr>
          <w:r w:rsidRPr="001F07DA">
            <w:rPr>
              <w:rFonts w:ascii="Palatino Linotype" w:eastAsia="Palatino Linotype" w:hAnsi="Palatino Linotype" w:cs="Palatino Linotype"/>
              <w:b/>
              <w:bCs/>
              <w:szCs w:val="22"/>
            </w:rPr>
            <w:t>Comisionada Ponente:</w:t>
          </w:r>
        </w:p>
      </w:tc>
      <w:tc>
        <w:tcPr>
          <w:tcW w:w="3543" w:type="dxa"/>
          <w:vAlign w:val="center"/>
        </w:tcPr>
        <w:p w:rsidR="001F4AB0" w:rsidRPr="001F07DA" w:rsidRDefault="00C255A6">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1F07DA">
            <w:rPr>
              <w:rFonts w:ascii="Palatino Linotype" w:eastAsia="Palatino Linotype" w:hAnsi="Palatino Linotype" w:cs="Palatino Linotype"/>
              <w:bCs/>
              <w:color w:val="000000"/>
              <w:szCs w:val="22"/>
            </w:rPr>
            <w:t>María del Rosario Mejía Ayala</w:t>
          </w:r>
        </w:p>
      </w:tc>
    </w:tr>
  </w:tbl>
  <w:p w:rsidR="001F4AB0" w:rsidRDefault="00F86A31">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7pt;margin-top:-123pt;width:609.4pt;height:793.75pt;z-index:-251659776;mso-position-horizontal-relative:margin;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660" w:type="dxa"/>
      <w:tblInd w:w="3402" w:type="dxa"/>
      <w:tblLayout w:type="fixed"/>
      <w:tblLook w:val="0400" w:firstRow="0" w:lastRow="0" w:firstColumn="0" w:lastColumn="0" w:noHBand="0" w:noVBand="1"/>
    </w:tblPr>
    <w:tblGrid>
      <w:gridCol w:w="2977"/>
      <w:gridCol w:w="3683"/>
    </w:tblGrid>
    <w:tr w:rsidR="001F4AB0" w:rsidTr="001F07DA">
      <w:trPr>
        <w:trHeight w:val="227"/>
      </w:trPr>
      <w:tc>
        <w:tcPr>
          <w:tcW w:w="2977" w:type="dxa"/>
          <w:vAlign w:val="center"/>
        </w:tcPr>
        <w:p w:rsidR="001F4AB0" w:rsidRPr="001F07DA" w:rsidRDefault="00C255A6">
          <w:pPr>
            <w:jc w:val="right"/>
            <w:rPr>
              <w:rFonts w:ascii="Palatino Linotype" w:eastAsia="Palatino Linotype" w:hAnsi="Palatino Linotype" w:cs="Palatino Linotype"/>
              <w:b/>
              <w:bCs/>
            </w:rPr>
          </w:pPr>
          <w:r w:rsidRPr="001F07DA">
            <w:rPr>
              <w:rFonts w:ascii="Palatino Linotype" w:eastAsia="Palatino Linotype" w:hAnsi="Palatino Linotype" w:cs="Palatino Linotype"/>
              <w:b/>
              <w:bCs/>
            </w:rPr>
            <w:t>Recurso de Revisión:</w:t>
          </w:r>
        </w:p>
      </w:tc>
      <w:tc>
        <w:tcPr>
          <w:tcW w:w="3683" w:type="dxa"/>
          <w:vAlign w:val="center"/>
        </w:tcPr>
        <w:p w:rsidR="001F4AB0" w:rsidRPr="001F07DA" w:rsidRDefault="00C255A6">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1F07DA">
            <w:rPr>
              <w:rFonts w:ascii="Palatino Linotype" w:eastAsia="Palatino Linotype" w:hAnsi="Palatino Linotype" w:cs="Palatino Linotype"/>
              <w:bCs/>
              <w:color w:val="000000"/>
            </w:rPr>
            <w:t>06233/INFOEM/IP/RR/2025</w:t>
          </w:r>
        </w:p>
      </w:tc>
    </w:tr>
    <w:tr w:rsidR="001F4AB0" w:rsidTr="001F07DA">
      <w:trPr>
        <w:trHeight w:val="242"/>
      </w:trPr>
      <w:tc>
        <w:tcPr>
          <w:tcW w:w="2977" w:type="dxa"/>
          <w:vAlign w:val="center"/>
        </w:tcPr>
        <w:p w:rsidR="001F4AB0" w:rsidRPr="001F07DA" w:rsidRDefault="00C255A6">
          <w:pPr>
            <w:jc w:val="right"/>
            <w:rPr>
              <w:rFonts w:ascii="Palatino Linotype" w:eastAsia="Palatino Linotype" w:hAnsi="Palatino Linotype" w:cs="Palatino Linotype"/>
              <w:b/>
              <w:bCs/>
            </w:rPr>
          </w:pPr>
          <w:r w:rsidRPr="001F07DA">
            <w:rPr>
              <w:rFonts w:ascii="Palatino Linotype" w:eastAsia="Palatino Linotype" w:hAnsi="Palatino Linotype" w:cs="Palatino Linotype"/>
              <w:b/>
              <w:bCs/>
            </w:rPr>
            <w:t>Recurrente:</w:t>
          </w:r>
        </w:p>
      </w:tc>
      <w:tc>
        <w:tcPr>
          <w:tcW w:w="3683" w:type="dxa"/>
        </w:tcPr>
        <w:p w:rsidR="001F4AB0" w:rsidRPr="001F07DA" w:rsidRDefault="001F4AB0">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color w:val="000000"/>
            </w:rPr>
          </w:pPr>
        </w:p>
      </w:tc>
    </w:tr>
    <w:tr w:rsidR="001F4AB0" w:rsidTr="001F07DA">
      <w:trPr>
        <w:trHeight w:val="342"/>
      </w:trPr>
      <w:tc>
        <w:tcPr>
          <w:tcW w:w="2977" w:type="dxa"/>
          <w:vAlign w:val="center"/>
        </w:tcPr>
        <w:p w:rsidR="001F4AB0" w:rsidRPr="001F07DA" w:rsidRDefault="00C255A6">
          <w:pPr>
            <w:jc w:val="right"/>
            <w:rPr>
              <w:rFonts w:ascii="Palatino Linotype" w:eastAsia="Palatino Linotype" w:hAnsi="Palatino Linotype" w:cs="Palatino Linotype"/>
              <w:b/>
              <w:bCs/>
            </w:rPr>
          </w:pPr>
          <w:r w:rsidRPr="001F07DA">
            <w:rPr>
              <w:rFonts w:ascii="Palatino Linotype" w:eastAsia="Palatino Linotype" w:hAnsi="Palatino Linotype" w:cs="Palatino Linotype"/>
              <w:b/>
              <w:bCs/>
            </w:rPr>
            <w:t>Sujeto Obligado:</w:t>
          </w:r>
        </w:p>
      </w:tc>
      <w:tc>
        <w:tcPr>
          <w:tcW w:w="3683" w:type="dxa"/>
          <w:vAlign w:val="center"/>
        </w:tcPr>
        <w:p w:rsidR="001F4AB0" w:rsidRPr="001F07DA" w:rsidRDefault="00C255A6">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rPr>
          </w:pPr>
          <w:r w:rsidRPr="001F07DA">
            <w:rPr>
              <w:rFonts w:ascii="Palatino Linotype" w:eastAsia="Palatino Linotype" w:hAnsi="Palatino Linotype" w:cs="Palatino Linotype"/>
              <w:bCs/>
              <w:color w:val="000000"/>
            </w:rPr>
            <w:t>Poder Legislativo</w:t>
          </w:r>
        </w:p>
      </w:tc>
    </w:tr>
    <w:tr w:rsidR="001F4AB0" w:rsidTr="001F07DA">
      <w:trPr>
        <w:trHeight w:val="342"/>
      </w:trPr>
      <w:tc>
        <w:tcPr>
          <w:tcW w:w="2977" w:type="dxa"/>
          <w:vAlign w:val="center"/>
        </w:tcPr>
        <w:p w:rsidR="001F4AB0" w:rsidRPr="001F07DA" w:rsidRDefault="00C255A6">
          <w:pPr>
            <w:jc w:val="right"/>
            <w:rPr>
              <w:rFonts w:ascii="Palatino Linotype" w:eastAsia="Palatino Linotype" w:hAnsi="Palatino Linotype" w:cs="Palatino Linotype"/>
              <w:b/>
              <w:bCs/>
            </w:rPr>
          </w:pPr>
          <w:r w:rsidRPr="001F07DA">
            <w:rPr>
              <w:rFonts w:ascii="Palatino Linotype" w:eastAsia="Palatino Linotype" w:hAnsi="Palatino Linotype" w:cs="Palatino Linotype"/>
              <w:b/>
              <w:bCs/>
            </w:rPr>
            <w:t>Comisionada Ponente:</w:t>
          </w:r>
        </w:p>
      </w:tc>
      <w:tc>
        <w:tcPr>
          <w:tcW w:w="3683" w:type="dxa"/>
          <w:vAlign w:val="center"/>
        </w:tcPr>
        <w:p w:rsidR="001F4AB0" w:rsidRPr="001F07DA" w:rsidRDefault="00C255A6">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1F07DA">
            <w:rPr>
              <w:rFonts w:ascii="Palatino Linotype" w:eastAsia="Palatino Linotype" w:hAnsi="Palatino Linotype" w:cs="Palatino Linotype"/>
              <w:bCs/>
              <w:color w:val="000000"/>
            </w:rPr>
            <w:t>María del Rosario Mejía Ayala</w:t>
          </w:r>
        </w:p>
      </w:tc>
    </w:tr>
  </w:tbl>
  <w:p w:rsidR="001F4AB0" w:rsidRDefault="00F86A31">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A6363"/>
    <w:multiLevelType w:val="multilevel"/>
    <w:tmpl w:val="35380FDA"/>
    <w:lvl w:ilvl="0">
      <w:start w:val="1"/>
      <w:numFmt w:val="lowerLetter"/>
      <w:lvlText w:val="%1)"/>
      <w:lvlJc w:val="left"/>
      <w:pPr>
        <w:ind w:left="778" w:hanging="360"/>
      </w:p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466D08F3"/>
    <w:multiLevelType w:val="multilevel"/>
    <w:tmpl w:val="0008968E"/>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4373DF"/>
    <w:multiLevelType w:val="multilevel"/>
    <w:tmpl w:val="EC32013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59F55EC5"/>
    <w:multiLevelType w:val="multilevel"/>
    <w:tmpl w:val="F6C0A606"/>
    <w:lvl w:ilvl="0">
      <w:start w:val="1"/>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EC192E"/>
    <w:multiLevelType w:val="hybridMultilevel"/>
    <w:tmpl w:val="699CE3B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692C05C7"/>
    <w:multiLevelType w:val="multilevel"/>
    <w:tmpl w:val="B9D812FC"/>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AB0"/>
    <w:rsid w:val="001F07DA"/>
    <w:rsid w:val="001F4AB0"/>
    <w:rsid w:val="00370909"/>
    <w:rsid w:val="00B231D0"/>
    <w:rsid w:val="00C255A6"/>
    <w:rsid w:val="00E35E9A"/>
    <w:rsid w:val="00F86A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A4999F-47AA-4728-A890-5100B524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
    <w:link w:val="SinespaciadoCar"/>
    <w:uiPriority w:val="1"/>
    <w:qFormat/>
    <w:rsid w:val="00B90932"/>
  </w:style>
  <w:style w:type="character" w:customStyle="1" w:styleId="SinespaciadoCar">
    <w:name w:val="Sin espaciado Car"/>
    <w:aliases w:val="Francesa Car,INAI Car"/>
    <w:link w:val="Sinespaciado"/>
    <w:uiPriority w:val="1"/>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NormalWeb">
    <w:name w:val="Normal (Web)"/>
    <w:basedOn w:val="Normal"/>
    <w:uiPriority w:val="99"/>
    <w:unhideWhenUsed/>
    <w:rsid w:val="004A64CC"/>
    <w:pPr>
      <w:spacing w:before="100" w:beforeAutospacing="1" w:after="100" w:afterAutospacing="1"/>
    </w:pPr>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CE7348"/>
    <w:pPr>
      <w:spacing w:after="120" w:line="480" w:lineRule="auto"/>
    </w:pPr>
    <w:rPr>
      <w:rFonts w:ascii="Times New Roman" w:eastAsia="Times New Roman" w:hAnsi="Times New Roman" w:cs="Times New Roman"/>
      <w:lang w:val="es-MX"/>
    </w:rPr>
  </w:style>
  <w:style w:type="character" w:customStyle="1" w:styleId="Textoindependiente2Car">
    <w:name w:val="Texto independiente 2 Car"/>
    <w:basedOn w:val="Fuentedeprrafopredeter"/>
    <w:link w:val="Textoindependiente2"/>
    <w:uiPriority w:val="99"/>
    <w:rsid w:val="00CE7348"/>
    <w:rPr>
      <w:rFonts w:ascii="Times New Roman" w:eastAsia="Times New Roman" w:hAnsi="Times New Roman" w:cs="Times New Roman"/>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sJkoDjXCRX+SIE9ep+5OLlAfrA==">CgMxLjAyDmgueDdrYW1kY3pwbzdqMg5oLmZoejNmN2I3cWJ0MjIOaC5qaHo0Y3FranQ3c3UyDmguazlzNnE2d3g2NXZsMg5oLjFyZGpkaHI2czViYjIOaC4zcXk4bnAyMXVnNGgyDmgudnQ0azhxNDBqdTdrMg5oLmk3Yno0NzhraWd4aDgAciExLWdLc1BUYkg5bTdmZlRaeHg2dXpSREZMN2NkVVpTakc=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7070</Words>
  <Characters>38889</Characters>
  <Application>Microsoft Office Word</Application>
  <DocSecurity>0</DocSecurity>
  <Lines>324</Lines>
  <Paragraphs>91</Paragraphs>
  <ScaleCrop>false</ScaleCrop>
  <Company>HP Inc.</Company>
  <LinksUpToDate>false</LinksUpToDate>
  <CharactersWithSpaces>45868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5</cp:revision>
  <dcterms:created xsi:type="dcterms:W3CDTF">2026-01-15T05:41:00Z</dcterms:created>
  <dcterms:modified xsi:type="dcterms:W3CDTF">2026-02-03T19:27:00Z</dcterms:modified>
</cp:coreProperties>
</file>