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C45251"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C45251">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C45251">
        <w:rPr>
          <w:rFonts w:ascii="Palatino Linotype" w:eastAsia="Palatino Linotype" w:hAnsi="Palatino Linotype" w:cs="Palatino Linotype"/>
          <w:sz w:val="22"/>
          <w:szCs w:val="22"/>
        </w:rPr>
        <w:t>diecisiete</w:t>
      </w:r>
      <w:r w:rsidR="00032509" w:rsidRPr="00C45251">
        <w:rPr>
          <w:rFonts w:ascii="Palatino Linotype" w:eastAsia="Palatino Linotype" w:hAnsi="Palatino Linotype" w:cs="Palatino Linotype"/>
          <w:sz w:val="22"/>
          <w:szCs w:val="22"/>
        </w:rPr>
        <w:t xml:space="preserve"> de septiembre</w:t>
      </w:r>
      <w:r w:rsidR="00E55CFA" w:rsidRPr="00C45251">
        <w:rPr>
          <w:rFonts w:ascii="Palatino Linotype" w:eastAsia="Palatino Linotype" w:hAnsi="Palatino Linotype" w:cs="Palatino Linotype"/>
          <w:sz w:val="22"/>
          <w:szCs w:val="22"/>
        </w:rPr>
        <w:t xml:space="preserve"> de dos mil veintiséis</w:t>
      </w:r>
      <w:r w:rsidRPr="00C45251">
        <w:rPr>
          <w:rFonts w:ascii="Palatino Linotype" w:eastAsia="Palatino Linotype" w:hAnsi="Palatino Linotype" w:cs="Palatino Linotype"/>
          <w:sz w:val="22"/>
          <w:szCs w:val="22"/>
        </w:rPr>
        <w:t xml:space="preserve">. </w:t>
      </w:r>
    </w:p>
    <w:p w14:paraId="13FC4B2B" w14:textId="77777777" w:rsidR="00532AE4" w:rsidRPr="00C45251" w:rsidRDefault="00532AE4">
      <w:pPr>
        <w:spacing w:line="360" w:lineRule="auto"/>
        <w:jc w:val="both"/>
        <w:rPr>
          <w:rFonts w:ascii="Palatino Linotype" w:eastAsia="Palatino Linotype" w:hAnsi="Palatino Linotype" w:cs="Palatino Linotype"/>
          <w:b/>
          <w:sz w:val="22"/>
          <w:szCs w:val="22"/>
        </w:rPr>
      </w:pPr>
    </w:p>
    <w:p w14:paraId="50DC799A" w14:textId="00DA8C20"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Visto </w:t>
      </w:r>
      <w:r w:rsidRPr="00C45251">
        <w:rPr>
          <w:rFonts w:ascii="Palatino Linotype" w:eastAsia="Palatino Linotype" w:hAnsi="Palatino Linotype" w:cs="Palatino Linotype"/>
          <w:sz w:val="22"/>
          <w:szCs w:val="22"/>
        </w:rPr>
        <w:t xml:space="preserve">el expediente relativo al recurso de revisión </w:t>
      </w:r>
      <w:r w:rsidR="008C1E2D" w:rsidRPr="00C45251">
        <w:rPr>
          <w:rFonts w:ascii="Palatino Linotype" w:eastAsia="Palatino Linotype" w:hAnsi="Palatino Linotype" w:cs="Palatino Linotype"/>
          <w:b/>
          <w:sz w:val="22"/>
          <w:szCs w:val="22"/>
        </w:rPr>
        <w:t>0</w:t>
      </w:r>
      <w:r w:rsidR="001965CD" w:rsidRPr="00C45251">
        <w:rPr>
          <w:rFonts w:ascii="Palatino Linotype" w:eastAsia="Palatino Linotype" w:hAnsi="Palatino Linotype" w:cs="Palatino Linotype"/>
          <w:b/>
          <w:sz w:val="22"/>
          <w:szCs w:val="22"/>
        </w:rPr>
        <w:t>8144</w:t>
      </w:r>
      <w:r w:rsidR="000C05BE" w:rsidRPr="00C45251">
        <w:rPr>
          <w:rFonts w:ascii="Palatino Linotype" w:eastAsia="Palatino Linotype" w:hAnsi="Palatino Linotype" w:cs="Palatino Linotype"/>
          <w:b/>
          <w:sz w:val="22"/>
          <w:szCs w:val="22"/>
        </w:rPr>
        <w:t>/INFOEM/IP/RR/2026</w:t>
      </w:r>
      <w:r w:rsidRPr="00C45251">
        <w:rPr>
          <w:rFonts w:ascii="Palatino Linotype" w:eastAsia="Palatino Linotype" w:hAnsi="Palatino Linotype" w:cs="Palatino Linotype"/>
          <w:sz w:val="22"/>
          <w:szCs w:val="22"/>
        </w:rPr>
        <w:t xml:space="preserve">, interpuesto </w:t>
      </w:r>
      <w:r w:rsidR="0061438F" w:rsidRPr="00C45251">
        <w:rPr>
          <w:rFonts w:ascii="Palatino Linotype" w:eastAsia="Palatino Linotype" w:hAnsi="Palatino Linotype" w:cs="Palatino Linotype"/>
          <w:sz w:val="22"/>
          <w:szCs w:val="22"/>
        </w:rPr>
        <w:t xml:space="preserve">por </w:t>
      </w:r>
      <w:r w:rsidR="00EE5C54">
        <w:rPr>
          <w:rFonts w:ascii="Palatino Linotype" w:eastAsia="Palatino Linotype" w:hAnsi="Palatino Linotype" w:cs="Palatino Linotype"/>
          <w:b/>
          <w:sz w:val="21"/>
          <w:szCs w:val="21"/>
        </w:rPr>
        <w:t xml:space="preserve">XXXXXX </w:t>
      </w:r>
      <w:proofErr w:type="spellStart"/>
      <w:r w:rsidR="00EE5C54">
        <w:rPr>
          <w:rFonts w:ascii="Palatino Linotype" w:eastAsia="Palatino Linotype" w:hAnsi="Palatino Linotype" w:cs="Palatino Linotype"/>
          <w:b/>
          <w:sz w:val="21"/>
          <w:szCs w:val="21"/>
        </w:rPr>
        <w:t>XXXXXX</w:t>
      </w:r>
      <w:proofErr w:type="spellEnd"/>
      <w:r w:rsidR="00EE5C54">
        <w:rPr>
          <w:rFonts w:ascii="Palatino Linotype" w:eastAsia="Palatino Linotype" w:hAnsi="Palatino Linotype" w:cs="Palatino Linotype"/>
          <w:b/>
          <w:sz w:val="21"/>
          <w:szCs w:val="21"/>
        </w:rPr>
        <w:t xml:space="preserve"> </w:t>
      </w:r>
      <w:proofErr w:type="gramStart"/>
      <w:r w:rsidR="00EE5C54">
        <w:rPr>
          <w:rFonts w:ascii="Palatino Linotype" w:eastAsia="Palatino Linotype" w:hAnsi="Palatino Linotype" w:cs="Palatino Linotype"/>
          <w:b/>
          <w:sz w:val="21"/>
          <w:szCs w:val="21"/>
        </w:rPr>
        <w:t>XXXX</w:t>
      </w:r>
      <w:r w:rsidR="00EE5C54" w:rsidRPr="00C45251">
        <w:rPr>
          <w:rFonts w:ascii="Palatino Linotype" w:eastAsia="Palatino Linotype" w:hAnsi="Palatino Linotype" w:cs="Palatino Linotype"/>
          <w:sz w:val="22"/>
          <w:szCs w:val="22"/>
        </w:rPr>
        <w:t xml:space="preserve"> </w:t>
      </w:r>
      <w:r w:rsidR="00EE5C54">
        <w:rPr>
          <w:rFonts w:ascii="Palatino Linotype" w:eastAsia="Palatino Linotype" w:hAnsi="Palatino Linotype" w:cs="Palatino Linotype"/>
          <w:sz w:val="22"/>
          <w:szCs w:val="22"/>
        </w:rPr>
        <w:t xml:space="preserve"> </w:t>
      </w:r>
      <w:r w:rsidRPr="00C45251">
        <w:rPr>
          <w:rFonts w:ascii="Palatino Linotype" w:eastAsia="Palatino Linotype" w:hAnsi="Palatino Linotype" w:cs="Palatino Linotype"/>
          <w:sz w:val="22"/>
          <w:szCs w:val="22"/>
        </w:rPr>
        <w:t>en</w:t>
      </w:r>
      <w:proofErr w:type="gramEnd"/>
      <w:r w:rsidRPr="00C45251">
        <w:rPr>
          <w:rFonts w:ascii="Palatino Linotype" w:eastAsia="Palatino Linotype" w:hAnsi="Palatino Linotype" w:cs="Palatino Linotype"/>
          <w:sz w:val="22"/>
          <w:szCs w:val="22"/>
        </w:rPr>
        <w:t xml:space="preserve"> lo sucesivo la parte </w:t>
      </w:r>
      <w:r w:rsidRPr="00C45251">
        <w:rPr>
          <w:rFonts w:ascii="Palatino Linotype" w:eastAsia="Palatino Linotype" w:hAnsi="Palatino Linotype" w:cs="Palatino Linotype"/>
          <w:b/>
          <w:sz w:val="22"/>
          <w:szCs w:val="22"/>
        </w:rPr>
        <w:t xml:space="preserve">RECURRENTE, </w:t>
      </w:r>
      <w:r w:rsidRPr="00C45251">
        <w:rPr>
          <w:rFonts w:ascii="Palatino Linotype" w:eastAsia="Palatino Linotype" w:hAnsi="Palatino Linotype" w:cs="Palatino Linotype"/>
          <w:sz w:val="22"/>
          <w:szCs w:val="22"/>
        </w:rPr>
        <w:t>en contra de la falta de respuesta a la solicitud de acceso a la información con número de folio</w:t>
      </w:r>
      <w:r w:rsidRPr="00C45251">
        <w:rPr>
          <w:rFonts w:ascii="Verdana" w:eastAsia="Verdana" w:hAnsi="Verdana" w:cs="Verdana"/>
          <w:b/>
          <w:sz w:val="22"/>
          <w:szCs w:val="22"/>
        </w:rPr>
        <w:t> </w:t>
      </w:r>
      <w:r w:rsidR="001965CD" w:rsidRPr="00C45251">
        <w:rPr>
          <w:rFonts w:ascii="Palatino Linotype" w:eastAsia="Palatino Linotype" w:hAnsi="Palatino Linotype" w:cs="Palatino Linotype"/>
          <w:b/>
          <w:sz w:val="22"/>
          <w:szCs w:val="22"/>
        </w:rPr>
        <w:t>00132/COCOTIT/IP/2026</w:t>
      </w:r>
      <w:r w:rsidR="00EF743D" w:rsidRPr="00C45251">
        <w:rPr>
          <w:rFonts w:ascii="Palatino Linotype" w:eastAsia="Palatino Linotype" w:hAnsi="Palatino Linotype" w:cs="Palatino Linotype"/>
          <w:b/>
          <w:sz w:val="22"/>
          <w:szCs w:val="22"/>
        </w:rPr>
        <w:t xml:space="preserve">, </w:t>
      </w:r>
      <w:r w:rsidRPr="00C45251">
        <w:rPr>
          <w:rFonts w:ascii="Palatino Linotype" w:eastAsia="Palatino Linotype" w:hAnsi="Palatino Linotype" w:cs="Palatino Linotype"/>
          <w:sz w:val="22"/>
          <w:szCs w:val="22"/>
        </w:rPr>
        <w:t xml:space="preserve">por parte del </w:t>
      </w:r>
      <w:r w:rsidR="008E5D58" w:rsidRPr="00C45251">
        <w:rPr>
          <w:rFonts w:ascii="Palatino Linotype" w:eastAsia="Palatino Linotype" w:hAnsi="Palatino Linotype" w:cs="Palatino Linotype"/>
          <w:b/>
          <w:sz w:val="22"/>
          <w:szCs w:val="22"/>
        </w:rPr>
        <w:t xml:space="preserve">Ayuntamiento de </w:t>
      </w:r>
      <w:r w:rsidR="00D579BF" w:rsidRPr="00C45251">
        <w:rPr>
          <w:rFonts w:ascii="Palatino Linotype" w:eastAsia="Palatino Linotype" w:hAnsi="Palatino Linotype" w:cs="Palatino Linotype"/>
          <w:b/>
          <w:sz w:val="22"/>
          <w:szCs w:val="22"/>
        </w:rPr>
        <w:t>Cocotitlán</w:t>
      </w:r>
      <w:r w:rsidR="00390FDA" w:rsidRPr="00C45251">
        <w:rPr>
          <w:rFonts w:ascii="Palatino Linotype" w:eastAsia="Palatino Linotype" w:hAnsi="Palatino Linotype" w:cs="Palatino Linotype"/>
          <w:b/>
          <w:sz w:val="22"/>
          <w:szCs w:val="22"/>
        </w:rPr>
        <w:t>,</w:t>
      </w:r>
      <w:r w:rsidRPr="00C45251">
        <w:rPr>
          <w:rFonts w:ascii="Palatino Linotype" w:eastAsia="Palatino Linotype" w:hAnsi="Palatino Linotype" w:cs="Palatino Linotype"/>
          <w:sz w:val="22"/>
          <w:szCs w:val="22"/>
        </w:rPr>
        <w:t xml:space="preserve"> en lo sucesivo el </w:t>
      </w:r>
      <w:r w:rsidRPr="00C45251">
        <w:rPr>
          <w:rFonts w:ascii="Palatino Linotype" w:eastAsia="Palatino Linotype" w:hAnsi="Palatino Linotype" w:cs="Palatino Linotype"/>
          <w:b/>
          <w:sz w:val="22"/>
          <w:szCs w:val="22"/>
        </w:rPr>
        <w:t xml:space="preserve">SUJETO OBLIGADO; </w:t>
      </w:r>
      <w:r w:rsidRPr="00C45251">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C45251"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A N T E C E D E N T E S:</w:t>
      </w:r>
    </w:p>
    <w:p w14:paraId="77D7A248" w14:textId="77777777" w:rsidR="00532AE4" w:rsidRPr="00C45251"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A974FB5" w14:textId="778F3CE1" w:rsidR="00856384" w:rsidRPr="00C45251" w:rsidRDefault="00856384" w:rsidP="00856384">
      <w:pPr>
        <w:spacing w:line="360" w:lineRule="auto"/>
        <w:jc w:val="both"/>
        <w:rPr>
          <w:rFonts w:ascii="Palatino Linotype" w:eastAsia="Palatino Linotype" w:hAnsi="Palatino Linotype" w:cs="Palatino Linotype"/>
          <w:sz w:val="22"/>
          <w:szCs w:val="22"/>
          <w:lang w:val="es-ES"/>
        </w:rPr>
      </w:pPr>
      <w:r w:rsidRPr="00C45251">
        <w:rPr>
          <w:rFonts w:ascii="Palatino Linotype" w:eastAsia="Palatino Linotype" w:hAnsi="Palatino Linotype" w:cs="Palatino Linotype"/>
          <w:b/>
          <w:sz w:val="22"/>
          <w:szCs w:val="22"/>
          <w:lang w:val="es-ES"/>
        </w:rPr>
        <w:t xml:space="preserve">1. Solicitud de acceso a la información. </w:t>
      </w:r>
      <w:r w:rsidRPr="00C45251">
        <w:rPr>
          <w:rFonts w:ascii="Palatino Linotype" w:eastAsia="Palatino Linotype" w:hAnsi="Palatino Linotype" w:cs="Palatino Linotype"/>
          <w:sz w:val="22"/>
          <w:szCs w:val="22"/>
          <w:lang w:val="es-ES"/>
        </w:rPr>
        <w:t xml:space="preserve">Con fecha veinte de julio de dos mil veintiséis, la parte </w:t>
      </w:r>
      <w:r w:rsidRPr="00C45251">
        <w:rPr>
          <w:rFonts w:ascii="Palatino Linotype" w:eastAsia="Palatino Linotype" w:hAnsi="Palatino Linotype" w:cs="Palatino Linotype"/>
          <w:b/>
          <w:sz w:val="22"/>
          <w:szCs w:val="22"/>
          <w:lang w:val="es-ES"/>
        </w:rPr>
        <w:t xml:space="preserve">RECURRENTE </w:t>
      </w:r>
      <w:r w:rsidRPr="00C45251">
        <w:rPr>
          <w:rFonts w:ascii="Palatino Linotype" w:eastAsia="Palatino Linotype" w:hAnsi="Palatino Linotype" w:cs="Palatino Linotype"/>
          <w:sz w:val="22"/>
          <w:szCs w:val="22"/>
          <w:lang w:val="es-ES"/>
        </w:rPr>
        <w:t xml:space="preserve">formuló a través del Sistema de Acceso a la Información Mexiquense, en adelante </w:t>
      </w:r>
      <w:r w:rsidRPr="00C45251">
        <w:rPr>
          <w:rFonts w:ascii="Palatino Linotype" w:eastAsia="Palatino Linotype" w:hAnsi="Palatino Linotype" w:cs="Palatino Linotype"/>
          <w:b/>
          <w:sz w:val="22"/>
          <w:szCs w:val="22"/>
          <w:lang w:val="es-ES"/>
        </w:rPr>
        <w:t>SAIMEX,</w:t>
      </w:r>
      <w:r w:rsidRPr="00C45251">
        <w:rPr>
          <w:rFonts w:ascii="Palatino Linotype" w:eastAsia="Palatino Linotype" w:hAnsi="Palatino Linotype" w:cs="Palatino Linotype"/>
          <w:sz w:val="22"/>
          <w:szCs w:val="22"/>
          <w:lang w:val="es-ES"/>
        </w:rPr>
        <w:t xml:space="preserve"> solicitud de información al </w:t>
      </w:r>
      <w:r w:rsidRPr="00C45251">
        <w:rPr>
          <w:rFonts w:ascii="Palatino Linotype" w:eastAsia="Palatino Linotype" w:hAnsi="Palatino Linotype" w:cs="Palatino Linotype"/>
          <w:b/>
          <w:sz w:val="22"/>
          <w:szCs w:val="22"/>
          <w:lang w:val="es-ES"/>
        </w:rPr>
        <w:t xml:space="preserve">SUJETO OBLIGADO; </w:t>
      </w:r>
      <w:r w:rsidRPr="00C45251">
        <w:rPr>
          <w:rFonts w:ascii="Palatino Linotype" w:eastAsia="Palatino Linotype" w:hAnsi="Palatino Linotype" w:cs="Palatino Linotype"/>
          <w:bCs/>
          <w:sz w:val="22"/>
          <w:szCs w:val="22"/>
          <w:lang w:val="es-ES"/>
        </w:rPr>
        <w:t xml:space="preserve">no obstante, por corresponder a un día inhábil, se tuvo por presentada el </w:t>
      </w:r>
      <w:r w:rsidRPr="00C45251">
        <w:rPr>
          <w:rFonts w:ascii="Palatino Linotype" w:eastAsia="Palatino Linotype" w:hAnsi="Palatino Linotype" w:cs="Palatino Linotype"/>
          <w:b/>
          <w:sz w:val="22"/>
          <w:szCs w:val="22"/>
          <w:lang w:val="es-ES"/>
        </w:rPr>
        <w:t>tres de agosto de dos mil veintiséis</w:t>
      </w:r>
      <w:r w:rsidRPr="00C45251">
        <w:rPr>
          <w:rFonts w:ascii="Palatino Linotype" w:eastAsia="Palatino Linotype" w:hAnsi="Palatino Linotype" w:cs="Palatino Linotype"/>
          <w:sz w:val="22"/>
          <w:szCs w:val="22"/>
          <w:lang w:val="es-ES"/>
        </w:rPr>
        <w:t xml:space="preserve"> requiriéndole lo siguiente:</w:t>
      </w:r>
    </w:p>
    <w:p w14:paraId="59CC0872" w14:textId="68200746" w:rsidR="009B6117" w:rsidRPr="00C45251" w:rsidRDefault="009B6117" w:rsidP="00724155">
      <w:pPr>
        <w:ind w:right="616"/>
        <w:jc w:val="both"/>
        <w:rPr>
          <w:rFonts w:ascii="Palatino Linotype" w:eastAsia="Palatino Linotype" w:hAnsi="Palatino Linotype" w:cs="Palatino Linotype"/>
          <w:i/>
          <w:sz w:val="22"/>
          <w:szCs w:val="22"/>
          <w:lang w:val="es-ES"/>
        </w:rPr>
      </w:pPr>
    </w:p>
    <w:p w14:paraId="0F87CB2C" w14:textId="63E0D505" w:rsidR="00532AE4" w:rsidRPr="00C45251" w:rsidRDefault="0004402A" w:rsidP="00856384">
      <w:pPr>
        <w:ind w:left="851"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r w:rsidR="001965CD" w:rsidRPr="00C45251">
        <w:rPr>
          <w:rFonts w:ascii="Palatino Linotype" w:eastAsia="Palatino Linotype" w:hAnsi="Palatino Linotype" w:cs="Palatino Linotype"/>
          <w:i/>
          <w:sz w:val="22"/>
          <w:szCs w:val="22"/>
        </w:rPr>
        <w:t xml:space="preserve">Solicitud de Aclaración Jerárquica y Responsabilidad Institucional Ayuntamiento de Cocotitlán, Estado de México. Solicitud de precisión jerárquica y deslinde de responsabilidades sobre la supervisión del Juzgado Cívico Municipal. C. PRESIDENTE MUNICIPAL DE COCOTITLÁN Y TITULAR DE LA UNIDAD DE TRANSPARENCIA: En ejercicio de mi derecho de acceso a la información pública, y derivado de las contradicciones documentadas en el actuar de la Jueza Cívica Municipal (oficios MCOC/JC/0EE/003/2026 y MCOC/JC/0EE/005/2026) y la respuesta evasiva proporcionada por la Secretaría del Ayuntamiento en el expediente 00128/COCOTIT/IP/2026, solicito formalmente lo siguiente: PRIMERO. DECLARATORIA SOBRE EL MANDO JERÁRQUICO: Conforme al Bando Municipal y la Ley Orgánica Municipal, solicito al C. Presidente Municipal confirme si la Secretaría del Ayuntamiento es la autoridad responsable de </w:t>
      </w:r>
      <w:r w:rsidR="001965CD" w:rsidRPr="00C45251">
        <w:rPr>
          <w:rFonts w:ascii="Palatino Linotype" w:eastAsia="Palatino Linotype" w:hAnsi="Palatino Linotype" w:cs="Palatino Linotype"/>
          <w:i/>
          <w:sz w:val="22"/>
          <w:szCs w:val="22"/>
        </w:rPr>
        <w:lastRenderedPageBreak/>
        <w:t>coordinar, supervisar y vigilar la legalidad de las actuaciones del Juzgado Cívico. En caso afirmativo: Solicito se me informe qué medidas de control interno ha tomado la Presidencia Municipal ante la omisión confesa del Secretario del Ayuntamiento de supervisar a la Jueza Cívica. En caso negativo: Solicito se identifique, mediante acto administrativo fundado, qué servidor público tiene la responsabilidad jerárquica y directa de verificar el desempeño de la Jueza Cívica y de turnar las denuncias ciudadanas a las áreas competentes (Ecología/Desarrollo Económico), a fin de evitar que dicho Juzgado continúe operando como una instancia sin supervisión ni control legal. SEGUNDO. PRONUNCIAMIENTO SOBRE LA OMISIÓN CONFESA: Toda vez que el Secretario del Ayuntamiento ha admitido (según obra en expediente 00128/COCOTIT/IP/2026) no haber emitido ningún llamado de atención, requerimiento o procedimiento contra la Jueza Cívica a pesar de las evidentes contradicciones en sus oficios, solicito al C. Presidente Municipal informe si esta inacción cuenta con su autorización expresa o si, por el contrario, constituye una falta de cumplimiento a las obligaciones del Secretario. TERCERO. SOLICITUD DE GESTIÓN DE RESPONSABILIDAD: Solicito que esta petición sea notificada de manera íntegra a la Contraloría Municipal y a la Secretaría del Ayuntamiento, para que se proceda a la apertura de un expediente de responsabilidad administrativa contra quien resulte responsable por la omisión deliberada en la supervisión del Juzgado Cívico, atendiendo a la evidencia de mal desempeño que ya obra en poder del Ayuntamiento. La presente solicitud busca clarificar la cadena de mando y responsabilidad. La falta de una respuesta clara, fundada y motivada por parte del Presidente Municipal, implicará la ratificación de una política de opacidad y complicidad institucional, lo cual será informado al Pleno del INFOEM y a la Contraloría del Poder Legislativo para los efectos legales a los que haya lugar.</w:t>
      </w:r>
      <w:r w:rsidR="00137E5A" w:rsidRPr="00C45251">
        <w:rPr>
          <w:rFonts w:ascii="Palatino Linotype" w:eastAsia="Palatino Linotype" w:hAnsi="Palatino Linotype" w:cs="Palatino Linotype"/>
          <w:i/>
          <w:sz w:val="22"/>
          <w:szCs w:val="22"/>
        </w:rPr>
        <w:t xml:space="preserve">” </w:t>
      </w:r>
      <w:r w:rsidR="00A76F12" w:rsidRPr="00C45251">
        <w:rPr>
          <w:rFonts w:ascii="Palatino Linotype" w:eastAsia="Palatino Linotype" w:hAnsi="Palatino Linotype" w:cs="Palatino Linotype"/>
          <w:i/>
          <w:sz w:val="22"/>
          <w:szCs w:val="22"/>
        </w:rPr>
        <w:t>(Sic)</w:t>
      </w:r>
      <w:r w:rsidR="00CE1553" w:rsidRPr="00C45251">
        <w:rPr>
          <w:rFonts w:ascii="Palatino Linotype" w:eastAsia="Palatino Linotype" w:hAnsi="Palatino Linotype" w:cs="Palatino Linotype"/>
          <w:b/>
          <w:sz w:val="22"/>
          <w:szCs w:val="22"/>
        </w:rPr>
        <w:tab/>
      </w:r>
    </w:p>
    <w:p w14:paraId="6697AE7A" w14:textId="77777777" w:rsidR="00147A44" w:rsidRPr="00C45251"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C45251" w:rsidRDefault="00A76F12" w:rsidP="00FD5905">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Modalidad elegida para la entrega de la información: </w:t>
      </w:r>
      <w:r w:rsidRPr="00C45251">
        <w:rPr>
          <w:rFonts w:ascii="Palatino Linotype" w:eastAsia="Palatino Linotype" w:hAnsi="Palatino Linotype" w:cs="Palatino Linotype"/>
          <w:sz w:val="22"/>
          <w:szCs w:val="22"/>
        </w:rPr>
        <w:t>a través del SAIMEX.</w:t>
      </w:r>
    </w:p>
    <w:p w14:paraId="1227E94F" w14:textId="77777777" w:rsidR="00D60C04" w:rsidRPr="00C45251"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C45251" w:rsidRDefault="00FD5905">
      <w:pPr>
        <w:spacing w:line="360" w:lineRule="auto"/>
        <w:jc w:val="both"/>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2</w:t>
      </w:r>
      <w:r w:rsidR="00D763D8" w:rsidRPr="00C45251">
        <w:rPr>
          <w:rFonts w:ascii="Palatino Linotype" w:eastAsia="Palatino Linotype" w:hAnsi="Palatino Linotype" w:cs="Palatino Linotype"/>
          <w:b/>
          <w:sz w:val="22"/>
          <w:szCs w:val="22"/>
        </w:rPr>
        <w:t xml:space="preserve">. </w:t>
      </w:r>
      <w:r w:rsidR="00A76F12" w:rsidRPr="00C45251">
        <w:rPr>
          <w:rFonts w:ascii="Palatino Linotype" w:eastAsia="Palatino Linotype" w:hAnsi="Palatino Linotype" w:cs="Palatino Linotype"/>
          <w:b/>
          <w:sz w:val="22"/>
          <w:szCs w:val="22"/>
        </w:rPr>
        <w:t xml:space="preserve">Respuesta. </w:t>
      </w:r>
      <w:r w:rsidR="00A76F12" w:rsidRPr="00C45251">
        <w:rPr>
          <w:rFonts w:ascii="Palatino Linotype" w:eastAsia="Palatino Linotype" w:hAnsi="Palatino Linotype" w:cs="Palatino Linotype"/>
          <w:sz w:val="22"/>
          <w:szCs w:val="22"/>
        </w:rPr>
        <w:t xml:space="preserve">El </w:t>
      </w:r>
      <w:r w:rsidR="00A76F12" w:rsidRPr="00C45251">
        <w:rPr>
          <w:rFonts w:ascii="Palatino Linotype" w:eastAsia="Palatino Linotype" w:hAnsi="Palatino Linotype" w:cs="Palatino Linotype"/>
          <w:b/>
          <w:sz w:val="22"/>
          <w:szCs w:val="22"/>
        </w:rPr>
        <w:t xml:space="preserve">SUJETO OBLIGADO </w:t>
      </w:r>
      <w:r w:rsidR="00A76F12" w:rsidRPr="00C45251">
        <w:rPr>
          <w:rFonts w:ascii="Palatino Linotype" w:eastAsia="Palatino Linotype" w:hAnsi="Palatino Linotype" w:cs="Palatino Linotype"/>
          <w:sz w:val="22"/>
          <w:szCs w:val="22"/>
        </w:rPr>
        <w:t xml:space="preserve">fue omiso en proporcionar respuesta. </w:t>
      </w:r>
    </w:p>
    <w:p w14:paraId="66730054"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64E077EC" w14:textId="160D3AC8" w:rsidR="00532AE4" w:rsidRPr="00C45251" w:rsidRDefault="00FD5905">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3</w:t>
      </w:r>
      <w:r w:rsidR="00A01FAB" w:rsidRPr="00C45251">
        <w:rPr>
          <w:rFonts w:ascii="Palatino Linotype" w:eastAsia="Palatino Linotype" w:hAnsi="Palatino Linotype" w:cs="Palatino Linotype"/>
          <w:b/>
          <w:sz w:val="22"/>
          <w:szCs w:val="22"/>
        </w:rPr>
        <w:t>.</w:t>
      </w:r>
      <w:r w:rsidR="00A76F12" w:rsidRPr="00C45251">
        <w:rPr>
          <w:rFonts w:ascii="Palatino Linotype" w:eastAsia="Palatino Linotype" w:hAnsi="Palatino Linotype" w:cs="Palatino Linotype"/>
          <w:b/>
          <w:sz w:val="22"/>
          <w:szCs w:val="22"/>
        </w:rPr>
        <w:t xml:space="preserve">Interposición del recurso de revisión. </w:t>
      </w:r>
      <w:r w:rsidR="00A76F12" w:rsidRPr="00C45251">
        <w:rPr>
          <w:rFonts w:ascii="Palatino Linotype" w:eastAsia="Palatino Linotype" w:hAnsi="Palatino Linotype" w:cs="Palatino Linotype"/>
          <w:sz w:val="22"/>
          <w:szCs w:val="22"/>
        </w:rPr>
        <w:t xml:space="preserve">Inconforme la parte solicitante con la falta de respuesta del </w:t>
      </w:r>
      <w:r w:rsidR="00A76F12" w:rsidRPr="00C45251">
        <w:rPr>
          <w:rFonts w:ascii="Palatino Linotype" w:eastAsia="Palatino Linotype" w:hAnsi="Palatino Linotype" w:cs="Palatino Linotype"/>
          <w:b/>
          <w:sz w:val="22"/>
          <w:szCs w:val="22"/>
        </w:rPr>
        <w:t>SUJETO OBLIGADO</w:t>
      </w:r>
      <w:r w:rsidR="00A76F12" w:rsidRPr="00C45251">
        <w:rPr>
          <w:rFonts w:ascii="Palatino Linotype" w:eastAsia="Palatino Linotype" w:hAnsi="Palatino Linotype" w:cs="Palatino Linotype"/>
          <w:sz w:val="22"/>
          <w:szCs w:val="22"/>
        </w:rPr>
        <w:t xml:space="preserve">, interpuso recurso de revisión a través del SAIMEX en fecha </w:t>
      </w:r>
      <w:r w:rsidR="001965CD" w:rsidRPr="00C45251">
        <w:rPr>
          <w:rFonts w:ascii="Palatino Linotype" w:eastAsia="Palatino Linotype" w:hAnsi="Palatino Linotype" w:cs="Palatino Linotype"/>
          <w:b/>
          <w:sz w:val="22"/>
          <w:szCs w:val="22"/>
        </w:rPr>
        <w:t>veinticinco</w:t>
      </w:r>
      <w:r w:rsidR="00326E2A" w:rsidRPr="00C45251">
        <w:rPr>
          <w:rFonts w:ascii="Palatino Linotype" w:eastAsia="Palatino Linotype" w:hAnsi="Palatino Linotype" w:cs="Palatino Linotype"/>
          <w:b/>
          <w:sz w:val="22"/>
          <w:szCs w:val="22"/>
        </w:rPr>
        <w:t xml:space="preserve"> de agosto</w:t>
      </w:r>
      <w:r w:rsidR="00401731" w:rsidRPr="00C45251">
        <w:rPr>
          <w:rFonts w:ascii="Palatino Linotype" w:eastAsia="Palatino Linotype" w:hAnsi="Palatino Linotype" w:cs="Palatino Linotype"/>
          <w:b/>
          <w:sz w:val="22"/>
          <w:szCs w:val="22"/>
        </w:rPr>
        <w:t xml:space="preserve"> de dos mil veintiséis</w:t>
      </w:r>
      <w:r w:rsidR="00A76F12" w:rsidRPr="00C45251">
        <w:rPr>
          <w:rFonts w:ascii="Palatino Linotype" w:eastAsia="Palatino Linotype" w:hAnsi="Palatino Linotype" w:cs="Palatino Linotype"/>
          <w:sz w:val="22"/>
          <w:szCs w:val="22"/>
        </w:rPr>
        <w:t>, expresando lo siguiente:</w:t>
      </w:r>
    </w:p>
    <w:p w14:paraId="126577AC"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9ACBA47" w14:textId="53A11C6F" w:rsidR="00532AE4" w:rsidRPr="00C45251" w:rsidRDefault="00A76F12">
      <w:pPr>
        <w:spacing w:line="360"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sz w:val="22"/>
          <w:szCs w:val="22"/>
        </w:rPr>
        <w:lastRenderedPageBreak/>
        <w:t>a) Acto impugnado</w:t>
      </w:r>
      <w:r w:rsidRPr="00C45251">
        <w:rPr>
          <w:rFonts w:ascii="Palatino Linotype" w:eastAsia="Palatino Linotype" w:hAnsi="Palatino Linotype" w:cs="Palatino Linotype"/>
          <w:b/>
          <w:i/>
          <w:sz w:val="22"/>
          <w:szCs w:val="22"/>
        </w:rPr>
        <w:t xml:space="preserve">. </w:t>
      </w:r>
      <w:r w:rsidR="00EB74FD" w:rsidRPr="00C45251">
        <w:rPr>
          <w:rFonts w:ascii="Palatino Linotype" w:eastAsia="Palatino Linotype" w:hAnsi="Palatino Linotype" w:cs="Palatino Linotype"/>
          <w:i/>
          <w:sz w:val="22"/>
          <w:szCs w:val="22"/>
        </w:rPr>
        <w:t>“</w:t>
      </w:r>
      <w:r w:rsidR="001965CD" w:rsidRPr="00C45251">
        <w:rPr>
          <w:rFonts w:ascii="Palatino Linotype" w:eastAsia="Palatino Linotype" w:hAnsi="Palatino Linotype" w:cs="Palatino Linotype"/>
          <w:i/>
          <w:sz w:val="22"/>
          <w:szCs w:val="22"/>
        </w:rPr>
        <w:t>La falta absoluta de respuesta del H. Ayuntamiento de Cocotitlán, Estado de México, respecto de la solicitud de acceso a la información mediante la cual se requirió información y documentación relacionada con la cadena jerárquica de supervisión del Juzgado Cívico Municipal, las atribuciones de las autoridades responsables de vigilar su funcionamiento, las medidas de control interno adoptadas y las actuaciones documentadas derivadas de las inconsistencias señaladas en los oficios MCOC/JC/0EE/003/2026 y MCOC/JC/0EE/005/2026, así como de los antecedentes contenidos en el expediente 00128/COCOTIT/IP/2026. El sujeto obligado no emitió respuesta alguna dentro del plazo legal, ni proporcionó la información solicitada, ni notificó determinación de incompetencia, inexistencia, clasificación, prevención o prórroga debidamente fundada y motivada. Por tanto, el acto que se impugna consiste en la omisión absoluta del sujeto obligado de atender la solicitud de acceso a la información pública, lo que afecta directamente el ejercicio del derecho de acceso a la información.</w:t>
      </w:r>
      <w:r w:rsidR="009B6117" w:rsidRPr="00C45251">
        <w:rPr>
          <w:rFonts w:ascii="Palatino Linotype" w:eastAsia="Palatino Linotype" w:hAnsi="Palatino Linotype" w:cs="Palatino Linotype"/>
          <w:i/>
          <w:sz w:val="22"/>
          <w:szCs w:val="22"/>
        </w:rPr>
        <w:t xml:space="preserve">” </w:t>
      </w:r>
      <w:r w:rsidRPr="00C45251">
        <w:rPr>
          <w:rFonts w:ascii="Palatino Linotype" w:eastAsia="Palatino Linotype" w:hAnsi="Palatino Linotype" w:cs="Palatino Linotype"/>
          <w:i/>
          <w:sz w:val="22"/>
          <w:szCs w:val="22"/>
        </w:rPr>
        <w:t>(Sic)</w:t>
      </w:r>
    </w:p>
    <w:p w14:paraId="527329DB" w14:textId="77777777" w:rsidR="00532AE4" w:rsidRPr="00C45251" w:rsidRDefault="00532AE4">
      <w:pPr>
        <w:spacing w:line="360" w:lineRule="auto"/>
        <w:ind w:left="567" w:right="616"/>
        <w:rPr>
          <w:rFonts w:ascii="Palatino Linotype" w:eastAsia="Palatino Linotype" w:hAnsi="Palatino Linotype" w:cs="Palatino Linotype"/>
          <w:b/>
          <w:sz w:val="22"/>
          <w:szCs w:val="22"/>
        </w:rPr>
      </w:pPr>
    </w:p>
    <w:p w14:paraId="27199E43" w14:textId="598EB6F1" w:rsidR="00532AE4" w:rsidRPr="00C45251" w:rsidRDefault="00A76F12">
      <w:pPr>
        <w:spacing w:line="360"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sz w:val="22"/>
          <w:szCs w:val="22"/>
        </w:rPr>
        <w:t xml:space="preserve">b) Motivos de inconformidad. </w:t>
      </w:r>
      <w:r w:rsidRPr="00C45251">
        <w:rPr>
          <w:rFonts w:ascii="Palatino Linotype" w:eastAsia="Palatino Linotype" w:hAnsi="Palatino Linotype" w:cs="Palatino Linotype"/>
          <w:i/>
          <w:sz w:val="22"/>
          <w:szCs w:val="22"/>
        </w:rPr>
        <w:t>“</w:t>
      </w:r>
      <w:r w:rsidR="001965CD" w:rsidRPr="00C45251">
        <w:rPr>
          <w:rFonts w:ascii="Palatino Linotype" w:eastAsia="Palatino Linotype" w:hAnsi="Palatino Linotype" w:cs="Palatino Linotype"/>
          <w:i/>
          <w:sz w:val="22"/>
          <w:szCs w:val="22"/>
        </w:rPr>
        <w:t xml:space="preserve">PRIMERO. FALTA ABSOLUTA DE RESPUESTA. La solicitud tuvo como finalidad conocer información pública y documentación relacionada con la estructura jerárquica, supervisión, control interno y funcionamiento administrativo del Juzgado Cívico Municipal de Cocotitlán, particularmente a partir de los antecedentes documentales identificados en los oficios MCOC/JC/0EE/003/2026 y MCOC/JC/0EE/005/2026 y en el expediente de transparencia 00128/COCOTIT/IP/2026. No obstante, el H. Ayuntamiento de Cocotitlán no emitió respuesta alguna dentro del plazo legal aplicable. Tampoco notificó una determinación mediante la cual manifestara incompetencia, inexistencia, clasificación de la información o necesidad de ampliar el plazo para responder. En consecuencia, se actualiza una falta absoluta de respuesta, que constituye el motivo </w:t>
      </w:r>
      <w:r w:rsidR="001965CD" w:rsidRPr="00C45251">
        <w:rPr>
          <w:rFonts w:ascii="Palatino Linotype" w:eastAsia="Palatino Linotype" w:hAnsi="Palatino Linotype" w:cs="Palatino Linotype"/>
          <w:i/>
          <w:sz w:val="22"/>
          <w:szCs w:val="22"/>
        </w:rPr>
        <w:lastRenderedPageBreak/>
        <w:t xml:space="preserve">central del presente Recurso de Revisión. SEGUNDO. SE SOLICITÓ INFORMACIÓN CONCRETA SOBRE LA CADENA DE MANDO Y SUPERVISIÓN DEL JUZGADO CÍVICO. En el punto PRIMERO de la solicitud se requirió conocer quién es la autoridad responsable de coordinar, supervisar y vigilar la legalidad de las actuaciones del Juzgado Cívico Municipal. La solicitud buscaba obtener información objetiva y verificable respecto de la estructura administrativa municipal, particularmente: a) qué servidor público o unidad administrativa tiene atribuciones de supervisión sobre el Juzgado Cívico; b) cuál es el fundamento normativo de dichas atribuciones; c) qué mecanismos de control interno existen; d) qué autoridad recibe, tramita o canaliza las denuncias relacionadas con la actuación del Juzgado Cívico; y e) qué documentos existen respecto del ejercicio de dichas funciones. El sujeto obligado no proporcionó información alguna al respecto. Por ello, se solicita que el INFOEM ordene al Ayuntamiento proporcionar la información y documentación correspondiente, identificando expresamente el fundamento jurídico y administrativo de la cadena de supervisión. TERCERO. NO SE INFORMÓ QUÉ MEDIDAS DE CONTROL INTERNO EXISTEN RESPECTO DEL JUZGADO CÍVICO. La solicitud también tuvo por objeto conocer las medidas de control interno adoptadas por la Presidencia Municipal o por la autoridad jerárquicamente competente respecto de las actuaciones documentadas del Juzgado Cívico. Particularmente, se solicitó información relacionada con las inconsistencias advertidas en los oficios MCOC/JC/0EE/003/2026 y MCOC/JC/0EE/005/2026. El Ayuntamiento no informó si existe: oficio de supervisión; requerimiento; llamada de atención formal; instrucción administrativa; informe; acta; procedimiento de revisión; determinación administrativa; expediente de control interno; o cualquier otra documentación generada respecto de dichos hechos. La falta de respuesta impide conocer si las autoridades municipales ejercieron las facultades de supervisión que les corresponden. CUARTO. EXISTE UN ANTECEDENTE DOCUMENTAL </w:t>
      </w:r>
      <w:r w:rsidR="001965CD" w:rsidRPr="00C45251">
        <w:rPr>
          <w:rFonts w:ascii="Palatino Linotype" w:eastAsia="Palatino Linotype" w:hAnsi="Palatino Linotype" w:cs="Palatino Linotype"/>
          <w:i/>
          <w:sz w:val="22"/>
          <w:szCs w:val="22"/>
        </w:rPr>
        <w:lastRenderedPageBreak/>
        <w:t xml:space="preserve">EXPRESAMENTE IDENTIFICADO EN LA SOLICITUD. La solicitud no se formuló de manera genérica. Se identificó expresamente el expediente 00128/COCOTIT/IP/2026, así como los oficios MCOC/JC/0EE/003/2026 y MCOC/JC/0EE/005/2026, como antecedentes documentales de los hechos respecto de los cuales se solicitó información. Por tanto, el sujeto obligado contaba con elementos suficientes para identificar la materia de la solicitud y realizar la búsqueda correspondiente. La ausencia total de respuesta resulta particularmente relevante porque la información solicitada se relaciona con documentos y actuaciones administrativas previamente identificados. QUINTO. NO SE INFORMÓ SI EXISTE DOCUMENTACIÓN RELACIONADA CON LA OMISIÓN ATRIBUIDA AL SECRETARIO DEL AYUNTAMIENTO. En la solicitud se hizo referencia a información que, según el expediente 00128/COCOTIT/IP/2026, estaría relacionada con la falta de determinadas actuaciones de supervisión. Por ello, se solicitó conocer si existen documentos mediante los cuales la Presidencia Municipal o cualquier otra autoridad competente hubiera: a) requerido información al Secretario del Ayuntamiento; b) solicitado un informe respecto de su actuación; c) realizado alguna revisión administrativa; d) emitido alguna instrucción; e) iniciado alguna actuación de control interno; o f) determinado alguna consecuencia administrativa. El sujeto obligado no proporcionó ninguna respuesta respecto de estos extremos. En consecuencia, solicito que se realice una búsqueda exhaustiva de los documentos correspondientes y se proporcione la información que obre en los archivos municipales. SEXTO. LA SOLICITUD TAMBIÉN REQUIRIÓ INFORMACIÓN SOBRE LA INTERVENCIÓN DE LA CONTRALORÍA MUNICIPAL. Se solicitó expresamente que la información relacionada con las posibles responsabilidades administrativas y mecanismos de control fuera canalizada o comunicada a la Contraloría Municipal. No obstante, no se informó si la Contraloría: recibió algún oficio; abrió algún expediente; </w:t>
      </w:r>
      <w:r w:rsidR="001965CD" w:rsidRPr="00C45251">
        <w:rPr>
          <w:rFonts w:ascii="Palatino Linotype" w:eastAsia="Palatino Linotype" w:hAnsi="Palatino Linotype" w:cs="Palatino Linotype"/>
          <w:i/>
          <w:sz w:val="22"/>
          <w:szCs w:val="22"/>
        </w:rPr>
        <w:lastRenderedPageBreak/>
        <w:t xml:space="preserve">realizó alguna investigación; emitió alguna determinación; recibió documentación relacionada con los hechos; inició alguna actuación de control; o determinó que no existían elementos para iniciar procedimiento alguno. Esta información es de naturaleza documental y puede ser identificada y localizada en los archivos de las unidades administrativas competentes. Por tanto, la falta absoluta de respuesta deja sin atender un aspecto sustancial de la solicitud. SÉPTIMO. LA AUTORIDAD NO PODÍA SUSTITUIR LA RESPUESTA POR EL SILENCIO ADMINISTRATIVO. Si el Ayuntamiento consideraba que alguno de los puntos solicitados correspondía a una autoridad distinta, debía realizar la determinación y gestión correspondiente conforme al procedimiento de acceso a la información. Si consideraba que determinada información no existía, debía realizar previamente una búsqueda razonable y, en su caso, seguir el procedimiento aplicable para determinar formalmente su inexistencia. Si alguna información se encontraba legalmente clasificada, debía emitir la determinación correspondiente debidamente fundada y motivada. Nada de ello ocurrió. El sujeto obligado simplemente omitió responder la solicitud. Por ello, la controversia que se plantea ante el INFOEM no requiere determinar si existió o no responsabilidad administrativa de algún servidor público, sino establecer si el Ayuntamiento cumplió con su obligación de responder y proporcionar la información pública solicitada. La respuesta es negativa. OCTAVO. LA SOLICITUD IDENTIFICÓ INFORMACIÓN QUE, POR SU NATURALEZA, DEBE PODER SER LOCALIZADA EN LOS ARCHIVOS MUNICIPALES. La información solicitada se relaciona con la estructura administrativa, funciones, supervisión, control interno, oficios, expedientes y actuaciones de servidores públicos municipales. Por su propia naturaleza, dichos elementos pueden encontrarse en archivos administrativos de la Presidencia Municipal, Secretaría del Ayuntamiento, Unidad de Transparencia, Contraloría Municipal y demás áreas competentes. Por ello, solicito que el sujeto obligado realice una búsqueda </w:t>
      </w:r>
      <w:r w:rsidR="001965CD" w:rsidRPr="00C45251">
        <w:rPr>
          <w:rFonts w:ascii="Palatino Linotype" w:eastAsia="Palatino Linotype" w:hAnsi="Palatino Linotype" w:cs="Palatino Linotype"/>
          <w:i/>
          <w:sz w:val="22"/>
          <w:szCs w:val="22"/>
        </w:rPr>
        <w:lastRenderedPageBreak/>
        <w:t xml:space="preserve">exhaustiva y no se limite a señalar genéricamente que no cuenta con la información. NOVENO. SOLICITUD DE BÚSQUEDA EXHAUSTIVA EN LAS ÁREAS COMPETENTES. Atendiendo a la materia de la solicitud, solicito que la búsqueda comprenda, cuando menos, las siguientes unidades administrativas: Presidencia Municipal; Secretaría del Ayuntamiento; Unidad de Transparencia; Comité de Transparencia; Contraloría Municipal; Juzgado Cívico Municipal; y cualquier otra unidad administrativa que, conforme a sus atribuciones, haya intervenido en la supervisión, control, recepción, trámite o seguimiento de las actuaciones referidas. La finalidad es evitar que una búsqueda limitada a una sola unidad administrativa produzca nuevamente una ausencia de información que no corresponda con la documentación que pudiera encontrarse en otras áreas municipales. DÉCIMO. PETICIÓN CONCRETA AL INFOEM. Por lo anteriormente expuesto, solicito al Instituto: Tener por interpuesto el presente Recurso de Revisión por falta absoluta de respuesta. Declarar que el H. Ayuntamiento de Cocotitlán incurrió en una omisión al no atender la solicitud de acceso a la información dentro del plazo legal correspondiente. Ordenar al sujeto obligado emitir una respuesta completa, congruente, fundada y motivada respecto de cada uno de los puntos de la solicitud original. Ordenar una búsqueda exhaustiva de la información y documentación relacionada con la supervisión y control administrativo del Juzgado Cívico Municipal. Ordenar que se identifique el fundamento jurídico y administrativo que determina qué autoridad o servidor público tiene atribuciones de supervisión, coordinación y control sobre el Juzgado Cívico Municipal. Ordenar la entrega de los documentos existentes relacionados con los oficios MCOC/JC/0EE/003/2026 y MCOC/JC/0EE/005/2026, así como aquellos generados con motivo de su revisión, seguimiento o supervisión. Ordenar la búsqueda y, en su caso, entrega de los documentos relacionados con el expediente 00128/COCOTIT/IP/2026, en la medida en que obren en los archivos del sujeto </w:t>
      </w:r>
      <w:r w:rsidR="001965CD" w:rsidRPr="00C45251">
        <w:rPr>
          <w:rFonts w:ascii="Palatino Linotype" w:eastAsia="Palatino Linotype" w:hAnsi="Palatino Linotype" w:cs="Palatino Linotype"/>
          <w:i/>
          <w:sz w:val="22"/>
          <w:szCs w:val="22"/>
        </w:rPr>
        <w:lastRenderedPageBreak/>
        <w:t>obligado. Ordenar la búsqueda de oficios, informes, requerimientos, instrucciones, actas, determinaciones, expedientes o cualquier otro documento relacionado con las medidas de supervisión o control interno adoptadas respecto del Juzgado Cívico Municipal. Ordenar la búsqueda de documentación relacionada con la eventual intervención de la Contraloría Municipal respecto de los hechos señalados en la solicitud. En caso de que alguna información sea considerada inexistente, reservada o confidencial, ordenar que se emita la determinación correspondiente mediante el procedimiento legal aplicable y con la debida fundamentación y motivación. Evitar que el sujeto obligado sustituya la respuesta de fondo por manifestaciones genéricas o evasivas, debiendo pronunciarse expresamente respecto de cada uno de los requerimientos contenidos en la solicitud original. En virtud de que en el presente caso existe falta absoluta de respuesta, solicito que el análisis del recurso se centre en la omisión del sujeto obligado y se ordene la emisión de una respuesta de fondo que permita conocer documentalmente la estructura de supervisión y las actuaciones administrativas relacionadas con el Juzgado Cívico Municipal.</w:t>
      </w:r>
      <w:r w:rsidR="002D134E" w:rsidRPr="00C45251">
        <w:rPr>
          <w:rFonts w:ascii="Palatino Linotype" w:eastAsia="Palatino Linotype" w:hAnsi="Palatino Linotype" w:cs="Palatino Linotype"/>
          <w:i/>
          <w:sz w:val="22"/>
          <w:szCs w:val="22"/>
        </w:rPr>
        <w:t>”</w:t>
      </w:r>
      <w:r w:rsidRPr="00C45251">
        <w:rPr>
          <w:rFonts w:ascii="Palatino Linotype" w:eastAsia="Palatino Linotype" w:hAnsi="Palatino Linotype" w:cs="Palatino Linotype"/>
          <w:i/>
          <w:sz w:val="22"/>
          <w:szCs w:val="22"/>
        </w:rPr>
        <w:t>(Sic)</w:t>
      </w:r>
    </w:p>
    <w:p w14:paraId="1CD932CE" w14:textId="0DD1EB9D" w:rsidR="00532AE4" w:rsidRPr="00C45251"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C45251" w:rsidRDefault="00A01FAB">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4</w:t>
      </w:r>
      <w:r w:rsidR="00A76F12" w:rsidRPr="00C45251">
        <w:rPr>
          <w:rFonts w:ascii="Palatino Linotype" w:eastAsia="Palatino Linotype" w:hAnsi="Palatino Linotype" w:cs="Palatino Linotype"/>
          <w:b/>
          <w:sz w:val="22"/>
          <w:szCs w:val="22"/>
        </w:rPr>
        <w:t xml:space="preserve">. Turno. </w:t>
      </w:r>
      <w:r w:rsidR="00A76F12" w:rsidRPr="00C45251">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C45251">
        <w:rPr>
          <w:rFonts w:ascii="Palatino Linotype" w:eastAsia="Palatino Linotype" w:hAnsi="Palatino Linotype" w:cs="Palatino Linotype"/>
          <w:b/>
          <w:sz w:val="22"/>
          <w:szCs w:val="22"/>
        </w:rPr>
        <w:t>Guadalupe Ramírez Peña</w:t>
      </w:r>
      <w:r w:rsidR="00A76F12" w:rsidRPr="00C45251">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C45251" w:rsidRDefault="00285CBA">
      <w:pPr>
        <w:spacing w:line="360" w:lineRule="auto"/>
        <w:jc w:val="both"/>
        <w:rPr>
          <w:rFonts w:ascii="Palatino Linotype" w:eastAsia="Palatino Linotype" w:hAnsi="Palatino Linotype" w:cs="Palatino Linotype"/>
          <w:sz w:val="22"/>
          <w:szCs w:val="22"/>
        </w:rPr>
      </w:pPr>
    </w:p>
    <w:p w14:paraId="6F47DF3C" w14:textId="0A415164" w:rsidR="00532AE4" w:rsidRPr="00C45251" w:rsidRDefault="00417D9F">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5</w:t>
      </w:r>
      <w:r w:rsidR="00A76F12" w:rsidRPr="00C45251">
        <w:rPr>
          <w:rFonts w:ascii="Palatino Linotype" w:eastAsia="Palatino Linotype" w:hAnsi="Palatino Linotype" w:cs="Palatino Linotype"/>
          <w:b/>
          <w:sz w:val="22"/>
          <w:szCs w:val="22"/>
        </w:rPr>
        <w:t xml:space="preserve">. Admisión. </w:t>
      </w:r>
      <w:r w:rsidR="003E2501" w:rsidRPr="00C45251">
        <w:rPr>
          <w:rFonts w:ascii="Palatino Linotype" w:eastAsia="Palatino Linotype" w:hAnsi="Palatino Linotype" w:cs="Palatino Linotype"/>
          <w:sz w:val="22"/>
          <w:szCs w:val="22"/>
        </w:rPr>
        <w:t>En</w:t>
      </w:r>
      <w:r w:rsidR="000F363F" w:rsidRPr="00C45251">
        <w:rPr>
          <w:rFonts w:ascii="Palatino Linotype" w:eastAsia="Palatino Linotype" w:hAnsi="Palatino Linotype" w:cs="Palatino Linotype"/>
          <w:sz w:val="22"/>
          <w:szCs w:val="22"/>
        </w:rPr>
        <w:t xml:space="preserve"> </w:t>
      </w:r>
      <w:r w:rsidR="00A8506B" w:rsidRPr="00C45251">
        <w:rPr>
          <w:rFonts w:ascii="Palatino Linotype" w:eastAsia="Palatino Linotype" w:hAnsi="Palatino Linotype" w:cs="Palatino Linotype"/>
          <w:sz w:val="22"/>
          <w:szCs w:val="22"/>
        </w:rPr>
        <w:t xml:space="preserve">fecha </w:t>
      </w:r>
      <w:r w:rsidR="001965CD" w:rsidRPr="00C45251">
        <w:rPr>
          <w:rFonts w:ascii="Palatino Linotype" w:eastAsia="Palatino Linotype" w:hAnsi="Palatino Linotype" w:cs="Palatino Linotype"/>
          <w:b/>
          <w:sz w:val="22"/>
          <w:szCs w:val="22"/>
        </w:rPr>
        <w:t>veintiséis de agosto</w:t>
      </w:r>
      <w:r w:rsidR="003E2501" w:rsidRPr="00C45251">
        <w:rPr>
          <w:rFonts w:ascii="Palatino Linotype" w:eastAsia="Palatino Linotype" w:hAnsi="Palatino Linotype" w:cs="Palatino Linotype"/>
          <w:b/>
          <w:sz w:val="22"/>
          <w:szCs w:val="22"/>
        </w:rPr>
        <w:t xml:space="preserve"> de dos mil veintiséis</w:t>
      </w:r>
      <w:r w:rsidR="00044D36" w:rsidRPr="00C45251">
        <w:rPr>
          <w:rFonts w:ascii="Palatino Linotype" w:eastAsia="Palatino Linotype" w:hAnsi="Palatino Linotype" w:cs="Palatino Linotype"/>
          <w:sz w:val="22"/>
          <w:szCs w:val="22"/>
        </w:rPr>
        <w:t xml:space="preserve">, </w:t>
      </w:r>
      <w:r w:rsidR="00A76F12" w:rsidRPr="00C45251">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CBE0CA4" w14:textId="794AB2E6" w:rsidR="006614E2" w:rsidRPr="00C45251" w:rsidRDefault="00417D9F">
      <w:pPr>
        <w:widowControl w:val="0"/>
        <w:spacing w:line="360" w:lineRule="auto"/>
        <w:ind w:right="49"/>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lastRenderedPageBreak/>
        <w:t>6</w:t>
      </w:r>
      <w:r w:rsidR="00A76F12" w:rsidRPr="00C45251">
        <w:rPr>
          <w:rFonts w:ascii="Palatino Linotype" w:eastAsia="Palatino Linotype" w:hAnsi="Palatino Linotype" w:cs="Palatino Linotype"/>
          <w:b/>
          <w:sz w:val="22"/>
          <w:szCs w:val="22"/>
        </w:rPr>
        <w:t>. Manifestaciones</w:t>
      </w:r>
      <w:r w:rsidR="008B25A4" w:rsidRPr="00C45251">
        <w:rPr>
          <w:rFonts w:ascii="Palatino Linotype" w:eastAsia="Palatino Linotype" w:hAnsi="Palatino Linotype" w:cs="Palatino Linotype"/>
          <w:sz w:val="22"/>
          <w:szCs w:val="22"/>
        </w:rPr>
        <w:t xml:space="preserve">. </w:t>
      </w:r>
      <w:r w:rsidR="00E62F83" w:rsidRPr="00C45251">
        <w:rPr>
          <w:rFonts w:ascii="Palatino Linotype" w:eastAsia="Palatino Linotype" w:hAnsi="Palatino Linotype" w:cs="Palatino Linotype"/>
          <w:sz w:val="22"/>
          <w:szCs w:val="22"/>
        </w:rPr>
        <w:t xml:space="preserve">En fecha </w:t>
      </w:r>
      <w:r w:rsidR="001965CD" w:rsidRPr="00C45251">
        <w:rPr>
          <w:rFonts w:ascii="Palatino Linotype" w:eastAsia="Palatino Linotype" w:hAnsi="Palatino Linotype" w:cs="Palatino Linotype"/>
          <w:sz w:val="22"/>
          <w:szCs w:val="22"/>
        </w:rPr>
        <w:t>veintiséis de agosto</w:t>
      </w:r>
      <w:r w:rsidR="00E62F83" w:rsidRPr="00C45251">
        <w:rPr>
          <w:rFonts w:ascii="Palatino Linotype" w:eastAsia="Palatino Linotype" w:hAnsi="Palatino Linotype" w:cs="Palatino Linotype"/>
          <w:sz w:val="22"/>
          <w:szCs w:val="22"/>
        </w:rPr>
        <w:t xml:space="preserve"> de dos mil veintiséis, la parte Recurrente rindió sus manifestaciones, mientras que el Sujeto Obligado fue omiso</w:t>
      </w:r>
      <w:r w:rsidR="006614E2" w:rsidRPr="00C45251">
        <w:rPr>
          <w:rFonts w:ascii="Palatino Linotype" w:eastAsia="Palatino Linotype" w:hAnsi="Palatino Linotype" w:cs="Palatino Linotype"/>
          <w:sz w:val="22"/>
          <w:szCs w:val="22"/>
        </w:rPr>
        <w:t>:</w:t>
      </w:r>
    </w:p>
    <w:p w14:paraId="59A51FCE" w14:textId="6D844F97" w:rsidR="006614E2" w:rsidRPr="00C45251" w:rsidRDefault="00E62F83">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ab/>
      </w:r>
      <w:r w:rsidR="001965CD" w:rsidRPr="00C45251">
        <w:rPr>
          <w:rFonts w:ascii="Palatino Linotype" w:eastAsia="Palatino Linotype" w:hAnsi="Palatino Linotype" w:cs="Palatino Linotype"/>
          <w:b/>
          <w:sz w:val="22"/>
          <w:szCs w:val="22"/>
        </w:rPr>
        <w:t>0139 Y 0132 Y Acuse de solicitud del particular AL PRESIDENTE SOLICITUD JERARQUICA PARA SECRETARIO Y VIGILAR A JUEZ CIVICO.pdf</w:t>
      </w:r>
      <w:r w:rsidRPr="00C45251">
        <w:rPr>
          <w:rFonts w:ascii="Palatino Linotype" w:eastAsia="Palatino Linotype" w:hAnsi="Palatino Linotype" w:cs="Palatino Linotype"/>
          <w:b/>
          <w:sz w:val="22"/>
          <w:szCs w:val="22"/>
        </w:rPr>
        <w:t xml:space="preserve">: </w:t>
      </w:r>
      <w:r w:rsidR="001965CD" w:rsidRPr="00C45251">
        <w:rPr>
          <w:rFonts w:ascii="Palatino Linotype" w:eastAsia="Palatino Linotype" w:hAnsi="Palatino Linotype" w:cs="Palatino Linotype"/>
          <w:sz w:val="22"/>
          <w:szCs w:val="22"/>
        </w:rPr>
        <w:t>Acuse de la solicitud de información pública.</w:t>
      </w:r>
    </w:p>
    <w:p w14:paraId="378CD326" w14:textId="4E96765A" w:rsidR="001965CD" w:rsidRPr="00C45251" w:rsidRDefault="001965CD">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ab/>
      </w:r>
      <w:r w:rsidRPr="00C45251">
        <w:rPr>
          <w:rFonts w:ascii="Palatino Linotype" w:eastAsia="Palatino Linotype" w:hAnsi="Palatino Linotype" w:cs="Palatino Linotype"/>
          <w:b/>
          <w:sz w:val="22"/>
          <w:szCs w:val="22"/>
        </w:rPr>
        <w:t xml:space="preserve">132Y81~1.PDF: </w:t>
      </w:r>
      <w:r w:rsidRPr="00C45251">
        <w:rPr>
          <w:rFonts w:ascii="Palatino Linotype" w:eastAsia="Palatino Linotype" w:hAnsi="Palatino Linotype" w:cs="Palatino Linotype"/>
          <w:sz w:val="22"/>
          <w:szCs w:val="22"/>
        </w:rPr>
        <w:t xml:space="preserve">Documento mediante el cual la parte recurrente, </w:t>
      </w:r>
      <w:r w:rsidR="00F55D42" w:rsidRPr="00C45251">
        <w:rPr>
          <w:rFonts w:ascii="Palatino Linotype" w:eastAsia="Palatino Linotype" w:hAnsi="Palatino Linotype" w:cs="Palatino Linotype"/>
          <w:sz w:val="22"/>
          <w:szCs w:val="22"/>
        </w:rPr>
        <w:t>rindió</w:t>
      </w:r>
      <w:r w:rsidRPr="00C45251">
        <w:rPr>
          <w:rFonts w:ascii="Palatino Linotype" w:eastAsia="Palatino Linotype" w:hAnsi="Palatino Linotype" w:cs="Palatino Linotype"/>
          <w:sz w:val="22"/>
          <w:szCs w:val="22"/>
        </w:rPr>
        <w:t xml:space="preserve"> sus alega</w:t>
      </w:r>
      <w:r w:rsidR="00F55D42" w:rsidRPr="00C45251">
        <w:rPr>
          <w:rFonts w:ascii="Palatino Linotype" w:eastAsia="Palatino Linotype" w:hAnsi="Palatino Linotype" w:cs="Palatino Linotype"/>
          <w:sz w:val="22"/>
          <w:szCs w:val="22"/>
        </w:rPr>
        <w:t>tos y manifestaciones.</w:t>
      </w:r>
    </w:p>
    <w:p w14:paraId="59D90F90" w14:textId="77777777" w:rsidR="006614E2" w:rsidRPr="00C45251" w:rsidRDefault="006614E2">
      <w:pPr>
        <w:spacing w:line="360" w:lineRule="auto"/>
        <w:jc w:val="both"/>
        <w:rPr>
          <w:rFonts w:ascii="Palatino Linotype" w:eastAsia="Palatino Linotype" w:hAnsi="Palatino Linotype" w:cs="Palatino Linotype"/>
          <w:b/>
          <w:sz w:val="22"/>
          <w:szCs w:val="22"/>
        </w:rPr>
      </w:pPr>
    </w:p>
    <w:p w14:paraId="2DD31F10" w14:textId="1035CA79" w:rsidR="00532AE4" w:rsidRPr="00C45251" w:rsidRDefault="00417D9F">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7</w:t>
      </w:r>
      <w:r w:rsidR="00A76F12" w:rsidRPr="00C45251">
        <w:rPr>
          <w:rFonts w:ascii="Palatino Linotype" w:eastAsia="Palatino Linotype" w:hAnsi="Palatino Linotype" w:cs="Palatino Linotype"/>
          <w:b/>
          <w:sz w:val="22"/>
          <w:szCs w:val="22"/>
        </w:rPr>
        <w:t xml:space="preserve">. Cierre de instrucción. </w:t>
      </w:r>
      <w:r w:rsidR="00A76F12" w:rsidRPr="00C45251">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F55D42" w:rsidRPr="00C45251">
        <w:rPr>
          <w:rFonts w:ascii="Palatino Linotype" w:eastAsia="Palatino Linotype" w:hAnsi="Palatino Linotype" w:cs="Palatino Linotype"/>
          <w:b/>
          <w:sz w:val="22"/>
          <w:szCs w:val="22"/>
        </w:rPr>
        <w:t>ocho</w:t>
      </w:r>
      <w:r w:rsidR="008E5D58" w:rsidRPr="00C45251">
        <w:rPr>
          <w:rFonts w:ascii="Palatino Linotype" w:eastAsia="Palatino Linotype" w:hAnsi="Palatino Linotype" w:cs="Palatino Linotype"/>
          <w:b/>
          <w:sz w:val="22"/>
          <w:szCs w:val="22"/>
        </w:rPr>
        <w:t xml:space="preserve"> de septiembre</w:t>
      </w:r>
      <w:r w:rsidR="007E7839" w:rsidRPr="00C45251">
        <w:rPr>
          <w:rFonts w:ascii="Palatino Linotype" w:eastAsia="Palatino Linotype" w:hAnsi="Palatino Linotype" w:cs="Palatino Linotype"/>
          <w:b/>
          <w:sz w:val="22"/>
          <w:szCs w:val="22"/>
        </w:rPr>
        <w:t xml:space="preserve"> de dos mil veintiséis</w:t>
      </w:r>
      <w:r w:rsidR="00A76F12" w:rsidRPr="00C45251">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C45251" w:rsidRDefault="00A76F12">
      <w:pPr>
        <w:widowControl w:val="0"/>
        <w:spacing w:line="360" w:lineRule="auto"/>
        <w:jc w:val="center"/>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II. C O N S I D E R A N D O S</w:t>
      </w:r>
    </w:p>
    <w:p w14:paraId="04E1DD04" w14:textId="77777777" w:rsidR="00532AE4" w:rsidRPr="00C45251"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C45251" w:rsidRDefault="00A76F12" w:rsidP="005231DC">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Primero. Competencia.</w:t>
      </w:r>
      <w:r w:rsidRPr="00C45251">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C45251">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Estado Libre y </w:t>
      </w:r>
      <w:r w:rsidR="009100C5" w:rsidRPr="00C45251">
        <w:rPr>
          <w:rFonts w:ascii="Palatino Linotype" w:eastAsia="Palatino Linotype" w:hAnsi="Palatino Linotype" w:cs="Palatino Linotype"/>
          <w:sz w:val="22"/>
          <w:szCs w:val="22"/>
        </w:rPr>
        <w:lastRenderedPageBreak/>
        <w:t>Soberano de México; transitorio Cuarto del Decreto número 198 de la “LXII” Legislatura del Estado de México</w:t>
      </w:r>
      <w:r w:rsidRPr="00C45251">
        <w:rPr>
          <w:rFonts w:ascii="Palatino Linotype" w:eastAsia="Palatino Linotype" w:hAnsi="Palatino Linotype" w:cs="Palatino Linotype"/>
          <w:sz w:val="22"/>
          <w:szCs w:val="22"/>
        </w:rPr>
        <w:t>;</w:t>
      </w:r>
      <w:r w:rsidR="005231DC" w:rsidRPr="00C45251">
        <w:rPr>
          <w:rFonts w:ascii="Palatino Linotype" w:eastAsia="Palatino Linotype" w:hAnsi="Palatino Linotype" w:cs="Palatino Linotype"/>
          <w:sz w:val="22"/>
          <w:szCs w:val="22"/>
        </w:rPr>
        <w:t xml:space="preserve"> </w:t>
      </w:r>
      <w:r w:rsidRPr="00C45251">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Segundo. Oportunidad y Procedibilidad del Recurso de Revisión. </w:t>
      </w:r>
      <w:r w:rsidRPr="00C45251">
        <w:rPr>
          <w:rFonts w:ascii="Palatino Linotype" w:eastAsia="Palatino Linotype" w:hAnsi="Palatino Linotype" w:cs="Palatino Linotype"/>
          <w:sz w:val="22"/>
          <w:szCs w:val="22"/>
        </w:rPr>
        <w:t>Por cuanto hace a la oportunidad del recurso de revisión</w:t>
      </w:r>
      <w:r w:rsidRPr="00C45251">
        <w:rPr>
          <w:rFonts w:ascii="Palatino Linotype" w:eastAsia="Palatino Linotype" w:hAnsi="Palatino Linotype" w:cs="Palatino Linotype"/>
          <w:b/>
          <w:sz w:val="22"/>
          <w:szCs w:val="22"/>
        </w:rPr>
        <w:t xml:space="preserve"> </w:t>
      </w:r>
      <w:r w:rsidRPr="00C45251">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Derivado de lo anterior, se constituye la figura jurídica de la </w:t>
      </w:r>
      <w:r w:rsidRPr="00C45251">
        <w:rPr>
          <w:rFonts w:ascii="Palatino Linotype" w:eastAsia="Palatino Linotype" w:hAnsi="Palatino Linotype" w:cs="Palatino Linotype"/>
          <w:b/>
          <w:sz w:val="22"/>
          <w:szCs w:val="22"/>
        </w:rPr>
        <w:t>NEGATIVA FICTA</w:t>
      </w:r>
      <w:r w:rsidRPr="00C45251">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De tal manera, en el presente recurso de revisión se actualizó la negativa ficta por parte del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al no haber respondido a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w:t>
      </w:r>
      <w:r w:rsidRPr="00C45251">
        <w:rPr>
          <w:rFonts w:ascii="Palatino Linotype" w:eastAsia="Palatino Linotype" w:hAnsi="Palatino Linotype" w:cs="Palatino Linotype"/>
          <w:sz w:val="22"/>
          <w:szCs w:val="22"/>
        </w:rPr>
        <w:lastRenderedPageBreak/>
        <w:t>pero que el hecho simple de no responder apareja una forma por omisión de negar el acceso a la información.</w:t>
      </w:r>
    </w:p>
    <w:p w14:paraId="22DC742F"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Si a ello se le suma lo previsto en el párrafo segundo del artículo 178, párrafo segundo</w:t>
      </w:r>
      <w:r w:rsidRPr="00C45251">
        <w:rPr>
          <w:rFonts w:ascii="Palatino Linotype" w:eastAsia="Palatino Linotype" w:hAnsi="Palatino Linotype" w:cs="Palatino Linotype"/>
          <w:sz w:val="22"/>
          <w:szCs w:val="22"/>
          <w:vertAlign w:val="superscript"/>
        </w:rPr>
        <w:footnoteReference w:id="1"/>
      </w:r>
      <w:r w:rsidRPr="00C45251">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C45251" w:rsidRDefault="00532AE4">
      <w:pPr>
        <w:spacing w:line="360" w:lineRule="auto"/>
        <w:jc w:val="both"/>
        <w:rPr>
          <w:i/>
          <w:sz w:val="22"/>
          <w:szCs w:val="22"/>
        </w:rPr>
      </w:pPr>
    </w:p>
    <w:p w14:paraId="4BB01BE0" w14:textId="77777777" w:rsidR="00532AE4" w:rsidRPr="00C45251" w:rsidRDefault="00A76F12">
      <w:pPr>
        <w:ind w:left="567" w:right="616"/>
        <w:jc w:val="both"/>
        <w:rPr>
          <w:rFonts w:ascii="Palatino Linotype" w:eastAsia="Palatino Linotype" w:hAnsi="Palatino Linotype" w:cs="Palatino Linotype"/>
          <w:b/>
          <w:i/>
          <w:sz w:val="22"/>
          <w:szCs w:val="22"/>
        </w:rPr>
      </w:pPr>
      <w:r w:rsidRPr="00C45251">
        <w:rPr>
          <w:rFonts w:ascii="Palatino Linotype" w:eastAsia="Palatino Linotype" w:hAnsi="Palatino Linotype" w:cs="Palatino Linotype"/>
          <w:i/>
          <w:sz w:val="22"/>
          <w:szCs w:val="22"/>
        </w:rPr>
        <w:t>“</w:t>
      </w:r>
      <w:r w:rsidRPr="00C45251">
        <w:rPr>
          <w:rFonts w:ascii="Palatino Linotype" w:eastAsia="Palatino Linotype" w:hAnsi="Palatino Linotype" w:cs="Palatino Linotype"/>
          <w:b/>
          <w:i/>
          <w:sz w:val="22"/>
          <w:szCs w:val="22"/>
        </w:rPr>
        <w:t>CRITERIO 0001-15 NEGATIVA FICTA. PLAZO PARA INTERPONER EL RECURSO DE REVISIÓN TRATÁNDOSE DE</w:t>
      </w:r>
      <w:r w:rsidRPr="00C45251">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C45251" w:rsidRDefault="00532AE4">
      <w:pPr>
        <w:ind w:left="567" w:right="851"/>
        <w:jc w:val="both"/>
        <w:rPr>
          <w:rFonts w:ascii="Palatino Linotype" w:eastAsia="Palatino Linotype" w:hAnsi="Palatino Linotype" w:cs="Palatino Linotype"/>
          <w:i/>
          <w:sz w:val="22"/>
          <w:szCs w:val="22"/>
        </w:rPr>
      </w:pPr>
    </w:p>
    <w:p w14:paraId="76E26C4F" w14:textId="169CE5C8" w:rsidR="00532AE4" w:rsidRPr="00C45251"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C45251">
        <w:rPr>
          <w:rFonts w:ascii="Palatino Linotype" w:eastAsia="Palatino Linotype" w:hAnsi="Palatino Linotype" w:cs="Palatino Linotype"/>
          <w:b/>
          <w:sz w:val="22"/>
          <w:szCs w:val="22"/>
        </w:rPr>
        <w:t>EL</w:t>
      </w:r>
      <w:r w:rsidRPr="00C45251">
        <w:rPr>
          <w:rFonts w:ascii="Palatino Linotype" w:eastAsia="Palatino Linotype" w:hAnsi="Palatino Linotype" w:cs="Palatino Linotype"/>
          <w:sz w:val="22"/>
          <w:szCs w:val="22"/>
        </w:rPr>
        <w:t xml:space="preserve"> </w:t>
      </w:r>
      <w:r w:rsidRPr="00C45251">
        <w:rPr>
          <w:rFonts w:ascii="Palatino Linotype" w:eastAsia="Palatino Linotype" w:hAnsi="Palatino Linotype" w:cs="Palatino Linotype"/>
          <w:b/>
          <w:sz w:val="22"/>
          <w:szCs w:val="22"/>
        </w:rPr>
        <w:t>SAIMEX</w:t>
      </w:r>
      <w:r w:rsidRPr="00C45251">
        <w:rPr>
          <w:rFonts w:ascii="Palatino Linotype" w:eastAsia="Palatino Linotype" w:hAnsi="Palatino Linotype" w:cs="Palatino Linotype"/>
          <w:sz w:val="22"/>
          <w:szCs w:val="22"/>
        </w:rPr>
        <w:t>.</w:t>
      </w:r>
    </w:p>
    <w:p w14:paraId="1C27DB56" w14:textId="40163621" w:rsidR="00B503D1" w:rsidRPr="00C45251"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C45251" w:rsidRDefault="00A76F12">
      <w:pPr>
        <w:ind w:left="567" w:right="616"/>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i/>
          <w:sz w:val="22"/>
          <w:szCs w:val="22"/>
        </w:rPr>
        <w:t>“</w:t>
      </w:r>
      <w:r w:rsidRPr="00C45251">
        <w:rPr>
          <w:rFonts w:ascii="Palatino Linotype" w:eastAsia="Palatino Linotype" w:hAnsi="Palatino Linotype" w:cs="Palatino Linotype"/>
          <w:b/>
          <w:sz w:val="22"/>
          <w:szCs w:val="22"/>
        </w:rPr>
        <w:t>Artículo 179.</w:t>
      </w:r>
      <w:r w:rsidRPr="00C45251">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C45251">
        <w:rPr>
          <w:rFonts w:ascii="Palatino Linotype" w:eastAsia="Palatino Linotype" w:hAnsi="Palatino Linotype" w:cs="Palatino Linotype"/>
          <w:sz w:val="22"/>
          <w:szCs w:val="22"/>
        </w:rPr>
        <w:t> </w:t>
      </w:r>
    </w:p>
    <w:p w14:paraId="7ACAE181" w14:textId="77777777" w:rsidR="00532AE4" w:rsidRPr="00C45251" w:rsidRDefault="00A76F12">
      <w:pPr>
        <w:ind w:left="567" w:right="616"/>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w:t>
      </w:r>
    </w:p>
    <w:p w14:paraId="543A0FF7" w14:textId="77777777" w:rsidR="00532AE4" w:rsidRPr="00C45251" w:rsidRDefault="00A76F12">
      <w:pPr>
        <w:numPr>
          <w:ilvl w:val="0"/>
          <w:numId w:val="4"/>
        </w:numPr>
        <w:ind w:left="567" w:right="616" w:firstLine="0"/>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C45251"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C45251" w:rsidRDefault="00A76F12">
      <w:pPr>
        <w:tabs>
          <w:tab w:val="left" w:pos="8647"/>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Tercero. Materia de la revisión. </w:t>
      </w:r>
      <w:r w:rsidRPr="00C45251">
        <w:rPr>
          <w:rFonts w:ascii="Palatino Linotype" w:eastAsia="Palatino Linotype" w:hAnsi="Palatino Linotype" w:cs="Palatino Linotype"/>
          <w:sz w:val="22"/>
          <w:szCs w:val="22"/>
        </w:rPr>
        <w:t xml:space="preserve">Este Organismo Garante procede del análisis de los agravios hechos valer por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C45251"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Cuarto. Estudio del asunto. </w:t>
      </w:r>
      <w:r w:rsidRPr="00C45251">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C45251">
        <w:rPr>
          <w:rFonts w:ascii="Palatino Linotype" w:eastAsia="Palatino Linotype" w:hAnsi="Palatino Linotype" w:cs="Palatino Linotype"/>
          <w:b/>
          <w:sz w:val="22"/>
          <w:szCs w:val="22"/>
        </w:rPr>
        <w:t xml:space="preserve">Sujeto Obligado </w:t>
      </w:r>
      <w:r w:rsidRPr="00C45251">
        <w:rPr>
          <w:rFonts w:ascii="Palatino Linotype" w:eastAsia="Palatino Linotype" w:hAnsi="Palatino Linotype" w:cs="Palatino Linotype"/>
          <w:sz w:val="22"/>
          <w:szCs w:val="22"/>
        </w:rPr>
        <w:t xml:space="preserve">no dio respuesta a la solicitud de información planteada por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xml:space="preserve">, lo que se traduce como la configuración de la </w:t>
      </w:r>
      <w:r w:rsidRPr="00C45251">
        <w:rPr>
          <w:rFonts w:ascii="Palatino Linotype" w:eastAsia="Palatino Linotype" w:hAnsi="Palatino Linotype" w:cs="Palatino Linotype"/>
          <w:b/>
          <w:sz w:val="22"/>
          <w:szCs w:val="22"/>
        </w:rPr>
        <w:t>negativa ficta</w:t>
      </w:r>
      <w:r w:rsidRPr="00C45251">
        <w:rPr>
          <w:rFonts w:ascii="Palatino Linotype" w:eastAsia="Palatino Linotype" w:hAnsi="Palatino Linotype" w:cs="Palatino Linotype"/>
          <w:sz w:val="22"/>
          <w:szCs w:val="22"/>
        </w:rPr>
        <w:t xml:space="preserve">, situación que demuestra la existencia del acto impugnado y procedencia del motivo </w:t>
      </w:r>
      <w:r w:rsidRPr="00C45251">
        <w:rPr>
          <w:rFonts w:ascii="Palatino Linotype" w:eastAsia="Palatino Linotype" w:hAnsi="Palatino Linotype" w:cs="Palatino Linotype"/>
          <w:sz w:val="22"/>
          <w:szCs w:val="22"/>
        </w:rPr>
        <w:lastRenderedPageBreak/>
        <w:t xml:space="preserve">de inconformidad, que en términos generales consistente en que 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xml:space="preserve">, se advierte que requirió al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le proporcionara, información consistente en lo siguiente:</w:t>
      </w:r>
    </w:p>
    <w:p w14:paraId="35279DFB" w14:textId="568E322E" w:rsidR="00532AE4" w:rsidRPr="00C45251" w:rsidRDefault="00B82C51" w:rsidP="007276F5">
      <w:pPr>
        <w:jc w:val="both"/>
        <w:rPr>
          <w:rFonts w:ascii="Palatino Linotype" w:eastAsia="Palatino Linotype" w:hAnsi="Palatino Linotype"/>
          <w:i/>
          <w:sz w:val="22"/>
          <w:szCs w:val="22"/>
        </w:rPr>
      </w:pPr>
      <w:r w:rsidRPr="00C45251">
        <w:rPr>
          <w:rFonts w:ascii="Palatino Linotype" w:eastAsia="Palatino Linotype" w:hAnsi="Palatino Linotype"/>
          <w:i/>
          <w:sz w:val="22"/>
          <w:szCs w:val="22"/>
        </w:rPr>
        <w:t>“</w:t>
      </w:r>
      <w:r w:rsidR="00285B3E" w:rsidRPr="00C45251">
        <w:rPr>
          <w:rFonts w:ascii="Palatino Linotype" w:eastAsia="Palatino Linotype" w:hAnsi="Palatino Linotype"/>
          <w:i/>
          <w:sz w:val="22"/>
          <w:szCs w:val="22"/>
        </w:rPr>
        <w:t xml:space="preserve">Solicitud de Aclaración Jerárquica y Responsabilidad Institucional Ayuntamiento de Cocotitlán, Estado de México. Solicitud de precisión jerárquica y deslinde de responsabilidades sobre la supervisión del Juzgado Cívico Municipal. C. PRESIDENTE MUNICIPAL DE COCOTITLÁN Y TITULAR DE LA UNIDAD DE TRANSPARENCIA: En ejercicio de mi derecho de acceso a la información pública, y derivado de las contradicciones documentadas en el actuar de la Jueza Cívica Municipal (oficios MCOC/JC/0EE/003/2026 y MCOC/JC/0EE/005/2026) y la respuesta evasiva proporcionada por la Secretaría del Ayuntamiento en el expediente 00128/COCOTIT/IP/2026, solicito formalmente lo siguiente: PRIMERO. DECLARATORIA SOBRE EL MANDO JERÁRQUICO: Conforme al Bando Municipal y la Ley Orgánica Municipal, solicito al C. Presidente Municipal confirme si la Secretaría del Ayuntamiento es la autoridad responsable de coordinar, supervisar y vigilar la legalidad de las actuaciones del Juzgado Cívico. En caso afirmativo: Solicito se me informe qué medidas de control interno ha tomado la Presidencia Municipal ante la omisión confesa del Secretario del Ayuntamiento de supervisar a la Jueza Cívica. En caso negativo: Solicito se identifique, mediante acto administrativo fundado, qué servidor público tiene la responsabilidad jerárquica y directa de verificar el desempeño de la Jueza Cívica y de turnar las denuncias ciudadanas a las áreas competentes (Ecología/Desarrollo Económico), a fin de evitar que dicho Juzgado continúe operando como una instancia sin supervisión ni control legal. SEGUNDO. PRONUNCIAMIENTO SOBRE LA OMISIÓN CONFESA: Toda vez que el Secretario del Ayuntamiento ha admitido (según obra en expediente 00128/COCOTIT/IP/2026) no haber emitido ningún llamado de atención, requerimiento o procedimiento contra la Jueza Cívica a pesar de las evidentes contradicciones en sus oficios, solicito al C. Presidente Municipal informe si esta inacción cuenta con su autorización expresa o si, por el contrario, constituye una falta de cumplimiento a las obligaciones del Secretario. TERCERO. SOLICITUD DE GESTIÓN DE RESPONSABILIDAD: Solicito que esta petición sea notificada de manera íntegra a la Contraloría Municipal y a la Secretaría del Ayuntamiento, para que se proceda a la apertura de un expediente de responsabilidad administrativa contra quien resulte responsable por la omisión deliberada en la supervisión del Juzgado Cívico, atendiendo a la evidencia de mal desempeño que ya obra en poder del Ayuntamiento. La presente solicitud busca clarificar la cadena de mando y responsabilidad. La falta de una respuesta clara, fundada y motivada por parte del </w:t>
      </w:r>
      <w:r w:rsidR="00285B3E" w:rsidRPr="00C45251">
        <w:rPr>
          <w:rFonts w:ascii="Palatino Linotype" w:eastAsia="Palatino Linotype" w:hAnsi="Palatino Linotype"/>
          <w:i/>
          <w:sz w:val="22"/>
          <w:szCs w:val="22"/>
        </w:rPr>
        <w:lastRenderedPageBreak/>
        <w:t>Presidente Municipal, implicará la ratificación de una política de opacidad y complicidad institucional, lo cual será informado al Pleno del INFOEM y a la Contraloría del Poder Legislativo para los efectos legales a los que haya lugar.</w:t>
      </w:r>
      <w:r w:rsidR="009C3B23" w:rsidRPr="00C45251">
        <w:rPr>
          <w:rFonts w:ascii="Palatino Linotype" w:eastAsia="Palatino Linotype" w:hAnsi="Palatino Linotype"/>
          <w:i/>
          <w:sz w:val="22"/>
          <w:szCs w:val="22"/>
        </w:rPr>
        <w:t>”</w:t>
      </w:r>
      <w:r w:rsidR="00223CD6" w:rsidRPr="00C45251">
        <w:rPr>
          <w:rFonts w:ascii="Palatino Linotype" w:eastAsia="Palatino Linotype" w:hAnsi="Palatino Linotype"/>
          <w:i/>
          <w:sz w:val="22"/>
          <w:szCs w:val="22"/>
        </w:rPr>
        <w:t xml:space="preserve"> (</w:t>
      </w:r>
      <w:r w:rsidR="00A76F12" w:rsidRPr="00C45251">
        <w:rPr>
          <w:rFonts w:ascii="Palatino Linotype" w:eastAsia="Palatino Linotype" w:hAnsi="Palatino Linotype"/>
          <w:i/>
          <w:sz w:val="22"/>
          <w:szCs w:val="22"/>
        </w:rPr>
        <w:t>Sic)</w:t>
      </w:r>
    </w:p>
    <w:p w14:paraId="4BE46D97" w14:textId="77777777" w:rsidR="00532AE4" w:rsidRPr="00C4525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C45251" w:rsidRDefault="00A76F12">
      <w:pPr>
        <w:tabs>
          <w:tab w:val="left" w:pos="709"/>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C45251"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C4525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C45251">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C45251"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C45251">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C4525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u w:val="single"/>
        </w:rPr>
        <w:lastRenderedPageBreak/>
        <w:t>Todas las autoridades, en el ámbito de sus competencias, tienen la obligación de promover, respetar, proteger y garantizar los derechos humanos de conformidad con los principios de universalidad, interdependencia, indivisibilidad y progresividad.</w:t>
      </w:r>
      <w:r w:rsidRPr="00C45251">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C45251"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p>
    <w:p w14:paraId="54E0C206"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“Artículo 6o.</w:t>
      </w:r>
    </w:p>
    <w:p w14:paraId="4D803AB1"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p>
    <w:p w14:paraId="4B588253"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A. Para el ejercicio del derecho de acceso a la información, la Federación y </w:t>
      </w:r>
      <w:r w:rsidRPr="00C45251">
        <w:rPr>
          <w:rFonts w:ascii="Palatino Linotype" w:eastAsia="Palatino Linotype" w:hAnsi="Palatino Linotype" w:cs="Palatino Linotype"/>
          <w:b/>
          <w:i/>
          <w:sz w:val="22"/>
          <w:szCs w:val="22"/>
          <w:u w:val="single"/>
        </w:rPr>
        <w:t>las entidades federativas</w:t>
      </w:r>
      <w:r w:rsidRPr="00C45251">
        <w:rPr>
          <w:rFonts w:ascii="Palatino Linotype" w:eastAsia="Palatino Linotype" w:hAnsi="Palatino Linotype" w:cs="Palatino Linotype"/>
          <w:b/>
          <w:i/>
          <w:sz w:val="22"/>
          <w:szCs w:val="22"/>
        </w:rPr>
        <w:t>,</w:t>
      </w:r>
      <w:r w:rsidRPr="00C45251">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 </w:t>
      </w:r>
      <w:r w:rsidRPr="00C45251">
        <w:rPr>
          <w:rFonts w:ascii="Palatino Linotype" w:eastAsia="Palatino Linotype" w:hAnsi="Palatino Linotype" w:cs="Palatino Linotype"/>
          <w:b/>
          <w:i/>
          <w:sz w:val="22"/>
          <w:szCs w:val="22"/>
          <w:u w:val="single"/>
        </w:rPr>
        <w:t>Toda la información en posesión de cualquier autoridad, entidad, órgano y organismo de los Poderes</w:t>
      </w:r>
      <w:r w:rsidRPr="00C45251">
        <w:rPr>
          <w:rFonts w:ascii="Palatino Linotype" w:eastAsia="Palatino Linotype" w:hAnsi="Palatino Linotype" w:cs="Palatino Linotype"/>
          <w:i/>
          <w:sz w:val="22"/>
          <w:szCs w:val="22"/>
        </w:rPr>
        <w:t xml:space="preserve"> Ejecutivo, Legislativo </w:t>
      </w:r>
      <w:r w:rsidRPr="00C45251">
        <w:rPr>
          <w:rFonts w:ascii="Palatino Linotype" w:eastAsia="Palatino Linotype" w:hAnsi="Palatino Linotype" w:cs="Palatino Linotype"/>
          <w:b/>
          <w:i/>
          <w:sz w:val="22"/>
          <w:szCs w:val="22"/>
          <w:u w:val="single"/>
        </w:rPr>
        <w:t>y Judicial</w:t>
      </w:r>
      <w:r w:rsidRPr="00C45251">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C45251">
        <w:rPr>
          <w:rFonts w:ascii="Palatino Linotype" w:eastAsia="Palatino Linotype" w:hAnsi="Palatino Linotype" w:cs="Palatino Linotype"/>
          <w:b/>
          <w:i/>
          <w:sz w:val="22"/>
          <w:szCs w:val="22"/>
        </w:rPr>
        <w:t>es pública y sólo podrá ser reservada temporalmente por razones de interés público y seguridad nacional,</w:t>
      </w:r>
      <w:r w:rsidRPr="00C45251">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C45251" w:rsidRDefault="00A76F12">
      <w:pPr>
        <w:spacing w:line="276" w:lineRule="auto"/>
        <w:ind w:left="567" w:right="851"/>
        <w:jc w:val="both"/>
        <w:rPr>
          <w:rFonts w:ascii="Palatino Linotype" w:eastAsia="Palatino Linotype" w:hAnsi="Palatino Linotype" w:cs="Palatino Linotype"/>
          <w:b/>
          <w:i/>
          <w:sz w:val="22"/>
          <w:szCs w:val="22"/>
        </w:rPr>
      </w:pPr>
      <w:r w:rsidRPr="00C45251">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III. </w:t>
      </w:r>
      <w:r w:rsidRPr="00C45251">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C45251">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IV.</w:t>
      </w:r>
      <w:r w:rsidRPr="00C45251">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C45251" w:rsidRDefault="00A76F12">
      <w:pPr>
        <w:spacing w:line="276" w:lineRule="auto"/>
        <w:ind w:left="567" w:right="851"/>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V. </w:t>
      </w:r>
      <w:r w:rsidRPr="00C45251">
        <w:rPr>
          <w:rFonts w:ascii="Palatino Linotype" w:eastAsia="Palatino Linotype" w:hAnsi="Palatino Linotype" w:cs="Palatino Linotype"/>
          <w:i/>
          <w:sz w:val="22"/>
          <w:szCs w:val="22"/>
        </w:rPr>
        <w:t xml:space="preserve">Los sujetos obligados deberán preservar sus documentos en archivos administrativos actualizados y publicarán, a través de los medios electrónicos disponibles, la información completa y actualizada sobre el ejercicio de los recursos </w:t>
      </w:r>
      <w:r w:rsidRPr="00C45251">
        <w:rPr>
          <w:rFonts w:ascii="Palatino Linotype" w:eastAsia="Palatino Linotype" w:hAnsi="Palatino Linotype" w:cs="Palatino Linotype"/>
          <w:i/>
          <w:sz w:val="22"/>
          <w:szCs w:val="22"/>
        </w:rPr>
        <w:lastRenderedPageBreak/>
        <w:t>públicos y los indicadores que permitan rendir cuenta del cumplimiento de sus objetivos y de los resultados obtenidos.</w:t>
      </w:r>
    </w:p>
    <w:p w14:paraId="3A6C6EFF" w14:textId="77777777" w:rsidR="00532AE4" w:rsidRPr="00C45251"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C45251"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C45251" w:rsidRDefault="00A76F12">
      <w:pPr>
        <w:tabs>
          <w:tab w:val="left" w:pos="709"/>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C45251"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r w:rsidRPr="00C45251">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C45251">
        <w:rPr>
          <w:rFonts w:ascii="Palatino Linotype" w:eastAsia="Palatino Linotype" w:hAnsi="Palatino Linotype" w:cs="Palatino Linotype"/>
          <w:i/>
          <w:sz w:val="22"/>
          <w:szCs w:val="22"/>
        </w:rPr>
        <w:t>:</w:t>
      </w:r>
    </w:p>
    <w:p w14:paraId="275F2B94"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45251">
        <w:rPr>
          <w:rFonts w:ascii="Palatino Linotype" w:eastAsia="Palatino Linotype" w:hAnsi="Palatino Linotype" w:cs="Palatino Linotype"/>
          <w:b/>
          <w:i/>
          <w:sz w:val="22"/>
          <w:szCs w:val="22"/>
        </w:rPr>
        <w:t>I.</w:t>
      </w:r>
      <w:r w:rsidRPr="00C45251">
        <w:rPr>
          <w:rFonts w:ascii="Palatino Linotype" w:eastAsia="Palatino Linotype" w:hAnsi="Palatino Linotype" w:cs="Palatino Linotype"/>
          <w:i/>
          <w:sz w:val="22"/>
          <w:szCs w:val="22"/>
        </w:rPr>
        <w:t xml:space="preserve"> El Poder Ejecutivo del Estado de México, las dependencias, organismos auxiliares,</w:t>
      </w:r>
      <w:r w:rsidRPr="00C45251">
        <w:rPr>
          <w:rFonts w:ascii="Palatino Linotype" w:eastAsia="Palatino Linotype" w:hAnsi="Palatino Linotype" w:cs="Palatino Linotype"/>
          <w:b/>
          <w:i/>
          <w:sz w:val="22"/>
          <w:szCs w:val="22"/>
        </w:rPr>
        <w:t xml:space="preserve"> </w:t>
      </w:r>
      <w:r w:rsidRPr="00C45251">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II.</w:t>
      </w:r>
      <w:r w:rsidRPr="00C45251">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III.</w:t>
      </w:r>
      <w:r w:rsidRPr="00C45251">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C45251">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V.</w:t>
      </w:r>
      <w:r w:rsidRPr="00C45251">
        <w:rPr>
          <w:rFonts w:ascii="Palatino Linotype" w:eastAsia="Palatino Linotype" w:hAnsi="Palatino Linotype" w:cs="Palatino Linotype"/>
          <w:i/>
          <w:sz w:val="22"/>
          <w:szCs w:val="22"/>
        </w:rPr>
        <w:t xml:space="preserve"> Los órganos autónomos;</w:t>
      </w:r>
    </w:p>
    <w:p w14:paraId="47FBCC3D"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VI.</w:t>
      </w:r>
      <w:r w:rsidRPr="00C45251">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VII.</w:t>
      </w:r>
      <w:r w:rsidRPr="00C45251">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lastRenderedPageBreak/>
        <w:t>VIII.</w:t>
      </w:r>
      <w:r w:rsidRPr="00C45251">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IX.</w:t>
      </w:r>
      <w:r w:rsidRPr="00C45251">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X.</w:t>
      </w:r>
      <w:r w:rsidRPr="00C45251">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XI.</w:t>
      </w:r>
      <w:r w:rsidRPr="00C45251">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C45251"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C45251">
        <w:rPr>
          <w:rFonts w:ascii="Palatino Linotype" w:eastAsia="Palatino Linotype" w:hAnsi="Palatino Linotype" w:cs="Palatino Linotype"/>
          <w:i/>
          <w:sz w:val="22"/>
          <w:szCs w:val="22"/>
        </w:rPr>
        <w:t>.”</w:t>
      </w:r>
    </w:p>
    <w:p w14:paraId="6AA3AC33"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C4525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w:t>
      </w:r>
      <w:r w:rsidRPr="00C45251">
        <w:rPr>
          <w:rFonts w:ascii="Palatino Linotype" w:eastAsia="Palatino Linotype" w:hAnsi="Palatino Linotype" w:cs="Palatino Linotype"/>
          <w:sz w:val="22"/>
          <w:szCs w:val="22"/>
        </w:rPr>
        <w:lastRenderedPageBreak/>
        <w:t>en términos de los artículos 50 y 51 de la Ley de Transparencia y Acceso a la Información Pública del Estado de México y Municipios.</w:t>
      </w:r>
    </w:p>
    <w:p w14:paraId="677C733F" w14:textId="77777777" w:rsidR="00532AE4" w:rsidRPr="00C45251"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C4525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C45251"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C45251"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C45251">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Sirve de sustento a lo anterior, el precepto legal en cita:</w:t>
      </w:r>
    </w:p>
    <w:p w14:paraId="0E6F8D37"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C45251" w:rsidRDefault="00A76F12">
      <w:pPr>
        <w:spacing w:line="276" w:lineRule="auto"/>
        <w:ind w:left="567" w:right="902"/>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r w:rsidRPr="00C45251">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C45251">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C45251" w:rsidRDefault="00A76F12">
      <w:pPr>
        <w:spacing w:line="276" w:lineRule="auto"/>
        <w:ind w:left="567" w:right="902"/>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C45251"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mérito de lo expuesto, es claro que en este caso 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C45251">
        <w:rPr>
          <w:rFonts w:ascii="Palatino Linotype" w:eastAsia="Palatino Linotype" w:hAnsi="Palatino Linotype" w:cs="Palatino Linotype"/>
          <w:b/>
          <w:sz w:val="22"/>
          <w:szCs w:val="22"/>
        </w:rPr>
        <w:t>el Sujeto Obligado</w:t>
      </w:r>
      <w:r w:rsidRPr="00C45251">
        <w:rPr>
          <w:rFonts w:ascii="Palatino Linotype" w:eastAsia="Palatino Linotype" w:hAnsi="Palatino Linotype" w:cs="Palatino Linotype"/>
          <w:sz w:val="22"/>
          <w:szCs w:val="22"/>
        </w:rPr>
        <w:t>; por lo que, en caso de no atender de manera positiva</w:t>
      </w:r>
      <w:r w:rsidRPr="00C45251">
        <w:rPr>
          <w:rFonts w:ascii="Palatino Linotype" w:eastAsia="Palatino Linotype" w:hAnsi="Palatino Linotype" w:cs="Palatino Linotype"/>
          <w:sz w:val="22"/>
          <w:szCs w:val="22"/>
          <w:vertAlign w:val="superscript"/>
        </w:rPr>
        <w:footnoteReference w:id="2"/>
      </w:r>
      <w:r w:rsidRPr="00C45251">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C45251"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De la clasificación de la información.</w:t>
      </w:r>
    </w:p>
    <w:p w14:paraId="7CB72775" w14:textId="77777777" w:rsidR="00532AE4" w:rsidRPr="00C4525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C45251" w:rsidRDefault="00A76F12">
      <w:pPr>
        <w:spacing w:line="360" w:lineRule="auto"/>
        <w:ind w:right="5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C45251"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C45251" w:rsidRDefault="00A76F12">
      <w:pPr>
        <w:spacing w:line="276" w:lineRule="auto"/>
        <w:ind w:left="851" w:right="900"/>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“Artículo 91. </w:t>
      </w:r>
      <w:r w:rsidRPr="00C45251">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C45251"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C45251">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C45251"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“Artículo 140. </w:t>
      </w:r>
      <w:r w:rsidRPr="00C45251">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 </w:t>
      </w:r>
      <w:r w:rsidRPr="00C45251">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II. </w:t>
      </w:r>
      <w:r w:rsidRPr="00C45251">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III. </w:t>
      </w:r>
      <w:r w:rsidRPr="00C45251">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IV. </w:t>
      </w:r>
      <w:r w:rsidRPr="00C45251">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V. </w:t>
      </w:r>
      <w:r w:rsidRPr="00C45251">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1. </w:t>
      </w:r>
      <w:r w:rsidRPr="00C45251">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2. </w:t>
      </w:r>
      <w:r w:rsidRPr="00C45251">
        <w:rPr>
          <w:rFonts w:ascii="Palatino Linotype" w:eastAsia="Palatino Linotype" w:hAnsi="Palatino Linotype" w:cs="Palatino Linotype"/>
          <w:i/>
          <w:sz w:val="22"/>
          <w:szCs w:val="22"/>
        </w:rPr>
        <w:t>La recaudación de las contribuciones.</w:t>
      </w:r>
    </w:p>
    <w:p w14:paraId="4CD54AA9"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VI. </w:t>
      </w:r>
      <w:r w:rsidRPr="00C45251">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VII. </w:t>
      </w:r>
      <w:r w:rsidRPr="00C45251">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lastRenderedPageBreak/>
        <w:t>VIII</w:t>
      </w:r>
      <w:r w:rsidRPr="00C45251">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C45251">
        <w:rPr>
          <w:rFonts w:ascii="Palatino Linotype" w:eastAsia="Palatino Linotype" w:hAnsi="Palatino Linotype" w:cs="Palatino Linotype"/>
          <w:b/>
          <w:i/>
          <w:sz w:val="22"/>
          <w:szCs w:val="22"/>
        </w:rPr>
        <w:t>;</w:t>
      </w:r>
    </w:p>
    <w:p w14:paraId="20A105A2"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IX. </w:t>
      </w:r>
      <w:r w:rsidRPr="00C45251">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X. </w:t>
      </w:r>
      <w:r w:rsidRPr="00C45251">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XI. </w:t>
      </w:r>
      <w:r w:rsidRPr="00C45251">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w:t>
      </w:r>
    </w:p>
    <w:p w14:paraId="7E7180B7"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Artículo 143. </w:t>
      </w:r>
      <w:r w:rsidRPr="00C45251">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 </w:t>
      </w:r>
      <w:r w:rsidRPr="00C45251">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II. </w:t>
      </w:r>
      <w:r w:rsidRPr="00C45251">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III. </w:t>
      </w:r>
      <w:r w:rsidRPr="00C45251">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C45251"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C45251"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C45251">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C4525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Se reciba una solicitud de acceso a la información;</w:t>
      </w:r>
    </w:p>
    <w:p w14:paraId="54E32C40" w14:textId="77777777" w:rsidR="00532AE4" w:rsidRPr="00C4525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Se determine mediante resolución de autoridad competente; y/o</w:t>
      </w:r>
    </w:p>
    <w:p w14:paraId="2A2574F5" w14:textId="77777777" w:rsidR="00532AE4" w:rsidRPr="00C45251"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C45251"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C45251" w:rsidRDefault="00A76F12">
      <w:pPr>
        <w:spacing w:line="360" w:lineRule="auto"/>
        <w:ind w:right="5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C45251">
        <w:rPr>
          <w:rFonts w:ascii="Palatino Linotype" w:eastAsia="Palatino Linotype" w:hAnsi="Palatino Linotype" w:cs="Palatino Linotype"/>
          <w:sz w:val="22"/>
          <w:szCs w:val="22"/>
          <w:vertAlign w:val="superscript"/>
        </w:rPr>
        <w:footnoteReference w:id="3"/>
      </w:r>
      <w:r w:rsidRPr="00C45251">
        <w:rPr>
          <w:rFonts w:ascii="Palatino Linotype" w:eastAsia="Palatino Linotype" w:hAnsi="Palatino Linotype" w:cs="Palatino Linotype"/>
          <w:sz w:val="22"/>
          <w:szCs w:val="22"/>
        </w:rPr>
        <w:t>, 53 fracción X</w:t>
      </w:r>
      <w:r w:rsidRPr="00C45251">
        <w:rPr>
          <w:rFonts w:ascii="Palatino Linotype" w:eastAsia="Palatino Linotype" w:hAnsi="Palatino Linotype" w:cs="Palatino Linotype"/>
          <w:sz w:val="22"/>
          <w:szCs w:val="22"/>
          <w:vertAlign w:val="superscript"/>
        </w:rPr>
        <w:footnoteReference w:id="4"/>
      </w:r>
      <w:r w:rsidRPr="00C45251">
        <w:rPr>
          <w:rFonts w:ascii="Palatino Linotype" w:eastAsia="Palatino Linotype" w:hAnsi="Palatino Linotype" w:cs="Palatino Linotype"/>
          <w:sz w:val="22"/>
          <w:szCs w:val="22"/>
        </w:rPr>
        <w:t>, y 49 fracciones II y VIII</w:t>
      </w:r>
      <w:r w:rsidRPr="00C45251">
        <w:rPr>
          <w:rFonts w:ascii="Palatino Linotype" w:eastAsia="Palatino Linotype" w:hAnsi="Palatino Linotype" w:cs="Palatino Linotype"/>
          <w:sz w:val="22"/>
          <w:szCs w:val="22"/>
          <w:vertAlign w:val="superscript"/>
        </w:rPr>
        <w:footnoteReference w:id="5"/>
      </w:r>
      <w:r w:rsidRPr="00C45251">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C45251"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Bajo tales consideraciones, este Organismo Garante no omite señalar que, si 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advierte que la información solicitada contiene </w:t>
      </w:r>
      <w:r w:rsidRPr="00C45251">
        <w:rPr>
          <w:rFonts w:ascii="Palatino Linotype" w:eastAsia="Palatino Linotype" w:hAnsi="Palatino Linotype" w:cs="Palatino Linotype"/>
          <w:b/>
          <w:sz w:val="22"/>
          <w:szCs w:val="22"/>
        </w:rPr>
        <w:t>datos personales</w:t>
      </w:r>
      <w:r w:rsidRPr="00C45251">
        <w:rPr>
          <w:rFonts w:ascii="Palatino Linotype" w:eastAsia="Palatino Linotype" w:hAnsi="Palatino Linotype" w:cs="Palatino Linotype"/>
          <w:sz w:val="22"/>
          <w:szCs w:val="22"/>
        </w:rPr>
        <w:t xml:space="preserve"> que sean susceptibles de ser </w:t>
      </w:r>
      <w:r w:rsidRPr="00C45251">
        <w:rPr>
          <w:rFonts w:ascii="Palatino Linotype" w:eastAsia="Palatino Linotype" w:hAnsi="Palatino Linotype" w:cs="Palatino Linotype"/>
          <w:b/>
          <w:sz w:val="22"/>
          <w:szCs w:val="22"/>
        </w:rPr>
        <w:t xml:space="preserve">clasificados como confidenciales, </w:t>
      </w:r>
      <w:r w:rsidRPr="00C45251">
        <w:rPr>
          <w:rFonts w:ascii="Palatino Linotype" w:eastAsia="Palatino Linotype" w:hAnsi="Palatino Linotype" w:cs="Palatino Linotype"/>
          <w:sz w:val="22"/>
          <w:szCs w:val="22"/>
        </w:rPr>
        <w:t>o, si por otro lado</w:t>
      </w:r>
      <w:r w:rsidRPr="00C45251">
        <w:rPr>
          <w:rFonts w:ascii="Palatino Linotype" w:eastAsia="Palatino Linotype" w:hAnsi="Palatino Linotype" w:cs="Palatino Linotype"/>
          <w:b/>
          <w:sz w:val="22"/>
          <w:szCs w:val="22"/>
        </w:rPr>
        <w:t>, por su propia y especial naturaleza,</w:t>
      </w:r>
      <w:r w:rsidRPr="00C45251">
        <w:rPr>
          <w:rFonts w:ascii="Palatino Linotype" w:eastAsia="Palatino Linotype" w:hAnsi="Palatino Linotype" w:cs="Palatino Linotype"/>
          <w:sz w:val="22"/>
          <w:szCs w:val="22"/>
        </w:rPr>
        <w:t xml:space="preserve"> encuadra en alguno de los </w:t>
      </w:r>
      <w:r w:rsidRPr="00C45251">
        <w:rPr>
          <w:rFonts w:ascii="Palatino Linotype" w:eastAsia="Palatino Linotype" w:hAnsi="Palatino Linotype" w:cs="Palatino Linotype"/>
          <w:b/>
          <w:sz w:val="22"/>
          <w:szCs w:val="22"/>
        </w:rPr>
        <w:t>supuestos de reserva o de confidencialidad en su totalidad</w:t>
      </w:r>
      <w:r w:rsidRPr="00C45251">
        <w:rPr>
          <w:rFonts w:ascii="Palatino Linotype" w:eastAsia="Palatino Linotype" w:hAnsi="Palatino Linotype" w:cs="Palatino Linotype"/>
          <w:sz w:val="22"/>
          <w:szCs w:val="22"/>
        </w:rPr>
        <w:t>, deberá emitir, un</w:t>
      </w:r>
      <w:r w:rsidRPr="00C45251">
        <w:rPr>
          <w:rFonts w:ascii="Palatino Linotype" w:eastAsia="Palatino Linotype" w:hAnsi="Palatino Linotype" w:cs="Palatino Linotype"/>
          <w:b/>
          <w:sz w:val="22"/>
          <w:szCs w:val="22"/>
        </w:rPr>
        <w:t xml:space="preserve"> Acuerdo de Clasificación </w:t>
      </w:r>
      <w:r w:rsidRPr="00C45251">
        <w:rPr>
          <w:rFonts w:ascii="Palatino Linotype" w:eastAsia="Palatino Linotype" w:hAnsi="Palatino Linotype" w:cs="Palatino Linotype"/>
          <w:sz w:val="22"/>
          <w:szCs w:val="22"/>
        </w:rPr>
        <w:t>debidamente fundado y motivado que</w:t>
      </w:r>
      <w:r w:rsidRPr="00C45251">
        <w:rPr>
          <w:rFonts w:ascii="Palatino Linotype" w:eastAsia="Palatino Linotype" w:hAnsi="Palatino Linotype" w:cs="Palatino Linotype"/>
          <w:b/>
          <w:sz w:val="22"/>
          <w:szCs w:val="22"/>
        </w:rPr>
        <w:t xml:space="preserve"> sustente la clasificación parcial, a través de la versión pública que emita,</w:t>
      </w:r>
      <w:r w:rsidRPr="00C45251">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C45251"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De la clasificación parcial de la información.</w:t>
      </w:r>
    </w:p>
    <w:p w14:paraId="6CDBD4F4" w14:textId="77777777" w:rsidR="00532AE4" w:rsidRPr="00C45251"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C45251"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De la clasificación de información como reservada.</w:t>
      </w:r>
    </w:p>
    <w:p w14:paraId="2F50165E" w14:textId="77777777" w:rsidR="00532AE4" w:rsidRPr="00C45251"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C45251" w:rsidRDefault="00A76F12">
      <w:pPr>
        <w:spacing w:line="360" w:lineRule="auto"/>
        <w:ind w:right="5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a concluir que, el caso particular se ajusta al </w:t>
      </w:r>
      <w:r w:rsidRPr="00C45251">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C45251"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C4525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La divulgación de la información representa un </w:t>
      </w:r>
      <w:r w:rsidRPr="00C45251">
        <w:rPr>
          <w:rFonts w:ascii="Palatino Linotype" w:eastAsia="Palatino Linotype" w:hAnsi="Palatino Linotype" w:cs="Palatino Linotype"/>
          <w:b/>
          <w:sz w:val="22"/>
          <w:szCs w:val="22"/>
        </w:rPr>
        <w:t>riesgo real, demostrable e identificable del perjuicio significativo al interés público o a la seguridad pública</w:t>
      </w:r>
      <w:r w:rsidRPr="00C45251">
        <w:rPr>
          <w:rFonts w:ascii="Palatino Linotype" w:eastAsia="Palatino Linotype" w:hAnsi="Palatino Linotype" w:cs="Palatino Linotype"/>
          <w:sz w:val="22"/>
          <w:szCs w:val="22"/>
        </w:rPr>
        <w:t>;</w:t>
      </w:r>
    </w:p>
    <w:p w14:paraId="4FC20933" w14:textId="77777777" w:rsidR="00532AE4" w:rsidRPr="00C4525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C45251"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C45251"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Siendo pertinente aclarar que, la información que se clasifica bajo la premisa de reservada, </w:t>
      </w:r>
      <w:r w:rsidRPr="00C45251">
        <w:rPr>
          <w:rFonts w:ascii="Palatino Linotype" w:eastAsia="Palatino Linotype" w:hAnsi="Palatino Linotype" w:cs="Palatino Linotype"/>
          <w:b/>
          <w:sz w:val="22"/>
          <w:szCs w:val="22"/>
        </w:rPr>
        <w:t>no pierde el carácter de pública</w:t>
      </w:r>
      <w:r w:rsidRPr="00C45251">
        <w:rPr>
          <w:rFonts w:ascii="Palatino Linotype" w:eastAsia="Palatino Linotype" w:hAnsi="Palatino Linotype" w:cs="Palatino Linotype"/>
          <w:sz w:val="22"/>
          <w:szCs w:val="22"/>
        </w:rPr>
        <w:t xml:space="preserve">, sino que </w:t>
      </w:r>
      <w:r w:rsidRPr="00C45251">
        <w:rPr>
          <w:rFonts w:ascii="Palatino Linotype" w:eastAsia="Palatino Linotype" w:hAnsi="Palatino Linotype" w:cs="Palatino Linotype"/>
          <w:b/>
          <w:sz w:val="22"/>
          <w:szCs w:val="22"/>
        </w:rPr>
        <w:t>se reserva temporalmente</w:t>
      </w:r>
      <w:r w:rsidRPr="00C45251">
        <w:rPr>
          <w:rFonts w:ascii="Palatino Linotype" w:eastAsia="Palatino Linotype" w:hAnsi="Palatino Linotype" w:cs="Palatino Linotype"/>
          <w:sz w:val="22"/>
          <w:szCs w:val="22"/>
        </w:rPr>
        <w:t xml:space="preserve"> </w:t>
      </w:r>
      <w:r w:rsidRPr="00C45251">
        <w:rPr>
          <w:rFonts w:ascii="Palatino Linotype" w:eastAsia="Palatino Linotype" w:hAnsi="Palatino Linotype" w:cs="Palatino Linotype"/>
          <w:b/>
          <w:sz w:val="22"/>
          <w:szCs w:val="22"/>
        </w:rPr>
        <w:t>del conocimiento público</w:t>
      </w:r>
      <w:r w:rsidRPr="00C45251">
        <w:rPr>
          <w:rFonts w:ascii="Palatino Linotype" w:eastAsia="Palatino Linotype" w:hAnsi="Palatino Linotype" w:cs="Palatino Linotype"/>
          <w:sz w:val="22"/>
          <w:szCs w:val="22"/>
        </w:rPr>
        <w:t xml:space="preserve">, es decir, que, </w:t>
      </w:r>
      <w:r w:rsidRPr="00C45251">
        <w:rPr>
          <w:rFonts w:ascii="Palatino Linotype" w:eastAsia="Palatino Linotype" w:hAnsi="Palatino Linotype" w:cs="Palatino Linotype"/>
          <w:b/>
          <w:sz w:val="22"/>
          <w:szCs w:val="22"/>
        </w:rPr>
        <w:t>por un tiempo determinado</w:t>
      </w:r>
      <w:r w:rsidRPr="00C45251">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C45251"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C45251"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C45251" w:rsidRDefault="00A76F12">
      <w:pPr>
        <w:tabs>
          <w:tab w:val="left" w:pos="709"/>
        </w:tabs>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C45251"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C45251" w:rsidRDefault="00A76F12">
      <w:pPr>
        <w:spacing w:line="360" w:lineRule="auto"/>
        <w:ind w:right="5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C45251">
        <w:rPr>
          <w:rFonts w:ascii="Palatino Linotype" w:eastAsia="Palatino Linotype" w:hAnsi="Palatino Linotype" w:cs="Palatino Linotype"/>
          <w:sz w:val="22"/>
          <w:szCs w:val="22"/>
        </w:rPr>
        <w:lastRenderedPageBreak/>
        <w:t>Versiones Públicas</w:t>
      </w:r>
      <w:r w:rsidRPr="00C45251">
        <w:rPr>
          <w:rFonts w:ascii="Palatino Linotype" w:eastAsia="Palatino Linotype" w:hAnsi="Palatino Linotype" w:cs="Palatino Linotype"/>
          <w:sz w:val="22"/>
          <w:szCs w:val="22"/>
          <w:vertAlign w:val="superscript"/>
        </w:rPr>
        <w:footnoteReference w:id="6"/>
      </w:r>
      <w:r w:rsidRPr="00C45251">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C45251"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C45251"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De la declaratoria de inexistencia de la información</w:t>
      </w:r>
      <w:r w:rsidRPr="00C45251">
        <w:rPr>
          <w:rFonts w:ascii="Palatino Linotype" w:eastAsia="Palatino Linotype" w:hAnsi="Palatino Linotype" w:cs="Palatino Linotype"/>
          <w:sz w:val="22"/>
          <w:szCs w:val="22"/>
        </w:rPr>
        <w:t>.</w:t>
      </w:r>
    </w:p>
    <w:p w14:paraId="2CE06287" w14:textId="77777777" w:rsidR="00532AE4" w:rsidRPr="00C45251"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Por otro lado, estima prudente señalar al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C45251" w:rsidRDefault="00A76F12">
      <w:pPr>
        <w:spacing w:line="276" w:lineRule="auto"/>
        <w:ind w:left="567" w:right="902"/>
        <w:jc w:val="both"/>
        <w:rPr>
          <w:rFonts w:ascii="Palatino Linotype" w:eastAsia="Palatino Linotype" w:hAnsi="Palatino Linotype" w:cs="Palatino Linotype"/>
          <w:i/>
          <w:sz w:val="22"/>
          <w:szCs w:val="22"/>
        </w:rPr>
      </w:pPr>
      <w:r w:rsidRPr="00C45251">
        <w:rPr>
          <w:rFonts w:ascii="Palatino Linotype" w:eastAsia="Palatino Linotype" w:hAnsi="Palatino Linotype" w:cs="Palatino Linotype"/>
          <w:b/>
          <w:i/>
          <w:sz w:val="22"/>
          <w:szCs w:val="22"/>
        </w:rPr>
        <w:t xml:space="preserve">“INEXISTENCIA DE LA INFORMACIÓN. SUPUESTOS PARA EMITIR LA RESOLUCIÓN DE LA. </w:t>
      </w:r>
      <w:r w:rsidRPr="00C45251">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C45251"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 xml:space="preserve">En mérito de todo lo expuesto, ante lo </w:t>
      </w:r>
      <w:r w:rsidRPr="00C45251">
        <w:rPr>
          <w:rFonts w:ascii="Palatino Linotype" w:eastAsia="Palatino Linotype" w:hAnsi="Palatino Linotype" w:cs="Palatino Linotype"/>
          <w:b/>
          <w:sz w:val="22"/>
          <w:szCs w:val="22"/>
        </w:rPr>
        <w:t>FUNDADO</w:t>
      </w:r>
      <w:r w:rsidRPr="00C45251">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C45251">
        <w:rPr>
          <w:rFonts w:ascii="Palatino Linotype" w:eastAsia="Palatino Linotype" w:hAnsi="Palatino Linotype" w:cs="Palatino Linotype"/>
          <w:b/>
          <w:sz w:val="22"/>
          <w:szCs w:val="22"/>
        </w:rPr>
        <w:t>ORDENAR</w:t>
      </w:r>
      <w:r w:rsidRPr="00C45251">
        <w:rPr>
          <w:rFonts w:ascii="Palatino Linotype" w:eastAsia="Palatino Linotype" w:hAnsi="Palatino Linotype" w:cs="Palatino Linotype"/>
          <w:sz w:val="22"/>
          <w:szCs w:val="22"/>
        </w:rPr>
        <w:t xml:space="preserve"> al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C45251" w:rsidRDefault="00A76F12">
      <w:pPr>
        <w:spacing w:line="360" w:lineRule="auto"/>
        <w:ind w:right="49"/>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sz w:val="22"/>
          <w:szCs w:val="22"/>
        </w:rPr>
        <w:t>Finalmente, es de señalar que, como ya se mencionó el</w:t>
      </w:r>
      <w:r w:rsidRPr="00C45251">
        <w:rPr>
          <w:rFonts w:ascii="Palatino Linotype" w:eastAsia="Palatino Linotype" w:hAnsi="Palatino Linotype" w:cs="Palatino Linotype"/>
          <w:b/>
          <w:sz w:val="22"/>
          <w:szCs w:val="22"/>
        </w:rPr>
        <w:t xml:space="preserve"> Sujeto Obligado</w:t>
      </w:r>
      <w:r w:rsidRPr="00C45251">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C45251">
        <w:rPr>
          <w:rFonts w:ascii="Palatino Linotype" w:eastAsia="Palatino Linotype" w:hAnsi="Palatino Linotype" w:cs="Palatino Linotype"/>
          <w:b/>
          <w:sz w:val="22"/>
          <w:szCs w:val="22"/>
        </w:rPr>
        <w:t xml:space="preserve"> </w:t>
      </w:r>
      <w:r w:rsidRPr="00C45251">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C45251"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C45251"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C45251">
        <w:rPr>
          <w:rFonts w:ascii="Palatino Linotype" w:eastAsia="Palatino Linotype" w:hAnsi="Palatino Linotype" w:cs="Palatino Linotype"/>
          <w:sz w:val="22"/>
          <w:szCs w:val="22"/>
        </w:rPr>
        <w:t xml:space="preserve">Así, con fundamento en lo prescrito en los artículos </w:t>
      </w:r>
      <w:r w:rsidR="009100C5" w:rsidRPr="00C45251">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C45251">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C45251"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C45251"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t>III. R E S U E L V E</w:t>
      </w:r>
    </w:p>
    <w:p w14:paraId="170B47A5" w14:textId="77777777" w:rsidR="00532AE4" w:rsidRPr="00C45251"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C45251" w:rsidRDefault="00A76F12">
      <w:pPr>
        <w:spacing w:line="360" w:lineRule="auto"/>
        <w:ind w:right="49"/>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Primero. </w:t>
      </w:r>
      <w:r w:rsidRPr="00C45251">
        <w:rPr>
          <w:rFonts w:ascii="Palatino Linotype" w:eastAsia="Palatino Linotype" w:hAnsi="Palatino Linotype" w:cs="Palatino Linotype"/>
          <w:sz w:val="22"/>
          <w:szCs w:val="22"/>
        </w:rPr>
        <w:t xml:space="preserve">Resultan </w:t>
      </w:r>
      <w:r w:rsidRPr="00C45251">
        <w:rPr>
          <w:rFonts w:ascii="Palatino Linotype" w:eastAsia="Palatino Linotype" w:hAnsi="Palatino Linotype" w:cs="Palatino Linotype"/>
          <w:b/>
          <w:sz w:val="22"/>
          <w:szCs w:val="22"/>
        </w:rPr>
        <w:t>FUNDADOS</w:t>
      </w:r>
      <w:r w:rsidRPr="00C45251">
        <w:rPr>
          <w:rFonts w:ascii="Palatino Linotype" w:eastAsia="Palatino Linotype" w:hAnsi="Palatino Linotype" w:cs="Palatino Linotype"/>
          <w:sz w:val="22"/>
          <w:szCs w:val="22"/>
        </w:rPr>
        <w:t xml:space="preserve"> los motivos de inconformidad de la parte </w:t>
      </w:r>
      <w:r w:rsidRPr="00C45251">
        <w:rPr>
          <w:rFonts w:ascii="Palatino Linotype" w:eastAsia="Palatino Linotype" w:hAnsi="Palatino Linotype" w:cs="Palatino Linotype"/>
          <w:b/>
          <w:sz w:val="22"/>
          <w:szCs w:val="22"/>
        </w:rPr>
        <w:t>Recurrente</w:t>
      </w:r>
      <w:r w:rsidRPr="00C45251">
        <w:rPr>
          <w:rFonts w:ascii="Palatino Linotype" w:eastAsia="Palatino Linotype" w:hAnsi="Palatino Linotype" w:cs="Palatino Linotype"/>
          <w:sz w:val="22"/>
          <w:szCs w:val="22"/>
        </w:rPr>
        <w:t xml:space="preserve">, en términos del </w:t>
      </w:r>
      <w:r w:rsidRPr="00C45251">
        <w:rPr>
          <w:rFonts w:ascii="Palatino Linotype" w:eastAsia="Palatino Linotype" w:hAnsi="Palatino Linotype" w:cs="Palatino Linotype"/>
          <w:b/>
          <w:sz w:val="22"/>
          <w:szCs w:val="22"/>
        </w:rPr>
        <w:t>Considerando Cuarto</w:t>
      </w:r>
      <w:r w:rsidRPr="00C45251">
        <w:rPr>
          <w:rFonts w:ascii="Palatino Linotype" w:eastAsia="Palatino Linotype" w:hAnsi="Palatino Linotype" w:cs="Palatino Linotype"/>
          <w:sz w:val="22"/>
          <w:szCs w:val="22"/>
        </w:rPr>
        <w:t xml:space="preserve"> de la presente resolución.</w:t>
      </w:r>
    </w:p>
    <w:p w14:paraId="6A06B418" w14:textId="77777777" w:rsidR="00532AE4" w:rsidRPr="00C45251" w:rsidRDefault="00532AE4">
      <w:pPr>
        <w:spacing w:line="360" w:lineRule="auto"/>
        <w:ind w:right="49"/>
        <w:jc w:val="both"/>
        <w:rPr>
          <w:rFonts w:ascii="Palatino Linotype" w:eastAsia="Palatino Linotype" w:hAnsi="Palatino Linotype" w:cs="Palatino Linotype"/>
          <w:sz w:val="22"/>
          <w:szCs w:val="22"/>
        </w:rPr>
      </w:pPr>
    </w:p>
    <w:p w14:paraId="1E37E133" w14:textId="4AD71C12" w:rsidR="00532AE4" w:rsidRPr="00C45251"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C45251">
        <w:rPr>
          <w:rFonts w:ascii="Palatino Linotype" w:eastAsia="Palatino Linotype" w:hAnsi="Palatino Linotype" w:cs="Palatino Linotype"/>
          <w:b/>
          <w:sz w:val="22"/>
          <w:szCs w:val="22"/>
        </w:rPr>
        <w:t>Segundo.</w:t>
      </w:r>
      <w:r w:rsidRPr="00C45251">
        <w:rPr>
          <w:rFonts w:ascii="Palatino Linotype" w:eastAsia="Palatino Linotype" w:hAnsi="Palatino Linotype" w:cs="Palatino Linotype"/>
          <w:sz w:val="22"/>
          <w:szCs w:val="22"/>
        </w:rPr>
        <w:t xml:space="preserve"> Se</w:t>
      </w:r>
      <w:r w:rsidRPr="00C45251">
        <w:rPr>
          <w:rFonts w:ascii="Palatino Linotype" w:eastAsia="Palatino Linotype" w:hAnsi="Palatino Linotype" w:cs="Palatino Linotype"/>
          <w:b/>
          <w:sz w:val="22"/>
          <w:szCs w:val="22"/>
        </w:rPr>
        <w:t xml:space="preserve"> Ordena </w:t>
      </w:r>
      <w:r w:rsidRPr="00C45251">
        <w:rPr>
          <w:rFonts w:ascii="Palatino Linotype" w:eastAsia="Palatino Linotype" w:hAnsi="Palatino Linotype" w:cs="Palatino Linotype"/>
          <w:sz w:val="22"/>
          <w:szCs w:val="22"/>
        </w:rPr>
        <w:t xml:space="preserve">al </w:t>
      </w:r>
      <w:r w:rsidRPr="00C45251">
        <w:rPr>
          <w:rFonts w:ascii="Palatino Linotype" w:eastAsia="Palatino Linotype" w:hAnsi="Palatino Linotype" w:cs="Palatino Linotype"/>
          <w:b/>
          <w:sz w:val="22"/>
          <w:szCs w:val="22"/>
        </w:rPr>
        <w:t xml:space="preserve">Sujeto Obligado </w:t>
      </w:r>
      <w:r w:rsidRPr="00C45251">
        <w:rPr>
          <w:rFonts w:ascii="Palatino Linotype" w:eastAsia="Palatino Linotype" w:hAnsi="Palatino Linotype" w:cs="Palatino Linotype"/>
          <w:sz w:val="22"/>
          <w:szCs w:val="22"/>
        </w:rPr>
        <w:t xml:space="preserve">dé trámite, vía </w:t>
      </w:r>
      <w:r w:rsidRPr="00C45251">
        <w:rPr>
          <w:rFonts w:ascii="Palatino Linotype" w:eastAsia="Palatino Linotype" w:hAnsi="Palatino Linotype" w:cs="Palatino Linotype"/>
          <w:b/>
          <w:sz w:val="22"/>
          <w:szCs w:val="22"/>
        </w:rPr>
        <w:t xml:space="preserve">Sistema de Acceso a la Información Mexiquense </w:t>
      </w:r>
      <w:r w:rsidRPr="00C45251">
        <w:rPr>
          <w:rFonts w:ascii="Palatino Linotype" w:eastAsia="Palatino Linotype" w:hAnsi="Palatino Linotype" w:cs="Palatino Linotype"/>
          <w:sz w:val="22"/>
          <w:szCs w:val="22"/>
        </w:rPr>
        <w:t xml:space="preserve">a la solicitud de acceso a la información pública </w:t>
      </w:r>
      <w:r w:rsidR="00D144C8" w:rsidRPr="00C45251">
        <w:rPr>
          <w:rFonts w:ascii="Palatino Linotype" w:eastAsia="Palatino Linotype" w:hAnsi="Palatino Linotype" w:cs="Palatino Linotype"/>
          <w:b/>
          <w:sz w:val="22"/>
          <w:szCs w:val="22"/>
        </w:rPr>
        <w:t xml:space="preserve"> </w:t>
      </w:r>
      <w:r w:rsidR="005D3CA2" w:rsidRPr="00C45251">
        <w:rPr>
          <w:rFonts w:ascii="Palatino Linotype" w:eastAsia="Palatino Linotype" w:hAnsi="Palatino Linotype" w:cs="Palatino Linotype"/>
          <w:b/>
          <w:sz w:val="22"/>
          <w:szCs w:val="22"/>
        </w:rPr>
        <w:t xml:space="preserve"> </w:t>
      </w:r>
      <w:r w:rsidR="00285B3E" w:rsidRPr="00C45251">
        <w:rPr>
          <w:rFonts w:ascii="Palatino Linotype" w:eastAsia="Palatino Linotype" w:hAnsi="Palatino Linotype" w:cs="Palatino Linotype"/>
          <w:b/>
          <w:sz w:val="22"/>
          <w:szCs w:val="22"/>
        </w:rPr>
        <w:t xml:space="preserve">00132/COCOTIT/IP/2026 </w:t>
      </w:r>
      <w:r w:rsidRPr="00C45251">
        <w:rPr>
          <w:rFonts w:ascii="Palatino Linotype" w:eastAsia="Palatino Linotype" w:hAnsi="Palatino Linotype" w:cs="Palatino Linotype"/>
          <w:sz w:val="22"/>
          <w:szCs w:val="22"/>
        </w:rPr>
        <w:t xml:space="preserve">que dio origen al recurso de revisión </w:t>
      </w:r>
      <w:r w:rsidR="00AE446C" w:rsidRPr="00C45251">
        <w:rPr>
          <w:rFonts w:ascii="Palatino Linotype" w:eastAsia="Palatino Linotype" w:hAnsi="Palatino Linotype" w:cs="Palatino Linotype"/>
          <w:b/>
          <w:sz w:val="22"/>
          <w:szCs w:val="22"/>
        </w:rPr>
        <w:t>0</w:t>
      </w:r>
      <w:r w:rsidR="00285B3E" w:rsidRPr="00C45251">
        <w:rPr>
          <w:rFonts w:ascii="Palatino Linotype" w:eastAsia="Palatino Linotype" w:hAnsi="Palatino Linotype" w:cs="Palatino Linotype"/>
          <w:b/>
          <w:sz w:val="22"/>
          <w:szCs w:val="22"/>
        </w:rPr>
        <w:t>8144</w:t>
      </w:r>
      <w:r w:rsidR="000F4794" w:rsidRPr="00C45251">
        <w:rPr>
          <w:rFonts w:ascii="Palatino Linotype" w:eastAsia="Palatino Linotype" w:hAnsi="Palatino Linotype" w:cs="Palatino Linotype"/>
          <w:b/>
          <w:sz w:val="22"/>
          <w:szCs w:val="22"/>
        </w:rPr>
        <w:t xml:space="preserve">/INFOEM/IP/RR/2026 </w:t>
      </w:r>
      <w:r w:rsidRPr="00C45251">
        <w:rPr>
          <w:rFonts w:ascii="Palatino Linotype" w:eastAsia="Palatino Linotype" w:hAnsi="Palatino Linotype" w:cs="Palatino Linotype"/>
          <w:sz w:val="22"/>
          <w:szCs w:val="22"/>
        </w:rPr>
        <w:t xml:space="preserve">en términos del </w:t>
      </w:r>
      <w:r w:rsidRPr="00C45251">
        <w:rPr>
          <w:rFonts w:ascii="Palatino Linotype" w:eastAsia="Palatino Linotype" w:hAnsi="Palatino Linotype" w:cs="Palatino Linotype"/>
          <w:b/>
          <w:sz w:val="22"/>
          <w:szCs w:val="22"/>
        </w:rPr>
        <w:t>Considerando Cuarto</w:t>
      </w:r>
      <w:r w:rsidRPr="00C45251">
        <w:rPr>
          <w:rFonts w:ascii="Palatino Linotype" w:eastAsia="Palatino Linotype" w:hAnsi="Palatino Linotype" w:cs="Palatino Linotype"/>
          <w:sz w:val="22"/>
          <w:szCs w:val="22"/>
        </w:rPr>
        <w:t xml:space="preserve"> de esta resolución y emita respuesta, debiendo </w:t>
      </w:r>
      <w:r w:rsidRPr="00C45251">
        <w:rPr>
          <w:rFonts w:ascii="Palatino Linotype" w:eastAsia="Palatino Linotype" w:hAnsi="Palatino Linotype" w:cs="Palatino Linotype"/>
          <w:sz w:val="22"/>
          <w:szCs w:val="22"/>
        </w:rPr>
        <w:lastRenderedPageBreak/>
        <w:t>observar las excepciones contenidas en la Ley de Transparencia y Acceso a la Información Pública del Estado de México y Municipios.</w:t>
      </w:r>
    </w:p>
    <w:p w14:paraId="60C72B41"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C45251"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C45251">
        <w:rPr>
          <w:rFonts w:ascii="Palatino Linotype" w:eastAsia="Palatino Linotype" w:hAnsi="Palatino Linotype" w:cs="Palatino Linotype"/>
          <w:b/>
          <w:sz w:val="22"/>
          <w:szCs w:val="22"/>
        </w:rPr>
        <w:t>Tercero.</w:t>
      </w:r>
      <w:r w:rsidRPr="00C45251">
        <w:rPr>
          <w:rFonts w:ascii="Palatino Linotype" w:eastAsia="Palatino Linotype" w:hAnsi="Palatino Linotype" w:cs="Palatino Linotype"/>
          <w:sz w:val="22"/>
          <w:szCs w:val="22"/>
        </w:rPr>
        <w:t xml:space="preserve"> </w:t>
      </w:r>
      <w:r w:rsidRPr="00C45251">
        <w:rPr>
          <w:rFonts w:ascii="Palatino Linotype" w:eastAsia="Palatino Linotype" w:hAnsi="Palatino Linotype" w:cs="Palatino Linotype"/>
          <w:b/>
          <w:sz w:val="22"/>
          <w:szCs w:val="22"/>
        </w:rPr>
        <w:t xml:space="preserve">Notifíquese vía Sistema de Acceso a la Información Mexiquense </w:t>
      </w:r>
      <w:r w:rsidRPr="00C45251">
        <w:rPr>
          <w:rFonts w:ascii="Palatino Linotype" w:eastAsia="Palatino Linotype" w:hAnsi="Palatino Linotype" w:cs="Palatino Linotype"/>
          <w:sz w:val="22"/>
          <w:szCs w:val="22"/>
        </w:rPr>
        <w:t>la presente resolución al T</w:t>
      </w:r>
      <w:r w:rsidRPr="00C45251">
        <w:rPr>
          <w:rFonts w:ascii="Palatino Linotype" w:eastAsia="Palatino Linotype" w:hAnsi="Palatino Linotype" w:cs="Palatino Linotype"/>
          <w:b/>
          <w:sz w:val="22"/>
          <w:szCs w:val="22"/>
        </w:rPr>
        <w:t xml:space="preserve">itular de la Unidad de Transparencia </w:t>
      </w:r>
      <w:r w:rsidRPr="00C45251">
        <w:rPr>
          <w:rFonts w:ascii="Palatino Linotype" w:eastAsia="Palatino Linotype" w:hAnsi="Palatino Linotype" w:cs="Palatino Linotype"/>
          <w:sz w:val="22"/>
          <w:szCs w:val="22"/>
        </w:rPr>
        <w:t xml:space="preserve">del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C45251"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Cuarto. Notifíquese</w:t>
      </w:r>
      <w:r w:rsidRPr="00C45251">
        <w:rPr>
          <w:rFonts w:ascii="Palatino Linotype" w:eastAsia="Palatino Linotype" w:hAnsi="Palatino Linotype" w:cs="Palatino Linotype"/>
          <w:sz w:val="22"/>
          <w:szCs w:val="22"/>
        </w:rPr>
        <w:t>,</w:t>
      </w:r>
      <w:r w:rsidRPr="00C45251">
        <w:rPr>
          <w:rFonts w:ascii="Palatino Linotype" w:eastAsia="Palatino Linotype" w:hAnsi="Palatino Linotype" w:cs="Palatino Linotype"/>
          <w:b/>
          <w:sz w:val="22"/>
          <w:szCs w:val="22"/>
        </w:rPr>
        <w:t xml:space="preserve"> </w:t>
      </w:r>
      <w:r w:rsidRPr="00C45251">
        <w:rPr>
          <w:rFonts w:ascii="Palatino Linotype" w:eastAsia="Palatino Linotype" w:hAnsi="Palatino Linotype" w:cs="Palatino Linotype"/>
          <w:sz w:val="22"/>
          <w:szCs w:val="22"/>
        </w:rPr>
        <w:t xml:space="preserve">vía </w:t>
      </w:r>
      <w:r w:rsidRPr="00C45251">
        <w:rPr>
          <w:rFonts w:ascii="Palatino Linotype" w:eastAsia="Palatino Linotype" w:hAnsi="Palatino Linotype" w:cs="Palatino Linotype"/>
          <w:b/>
          <w:sz w:val="22"/>
          <w:szCs w:val="22"/>
        </w:rPr>
        <w:t>Sistema de Acceso a la Información Mexiquense</w:t>
      </w:r>
      <w:r w:rsidRPr="00C45251">
        <w:rPr>
          <w:rFonts w:ascii="Palatino Linotype" w:eastAsia="Palatino Linotype" w:hAnsi="Palatino Linotype" w:cs="Palatino Linotype"/>
          <w:sz w:val="22"/>
          <w:szCs w:val="22"/>
        </w:rPr>
        <w:t xml:space="preserve">, a la parte </w:t>
      </w:r>
      <w:r w:rsidRPr="00C45251">
        <w:rPr>
          <w:rFonts w:ascii="Palatino Linotype" w:eastAsia="Palatino Linotype" w:hAnsi="Palatino Linotype" w:cs="Palatino Linotype"/>
          <w:b/>
          <w:sz w:val="22"/>
          <w:szCs w:val="22"/>
        </w:rPr>
        <w:t xml:space="preserve">Recurrente </w:t>
      </w:r>
      <w:r w:rsidRPr="00C45251">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C45251"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C45251" w:rsidRDefault="00A76F12">
      <w:pPr>
        <w:spacing w:line="360" w:lineRule="auto"/>
        <w:jc w:val="both"/>
        <w:rPr>
          <w:rFonts w:ascii="Palatino Linotype" w:eastAsia="Palatino Linotype" w:hAnsi="Palatino Linotype" w:cs="Palatino Linotype"/>
          <w:sz w:val="22"/>
          <w:szCs w:val="22"/>
        </w:rPr>
      </w:pPr>
      <w:r w:rsidRPr="00C45251">
        <w:rPr>
          <w:rFonts w:ascii="Palatino Linotype" w:eastAsia="Palatino Linotype" w:hAnsi="Palatino Linotype" w:cs="Palatino Linotype"/>
          <w:b/>
          <w:sz w:val="22"/>
          <w:szCs w:val="22"/>
        </w:rPr>
        <w:t xml:space="preserve">Quinto. Notifíquese </w:t>
      </w:r>
      <w:r w:rsidRPr="00C45251">
        <w:rPr>
          <w:rFonts w:ascii="Palatino Linotype" w:eastAsia="Palatino Linotype" w:hAnsi="Palatino Linotype" w:cs="Palatino Linotype"/>
          <w:sz w:val="22"/>
          <w:szCs w:val="22"/>
        </w:rPr>
        <w:t xml:space="preserve">a la parte </w:t>
      </w:r>
      <w:r w:rsidRPr="00C45251">
        <w:rPr>
          <w:rFonts w:ascii="Palatino Linotype" w:eastAsia="Palatino Linotype" w:hAnsi="Palatino Linotype" w:cs="Palatino Linotype"/>
          <w:b/>
          <w:sz w:val="22"/>
          <w:szCs w:val="22"/>
        </w:rPr>
        <w:t xml:space="preserve">Recurrente </w:t>
      </w:r>
      <w:r w:rsidRPr="00C45251">
        <w:rPr>
          <w:rFonts w:ascii="Palatino Linotype" w:eastAsia="Palatino Linotype" w:hAnsi="Palatino Linotype" w:cs="Palatino Linotype"/>
          <w:sz w:val="22"/>
          <w:szCs w:val="22"/>
        </w:rPr>
        <w:t xml:space="preserve">que la respuesta que dé el </w:t>
      </w:r>
      <w:r w:rsidRPr="00C45251">
        <w:rPr>
          <w:rFonts w:ascii="Palatino Linotype" w:eastAsia="Palatino Linotype" w:hAnsi="Palatino Linotype" w:cs="Palatino Linotype"/>
          <w:b/>
          <w:sz w:val="22"/>
          <w:szCs w:val="22"/>
        </w:rPr>
        <w:t>Sujeto Obligado</w:t>
      </w:r>
      <w:r w:rsidRPr="00C45251">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C45251"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C45251" w:rsidRDefault="00A76F12">
      <w:pPr>
        <w:spacing w:line="360" w:lineRule="auto"/>
        <w:jc w:val="both"/>
        <w:rPr>
          <w:rFonts w:ascii="Palatino Linotype" w:eastAsia="Palatino Linotype" w:hAnsi="Palatino Linotype" w:cs="Palatino Linotype"/>
          <w:b/>
          <w:sz w:val="22"/>
          <w:szCs w:val="22"/>
        </w:rPr>
      </w:pPr>
      <w:r w:rsidRPr="00C45251">
        <w:rPr>
          <w:rFonts w:ascii="Palatino Linotype" w:eastAsia="Palatino Linotype" w:hAnsi="Palatino Linotype" w:cs="Palatino Linotype"/>
          <w:b/>
          <w:sz w:val="22"/>
          <w:szCs w:val="22"/>
        </w:rPr>
        <w:lastRenderedPageBreak/>
        <w:t xml:space="preserve">Sexto. Gírese </w:t>
      </w:r>
      <w:r w:rsidRPr="00C45251">
        <w:rPr>
          <w:rFonts w:ascii="Palatino Linotype" w:eastAsia="Palatino Linotype" w:hAnsi="Palatino Linotype" w:cs="Palatino Linotype"/>
          <w:sz w:val="22"/>
          <w:szCs w:val="22"/>
        </w:rPr>
        <w:t xml:space="preserve">oficio a la </w:t>
      </w:r>
      <w:r w:rsidRPr="00C45251">
        <w:rPr>
          <w:rFonts w:ascii="Palatino Linotype" w:eastAsia="Palatino Linotype" w:hAnsi="Palatino Linotype" w:cs="Palatino Linotype"/>
          <w:b/>
          <w:sz w:val="22"/>
          <w:szCs w:val="22"/>
        </w:rPr>
        <w:t>Secretaría Técnica del Pleno</w:t>
      </w:r>
      <w:r w:rsidRPr="00C45251">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C45251">
        <w:rPr>
          <w:rFonts w:ascii="Palatino Linotype" w:eastAsia="Palatino Linotype" w:hAnsi="Palatino Linotype" w:cs="Palatino Linotype"/>
          <w:b/>
          <w:sz w:val="22"/>
          <w:szCs w:val="22"/>
        </w:rPr>
        <w:t xml:space="preserve"> </w:t>
      </w:r>
      <w:r w:rsidRPr="00C45251">
        <w:rPr>
          <w:rFonts w:ascii="Palatino Linotype" w:eastAsia="Palatino Linotype" w:hAnsi="Palatino Linotype" w:cs="Palatino Linotype"/>
          <w:sz w:val="22"/>
          <w:szCs w:val="22"/>
        </w:rPr>
        <w:t>de la presente resolución.</w:t>
      </w:r>
      <w:r w:rsidRPr="00C45251">
        <w:rPr>
          <w:rFonts w:ascii="Palatino Linotype" w:eastAsia="Palatino Linotype" w:hAnsi="Palatino Linotype" w:cs="Palatino Linotype"/>
          <w:b/>
          <w:sz w:val="22"/>
          <w:szCs w:val="22"/>
        </w:rPr>
        <w:t xml:space="preserve"> </w:t>
      </w:r>
    </w:p>
    <w:p w14:paraId="7F049394" w14:textId="77777777" w:rsidR="00532AE4" w:rsidRPr="00C45251"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856384" w:rsidRDefault="00A76F12">
      <w:pPr>
        <w:spacing w:line="360" w:lineRule="auto"/>
        <w:ind w:right="49"/>
        <w:jc w:val="both"/>
        <w:rPr>
          <w:rFonts w:ascii="Palatino Linotype" w:eastAsia="Palatino Linotype" w:hAnsi="Palatino Linotype" w:cs="Palatino Linotype"/>
          <w:sz w:val="22"/>
          <w:szCs w:val="22"/>
        </w:rPr>
        <w:sectPr w:rsidR="00532AE4" w:rsidRPr="00856384">
          <w:headerReference w:type="default" r:id="rId9"/>
          <w:footerReference w:type="default" r:id="rId10"/>
          <w:headerReference w:type="first" r:id="rId11"/>
          <w:footerReference w:type="first" r:id="rId12"/>
          <w:pgSz w:w="12240" w:h="15840"/>
          <w:pgMar w:top="1985" w:right="1701" w:bottom="1701" w:left="1701" w:header="709" w:footer="709" w:gutter="0"/>
          <w:pgNumType w:start="1"/>
          <w:cols w:space="720"/>
          <w:titlePg/>
        </w:sectPr>
      </w:pPr>
      <w:bookmarkStart w:id="5" w:name="_heading=h.1fob9te" w:colFirst="0" w:colLast="0"/>
      <w:bookmarkEnd w:id="5"/>
      <w:r w:rsidRPr="00C45251">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C45251">
        <w:rPr>
          <w:rFonts w:ascii="Palatino Linotype" w:eastAsia="Palatino Linotype" w:hAnsi="Palatino Linotype" w:cs="Palatino Linotype"/>
          <w:sz w:val="22"/>
          <w:szCs w:val="22"/>
        </w:rPr>
        <w:t xml:space="preserve">MEJÍA AYALA </w:t>
      </w:r>
      <w:r w:rsidRPr="00C45251">
        <w:rPr>
          <w:rFonts w:ascii="Palatino Linotype" w:eastAsia="Palatino Linotype" w:hAnsi="Palatino Linotype" w:cs="Palatino Linotype"/>
          <w:sz w:val="22"/>
          <w:szCs w:val="22"/>
        </w:rPr>
        <w:t xml:space="preserve">Y GUADALUPE RAMÍREZ PEÑA; EN LA </w:t>
      </w:r>
      <w:r w:rsidR="00135C3B" w:rsidRPr="00C45251">
        <w:rPr>
          <w:rFonts w:ascii="Palatino Linotype" w:eastAsia="Palatino Linotype" w:hAnsi="Palatino Linotype" w:cs="Palatino Linotype"/>
          <w:sz w:val="22"/>
          <w:szCs w:val="22"/>
        </w:rPr>
        <w:t>TR</w:t>
      </w:r>
      <w:r w:rsidR="00C36278" w:rsidRPr="00C45251">
        <w:rPr>
          <w:rFonts w:ascii="Palatino Linotype" w:eastAsia="Palatino Linotype" w:hAnsi="Palatino Linotype" w:cs="Palatino Linotype"/>
          <w:sz w:val="22"/>
          <w:szCs w:val="22"/>
        </w:rPr>
        <w:t xml:space="preserve">IGÉSIMA </w:t>
      </w:r>
      <w:r w:rsidR="00AE3DD5" w:rsidRPr="00C45251">
        <w:rPr>
          <w:rFonts w:ascii="Palatino Linotype" w:eastAsia="Palatino Linotype" w:hAnsi="Palatino Linotype" w:cs="Palatino Linotype"/>
          <w:sz w:val="22"/>
          <w:szCs w:val="22"/>
        </w:rPr>
        <w:t>TERC</w:t>
      </w:r>
      <w:r w:rsidR="003D2CDB" w:rsidRPr="00C45251">
        <w:rPr>
          <w:rFonts w:ascii="Palatino Linotype" w:eastAsia="Palatino Linotype" w:hAnsi="Palatino Linotype" w:cs="Palatino Linotype"/>
          <w:sz w:val="22"/>
          <w:szCs w:val="22"/>
        </w:rPr>
        <w:t xml:space="preserve">ERA </w:t>
      </w:r>
      <w:r w:rsidRPr="00C45251">
        <w:rPr>
          <w:rFonts w:ascii="Palatino Linotype" w:eastAsia="Palatino Linotype" w:hAnsi="Palatino Linotype" w:cs="Palatino Linotype"/>
          <w:sz w:val="22"/>
          <w:szCs w:val="22"/>
        </w:rPr>
        <w:t xml:space="preserve">SESIÓN ORDINARIA CELEBRADA EL </w:t>
      </w:r>
      <w:r w:rsidR="00AE3DD5" w:rsidRPr="00C45251">
        <w:rPr>
          <w:rFonts w:ascii="Palatino Linotype" w:eastAsia="Palatino Linotype" w:hAnsi="Palatino Linotype" w:cs="Palatino Linotype"/>
          <w:sz w:val="22"/>
          <w:szCs w:val="22"/>
        </w:rPr>
        <w:t>DIECISIETE</w:t>
      </w:r>
      <w:r w:rsidR="003D2CDB" w:rsidRPr="00C45251">
        <w:rPr>
          <w:rFonts w:ascii="Palatino Linotype" w:eastAsia="Palatino Linotype" w:hAnsi="Palatino Linotype" w:cs="Palatino Linotype"/>
          <w:sz w:val="22"/>
          <w:szCs w:val="22"/>
        </w:rPr>
        <w:t xml:space="preserve"> DE SEPTIEMBRE</w:t>
      </w:r>
      <w:r w:rsidR="00DF5516" w:rsidRPr="00C45251">
        <w:rPr>
          <w:rFonts w:ascii="Palatino Linotype" w:eastAsia="Palatino Linotype" w:hAnsi="Palatino Linotype" w:cs="Palatino Linotype"/>
          <w:sz w:val="22"/>
          <w:szCs w:val="22"/>
        </w:rPr>
        <w:t xml:space="preserve"> DE DOS MIL VEINTISÉIS</w:t>
      </w:r>
      <w:r w:rsidRPr="00C45251">
        <w:rPr>
          <w:rFonts w:ascii="Palatino Linotype" w:eastAsia="Palatino Linotype" w:hAnsi="Palatino Linotype" w:cs="Palatino Linotype"/>
          <w:sz w:val="22"/>
          <w:szCs w:val="22"/>
        </w:rPr>
        <w:t>, ANTE EL SECRETARIO TÉCNICO DEL PLENO ALEXIS TAPIA RAMÍREZ.</w:t>
      </w:r>
      <w:r w:rsidRPr="00856384">
        <w:rPr>
          <w:rFonts w:ascii="Palatino Linotype" w:eastAsia="Palatino Linotype" w:hAnsi="Palatino Linotype" w:cs="Palatino Linotype"/>
          <w:sz w:val="22"/>
          <w:szCs w:val="22"/>
        </w:rPr>
        <w:t xml:space="preserve"> </w:t>
      </w:r>
    </w:p>
    <w:p w14:paraId="74E02134" w14:textId="77777777" w:rsidR="00532AE4" w:rsidRPr="00856384"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856384" w:rsidRDefault="00532AE4">
      <w:pPr>
        <w:rPr>
          <w:sz w:val="22"/>
          <w:szCs w:val="22"/>
        </w:rPr>
      </w:pPr>
    </w:p>
    <w:sectPr w:rsidR="00532AE4" w:rsidRPr="00856384">
      <w:headerReference w:type="first" r:id="rId13"/>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07DD" w14:textId="77777777" w:rsidR="00384590" w:rsidRDefault="00384590">
      <w:r>
        <w:separator/>
      </w:r>
    </w:p>
  </w:endnote>
  <w:endnote w:type="continuationSeparator" w:id="0">
    <w:p w14:paraId="421F9195" w14:textId="77777777" w:rsidR="00384590" w:rsidRDefault="0038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4D31009A"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45251">
      <w:rPr>
        <w:rFonts w:ascii="Arial" w:eastAsia="Arial" w:hAnsi="Arial" w:cs="Arial"/>
        <w:b/>
        <w:noProof/>
        <w:color w:val="000000"/>
        <w:sz w:val="20"/>
        <w:szCs w:val="20"/>
      </w:rPr>
      <w:t>30</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45251">
      <w:rPr>
        <w:rFonts w:ascii="Arial" w:eastAsia="Arial" w:hAnsi="Arial" w:cs="Arial"/>
        <w:b/>
        <w:noProof/>
        <w:color w:val="000000"/>
        <w:sz w:val="20"/>
        <w:szCs w:val="20"/>
      </w:rPr>
      <w:t>32</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47F93315"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C45251">
      <w:rPr>
        <w:rFonts w:ascii="Arial" w:eastAsia="Arial" w:hAnsi="Arial" w:cs="Arial"/>
        <w:b/>
        <w:noProof/>
        <w:color w:val="000000"/>
        <w:sz w:val="20"/>
        <w:szCs w:val="20"/>
      </w:rPr>
      <w:t>32</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C45251">
      <w:rPr>
        <w:rFonts w:ascii="Arial" w:eastAsia="Arial" w:hAnsi="Arial" w:cs="Arial"/>
        <w:b/>
        <w:noProof/>
        <w:color w:val="000000"/>
        <w:sz w:val="20"/>
        <w:szCs w:val="20"/>
      </w:rPr>
      <w:t>32</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910B4" w14:textId="77777777" w:rsidR="00384590" w:rsidRDefault="00384590">
      <w:r>
        <w:separator/>
      </w:r>
    </w:p>
  </w:footnote>
  <w:footnote w:type="continuationSeparator" w:id="0">
    <w:p w14:paraId="4ACF9EDE" w14:textId="77777777" w:rsidR="00384590" w:rsidRDefault="00384590">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019D31D1"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1965CD">
            <w:rPr>
              <w:rFonts w:ascii="Palatino Linotype" w:eastAsia="Palatino Linotype" w:hAnsi="Palatino Linotype" w:cs="Palatino Linotype"/>
              <w:b/>
              <w:sz w:val="21"/>
              <w:szCs w:val="21"/>
            </w:rPr>
            <w:t>8144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80955E9" w:rsidR="00532AE4" w:rsidRDefault="008E5D58" w:rsidP="00D579BF">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D579BF">
            <w:rPr>
              <w:rFonts w:ascii="Palatino Linotype" w:eastAsia="Palatino Linotype" w:hAnsi="Palatino Linotype" w:cs="Palatino Linotype"/>
              <w:b/>
              <w:sz w:val="21"/>
              <w:szCs w:val="21"/>
            </w:rPr>
            <w:t>Cocotitlán</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0B138D5A"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1965CD">
            <w:rPr>
              <w:rFonts w:ascii="Palatino Linotype" w:eastAsia="Palatino Linotype" w:hAnsi="Palatino Linotype" w:cs="Palatino Linotype"/>
              <w:b/>
              <w:sz w:val="21"/>
              <w:szCs w:val="21"/>
            </w:rPr>
            <w:t>8144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0EBD7588" w:rsidR="00532AE4" w:rsidRDefault="00EE5C54">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w:t>
          </w:r>
          <w:proofErr w:type="spellStart"/>
          <w:r>
            <w:rPr>
              <w:rFonts w:ascii="Palatino Linotype" w:eastAsia="Palatino Linotype" w:hAnsi="Palatino Linotype" w:cs="Palatino Linotype"/>
              <w:b/>
              <w:sz w:val="21"/>
              <w:szCs w:val="21"/>
            </w:rPr>
            <w:t>XXXXXX</w:t>
          </w:r>
          <w:proofErr w:type="spellEnd"/>
          <w:r>
            <w:rPr>
              <w:rFonts w:ascii="Palatino Linotype" w:eastAsia="Palatino Linotype" w:hAnsi="Palatino Linotype" w:cs="Palatino Linotype"/>
              <w:b/>
              <w:sz w:val="21"/>
              <w:szCs w:val="21"/>
            </w:rPr>
            <w:t xml:space="preserve"> XXXX</w:t>
          </w: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0894FE80" w:rsidR="00532AE4" w:rsidRDefault="00150206" w:rsidP="00D579BF">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w:t>
          </w:r>
          <w:r w:rsidR="00D579BF">
            <w:rPr>
              <w:rFonts w:ascii="Palatino Linotype" w:eastAsia="Palatino Linotype" w:hAnsi="Palatino Linotype" w:cs="Palatino Linotype"/>
              <w:b/>
              <w:sz w:val="21"/>
              <w:szCs w:val="21"/>
            </w:rPr>
            <w:t>Cocotitlán</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88091425">
    <w:abstractNumId w:val="2"/>
  </w:num>
  <w:num w:numId="2" w16cid:durableId="1236937282">
    <w:abstractNumId w:val="4"/>
  </w:num>
  <w:num w:numId="3" w16cid:durableId="551161714">
    <w:abstractNumId w:val="0"/>
  </w:num>
  <w:num w:numId="4" w16cid:durableId="1421637478">
    <w:abstractNumId w:val="1"/>
  </w:num>
  <w:num w:numId="5" w16cid:durableId="6620450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965CD"/>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B3E"/>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590"/>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272A"/>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76F5"/>
    <w:rsid w:val="00740627"/>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56384"/>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52BC"/>
    <w:rsid w:val="00982101"/>
    <w:rsid w:val="00992278"/>
    <w:rsid w:val="00994B65"/>
    <w:rsid w:val="009A5B1A"/>
    <w:rsid w:val="009B4D3E"/>
    <w:rsid w:val="009B6117"/>
    <w:rsid w:val="009C1099"/>
    <w:rsid w:val="009C1EF4"/>
    <w:rsid w:val="009C3B23"/>
    <w:rsid w:val="009C43AD"/>
    <w:rsid w:val="009C5489"/>
    <w:rsid w:val="009D197C"/>
    <w:rsid w:val="009E503C"/>
    <w:rsid w:val="00A01FAB"/>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6B80"/>
    <w:rsid w:val="00AD14F5"/>
    <w:rsid w:val="00AD43F4"/>
    <w:rsid w:val="00AD6661"/>
    <w:rsid w:val="00AE0B9D"/>
    <w:rsid w:val="00AE3DD5"/>
    <w:rsid w:val="00AE446C"/>
    <w:rsid w:val="00AF1AFF"/>
    <w:rsid w:val="00B04425"/>
    <w:rsid w:val="00B05163"/>
    <w:rsid w:val="00B10389"/>
    <w:rsid w:val="00B11D34"/>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5D04"/>
    <w:rsid w:val="00B86A3D"/>
    <w:rsid w:val="00BB1677"/>
    <w:rsid w:val="00BB1882"/>
    <w:rsid w:val="00BC6C53"/>
    <w:rsid w:val="00BD2189"/>
    <w:rsid w:val="00BD3609"/>
    <w:rsid w:val="00BD64DC"/>
    <w:rsid w:val="00BE3596"/>
    <w:rsid w:val="00BE3FD2"/>
    <w:rsid w:val="00C112BE"/>
    <w:rsid w:val="00C1235A"/>
    <w:rsid w:val="00C13FF2"/>
    <w:rsid w:val="00C24C97"/>
    <w:rsid w:val="00C304A2"/>
    <w:rsid w:val="00C36278"/>
    <w:rsid w:val="00C43FBC"/>
    <w:rsid w:val="00C45251"/>
    <w:rsid w:val="00C51B8C"/>
    <w:rsid w:val="00C52987"/>
    <w:rsid w:val="00C5586C"/>
    <w:rsid w:val="00C65BE4"/>
    <w:rsid w:val="00C6612D"/>
    <w:rsid w:val="00C70F4E"/>
    <w:rsid w:val="00C758DF"/>
    <w:rsid w:val="00C912B9"/>
    <w:rsid w:val="00C930A5"/>
    <w:rsid w:val="00CA5B0F"/>
    <w:rsid w:val="00CB4082"/>
    <w:rsid w:val="00CC1138"/>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579BF"/>
    <w:rsid w:val="00D60B66"/>
    <w:rsid w:val="00D60C04"/>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62F83"/>
    <w:rsid w:val="00E72C9D"/>
    <w:rsid w:val="00E733A4"/>
    <w:rsid w:val="00E808B6"/>
    <w:rsid w:val="00E90B5E"/>
    <w:rsid w:val="00E94299"/>
    <w:rsid w:val="00EA2965"/>
    <w:rsid w:val="00EB171E"/>
    <w:rsid w:val="00EB74FD"/>
    <w:rsid w:val="00EC52BA"/>
    <w:rsid w:val="00EC6905"/>
    <w:rsid w:val="00EE3D20"/>
    <w:rsid w:val="00EE5C54"/>
    <w:rsid w:val="00EE5E30"/>
    <w:rsid w:val="00EF743D"/>
    <w:rsid w:val="00F24317"/>
    <w:rsid w:val="00F245A6"/>
    <w:rsid w:val="00F30DB1"/>
    <w:rsid w:val="00F419F7"/>
    <w:rsid w:val="00F45234"/>
    <w:rsid w:val="00F55D42"/>
    <w:rsid w:val="00F652AE"/>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 w:id="1927835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1E0C737C-CEFC-427C-A9B3-FBE2329186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9019</Words>
  <Characters>49605</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2026-09-18T20:50:00Z</cp:lastPrinted>
  <dcterms:created xsi:type="dcterms:W3CDTF">2026-09-22T20:31:00Z</dcterms:created>
  <dcterms:modified xsi:type="dcterms:W3CDTF">2026-09-22T20:31:00Z</dcterms:modified>
</cp:coreProperties>
</file>