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A001B0" w14:textId="77777777" w:rsidR="00B13C7F" w:rsidRDefault="00B13C7F" w:rsidP="007303B8">
      <w:pPr>
        <w:widowControl w:val="0"/>
        <w:pBdr>
          <w:top w:val="nil"/>
          <w:left w:val="nil"/>
          <w:bottom w:val="nil"/>
          <w:right w:val="nil"/>
          <w:between w:val="nil"/>
        </w:pBdr>
        <w:spacing w:after="0" w:line="360" w:lineRule="auto"/>
        <w:jc w:val="left"/>
      </w:pPr>
    </w:p>
    <w:p w14:paraId="3A886C02" w14:textId="228ABE7C" w:rsidR="00B13C7F" w:rsidRDefault="0078568A" w:rsidP="007303B8">
      <w:pPr>
        <w:tabs>
          <w:tab w:val="left" w:pos="8931"/>
        </w:tabs>
        <w:spacing w:after="0" w:line="360" w:lineRule="auto"/>
        <w:rPr>
          <w:color w:val="000000"/>
        </w:rPr>
      </w:pPr>
      <w:r>
        <w:rPr>
          <w:color w:val="000000"/>
        </w:rPr>
        <w:t xml:space="preserve">Resolución del Pleno del Instituto de Transparencia, Acceso a la Información Pública y Protección de Datos Personales del Estado de México y Municipios, con domicilio en Metepec, Estado de México, de fecha </w:t>
      </w:r>
      <w:r w:rsidR="00B13FD2">
        <w:rPr>
          <w:color w:val="000000"/>
        </w:rPr>
        <w:t xml:space="preserve">ocho de </w:t>
      </w:r>
      <w:r w:rsidR="002E742A">
        <w:rPr>
          <w:color w:val="000000"/>
        </w:rPr>
        <w:t xml:space="preserve">abril </w:t>
      </w:r>
      <w:r>
        <w:rPr>
          <w:color w:val="000000"/>
        </w:rPr>
        <w:t>de dos mil veintiséis.</w:t>
      </w:r>
    </w:p>
    <w:p w14:paraId="1EA45C20" w14:textId="77777777" w:rsidR="00B13C7F" w:rsidRDefault="00B13C7F" w:rsidP="007303B8">
      <w:pPr>
        <w:spacing w:after="0" w:line="360" w:lineRule="auto"/>
        <w:rPr>
          <w:b/>
          <w:bCs/>
          <w:color w:val="000000"/>
        </w:rPr>
      </w:pPr>
    </w:p>
    <w:p w14:paraId="226EF179" w14:textId="660BA37B" w:rsidR="00B13C7F" w:rsidRDefault="0078568A" w:rsidP="007303B8">
      <w:pPr>
        <w:spacing w:after="0" w:line="360" w:lineRule="auto"/>
        <w:rPr>
          <w:color w:val="000000"/>
        </w:rPr>
      </w:pPr>
      <w:r w:rsidRPr="009D3A97">
        <w:rPr>
          <w:b/>
          <w:bCs/>
          <w:color w:val="000000"/>
        </w:rPr>
        <w:t xml:space="preserve">VISTO </w:t>
      </w:r>
      <w:r>
        <w:rPr>
          <w:color w:val="000000"/>
        </w:rPr>
        <w:t xml:space="preserve">el expediente electrónico conformado con motivo del Recurso de Revisión </w:t>
      </w:r>
      <w:r w:rsidR="009D3A97" w:rsidRPr="005F35C4">
        <w:rPr>
          <w:b/>
          <w:color w:val="000000"/>
        </w:rPr>
        <w:t>02996/INFOEM/IP/RR/2026</w:t>
      </w:r>
      <w:r>
        <w:rPr>
          <w:color w:val="000000"/>
        </w:rPr>
        <w:t xml:space="preserve">, interpuesto por </w:t>
      </w:r>
      <w:r w:rsidR="001C3C19" w:rsidRPr="001C3C19">
        <w:rPr>
          <w:highlight w:val="black"/>
        </w:rPr>
        <w:t>XXXXXXXXXXXXXXX</w:t>
      </w:r>
      <w:bookmarkStart w:id="0" w:name="_GoBack"/>
      <w:bookmarkEnd w:id="0"/>
      <w:r w:rsidR="009D3A97">
        <w:rPr>
          <w:color w:val="000000"/>
        </w:rPr>
        <w:t>, en lo sucesivo la persona</w:t>
      </w:r>
      <w:r>
        <w:rPr>
          <w:color w:val="000000"/>
        </w:rPr>
        <w:t xml:space="preserve"> Recurrente o Particular, en contra de la respuesta del Sujeto Obligado, </w:t>
      </w:r>
      <w:r w:rsidR="009D3A97" w:rsidRPr="005F35C4">
        <w:rPr>
          <w:b/>
          <w:color w:val="000000"/>
        </w:rPr>
        <w:t>Ayuntamiento de Metepec</w:t>
      </w:r>
      <w:r>
        <w:rPr>
          <w:color w:val="000000"/>
        </w:rPr>
        <w:t xml:space="preserve">, a la solicitud de acceso a la información pública </w:t>
      </w:r>
      <w:r w:rsidR="009D3A97">
        <w:rPr>
          <w:color w:val="000000"/>
        </w:rPr>
        <w:t>00004/METEPEC/IP/2026</w:t>
      </w:r>
      <w:r>
        <w:rPr>
          <w:color w:val="000000"/>
        </w:rPr>
        <w:t>, se emite la presente Resolución, con base en los Antecedentes y Considerandos que se exponen a continuación:</w:t>
      </w:r>
    </w:p>
    <w:p w14:paraId="15326B21" w14:textId="77777777" w:rsidR="00B13C7F" w:rsidRDefault="00B13C7F" w:rsidP="007303B8">
      <w:pPr>
        <w:spacing w:after="0" w:line="360" w:lineRule="auto"/>
        <w:rPr>
          <w:b/>
          <w:bCs/>
          <w:color w:val="000000"/>
        </w:rPr>
      </w:pPr>
    </w:p>
    <w:p w14:paraId="4A447EFE" w14:textId="77777777" w:rsidR="00B13C7F" w:rsidRDefault="0078568A" w:rsidP="007303B8">
      <w:pPr>
        <w:pStyle w:val="Ttulo1"/>
        <w:spacing w:before="0" w:after="0" w:line="360" w:lineRule="auto"/>
        <w:jc w:val="center"/>
        <w:rPr>
          <w:color w:val="000000"/>
          <w:sz w:val="22"/>
          <w:szCs w:val="22"/>
        </w:rPr>
      </w:pPr>
      <w:bookmarkStart w:id="1" w:name="_heading=h.w4r6v2y5h6cz" w:colFirst="0" w:colLast="0"/>
      <w:bookmarkEnd w:id="1"/>
      <w:r>
        <w:rPr>
          <w:color w:val="000000"/>
          <w:sz w:val="22"/>
          <w:szCs w:val="22"/>
        </w:rPr>
        <w:t>A N T E C E D E N T E S</w:t>
      </w:r>
    </w:p>
    <w:p w14:paraId="40C8C458" w14:textId="77777777" w:rsidR="00B13C7F" w:rsidRDefault="00B13C7F" w:rsidP="007303B8">
      <w:pPr>
        <w:spacing w:after="0" w:line="360" w:lineRule="auto"/>
        <w:jc w:val="center"/>
        <w:rPr>
          <w:b/>
          <w:bCs/>
          <w:color w:val="000000"/>
        </w:rPr>
      </w:pPr>
    </w:p>
    <w:p w14:paraId="71213749" w14:textId="77777777" w:rsidR="00B13C7F" w:rsidRDefault="0078568A" w:rsidP="007303B8">
      <w:pPr>
        <w:pStyle w:val="Ttulo2"/>
        <w:spacing w:before="0" w:after="0" w:line="360" w:lineRule="auto"/>
        <w:rPr>
          <w:color w:val="000000"/>
          <w:sz w:val="22"/>
          <w:szCs w:val="22"/>
        </w:rPr>
      </w:pPr>
      <w:bookmarkStart w:id="2" w:name="_heading=h.ue8hmzdg0dsg" w:colFirst="0" w:colLast="0"/>
      <w:bookmarkEnd w:id="2"/>
      <w:r>
        <w:rPr>
          <w:color w:val="000000"/>
          <w:sz w:val="22"/>
          <w:szCs w:val="22"/>
        </w:rPr>
        <w:t>I. Presentación de la solicitud de información</w:t>
      </w:r>
    </w:p>
    <w:p w14:paraId="2252EB20" w14:textId="77777777" w:rsidR="00B13C7F" w:rsidRDefault="00B13C7F" w:rsidP="007303B8">
      <w:pPr>
        <w:tabs>
          <w:tab w:val="left" w:pos="567"/>
        </w:tabs>
        <w:spacing w:after="0" w:line="360" w:lineRule="auto"/>
        <w:rPr>
          <w:color w:val="000000"/>
        </w:rPr>
      </w:pPr>
    </w:p>
    <w:p w14:paraId="6212EAFD" w14:textId="47AFD92E" w:rsidR="00B13C7F" w:rsidRDefault="0078568A" w:rsidP="007303B8">
      <w:pPr>
        <w:spacing w:after="0" w:line="360" w:lineRule="auto"/>
        <w:rPr>
          <w:color w:val="000000"/>
        </w:rPr>
      </w:pPr>
      <w:r>
        <w:rPr>
          <w:color w:val="000000"/>
        </w:rPr>
        <w:t xml:space="preserve">El </w:t>
      </w:r>
      <w:r w:rsidR="009D3A97">
        <w:rPr>
          <w:color w:val="000000"/>
        </w:rPr>
        <w:t>doce de enero de dos mil veintiséis</w:t>
      </w:r>
      <w:r>
        <w:rPr>
          <w:color w:val="000000"/>
        </w:rPr>
        <w:t xml:space="preserve">, el Particular presentó una solicitud de acceso a la información pública, a través del Sistema de Acceso a la Información Mexiquense (SAIMEX), ante el </w:t>
      </w:r>
      <w:r w:rsidR="009D3A97">
        <w:rPr>
          <w:color w:val="000000"/>
        </w:rPr>
        <w:t>Ayuntamiento de Metepec (ya que, si bien se registró el nueve de dicho mes y año, lo cierto es que fue inhábil, por lo que se tuvo por presentado el hábil siguiente)</w:t>
      </w:r>
      <w:r>
        <w:rPr>
          <w:color w:val="000000"/>
        </w:rPr>
        <w:t xml:space="preserve">, en los siguientes términos: </w:t>
      </w:r>
    </w:p>
    <w:p w14:paraId="0ACDC6E0" w14:textId="77777777" w:rsidR="00B13C7F" w:rsidRDefault="00B13C7F" w:rsidP="007303B8">
      <w:pPr>
        <w:spacing w:after="0" w:line="360" w:lineRule="auto"/>
        <w:rPr>
          <w:color w:val="000000"/>
        </w:rPr>
      </w:pPr>
    </w:p>
    <w:p w14:paraId="1353467C" w14:textId="77777777" w:rsidR="00B13C7F" w:rsidRDefault="0078568A" w:rsidP="007303B8">
      <w:pPr>
        <w:tabs>
          <w:tab w:val="left" w:pos="4667"/>
        </w:tabs>
        <w:spacing w:after="0" w:line="360" w:lineRule="auto"/>
        <w:ind w:left="567" w:right="567"/>
        <w:rPr>
          <w:b/>
          <w:bCs/>
          <w:i/>
          <w:iCs/>
          <w:color w:val="000000"/>
          <w:sz w:val="20"/>
          <w:szCs w:val="20"/>
        </w:rPr>
      </w:pPr>
      <w:r>
        <w:rPr>
          <w:b/>
          <w:bCs/>
          <w:i/>
          <w:iCs/>
          <w:color w:val="000000"/>
          <w:sz w:val="20"/>
          <w:szCs w:val="20"/>
        </w:rPr>
        <w:t>“DESCRIPCIÓN CLARA Y PRECISA DE LA INFORMACIÓN SOLICITADA</w:t>
      </w:r>
    </w:p>
    <w:p w14:paraId="7CC3C4FB" w14:textId="0215BE23" w:rsidR="00B13C7F" w:rsidRDefault="009D3A97" w:rsidP="007303B8">
      <w:pPr>
        <w:spacing w:after="0" w:line="360" w:lineRule="auto"/>
        <w:ind w:left="567" w:right="567"/>
        <w:rPr>
          <w:i/>
          <w:iCs/>
          <w:color w:val="000000"/>
          <w:sz w:val="20"/>
          <w:szCs w:val="20"/>
        </w:rPr>
      </w:pPr>
      <w:r w:rsidRPr="009D3A97">
        <w:rPr>
          <w:i/>
          <w:iCs/>
          <w:color w:val="000000"/>
          <w:sz w:val="20"/>
          <w:szCs w:val="20"/>
        </w:rPr>
        <w:t>solicito copia simple digitalizada a través del sistema electrónico saimex de todas las facturas con fecha del 1 de enero al 31 de diciembre de 2025 correspondientes a la partida presupuestal 3611.</w:t>
      </w:r>
      <w:r>
        <w:rPr>
          <w:i/>
          <w:iCs/>
          <w:color w:val="000000"/>
          <w:sz w:val="20"/>
          <w:szCs w:val="20"/>
        </w:rPr>
        <w:t>” (Sic)</w:t>
      </w:r>
    </w:p>
    <w:p w14:paraId="7D68CB63" w14:textId="77777777" w:rsidR="00B13C7F" w:rsidRDefault="00B13C7F" w:rsidP="007303B8">
      <w:pPr>
        <w:tabs>
          <w:tab w:val="left" w:pos="4667"/>
        </w:tabs>
        <w:spacing w:after="0" w:line="360" w:lineRule="auto"/>
        <w:ind w:left="567" w:right="567"/>
        <w:rPr>
          <w:b/>
          <w:bCs/>
          <w:i/>
          <w:iCs/>
          <w:color w:val="000000"/>
          <w:sz w:val="20"/>
          <w:szCs w:val="20"/>
        </w:rPr>
      </w:pPr>
    </w:p>
    <w:p w14:paraId="384F9F0F" w14:textId="77777777" w:rsidR="00B13C7F" w:rsidRDefault="0078568A" w:rsidP="007303B8">
      <w:pPr>
        <w:tabs>
          <w:tab w:val="left" w:pos="4667"/>
        </w:tabs>
        <w:spacing w:after="0" w:line="360" w:lineRule="auto"/>
        <w:ind w:left="567" w:right="567"/>
        <w:rPr>
          <w:b/>
          <w:bCs/>
          <w:i/>
          <w:iCs/>
          <w:color w:val="000000"/>
          <w:sz w:val="20"/>
          <w:szCs w:val="20"/>
        </w:rPr>
      </w:pPr>
      <w:r>
        <w:rPr>
          <w:b/>
          <w:bCs/>
          <w:i/>
          <w:iCs/>
          <w:color w:val="000000"/>
          <w:sz w:val="20"/>
          <w:szCs w:val="20"/>
        </w:rPr>
        <w:t>“MODALIDAD DE ENTREGA</w:t>
      </w:r>
    </w:p>
    <w:p w14:paraId="6195D34C" w14:textId="77777777" w:rsidR="00B13C7F" w:rsidRDefault="0078568A" w:rsidP="007303B8">
      <w:pPr>
        <w:spacing w:after="0" w:line="360" w:lineRule="auto"/>
        <w:ind w:left="567" w:right="567"/>
        <w:rPr>
          <w:i/>
          <w:iCs/>
          <w:color w:val="000000"/>
          <w:sz w:val="20"/>
          <w:szCs w:val="20"/>
        </w:rPr>
      </w:pPr>
      <w:r>
        <w:rPr>
          <w:i/>
          <w:iCs/>
          <w:color w:val="000000"/>
          <w:sz w:val="20"/>
          <w:szCs w:val="20"/>
        </w:rPr>
        <w:lastRenderedPageBreak/>
        <w:t>A través del SAIMEX”</w:t>
      </w:r>
    </w:p>
    <w:p w14:paraId="172B3633" w14:textId="77777777" w:rsidR="00B13FD2" w:rsidRPr="00B13FD2" w:rsidRDefault="0078568A" w:rsidP="007303B8">
      <w:pPr>
        <w:pStyle w:val="Ttulo2"/>
        <w:spacing w:before="0" w:after="0" w:line="360" w:lineRule="auto"/>
        <w:rPr>
          <w:rFonts w:cs="Tahoma"/>
          <w:i/>
          <w:sz w:val="22"/>
          <w:szCs w:val="22"/>
        </w:rPr>
      </w:pPr>
      <w:bookmarkStart w:id="3" w:name="_heading=h.4zw4jqrgu3k1" w:colFirst="0" w:colLast="0"/>
      <w:bookmarkEnd w:id="3"/>
      <w:r w:rsidRPr="00B13FD2">
        <w:rPr>
          <w:color w:val="000000"/>
          <w:sz w:val="22"/>
          <w:szCs w:val="22"/>
        </w:rPr>
        <w:t xml:space="preserve">II.  </w:t>
      </w:r>
      <w:r w:rsidR="00B13FD2" w:rsidRPr="00B13FD2">
        <w:rPr>
          <w:sz w:val="22"/>
          <w:szCs w:val="22"/>
        </w:rPr>
        <w:t>Prórroga para atender la solicitud de información</w:t>
      </w:r>
    </w:p>
    <w:p w14:paraId="540B0BCA" w14:textId="77777777" w:rsidR="00B13FD2" w:rsidRDefault="00B13FD2" w:rsidP="007303B8">
      <w:pPr>
        <w:pStyle w:val="Ttulo2"/>
        <w:spacing w:before="0" w:after="0" w:line="360" w:lineRule="auto"/>
        <w:rPr>
          <w:color w:val="000000"/>
          <w:sz w:val="22"/>
          <w:szCs w:val="22"/>
        </w:rPr>
      </w:pPr>
    </w:p>
    <w:p w14:paraId="4D9F0F7C" w14:textId="16024F5C" w:rsidR="00B13FD2" w:rsidRPr="00B13FD2" w:rsidRDefault="00B13FD2" w:rsidP="007303B8">
      <w:pPr>
        <w:tabs>
          <w:tab w:val="left" w:pos="4667"/>
        </w:tabs>
        <w:spacing w:after="0" w:line="360" w:lineRule="auto"/>
        <w:rPr>
          <w:rFonts w:eastAsia="Times New Roman" w:cs="Tahoma"/>
          <w:szCs w:val="24"/>
          <w:lang w:eastAsia="es-ES"/>
        </w:rPr>
      </w:pPr>
      <w:r w:rsidRPr="00B13FD2">
        <w:rPr>
          <w:rFonts w:eastAsia="Times New Roman" w:cs="Tahoma"/>
          <w:szCs w:val="24"/>
          <w:lang w:eastAsia="es-ES"/>
        </w:rPr>
        <w:t xml:space="preserve">Con fecha </w:t>
      </w:r>
      <w:r>
        <w:rPr>
          <w:rFonts w:eastAsia="Times New Roman" w:cs="Tahoma"/>
          <w:szCs w:val="24"/>
          <w:lang w:eastAsia="es-ES"/>
        </w:rPr>
        <w:t xml:space="preserve">tres de </w:t>
      </w:r>
      <w:r w:rsidR="00C10F8F">
        <w:rPr>
          <w:rFonts w:eastAsia="Times New Roman" w:cs="Tahoma"/>
          <w:szCs w:val="24"/>
          <w:lang w:eastAsia="es-ES"/>
        </w:rPr>
        <w:t xml:space="preserve">febrero </w:t>
      </w:r>
      <w:r>
        <w:rPr>
          <w:rFonts w:eastAsia="Times New Roman" w:cs="Tahoma"/>
          <w:szCs w:val="24"/>
          <w:lang w:eastAsia="es-ES"/>
        </w:rPr>
        <w:t>de dos mil veintiséis</w:t>
      </w:r>
      <w:r w:rsidRPr="00B13FD2">
        <w:rPr>
          <w:rFonts w:eastAsia="Times New Roman" w:cs="Tahoma"/>
          <w:szCs w:val="24"/>
          <w:lang w:eastAsia="es-ES"/>
        </w:rPr>
        <w:t xml:space="preserve">, el Sujeto Obligado, a través del SAIMEX, notificó una prórroga por el plazo de siete días hábiles para atender la solicitud de información circunstancia que fue autorizada mediante acuerdo de la </w:t>
      </w:r>
      <w:r>
        <w:rPr>
          <w:rFonts w:eastAsia="Times New Roman" w:cs="Tahoma"/>
          <w:szCs w:val="24"/>
          <w:lang w:eastAsia="es-ES"/>
        </w:rPr>
        <w:t>Vigésima Octava Sesión Extraordinaria</w:t>
      </w:r>
      <w:r w:rsidRPr="00B13FD2">
        <w:rPr>
          <w:rFonts w:eastAsia="Times New Roman" w:cs="Tahoma"/>
          <w:szCs w:val="24"/>
          <w:lang w:eastAsia="es-ES"/>
        </w:rPr>
        <w:t xml:space="preserve"> del Comité de Transparencia.</w:t>
      </w:r>
    </w:p>
    <w:p w14:paraId="1A014CCC" w14:textId="77777777" w:rsidR="00B13FD2" w:rsidRPr="00B13FD2" w:rsidRDefault="00B13FD2" w:rsidP="007303B8">
      <w:pPr>
        <w:spacing w:after="0" w:line="360" w:lineRule="auto"/>
      </w:pPr>
    </w:p>
    <w:p w14:paraId="34558219" w14:textId="0F8DB9FF" w:rsidR="00B13C7F" w:rsidRDefault="00B13FD2" w:rsidP="007303B8">
      <w:pPr>
        <w:pStyle w:val="Ttulo2"/>
        <w:spacing w:before="0" w:after="0" w:line="360" w:lineRule="auto"/>
        <w:rPr>
          <w:color w:val="000000"/>
          <w:sz w:val="22"/>
          <w:szCs w:val="22"/>
        </w:rPr>
      </w:pPr>
      <w:r>
        <w:rPr>
          <w:color w:val="000000"/>
          <w:sz w:val="22"/>
          <w:szCs w:val="22"/>
        </w:rPr>
        <w:t>III. Respuesta del Sujeto Obligado</w:t>
      </w:r>
    </w:p>
    <w:p w14:paraId="4F6CC0B6" w14:textId="77777777" w:rsidR="00B13C7F" w:rsidRDefault="00B13C7F" w:rsidP="007303B8">
      <w:pPr>
        <w:spacing w:after="0" w:line="360" w:lineRule="auto"/>
        <w:rPr>
          <w:b/>
          <w:bCs/>
          <w:color w:val="000000"/>
        </w:rPr>
      </w:pPr>
    </w:p>
    <w:p w14:paraId="2CCBCD56" w14:textId="77777777" w:rsidR="00B13FD2" w:rsidRDefault="0078568A" w:rsidP="007303B8">
      <w:pPr>
        <w:spacing w:after="0" w:line="360" w:lineRule="auto"/>
      </w:pPr>
      <w:r>
        <w:rPr>
          <w:color w:val="000000"/>
        </w:rPr>
        <w:t xml:space="preserve">El </w:t>
      </w:r>
      <w:r w:rsidR="00B13FD2">
        <w:rPr>
          <w:color w:val="000000"/>
        </w:rPr>
        <w:t>doce de febrero de dos mil veintiséis</w:t>
      </w:r>
      <w:r>
        <w:rPr>
          <w:color w:val="000000"/>
        </w:rPr>
        <w:t xml:space="preserve">, el Sujeto Obligado notificó, a través del Sistema de Acceso a la Información Mexiquense (SAIMEX), la respuesta a la solicitud de acceso a la información pública, </w:t>
      </w:r>
      <w:r w:rsidR="00B13FD2">
        <w:rPr>
          <w:color w:val="000000"/>
        </w:rPr>
        <w:t xml:space="preserve">por medio del oficio </w:t>
      </w:r>
      <w:r w:rsidR="00B13FD2">
        <w:t>TM/0218/2026, del diez de dicho mes y año, suscrito por la Titular de la Tesorería Municipal y dirigido al Director de Transparencia y Gobierno Abierto, por medio del cual señala lo siguiente:</w:t>
      </w:r>
    </w:p>
    <w:p w14:paraId="5653E929" w14:textId="77777777" w:rsidR="00B13FD2" w:rsidRDefault="00B13FD2" w:rsidP="007303B8">
      <w:pPr>
        <w:spacing w:after="0" w:line="360" w:lineRule="auto"/>
      </w:pPr>
    </w:p>
    <w:p w14:paraId="1A29F8D6" w14:textId="3102E1C3" w:rsidR="00B13C7F" w:rsidRDefault="0078568A" w:rsidP="007303B8">
      <w:pPr>
        <w:spacing w:after="0" w:line="360" w:lineRule="auto"/>
        <w:ind w:left="567" w:right="567"/>
        <w:rPr>
          <w:i/>
          <w:iCs/>
          <w:color w:val="000000"/>
          <w:sz w:val="20"/>
          <w:szCs w:val="20"/>
        </w:rPr>
      </w:pPr>
      <w:r w:rsidRPr="00B13FD2">
        <w:rPr>
          <w:i/>
          <w:iCs/>
          <w:color w:val="000000"/>
          <w:sz w:val="20"/>
          <w:szCs w:val="20"/>
        </w:rPr>
        <w:t xml:space="preserve"> </w:t>
      </w:r>
      <w:r w:rsidR="00B13FD2" w:rsidRPr="00B13FD2">
        <w:rPr>
          <w:i/>
          <w:iCs/>
          <w:color w:val="000000"/>
          <w:sz w:val="20"/>
          <w:szCs w:val="20"/>
        </w:rPr>
        <w:t>“…</w:t>
      </w:r>
    </w:p>
    <w:p w14:paraId="30F9E937" w14:textId="2424FACF" w:rsidR="00B13FD2" w:rsidRDefault="00B13FD2" w:rsidP="007303B8">
      <w:pPr>
        <w:spacing w:after="0" w:line="360" w:lineRule="auto"/>
        <w:ind w:left="567" w:right="567"/>
        <w:rPr>
          <w:i/>
          <w:iCs/>
          <w:color w:val="000000"/>
          <w:sz w:val="20"/>
          <w:szCs w:val="20"/>
        </w:rPr>
      </w:pPr>
      <w:r w:rsidRPr="00B13FD2">
        <w:rPr>
          <w:i/>
          <w:iCs/>
          <w:color w:val="000000"/>
          <w:sz w:val="20"/>
          <w:szCs w:val="20"/>
        </w:rPr>
        <w:t>Atendiendo al Principio de Máxima Publicidad que impera en materia de la Transparencia, dispuesto en el artículo 4°, de la Ley de Transparencia y Acceso a la Información Pública del Estado de México y Municipios, se hace de su conocimiento que esta Dependencia es incompetente para dar contestación a la solicitud del Peticionario, de conformidad con las atribuciones establecidas en el artículo 3.53 del Código de Reglamentación Municipal. Por lo anteriormente expuesto, no me encuentro en posibilidades de remitir la información solicitada, dado que no es competencia de esta dependencia el administrar revisar y resguardar las facturas, ello conforme a lo dispuesto por el artículo 3.62 fracción V del Código de Reglamentación Municipal, por lo que se NO administra la información que enuncia el peticionario y por consiguiente a esta área del sujeto obligado no le es posible generar acuerdo de inexistencia, de acuerdo a lo estipulado por el criterio 07/17, emitido por el Instituto Nacional de Transparencia, Acceso a la Información y Protección de Datos Personales, en fecha cinco de abril de 2017, en la segunda épocа.…”</w:t>
      </w:r>
    </w:p>
    <w:p w14:paraId="3B52204D" w14:textId="77777777" w:rsidR="004259F0" w:rsidRPr="00B13FD2" w:rsidRDefault="004259F0" w:rsidP="007303B8">
      <w:pPr>
        <w:spacing w:after="0" w:line="360" w:lineRule="auto"/>
        <w:ind w:left="567" w:right="567"/>
        <w:rPr>
          <w:i/>
          <w:iCs/>
          <w:color w:val="000000"/>
          <w:sz w:val="18"/>
          <w:szCs w:val="18"/>
        </w:rPr>
      </w:pPr>
    </w:p>
    <w:p w14:paraId="2F2998F0" w14:textId="5C577652" w:rsidR="00B13C7F" w:rsidRDefault="00B13FD2" w:rsidP="007303B8">
      <w:pPr>
        <w:pStyle w:val="Ttulo2"/>
        <w:spacing w:before="0" w:after="0" w:line="360" w:lineRule="auto"/>
        <w:rPr>
          <w:color w:val="000000"/>
          <w:sz w:val="22"/>
          <w:szCs w:val="22"/>
        </w:rPr>
      </w:pPr>
      <w:bookmarkStart w:id="4" w:name="_heading=h.oa7herptu6wq" w:colFirst="0" w:colLast="0"/>
      <w:bookmarkEnd w:id="4"/>
      <w:r>
        <w:rPr>
          <w:color w:val="000000"/>
          <w:sz w:val="22"/>
          <w:szCs w:val="22"/>
        </w:rPr>
        <w:t>IV. Interposición del Recurso de Revisión</w:t>
      </w:r>
    </w:p>
    <w:p w14:paraId="69DD06B4" w14:textId="77777777" w:rsidR="00B13C7F" w:rsidRDefault="00B13C7F" w:rsidP="007303B8">
      <w:pPr>
        <w:spacing w:after="0" w:line="360" w:lineRule="auto"/>
        <w:rPr>
          <w:b/>
          <w:bCs/>
          <w:color w:val="000000"/>
        </w:rPr>
      </w:pPr>
    </w:p>
    <w:p w14:paraId="5F570739" w14:textId="6560D823" w:rsidR="00B13C7F" w:rsidRDefault="0078568A" w:rsidP="007303B8">
      <w:pPr>
        <w:spacing w:after="0" w:line="360" w:lineRule="auto"/>
        <w:rPr>
          <w:color w:val="000000"/>
        </w:rPr>
      </w:pPr>
      <w:r>
        <w:rPr>
          <w:color w:val="000000"/>
        </w:rPr>
        <w:t xml:space="preserve">El </w:t>
      </w:r>
      <w:r w:rsidR="00B13FD2">
        <w:rPr>
          <w:color w:val="000000"/>
        </w:rPr>
        <w:t>cinco de marzo de dos mil veintiséis</w:t>
      </w:r>
      <w:r>
        <w:rPr>
          <w:color w:val="000000"/>
        </w:rPr>
        <w:t>, se recibió en este Instituto, a través del Sistema de Acceso a la Información Mexiquense (SAIMEX), el Recurso de Revisión interpuesto por la persona Recurrente, en contra de la respuesta por el Sujeto Obligado, a la solicitud de información, en los siguientes términos:</w:t>
      </w:r>
    </w:p>
    <w:p w14:paraId="28BCFBC3" w14:textId="77777777" w:rsidR="00B13C7F" w:rsidRDefault="00B13C7F" w:rsidP="007303B8">
      <w:pPr>
        <w:spacing w:after="0" w:line="360" w:lineRule="auto"/>
        <w:ind w:left="567" w:right="567"/>
        <w:rPr>
          <w:b/>
          <w:bCs/>
          <w:i/>
          <w:iCs/>
          <w:color w:val="000000"/>
          <w:sz w:val="20"/>
          <w:szCs w:val="20"/>
        </w:rPr>
      </w:pPr>
    </w:p>
    <w:p w14:paraId="75132A73" w14:textId="77777777" w:rsidR="00B13C7F" w:rsidRDefault="0078568A" w:rsidP="007303B8">
      <w:pPr>
        <w:spacing w:after="0" w:line="360" w:lineRule="auto"/>
        <w:ind w:left="567" w:right="567"/>
        <w:rPr>
          <w:b/>
          <w:bCs/>
          <w:i/>
          <w:iCs/>
          <w:color w:val="000000"/>
          <w:sz w:val="20"/>
          <w:szCs w:val="20"/>
        </w:rPr>
      </w:pPr>
      <w:r>
        <w:rPr>
          <w:b/>
          <w:bCs/>
          <w:i/>
          <w:iCs/>
          <w:color w:val="000000"/>
          <w:sz w:val="20"/>
          <w:szCs w:val="20"/>
        </w:rPr>
        <w:t>‘’ACTO IMPUGNADO</w:t>
      </w:r>
    </w:p>
    <w:p w14:paraId="56FE5A62" w14:textId="1537B367" w:rsidR="00B13C7F" w:rsidRDefault="00B13FD2" w:rsidP="007303B8">
      <w:pPr>
        <w:spacing w:after="0" w:line="360" w:lineRule="auto"/>
        <w:ind w:left="567" w:right="567"/>
        <w:rPr>
          <w:i/>
          <w:iCs/>
          <w:color w:val="000000"/>
          <w:sz w:val="20"/>
          <w:szCs w:val="20"/>
        </w:rPr>
      </w:pPr>
      <w:r w:rsidRPr="00B13FD2">
        <w:rPr>
          <w:i/>
          <w:iCs/>
          <w:color w:val="000000"/>
          <w:sz w:val="20"/>
          <w:szCs w:val="20"/>
        </w:rPr>
        <w:t>RESPUESTA A LA SOLICITUD 00004/METEPEC/IP/2026</w:t>
      </w:r>
      <w:r>
        <w:rPr>
          <w:i/>
          <w:iCs/>
          <w:color w:val="000000"/>
          <w:sz w:val="20"/>
          <w:szCs w:val="20"/>
        </w:rPr>
        <w:t>”</w:t>
      </w:r>
    </w:p>
    <w:p w14:paraId="6D02B5F1" w14:textId="77777777" w:rsidR="00B13FD2" w:rsidRDefault="00B13FD2" w:rsidP="007303B8">
      <w:pPr>
        <w:spacing w:after="0" w:line="360" w:lineRule="auto"/>
        <w:ind w:left="567" w:right="567"/>
        <w:rPr>
          <w:i/>
          <w:iCs/>
          <w:color w:val="000000"/>
          <w:sz w:val="20"/>
          <w:szCs w:val="20"/>
        </w:rPr>
      </w:pPr>
    </w:p>
    <w:p w14:paraId="76DE5537" w14:textId="77777777" w:rsidR="00B13C7F" w:rsidRDefault="0078568A" w:rsidP="007303B8">
      <w:pPr>
        <w:spacing w:after="0" w:line="360" w:lineRule="auto"/>
        <w:ind w:left="567" w:right="567"/>
        <w:rPr>
          <w:b/>
          <w:bCs/>
          <w:i/>
          <w:iCs/>
          <w:color w:val="000000"/>
          <w:sz w:val="20"/>
          <w:szCs w:val="20"/>
        </w:rPr>
      </w:pPr>
      <w:r>
        <w:rPr>
          <w:b/>
          <w:bCs/>
          <w:i/>
          <w:iCs/>
          <w:color w:val="000000"/>
          <w:sz w:val="20"/>
          <w:szCs w:val="20"/>
        </w:rPr>
        <w:t>‘’RAZONES O MOTIVOS DE LA INCONFORMIDAD</w:t>
      </w:r>
    </w:p>
    <w:p w14:paraId="4A78033C" w14:textId="22463DD7" w:rsidR="00B13C7F" w:rsidRDefault="00B13FD2" w:rsidP="007303B8">
      <w:pPr>
        <w:pBdr>
          <w:top w:val="nil"/>
          <w:left w:val="nil"/>
          <w:bottom w:val="nil"/>
          <w:right w:val="nil"/>
          <w:between w:val="nil"/>
        </w:pBdr>
        <w:spacing w:after="0" w:line="360" w:lineRule="auto"/>
        <w:ind w:left="567" w:right="567"/>
        <w:rPr>
          <w:i/>
          <w:iCs/>
          <w:color w:val="000000"/>
          <w:sz w:val="20"/>
          <w:szCs w:val="20"/>
        </w:rPr>
      </w:pPr>
      <w:r w:rsidRPr="00B13FD2">
        <w:rPr>
          <w:i/>
          <w:iCs/>
          <w:color w:val="000000"/>
          <w:sz w:val="20"/>
          <w:szCs w:val="20"/>
        </w:rPr>
        <w:t>EL SUJETO OBLIGADO EMITE UNA RESPUESTA QUE SE CONSTITUYE EN UNA NEGATIVA A ENTREGAR LA INFORMACIÓN PÚBLICA SOLICITADA. EL SERVIDOR PÚBLICO HABILITADO INFORMA WUE NO ES LA INSTANCIA ENCARGADA DE RESGUARDAR LA INFORMACION REQUERIDA, PERO NO SE REALIZA LA CONSULTA A LAS DEMÁS INSTANCIAS ENCARGADAS DE CUMPLIR ESTA FUNCION. EN ESTE SENTIDO, EL SUJETO OBLIGADO ES OMISO DE REALIZAR UNA BUSQUEDA EXHAUSTIVA, PUES SOLO SE REALIZÓ DE MANERA PARCIAL EN LA TESORERÍA, SIN CONSULTAR OTRAS ÁREAS COMO DA DIRECCION DE ADMINISTRACIÓN, ARCHIVO MUNICIPAL, AREA DE ADQUISICIONES, ENTRE OTRAS. LO CIERTO, ES QUE EL SUJETO OBLIGADO SI CUENTA CON LAS FACTURAS QUE CORRESPONDEN AL EJERCICIO DE RECURSOS PÚBLICOS DE LA PARTIDA PRESUPUESTAL 3611 CORRESPONDIENTES AL AÑO 2025, POR LO QUE OLICITO SE ORDENE LA ENTREGA DE LAS MISMAS EN VERSIÓN PÚBLICA Y ESTRCUTAMENTE A TRAVÉS DEL SISTEMA ELECTRÓNICO SAIMEX.</w:t>
      </w:r>
      <w:r>
        <w:rPr>
          <w:i/>
          <w:iCs/>
          <w:color w:val="000000"/>
          <w:sz w:val="20"/>
          <w:szCs w:val="20"/>
        </w:rPr>
        <w:t>”</w:t>
      </w:r>
    </w:p>
    <w:p w14:paraId="7920F022" w14:textId="77777777" w:rsidR="00B13C7F" w:rsidRDefault="00B13C7F" w:rsidP="007303B8">
      <w:pPr>
        <w:pBdr>
          <w:top w:val="nil"/>
          <w:left w:val="nil"/>
          <w:bottom w:val="nil"/>
          <w:right w:val="nil"/>
          <w:between w:val="nil"/>
        </w:pBdr>
        <w:spacing w:after="0" w:line="360" w:lineRule="auto"/>
        <w:ind w:left="567" w:right="567"/>
        <w:rPr>
          <w:i/>
          <w:iCs/>
          <w:color w:val="000000"/>
          <w:sz w:val="20"/>
          <w:szCs w:val="20"/>
        </w:rPr>
      </w:pPr>
    </w:p>
    <w:p w14:paraId="7FA9324C" w14:textId="77777777" w:rsidR="00B13C7F" w:rsidRDefault="0078568A" w:rsidP="007303B8">
      <w:pPr>
        <w:pStyle w:val="Ttulo2"/>
        <w:spacing w:before="0" w:after="0" w:line="360" w:lineRule="auto"/>
        <w:rPr>
          <w:color w:val="000000"/>
          <w:sz w:val="22"/>
          <w:szCs w:val="22"/>
        </w:rPr>
      </w:pPr>
      <w:bookmarkStart w:id="5" w:name="_heading=h.4cj4u177yovn" w:colFirst="0" w:colLast="0"/>
      <w:bookmarkEnd w:id="5"/>
      <w:r>
        <w:rPr>
          <w:color w:val="000000"/>
          <w:sz w:val="22"/>
          <w:szCs w:val="22"/>
        </w:rPr>
        <w:t>IV. Trámite del Recurso de Revisión ante este Instituto</w:t>
      </w:r>
    </w:p>
    <w:p w14:paraId="18FB87D2" w14:textId="77777777" w:rsidR="00B13C7F" w:rsidRDefault="00B13C7F" w:rsidP="007303B8">
      <w:pPr>
        <w:spacing w:after="0" w:line="360" w:lineRule="auto"/>
        <w:rPr>
          <w:b/>
          <w:bCs/>
          <w:color w:val="000000"/>
        </w:rPr>
      </w:pPr>
    </w:p>
    <w:p w14:paraId="049640A9" w14:textId="6AE5BA03" w:rsidR="00B13C7F" w:rsidRDefault="0078568A" w:rsidP="007303B8">
      <w:pPr>
        <w:spacing w:after="0" w:line="360" w:lineRule="auto"/>
        <w:rPr>
          <w:color w:val="000000"/>
        </w:rPr>
      </w:pPr>
      <w:r>
        <w:rPr>
          <w:b/>
          <w:bCs/>
          <w:color w:val="000000"/>
        </w:rPr>
        <w:t>a) Turno del Medio de Impugnación.</w:t>
      </w:r>
      <w:r>
        <w:rPr>
          <w:color w:val="000000"/>
        </w:rPr>
        <w:t xml:space="preserve"> El </w:t>
      </w:r>
      <w:r w:rsidR="00B13FD2">
        <w:rPr>
          <w:color w:val="000000"/>
        </w:rPr>
        <w:t>cinco de marzo de dos mil veintiséis</w:t>
      </w:r>
      <w:r>
        <w:rPr>
          <w:color w:val="000000"/>
        </w:rPr>
        <w:t xml:space="preserve">, el Sistema de Acceso a la Información Mexiquense (SAIMEX), asignó el número de expediente </w:t>
      </w:r>
      <w:r w:rsidR="009D3A97">
        <w:rPr>
          <w:b/>
          <w:bCs/>
          <w:color w:val="000000"/>
        </w:rPr>
        <w:t>02996/INFOEM/IP/RR/2026</w:t>
      </w:r>
      <w:r>
        <w:rPr>
          <w:color w:val="000000"/>
        </w:rP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133B3DCF" w14:textId="77777777" w:rsidR="00B13C7F" w:rsidRDefault="00B13C7F" w:rsidP="007303B8">
      <w:pPr>
        <w:spacing w:after="0" w:line="360" w:lineRule="auto"/>
        <w:rPr>
          <w:b/>
          <w:bCs/>
          <w:color w:val="000000"/>
        </w:rPr>
      </w:pPr>
    </w:p>
    <w:p w14:paraId="62BEDA55" w14:textId="5AE8732F" w:rsidR="00B13C7F" w:rsidRDefault="0078568A" w:rsidP="007303B8">
      <w:pPr>
        <w:spacing w:after="0" w:line="360" w:lineRule="auto"/>
        <w:rPr>
          <w:color w:val="000000"/>
        </w:rPr>
      </w:pPr>
      <w:r>
        <w:rPr>
          <w:b/>
          <w:bCs/>
          <w:color w:val="000000"/>
        </w:rPr>
        <w:t xml:space="preserve">b) Admisión del Recurso de Revisión. </w:t>
      </w:r>
      <w:r>
        <w:rPr>
          <w:color w:val="000000"/>
        </w:rPr>
        <w:t xml:space="preserve">El </w:t>
      </w:r>
      <w:r w:rsidR="00B13FD2">
        <w:rPr>
          <w:color w:val="000000"/>
        </w:rPr>
        <w:t>diez de marzo de dos mil veintiséis</w:t>
      </w:r>
      <w:r>
        <w:rPr>
          <w:color w:val="000000"/>
        </w:rPr>
        <w:t>,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4ECAC831" w14:textId="77777777" w:rsidR="00B13C7F" w:rsidRDefault="00B13C7F" w:rsidP="007303B8">
      <w:pPr>
        <w:spacing w:after="0" w:line="360" w:lineRule="auto"/>
        <w:rPr>
          <w:color w:val="000000"/>
        </w:rPr>
      </w:pPr>
    </w:p>
    <w:p w14:paraId="546EED6C" w14:textId="3C81F17A" w:rsidR="00B13C7F" w:rsidRDefault="0078568A" w:rsidP="007303B8">
      <w:pPr>
        <w:spacing w:after="0" w:line="360" w:lineRule="auto"/>
        <w:rPr>
          <w:color w:val="000000"/>
        </w:rPr>
      </w:pPr>
      <w:r>
        <w:rPr>
          <w:b/>
          <w:bCs/>
          <w:color w:val="000000"/>
        </w:rPr>
        <w:t>c) Informe Justificado</w:t>
      </w:r>
      <w:r>
        <w:rPr>
          <w:color w:val="000000"/>
        </w:rPr>
        <w:t xml:space="preserve">. El </w:t>
      </w:r>
      <w:r w:rsidR="00B13FD2">
        <w:rPr>
          <w:color w:val="000000"/>
        </w:rPr>
        <w:t>dieciocho de marzo de dos mil veintiséis</w:t>
      </w:r>
      <w:r>
        <w:rPr>
          <w:color w:val="000000"/>
        </w:rPr>
        <w:t xml:space="preserve">, a través de Sistema de Acceso a la Información Mexiquense (SAIMEX), se recibió en este instituto el Informe Justificado por parte del Sujeto Obligado, </w:t>
      </w:r>
      <w:r w:rsidR="00B13FD2">
        <w:rPr>
          <w:color w:val="000000"/>
        </w:rPr>
        <w:t xml:space="preserve">por medio del oficio </w:t>
      </w:r>
      <w:r w:rsidR="00B13FD2">
        <w:t>MET/TM/504/2026, del trece de marzo de dos mil veintiséis, suscrito por la Tesorera Municipal y dirigido al Director de Transparencia y Gobierno Abierto, por medio del cual ratifica la respuesta.</w:t>
      </w:r>
    </w:p>
    <w:p w14:paraId="2B15B20A" w14:textId="77777777" w:rsidR="00B13C7F" w:rsidRDefault="00B13C7F" w:rsidP="007303B8">
      <w:pPr>
        <w:spacing w:after="0" w:line="360" w:lineRule="auto"/>
        <w:rPr>
          <w:color w:val="000000"/>
        </w:rPr>
      </w:pPr>
    </w:p>
    <w:p w14:paraId="7A5BF78E" w14:textId="0CDB901D" w:rsidR="00B13C7F" w:rsidRDefault="0078568A" w:rsidP="007303B8">
      <w:pPr>
        <w:spacing w:after="0" w:line="360" w:lineRule="auto"/>
        <w:rPr>
          <w:color w:val="000000"/>
        </w:rPr>
      </w:pPr>
      <w:r>
        <w:rPr>
          <w:b/>
          <w:bCs/>
          <w:color w:val="000000"/>
        </w:rPr>
        <w:t>d) Vista del Informe Justificado</w:t>
      </w:r>
      <w:r>
        <w:rPr>
          <w:color w:val="000000"/>
        </w:rPr>
        <w:t xml:space="preserve">. El </w:t>
      </w:r>
      <w:r w:rsidR="00B13FD2">
        <w:rPr>
          <w:color w:val="000000"/>
        </w:rPr>
        <w:t>veinticuatro de marzo de dos mil veintiséis</w:t>
      </w:r>
      <w:r>
        <w:rPr>
          <w:color w:val="000000"/>
        </w:rPr>
        <w:t>, se dictó acuerdo por medio del cual se puso a la vista del Recurrente el Informe Justificado entregado por el Sujeto Obligado, el cual fue notificado a las partes, el mismo día, mes y año, a través del Sistema de Acceso a la Información Mexiquense (SAIMEX).</w:t>
      </w:r>
    </w:p>
    <w:p w14:paraId="3534FF31" w14:textId="77777777" w:rsidR="00B13C7F" w:rsidRDefault="00B13C7F" w:rsidP="007303B8">
      <w:pPr>
        <w:spacing w:after="0" w:line="360" w:lineRule="auto"/>
        <w:rPr>
          <w:color w:val="000000"/>
        </w:rPr>
      </w:pPr>
    </w:p>
    <w:p w14:paraId="7948B252" w14:textId="27B2DA74" w:rsidR="00B13C7F" w:rsidRDefault="0078568A" w:rsidP="007303B8">
      <w:pPr>
        <w:spacing w:after="0" w:line="360" w:lineRule="auto"/>
        <w:rPr>
          <w:color w:val="000000"/>
        </w:rPr>
      </w:pPr>
      <w:r>
        <w:rPr>
          <w:b/>
          <w:bCs/>
          <w:color w:val="000000"/>
        </w:rPr>
        <w:t>e) Cierre de instrucción.</w:t>
      </w:r>
      <w:r>
        <w:rPr>
          <w:color w:val="000000"/>
        </w:rPr>
        <w:t xml:space="preserve"> El </w:t>
      </w:r>
      <w:r w:rsidR="008717F5">
        <w:rPr>
          <w:color w:val="000000"/>
        </w:rPr>
        <w:t>siete</w:t>
      </w:r>
      <w:r w:rsidR="00B13FD2">
        <w:rPr>
          <w:color w:val="000000"/>
        </w:rPr>
        <w:t xml:space="preserve"> de abril</w:t>
      </w:r>
      <w:r>
        <w:rPr>
          <w:color w:val="000000"/>
        </w:rPr>
        <w:t xml:space="preserve">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74EDEA79" w14:textId="77777777" w:rsidR="00B13C7F" w:rsidRDefault="00B13C7F" w:rsidP="007303B8">
      <w:pPr>
        <w:spacing w:after="0" w:line="360" w:lineRule="auto"/>
        <w:rPr>
          <w:b/>
          <w:bCs/>
          <w:color w:val="000000"/>
        </w:rPr>
      </w:pPr>
    </w:p>
    <w:p w14:paraId="6649195E" w14:textId="77777777" w:rsidR="00B13C7F" w:rsidRDefault="0078568A" w:rsidP="007303B8">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14:paraId="1D5F1D44" w14:textId="77777777" w:rsidR="00B13C7F" w:rsidRDefault="00B13C7F" w:rsidP="007303B8">
      <w:pPr>
        <w:spacing w:after="0" w:line="360" w:lineRule="auto"/>
        <w:rPr>
          <w:color w:val="000000"/>
        </w:rPr>
      </w:pPr>
    </w:p>
    <w:p w14:paraId="64F285AE" w14:textId="77777777" w:rsidR="00B13C7F" w:rsidRDefault="0078568A" w:rsidP="007303B8">
      <w:pPr>
        <w:pStyle w:val="Ttulo1"/>
        <w:spacing w:before="0" w:after="0" w:line="360" w:lineRule="auto"/>
        <w:jc w:val="center"/>
        <w:rPr>
          <w:color w:val="000000"/>
          <w:sz w:val="22"/>
          <w:szCs w:val="22"/>
        </w:rPr>
      </w:pPr>
      <w:bookmarkStart w:id="6" w:name="_heading=h.z72q0ozabw3j" w:colFirst="0" w:colLast="0"/>
      <w:bookmarkEnd w:id="6"/>
      <w:r>
        <w:rPr>
          <w:color w:val="000000"/>
          <w:sz w:val="22"/>
          <w:szCs w:val="22"/>
        </w:rPr>
        <w:t>C O N S I D E R A N D O S</w:t>
      </w:r>
    </w:p>
    <w:p w14:paraId="46FF4518" w14:textId="77777777" w:rsidR="00B13C7F" w:rsidRDefault="00B13C7F" w:rsidP="007303B8">
      <w:pPr>
        <w:spacing w:after="0" w:line="360" w:lineRule="auto"/>
        <w:rPr>
          <w:b/>
          <w:bCs/>
          <w:color w:val="000000"/>
        </w:rPr>
      </w:pPr>
    </w:p>
    <w:p w14:paraId="4A0A7E3D" w14:textId="77777777" w:rsidR="00B13C7F" w:rsidRDefault="0078568A" w:rsidP="007303B8">
      <w:pPr>
        <w:pStyle w:val="Ttulo2"/>
        <w:spacing w:before="0" w:after="0" w:line="360" w:lineRule="auto"/>
        <w:rPr>
          <w:color w:val="000000"/>
          <w:sz w:val="22"/>
          <w:szCs w:val="22"/>
        </w:rPr>
      </w:pPr>
      <w:bookmarkStart w:id="7" w:name="_heading=h.fuj6wjrwzzej" w:colFirst="0" w:colLast="0"/>
      <w:bookmarkEnd w:id="7"/>
      <w:r>
        <w:rPr>
          <w:color w:val="000000"/>
          <w:sz w:val="22"/>
          <w:szCs w:val="22"/>
        </w:rPr>
        <w:t>PRIMERO. Competencia</w:t>
      </w:r>
    </w:p>
    <w:p w14:paraId="0F99BFCE" w14:textId="77777777" w:rsidR="00B13C7F" w:rsidRDefault="00B13C7F" w:rsidP="007303B8">
      <w:pPr>
        <w:spacing w:after="0" w:line="360" w:lineRule="auto"/>
        <w:rPr>
          <w:b/>
          <w:bCs/>
          <w:color w:val="000000"/>
        </w:rPr>
      </w:pPr>
    </w:p>
    <w:p w14:paraId="18600CEB" w14:textId="77777777" w:rsidR="00B13C7F" w:rsidRDefault="0078568A" w:rsidP="007303B8">
      <w:pPr>
        <w:spacing w:after="0" w:line="360" w:lineRule="auto"/>
        <w:rPr>
          <w:color w:val="000000"/>
        </w:rPr>
      </w:pPr>
      <w:bookmarkStart w:id="8" w:name="_heading=h.30j0zll" w:colFirst="0" w:colLast="0"/>
      <w:bookmarkEnd w:id="8"/>
      <w:r>
        <w:rPr>
          <w:color w:val="000000"/>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37DC46FF" w14:textId="77777777" w:rsidR="00B13C7F" w:rsidRDefault="00B13C7F" w:rsidP="007303B8">
      <w:pPr>
        <w:spacing w:after="0" w:line="360" w:lineRule="auto"/>
        <w:rPr>
          <w:color w:val="000000"/>
        </w:rPr>
      </w:pPr>
    </w:p>
    <w:p w14:paraId="189C843F" w14:textId="77777777" w:rsidR="00B13C7F" w:rsidRDefault="0078568A" w:rsidP="007303B8">
      <w:pPr>
        <w:pStyle w:val="Ttulo2"/>
        <w:spacing w:before="0" w:after="0" w:line="360" w:lineRule="auto"/>
        <w:rPr>
          <w:color w:val="000000"/>
          <w:sz w:val="22"/>
          <w:szCs w:val="22"/>
        </w:rPr>
      </w:pPr>
      <w:bookmarkStart w:id="9" w:name="_heading=h.ro4w833p9x4q" w:colFirst="0" w:colLast="0"/>
      <w:bookmarkEnd w:id="9"/>
      <w:r>
        <w:rPr>
          <w:color w:val="000000"/>
          <w:sz w:val="22"/>
          <w:szCs w:val="22"/>
        </w:rPr>
        <w:t>SEGUNDO. Causales de improcedencia y sobreseimiento</w:t>
      </w:r>
    </w:p>
    <w:p w14:paraId="478A3609" w14:textId="77777777" w:rsidR="00B13C7F" w:rsidRDefault="00B13C7F" w:rsidP="007303B8">
      <w:pPr>
        <w:spacing w:after="0" w:line="360" w:lineRule="auto"/>
        <w:rPr>
          <w:color w:val="000000"/>
        </w:rPr>
      </w:pPr>
    </w:p>
    <w:p w14:paraId="1C47C63F" w14:textId="77777777" w:rsidR="00B13C7F" w:rsidRDefault="0078568A" w:rsidP="007303B8">
      <w:pPr>
        <w:spacing w:after="0" w:line="360" w:lineRule="auto"/>
        <w:rPr>
          <w:color w:val="000000"/>
        </w:rPr>
      </w:pPr>
      <w:r>
        <w:rPr>
          <w:color w:val="000000"/>
        </w:rPr>
        <w:t xml:space="preserve">De las constancias que forma parte del Recurso de Revisión que se analiza, se advierte que previo al estudio del fondo de la </w:t>
      </w:r>
      <w:r>
        <w:rPr>
          <w:i/>
          <w:iCs/>
          <w:color w:val="000000"/>
        </w:rPr>
        <w:t>litis</w:t>
      </w:r>
      <w:r>
        <w:rPr>
          <w:color w:val="000000"/>
        </w:rPr>
        <w:t>, es necesario estudiar las causales de improcedencia y sobreseimiento que se adviertan, para determinar lo que en Derecho proceda.</w:t>
      </w:r>
    </w:p>
    <w:p w14:paraId="088D239A" w14:textId="77777777" w:rsidR="00B13C7F" w:rsidRDefault="00B13C7F" w:rsidP="007303B8">
      <w:pPr>
        <w:spacing w:after="0" w:line="360" w:lineRule="auto"/>
        <w:rPr>
          <w:color w:val="000000"/>
        </w:rPr>
      </w:pPr>
    </w:p>
    <w:p w14:paraId="299B6DB7" w14:textId="77777777" w:rsidR="00B13C7F" w:rsidRDefault="0078568A" w:rsidP="007303B8">
      <w:pPr>
        <w:spacing w:after="0" w:line="360" w:lineRule="auto"/>
        <w:rPr>
          <w:b/>
          <w:bCs/>
          <w:color w:val="000000"/>
        </w:rPr>
      </w:pPr>
      <w:r>
        <w:rPr>
          <w:b/>
          <w:bCs/>
          <w:color w:val="000000"/>
        </w:rPr>
        <w:t>Causales de improcedencia</w:t>
      </w:r>
    </w:p>
    <w:p w14:paraId="4ACCC3BF" w14:textId="77777777" w:rsidR="00B13C7F" w:rsidRDefault="00B13C7F" w:rsidP="007303B8">
      <w:pPr>
        <w:spacing w:after="0" w:line="360" w:lineRule="auto"/>
        <w:rPr>
          <w:color w:val="000000"/>
        </w:rPr>
      </w:pPr>
    </w:p>
    <w:p w14:paraId="307A55FF" w14:textId="77777777" w:rsidR="005B61FB" w:rsidRDefault="005B61FB" w:rsidP="007303B8">
      <w:pPr>
        <w:spacing w:after="0" w:line="360" w:lineRule="auto"/>
      </w:pPr>
      <w: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041E4BC" w14:textId="77777777" w:rsidR="005B61FB" w:rsidRDefault="005B61FB" w:rsidP="007303B8">
      <w:pPr>
        <w:spacing w:after="0" w:line="360" w:lineRule="auto"/>
      </w:pPr>
    </w:p>
    <w:p w14:paraId="5AF0FCFA" w14:textId="77777777" w:rsidR="005B61FB" w:rsidRDefault="005B61FB" w:rsidP="007303B8">
      <w:pPr>
        <w:spacing w:after="0" w:line="360" w:lineRule="auto"/>
      </w:pPr>
      <w:r>
        <w:t>En el presente caso, </w:t>
      </w:r>
      <w:r>
        <w:rPr>
          <w:b/>
        </w:rPr>
        <w:t>no se actualiza ninguna de las causales de improcedencia</w:t>
      </w:r>
      <w: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6A25E63F" w14:textId="77777777" w:rsidR="005B61FB" w:rsidRDefault="005B61FB" w:rsidP="007303B8">
      <w:pPr>
        <w:spacing w:after="0" w:line="360" w:lineRule="auto"/>
      </w:pPr>
    </w:p>
    <w:p w14:paraId="4AFF0083" w14:textId="074E74BD" w:rsidR="005B61FB" w:rsidRDefault="005B61FB" w:rsidP="007303B8">
      <w:pPr>
        <w:spacing w:after="0" w:line="360" w:lineRule="auto"/>
      </w:pPr>
      <w:r>
        <w:t>Por lo cual, se actualiza la causal de procedencia del Recurso de Revisión señalada en el artículo 179, fracción III, de la Ley en cita, pues la persona Recurrente se inconformó de la inexistencia manifestada.</w:t>
      </w:r>
    </w:p>
    <w:p w14:paraId="5B7B06DA" w14:textId="77777777" w:rsidR="00B13C7F" w:rsidRDefault="0078568A" w:rsidP="007303B8">
      <w:pPr>
        <w:spacing w:after="0" w:line="360" w:lineRule="auto"/>
        <w:rPr>
          <w:color w:val="000000"/>
        </w:rPr>
      </w:pPr>
      <w:r>
        <w:rPr>
          <w:b/>
          <w:bCs/>
          <w:color w:val="000000"/>
        </w:rPr>
        <w:t>Causales de sobreseimiento</w:t>
      </w:r>
    </w:p>
    <w:p w14:paraId="19C2BE5A" w14:textId="77777777" w:rsidR="00B13C7F" w:rsidRDefault="00B13C7F" w:rsidP="007303B8">
      <w:pPr>
        <w:spacing w:after="0" w:line="360" w:lineRule="auto"/>
        <w:rPr>
          <w:color w:val="000000"/>
        </w:rPr>
      </w:pPr>
    </w:p>
    <w:p w14:paraId="5F0D3E69" w14:textId="77777777" w:rsidR="00B13C7F" w:rsidRDefault="0078568A" w:rsidP="007303B8">
      <w:pPr>
        <w:spacing w:after="0" w:line="360" w:lineRule="auto"/>
        <w:rPr>
          <w:color w:val="000000"/>
        </w:rPr>
      </w:pPr>
      <w:r>
        <w:rPr>
          <w:color w:val="000000"/>
        </w:rPr>
        <w:t>Por ser de previo y especial pronunciamiento, este Instituto analiza si se actualiza alguna causal de sobreseimiento.</w:t>
      </w:r>
    </w:p>
    <w:p w14:paraId="1A20396F" w14:textId="77777777" w:rsidR="00B13C7F" w:rsidRDefault="00B13C7F" w:rsidP="007303B8">
      <w:pPr>
        <w:spacing w:after="0" w:line="360" w:lineRule="auto"/>
        <w:rPr>
          <w:color w:val="000000"/>
        </w:rPr>
      </w:pPr>
    </w:p>
    <w:p w14:paraId="61481164" w14:textId="77777777" w:rsidR="00B13C7F" w:rsidRDefault="0078568A" w:rsidP="007303B8">
      <w:pPr>
        <w:spacing w:after="0" w:line="360" w:lineRule="auto"/>
        <w:rPr>
          <w:color w:val="000000"/>
        </w:rPr>
      </w:pPr>
      <w:r>
        <w:rPr>
          <w:color w:val="000000"/>
        </w:rPr>
        <w:t>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24D020C4" w14:textId="77777777" w:rsidR="00B13C7F" w:rsidRDefault="00B13C7F" w:rsidP="007303B8">
      <w:pPr>
        <w:spacing w:after="0" w:line="360" w:lineRule="auto"/>
        <w:rPr>
          <w:color w:val="000000"/>
        </w:rPr>
      </w:pPr>
    </w:p>
    <w:p w14:paraId="5F85C735" w14:textId="77777777" w:rsidR="00B13C7F" w:rsidRDefault="0078568A" w:rsidP="007303B8">
      <w:pPr>
        <w:spacing w:after="0" w:line="360" w:lineRule="auto"/>
        <w:rPr>
          <w:color w:val="000000"/>
        </w:rPr>
      </w:pPr>
      <w:r>
        <w:rPr>
          <w:color w:val="000000"/>
        </w:rPr>
        <w:t xml:space="preserve">Por tales motivos, se considera procedente entrar al fondo del presente asunto. </w:t>
      </w:r>
    </w:p>
    <w:p w14:paraId="2A382B73" w14:textId="77777777" w:rsidR="00B13C7F" w:rsidRDefault="00B13C7F" w:rsidP="007303B8">
      <w:pPr>
        <w:spacing w:after="0" w:line="360" w:lineRule="auto"/>
        <w:rPr>
          <w:b/>
          <w:bCs/>
          <w:color w:val="000000"/>
        </w:rPr>
      </w:pPr>
    </w:p>
    <w:p w14:paraId="47E7A388" w14:textId="77777777" w:rsidR="00B13C7F" w:rsidRDefault="0078568A" w:rsidP="007303B8">
      <w:pPr>
        <w:pStyle w:val="Ttulo2"/>
        <w:spacing w:before="0" w:after="0" w:line="360" w:lineRule="auto"/>
        <w:rPr>
          <w:color w:val="000000"/>
          <w:sz w:val="22"/>
          <w:szCs w:val="22"/>
        </w:rPr>
      </w:pPr>
      <w:bookmarkStart w:id="10" w:name="_heading=h.sx14e6oayn7h" w:colFirst="0" w:colLast="0"/>
      <w:bookmarkEnd w:id="10"/>
      <w:r>
        <w:rPr>
          <w:color w:val="000000"/>
          <w:sz w:val="22"/>
          <w:szCs w:val="22"/>
        </w:rPr>
        <w:t>TERCERO. Determinación de la Controversia</w:t>
      </w:r>
    </w:p>
    <w:p w14:paraId="1C79808F" w14:textId="77777777" w:rsidR="00B13C7F" w:rsidRDefault="00B13C7F" w:rsidP="007303B8">
      <w:pPr>
        <w:spacing w:after="0" w:line="360" w:lineRule="auto"/>
        <w:rPr>
          <w:b/>
          <w:bCs/>
          <w:color w:val="000000"/>
        </w:rPr>
      </w:pPr>
    </w:p>
    <w:p w14:paraId="7C45B3DB" w14:textId="2BCAA4A1" w:rsidR="00B13C7F" w:rsidRDefault="0078568A" w:rsidP="007303B8">
      <w:pPr>
        <w:spacing w:after="0" w:line="360" w:lineRule="auto"/>
        <w:rPr>
          <w:color w:val="000000"/>
        </w:rPr>
      </w:pPr>
      <w:r>
        <w:rPr>
          <w:color w:val="000000"/>
        </w:rPr>
        <w:t xml:space="preserve">Con el objetivo de ilustrar la controversia planteada, resulta conveniente precisar, que una vez realizado el estudio de las constancias que integran el expediente en el que se actúa, se desprende que el Particular requirió facturas de </w:t>
      </w:r>
      <w:r w:rsidR="005B61FB">
        <w:rPr>
          <w:color w:val="000000"/>
        </w:rPr>
        <w:t>pago recibidas del primero de enero al treinta y uno de diciembre de dos mil veinticinco, relacionadas con la</w:t>
      </w:r>
      <w:r>
        <w:rPr>
          <w:color w:val="000000"/>
        </w:rPr>
        <w:t xml:space="preserve"> partida presupuestal </w:t>
      </w:r>
      <w:r w:rsidR="005B61FB">
        <w:rPr>
          <w:color w:val="000000"/>
        </w:rPr>
        <w:t>3611</w:t>
      </w:r>
      <w:r>
        <w:rPr>
          <w:color w:val="000000"/>
        </w:rPr>
        <w:t xml:space="preserve">. </w:t>
      </w:r>
    </w:p>
    <w:p w14:paraId="1911C475" w14:textId="77777777" w:rsidR="00B13C7F" w:rsidRDefault="00B13C7F" w:rsidP="007303B8">
      <w:pPr>
        <w:spacing w:after="0" w:line="360" w:lineRule="auto"/>
        <w:rPr>
          <w:color w:val="000000"/>
        </w:rPr>
      </w:pPr>
    </w:p>
    <w:p w14:paraId="13CEE876" w14:textId="776AFD98" w:rsidR="00B13C7F" w:rsidRDefault="0078568A" w:rsidP="007303B8">
      <w:pPr>
        <w:spacing w:after="0" w:line="360" w:lineRule="auto"/>
        <w:rPr>
          <w:color w:val="000000"/>
        </w:rPr>
      </w:pPr>
      <w:r>
        <w:rPr>
          <w:color w:val="000000"/>
        </w:rPr>
        <w:t xml:space="preserve">En respuesta, el Sujeto Obligado, a través de la Tesorería Municipal señaló que </w:t>
      </w:r>
      <w:r w:rsidR="005B61FB">
        <w:rPr>
          <w:color w:val="000000"/>
        </w:rPr>
        <w:t>la información no obraba en sus archivos, al no tener funciones para conocerla</w:t>
      </w:r>
      <w:r>
        <w:rPr>
          <w:color w:val="000000"/>
        </w:rPr>
        <w:t xml:space="preserve">; ante dicha circunstancia, el Particular se inconformó </w:t>
      </w:r>
      <w:r w:rsidR="005B61FB">
        <w:rPr>
          <w:color w:val="000000"/>
        </w:rPr>
        <w:t>de la inexistencia de la información, al señalar que no se realizó una búsqueda en todas las unidades administrativas competentes</w:t>
      </w:r>
      <w:r>
        <w:rPr>
          <w:color w:val="000000"/>
        </w:rPr>
        <w:t xml:space="preserve">, causal prevista en la fracción </w:t>
      </w:r>
      <w:r w:rsidR="005B61FB">
        <w:rPr>
          <w:color w:val="000000"/>
        </w:rPr>
        <w:t>II</w:t>
      </w:r>
      <w:r>
        <w:rPr>
          <w:color w:val="000000"/>
        </w:rPr>
        <w:t>I, del artículo 179 de la Ley de Transparencia y Acceso a la Información Pública del Estado de México y Municipios. Así, las cosas, una vez admitido y notificado el Recurso de Revisión</w:t>
      </w:r>
      <w:r w:rsidR="005B61FB">
        <w:rPr>
          <w:color w:val="000000"/>
        </w:rPr>
        <w:t xml:space="preserve"> a las partes, el Sujeto Obligado ratificó su respuesta.</w:t>
      </w:r>
    </w:p>
    <w:p w14:paraId="03B8BDFA" w14:textId="77777777" w:rsidR="00B13C7F" w:rsidRDefault="00B13C7F" w:rsidP="007303B8">
      <w:pPr>
        <w:spacing w:after="0" w:line="360" w:lineRule="auto"/>
        <w:rPr>
          <w:b/>
          <w:bCs/>
          <w:color w:val="000000"/>
          <w:u w:val="single"/>
        </w:rPr>
      </w:pPr>
    </w:p>
    <w:p w14:paraId="615CE1C1" w14:textId="3CA9279A" w:rsidR="00B13C7F" w:rsidRDefault="0078568A" w:rsidP="007303B8">
      <w:pPr>
        <w:tabs>
          <w:tab w:val="left" w:pos="4962"/>
        </w:tabs>
        <w:spacing w:after="0" w:line="360" w:lineRule="auto"/>
        <w:rPr>
          <w:color w:val="000000"/>
        </w:rPr>
      </w:pPr>
      <w:r>
        <w:rPr>
          <w:color w:val="000000"/>
        </w:rPr>
        <w:t>Lo anterior, se desprende de las documentales que obran en el expediente de referencia, materia de la presente resolución, consistente en: la solicitud de acceso a la información</w:t>
      </w:r>
      <w:r w:rsidR="005B61FB">
        <w:rPr>
          <w:color w:val="000000"/>
        </w:rPr>
        <w:t>; la respuesta entregada;</w:t>
      </w:r>
      <w:r>
        <w:rPr>
          <w:color w:val="000000"/>
        </w:rPr>
        <w:t xml:space="preserve"> el escrito recursal</w:t>
      </w:r>
      <w:r w:rsidR="005B61FB">
        <w:rPr>
          <w:color w:val="000000"/>
        </w:rPr>
        <w:t xml:space="preserve"> y el Informe Justificado presentado</w:t>
      </w:r>
      <w:r>
        <w:rPr>
          <w:color w:val="000000"/>
        </w:rPr>
        <w:t>; instrumentales que se toman en cuenta a efecto de resolver el presente medio de impugnación, conforme a lo dispuesto por el artículo 185, fracción IV, de la Ley de Transparencia y Acceso a la Información Pública del Estado de México y Municipios.</w:t>
      </w:r>
    </w:p>
    <w:p w14:paraId="434DA352" w14:textId="77777777" w:rsidR="00B13C7F" w:rsidRDefault="00B13C7F" w:rsidP="007303B8">
      <w:pPr>
        <w:spacing w:after="0" w:line="360" w:lineRule="auto"/>
        <w:rPr>
          <w:b/>
          <w:bCs/>
          <w:color w:val="000000"/>
        </w:rPr>
      </w:pPr>
    </w:p>
    <w:p w14:paraId="147F6472" w14:textId="77777777" w:rsidR="00B13C7F" w:rsidRDefault="0078568A" w:rsidP="007303B8">
      <w:pPr>
        <w:pStyle w:val="Ttulo2"/>
        <w:spacing w:before="0" w:after="0" w:line="360" w:lineRule="auto"/>
        <w:rPr>
          <w:color w:val="000000"/>
          <w:sz w:val="22"/>
          <w:szCs w:val="22"/>
        </w:rPr>
      </w:pPr>
      <w:bookmarkStart w:id="11" w:name="_heading=h.jr9t0uwvy517" w:colFirst="0" w:colLast="0"/>
      <w:bookmarkEnd w:id="11"/>
      <w:r>
        <w:rPr>
          <w:color w:val="000000"/>
          <w:sz w:val="22"/>
          <w:szCs w:val="22"/>
        </w:rPr>
        <w:t>CUARTO. Marco normativo aplicable en materia de transparencia y acceso a la información pública</w:t>
      </w:r>
    </w:p>
    <w:p w14:paraId="763D3337" w14:textId="77777777" w:rsidR="00B13C7F" w:rsidRDefault="00B13C7F" w:rsidP="007303B8">
      <w:pPr>
        <w:spacing w:after="0" w:line="360" w:lineRule="auto"/>
        <w:rPr>
          <w:color w:val="000000"/>
        </w:rPr>
      </w:pPr>
    </w:p>
    <w:p w14:paraId="24E2C1F6" w14:textId="77777777" w:rsidR="00B13C7F" w:rsidRDefault="0078568A" w:rsidP="007303B8">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A37D34F" w14:textId="77777777" w:rsidR="00B13C7F" w:rsidRDefault="00B13C7F" w:rsidP="007303B8">
      <w:pPr>
        <w:spacing w:after="0" w:line="360" w:lineRule="auto"/>
        <w:rPr>
          <w:color w:val="000000"/>
        </w:rPr>
      </w:pPr>
    </w:p>
    <w:p w14:paraId="3AB2487A" w14:textId="77777777" w:rsidR="00B13C7F" w:rsidRDefault="0078568A" w:rsidP="007303B8">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649354CC" w14:textId="77777777" w:rsidR="00B13C7F" w:rsidRDefault="00B13C7F" w:rsidP="007303B8">
      <w:pPr>
        <w:spacing w:after="0" w:line="360" w:lineRule="auto"/>
        <w:rPr>
          <w:color w:val="000000"/>
        </w:rPr>
      </w:pPr>
    </w:p>
    <w:p w14:paraId="03290635" w14:textId="77777777" w:rsidR="00B13C7F" w:rsidRDefault="0078568A" w:rsidP="007303B8">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14:paraId="3F1D3332" w14:textId="77777777" w:rsidR="00B13C7F" w:rsidRDefault="0078568A" w:rsidP="007303B8">
      <w:pPr>
        <w:spacing w:after="0" w:line="360" w:lineRule="auto"/>
        <w:rPr>
          <w:color w:val="000000"/>
        </w:rPr>
      </w:pPr>
      <w:r>
        <w:rPr>
          <w:color w:val="000000"/>
        </w:rPr>
        <w:t>El artículo 12, que, quienes generen, recopilen, administren, manejen, procesen, archiven o conserven información pública serán responsables de la misma.</w:t>
      </w:r>
    </w:p>
    <w:p w14:paraId="5E41E692" w14:textId="77777777" w:rsidR="00B13C7F" w:rsidRDefault="00B13C7F" w:rsidP="007303B8">
      <w:pPr>
        <w:spacing w:after="0" w:line="360" w:lineRule="auto"/>
        <w:rPr>
          <w:color w:val="000000"/>
        </w:rPr>
      </w:pPr>
    </w:p>
    <w:p w14:paraId="21374DFA" w14:textId="77777777" w:rsidR="00B13C7F" w:rsidRDefault="0078568A" w:rsidP="007303B8">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61B7289D" w14:textId="77777777" w:rsidR="00B13C7F" w:rsidRDefault="00B13C7F" w:rsidP="007303B8">
      <w:pPr>
        <w:widowControl w:val="0"/>
        <w:spacing w:after="0" w:line="360" w:lineRule="auto"/>
        <w:rPr>
          <w:color w:val="000000"/>
        </w:rPr>
      </w:pPr>
    </w:p>
    <w:p w14:paraId="4A9E0319" w14:textId="77777777" w:rsidR="00B13C7F" w:rsidRDefault="0078568A" w:rsidP="007303B8">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AE9BDC9" w14:textId="77777777" w:rsidR="00B13C7F" w:rsidRDefault="00B13C7F" w:rsidP="007303B8">
      <w:pPr>
        <w:spacing w:after="0" w:line="360" w:lineRule="auto"/>
        <w:rPr>
          <w:color w:val="000000"/>
        </w:rPr>
      </w:pPr>
    </w:p>
    <w:p w14:paraId="64228A7B" w14:textId="77777777" w:rsidR="00B13C7F" w:rsidRDefault="0078568A" w:rsidP="007303B8">
      <w:pPr>
        <w:pStyle w:val="Ttulo2"/>
        <w:spacing w:before="0" w:after="0" w:line="360" w:lineRule="auto"/>
        <w:rPr>
          <w:color w:val="000000"/>
          <w:sz w:val="22"/>
          <w:szCs w:val="22"/>
        </w:rPr>
      </w:pPr>
      <w:bookmarkStart w:id="12" w:name="_heading=h.ygza68ripwg3" w:colFirst="0" w:colLast="0"/>
      <w:bookmarkEnd w:id="12"/>
      <w:r>
        <w:rPr>
          <w:color w:val="000000"/>
          <w:sz w:val="22"/>
          <w:szCs w:val="22"/>
        </w:rPr>
        <w:t>QUINTO. Estudio de Fondo</w:t>
      </w:r>
    </w:p>
    <w:p w14:paraId="1C276EF2" w14:textId="77777777" w:rsidR="00B13C7F" w:rsidRDefault="00B13C7F" w:rsidP="007303B8">
      <w:pPr>
        <w:spacing w:after="0" w:line="360" w:lineRule="auto"/>
        <w:rPr>
          <w:b/>
          <w:bCs/>
          <w:color w:val="000000"/>
        </w:rPr>
      </w:pPr>
    </w:p>
    <w:p w14:paraId="2FD800B9" w14:textId="77777777" w:rsidR="00B13C7F" w:rsidRDefault="0078568A" w:rsidP="007303B8">
      <w:pPr>
        <w:spacing w:after="0" w:line="360" w:lineRule="auto"/>
        <w:rPr>
          <w:color w:val="000000"/>
        </w:rPr>
      </w:pPr>
      <w:r>
        <w:rPr>
          <w:color w:val="000000"/>
        </w:rPr>
        <w:t>Expuestas las posturas de las partes, se procede al análisis de los agravios hechos valer por la persona Recurrente, por lo que, en principio es necesario contextualizar la solicitud de información.</w:t>
      </w:r>
    </w:p>
    <w:p w14:paraId="0CA085A3" w14:textId="77777777" w:rsidR="00B13C7F" w:rsidRDefault="00B13C7F" w:rsidP="007303B8">
      <w:pPr>
        <w:spacing w:after="0" w:line="360" w:lineRule="auto"/>
        <w:rPr>
          <w:color w:val="000000"/>
        </w:rPr>
      </w:pPr>
    </w:p>
    <w:p w14:paraId="05337C2F" w14:textId="77777777" w:rsidR="00B13C7F" w:rsidRDefault="0078568A" w:rsidP="007303B8">
      <w:pPr>
        <w:spacing w:after="0" w:line="360" w:lineRule="auto"/>
        <w:rPr>
          <w:color w:val="000000"/>
        </w:rPr>
      </w:pPr>
      <w:r>
        <w:rPr>
          <w:color w:val="000000"/>
        </w:rPr>
        <w:t xml:space="preserve">Al respecto, el artículo 4°, fracción XVIII, de la Ley General de Contabilidad Gubernamental, establece que </w:t>
      </w:r>
      <w:r>
        <w:rPr>
          <w:b/>
          <w:bCs/>
          <w:color w:val="000000"/>
        </w:rPr>
        <w:t>la información financiera consiste en información presupuestaria y contable que se expresa en unidades monetarias las transacciones que realiza un ente público y los eventos económicos identificables y cuantificable</w:t>
      </w:r>
      <w:r>
        <w:rPr>
          <w:color w:val="000000"/>
        </w:rPr>
        <w:t xml:space="preserve"> la cual puede representarse por reportes, informes, estados y notas que expresan su situación financiera, los resultados de su operación y los cambios en su patrimonio.</w:t>
      </w:r>
    </w:p>
    <w:p w14:paraId="232FD2DE" w14:textId="77777777" w:rsidR="00B13C7F" w:rsidRDefault="00B13C7F" w:rsidP="007303B8">
      <w:pPr>
        <w:spacing w:after="0" w:line="360" w:lineRule="auto"/>
        <w:rPr>
          <w:color w:val="000000"/>
        </w:rPr>
      </w:pPr>
    </w:p>
    <w:p w14:paraId="7CB96689" w14:textId="77777777" w:rsidR="00B13C7F" w:rsidRDefault="0078568A" w:rsidP="007303B8">
      <w:pPr>
        <w:spacing w:after="0" w:line="360" w:lineRule="auto"/>
        <w:rPr>
          <w:color w:val="000000"/>
        </w:rPr>
      </w:pPr>
      <w:r>
        <w:rPr>
          <w:color w:val="000000"/>
        </w:rPr>
        <w:t>Además, el artículo 1º, de la Ley de Fiscalización Superior del Estado de México, el cual establece que el órgano Superior de Fiscalización del Estado de México contará con atribuciones en materia de revisión y fiscalización de los fondos y fideicomisos públicos, cuentas públicas, deuda pública, y de los actos relativos al ejercicio y aplicación de los recursos públicos de las entidades fiscalizables del estado de México.</w:t>
      </w:r>
    </w:p>
    <w:p w14:paraId="6F9F9871" w14:textId="77777777" w:rsidR="00B13C7F" w:rsidRDefault="00B13C7F" w:rsidP="007303B8">
      <w:pPr>
        <w:spacing w:after="0" w:line="360" w:lineRule="auto"/>
        <w:rPr>
          <w:color w:val="000000"/>
        </w:rPr>
      </w:pPr>
    </w:p>
    <w:p w14:paraId="58A81EDC" w14:textId="77777777" w:rsidR="00B13C7F" w:rsidRDefault="0078568A" w:rsidP="007303B8">
      <w:pPr>
        <w:spacing w:after="0" w:line="360" w:lineRule="auto"/>
        <w:rPr>
          <w:color w:val="000000"/>
        </w:rPr>
      </w:pPr>
      <w:r>
        <w:rPr>
          <w:color w:val="000000"/>
        </w:rPr>
        <w:t xml:space="preserve">Por otra parte, los artículos 1°, fracción III, y 4°de la Ley de la de Contratación Pública del Estado de México y Municipios, especifica que los Ayuntamientos, serán los encargados de realizar los actos relativos a la planeación, programación, presupuestación, ejecución y control de la adquisición (bienes muebles e inmuebles), arrendamiento (bienes muebles e inmuebles), y la contratación de servicios de cualquier naturaleza, que realicen los Ayuntamientos de los Municipios. </w:t>
      </w:r>
    </w:p>
    <w:p w14:paraId="44B4C8D8" w14:textId="77777777" w:rsidR="00B13C7F" w:rsidRDefault="00B13C7F" w:rsidP="007303B8">
      <w:pPr>
        <w:spacing w:after="0" w:line="360" w:lineRule="auto"/>
        <w:rPr>
          <w:color w:val="000000"/>
        </w:rPr>
      </w:pPr>
    </w:p>
    <w:p w14:paraId="6689E806" w14:textId="77777777" w:rsidR="00B13C7F" w:rsidRDefault="0078568A" w:rsidP="007303B8">
      <w:pPr>
        <w:spacing w:after="0" w:line="360" w:lineRule="auto"/>
        <w:rPr>
          <w:color w:val="000000"/>
        </w:rPr>
      </w:pPr>
      <w:r>
        <w:rPr>
          <w:color w:val="000000"/>
        </w:rPr>
        <w:t xml:space="preserve">Ahora bien, resulta necesario traer a colación, la Resolución Miscelánea Fiscal, establece que </w:t>
      </w:r>
      <w:r>
        <w:rPr>
          <w:b/>
          <w:bCs/>
          <w:color w:val="000000"/>
          <w:u w:val="single"/>
        </w:rPr>
        <w:t>la factura</w:t>
      </w:r>
      <w:r>
        <w:rPr>
          <w:color w:val="000000"/>
        </w:rPr>
        <w:t xml:space="preserve"> es lo mismo, que un Comprobante Fiscal Digital por Internet, por lo que, se puede considerar como el documento que comprueba la realización de una </w:t>
      </w:r>
      <w:r>
        <w:rPr>
          <w:b/>
          <w:bCs/>
          <w:color w:val="000000"/>
        </w:rPr>
        <w:t xml:space="preserve">transacción </w:t>
      </w:r>
      <w:r>
        <w:rPr>
          <w:color w:val="000000"/>
        </w:rPr>
        <w:t>comercial, entre un comprador y un vendedor, mediante el cual, el primero queda obligado a realizar un pago, mientras que el segundo, a entregar o brindar un producto o servicio.</w:t>
      </w:r>
    </w:p>
    <w:p w14:paraId="53971B0D" w14:textId="77777777" w:rsidR="00B13C7F" w:rsidRDefault="00B13C7F" w:rsidP="007303B8">
      <w:pPr>
        <w:spacing w:after="0" w:line="360" w:lineRule="auto"/>
        <w:rPr>
          <w:color w:val="000000"/>
        </w:rPr>
      </w:pPr>
    </w:p>
    <w:p w14:paraId="66F598A3" w14:textId="77777777" w:rsidR="00B13C7F" w:rsidRDefault="0078568A" w:rsidP="007303B8">
      <w:pPr>
        <w:spacing w:after="0" w:line="360" w:lineRule="auto"/>
        <w:rPr>
          <w:color w:val="000000"/>
        </w:rPr>
      </w:pPr>
      <w:r>
        <w:rPr>
          <w:color w:val="000000"/>
        </w:rPr>
        <w:t>En ese sentido se tiene que los entes fiscalizables, tienen como obligación la de integrar y proporcionar los informes trimestrales, los cuales deberán atender los criterios generales que regirán la contabilidad gubernamental y la emisión de información financiera de los entes públicos, cabe mencionar que estos deberán presentarse dentro de los veinte días hábiles posteriores al término del trimestre que corresponda.</w:t>
      </w:r>
    </w:p>
    <w:p w14:paraId="76ED9A06" w14:textId="77777777" w:rsidR="00B13C7F" w:rsidRDefault="00B13C7F" w:rsidP="007303B8">
      <w:pPr>
        <w:spacing w:after="0" w:line="360" w:lineRule="auto"/>
        <w:rPr>
          <w:color w:val="000000"/>
        </w:rPr>
      </w:pPr>
    </w:p>
    <w:p w14:paraId="143ADF34" w14:textId="77777777" w:rsidR="00B13C7F" w:rsidRDefault="0078568A" w:rsidP="007303B8">
      <w:pPr>
        <w:spacing w:after="0" w:line="360" w:lineRule="auto"/>
        <w:rPr>
          <w:color w:val="000000"/>
        </w:rPr>
      </w:pPr>
      <w:r>
        <w:rPr>
          <w:color w:val="000000"/>
        </w:rPr>
        <w:t xml:space="preserve">En ese contexto, los Sujetos Obligados deben generar pólizas contables que corresponden a un documento en el que se asientan las operaciones desarrolladas, por el municipio y toda la información necesaria para su identificación, de esta manera se trae por analogía la Guía Técnica 8 “La Contabilidad y la Cuenta Pública Municipal”; además, dichas pólizas se dividen en las siguientes: </w:t>
      </w:r>
    </w:p>
    <w:p w14:paraId="31918DA8" w14:textId="77777777" w:rsidR="00B13C7F" w:rsidRDefault="00B13C7F" w:rsidP="007303B8">
      <w:pPr>
        <w:spacing w:after="0" w:line="360" w:lineRule="auto"/>
        <w:rPr>
          <w:color w:val="000000"/>
        </w:rPr>
      </w:pPr>
    </w:p>
    <w:p w14:paraId="207393B1" w14:textId="77777777" w:rsidR="00B13C7F" w:rsidRDefault="0078568A" w:rsidP="007303B8">
      <w:pPr>
        <w:numPr>
          <w:ilvl w:val="0"/>
          <w:numId w:val="1"/>
        </w:numPr>
        <w:pBdr>
          <w:top w:val="nil"/>
          <w:left w:val="nil"/>
          <w:bottom w:val="nil"/>
          <w:right w:val="nil"/>
          <w:between w:val="nil"/>
        </w:pBdr>
        <w:spacing w:after="0" w:line="360" w:lineRule="auto"/>
        <w:rPr>
          <w:color w:val="000000"/>
        </w:rPr>
      </w:pPr>
      <w:r>
        <w:rPr>
          <w:b/>
          <w:bCs/>
          <w:color w:val="000000"/>
        </w:rPr>
        <w:t>Póliza de Egresos:</w:t>
      </w:r>
      <w:r>
        <w:rPr>
          <w:color w:val="000000"/>
        </w:rPr>
        <w:t xml:space="preserve"> Corresponde a aquella donde se anotan las operaciones que implique egresos, es decir, la salida de dinero, en efectivo o transferencia, para el municipio.</w:t>
      </w:r>
    </w:p>
    <w:p w14:paraId="0CF5B6F5" w14:textId="77777777" w:rsidR="00B13C7F" w:rsidRDefault="00B13C7F" w:rsidP="007303B8">
      <w:pPr>
        <w:pBdr>
          <w:top w:val="nil"/>
          <w:left w:val="nil"/>
          <w:bottom w:val="nil"/>
          <w:right w:val="nil"/>
          <w:between w:val="nil"/>
        </w:pBdr>
        <w:spacing w:after="0" w:line="360" w:lineRule="auto"/>
        <w:ind w:left="720"/>
        <w:rPr>
          <w:color w:val="000000"/>
        </w:rPr>
      </w:pPr>
    </w:p>
    <w:p w14:paraId="49789DAF" w14:textId="77777777" w:rsidR="00B13C7F" w:rsidRDefault="0078568A" w:rsidP="007303B8">
      <w:pPr>
        <w:numPr>
          <w:ilvl w:val="0"/>
          <w:numId w:val="1"/>
        </w:numPr>
        <w:pBdr>
          <w:top w:val="nil"/>
          <w:left w:val="nil"/>
          <w:bottom w:val="nil"/>
          <w:right w:val="nil"/>
          <w:between w:val="nil"/>
        </w:pBdr>
        <w:spacing w:after="0" w:line="360" w:lineRule="auto"/>
        <w:rPr>
          <w:color w:val="000000"/>
        </w:rPr>
      </w:pPr>
      <w:r>
        <w:rPr>
          <w:b/>
          <w:bCs/>
          <w:color w:val="000000"/>
        </w:rPr>
        <w:t>Póliza Cheque:</w:t>
      </w:r>
      <w:r>
        <w:rPr>
          <w:color w:val="000000"/>
        </w:rPr>
        <w:t xml:space="preserve"> Es la que se elabora cuando la operación implique una salida de dinero del municipio, a través de un cheque.</w:t>
      </w:r>
    </w:p>
    <w:p w14:paraId="334623C2" w14:textId="77777777" w:rsidR="00B13C7F" w:rsidRDefault="00B13C7F" w:rsidP="007303B8">
      <w:pPr>
        <w:pBdr>
          <w:top w:val="nil"/>
          <w:left w:val="nil"/>
          <w:bottom w:val="nil"/>
          <w:right w:val="nil"/>
          <w:between w:val="nil"/>
        </w:pBdr>
        <w:spacing w:after="0" w:line="360" w:lineRule="auto"/>
        <w:ind w:left="720"/>
        <w:rPr>
          <w:color w:val="000000"/>
        </w:rPr>
      </w:pPr>
    </w:p>
    <w:p w14:paraId="7E430680" w14:textId="77777777" w:rsidR="005B61FB" w:rsidRPr="005B61FB" w:rsidRDefault="005B61FB" w:rsidP="007303B8">
      <w:pPr>
        <w:spacing w:after="0" w:line="360" w:lineRule="auto"/>
        <w:rPr>
          <w:rFonts w:eastAsia="Times New Roman" w:cs="Tahoma"/>
          <w:bCs/>
          <w:iCs/>
          <w:color w:val="000000" w:themeColor="text1"/>
          <w:lang w:eastAsia="es-ES"/>
        </w:rPr>
      </w:pPr>
      <w:r w:rsidRPr="005B61FB">
        <w:rPr>
          <w:color w:val="000000" w:themeColor="text1"/>
        </w:rPr>
        <w:t>Por lo que</w:t>
      </w:r>
      <w:r w:rsidRPr="005B61FB">
        <w:rPr>
          <w:rFonts w:eastAsia="Times New Roman" w:cs="Tahoma"/>
          <w:bCs/>
          <w:iCs/>
          <w:color w:val="000000" w:themeColor="text1"/>
          <w:lang w:eastAsia="es-ES"/>
        </w:rPr>
        <w:t>, de conformidad con los Lineamientos para la integración y presentación de los Informes Trimestrales Estatales y Municipales del ejercicio fiscal dos mil veinticinco, entre los formatos que maneja en el Módulo 1, se advierte que se encuentran Póliza de Egresos y Póliza Cheque, con los documentos comprobatorios, mismos que serán entregados al Órgano Superior de Fiscalización del Estado de México. Además, se precisa que dichos documentos deberán contener las imágenes de la documentación comprobatoria y justificativa de los egresos y de las respectivas pólizas, los cuales incluyen los Comprobantes Fiscales Digitales por Internet, facturas o recibos.</w:t>
      </w:r>
    </w:p>
    <w:p w14:paraId="56E5A762" w14:textId="77777777" w:rsidR="00B13C7F" w:rsidRDefault="00B13C7F" w:rsidP="007303B8">
      <w:pPr>
        <w:spacing w:after="0" w:line="360" w:lineRule="auto"/>
        <w:rPr>
          <w:color w:val="000000"/>
        </w:rPr>
      </w:pPr>
    </w:p>
    <w:p w14:paraId="43534D8B" w14:textId="19A1E157" w:rsidR="00B13C7F" w:rsidRPr="005B61FB" w:rsidRDefault="0078568A" w:rsidP="007303B8">
      <w:pPr>
        <w:spacing w:after="0" w:line="360" w:lineRule="auto"/>
        <w:rPr>
          <w:color w:val="000000"/>
        </w:rPr>
      </w:pPr>
      <w:r>
        <w:rPr>
          <w:color w:val="000000"/>
        </w:rPr>
        <w:t xml:space="preserve">Ahora bien, respecto a la partida solicitada, el Manual para la Planeación, Programación y Presupuesto de Egresos Municipal para el Ejercicio Fiscal 2025, establece el Clasificador por Objeto del Gasto Estatal y Municipal, el cual contiene la partida </w:t>
      </w:r>
      <w:r w:rsidR="005B61FB">
        <w:rPr>
          <w:color w:val="000000"/>
        </w:rPr>
        <w:t>genérica 3610 “</w:t>
      </w:r>
      <w:r w:rsidR="005B61FB" w:rsidRPr="005B61FB">
        <w:rPr>
          <w:color w:val="000000"/>
        </w:rPr>
        <w:t>Difusión por radio, televisión y otros medios de mensajes sobre programas y actividades gubernamentales</w:t>
      </w:r>
      <w:r w:rsidR="005B61FB">
        <w:rPr>
          <w:color w:val="000000"/>
        </w:rPr>
        <w:t xml:space="preserve">”, la cual se conforma por la específica </w:t>
      </w:r>
      <w:r w:rsidR="005B61FB" w:rsidRPr="005B61FB">
        <w:rPr>
          <w:b/>
          <w:bCs/>
          <w:color w:val="000000"/>
        </w:rPr>
        <w:t>3611 “Gastos de publicidad y propaganda”</w:t>
      </w:r>
      <w:r w:rsidR="005B61FB">
        <w:rPr>
          <w:color w:val="000000"/>
        </w:rPr>
        <w:t xml:space="preserve">  que corresponde a la </w:t>
      </w:r>
      <w:r w:rsidR="005B61FB" w:rsidRPr="005B61FB">
        <w:rPr>
          <w:color w:val="000000"/>
        </w:rPr>
        <w:t>Asignación para contratar servicios de publicidad y difusión en medios masivos de comunicación</w:t>
      </w:r>
      <w:r w:rsidR="005B61FB">
        <w:rPr>
          <w:color w:val="000000"/>
        </w:rPr>
        <w:t>.</w:t>
      </w:r>
    </w:p>
    <w:p w14:paraId="6DD29965" w14:textId="77777777" w:rsidR="00B13C7F" w:rsidRDefault="00B13C7F" w:rsidP="007303B8">
      <w:pPr>
        <w:spacing w:after="0" w:line="360" w:lineRule="auto"/>
        <w:rPr>
          <w:color w:val="000000"/>
        </w:rPr>
      </w:pPr>
    </w:p>
    <w:p w14:paraId="34712AC4" w14:textId="5D806FA6" w:rsidR="00B13C7F" w:rsidRDefault="0078568A" w:rsidP="007303B8">
      <w:pPr>
        <w:spacing w:after="0" w:line="360" w:lineRule="auto"/>
        <w:rPr>
          <w:color w:val="000000"/>
        </w:rPr>
      </w:pPr>
      <w:r>
        <w:rPr>
          <w:color w:val="000000"/>
        </w:rPr>
        <w:t xml:space="preserve">De tales circunstancias, se logra vislumbrar que la pretensión de la persona Recurrente, es obtener las facturas recibidas del primero de enero al </w:t>
      </w:r>
      <w:r w:rsidR="005B61FB">
        <w:rPr>
          <w:color w:val="000000"/>
        </w:rPr>
        <w:t>treinta y uno de diciembre</w:t>
      </w:r>
      <w:r>
        <w:rPr>
          <w:color w:val="000000"/>
        </w:rPr>
        <w:t xml:space="preserve"> de dos mil veinticinco, relacionadas con recursos públicos de la partida específica </w:t>
      </w:r>
      <w:r w:rsidR="005B61FB">
        <w:rPr>
          <w:color w:val="000000"/>
        </w:rPr>
        <w:t>3611</w:t>
      </w:r>
      <w:r>
        <w:rPr>
          <w:color w:val="000000"/>
        </w:rPr>
        <w:t>.</w:t>
      </w:r>
    </w:p>
    <w:p w14:paraId="748276B2" w14:textId="77777777" w:rsidR="00B13C7F" w:rsidRDefault="00B13C7F" w:rsidP="007303B8">
      <w:pPr>
        <w:pBdr>
          <w:top w:val="nil"/>
          <w:left w:val="nil"/>
          <w:bottom w:val="nil"/>
          <w:right w:val="nil"/>
          <w:between w:val="nil"/>
        </w:pBdr>
        <w:spacing w:after="0" w:line="360" w:lineRule="auto"/>
        <w:ind w:left="720"/>
        <w:rPr>
          <w:color w:val="000000"/>
        </w:rPr>
      </w:pPr>
    </w:p>
    <w:p w14:paraId="066D0085" w14:textId="2C33B624" w:rsidR="008C5591" w:rsidRPr="008C5591" w:rsidRDefault="008C5591" w:rsidP="007303B8">
      <w:pPr>
        <w:spacing w:after="0" w:line="360" w:lineRule="auto"/>
        <w:rPr>
          <w:color w:val="000000"/>
        </w:rPr>
      </w:pPr>
      <w:r w:rsidRPr="008C5591">
        <w:rPr>
          <w:bCs/>
          <w:iCs/>
          <w:color w:val="000000"/>
        </w:rPr>
        <w:t xml:space="preserve">Ahora bien, </w:t>
      </w:r>
      <w:r>
        <w:rPr>
          <w:bCs/>
          <w:iCs/>
          <w:color w:val="000000"/>
        </w:rPr>
        <w:t xml:space="preserve">tanto </w:t>
      </w:r>
      <w:r w:rsidRPr="008C5591">
        <w:rPr>
          <w:bCs/>
          <w:iCs/>
          <w:color w:val="000000"/>
        </w:rPr>
        <w:t>en respuesta</w:t>
      </w:r>
      <w:r>
        <w:rPr>
          <w:bCs/>
          <w:iCs/>
          <w:color w:val="000000"/>
        </w:rPr>
        <w:t>, como Informe Justificado,</w:t>
      </w:r>
      <w:r w:rsidRPr="008C5591">
        <w:rPr>
          <w:bCs/>
          <w:iCs/>
          <w:color w:val="000000"/>
        </w:rPr>
        <w:t xml:space="preserve"> la </w:t>
      </w:r>
      <w:r>
        <w:rPr>
          <w:bCs/>
          <w:iCs/>
          <w:color w:val="000000"/>
        </w:rPr>
        <w:t>Tesorería Municipal señaló que no contaba con la información solicitada, al no tener atribuciones para administrarla o poseerla; es decir</w:t>
      </w:r>
      <w:r w:rsidRPr="008C5591">
        <w:rPr>
          <w:color w:val="000000"/>
        </w:rPr>
        <w:t>, aludió a que la información era inexistente</w:t>
      </w:r>
      <w:r>
        <w:rPr>
          <w:color w:val="000000"/>
        </w:rPr>
        <w:t>. S</w:t>
      </w:r>
      <w:r w:rsidRPr="008C5591">
        <w:rPr>
          <w:color w:val="000000"/>
        </w:rPr>
        <w:t xml:space="preserve">obre el tema, el Criterio SO/014/2017, emitido por el Instituto Nacional de Transparencia, Acceso a la Información Pública y Protección de Datos Personales en el Estado de México y Municipios, el cual precisa que la inexistencia de la información, es una cuestión de hecho que se le atribuye a la misma, cuando ésta no se encuentra en los archivos del sujeto obligado. </w:t>
      </w:r>
    </w:p>
    <w:p w14:paraId="1EB99608" w14:textId="77777777" w:rsidR="008C5591" w:rsidRPr="008C5591" w:rsidRDefault="008C5591" w:rsidP="007303B8">
      <w:pPr>
        <w:spacing w:after="0" w:line="360" w:lineRule="auto"/>
        <w:rPr>
          <w:color w:val="000000"/>
        </w:rPr>
      </w:pPr>
    </w:p>
    <w:p w14:paraId="50BD6EB9" w14:textId="77777777" w:rsidR="008C5591" w:rsidRPr="008C5591" w:rsidRDefault="008C5591" w:rsidP="007303B8">
      <w:pPr>
        <w:spacing w:after="0" w:line="360" w:lineRule="auto"/>
        <w:rPr>
          <w:color w:val="000000"/>
        </w:rPr>
      </w:pPr>
      <w:r w:rsidRPr="008C5591">
        <w:rPr>
          <w:color w:val="000000"/>
        </w:rPr>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0E4D836E" w14:textId="77777777" w:rsidR="008C5591" w:rsidRPr="008C5591" w:rsidRDefault="008C5591" w:rsidP="007303B8">
      <w:pPr>
        <w:spacing w:after="0" w:line="360" w:lineRule="auto"/>
        <w:rPr>
          <w:b/>
          <w:bCs/>
          <w:color w:val="000000"/>
        </w:rPr>
      </w:pPr>
    </w:p>
    <w:p w14:paraId="4EB7CCBB" w14:textId="77777777" w:rsidR="008C5591" w:rsidRPr="008C5591" w:rsidRDefault="008C5591" w:rsidP="007303B8">
      <w:pPr>
        <w:spacing w:after="0" w:line="360" w:lineRule="auto"/>
        <w:rPr>
          <w:color w:val="000000"/>
        </w:rPr>
      </w:pPr>
      <w:r w:rsidRPr="008C5591">
        <w:rPr>
          <w:color w:val="000000"/>
        </w:rPr>
        <w:t xml:space="preserve">Conforme a lo anterior, la </w:t>
      </w:r>
      <w:r w:rsidRPr="008C5591">
        <w:rPr>
          <w:b/>
          <w:bCs/>
          <w:color w:val="000000"/>
        </w:rPr>
        <w:t>inexistencia</w:t>
      </w:r>
      <w:r w:rsidRPr="008C5591">
        <w:rPr>
          <w:color w:val="000000"/>
        </w:rPr>
        <w:t xml:space="preserve"> presupone la competencia del sujeto obligado para conocer de la información, pero por alguna circunstancia, la documentación solicitada no obra en sus archivos; sin embargo, para poder acreditar dicha circunstancia, se considera que los Sujetos Obligados, </w:t>
      </w:r>
      <w:r w:rsidRPr="008C5591">
        <w:rPr>
          <w:b/>
          <w:bCs/>
          <w:color w:val="000000"/>
        </w:rPr>
        <w:t>primero deben realizar una indagación en todos los archivos de las áreas con funciones para conocer de lo peticionado.</w:t>
      </w:r>
    </w:p>
    <w:p w14:paraId="7C35FD7E" w14:textId="77777777" w:rsidR="008C5591" w:rsidRPr="008C5591" w:rsidRDefault="008C5591" w:rsidP="007303B8">
      <w:pPr>
        <w:spacing w:after="0" w:line="360" w:lineRule="auto"/>
        <w:rPr>
          <w:color w:val="000000"/>
        </w:rPr>
      </w:pPr>
    </w:p>
    <w:p w14:paraId="3E4AC9A1" w14:textId="77777777" w:rsidR="008C5591" w:rsidRPr="008C5591" w:rsidRDefault="008C5591" w:rsidP="007303B8">
      <w:pPr>
        <w:spacing w:after="0" w:line="360" w:lineRule="auto"/>
        <w:rPr>
          <w:b/>
          <w:bCs/>
          <w:color w:val="000000"/>
        </w:rPr>
      </w:pPr>
      <w:r w:rsidRPr="008C5591">
        <w:rPr>
          <w:color w:val="000000"/>
        </w:rPr>
        <w:t xml:space="preserve">En ese sentido, según Jarquín, Soledad (2019), en el “Diccionario de Transparencia y Acceso a la Información Pública” (p. 68), </w:t>
      </w:r>
      <w:r w:rsidRPr="008C5591">
        <w:rPr>
          <w:b/>
          <w:bCs/>
          <w:color w:val="000000"/>
        </w:rPr>
        <w:t>la búsqueda exhaustiva</w:t>
      </w:r>
      <w:r w:rsidRPr="008C5591">
        <w:rPr>
          <w:color w:val="000000"/>
        </w:rPr>
        <w:t xml:space="preserve"> es la obligación del área administrativa del Sujeto Obligado que cuenta o puede contar con la información requerida, la cual consiste en localizar toda aquella que atienda la solicitud, </w:t>
      </w:r>
      <w:r w:rsidRPr="008C5591">
        <w:rPr>
          <w:b/>
          <w:bCs/>
          <w:color w:val="000000"/>
        </w:rPr>
        <w:t>hasta agotar por completo las posibilidades de indagación.</w:t>
      </w:r>
    </w:p>
    <w:p w14:paraId="5625ECE5" w14:textId="77777777" w:rsidR="008C5591" w:rsidRPr="008C5591" w:rsidRDefault="008C5591" w:rsidP="007303B8">
      <w:pPr>
        <w:spacing w:after="0" w:line="360" w:lineRule="auto"/>
        <w:rPr>
          <w:b/>
          <w:bCs/>
          <w:color w:val="000000"/>
        </w:rPr>
      </w:pPr>
      <w:r w:rsidRPr="008C5591">
        <w:rPr>
          <w:color w:val="000000"/>
        </w:rPr>
        <w:t xml:space="preserve">Además, según Calero, Natalia (2016), en la “Ley General de Transparencia y Acceso a la Información Pública Comentada” (p. 408), para que exista una búsqueda exhaustiva y razonable, se debe hacer una </w:t>
      </w:r>
      <w:r w:rsidRPr="008C5591">
        <w:rPr>
          <w:b/>
          <w:bCs/>
          <w:color w:val="000000"/>
        </w:rPr>
        <w:t xml:space="preserve">indagación consiente y minuciosa en sus archivos físicos y electrónicos. </w:t>
      </w:r>
    </w:p>
    <w:p w14:paraId="07FDEB01" w14:textId="77777777" w:rsidR="008C5591" w:rsidRPr="008C5591" w:rsidRDefault="008C5591" w:rsidP="007303B8">
      <w:pPr>
        <w:spacing w:after="0" w:line="360" w:lineRule="auto"/>
        <w:rPr>
          <w:b/>
          <w:bCs/>
          <w:color w:val="000000"/>
        </w:rPr>
      </w:pPr>
    </w:p>
    <w:p w14:paraId="332D48BA" w14:textId="77777777" w:rsidR="008C5591" w:rsidRPr="008C5591" w:rsidRDefault="008C5591" w:rsidP="007303B8">
      <w:pPr>
        <w:spacing w:after="0" w:line="360" w:lineRule="auto"/>
        <w:rPr>
          <w:b/>
          <w:bCs/>
          <w:color w:val="000000"/>
        </w:rPr>
      </w:pPr>
      <w:r w:rsidRPr="008C5591">
        <w:rPr>
          <w:color w:val="000000"/>
        </w:rPr>
        <w:t xml:space="preserve">Conforme a lo anterior, para poder acreditar el carácter exhaustivo de la búsqueda realizada por los Sujetos Obligados, se deben motivar las razones por las que se buscó la información en determinadas áreas, </w:t>
      </w:r>
      <w:r w:rsidRPr="008C5591">
        <w:rPr>
          <w:b/>
          <w:bCs/>
          <w:color w:val="000000"/>
        </w:rPr>
        <w:t>los criterios de búsqueda utilizados y demás circunstancias que fueron tomadas en cuenta.</w:t>
      </w:r>
    </w:p>
    <w:p w14:paraId="6B4BC65C" w14:textId="77777777" w:rsidR="008C5591" w:rsidRPr="008C5591" w:rsidRDefault="008C5591" w:rsidP="007303B8">
      <w:pPr>
        <w:spacing w:after="0" w:line="360" w:lineRule="auto"/>
        <w:rPr>
          <w:color w:val="000000"/>
        </w:rPr>
      </w:pPr>
    </w:p>
    <w:p w14:paraId="55059981" w14:textId="77777777" w:rsidR="008C5591" w:rsidRPr="008C5591" w:rsidRDefault="008C5591" w:rsidP="007303B8">
      <w:pPr>
        <w:spacing w:after="0" w:line="360" w:lineRule="auto"/>
        <w:rPr>
          <w:color w:val="000000"/>
        </w:rPr>
      </w:pPr>
      <w:r w:rsidRPr="008C5591">
        <w:rPr>
          <w:color w:val="000000"/>
        </w:rPr>
        <w:t>En ese contexto, de conformidad con los criterios con clave de control SO/012/2010 y SO/004/2019, emitidos por el entonces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52DEBADC" w14:textId="77777777" w:rsidR="008C5591" w:rsidRPr="008C5591" w:rsidRDefault="008C5591" w:rsidP="007303B8">
      <w:pPr>
        <w:spacing w:after="0" w:line="360" w:lineRule="auto"/>
        <w:rPr>
          <w:color w:val="000000"/>
        </w:rPr>
      </w:pPr>
    </w:p>
    <w:p w14:paraId="45B37153" w14:textId="77777777" w:rsidR="008C5591" w:rsidRPr="008C5591" w:rsidRDefault="008C5591" w:rsidP="007303B8">
      <w:pPr>
        <w:numPr>
          <w:ilvl w:val="0"/>
          <w:numId w:val="10"/>
        </w:numPr>
        <w:spacing w:after="0" w:line="360" w:lineRule="auto"/>
        <w:rPr>
          <w:color w:val="000000"/>
        </w:rPr>
      </w:pPr>
      <w:r w:rsidRPr="008C5591">
        <w:rPr>
          <w:color w:val="000000"/>
        </w:rPr>
        <w:t>Motivación por las que se buscó la información, en determinadas unidades administrativas;</w:t>
      </w:r>
    </w:p>
    <w:p w14:paraId="100F4A1B" w14:textId="77777777" w:rsidR="008C5591" w:rsidRPr="008C5591" w:rsidRDefault="008C5591" w:rsidP="007303B8">
      <w:pPr>
        <w:numPr>
          <w:ilvl w:val="0"/>
          <w:numId w:val="10"/>
        </w:numPr>
        <w:spacing w:after="0" w:line="360" w:lineRule="auto"/>
        <w:rPr>
          <w:color w:val="000000"/>
        </w:rPr>
      </w:pPr>
      <w:r w:rsidRPr="008C5591">
        <w:rPr>
          <w:color w:val="000000"/>
        </w:rPr>
        <w:t>Los criterios de búsqueda utilizados, y</w:t>
      </w:r>
    </w:p>
    <w:p w14:paraId="359AB631" w14:textId="77777777" w:rsidR="008C5591" w:rsidRPr="008C5591" w:rsidRDefault="008C5591" w:rsidP="007303B8">
      <w:pPr>
        <w:numPr>
          <w:ilvl w:val="0"/>
          <w:numId w:val="10"/>
        </w:numPr>
        <w:spacing w:after="0" w:line="360" w:lineRule="auto"/>
        <w:rPr>
          <w:color w:val="000000"/>
        </w:rPr>
      </w:pPr>
      <w:r w:rsidRPr="008C5591">
        <w:rPr>
          <w:color w:val="000000"/>
        </w:rPr>
        <w:t>Las circunstancias que fueron tomadas en cuenta.</w:t>
      </w:r>
    </w:p>
    <w:p w14:paraId="0B4C3B1D" w14:textId="77777777" w:rsidR="008C5591" w:rsidRPr="008C5591" w:rsidRDefault="008C5591" w:rsidP="007303B8">
      <w:pPr>
        <w:spacing w:after="0" w:line="360" w:lineRule="auto"/>
        <w:rPr>
          <w:color w:val="000000"/>
        </w:rPr>
      </w:pPr>
    </w:p>
    <w:p w14:paraId="06847BB0" w14:textId="77777777" w:rsidR="008C5591" w:rsidRPr="008C5591" w:rsidRDefault="008C5591" w:rsidP="007303B8">
      <w:pPr>
        <w:spacing w:after="0" w:line="360" w:lineRule="auto"/>
        <w:rPr>
          <w:color w:val="000000"/>
        </w:rPr>
      </w:pPr>
      <w:r w:rsidRPr="008C5591">
        <w:rPr>
          <w:color w:val="000000"/>
        </w:rPr>
        <w:t>De tales circunstancias, se considera que para que los Sujetos Obligado justifiquen que realizaron una búsqueda exhaustiva y razonable, deben indicar de manera clara, lo siguiente:</w:t>
      </w:r>
    </w:p>
    <w:p w14:paraId="2389D29A" w14:textId="77777777" w:rsidR="008C5591" w:rsidRPr="008C5591" w:rsidRDefault="008C5591" w:rsidP="007303B8">
      <w:pPr>
        <w:spacing w:after="0" w:line="360" w:lineRule="auto"/>
        <w:rPr>
          <w:color w:val="000000"/>
        </w:rPr>
      </w:pPr>
    </w:p>
    <w:p w14:paraId="7961123E" w14:textId="77777777" w:rsidR="008C5591" w:rsidRPr="008C5591" w:rsidRDefault="008C5591" w:rsidP="007303B8">
      <w:pPr>
        <w:numPr>
          <w:ilvl w:val="0"/>
          <w:numId w:val="11"/>
        </w:numPr>
        <w:spacing w:after="0" w:line="360" w:lineRule="auto"/>
        <w:rPr>
          <w:color w:val="000000"/>
        </w:rPr>
      </w:pPr>
      <w:r w:rsidRPr="008C5591">
        <w:rPr>
          <w:color w:val="000000"/>
        </w:rPr>
        <w:t>Las áreas donde se buscó la información;</w:t>
      </w:r>
    </w:p>
    <w:p w14:paraId="1C05CC7C" w14:textId="77777777" w:rsidR="008C5591" w:rsidRPr="008C5591" w:rsidRDefault="008C5591" w:rsidP="007303B8">
      <w:pPr>
        <w:numPr>
          <w:ilvl w:val="0"/>
          <w:numId w:val="11"/>
        </w:numPr>
        <w:spacing w:after="0" w:line="360" w:lineRule="auto"/>
        <w:rPr>
          <w:color w:val="000000"/>
        </w:rPr>
      </w:pPr>
      <w:r w:rsidRPr="008C5591">
        <w:rPr>
          <w:color w:val="000000"/>
        </w:rPr>
        <w:t>Tipo de archivos buscados (físicos o electrónicos);</w:t>
      </w:r>
    </w:p>
    <w:p w14:paraId="2582838B" w14:textId="77777777" w:rsidR="008C5591" w:rsidRPr="008C5591" w:rsidRDefault="008C5591" w:rsidP="007303B8">
      <w:pPr>
        <w:numPr>
          <w:ilvl w:val="0"/>
          <w:numId w:val="11"/>
        </w:numPr>
        <w:spacing w:after="0" w:line="360" w:lineRule="auto"/>
        <w:rPr>
          <w:color w:val="000000"/>
        </w:rPr>
      </w:pPr>
      <w:r w:rsidRPr="008C5591">
        <w:rPr>
          <w:color w:val="000000"/>
        </w:rPr>
        <w:t xml:space="preserve">Los criterios de búsqueda utilizados, y </w:t>
      </w:r>
    </w:p>
    <w:p w14:paraId="1AFD44D0" w14:textId="77777777" w:rsidR="008C5591" w:rsidRPr="008C5591" w:rsidRDefault="008C5591" w:rsidP="007303B8">
      <w:pPr>
        <w:numPr>
          <w:ilvl w:val="0"/>
          <w:numId w:val="11"/>
        </w:numPr>
        <w:spacing w:after="0" w:line="360" w:lineRule="auto"/>
        <w:rPr>
          <w:color w:val="000000"/>
        </w:rPr>
      </w:pPr>
      <w:r w:rsidRPr="008C5591">
        <w:rPr>
          <w:color w:val="000000"/>
        </w:rPr>
        <w:t>Las circunstancias que fueron tomadas en cuenta.</w:t>
      </w:r>
      <w:r w:rsidRPr="008C5591">
        <w:rPr>
          <w:color w:val="000000"/>
        </w:rPr>
        <w:tab/>
      </w:r>
    </w:p>
    <w:p w14:paraId="33ACF9E0" w14:textId="77777777" w:rsidR="00B13C7F" w:rsidRDefault="00B13C7F" w:rsidP="007303B8">
      <w:pPr>
        <w:spacing w:after="0" w:line="360" w:lineRule="auto"/>
        <w:rPr>
          <w:color w:val="000000"/>
        </w:rPr>
      </w:pPr>
    </w:p>
    <w:p w14:paraId="76AE3A5D" w14:textId="77777777" w:rsidR="009C0176" w:rsidRDefault="008C5591" w:rsidP="007303B8">
      <w:pPr>
        <w:spacing w:after="0" w:line="360" w:lineRule="auto"/>
        <w:rPr>
          <w:color w:val="000000"/>
        </w:rPr>
      </w:pPr>
      <w:r>
        <w:rPr>
          <w:color w:val="000000"/>
        </w:rPr>
        <w:t>Conforme a lo anterior, se procede analizar si el Sujeto Obligado cumplió todos los requisitos previamente señalados; para lo cual, es necesario traer a colación el Manual de Organización de la Tesorería Municipal, el cual precisa que dicha área será la encarga de revisar que las facturas enviadas por las dependencias municipales o por la Ventanilla Única de Atención da Proveedores reúnan todos los requisitos fiscales; así como custodiar las facturas que previamente hayan sido revisadas para que se programe el pago de las mismas; para lograr lo anterior, contara con el Departamento de Contabilidad, encargado además de validar la digitalización de facturas y soportes documentales para su integración en los informes financieros trimestrales.</w:t>
      </w:r>
      <w:r w:rsidR="009C0176">
        <w:rPr>
          <w:color w:val="000000"/>
        </w:rPr>
        <w:t xml:space="preserve"> </w:t>
      </w:r>
    </w:p>
    <w:p w14:paraId="0841422D" w14:textId="77777777" w:rsidR="009C0176" w:rsidRDefault="009C0176" w:rsidP="007303B8">
      <w:pPr>
        <w:spacing w:after="0" w:line="360" w:lineRule="auto"/>
        <w:rPr>
          <w:color w:val="000000"/>
        </w:rPr>
      </w:pPr>
    </w:p>
    <w:p w14:paraId="50198AC5" w14:textId="1501FC85" w:rsidR="008C5591" w:rsidRDefault="009C0176" w:rsidP="007303B8">
      <w:pPr>
        <w:spacing w:after="0" w:line="360" w:lineRule="auto"/>
        <w:rPr>
          <w:color w:val="000000"/>
        </w:rPr>
      </w:pPr>
      <w:r>
        <w:rPr>
          <w:color w:val="000000"/>
        </w:rPr>
        <w:t>Además, por medio de la Subdirección de Egresos, la Tesorería Municipal aprobará la suficiencia presupuesta para la adquisición de bienes y servicios requeridos por las áreas, conforme a su presupuesto autorizado.</w:t>
      </w:r>
      <w:r w:rsidR="008C5591">
        <w:rPr>
          <w:color w:val="000000"/>
        </w:rPr>
        <w:t xml:space="preserve">  </w:t>
      </w:r>
    </w:p>
    <w:p w14:paraId="78BE021F" w14:textId="77777777" w:rsidR="008C5591" w:rsidRDefault="008C5591" w:rsidP="007303B8">
      <w:pPr>
        <w:spacing w:after="0" w:line="360" w:lineRule="auto"/>
        <w:rPr>
          <w:color w:val="000000"/>
        </w:rPr>
      </w:pPr>
    </w:p>
    <w:p w14:paraId="3C15E286" w14:textId="6156A38D" w:rsidR="009C0176" w:rsidRDefault="009C0176" w:rsidP="007303B8">
      <w:pPr>
        <w:spacing w:after="0" w:line="360" w:lineRule="auto"/>
        <w:rPr>
          <w:color w:val="000000"/>
        </w:rPr>
      </w:pPr>
      <w:r>
        <w:rPr>
          <w:color w:val="000000"/>
        </w:rPr>
        <w:t xml:space="preserve">Por otra parte, conforme al Manual de Organización de la Dirección de Administración, establece que dicha área, por medio de la Subdirección de Adquisiciones y Contratación de Servicios, se encargada de gestionar </w:t>
      </w:r>
      <w:r w:rsidRPr="009C0176">
        <w:rPr>
          <w:color w:val="000000"/>
        </w:rPr>
        <w:t>y dar seguimiento las acciones para la adquisición y suministro de insumos y bienes, arrendamiento de bienes muebles y contratación de servicios requeridos por las dependencias de la Administración Pública Municipal</w:t>
      </w:r>
      <w:r>
        <w:rPr>
          <w:color w:val="000000"/>
        </w:rPr>
        <w:t xml:space="preserve">; de recibir y tramitar las requisiciones de compras; de gestionar y dar seguimiento a los procedimientos </w:t>
      </w:r>
      <w:r w:rsidRPr="009C0176">
        <w:rPr>
          <w:color w:val="000000"/>
        </w:rPr>
        <w:t>de Licitación Pública, Invitación Restringida y Adjudicación Directa</w:t>
      </w:r>
      <w:r>
        <w:rPr>
          <w:color w:val="000000"/>
        </w:rPr>
        <w:t xml:space="preserve">; de elaborar y resguardar las documentales que conforman cada una de la etapas de los procedimientos señalados, así como, integrar las documentales requeridas para el pago </w:t>
      </w:r>
      <w:r w:rsidRPr="009C0176">
        <w:rPr>
          <w:color w:val="000000"/>
        </w:rPr>
        <w:t>de la adquisición de insumos y bienes, del arrendamiento de bienes muebles y de la contratación de servicios</w:t>
      </w:r>
      <w:r>
        <w:rPr>
          <w:color w:val="000000"/>
        </w:rPr>
        <w:t>.</w:t>
      </w:r>
    </w:p>
    <w:p w14:paraId="48BC32CB" w14:textId="77777777" w:rsidR="009C0176" w:rsidRDefault="009C0176" w:rsidP="007303B8">
      <w:pPr>
        <w:spacing w:after="0" w:line="360" w:lineRule="auto"/>
        <w:rPr>
          <w:color w:val="000000"/>
        </w:rPr>
      </w:pPr>
    </w:p>
    <w:p w14:paraId="04E92040" w14:textId="61242EDA" w:rsidR="009C0176" w:rsidRDefault="009C0176" w:rsidP="007303B8">
      <w:pPr>
        <w:spacing w:after="0" w:line="360" w:lineRule="auto"/>
        <w:rPr>
          <w:color w:val="000000"/>
        </w:rPr>
      </w:pPr>
      <w:r>
        <w:rPr>
          <w:color w:val="000000"/>
        </w:rPr>
        <w:t>Como se logra observar, el Sujeto Obligado no cumplió con el primero de los requisitos, ya que si bien turno la solicitud de información a la Tesorería Municipal, omitió hacerlo a la Dirección de Administración que conoce de los procedimientos de prestación de servicios</w:t>
      </w:r>
      <w:r w:rsidR="00F60C88">
        <w:rPr>
          <w:color w:val="000000"/>
        </w:rPr>
        <w:t xml:space="preserve"> y que le pudo informar a la primera, sobre las facturas relacionadas con la partida presupuestal solicitada.</w:t>
      </w:r>
    </w:p>
    <w:p w14:paraId="0C4E7BF1" w14:textId="77777777" w:rsidR="00F60C88" w:rsidRDefault="00F60C88" w:rsidP="007303B8">
      <w:pPr>
        <w:spacing w:after="0" w:line="360" w:lineRule="auto"/>
        <w:rPr>
          <w:color w:val="000000"/>
        </w:rPr>
      </w:pPr>
    </w:p>
    <w:p w14:paraId="1A9F19D2" w14:textId="5DFAD91F" w:rsidR="00F60C88" w:rsidRDefault="00F60C88" w:rsidP="007303B8">
      <w:pPr>
        <w:spacing w:after="0" w:line="360" w:lineRule="auto"/>
        <w:rPr>
          <w:color w:val="000000"/>
        </w:rPr>
      </w:pPr>
      <w:r>
        <w:rPr>
          <w:color w:val="000000"/>
        </w:rPr>
        <w:t xml:space="preserve">Además, que tampoco acreditó los incisos b, c y d, pues la Tesorería Municipal señaló que carecía de atribuciones para conocer, cuando es el área que analiza y resguarda las facturas y documentación necesaria para realizar el pago a proveedores y contratistas; por lo que, si tiene competencia para conocer de lo peticionado, pues inclusive recaba la información, para integrar las pólizas contables, con la documentación comprobatoria, de los Informes Trimestrales. </w:t>
      </w:r>
    </w:p>
    <w:p w14:paraId="1B183A07" w14:textId="77777777" w:rsidR="009C0176" w:rsidRDefault="009C0176" w:rsidP="007303B8">
      <w:pPr>
        <w:spacing w:after="0" w:line="360" w:lineRule="auto"/>
        <w:rPr>
          <w:color w:val="000000"/>
        </w:rPr>
      </w:pPr>
    </w:p>
    <w:p w14:paraId="0DFADFEB" w14:textId="7ECD4673" w:rsidR="00B13C7F" w:rsidRPr="00F60C88" w:rsidRDefault="00F60C88" w:rsidP="007303B8">
      <w:pPr>
        <w:spacing w:after="0" w:line="360" w:lineRule="auto"/>
        <w:rPr>
          <w:color w:val="000000"/>
        </w:rPr>
      </w:pPr>
      <w:r>
        <w:rPr>
          <w:color w:val="000000"/>
        </w:rPr>
        <w:t xml:space="preserve">De tal suerte, se considera que el agravio realizado por la persona Recurrente es </w:t>
      </w:r>
      <w:r>
        <w:rPr>
          <w:b/>
          <w:bCs/>
          <w:color w:val="000000"/>
        </w:rPr>
        <w:t xml:space="preserve">FUNDADO, </w:t>
      </w:r>
      <w:r>
        <w:rPr>
          <w:color w:val="000000"/>
        </w:rPr>
        <w:t>pues como se señaló que Sujeto Obligado no realizó una búsqueda exhaustiva y razonable en sus archivos, pues la Tesorería Municipal contrario a lo mencionado si tiene competencia para conocer de lo peticionado y faltó gestionar el requerimiento a la Dirección de Administración, que también tiene atribuciones para conocer; lo cual toma relevancia, pues la segunda estaba en posibilidades de información a la primera, sobre la contratación de servicios relacionados con la partida específica 3611.</w:t>
      </w:r>
    </w:p>
    <w:p w14:paraId="6C6CF02B" w14:textId="77777777" w:rsidR="00B13C7F" w:rsidRDefault="00B13C7F" w:rsidP="007303B8">
      <w:pPr>
        <w:spacing w:after="0" w:line="360" w:lineRule="auto"/>
        <w:rPr>
          <w:color w:val="000000"/>
        </w:rPr>
      </w:pPr>
    </w:p>
    <w:p w14:paraId="4779578D" w14:textId="6BF4B733" w:rsidR="00F60C88" w:rsidRDefault="00F60C88" w:rsidP="007303B8">
      <w:pPr>
        <w:spacing w:after="0" w:line="360" w:lineRule="auto"/>
        <w:rPr>
          <w:color w:val="000000"/>
        </w:rPr>
      </w:pPr>
      <w:r>
        <w:rPr>
          <w:color w:val="000000"/>
        </w:rPr>
        <w:t>Lo anterior, toma relevancia pues este Instituto localizó el Avance Trimestral del Programa Anual de Adquisiciones de Metepec, del primero de enero al treinta de septiembre de dos mil veinticinco, del cual se logra advertir que durante dicho periodo, el Sujeto Obligado erogó recursos de la partida presupuestal 3611 “Gastos de Publicidad y Propaganda”, tal como se muestra a continuación:</w:t>
      </w:r>
    </w:p>
    <w:p w14:paraId="767EDA70" w14:textId="77777777" w:rsidR="00F60C88" w:rsidRDefault="00F60C88" w:rsidP="007303B8">
      <w:pPr>
        <w:spacing w:after="0" w:line="360" w:lineRule="auto"/>
        <w:rPr>
          <w:color w:val="000000"/>
        </w:rPr>
      </w:pPr>
    </w:p>
    <w:p w14:paraId="35560482" w14:textId="0B9AC5E9" w:rsidR="00F60C88" w:rsidRDefault="004654E9" w:rsidP="007303B8">
      <w:pPr>
        <w:spacing w:after="0" w:line="360" w:lineRule="auto"/>
        <w:rPr>
          <w:color w:val="000000"/>
        </w:rPr>
      </w:pPr>
      <w:r>
        <w:rPr>
          <w:noProof/>
          <w:color w:val="000000"/>
        </w:rPr>
        <mc:AlternateContent>
          <mc:Choice Requires="wps">
            <w:drawing>
              <wp:anchor distT="0" distB="0" distL="114300" distR="114300" simplePos="0" relativeHeight="251659264" behindDoc="0" locked="0" layoutInCell="1" allowOverlap="1" wp14:anchorId="26BFA193" wp14:editId="5915622D">
                <wp:simplePos x="0" y="0"/>
                <wp:positionH relativeFrom="column">
                  <wp:posOffset>-3810</wp:posOffset>
                </wp:positionH>
                <wp:positionV relativeFrom="paragraph">
                  <wp:posOffset>2626995</wp:posOffset>
                </wp:positionV>
                <wp:extent cx="5671185" cy="142875"/>
                <wp:effectExtent l="57150" t="38100" r="81915" b="104775"/>
                <wp:wrapNone/>
                <wp:docPr id="1218281884" name="Rectángulo 1"/>
                <wp:cNvGraphicFramePr/>
                <a:graphic xmlns:a="http://schemas.openxmlformats.org/drawingml/2006/main">
                  <a:graphicData uri="http://schemas.microsoft.com/office/word/2010/wordprocessingShape">
                    <wps:wsp>
                      <wps:cNvSpPr/>
                      <wps:spPr>
                        <a:xfrm>
                          <a:off x="0" y="0"/>
                          <a:ext cx="5671185" cy="142875"/>
                        </a:xfrm>
                        <a:prstGeom prst="rect">
                          <a:avLst/>
                        </a:prstGeom>
                        <a:noFill/>
                        <a:ln w="381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ABF8EC2" id="Rectángulo 1" o:spid="_x0000_s1026" style="position:absolute;margin-left:-.3pt;margin-top:206.85pt;width:446.55pt;height:1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" filled="f" strokecolor="black [3213]" strokeweight="3pt">
                <v:shadow on="t" color="black" opacity="22937f" origin=",.5" offset="0,.63889mm"/>
              </v:rect>
            </w:pict>
          </mc:Fallback>
        </mc:AlternateContent>
      </w:r>
      <w:r w:rsidRPr="004654E9">
        <w:rPr>
          <w:noProof/>
          <w:color w:val="000000"/>
        </w:rPr>
        <w:drawing>
          <wp:inline distT="0" distB="0" distL="0" distR="0" wp14:anchorId="6AF3E91F" wp14:editId="03CEC8DC">
            <wp:extent cx="5671185" cy="2927350"/>
            <wp:effectExtent l="0" t="0" r="5715" b="6350"/>
            <wp:docPr id="517482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8289" name=""/>
                    <pic:cNvPicPr/>
                  </pic:nvPicPr>
                  <pic:blipFill>
                    <a:blip r:embed="rId8"/>
                    <a:stretch>
                      <a:fillRect/>
                    </a:stretch>
                  </pic:blipFill>
                  <pic:spPr>
                    <a:xfrm>
                      <a:off x="0" y="0"/>
                      <a:ext cx="5671185" cy="2927350"/>
                    </a:xfrm>
                    <a:prstGeom prst="rect">
                      <a:avLst/>
                    </a:prstGeom>
                  </pic:spPr>
                </pic:pic>
              </a:graphicData>
            </a:graphic>
          </wp:inline>
        </w:drawing>
      </w:r>
    </w:p>
    <w:p w14:paraId="1F2F49B8" w14:textId="4BA72E25" w:rsidR="00F60C88" w:rsidRDefault="004654E9" w:rsidP="007303B8">
      <w:pPr>
        <w:spacing w:after="0" w:line="360" w:lineRule="auto"/>
        <w:rPr>
          <w:color w:val="000000"/>
        </w:rPr>
      </w:pPr>
      <w:r>
        <w:rPr>
          <w:noProof/>
          <w:color w:val="000000"/>
        </w:rPr>
        <mc:AlternateContent>
          <mc:Choice Requires="wps">
            <w:drawing>
              <wp:anchor distT="0" distB="0" distL="114300" distR="114300" simplePos="0" relativeHeight="251661312" behindDoc="0" locked="0" layoutInCell="1" allowOverlap="1" wp14:anchorId="5AA8A876" wp14:editId="7E106B50">
                <wp:simplePos x="0" y="0"/>
                <wp:positionH relativeFrom="column">
                  <wp:posOffset>-3810</wp:posOffset>
                </wp:positionH>
                <wp:positionV relativeFrom="paragraph">
                  <wp:posOffset>1932305</wp:posOffset>
                </wp:positionV>
                <wp:extent cx="5671185" cy="142875"/>
                <wp:effectExtent l="57150" t="38100" r="81915" b="104775"/>
                <wp:wrapNone/>
                <wp:docPr id="291986247" name="Rectángulo 1"/>
                <wp:cNvGraphicFramePr/>
                <a:graphic xmlns:a="http://schemas.openxmlformats.org/drawingml/2006/main">
                  <a:graphicData uri="http://schemas.microsoft.com/office/word/2010/wordprocessingShape">
                    <wps:wsp>
                      <wps:cNvSpPr/>
                      <wps:spPr>
                        <a:xfrm>
                          <a:off x="0" y="0"/>
                          <a:ext cx="5671185" cy="142875"/>
                        </a:xfrm>
                        <a:prstGeom prst="rect">
                          <a:avLst/>
                        </a:prstGeom>
                        <a:noFill/>
                        <a:ln w="381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037F8B81" id="Rectángulo 1" o:spid="_x0000_s1026" style="position:absolute;margin-left:-.3pt;margin-top:152.15pt;width:446.55pt;height:1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" filled="f" strokecolor="black [3213]" strokeweight="3pt">
                <v:shadow on="t" color="black" opacity="22937f" origin=",.5" offset="0,.63889mm"/>
              </v:rect>
            </w:pict>
          </mc:Fallback>
        </mc:AlternateContent>
      </w:r>
      <w:r w:rsidRPr="004654E9">
        <w:rPr>
          <w:noProof/>
          <w:color w:val="000000"/>
        </w:rPr>
        <w:drawing>
          <wp:inline distT="0" distB="0" distL="0" distR="0" wp14:anchorId="0419EF6C" wp14:editId="0CEE4C93">
            <wp:extent cx="5671185" cy="2076450"/>
            <wp:effectExtent l="0" t="0" r="5715" b="0"/>
            <wp:docPr id="9583622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362201" name=""/>
                    <pic:cNvPicPr/>
                  </pic:nvPicPr>
                  <pic:blipFill rotWithShape="1">
                    <a:blip r:embed="rId9"/>
                    <a:srcRect b="24270"/>
                    <a:stretch/>
                  </pic:blipFill>
                  <pic:spPr bwMode="auto">
                    <a:xfrm>
                      <a:off x="0" y="0"/>
                      <a:ext cx="5671185" cy="2076450"/>
                    </a:xfrm>
                    <a:prstGeom prst="rect">
                      <a:avLst/>
                    </a:prstGeom>
                    <a:ln>
                      <a:noFill/>
                    </a:ln>
                    <a:extLst>
                      <a:ext uri="{53640926-AAD7-44D8-BBD7-CCE9431645EC}">
                        <a14:shadowObscured xmlns:a14="http://schemas.microsoft.com/office/drawing/2010/main"/>
                      </a:ext>
                    </a:extLst>
                  </pic:spPr>
                </pic:pic>
              </a:graphicData>
            </a:graphic>
          </wp:inline>
        </w:drawing>
      </w:r>
    </w:p>
    <w:p w14:paraId="19C44621" w14:textId="77777777" w:rsidR="004654E9" w:rsidRDefault="004654E9" w:rsidP="007303B8">
      <w:pPr>
        <w:spacing w:after="0" w:line="360" w:lineRule="auto"/>
      </w:pPr>
    </w:p>
    <w:p w14:paraId="2DB1DEDA" w14:textId="4A266C07" w:rsidR="00B13C7F" w:rsidRDefault="004654E9" w:rsidP="007303B8">
      <w:pPr>
        <w:spacing w:after="0" w:line="360" w:lineRule="auto"/>
      </w:pPr>
      <w:r>
        <w:t xml:space="preserve">Por lo tanto, para atender el requerimiento de información, el Sujeto Obligado deberá realizar una búsqueda exhaustiva y razonable en los archivos de todas sus áreas competentes, entre las cuales no podrá omitir a la Tesorería Municipal y la Dirección de Administración, a efecto que proporcione </w:t>
      </w:r>
      <w:r>
        <w:rPr>
          <w:color w:val="000000"/>
        </w:rPr>
        <w:t xml:space="preserve">las facturas recibidas del primero de enero al treinta y uno de diciembre de dos mil veinticinco, relacionadas con la partida específica analizada; </w:t>
      </w:r>
      <w:r>
        <w:t>dicha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1BBF1B14" w14:textId="77777777" w:rsidR="00B13C7F" w:rsidRDefault="00B13C7F" w:rsidP="007303B8">
      <w:pPr>
        <w:spacing w:after="0" w:line="360" w:lineRule="auto"/>
      </w:pPr>
    </w:p>
    <w:p w14:paraId="0D7E857E" w14:textId="77777777" w:rsidR="00B13C7F" w:rsidRDefault="0078568A" w:rsidP="007303B8">
      <w:pPr>
        <w:spacing w:after="0" w:line="360" w:lineRule="auto"/>
        <w:rPr>
          <w:color w:val="FF0000"/>
        </w:rPr>
      </w:pPr>
      <w:r>
        <w:t xml:space="preserve">De esta manera, el derecho de acceso a la información pública se satisface en aquellos casos en que se entregue el soporte documental en el que conste la información solicitada, sin necesidad de elaborar documentos </w:t>
      </w:r>
      <w:r>
        <w:rPr>
          <w:i/>
          <w:iCs/>
        </w:rPr>
        <w:t>ad hoc</w:t>
      </w:r>
      <w:r>
        <w:t>; lo cual, de conformidad con en el artículo 160 de la Ley de Transparencia y Acceso a la Información Pública del Estado de México y Municipios, el cual refiere que los sujetos obligados deberán entregar la información que obre en sus archivos.</w:t>
      </w:r>
    </w:p>
    <w:p w14:paraId="49D3E13B" w14:textId="77777777" w:rsidR="00B13C7F" w:rsidRDefault="00B13C7F" w:rsidP="007303B8">
      <w:pPr>
        <w:spacing w:after="0" w:line="360" w:lineRule="auto"/>
        <w:rPr>
          <w:color w:val="FF0000"/>
        </w:rPr>
      </w:pPr>
    </w:p>
    <w:p w14:paraId="60745F96" w14:textId="2E34CD64" w:rsidR="00B13C7F" w:rsidRDefault="0078568A" w:rsidP="007303B8">
      <w:pPr>
        <w:spacing w:after="0" w:line="360" w:lineRule="auto"/>
      </w:pPr>
      <w: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entregar </w:t>
      </w:r>
      <w:r>
        <w:rPr>
          <w:color w:val="000000"/>
        </w:rPr>
        <w:t xml:space="preserve">las facturas recibidas relacionadas con la partida específica </w:t>
      </w:r>
      <w:r w:rsidR="004654E9">
        <w:rPr>
          <w:color w:val="000000"/>
        </w:rPr>
        <w:t>3611.</w:t>
      </w:r>
    </w:p>
    <w:p w14:paraId="6B83DE72" w14:textId="77777777" w:rsidR="00B13C7F" w:rsidRDefault="00B13C7F" w:rsidP="007303B8">
      <w:pPr>
        <w:spacing w:after="0" w:line="360" w:lineRule="auto"/>
        <w:rPr>
          <w:color w:val="000000"/>
        </w:rPr>
      </w:pPr>
    </w:p>
    <w:p w14:paraId="595BD0C0" w14:textId="3BAD3B2A" w:rsidR="004654E9" w:rsidRPr="004654E9" w:rsidRDefault="004654E9" w:rsidP="007303B8">
      <w:pPr>
        <w:spacing w:after="0" w:line="360" w:lineRule="auto"/>
        <w:ind w:right="-28"/>
        <w:rPr>
          <w:color w:val="000000"/>
        </w:rPr>
      </w:pPr>
      <w:r w:rsidRPr="004654E9">
        <w:rPr>
          <w:color w:val="000000"/>
        </w:rPr>
        <w:t xml:space="preserve">Finalmente, no pasa desapercibido para este Instituto </w:t>
      </w:r>
      <w:r w:rsidR="007303B8" w:rsidRPr="004654E9">
        <w:rPr>
          <w:color w:val="000000"/>
        </w:rPr>
        <w:t>que,</w:t>
      </w:r>
      <w:r w:rsidRPr="004654E9">
        <w:rPr>
          <w:color w:val="000000"/>
        </w:rPr>
        <w:t xml:space="preserve"> en las facturas, pudieran contener </w:t>
      </w:r>
      <w:r w:rsidR="007303B8">
        <w:rPr>
          <w:color w:val="000000"/>
        </w:rPr>
        <w:t>diversos datos, entre los cuales se encuentran los siguientes:</w:t>
      </w:r>
    </w:p>
    <w:p w14:paraId="326441DF" w14:textId="77777777" w:rsidR="004654E9" w:rsidRPr="004654E9" w:rsidRDefault="004654E9" w:rsidP="007303B8">
      <w:pPr>
        <w:spacing w:after="0" w:line="360" w:lineRule="auto"/>
        <w:rPr>
          <w:color w:val="000000"/>
        </w:rPr>
      </w:pPr>
    </w:p>
    <w:p w14:paraId="4B3FE5F9" w14:textId="77777777" w:rsidR="004654E9" w:rsidRPr="004654E9" w:rsidRDefault="004654E9" w:rsidP="007303B8">
      <w:pPr>
        <w:numPr>
          <w:ilvl w:val="0"/>
          <w:numId w:val="13"/>
        </w:numPr>
        <w:spacing w:after="0" w:line="360" w:lineRule="auto"/>
        <w:ind w:left="993" w:hanging="426"/>
        <w:jc w:val="left"/>
        <w:rPr>
          <w:color w:val="000000"/>
        </w:rPr>
      </w:pPr>
      <w:r w:rsidRPr="004654E9">
        <w:rPr>
          <w:color w:val="000000"/>
        </w:rPr>
        <w:t>Nombre del proveedor o contratista</w:t>
      </w:r>
    </w:p>
    <w:p w14:paraId="6D6652C0" w14:textId="77777777" w:rsidR="004654E9" w:rsidRPr="004654E9" w:rsidRDefault="004654E9" w:rsidP="007303B8">
      <w:pPr>
        <w:numPr>
          <w:ilvl w:val="0"/>
          <w:numId w:val="13"/>
        </w:numPr>
        <w:spacing w:after="0" w:line="360" w:lineRule="auto"/>
        <w:ind w:left="993" w:hanging="426"/>
        <w:jc w:val="left"/>
        <w:rPr>
          <w:color w:val="000000"/>
        </w:rPr>
      </w:pPr>
      <w:r w:rsidRPr="004654E9">
        <w:rPr>
          <w:color w:val="000000"/>
        </w:rPr>
        <w:t>Registro Federal de Contribuyentes (RFC) de proveedores o contratista;</w:t>
      </w:r>
    </w:p>
    <w:p w14:paraId="09819307" w14:textId="77777777" w:rsidR="004654E9" w:rsidRPr="004654E9" w:rsidRDefault="004654E9" w:rsidP="007303B8">
      <w:pPr>
        <w:numPr>
          <w:ilvl w:val="0"/>
          <w:numId w:val="13"/>
        </w:numPr>
        <w:spacing w:after="0" w:line="360" w:lineRule="auto"/>
        <w:ind w:left="993" w:hanging="426"/>
        <w:jc w:val="left"/>
        <w:rPr>
          <w:color w:val="000000"/>
        </w:rPr>
      </w:pPr>
      <w:r w:rsidRPr="004654E9">
        <w:rPr>
          <w:color w:val="000000"/>
        </w:rPr>
        <w:t>Código Bidimensional o QR;</w:t>
      </w:r>
    </w:p>
    <w:p w14:paraId="4AF23002" w14:textId="0FC1B91F" w:rsidR="004654E9" w:rsidRDefault="004654E9" w:rsidP="007303B8">
      <w:pPr>
        <w:numPr>
          <w:ilvl w:val="0"/>
          <w:numId w:val="13"/>
        </w:numPr>
        <w:spacing w:after="0" w:line="360" w:lineRule="auto"/>
        <w:ind w:left="993" w:hanging="426"/>
        <w:jc w:val="left"/>
        <w:rPr>
          <w:color w:val="000000"/>
        </w:rPr>
      </w:pPr>
      <w:r w:rsidRPr="004654E9">
        <w:rPr>
          <w:color w:val="000000"/>
        </w:rPr>
        <w:t>Domicilio Fiscal del proveedor</w:t>
      </w:r>
      <w:r w:rsidR="007303B8">
        <w:rPr>
          <w:color w:val="000000"/>
        </w:rPr>
        <w:t xml:space="preserve"> o contratista</w:t>
      </w:r>
      <w:r w:rsidRPr="004654E9">
        <w:rPr>
          <w:color w:val="000000"/>
        </w:rPr>
        <w:t>;</w:t>
      </w:r>
    </w:p>
    <w:p w14:paraId="485BADE4" w14:textId="00EB4835" w:rsidR="007303B8" w:rsidRPr="004654E9" w:rsidRDefault="007303B8" w:rsidP="007303B8">
      <w:pPr>
        <w:numPr>
          <w:ilvl w:val="0"/>
          <w:numId w:val="13"/>
        </w:numPr>
        <w:spacing w:after="0" w:line="360" w:lineRule="auto"/>
        <w:ind w:left="993" w:hanging="426"/>
        <w:jc w:val="left"/>
        <w:rPr>
          <w:color w:val="000000"/>
        </w:rPr>
      </w:pPr>
      <w:r>
        <w:rPr>
          <w:color w:val="000000"/>
        </w:rPr>
        <w:t>Cuenta y datos bancarios de proveedores o contratistas, y</w:t>
      </w:r>
    </w:p>
    <w:p w14:paraId="6C487F07" w14:textId="705A9023" w:rsidR="004654E9" w:rsidRPr="004654E9" w:rsidRDefault="004654E9" w:rsidP="007303B8">
      <w:pPr>
        <w:numPr>
          <w:ilvl w:val="0"/>
          <w:numId w:val="13"/>
        </w:numPr>
        <w:spacing w:after="0" w:line="360" w:lineRule="auto"/>
        <w:ind w:left="993" w:hanging="426"/>
        <w:rPr>
          <w:color w:val="000000"/>
        </w:rPr>
      </w:pPr>
      <w:r w:rsidRPr="004654E9">
        <w:rPr>
          <w:color w:val="000000"/>
        </w:rPr>
        <w:t>Sellos digitales del emisor y del Servicio de Administración Tributaria y cadena original del complemento de certificación digital del órgano previamente señalado; así como sus respectivos números de serie de los certificados de sellos digitales, folio fiscal, y la fecha y hora de certificación</w:t>
      </w:r>
      <w:r w:rsidR="007303B8">
        <w:rPr>
          <w:color w:val="000000"/>
        </w:rPr>
        <w:t>.</w:t>
      </w:r>
    </w:p>
    <w:p w14:paraId="4E871D7B" w14:textId="77777777" w:rsidR="004654E9" w:rsidRDefault="004654E9" w:rsidP="007303B8">
      <w:pPr>
        <w:spacing w:after="0" w:line="360" w:lineRule="auto"/>
        <w:rPr>
          <w:color w:val="000000"/>
        </w:rPr>
      </w:pPr>
    </w:p>
    <w:p w14:paraId="4695C56E" w14:textId="19137689" w:rsidR="007303B8" w:rsidRPr="002F1FE8" w:rsidRDefault="007303B8" w:rsidP="007303B8">
      <w:pPr>
        <w:spacing w:after="0" w:line="360" w:lineRule="auto"/>
        <w:ind w:right="-28"/>
        <w:contextualSpacing/>
        <w:rPr>
          <w:color w:val="000000"/>
        </w:rPr>
      </w:pPr>
      <w:r>
        <w:rPr>
          <w:color w:val="000000"/>
        </w:rPr>
        <w:t xml:space="preserve">Al respecto, </w:t>
      </w:r>
      <w:r w:rsidRPr="002F1FE8">
        <w:rPr>
          <w:color w:val="000000"/>
        </w:rPr>
        <w:t xml:space="preserve">el artículo 143, fracción I, de la </w:t>
      </w:r>
      <w:r w:rsidRPr="004654E9">
        <w:rPr>
          <w:color w:val="000000"/>
        </w:rPr>
        <w:t>Ley de Transparencia y Acceso a la Información Pública del Estado de México y Municipios</w:t>
      </w:r>
      <w:r w:rsidRPr="002F1FE8">
        <w:rPr>
          <w:color w:val="000000"/>
        </w:rPr>
        <w:t>, establece que la información privada y los datos personales, concernientes a una persona física o jurídica colectiva identificada o identificable son confidenciales.</w:t>
      </w:r>
    </w:p>
    <w:p w14:paraId="33C9324E" w14:textId="77777777" w:rsidR="007303B8" w:rsidRDefault="007303B8" w:rsidP="007303B8">
      <w:pPr>
        <w:spacing w:after="0" w:line="360" w:lineRule="auto"/>
        <w:rPr>
          <w:color w:val="000000"/>
        </w:rPr>
      </w:pPr>
    </w:p>
    <w:p w14:paraId="3082DA24" w14:textId="296C58DD" w:rsidR="004654E9" w:rsidRPr="004654E9" w:rsidRDefault="004654E9" w:rsidP="007303B8">
      <w:pPr>
        <w:spacing w:after="0" w:line="360" w:lineRule="auto"/>
        <w:rPr>
          <w:color w:val="000000"/>
        </w:rPr>
      </w:pPr>
      <w:r w:rsidRPr="004654E9">
        <w:rPr>
          <w:color w:val="000000"/>
        </w:rPr>
        <w:t xml:space="preserve">Asimismo, el artículo 145 de la Ley </w:t>
      </w:r>
      <w:r w:rsidR="007303B8">
        <w:rPr>
          <w:color w:val="000000"/>
        </w:rPr>
        <w:t>señalada</w:t>
      </w:r>
      <w:r w:rsidRPr="004654E9">
        <w:rPr>
          <w:color w:val="000000"/>
        </w:rPr>
        <w:t>,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26F7647B" w14:textId="77777777" w:rsidR="004654E9" w:rsidRPr="004654E9" w:rsidRDefault="004654E9" w:rsidP="007303B8">
      <w:pPr>
        <w:spacing w:after="0" w:line="360" w:lineRule="auto"/>
        <w:rPr>
          <w:color w:val="000000"/>
        </w:rPr>
      </w:pPr>
    </w:p>
    <w:p w14:paraId="7BD68E82" w14:textId="77777777" w:rsidR="004654E9" w:rsidRPr="004654E9" w:rsidRDefault="004654E9" w:rsidP="007303B8">
      <w:pPr>
        <w:spacing w:after="0" w:line="360" w:lineRule="auto"/>
        <w:rPr>
          <w:color w:val="000000"/>
        </w:rPr>
      </w:pPr>
      <w:r w:rsidRPr="004654E9">
        <w:rPr>
          <w:color w:val="000000"/>
        </w:rPr>
        <w:t>En términos de lo expuesto, la documentación y aquellos datos que se consideren confidenciales, serán una limitante del derecho de acceso a la información, siempre y cuando:</w:t>
      </w:r>
    </w:p>
    <w:p w14:paraId="71260A88" w14:textId="77777777" w:rsidR="004654E9" w:rsidRPr="004654E9" w:rsidRDefault="004654E9" w:rsidP="007303B8">
      <w:pPr>
        <w:spacing w:after="0" w:line="360" w:lineRule="auto"/>
        <w:rPr>
          <w:color w:val="000000"/>
        </w:rPr>
      </w:pPr>
    </w:p>
    <w:p w14:paraId="5B6F069B" w14:textId="77777777" w:rsidR="004654E9" w:rsidRPr="004654E9" w:rsidRDefault="004654E9" w:rsidP="007303B8">
      <w:pPr>
        <w:numPr>
          <w:ilvl w:val="0"/>
          <w:numId w:val="14"/>
        </w:numPr>
        <w:pBdr>
          <w:top w:val="nil"/>
          <w:left w:val="nil"/>
          <w:bottom w:val="nil"/>
          <w:right w:val="nil"/>
          <w:between w:val="nil"/>
        </w:pBdr>
        <w:spacing w:after="0" w:line="360" w:lineRule="auto"/>
        <w:rPr>
          <w:color w:val="000000"/>
        </w:rPr>
      </w:pPr>
      <w:r w:rsidRPr="004654E9">
        <w:rPr>
          <w:color w:val="000000"/>
        </w:rPr>
        <w:t xml:space="preserve">Se trate de datos personales o información privada; esto es, información concerniente a una persona física o jurídico colectiva y que esta sea identificada o identificable. </w:t>
      </w:r>
    </w:p>
    <w:p w14:paraId="4D5D443F" w14:textId="77777777" w:rsidR="004654E9" w:rsidRPr="004654E9" w:rsidRDefault="004654E9" w:rsidP="007303B8">
      <w:pPr>
        <w:numPr>
          <w:ilvl w:val="0"/>
          <w:numId w:val="14"/>
        </w:numPr>
        <w:pBdr>
          <w:top w:val="nil"/>
          <w:left w:val="nil"/>
          <w:bottom w:val="nil"/>
          <w:right w:val="nil"/>
          <w:between w:val="nil"/>
        </w:pBdr>
        <w:spacing w:after="0" w:line="360" w:lineRule="auto"/>
        <w:jc w:val="left"/>
        <w:rPr>
          <w:color w:val="000000"/>
        </w:rPr>
      </w:pPr>
      <w:r w:rsidRPr="004654E9">
        <w:rPr>
          <w:color w:val="000000"/>
        </w:rPr>
        <w:t xml:space="preserve">Para la difusión de los datos, se requiera el consentimiento del titular. </w:t>
      </w:r>
    </w:p>
    <w:p w14:paraId="0E0FF9DC" w14:textId="77777777" w:rsidR="004654E9" w:rsidRPr="004654E9" w:rsidRDefault="004654E9" w:rsidP="007303B8">
      <w:pPr>
        <w:spacing w:after="0" w:line="360" w:lineRule="auto"/>
        <w:rPr>
          <w:color w:val="000000"/>
        </w:rPr>
      </w:pPr>
    </w:p>
    <w:p w14:paraId="15F11FA7" w14:textId="77777777" w:rsidR="004654E9" w:rsidRPr="004654E9" w:rsidRDefault="004654E9" w:rsidP="007303B8">
      <w:pPr>
        <w:spacing w:after="0" w:line="360" w:lineRule="auto"/>
        <w:rPr>
          <w:color w:val="000000"/>
        </w:rPr>
      </w:pPr>
      <w:r w:rsidRPr="004654E9">
        <w:rPr>
          <w:color w:val="00000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5E57FC05" w14:textId="77777777" w:rsidR="004654E9" w:rsidRPr="004654E9" w:rsidRDefault="004654E9" w:rsidP="007303B8">
      <w:pPr>
        <w:spacing w:after="0" w:line="360" w:lineRule="auto"/>
        <w:rPr>
          <w:color w:val="000000"/>
        </w:rPr>
      </w:pPr>
    </w:p>
    <w:p w14:paraId="706C280D" w14:textId="77777777" w:rsidR="004654E9" w:rsidRPr="004654E9" w:rsidRDefault="004654E9" w:rsidP="007303B8">
      <w:pPr>
        <w:spacing w:after="0" w:line="360" w:lineRule="auto"/>
        <w:rPr>
          <w:color w:val="000000"/>
        </w:rPr>
      </w:pPr>
      <w:r w:rsidRPr="004654E9">
        <w:rPr>
          <w:color w:val="000000"/>
        </w:rPr>
        <w:t>Además, en el artículo 5° de dicho ordenamiento jurídico, establece que es la Ley aplicable para todo tratamiento de datos personales.</w:t>
      </w:r>
    </w:p>
    <w:p w14:paraId="00496B92" w14:textId="77777777" w:rsidR="004654E9" w:rsidRPr="004654E9" w:rsidRDefault="004654E9" w:rsidP="007303B8">
      <w:pPr>
        <w:spacing w:after="0" w:line="360" w:lineRule="auto"/>
        <w:rPr>
          <w:color w:val="000000"/>
        </w:rPr>
      </w:pPr>
    </w:p>
    <w:p w14:paraId="1BB0626F" w14:textId="77777777" w:rsidR="004654E9" w:rsidRPr="004654E9" w:rsidRDefault="004654E9" w:rsidP="007303B8">
      <w:pPr>
        <w:spacing w:after="0" w:line="360" w:lineRule="auto"/>
        <w:rPr>
          <w:color w:val="000000"/>
        </w:rPr>
      </w:pPr>
      <w:r w:rsidRPr="004654E9">
        <w:rPr>
          <w:color w:val="000000"/>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58BCFE1D" w14:textId="77777777" w:rsidR="004654E9" w:rsidRPr="004654E9" w:rsidRDefault="004654E9" w:rsidP="007303B8">
      <w:pPr>
        <w:spacing w:after="0" w:line="360" w:lineRule="auto"/>
        <w:rPr>
          <w:color w:val="000000"/>
        </w:rPr>
      </w:pPr>
    </w:p>
    <w:p w14:paraId="656D72D4" w14:textId="77777777" w:rsidR="004654E9" w:rsidRPr="004654E9" w:rsidRDefault="004654E9" w:rsidP="007303B8">
      <w:pPr>
        <w:spacing w:after="0" w:line="360" w:lineRule="auto"/>
        <w:rPr>
          <w:color w:val="000000"/>
        </w:rPr>
      </w:pPr>
      <w:r w:rsidRPr="004654E9">
        <w:rPr>
          <w:color w:val="000000"/>
        </w:rPr>
        <w:t>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fracción I, de la Ley de Transparencia y Acceso a la Información Pública del Estado de México y Municipios, o públicos.</w:t>
      </w:r>
    </w:p>
    <w:p w14:paraId="32DB161E" w14:textId="77777777" w:rsidR="004654E9" w:rsidRPr="004654E9" w:rsidRDefault="004654E9" w:rsidP="007303B8">
      <w:pPr>
        <w:spacing w:after="0" w:line="360" w:lineRule="auto"/>
        <w:rPr>
          <w:b/>
          <w:color w:val="000000"/>
        </w:rPr>
      </w:pPr>
    </w:p>
    <w:p w14:paraId="19EC5458" w14:textId="6E304664" w:rsidR="004654E9" w:rsidRPr="004654E9" w:rsidRDefault="004654E9" w:rsidP="007303B8">
      <w:pPr>
        <w:numPr>
          <w:ilvl w:val="0"/>
          <w:numId w:val="18"/>
        </w:numPr>
        <w:spacing w:after="0" w:line="360" w:lineRule="auto"/>
        <w:contextualSpacing/>
        <w:jc w:val="left"/>
        <w:rPr>
          <w:rFonts w:eastAsia="Calibri" w:cs="Tahoma"/>
          <w:b/>
          <w:bCs/>
        </w:rPr>
      </w:pPr>
      <w:r w:rsidRPr="004654E9">
        <w:rPr>
          <w:rFonts w:eastAsia="Calibri" w:cs="Tahoma"/>
          <w:b/>
          <w:bCs/>
        </w:rPr>
        <w:t>Nombre de personas físicas proveedores</w:t>
      </w:r>
      <w:r w:rsidR="007303B8">
        <w:rPr>
          <w:rFonts w:eastAsia="Calibri" w:cs="Tahoma"/>
          <w:b/>
          <w:bCs/>
        </w:rPr>
        <w:t xml:space="preserve"> o contratistas</w:t>
      </w:r>
      <w:r w:rsidRPr="004654E9">
        <w:rPr>
          <w:rFonts w:eastAsia="Calibri" w:cs="Tahoma"/>
          <w:b/>
          <w:bCs/>
        </w:rPr>
        <w:t>.</w:t>
      </w:r>
    </w:p>
    <w:p w14:paraId="1A6C6679" w14:textId="77777777" w:rsidR="004654E9" w:rsidRPr="004654E9" w:rsidRDefault="004654E9" w:rsidP="007303B8">
      <w:pPr>
        <w:spacing w:after="0" w:line="360" w:lineRule="auto"/>
        <w:rPr>
          <w:rFonts w:eastAsia="Calibri" w:cs="Tahoma"/>
          <w:b/>
          <w:bCs/>
        </w:rPr>
      </w:pPr>
    </w:p>
    <w:p w14:paraId="4BA3F3C4" w14:textId="77777777" w:rsidR="004654E9" w:rsidRPr="004654E9" w:rsidRDefault="004654E9" w:rsidP="007303B8">
      <w:pPr>
        <w:spacing w:after="0" w:line="360" w:lineRule="auto"/>
        <w:ind w:right="-93"/>
        <w:rPr>
          <w:rFonts w:eastAsia="Calibri" w:cs="Tahoma"/>
          <w:bCs/>
          <w:lang w:val="es-ES_tradnl"/>
        </w:rPr>
      </w:pPr>
      <w:r w:rsidRPr="004654E9">
        <w:rPr>
          <w:rFonts w:eastAsia="Calibri" w:cs="Tahoma"/>
          <w:bCs/>
        </w:rPr>
        <w:t xml:space="preserve">Al respecto, cabe precisar que el nombre se integra </w:t>
      </w:r>
      <w:r w:rsidRPr="004654E9">
        <w:rPr>
          <w:rFonts w:eastAsia="Calibri" w:cs="Tahoma"/>
          <w:bCs/>
          <w:lang w:val="es-ES_tradnl"/>
        </w:rPr>
        <w:t xml:space="preserve">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4654E9">
        <w:rPr>
          <w:rFonts w:eastAsia="Calibri" w:cs="Tahoma"/>
          <w:bCs/>
          <w:i/>
          <w:lang w:val="es-ES_tradnl"/>
        </w:rPr>
        <w:t>per se</w:t>
      </w:r>
      <w:r w:rsidRPr="004654E9">
        <w:rPr>
          <w:rFonts w:eastAsia="Calibri" w:cs="Tahoma"/>
          <w:bCs/>
          <w:lang w:val="es-ES_tradnl"/>
        </w:rPr>
        <w:t xml:space="preserve"> es un elemento que hace a una persona física identificada o identificable.</w:t>
      </w:r>
    </w:p>
    <w:p w14:paraId="6BCB8ECD" w14:textId="77777777" w:rsidR="004654E9" w:rsidRPr="004654E9" w:rsidRDefault="004654E9" w:rsidP="007303B8">
      <w:pPr>
        <w:spacing w:after="0" w:line="360" w:lineRule="auto"/>
        <w:ind w:right="-93"/>
        <w:rPr>
          <w:rFonts w:eastAsia="Calibri" w:cs="Tahoma"/>
          <w:bCs/>
          <w:lang w:val="es-ES_tradnl"/>
        </w:rPr>
      </w:pPr>
    </w:p>
    <w:p w14:paraId="7B323E30" w14:textId="5AFBEA3A" w:rsidR="004654E9" w:rsidRPr="004654E9" w:rsidRDefault="004654E9" w:rsidP="007303B8">
      <w:pPr>
        <w:spacing w:after="0" w:line="360" w:lineRule="auto"/>
        <w:ind w:right="-93"/>
        <w:rPr>
          <w:rFonts w:eastAsia="Calibri" w:cs="Tahoma"/>
          <w:bCs/>
          <w:lang w:val="es-ES_tradnl"/>
        </w:rPr>
      </w:pPr>
      <w:r w:rsidRPr="004654E9">
        <w:rPr>
          <w:rFonts w:eastAsia="Calibri" w:cs="Tahoma"/>
          <w:bCs/>
          <w:lang w:val="es-ES_tradnl"/>
        </w:rPr>
        <w:t xml:space="preserve">En ese contexto, es importante mencionar que si bien es cierto que el nombre de una persona es atributo de la personalidad, de conformidad con la legislación civil, al tratarse de un dato personal hace identificable a su titular, además la Ley de Transparencia y Acceso a la Información Pública del Estado de México y Municipios ha establecido un régimen de excepción tratándose de </w:t>
      </w:r>
      <w:r w:rsidRPr="004654E9">
        <w:rPr>
          <w:rFonts w:eastAsia="Calibri" w:cs="Tahoma"/>
          <w:b/>
          <w:bCs/>
          <w:lang w:val="es-ES_tradnl"/>
        </w:rPr>
        <w:t>los nombres de aquellos que reciben recursos públicos (proveedores</w:t>
      </w:r>
      <w:r w:rsidR="007303B8">
        <w:rPr>
          <w:rFonts w:eastAsia="Calibri" w:cs="Tahoma"/>
          <w:b/>
          <w:bCs/>
          <w:lang w:val="es-ES_tradnl"/>
        </w:rPr>
        <w:t xml:space="preserve"> o contratistas</w:t>
      </w:r>
      <w:r w:rsidRPr="004654E9">
        <w:rPr>
          <w:rFonts w:eastAsia="Calibri" w:cs="Tahoma"/>
          <w:b/>
          <w:bCs/>
          <w:lang w:val="es-ES_tradnl"/>
        </w:rPr>
        <w:t>),</w:t>
      </w:r>
      <w:r w:rsidRPr="004654E9">
        <w:rPr>
          <w:rFonts w:eastAsia="Calibri" w:cs="Tahoma"/>
          <w:bCs/>
          <w:lang w:val="es-ES_tradnl"/>
        </w:rPr>
        <w:t xml:space="preserve"> ya que la difusión de dicho dato constituye una obligación de transparencia por parte de los sujetos obligados.</w:t>
      </w:r>
    </w:p>
    <w:p w14:paraId="5188B10C" w14:textId="77777777" w:rsidR="004654E9" w:rsidRPr="004654E9" w:rsidRDefault="004654E9" w:rsidP="007303B8">
      <w:pPr>
        <w:spacing w:after="0" w:line="360" w:lineRule="auto"/>
        <w:ind w:right="-93"/>
        <w:rPr>
          <w:rFonts w:eastAsia="Calibri" w:cs="Tahoma"/>
          <w:bCs/>
          <w:lang w:val="es-ES_tradnl"/>
        </w:rPr>
      </w:pPr>
    </w:p>
    <w:p w14:paraId="03FCEBB6" w14:textId="77777777" w:rsidR="004654E9" w:rsidRPr="004654E9" w:rsidRDefault="004654E9" w:rsidP="007303B8">
      <w:pPr>
        <w:spacing w:after="0" w:line="360" w:lineRule="auto"/>
        <w:ind w:right="-93"/>
        <w:rPr>
          <w:rFonts w:eastAsia="Calibri" w:cs="Tahoma"/>
          <w:b/>
          <w:bCs/>
          <w:lang w:val="es-ES_tradnl"/>
        </w:rPr>
      </w:pPr>
      <w:r w:rsidRPr="004654E9">
        <w:rPr>
          <w:rFonts w:eastAsia="Calibri" w:cs="Tahoma"/>
          <w:bCs/>
          <w:lang w:val="es-ES_tradnl"/>
        </w:rPr>
        <w:t xml:space="preserve">Toma sustento con el artículo 92, fracciones XXXI, de la Ley de la materia, el cual establece que los sujetos obligados tienen la obligación de poner a disposición del público y mantener actualizada de acuerdo con sus facultades, atribuciones, funciones u objeto social, según corresponda el </w:t>
      </w:r>
      <w:r w:rsidRPr="004654E9">
        <w:rPr>
          <w:rFonts w:eastAsia="Calibri" w:cs="Tahoma"/>
          <w:b/>
          <w:bCs/>
          <w:lang w:val="es-ES_tradnl"/>
        </w:rPr>
        <w:t>Padrón de proveedores y contratistas.</w:t>
      </w:r>
    </w:p>
    <w:p w14:paraId="18EB4A22" w14:textId="77777777" w:rsidR="004654E9" w:rsidRPr="004654E9" w:rsidRDefault="004654E9" w:rsidP="007303B8">
      <w:pPr>
        <w:spacing w:after="0" w:line="360" w:lineRule="auto"/>
        <w:ind w:right="-93"/>
        <w:rPr>
          <w:rFonts w:eastAsia="Calibri" w:cs="Tahoma"/>
          <w:b/>
          <w:bCs/>
          <w:lang w:val="es-ES_tradnl"/>
        </w:rPr>
      </w:pPr>
    </w:p>
    <w:p w14:paraId="1587C9DA" w14:textId="77777777" w:rsidR="004654E9" w:rsidRPr="004654E9" w:rsidRDefault="004654E9" w:rsidP="007303B8">
      <w:pPr>
        <w:spacing w:after="0" w:line="360" w:lineRule="auto"/>
        <w:ind w:right="-93"/>
        <w:rPr>
          <w:rFonts w:eastAsia="Calibri" w:cs="Tahoma"/>
          <w:bCs/>
          <w:lang w:val="es-ES_tradnl"/>
        </w:rPr>
      </w:pPr>
      <w:r w:rsidRPr="004654E9">
        <w:rPr>
          <w:rFonts w:eastAsia="Calibri" w:cs="Tahoma"/>
          <w:bCs/>
          <w:lang w:val="es-ES_tradnl"/>
        </w:rPr>
        <w:t>Además, se robustece con 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tal como se muestran a continuación:</w:t>
      </w:r>
    </w:p>
    <w:p w14:paraId="15577F53" w14:textId="77777777" w:rsidR="004654E9" w:rsidRPr="004654E9" w:rsidRDefault="004654E9" w:rsidP="007303B8">
      <w:pPr>
        <w:spacing w:after="0" w:line="360" w:lineRule="auto"/>
        <w:ind w:right="-93"/>
        <w:rPr>
          <w:rFonts w:eastAsia="Calibri" w:cs="Tahoma"/>
          <w:bCs/>
          <w:lang w:val="es-ES_tradnl"/>
        </w:rPr>
      </w:pPr>
    </w:p>
    <w:p w14:paraId="58BC3F6F" w14:textId="77777777" w:rsidR="004654E9" w:rsidRPr="004654E9" w:rsidRDefault="004654E9" w:rsidP="007303B8">
      <w:pPr>
        <w:spacing w:after="0" w:line="360" w:lineRule="auto"/>
        <w:ind w:right="-93"/>
        <w:rPr>
          <w:rFonts w:eastAsia="Calibri" w:cs="Tahoma"/>
          <w:b/>
          <w:bCs/>
          <w:lang w:val="es-ES_tradnl"/>
        </w:rPr>
      </w:pPr>
      <w:r w:rsidRPr="004654E9">
        <w:rPr>
          <w:rFonts w:ascii="Times New Roman" w:eastAsia="Times New Roman" w:hAnsi="Times New Roman" w:cs="Times New Roman"/>
          <w:noProof/>
          <w:sz w:val="20"/>
          <w:szCs w:val="20"/>
        </w:rPr>
        <w:drawing>
          <wp:inline distT="0" distB="0" distL="0" distR="0" wp14:anchorId="253E9470" wp14:editId="6CD164F3">
            <wp:extent cx="5743575" cy="752475"/>
            <wp:effectExtent l="0" t="0" r="9525" b="9525"/>
            <wp:docPr id="115905814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0">
                      <a:extLst>
                        <a:ext uri="{28A0092B-C50C-407E-A947-70E740481C1C}">
                          <a14:useLocalDpi xmlns:a14="http://schemas.microsoft.com/office/drawing/2010/main" val="0"/>
                        </a:ext>
                      </a:extLst>
                    </a:blip>
                    <a:srcRect b="84505"/>
                    <a:stretch>
                      <a:fillRect/>
                    </a:stretch>
                  </pic:blipFill>
                  <pic:spPr bwMode="auto">
                    <a:xfrm>
                      <a:off x="0" y="0"/>
                      <a:ext cx="5743575" cy="752475"/>
                    </a:xfrm>
                    <a:prstGeom prst="rect">
                      <a:avLst/>
                    </a:prstGeom>
                    <a:noFill/>
                    <a:ln>
                      <a:noFill/>
                    </a:ln>
                  </pic:spPr>
                </pic:pic>
              </a:graphicData>
            </a:graphic>
          </wp:inline>
        </w:drawing>
      </w:r>
    </w:p>
    <w:p w14:paraId="48DA6C93" w14:textId="77777777" w:rsidR="004654E9" w:rsidRPr="004654E9" w:rsidRDefault="004654E9" w:rsidP="007303B8">
      <w:pPr>
        <w:spacing w:after="0" w:line="360" w:lineRule="auto"/>
        <w:ind w:right="-93"/>
        <w:rPr>
          <w:rFonts w:eastAsia="Calibri" w:cs="Tahoma"/>
          <w:b/>
          <w:bCs/>
          <w:lang w:val="es-ES_tradnl"/>
        </w:rPr>
      </w:pPr>
      <w:r w:rsidRPr="004654E9">
        <w:rPr>
          <w:rFonts w:ascii="Times New Roman" w:eastAsia="Times New Roman" w:hAnsi="Times New Roman" w:cs="Times New Roman"/>
          <w:noProof/>
          <w:sz w:val="20"/>
          <w:szCs w:val="20"/>
        </w:rPr>
        <w:drawing>
          <wp:inline distT="0" distB="0" distL="0" distR="0" wp14:anchorId="381ABD6E" wp14:editId="74E2083D">
            <wp:extent cx="5743575" cy="495300"/>
            <wp:effectExtent l="0" t="0" r="9525" b="0"/>
            <wp:docPr id="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0">
                      <a:extLst>
                        <a:ext uri="{28A0092B-C50C-407E-A947-70E740481C1C}">
                          <a14:useLocalDpi xmlns:a14="http://schemas.microsoft.com/office/drawing/2010/main" val="0"/>
                        </a:ext>
                      </a:extLst>
                    </a:blip>
                    <a:srcRect t="89838" b="-38"/>
                    <a:stretch>
                      <a:fillRect/>
                    </a:stretch>
                  </pic:blipFill>
                  <pic:spPr bwMode="auto">
                    <a:xfrm>
                      <a:off x="0" y="0"/>
                      <a:ext cx="5743575" cy="495300"/>
                    </a:xfrm>
                    <a:prstGeom prst="rect">
                      <a:avLst/>
                    </a:prstGeom>
                    <a:noFill/>
                    <a:ln>
                      <a:noFill/>
                    </a:ln>
                  </pic:spPr>
                </pic:pic>
              </a:graphicData>
            </a:graphic>
          </wp:inline>
        </w:drawing>
      </w:r>
    </w:p>
    <w:p w14:paraId="7E8428C7" w14:textId="77777777" w:rsidR="004654E9" w:rsidRPr="004654E9" w:rsidRDefault="004654E9" w:rsidP="007303B8">
      <w:pPr>
        <w:spacing w:after="0" w:line="360" w:lineRule="auto"/>
        <w:ind w:right="-93"/>
        <w:rPr>
          <w:rFonts w:eastAsia="Calibri" w:cs="Tahoma"/>
          <w:b/>
          <w:bCs/>
          <w:lang w:val="es-ES_tradnl"/>
        </w:rPr>
      </w:pPr>
    </w:p>
    <w:p w14:paraId="2F1D5148" w14:textId="77777777" w:rsidR="004654E9" w:rsidRPr="004654E9" w:rsidRDefault="004654E9" w:rsidP="007303B8">
      <w:pPr>
        <w:spacing w:after="0" w:line="360" w:lineRule="auto"/>
        <w:ind w:right="-93"/>
        <w:rPr>
          <w:rFonts w:eastAsia="Calibri" w:cs="Tahoma"/>
          <w:b/>
          <w:bCs/>
          <w:lang w:val="es-ES_tradnl"/>
        </w:rPr>
      </w:pPr>
      <w:r w:rsidRPr="004654E9">
        <w:rPr>
          <w:rFonts w:eastAsia="Calibri" w:cs="Tahoma"/>
          <w:bCs/>
          <w:lang w:val="es-ES_tradnl"/>
        </w:rPr>
        <w:t xml:space="preserve">Por lo tanto, la Ley de Transparencia y Acceso a la Información Pública del Estado de México y Municipios, considera que </w:t>
      </w:r>
      <w:r w:rsidRPr="004654E9">
        <w:rPr>
          <w:rFonts w:eastAsia="Calibri" w:cs="Tahoma"/>
          <w:b/>
          <w:bCs/>
          <w:lang w:val="es-ES_tradnl"/>
        </w:rPr>
        <w:t xml:space="preserve">los datos de aquellas personas que recibieron recursos públicos, por regla general, </w:t>
      </w:r>
      <w:r w:rsidRPr="004654E9">
        <w:rPr>
          <w:rFonts w:eastAsia="Calibri" w:cs="Tahoma"/>
          <w:bCs/>
          <w:lang w:val="es-ES_tradnl"/>
        </w:rPr>
        <w:t xml:space="preserve">son de naturaleza pública, ya que su publicidad orienta a cumplir los objetivos que persigue la Ley; toda vez, </w:t>
      </w:r>
      <w:r w:rsidRPr="004654E9">
        <w:rPr>
          <w:rFonts w:eastAsia="Calibri" w:cs="Tahoma"/>
          <w:b/>
          <w:bCs/>
          <w:lang w:val="es-ES_tradnl"/>
        </w:rPr>
        <w:t>que ayuda a transparentar a quienes se les han otorgado recursos públicos, así como, porque razones se les otorgaron dichos montos.</w:t>
      </w:r>
    </w:p>
    <w:p w14:paraId="12C3FBB8" w14:textId="77777777" w:rsidR="004654E9" w:rsidRPr="004654E9" w:rsidRDefault="004654E9" w:rsidP="007303B8">
      <w:pPr>
        <w:spacing w:after="0" w:line="360" w:lineRule="auto"/>
        <w:rPr>
          <w:rFonts w:eastAsia="Calibri" w:cs="Tahoma"/>
          <w:b/>
          <w:bCs/>
        </w:rPr>
      </w:pPr>
    </w:p>
    <w:p w14:paraId="039C7D0B" w14:textId="4803EF20" w:rsidR="004654E9" w:rsidRDefault="004654E9" w:rsidP="007303B8">
      <w:pPr>
        <w:spacing w:after="0" w:line="360" w:lineRule="auto"/>
        <w:rPr>
          <w:rFonts w:eastAsia="Calibri" w:cs="Tahoma"/>
          <w:bCs/>
        </w:rPr>
      </w:pPr>
      <w:r w:rsidRPr="004654E9">
        <w:rPr>
          <w:rFonts w:eastAsia="Calibri" w:cs="Tahoma"/>
          <w:bCs/>
        </w:rPr>
        <w:t>Por lo que, se considera que no procede la clasificación del nombre de los proveedores</w:t>
      </w:r>
      <w:r w:rsidR="007303B8">
        <w:rPr>
          <w:rFonts w:eastAsia="Calibri" w:cs="Tahoma"/>
          <w:bCs/>
        </w:rPr>
        <w:t xml:space="preserve"> o contratistas</w:t>
      </w:r>
      <w:r w:rsidRPr="004654E9">
        <w:rPr>
          <w:rFonts w:eastAsia="Calibri" w:cs="Tahoma"/>
          <w:bCs/>
        </w:rPr>
        <w:t>, en términos del artículo 143, fracción I de la Ley de Transparencia y Acceso a la Información Pública del Estado de México y Municipios.</w:t>
      </w:r>
    </w:p>
    <w:p w14:paraId="2733AAFF" w14:textId="77777777" w:rsidR="007303B8" w:rsidRPr="004654E9" w:rsidRDefault="007303B8" w:rsidP="007303B8">
      <w:pPr>
        <w:spacing w:after="0" w:line="360" w:lineRule="auto"/>
        <w:rPr>
          <w:rFonts w:eastAsia="Calibri" w:cs="Tahoma"/>
          <w:bCs/>
        </w:rPr>
      </w:pPr>
    </w:p>
    <w:p w14:paraId="2575AF24" w14:textId="65584C6E" w:rsidR="004654E9" w:rsidRPr="004654E9" w:rsidRDefault="004654E9" w:rsidP="007303B8">
      <w:pPr>
        <w:numPr>
          <w:ilvl w:val="0"/>
          <w:numId w:val="18"/>
        </w:numPr>
        <w:spacing w:after="0" w:line="360" w:lineRule="auto"/>
        <w:contextualSpacing/>
        <w:jc w:val="left"/>
        <w:rPr>
          <w:rFonts w:eastAsia="Calibri" w:cs="Tahoma"/>
          <w:b/>
          <w:bCs/>
        </w:rPr>
      </w:pPr>
      <w:r w:rsidRPr="004654E9">
        <w:rPr>
          <w:rFonts w:eastAsia="Calibri" w:cs="Tahoma"/>
          <w:b/>
          <w:bCs/>
        </w:rPr>
        <w:t>Denominación o razón Social de proveedores</w:t>
      </w:r>
      <w:r w:rsidR="007303B8">
        <w:rPr>
          <w:rFonts w:eastAsia="Calibri" w:cs="Tahoma"/>
          <w:b/>
          <w:bCs/>
        </w:rPr>
        <w:t xml:space="preserve"> o contratistas</w:t>
      </w:r>
      <w:r w:rsidRPr="004654E9">
        <w:rPr>
          <w:rFonts w:eastAsia="Calibri" w:cs="Tahoma"/>
          <w:b/>
          <w:bCs/>
        </w:rPr>
        <w:t xml:space="preserve"> personas morales.</w:t>
      </w:r>
    </w:p>
    <w:p w14:paraId="2ECCCEFF" w14:textId="77777777" w:rsidR="004654E9" w:rsidRPr="004654E9" w:rsidRDefault="004654E9" w:rsidP="007303B8">
      <w:pPr>
        <w:spacing w:after="0" w:line="360" w:lineRule="auto"/>
        <w:rPr>
          <w:rFonts w:eastAsia="Calibri" w:cs="Tahoma"/>
          <w:b/>
          <w:bCs/>
        </w:rPr>
      </w:pPr>
    </w:p>
    <w:p w14:paraId="022DDB17" w14:textId="77777777" w:rsidR="004654E9" w:rsidRPr="004654E9" w:rsidRDefault="004654E9" w:rsidP="007303B8">
      <w:pPr>
        <w:spacing w:after="0" w:line="360" w:lineRule="auto"/>
        <w:rPr>
          <w:rFonts w:eastAsia="Calibri" w:cs="Tahoma"/>
          <w:bCs/>
        </w:rPr>
      </w:pPr>
      <w:r w:rsidRPr="004654E9">
        <w:rPr>
          <w:rFonts w:eastAsia="Calibri" w:cs="Tahoma"/>
          <w:bCs/>
        </w:rPr>
        <w:t xml:space="preserve">Al respecto, se considera que la denominación o razón social de una persona moral, es pública, pues dichos datos se encuentran inscritos en el Registro Público del Comercio; lo anterior, toma sustento en el </w:t>
      </w:r>
      <w:r w:rsidRPr="004654E9">
        <w:rPr>
          <w:rFonts w:eastAsia="Calibri" w:cs="Tahoma"/>
          <w:bCs/>
          <w:lang w:val="es-ES"/>
        </w:rPr>
        <w:t xml:space="preserve">Criterio de Interpretación, de la Segunda Época, con número de registro </w:t>
      </w:r>
      <w:r w:rsidRPr="004654E9">
        <w:rPr>
          <w:rFonts w:eastAsia="Calibri" w:cs="Tahoma"/>
          <w:bCs/>
        </w:rPr>
        <w:t>SO/008/2019, emitido por el Instituto Nacional de Transparencia, Acceso a la Información y Protección de Datos Personales, que precisa lo siguiente:</w:t>
      </w:r>
    </w:p>
    <w:p w14:paraId="343ABBA7" w14:textId="77777777" w:rsidR="004654E9" w:rsidRPr="004654E9" w:rsidRDefault="004654E9" w:rsidP="007303B8">
      <w:pPr>
        <w:spacing w:after="0" w:line="360" w:lineRule="auto"/>
        <w:rPr>
          <w:rFonts w:eastAsia="Calibri" w:cs="Tahoma"/>
          <w:bCs/>
        </w:rPr>
      </w:pPr>
    </w:p>
    <w:p w14:paraId="4C3DB549" w14:textId="77777777" w:rsidR="004654E9" w:rsidRPr="004654E9" w:rsidRDefault="004654E9" w:rsidP="007303B8">
      <w:pPr>
        <w:spacing w:after="0" w:line="360" w:lineRule="auto"/>
        <w:ind w:left="567" w:right="567"/>
        <w:rPr>
          <w:rFonts w:eastAsia="Calibri" w:cs="Tahoma"/>
          <w:bCs/>
          <w:i/>
          <w:sz w:val="20"/>
          <w:szCs w:val="20"/>
        </w:rPr>
      </w:pPr>
      <w:r w:rsidRPr="004654E9">
        <w:rPr>
          <w:rFonts w:eastAsia="Calibri" w:cs="Tahoma"/>
          <w:b/>
          <w:bCs/>
          <w:i/>
          <w:sz w:val="20"/>
          <w:szCs w:val="20"/>
        </w:rPr>
        <w:t xml:space="preserve">“Razón social y RFC de personas morales. </w:t>
      </w:r>
      <w:r w:rsidRPr="004654E9">
        <w:rPr>
          <w:rFonts w:eastAsia="Calibri" w:cs="Tahoma"/>
          <w:i/>
          <w:sz w:val="20"/>
          <w:szCs w:val="20"/>
        </w:rPr>
        <w:t>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jurídico o administrativo que sean útiles o representen una ventaja a sus competidores.”</w:t>
      </w:r>
    </w:p>
    <w:p w14:paraId="7660842A" w14:textId="77777777" w:rsidR="004654E9" w:rsidRPr="004654E9" w:rsidRDefault="004654E9" w:rsidP="007303B8">
      <w:pPr>
        <w:spacing w:after="0" w:line="360" w:lineRule="auto"/>
        <w:rPr>
          <w:rFonts w:eastAsia="Calibri" w:cs="Tahoma"/>
          <w:b/>
          <w:bCs/>
        </w:rPr>
      </w:pPr>
    </w:p>
    <w:p w14:paraId="6FBB2682" w14:textId="77777777" w:rsidR="004654E9" w:rsidRPr="004654E9" w:rsidRDefault="004654E9" w:rsidP="007303B8">
      <w:pPr>
        <w:spacing w:after="0" w:line="360" w:lineRule="auto"/>
        <w:rPr>
          <w:rFonts w:eastAsia="Calibri" w:cs="Tahoma"/>
          <w:bCs/>
          <w:lang w:val="es-ES_tradnl"/>
        </w:rPr>
      </w:pPr>
      <w:r w:rsidRPr="004654E9">
        <w:rPr>
          <w:rFonts w:eastAsia="Calibri" w:cs="Tahoma"/>
          <w:bCs/>
        </w:rPr>
        <w:t xml:space="preserve">Lo anterior, se robustece con el hecho de que el Ente Recurrido tiene como obligación común de transparencia, poner a disposición del público el padrón de proveedores y contratistas, que como se advirtió en párrafos anteriores debe incluir la denominación o razón social del proveedor o contratista, de conformidad con los </w:t>
      </w:r>
      <w:r w:rsidRPr="004654E9">
        <w:rPr>
          <w:rFonts w:eastAsia="Calibri" w:cs="Tahoma"/>
          <w:bCs/>
          <w:lang w:val="es-ES_tradnl"/>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p w14:paraId="79C12EC0" w14:textId="77777777" w:rsidR="004654E9" w:rsidRPr="004654E9" w:rsidRDefault="004654E9" w:rsidP="007303B8">
      <w:pPr>
        <w:spacing w:after="0" w:line="360" w:lineRule="auto"/>
        <w:rPr>
          <w:rFonts w:eastAsia="Calibri" w:cs="Tahoma"/>
          <w:bCs/>
          <w:lang w:val="es-ES_tradnl"/>
        </w:rPr>
      </w:pPr>
    </w:p>
    <w:p w14:paraId="032B80C0" w14:textId="316CA6C2" w:rsidR="004654E9" w:rsidRPr="004654E9" w:rsidRDefault="004654E9" w:rsidP="007303B8">
      <w:pPr>
        <w:spacing w:after="0" w:line="360" w:lineRule="auto"/>
        <w:rPr>
          <w:rFonts w:eastAsia="Calibri" w:cs="Tahoma"/>
          <w:bCs/>
        </w:rPr>
      </w:pPr>
      <w:r w:rsidRPr="004654E9">
        <w:rPr>
          <w:rFonts w:eastAsia="Calibri" w:cs="Tahoma"/>
          <w:bCs/>
          <w:lang w:val="es-ES_tradnl"/>
        </w:rPr>
        <w:t xml:space="preserve">Por lo tanto, no procede la clasificación de la denominación o razón social de los proveedores </w:t>
      </w:r>
      <w:r w:rsidR="007303B8">
        <w:rPr>
          <w:rFonts w:eastAsia="Calibri" w:cs="Tahoma"/>
          <w:bCs/>
          <w:lang w:val="es-ES_tradnl"/>
        </w:rPr>
        <w:t xml:space="preserve">o contratistas </w:t>
      </w:r>
      <w:r w:rsidRPr="004654E9">
        <w:rPr>
          <w:rFonts w:eastAsia="Calibri" w:cs="Tahoma"/>
          <w:bCs/>
          <w:lang w:val="es-ES_tradnl"/>
        </w:rPr>
        <w:t>personas morales, en términos del artículo 143, fracción I de la Ley de Transparencia y Acceso a la Información Pública del Estado de México y Municipios.</w:t>
      </w:r>
    </w:p>
    <w:p w14:paraId="36F7091D" w14:textId="77777777" w:rsidR="004654E9" w:rsidRPr="004654E9" w:rsidRDefault="004654E9" w:rsidP="007303B8">
      <w:pPr>
        <w:spacing w:after="0" w:line="360" w:lineRule="auto"/>
        <w:rPr>
          <w:b/>
          <w:color w:val="000000"/>
        </w:rPr>
      </w:pPr>
    </w:p>
    <w:p w14:paraId="3E255C54" w14:textId="77777777" w:rsidR="004654E9" w:rsidRPr="004654E9" w:rsidRDefault="004654E9" w:rsidP="007303B8">
      <w:pPr>
        <w:numPr>
          <w:ilvl w:val="0"/>
          <w:numId w:val="15"/>
        </w:numPr>
        <w:pBdr>
          <w:top w:val="nil"/>
          <w:left w:val="nil"/>
          <w:bottom w:val="nil"/>
          <w:right w:val="nil"/>
          <w:between w:val="nil"/>
        </w:pBdr>
        <w:spacing w:after="0" w:line="360" w:lineRule="auto"/>
        <w:jc w:val="left"/>
        <w:rPr>
          <w:b/>
          <w:color w:val="000000"/>
        </w:rPr>
      </w:pPr>
      <w:r w:rsidRPr="004654E9">
        <w:rPr>
          <w:b/>
          <w:color w:val="000000"/>
        </w:rPr>
        <w:t>Registro Federal de Contribuyentes del proveedor o contratista</w:t>
      </w:r>
    </w:p>
    <w:p w14:paraId="3A53D53D" w14:textId="77777777" w:rsidR="004654E9" w:rsidRPr="004654E9" w:rsidRDefault="004654E9" w:rsidP="007303B8">
      <w:pPr>
        <w:spacing w:after="0" w:line="360" w:lineRule="auto"/>
        <w:rPr>
          <w:color w:val="000000"/>
        </w:rPr>
      </w:pPr>
    </w:p>
    <w:p w14:paraId="3D284D04" w14:textId="77777777" w:rsidR="004654E9" w:rsidRPr="004654E9" w:rsidRDefault="004654E9" w:rsidP="007303B8">
      <w:pPr>
        <w:spacing w:after="0" w:line="360" w:lineRule="auto"/>
        <w:rPr>
          <w:b/>
          <w:color w:val="000000"/>
        </w:rPr>
      </w:pPr>
      <w:r w:rsidRPr="004654E9">
        <w:rPr>
          <w:b/>
          <w:color w:val="000000"/>
        </w:rPr>
        <w:t>Persona física</w:t>
      </w:r>
    </w:p>
    <w:p w14:paraId="4E1F73B6" w14:textId="77777777" w:rsidR="004654E9" w:rsidRPr="004654E9" w:rsidRDefault="004654E9" w:rsidP="007303B8">
      <w:pPr>
        <w:spacing w:after="0" w:line="360" w:lineRule="auto"/>
        <w:rPr>
          <w:color w:val="000000"/>
        </w:rPr>
      </w:pPr>
    </w:p>
    <w:p w14:paraId="27A6DE1E" w14:textId="77777777" w:rsidR="004654E9" w:rsidRPr="004654E9" w:rsidRDefault="004654E9" w:rsidP="007303B8">
      <w:pPr>
        <w:spacing w:after="0" w:line="360" w:lineRule="auto"/>
        <w:rPr>
          <w:color w:val="000000"/>
        </w:rPr>
      </w:pPr>
      <w:r w:rsidRPr="004654E9">
        <w:rPr>
          <w:color w:val="000000"/>
        </w:rPr>
        <w:t>Al respecto, es necesario precisar que el proveedor de cualquier Sujeto Obligado de la Ley de la materia, que sea una persona física, debe cumplir con los requisitos establecidos en los artículos 29 y 32 del Reglamento de la Ley de Contratación Pública del Estado de México y Municipios; es decir, para que los individuos puedan participar en actos de adquisición o de contratación de servicios que requieran las dependencias, organismos auxiliares y tribunales administrativos, así como los Gobiernos Municipales, deberán presentar, entre otras cosas, la cédula de identificación fiscal (Registro Federal de Contribuyentes); por lo que la entrega de dicho dato permite verificar cumplimiento de esta disposición legal.</w:t>
      </w:r>
    </w:p>
    <w:p w14:paraId="47A3E5F0" w14:textId="77777777" w:rsidR="004654E9" w:rsidRPr="004654E9" w:rsidRDefault="004654E9" w:rsidP="007303B8">
      <w:pPr>
        <w:spacing w:after="0" w:line="360" w:lineRule="auto"/>
        <w:rPr>
          <w:color w:val="000000"/>
        </w:rPr>
      </w:pPr>
    </w:p>
    <w:p w14:paraId="75B8F523" w14:textId="77777777" w:rsidR="004654E9" w:rsidRPr="004654E9" w:rsidRDefault="004654E9" w:rsidP="007303B8">
      <w:pPr>
        <w:spacing w:after="0" w:line="360" w:lineRule="auto"/>
        <w:rPr>
          <w:color w:val="000000"/>
        </w:rPr>
      </w:pPr>
      <w:r w:rsidRPr="004654E9">
        <w:rPr>
          <w:color w:val="000000"/>
        </w:rPr>
        <w:t>Por lo tanto, en el presente caso, si bien el Registro Federal de Contribuyentes de personas físicas es un dato personal, también lo es, que corresponde a un requisito indispensable para ser proveedor y poder llevar a cabo actividades comerciales con la Entidad, ya que, sin este, no se pueden realizar dichas acciones, por lo que su entrega es un elemento adicional que respalda la legalidad de los procesos adquisitivos.</w:t>
      </w:r>
    </w:p>
    <w:p w14:paraId="53A12E75" w14:textId="77777777" w:rsidR="004654E9" w:rsidRPr="004654E9" w:rsidRDefault="004654E9" w:rsidP="007303B8">
      <w:pPr>
        <w:spacing w:after="0" w:line="360" w:lineRule="auto"/>
        <w:rPr>
          <w:color w:val="000000"/>
        </w:rPr>
      </w:pPr>
    </w:p>
    <w:p w14:paraId="69802A53" w14:textId="3F953F65" w:rsidR="004654E9" w:rsidRPr="004654E9" w:rsidRDefault="004654E9" w:rsidP="007303B8">
      <w:pPr>
        <w:spacing w:after="0" w:line="360" w:lineRule="auto"/>
        <w:rPr>
          <w:color w:val="000000"/>
        </w:rPr>
      </w:pPr>
      <w:r w:rsidRPr="004654E9">
        <w:rPr>
          <w:color w:val="000000"/>
        </w:rPr>
        <w:t>En ese contexto, entregar el Registro Federal de Contribuyentes aún de personas físicas cuando son proveedores</w:t>
      </w:r>
      <w:r w:rsidR="007303B8">
        <w:rPr>
          <w:color w:val="000000"/>
        </w:rPr>
        <w:t xml:space="preserve"> o contratistas</w:t>
      </w:r>
      <w:r w:rsidRPr="004654E9">
        <w:rPr>
          <w:color w:val="000000"/>
        </w:rPr>
        <w:t xml:space="preserve"> de instituciones públicas, propiciaría la rendición de cuentas, al permitir verificar que se cumplió con uno de los requisitos necesarios conforme a la normatividad aplicable en materia de contrataciones, lo cual, transparenta el correcto ejercicio de recursos públicos por parte de los sujetos obligados, lo que es acorde con el principio de máxima publicidad.</w:t>
      </w:r>
    </w:p>
    <w:p w14:paraId="74E49A99" w14:textId="77777777" w:rsidR="004654E9" w:rsidRPr="004654E9" w:rsidRDefault="004654E9" w:rsidP="007303B8">
      <w:pPr>
        <w:spacing w:after="0" w:line="360" w:lineRule="auto"/>
        <w:rPr>
          <w:color w:val="000000"/>
        </w:rPr>
      </w:pPr>
    </w:p>
    <w:p w14:paraId="010BE7BB" w14:textId="77777777" w:rsidR="004654E9" w:rsidRPr="004654E9" w:rsidRDefault="004654E9" w:rsidP="007303B8">
      <w:pPr>
        <w:tabs>
          <w:tab w:val="center" w:pos="4522"/>
        </w:tabs>
        <w:spacing w:after="0" w:line="360" w:lineRule="auto"/>
        <w:rPr>
          <w:color w:val="000000"/>
        </w:rPr>
      </w:pPr>
      <w:r w:rsidRPr="004654E9">
        <w:rPr>
          <w:color w:val="000000"/>
        </w:rPr>
        <w:t>Lo anterior, se robustece con el Criterio Orientador, de la Segunda Época, con número de registro SO/004/2021, emitido por el entonces Instituto Nacional de Transparencia, Acceso a la Información y Protección de Datos Personales, vigente a la fecha de la solicitud, en el cual se señala lo siguiente:</w:t>
      </w:r>
    </w:p>
    <w:p w14:paraId="40C5A60F" w14:textId="77777777" w:rsidR="004654E9" w:rsidRPr="004654E9" w:rsidRDefault="004654E9" w:rsidP="007303B8">
      <w:pPr>
        <w:tabs>
          <w:tab w:val="center" w:pos="4522"/>
        </w:tabs>
        <w:spacing w:after="0" w:line="360" w:lineRule="auto"/>
        <w:rPr>
          <w:color w:val="000000"/>
        </w:rPr>
      </w:pPr>
    </w:p>
    <w:p w14:paraId="79805EF8" w14:textId="77777777" w:rsidR="004654E9" w:rsidRPr="004654E9" w:rsidRDefault="004654E9" w:rsidP="007303B8">
      <w:pPr>
        <w:tabs>
          <w:tab w:val="center" w:pos="4522"/>
        </w:tabs>
        <w:spacing w:after="0" w:line="360" w:lineRule="auto"/>
        <w:ind w:left="567" w:right="567"/>
        <w:rPr>
          <w:i/>
          <w:color w:val="000000"/>
          <w:sz w:val="20"/>
          <w:szCs w:val="20"/>
        </w:rPr>
      </w:pPr>
      <w:r w:rsidRPr="004654E9">
        <w:rPr>
          <w:b/>
          <w:i/>
          <w:color w:val="000000"/>
          <w:sz w:val="20"/>
          <w:szCs w:val="20"/>
        </w:rPr>
        <w:t xml:space="preserve">“Registro Federal de Contribuyentes (RFC) de personas físicas proveedores o contratistas. </w:t>
      </w:r>
      <w:r w:rsidRPr="004654E9">
        <w:rPr>
          <w:i/>
          <w:color w:val="000000"/>
          <w:sz w:val="20"/>
          <w:szCs w:val="20"/>
        </w:rPr>
        <w:t>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4CC84D60" w14:textId="77777777" w:rsidR="004654E9" w:rsidRDefault="004654E9" w:rsidP="007303B8">
      <w:pPr>
        <w:tabs>
          <w:tab w:val="center" w:pos="4522"/>
        </w:tabs>
        <w:spacing w:after="0" w:line="360" w:lineRule="auto"/>
        <w:rPr>
          <w:color w:val="000000"/>
        </w:rPr>
      </w:pPr>
    </w:p>
    <w:p w14:paraId="367E4FF3" w14:textId="77777777" w:rsidR="007303B8" w:rsidRPr="004654E9" w:rsidRDefault="007303B8" w:rsidP="007303B8">
      <w:pPr>
        <w:tabs>
          <w:tab w:val="center" w:pos="4522"/>
        </w:tabs>
        <w:spacing w:after="0" w:line="360" w:lineRule="auto"/>
        <w:rPr>
          <w:color w:val="000000"/>
        </w:rPr>
      </w:pPr>
    </w:p>
    <w:p w14:paraId="3B4D2A53" w14:textId="77777777" w:rsidR="004654E9" w:rsidRPr="004654E9" w:rsidRDefault="004654E9" w:rsidP="007303B8">
      <w:pPr>
        <w:tabs>
          <w:tab w:val="center" w:pos="4522"/>
        </w:tabs>
        <w:spacing w:after="0" w:line="360" w:lineRule="auto"/>
        <w:rPr>
          <w:b/>
          <w:color w:val="000000"/>
          <w:u w:val="single"/>
        </w:rPr>
      </w:pPr>
      <w:r w:rsidRPr="004654E9">
        <w:rPr>
          <w:color w:val="000000"/>
        </w:rPr>
        <w:t>En conclusión, toda vez, que el Registro Federal de Contribuyentes de proveedores o contratistas, es un requisito indispensable, para poder participar en adquisiciones públicas y contracción de servicios y que abona a la transparencia con la que deben administrarse los recursos públicos, no actualiza la causal de clasificación prevista en el artículo 143, fracción I de la Ley de Transparencia y Acceso a la Información Pública del Estado de México y Municipios.</w:t>
      </w:r>
    </w:p>
    <w:p w14:paraId="1A5D92D0" w14:textId="77777777" w:rsidR="004654E9" w:rsidRPr="004654E9" w:rsidRDefault="004654E9" w:rsidP="007303B8">
      <w:pPr>
        <w:tabs>
          <w:tab w:val="center" w:pos="4522"/>
        </w:tabs>
        <w:spacing w:after="0" w:line="360" w:lineRule="auto"/>
        <w:rPr>
          <w:b/>
          <w:color w:val="000000"/>
        </w:rPr>
      </w:pPr>
    </w:p>
    <w:p w14:paraId="12D5F52E" w14:textId="77777777" w:rsidR="004654E9" w:rsidRPr="004654E9" w:rsidRDefault="004654E9" w:rsidP="007303B8">
      <w:pPr>
        <w:tabs>
          <w:tab w:val="center" w:pos="4522"/>
        </w:tabs>
        <w:spacing w:after="0" w:line="360" w:lineRule="auto"/>
        <w:rPr>
          <w:b/>
          <w:color w:val="000000"/>
        </w:rPr>
      </w:pPr>
      <w:r w:rsidRPr="004654E9">
        <w:rPr>
          <w:b/>
          <w:color w:val="000000"/>
        </w:rPr>
        <w:t>Persona Moral</w:t>
      </w:r>
    </w:p>
    <w:p w14:paraId="352BA15B" w14:textId="77777777" w:rsidR="004654E9" w:rsidRPr="004654E9" w:rsidRDefault="004654E9" w:rsidP="007303B8">
      <w:pPr>
        <w:tabs>
          <w:tab w:val="center" w:pos="4522"/>
        </w:tabs>
        <w:spacing w:after="0" w:line="360" w:lineRule="auto"/>
        <w:rPr>
          <w:color w:val="000000"/>
        </w:rPr>
      </w:pPr>
    </w:p>
    <w:p w14:paraId="65D9EA03" w14:textId="77777777" w:rsidR="004654E9" w:rsidRPr="004654E9" w:rsidRDefault="004654E9" w:rsidP="007303B8">
      <w:pPr>
        <w:tabs>
          <w:tab w:val="center" w:pos="4522"/>
        </w:tabs>
        <w:spacing w:after="0" w:line="360" w:lineRule="auto"/>
        <w:rPr>
          <w:color w:val="000000"/>
        </w:rPr>
      </w:pPr>
      <w:r w:rsidRPr="004654E9">
        <w:rPr>
          <w:color w:val="000000"/>
        </w:rPr>
        <w:t>Al respecto, el Registro Federal de Contribuyentes, inicia con un preinscripción por Internet y se concluye en cualquier Administración Desconcentrada de Servicios al Contribuyente, en donde aquellas personas que realicen el trámite tendrán que entregar ciertos documentos, que para las personas jurídico colectivas, serán, entre otros, la copia certificada del documento constitutivo debidamente protocolizado, comprobante de domicilio, identificación personal, número de folio asignado que se le proporcionó al realizar el envío de su preinscripción y copia certificada del poder notarial con el que se acredite la personalidad del representante legal, o carta poder firmada ante dos testigos y ratificadas las firmas ante las autoridades fiscales o ante notario o fedatario público. Derivado del trámite se obtiene, entre otros, la cédula de identificación fiscal o constancia de registro.</w:t>
      </w:r>
    </w:p>
    <w:p w14:paraId="73F359A4" w14:textId="77777777" w:rsidR="004654E9" w:rsidRPr="004654E9" w:rsidRDefault="004654E9" w:rsidP="007303B8">
      <w:pPr>
        <w:tabs>
          <w:tab w:val="center" w:pos="4522"/>
        </w:tabs>
        <w:spacing w:after="0" w:line="360" w:lineRule="auto"/>
        <w:rPr>
          <w:color w:val="000000"/>
        </w:rPr>
      </w:pPr>
    </w:p>
    <w:p w14:paraId="59C2DFA3" w14:textId="77777777" w:rsidR="004654E9" w:rsidRPr="004654E9" w:rsidRDefault="004654E9" w:rsidP="007303B8">
      <w:pPr>
        <w:tabs>
          <w:tab w:val="center" w:pos="4522"/>
        </w:tabs>
        <w:spacing w:after="0" w:line="360" w:lineRule="auto"/>
        <w:rPr>
          <w:color w:val="000000"/>
        </w:rPr>
      </w:pPr>
      <w:r w:rsidRPr="004654E9">
        <w:rPr>
          <w:color w:val="000000"/>
        </w:rPr>
        <w:t>Por ende, la información correspondiente al Registro Federal de Contribuyentes de una persona moral da cuenta del cumplimiento o no en sus obligaciones fiscales; por tanto, no se actualiza su clasificación como confidencial.</w:t>
      </w:r>
    </w:p>
    <w:p w14:paraId="240A622F" w14:textId="77777777" w:rsidR="004654E9" w:rsidRPr="004654E9" w:rsidRDefault="004654E9" w:rsidP="007303B8">
      <w:pPr>
        <w:tabs>
          <w:tab w:val="center" w:pos="4522"/>
        </w:tabs>
        <w:spacing w:after="0" w:line="360" w:lineRule="auto"/>
        <w:rPr>
          <w:color w:val="000000"/>
        </w:rPr>
      </w:pPr>
    </w:p>
    <w:p w14:paraId="3D65631E" w14:textId="77777777" w:rsidR="004654E9" w:rsidRDefault="004654E9" w:rsidP="007303B8">
      <w:pPr>
        <w:tabs>
          <w:tab w:val="center" w:pos="4522"/>
        </w:tabs>
        <w:spacing w:after="0" w:line="360" w:lineRule="auto"/>
        <w:rPr>
          <w:color w:val="000000"/>
        </w:rPr>
      </w:pPr>
      <w:r w:rsidRPr="004654E9">
        <w:rPr>
          <w:color w:val="000000"/>
        </w:rPr>
        <w:t>Además, resulta aplicable por analogía el Criterio Orientador, de la Segunda Época, con número de registro SO/008/2019, emitido por el entonces Instituto Nacional de Transparencia, Acceso a la Información y Protección de Datos Personales, vigente a la fecha de la solicitud, que precisa que el Registro Federal de Contribuyentes de personas morales, es público, al no referir a hechos o actos de carácter económico, contable, jurídico o administrativo que sean útiles o representen una ventaja a sus competidores.</w:t>
      </w:r>
    </w:p>
    <w:p w14:paraId="366B4CD7" w14:textId="77777777" w:rsidR="007303B8" w:rsidRPr="004654E9" w:rsidRDefault="007303B8" w:rsidP="007303B8">
      <w:pPr>
        <w:tabs>
          <w:tab w:val="center" w:pos="4522"/>
        </w:tabs>
        <w:spacing w:after="0" w:line="360" w:lineRule="auto"/>
        <w:rPr>
          <w:color w:val="000000"/>
        </w:rPr>
      </w:pPr>
    </w:p>
    <w:p w14:paraId="759838A8" w14:textId="77777777" w:rsidR="004654E9" w:rsidRPr="004654E9" w:rsidRDefault="004654E9" w:rsidP="007303B8">
      <w:pPr>
        <w:tabs>
          <w:tab w:val="center" w:pos="4522"/>
        </w:tabs>
        <w:spacing w:after="0" w:line="360" w:lineRule="auto"/>
        <w:rPr>
          <w:color w:val="000000"/>
        </w:rPr>
      </w:pPr>
      <w:r w:rsidRPr="004654E9">
        <w:rPr>
          <w:color w:val="000000"/>
        </w:rPr>
        <w:t>De tales circunstancias, el Registro Federal de Contribuyentes de personas morales, no actualizan la causal de clasificación, prevista en el artículo 143, fracción I de la Ley de Transparencia y Acceso a la Información Pública del Estado de México y Municipios, al ser de naturaleza pública.</w:t>
      </w:r>
    </w:p>
    <w:p w14:paraId="6BC27F29" w14:textId="77777777" w:rsidR="004654E9" w:rsidRPr="004654E9" w:rsidRDefault="004654E9" w:rsidP="007303B8">
      <w:pPr>
        <w:spacing w:after="0" w:line="360" w:lineRule="auto"/>
        <w:jc w:val="left"/>
        <w:rPr>
          <w:b/>
          <w:color w:val="000000"/>
        </w:rPr>
      </w:pPr>
    </w:p>
    <w:p w14:paraId="1F954B19" w14:textId="77777777" w:rsidR="004654E9" w:rsidRPr="004654E9" w:rsidRDefault="004654E9" w:rsidP="007303B8">
      <w:pPr>
        <w:numPr>
          <w:ilvl w:val="0"/>
          <w:numId w:val="15"/>
        </w:numPr>
        <w:pBdr>
          <w:top w:val="nil"/>
          <w:left w:val="nil"/>
          <w:bottom w:val="nil"/>
          <w:right w:val="nil"/>
          <w:between w:val="nil"/>
        </w:pBdr>
        <w:spacing w:after="0" w:line="360" w:lineRule="auto"/>
        <w:jc w:val="left"/>
        <w:rPr>
          <w:b/>
          <w:color w:val="000000"/>
        </w:rPr>
      </w:pPr>
      <w:r w:rsidRPr="004654E9">
        <w:rPr>
          <w:b/>
          <w:color w:val="000000"/>
        </w:rPr>
        <w:t>Código Bidimensional o QR</w:t>
      </w:r>
    </w:p>
    <w:p w14:paraId="3D6EB3A8" w14:textId="77777777" w:rsidR="004654E9" w:rsidRPr="004654E9" w:rsidRDefault="004654E9" w:rsidP="007303B8">
      <w:pPr>
        <w:spacing w:after="0" w:line="360" w:lineRule="auto"/>
        <w:jc w:val="left"/>
        <w:rPr>
          <w:b/>
          <w:color w:val="000000"/>
        </w:rPr>
      </w:pPr>
    </w:p>
    <w:p w14:paraId="5AEF0900" w14:textId="77777777" w:rsidR="004654E9" w:rsidRPr="004654E9" w:rsidRDefault="004654E9" w:rsidP="007303B8">
      <w:pPr>
        <w:spacing w:after="0" w:line="360" w:lineRule="auto"/>
        <w:rPr>
          <w:color w:val="000000"/>
        </w:rPr>
      </w:pPr>
      <w:r w:rsidRPr="004654E9">
        <w:rPr>
          <w:color w:val="000000"/>
        </w:rPr>
        <w:t>En principio, resulta necesario señalar que los comprobantes fiscales digitales por Internet,</w:t>
      </w:r>
    </w:p>
    <w:p w14:paraId="1F391E18" w14:textId="77777777" w:rsidR="004654E9" w:rsidRPr="004654E9" w:rsidRDefault="004654E9" w:rsidP="007303B8">
      <w:pPr>
        <w:spacing w:after="0" w:line="360" w:lineRule="auto"/>
        <w:rPr>
          <w:color w:val="000000"/>
        </w:rPr>
      </w:pPr>
      <w:r w:rsidRPr="004654E9">
        <w:rPr>
          <w:color w:val="000000"/>
        </w:rPr>
        <w:t>deben de incluir un código bidimensional conforme al formato QR Code (Quick Response</w:t>
      </w:r>
    </w:p>
    <w:p w14:paraId="6D443111" w14:textId="77777777" w:rsidR="004654E9" w:rsidRPr="004654E9" w:rsidRDefault="004654E9" w:rsidP="007303B8">
      <w:pPr>
        <w:spacing w:after="0" w:line="360" w:lineRule="auto"/>
        <w:rPr>
          <w:color w:val="000000"/>
        </w:rPr>
      </w:pPr>
      <w:r w:rsidRPr="004654E9">
        <w:rPr>
          <w:color w:val="000000"/>
        </w:rPr>
        <w:t>Code), el cual contiene el Registro Federal de Contribuyentes del receptor, del emisor, o de ambos; lo anterior, conforme al Anexo 20 de la Segunda Resolución de modificación a la Resolución Miscelánea Fiscal. Incluso con la captura de dicho código, a través de la aplicación móvil del Servicio de Administración Tributaria, permite el acceso al Registro Federal de Contribuyentes, como del Sujeto Obligado, como del proveedor, persona física o moral. En ese orden de ideas, toda vez que el código bidimensional sólo permite el acceso al Registro Federal de Contribuyentes del proveedor y del Sujeto Obligado, los cuales guardan la naturaleza pública, se considera que no se actualiza la causal de clasificación prevista en el artículo 143, fracción I de la Ley de la materia, toda vez que únicamente da cuenta de datos que como se analizó en párrafos anteriores, no son susceptibles a testar.</w:t>
      </w:r>
    </w:p>
    <w:p w14:paraId="6C1B5BC6" w14:textId="77777777" w:rsidR="004654E9" w:rsidRPr="004654E9" w:rsidRDefault="004654E9" w:rsidP="007303B8">
      <w:pPr>
        <w:spacing w:after="0" w:line="360" w:lineRule="auto"/>
        <w:jc w:val="left"/>
        <w:rPr>
          <w:b/>
          <w:color w:val="000000"/>
        </w:rPr>
      </w:pPr>
    </w:p>
    <w:p w14:paraId="709CABD8" w14:textId="77777777" w:rsidR="004654E9" w:rsidRPr="004654E9" w:rsidRDefault="004654E9" w:rsidP="007303B8">
      <w:pPr>
        <w:numPr>
          <w:ilvl w:val="0"/>
          <w:numId w:val="15"/>
        </w:numPr>
        <w:pBdr>
          <w:top w:val="nil"/>
          <w:left w:val="nil"/>
          <w:bottom w:val="nil"/>
          <w:right w:val="nil"/>
          <w:between w:val="nil"/>
        </w:pBdr>
        <w:spacing w:after="0" w:line="360" w:lineRule="auto"/>
        <w:jc w:val="left"/>
        <w:rPr>
          <w:b/>
          <w:color w:val="000000"/>
        </w:rPr>
      </w:pPr>
      <w:r w:rsidRPr="004654E9">
        <w:rPr>
          <w:b/>
          <w:color w:val="000000"/>
        </w:rPr>
        <w:t>Domicilio Fiscal o legal para recibir y oír notificaciones (proveedor o contratista persona física o moral).</w:t>
      </w:r>
    </w:p>
    <w:p w14:paraId="4579737B" w14:textId="77777777" w:rsidR="004654E9" w:rsidRPr="004654E9" w:rsidRDefault="004654E9" w:rsidP="007303B8">
      <w:pPr>
        <w:tabs>
          <w:tab w:val="center" w:pos="4522"/>
        </w:tabs>
        <w:spacing w:after="0" w:line="360" w:lineRule="auto"/>
        <w:rPr>
          <w:color w:val="000000"/>
        </w:rPr>
      </w:pPr>
    </w:p>
    <w:p w14:paraId="5F5012D1" w14:textId="77777777" w:rsidR="004654E9" w:rsidRPr="004654E9" w:rsidRDefault="004654E9" w:rsidP="007303B8">
      <w:pPr>
        <w:tabs>
          <w:tab w:val="center" w:pos="4522"/>
        </w:tabs>
        <w:spacing w:after="0" w:line="360" w:lineRule="auto"/>
        <w:rPr>
          <w:color w:val="000000"/>
        </w:rPr>
      </w:pPr>
      <w:r w:rsidRPr="004654E9">
        <w:rPr>
          <w:color w:val="000000"/>
        </w:rPr>
        <w:t>De acuerdo a lo señalado en los artículos 2.17 y 2.21 del Código Civil del Estado de México, el domicilio de una persona física, es el lugar donde reside, en donde tiene el principal asiente de negocios, o en su caso, el dónde se halle; mientras, que el de personas jurídicas colectivas, es aquel donde se halle establecida su administración o ejerza sus actividades.</w:t>
      </w:r>
    </w:p>
    <w:p w14:paraId="1DEED3AA" w14:textId="77777777" w:rsidR="004654E9" w:rsidRPr="004654E9" w:rsidRDefault="004654E9" w:rsidP="007303B8">
      <w:pPr>
        <w:tabs>
          <w:tab w:val="center" w:pos="4522"/>
        </w:tabs>
        <w:spacing w:after="0" w:line="360" w:lineRule="auto"/>
        <w:rPr>
          <w:color w:val="000000"/>
        </w:rPr>
      </w:pPr>
    </w:p>
    <w:p w14:paraId="6E3ADE45" w14:textId="77777777" w:rsidR="004654E9" w:rsidRPr="004654E9" w:rsidRDefault="004654E9" w:rsidP="007303B8">
      <w:pPr>
        <w:tabs>
          <w:tab w:val="center" w:pos="4522"/>
        </w:tabs>
        <w:spacing w:after="0" w:line="360" w:lineRule="auto"/>
        <w:rPr>
          <w:color w:val="000000"/>
        </w:rPr>
      </w:pPr>
      <w:r w:rsidRPr="004654E9">
        <w:rPr>
          <w:color w:val="000000"/>
        </w:rPr>
        <w:t>De la misma manera, lo establece los diversos 29 y 33 del Código Civil Federal, al precisar que el domicilio de personas físicas</w:t>
      </w:r>
      <w:r w:rsidRPr="004654E9">
        <w:rPr>
          <w:b/>
          <w:color w:val="000000"/>
        </w:rPr>
        <w:t xml:space="preserve">, es el lugar donde residen habitualmente, el lugar del centro principal de sus negocios, donde residan o el lugar donde se encuentren; </w:t>
      </w:r>
      <w:r w:rsidRPr="004654E9">
        <w:rPr>
          <w:color w:val="000000"/>
        </w:rPr>
        <w:t>mientras que, de las personas morales, aquel donde se halle su administración.</w:t>
      </w:r>
    </w:p>
    <w:p w14:paraId="636E0223" w14:textId="77777777" w:rsidR="004654E9" w:rsidRPr="004654E9" w:rsidRDefault="004654E9" w:rsidP="007303B8">
      <w:pPr>
        <w:tabs>
          <w:tab w:val="center" w:pos="4522"/>
        </w:tabs>
        <w:spacing w:after="0" w:line="360" w:lineRule="auto"/>
        <w:rPr>
          <w:b/>
          <w:color w:val="000000"/>
        </w:rPr>
      </w:pPr>
    </w:p>
    <w:p w14:paraId="0E54E956" w14:textId="77777777" w:rsidR="004654E9" w:rsidRPr="004654E9" w:rsidRDefault="004654E9" w:rsidP="007303B8">
      <w:pPr>
        <w:tabs>
          <w:tab w:val="center" w:pos="4522"/>
        </w:tabs>
        <w:spacing w:after="0" w:line="360" w:lineRule="auto"/>
        <w:rPr>
          <w:color w:val="000000"/>
        </w:rPr>
      </w:pPr>
      <w:r w:rsidRPr="004654E9">
        <w:rPr>
          <w:color w:val="000000"/>
        </w:rPr>
        <w:t>Además, respecto al domicilio fiscal, resulta necesario traer el artículo 10 del Código Fiscal de la Federación, que establece que, tratándose de personas físicas, corresponderá dicho dato:</w:t>
      </w:r>
    </w:p>
    <w:p w14:paraId="6A883BF1" w14:textId="77777777" w:rsidR="004654E9" w:rsidRPr="004654E9" w:rsidRDefault="004654E9" w:rsidP="007303B8">
      <w:pPr>
        <w:tabs>
          <w:tab w:val="center" w:pos="4522"/>
        </w:tabs>
        <w:spacing w:after="0" w:line="360" w:lineRule="auto"/>
        <w:rPr>
          <w:color w:val="000000"/>
        </w:rPr>
      </w:pPr>
    </w:p>
    <w:p w14:paraId="07707322" w14:textId="77777777" w:rsidR="004654E9" w:rsidRPr="004654E9" w:rsidRDefault="004654E9" w:rsidP="007303B8">
      <w:pPr>
        <w:numPr>
          <w:ilvl w:val="0"/>
          <w:numId w:val="16"/>
        </w:numPr>
        <w:pBdr>
          <w:top w:val="nil"/>
          <w:left w:val="nil"/>
          <w:bottom w:val="nil"/>
          <w:right w:val="nil"/>
          <w:between w:val="nil"/>
        </w:pBdr>
        <w:tabs>
          <w:tab w:val="center" w:pos="4522"/>
        </w:tabs>
        <w:spacing w:after="0" w:line="360" w:lineRule="auto"/>
        <w:jc w:val="left"/>
        <w:rPr>
          <w:color w:val="000000"/>
        </w:rPr>
      </w:pPr>
      <w:r w:rsidRPr="004654E9">
        <w:rPr>
          <w:color w:val="000000"/>
        </w:rPr>
        <w:t>El lugar donde realizan actividades empresariales, el local, en que se encuentre el principal asiente de sus negocios, y</w:t>
      </w:r>
    </w:p>
    <w:p w14:paraId="7FFD8603" w14:textId="77777777" w:rsidR="004654E9" w:rsidRPr="004654E9" w:rsidRDefault="004654E9" w:rsidP="007303B8">
      <w:pPr>
        <w:tabs>
          <w:tab w:val="center" w:pos="4522"/>
        </w:tabs>
        <w:spacing w:after="0" w:line="360" w:lineRule="auto"/>
        <w:rPr>
          <w:color w:val="000000"/>
        </w:rPr>
      </w:pPr>
    </w:p>
    <w:p w14:paraId="3C0B16CE" w14:textId="77777777" w:rsidR="004654E9" w:rsidRPr="004654E9" w:rsidRDefault="004654E9" w:rsidP="007303B8">
      <w:pPr>
        <w:numPr>
          <w:ilvl w:val="0"/>
          <w:numId w:val="16"/>
        </w:numPr>
        <w:pBdr>
          <w:top w:val="nil"/>
          <w:left w:val="nil"/>
          <w:bottom w:val="nil"/>
          <w:right w:val="nil"/>
          <w:between w:val="nil"/>
        </w:pBdr>
        <w:tabs>
          <w:tab w:val="center" w:pos="4522"/>
        </w:tabs>
        <w:spacing w:after="0" w:line="360" w:lineRule="auto"/>
        <w:jc w:val="left"/>
        <w:rPr>
          <w:color w:val="000000"/>
        </w:rPr>
      </w:pPr>
      <w:r w:rsidRPr="004654E9">
        <w:rPr>
          <w:color w:val="000000"/>
        </w:rPr>
        <w:t>La casa habitación, cuando no cuenta con un local o lugar donde realice las acciones previamente señaladas.</w:t>
      </w:r>
    </w:p>
    <w:p w14:paraId="10769E1A" w14:textId="77777777" w:rsidR="004654E9" w:rsidRPr="004654E9" w:rsidRDefault="004654E9" w:rsidP="007303B8">
      <w:pPr>
        <w:tabs>
          <w:tab w:val="center" w:pos="4522"/>
        </w:tabs>
        <w:spacing w:after="0" w:line="360" w:lineRule="auto"/>
        <w:rPr>
          <w:color w:val="000000"/>
        </w:rPr>
      </w:pPr>
    </w:p>
    <w:p w14:paraId="319C06F1" w14:textId="77777777" w:rsidR="004654E9" w:rsidRPr="004654E9" w:rsidRDefault="004654E9" w:rsidP="007303B8">
      <w:pPr>
        <w:tabs>
          <w:tab w:val="center" w:pos="4522"/>
        </w:tabs>
        <w:spacing w:after="0" w:line="360" w:lineRule="auto"/>
        <w:rPr>
          <w:color w:val="000000"/>
        </w:rPr>
      </w:pPr>
      <w:r w:rsidRPr="004654E9">
        <w:rPr>
          <w:color w:val="000000"/>
        </w:rPr>
        <w:t>Mientras que, en el caso de personas morales, el domicilio fiscal, corresponderá al local donde se encuentra la administración principal del negocio. Como se logra observar, el domicilio fiscal de los proveedores personas físicas, se encuentra en dos supuestos, por lo que, se procede a su análisis.</w:t>
      </w:r>
    </w:p>
    <w:p w14:paraId="49C30791" w14:textId="77777777" w:rsidR="004654E9" w:rsidRPr="004654E9" w:rsidRDefault="004654E9" w:rsidP="007303B8">
      <w:pPr>
        <w:tabs>
          <w:tab w:val="center" w:pos="4522"/>
        </w:tabs>
        <w:spacing w:after="0" w:line="360" w:lineRule="auto"/>
        <w:rPr>
          <w:color w:val="000000"/>
        </w:rPr>
      </w:pPr>
    </w:p>
    <w:p w14:paraId="5A063278" w14:textId="77777777" w:rsidR="004654E9" w:rsidRPr="004654E9" w:rsidRDefault="004654E9" w:rsidP="007303B8">
      <w:pPr>
        <w:tabs>
          <w:tab w:val="center" w:pos="4522"/>
        </w:tabs>
        <w:spacing w:after="0" w:line="360" w:lineRule="auto"/>
        <w:rPr>
          <w:color w:val="000000"/>
        </w:rPr>
      </w:pPr>
      <w:r w:rsidRPr="004654E9">
        <w:rPr>
          <w:color w:val="000000"/>
        </w:rPr>
        <w:t>Si bien es cierto que el primero, corresponde al lugar en donde reside habitualmente una persona en comento y, permite hacerlo identificable y ubicable, propiciando que pueda ser molestado en su casa, de este modo, los datos que permiten a cualquier individuo con esfuerzos mínimos identificar el lugar de residencia constituye un dato personal y, por ende, susceptible de clasificarse como confidencial, ya que incide directamente en la vida privada del individuo identificado, no debe dejarse de lado que, aquellas personas que deciden tener relaciones comerciales con las instituciones públicas, tienen una expectativa de privacidad menor, respecto del resto de las personas, en razón de obtener el beneficio de vender sus productos o servicios y recibir por ellos dinero del erario, situación que debe ser transparentada.</w:t>
      </w:r>
    </w:p>
    <w:p w14:paraId="3ACB1BE8" w14:textId="77777777" w:rsidR="004654E9" w:rsidRPr="004654E9" w:rsidRDefault="004654E9" w:rsidP="007303B8">
      <w:pPr>
        <w:tabs>
          <w:tab w:val="center" w:pos="4522"/>
        </w:tabs>
        <w:spacing w:after="0" w:line="360" w:lineRule="auto"/>
        <w:rPr>
          <w:color w:val="000000"/>
        </w:rPr>
      </w:pPr>
    </w:p>
    <w:p w14:paraId="1CFA65DB" w14:textId="77777777" w:rsidR="004654E9" w:rsidRPr="004654E9" w:rsidRDefault="004654E9" w:rsidP="007303B8">
      <w:pPr>
        <w:tabs>
          <w:tab w:val="center" w:pos="4522"/>
        </w:tabs>
        <w:spacing w:after="0" w:line="360" w:lineRule="auto"/>
        <w:rPr>
          <w:color w:val="000000"/>
        </w:rPr>
      </w:pPr>
      <w:r w:rsidRPr="004654E9">
        <w:rPr>
          <w:color w:val="000000"/>
        </w:rPr>
        <w:t>Como se logra observar, es obligación de transparencia proporcionar el domicilio fiscal de los proveedores, por lo que, se considera que, en el caso, de que dicho dato, corresponda a un local o lugar donde realice sus actividades empresariales, se debe entregar.</w:t>
      </w:r>
    </w:p>
    <w:p w14:paraId="4D223C7A" w14:textId="77777777" w:rsidR="004654E9" w:rsidRPr="004654E9" w:rsidRDefault="004654E9" w:rsidP="007303B8">
      <w:pPr>
        <w:tabs>
          <w:tab w:val="center" w:pos="4522"/>
        </w:tabs>
        <w:spacing w:after="0" w:line="360" w:lineRule="auto"/>
        <w:rPr>
          <w:color w:val="000000"/>
        </w:rPr>
      </w:pPr>
    </w:p>
    <w:p w14:paraId="3576FDD2" w14:textId="13C8593F" w:rsidR="004654E9" w:rsidRPr="004654E9" w:rsidRDefault="004654E9" w:rsidP="007303B8">
      <w:pPr>
        <w:tabs>
          <w:tab w:val="center" w:pos="4522"/>
        </w:tabs>
        <w:spacing w:after="0" w:line="360" w:lineRule="auto"/>
        <w:rPr>
          <w:color w:val="000000"/>
        </w:rPr>
      </w:pPr>
      <w:r w:rsidRPr="004654E9">
        <w:rPr>
          <w:color w:val="000000"/>
        </w:rPr>
        <w:t>De tal suerte que, tratándose de proveedores</w:t>
      </w:r>
      <w:r w:rsidR="007303B8">
        <w:rPr>
          <w:color w:val="000000"/>
        </w:rPr>
        <w:t xml:space="preserve"> o contratistas</w:t>
      </w:r>
      <w:r w:rsidRPr="004654E9">
        <w:rPr>
          <w:color w:val="000000"/>
        </w:rPr>
        <w:t xml:space="preserve"> (personas físicas o jurídico-colectivas), el domicilio fiscal, no actualiza la causal de clasificación, establecida en el artículo 143, fracción I de la Ley de Transparencia y Acceso a la Información Pública del Estado de México y Municipios.</w:t>
      </w:r>
    </w:p>
    <w:p w14:paraId="30F4318A" w14:textId="77777777" w:rsidR="004654E9" w:rsidRPr="004654E9" w:rsidRDefault="004654E9" w:rsidP="007303B8">
      <w:pPr>
        <w:tabs>
          <w:tab w:val="center" w:pos="4522"/>
        </w:tabs>
        <w:spacing w:after="0" w:line="360" w:lineRule="auto"/>
        <w:rPr>
          <w:color w:val="000000"/>
        </w:rPr>
      </w:pPr>
    </w:p>
    <w:p w14:paraId="231D4337" w14:textId="1A4CC6F4" w:rsidR="004654E9" w:rsidRPr="004654E9" w:rsidRDefault="004654E9" w:rsidP="007303B8">
      <w:pPr>
        <w:numPr>
          <w:ilvl w:val="0"/>
          <w:numId w:val="12"/>
        </w:numPr>
        <w:pBdr>
          <w:top w:val="nil"/>
          <w:left w:val="nil"/>
          <w:bottom w:val="nil"/>
          <w:right w:val="nil"/>
          <w:between w:val="nil"/>
        </w:pBdr>
        <w:tabs>
          <w:tab w:val="center" w:pos="4522"/>
        </w:tabs>
        <w:spacing w:after="0" w:line="360" w:lineRule="auto"/>
        <w:jc w:val="left"/>
        <w:rPr>
          <w:b/>
          <w:color w:val="000000"/>
        </w:rPr>
      </w:pPr>
      <w:r w:rsidRPr="004654E9">
        <w:rPr>
          <w:b/>
          <w:color w:val="000000"/>
        </w:rPr>
        <w:t>Cuenta bancaria y clave interbancaria del proveedor</w:t>
      </w:r>
      <w:r w:rsidR="007303B8">
        <w:rPr>
          <w:b/>
          <w:color w:val="000000"/>
        </w:rPr>
        <w:t xml:space="preserve"> o contratista</w:t>
      </w:r>
    </w:p>
    <w:p w14:paraId="34A864C8" w14:textId="77777777" w:rsidR="004654E9" w:rsidRPr="004654E9" w:rsidRDefault="004654E9" w:rsidP="007303B8">
      <w:pPr>
        <w:tabs>
          <w:tab w:val="center" w:pos="4522"/>
        </w:tabs>
        <w:spacing w:after="0" w:line="360" w:lineRule="auto"/>
        <w:rPr>
          <w:b/>
          <w:color w:val="000000"/>
        </w:rPr>
      </w:pPr>
    </w:p>
    <w:p w14:paraId="3B2F114B" w14:textId="77777777" w:rsidR="004654E9" w:rsidRPr="004654E9" w:rsidRDefault="004654E9" w:rsidP="007303B8">
      <w:pPr>
        <w:tabs>
          <w:tab w:val="center" w:pos="4522"/>
        </w:tabs>
        <w:spacing w:after="0" w:line="360" w:lineRule="auto"/>
        <w:rPr>
          <w:color w:val="000000"/>
        </w:rPr>
      </w:pPr>
      <w:r w:rsidRPr="004654E9">
        <w:rPr>
          <w:color w:val="000000"/>
        </w:rPr>
        <w:t>Al respecto, se estima que dichos datos se relacionan con hechos y actos de carácter económico, pues los mismos darían cuenta, de la relación que tiene una institución financiero con un particular, ya sea persona física o moral; además, que con dicha información se podría obtener los recursos enviados a las órdenes de cargo, pago o a las transferencias electrónicas de fondos interbancarios, entre otros movimientos que sean utilizados exclusivamente en la cuenta señalada por el cliente y, por lo tanto, los datos bancarios corresponden a información que se encuentra relacionada con el patrimonio de la persona titular de la cuenta.</w:t>
      </w:r>
    </w:p>
    <w:p w14:paraId="17B72C69" w14:textId="77777777" w:rsidR="004654E9" w:rsidRPr="004654E9" w:rsidRDefault="004654E9" w:rsidP="007303B8">
      <w:pPr>
        <w:tabs>
          <w:tab w:val="center" w:pos="4522"/>
        </w:tabs>
        <w:spacing w:after="0" w:line="360" w:lineRule="auto"/>
        <w:rPr>
          <w:color w:val="000000"/>
        </w:rPr>
      </w:pPr>
      <w:r w:rsidRPr="004654E9">
        <w:rPr>
          <w:color w:val="000000"/>
        </w:rPr>
        <w:t> </w:t>
      </w:r>
    </w:p>
    <w:p w14:paraId="692F7A87" w14:textId="77777777" w:rsidR="004654E9" w:rsidRPr="004654E9" w:rsidRDefault="004654E9" w:rsidP="007303B8">
      <w:pPr>
        <w:tabs>
          <w:tab w:val="center" w:pos="4522"/>
        </w:tabs>
        <w:spacing w:after="0" w:line="360" w:lineRule="auto"/>
        <w:rPr>
          <w:color w:val="000000"/>
        </w:rPr>
      </w:pPr>
      <w:r w:rsidRPr="004654E9">
        <w:rPr>
          <w:color w:val="000000"/>
        </w:rPr>
        <w:t>A mayor abundamiento, resulta necesario traer a colación el Criterio Orientador, de la Segunda Época, con número de registro SO/010/2017, emitido por el entonces Instituto Nacional de Transparencia, Acceso a la Información y Protección de Datos Personales, mismo que establece lo siguiente:</w:t>
      </w:r>
    </w:p>
    <w:p w14:paraId="5D7C8AB2" w14:textId="77777777" w:rsidR="004654E9" w:rsidRPr="004654E9" w:rsidRDefault="004654E9" w:rsidP="007303B8">
      <w:pPr>
        <w:tabs>
          <w:tab w:val="center" w:pos="4522"/>
        </w:tabs>
        <w:spacing w:after="0" w:line="360" w:lineRule="auto"/>
        <w:rPr>
          <w:color w:val="000000"/>
        </w:rPr>
      </w:pPr>
      <w:r w:rsidRPr="004654E9">
        <w:rPr>
          <w:color w:val="000000"/>
        </w:rPr>
        <w:t> </w:t>
      </w:r>
    </w:p>
    <w:p w14:paraId="0DE1BFF6" w14:textId="77777777" w:rsidR="004654E9" w:rsidRPr="004654E9" w:rsidRDefault="004654E9" w:rsidP="007303B8">
      <w:pPr>
        <w:tabs>
          <w:tab w:val="center" w:pos="4522"/>
        </w:tabs>
        <w:spacing w:after="0" w:line="360" w:lineRule="auto"/>
        <w:ind w:left="567" w:right="567"/>
        <w:rPr>
          <w:i/>
          <w:color w:val="000000"/>
          <w:sz w:val="20"/>
          <w:szCs w:val="20"/>
        </w:rPr>
      </w:pPr>
      <w:r w:rsidRPr="004654E9">
        <w:rPr>
          <w:i/>
          <w:color w:val="000000"/>
          <w:sz w:val="20"/>
          <w:szCs w:val="20"/>
        </w:rPr>
        <w:t>“</w:t>
      </w:r>
      <w:r w:rsidRPr="004654E9">
        <w:rPr>
          <w:b/>
          <w:i/>
          <w:color w:val="000000"/>
          <w:sz w:val="20"/>
          <w:szCs w:val="20"/>
        </w:rPr>
        <w:t>Cuentas bancarias y/o CLABE interbancaria de personas físicas y morales privadas.</w:t>
      </w:r>
      <w:r w:rsidRPr="004654E9">
        <w:rPr>
          <w:i/>
          <w:color w:val="000000"/>
          <w:sz w:val="20"/>
          <w:szCs w:val="20"/>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288DE60F" w14:textId="77777777" w:rsidR="004654E9" w:rsidRPr="004654E9" w:rsidRDefault="004654E9" w:rsidP="007303B8">
      <w:pPr>
        <w:tabs>
          <w:tab w:val="center" w:pos="4522"/>
        </w:tabs>
        <w:spacing w:after="0" w:line="360" w:lineRule="auto"/>
        <w:rPr>
          <w:color w:val="000000"/>
        </w:rPr>
      </w:pPr>
      <w:r w:rsidRPr="004654E9">
        <w:rPr>
          <w:color w:val="000000"/>
        </w:rPr>
        <w:t> </w:t>
      </w:r>
    </w:p>
    <w:p w14:paraId="66BF8EEF" w14:textId="30E104D6" w:rsidR="004654E9" w:rsidRPr="004654E9" w:rsidRDefault="004654E9" w:rsidP="007303B8">
      <w:pPr>
        <w:tabs>
          <w:tab w:val="center" w:pos="4522"/>
        </w:tabs>
        <w:spacing w:after="0" w:line="360" w:lineRule="auto"/>
        <w:rPr>
          <w:color w:val="000000"/>
        </w:rPr>
      </w:pPr>
      <w:r w:rsidRPr="004654E9">
        <w:rPr>
          <w:color w:val="000000"/>
        </w:rPr>
        <w:t>Por lo cual, se puede colegir que dichos datos no guardan relación con el servicio público ni con los recursos públicos, pues sólo corresponde a información, que le atañe a la institución financiera y al cliente; por lo que este número constituye información confidencial al pertenecer exclusivamente al ámbito de la vida privada del proveedor</w:t>
      </w:r>
      <w:r w:rsidR="007303B8">
        <w:rPr>
          <w:color w:val="000000"/>
        </w:rPr>
        <w:t xml:space="preserve"> o contratista</w:t>
      </w:r>
      <w:r w:rsidRPr="004654E9">
        <w:rPr>
          <w:color w:val="000000"/>
        </w:rPr>
        <w:t xml:space="preserve"> y procede su eliminación de conformidad con el artículo 143, fracción I, de la Ley de Transparencia y Acceso a la Información Pública del Estado de México y Municipios.  </w:t>
      </w:r>
    </w:p>
    <w:p w14:paraId="5DDB5D96" w14:textId="77777777" w:rsidR="004654E9" w:rsidRPr="004654E9" w:rsidRDefault="004654E9" w:rsidP="007303B8">
      <w:pPr>
        <w:tabs>
          <w:tab w:val="center" w:pos="4522"/>
        </w:tabs>
        <w:spacing w:after="0" w:line="360" w:lineRule="auto"/>
        <w:rPr>
          <w:color w:val="000000"/>
        </w:rPr>
      </w:pPr>
    </w:p>
    <w:p w14:paraId="63828697" w14:textId="16BD2188" w:rsidR="004654E9" w:rsidRDefault="007303B8" w:rsidP="007303B8">
      <w:pPr>
        <w:spacing w:after="0" w:line="360" w:lineRule="auto"/>
        <w:rPr>
          <w:color w:val="000000"/>
        </w:rPr>
      </w:pPr>
      <w:r>
        <w:rPr>
          <w:color w:val="000000"/>
        </w:rPr>
        <w:t>Así,</w:t>
      </w:r>
      <w:r w:rsidR="004654E9" w:rsidRPr="004654E9">
        <w:rPr>
          <w:color w:val="000000"/>
        </w:rPr>
        <w:t xml:space="preserve"> el Sujeto Obligado, deberá elaborar la versión pública respectiva, tomando en consideración los datos analizados;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5ECF088A" w14:textId="77777777" w:rsidR="007303B8" w:rsidRPr="004654E9" w:rsidRDefault="007303B8" w:rsidP="007303B8">
      <w:pPr>
        <w:spacing w:after="0" w:line="360" w:lineRule="auto"/>
        <w:rPr>
          <w:color w:val="000000"/>
        </w:rPr>
      </w:pPr>
    </w:p>
    <w:p w14:paraId="61917B93" w14:textId="77777777" w:rsidR="004654E9" w:rsidRPr="004654E9" w:rsidRDefault="004654E9" w:rsidP="007303B8">
      <w:pPr>
        <w:spacing w:after="0" w:line="360" w:lineRule="auto"/>
        <w:rPr>
          <w:color w:val="000000"/>
        </w:rPr>
      </w:pPr>
      <w:r w:rsidRPr="004654E9">
        <w:rPr>
          <w:color w:val="000000"/>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3285ACBA" w14:textId="77777777" w:rsidR="004654E9" w:rsidRDefault="004654E9" w:rsidP="007303B8">
      <w:pPr>
        <w:pStyle w:val="Ttulo2"/>
        <w:spacing w:before="0" w:after="0" w:line="360" w:lineRule="auto"/>
        <w:rPr>
          <w:color w:val="000000"/>
          <w:sz w:val="22"/>
          <w:szCs w:val="22"/>
        </w:rPr>
      </w:pPr>
      <w:bookmarkStart w:id="13" w:name="_heading=h.nq3fb63ecmi" w:colFirst="0" w:colLast="0"/>
      <w:bookmarkEnd w:id="13"/>
    </w:p>
    <w:p w14:paraId="0A91DF04" w14:textId="643724A5" w:rsidR="00B13C7F" w:rsidRDefault="0078568A" w:rsidP="007303B8">
      <w:pPr>
        <w:pStyle w:val="Ttulo2"/>
        <w:spacing w:before="0" w:after="0" w:line="360" w:lineRule="auto"/>
        <w:rPr>
          <w:color w:val="000000"/>
          <w:sz w:val="22"/>
          <w:szCs w:val="22"/>
        </w:rPr>
      </w:pPr>
      <w:r>
        <w:rPr>
          <w:color w:val="000000"/>
          <w:sz w:val="22"/>
          <w:szCs w:val="22"/>
        </w:rPr>
        <w:t>SEXTO. Decisión</w:t>
      </w:r>
    </w:p>
    <w:p w14:paraId="19254597" w14:textId="77777777" w:rsidR="00B13C7F" w:rsidRDefault="00B13C7F" w:rsidP="007303B8">
      <w:pPr>
        <w:spacing w:after="0" w:line="360" w:lineRule="auto"/>
        <w:rPr>
          <w:b/>
          <w:bCs/>
          <w:color w:val="000000"/>
        </w:rPr>
      </w:pPr>
    </w:p>
    <w:p w14:paraId="45EB80FB" w14:textId="14BC6200" w:rsidR="00B13C7F" w:rsidRDefault="0078568A" w:rsidP="007303B8">
      <w:pPr>
        <w:spacing w:after="0" w:line="360" w:lineRule="auto"/>
        <w:rPr>
          <w:color w:val="000000"/>
        </w:rPr>
      </w:pPr>
      <w:r>
        <w:rPr>
          <w:color w:val="000000"/>
        </w:rPr>
        <w:t xml:space="preserve">Con fundamento en el artículo 186, fracción III, de la Ley de Transparencia y Acceso a la Información Pública del Estado de México y Municipios, este Instituto considera procedente </w:t>
      </w:r>
      <w:r>
        <w:rPr>
          <w:b/>
          <w:bCs/>
          <w:color w:val="000000"/>
        </w:rPr>
        <w:t>REVOCAR</w:t>
      </w:r>
      <w:r>
        <w:rPr>
          <w:color w:val="000000"/>
        </w:rPr>
        <w:t xml:space="preserve"> la respuesta otorgada por el Sujeto Obligado a la solicitud de información </w:t>
      </w:r>
      <w:r w:rsidR="009D3A97">
        <w:rPr>
          <w:color w:val="000000"/>
        </w:rPr>
        <w:t>00004/METEPEC/IP/2026</w:t>
      </w:r>
      <w:r>
        <w:rPr>
          <w:color w:val="000000"/>
        </w:rPr>
        <w:t>, a efecto de que señale más modalidades para la entrega de la información solicitada.</w:t>
      </w:r>
    </w:p>
    <w:p w14:paraId="76BFEFD4" w14:textId="77777777" w:rsidR="00B13C7F" w:rsidRDefault="00B13C7F" w:rsidP="007303B8">
      <w:pPr>
        <w:spacing w:after="0" w:line="360" w:lineRule="auto"/>
        <w:rPr>
          <w:b/>
          <w:bCs/>
          <w:color w:val="000000"/>
        </w:rPr>
      </w:pPr>
    </w:p>
    <w:p w14:paraId="3C607F44" w14:textId="77777777" w:rsidR="00B13C7F" w:rsidRDefault="0078568A" w:rsidP="007303B8">
      <w:pPr>
        <w:spacing w:after="0" w:line="360" w:lineRule="auto"/>
        <w:rPr>
          <w:b/>
          <w:bCs/>
          <w:color w:val="000000"/>
        </w:rPr>
      </w:pPr>
      <w:r>
        <w:rPr>
          <w:b/>
          <w:bCs/>
          <w:color w:val="000000"/>
        </w:rPr>
        <w:t>Términos de la Resolución para conocimiento del Particular</w:t>
      </w:r>
    </w:p>
    <w:p w14:paraId="5CFF393B" w14:textId="77777777" w:rsidR="00B13C7F" w:rsidRDefault="00B13C7F" w:rsidP="007303B8">
      <w:pPr>
        <w:spacing w:after="0" w:line="360" w:lineRule="auto"/>
        <w:rPr>
          <w:b/>
          <w:bCs/>
          <w:color w:val="000000"/>
        </w:rPr>
      </w:pPr>
    </w:p>
    <w:p w14:paraId="46436AFE" w14:textId="13C07D42" w:rsidR="00B13C7F" w:rsidRDefault="0078568A" w:rsidP="007303B8">
      <w:pPr>
        <w:spacing w:after="0" w:line="360" w:lineRule="auto"/>
        <w:rPr>
          <w:color w:val="000000"/>
        </w:rPr>
      </w:pPr>
      <w:r>
        <w:rPr>
          <w:color w:val="000000"/>
        </w:rPr>
        <w:t xml:space="preserve">Se le hace del conocimiento a la persona Recurrente que, en el presente asunto, se le da la razón, pues </w:t>
      </w:r>
      <w:r w:rsidR="007303B8">
        <w:rPr>
          <w:color w:val="000000"/>
        </w:rPr>
        <w:t>el Sujeto Obligado no realizó la búsqueda exhaustiva y razonable en sus archivos, además que erogó recursos con la partida solicitada; por lo que, se le deberá entregar las facturas solicitadas.</w:t>
      </w:r>
    </w:p>
    <w:p w14:paraId="2D817B51" w14:textId="77777777" w:rsidR="007303B8" w:rsidRDefault="007303B8" w:rsidP="007303B8">
      <w:pPr>
        <w:spacing w:after="0" w:line="360" w:lineRule="auto"/>
        <w:rPr>
          <w:color w:val="000000"/>
        </w:rPr>
      </w:pPr>
    </w:p>
    <w:p w14:paraId="07BA7280" w14:textId="77777777" w:rsidR="007303B8" w:rsidRPr="007556D8" w:rsidRDefault="007303B8" w:rsidP="007303B8">
      <w:pPr>
        <w:spacing w:after="0" w:line="360" w:lineRule="auto"/>
      </w:pPr>
      <w:r w:rsidRPr="007556D8">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236C74F5" w14:textId="77777777" w:rsidR="00B13C7F" w:rsidRDefault="00B13C7F" w:rsidP="007303B8">
      <w:pPr>
        <w:spacing w:after="0" w:line="360" w:lineRule="auto"/>
        <w:rPr>
          <w:color w:val="000000"/>
        </w:rPr>
      </w:pPr>
    </w:p>
    <w:p w14:paraId="12CF96F3" w14:textId="77777777" w:rsidR="00B13C7F" w:rsidRDefault="0078568A" w:rsidP="007303B8">
      <w:pPr>
        <w:spacing w:after="0" w:line="360" w:lineRule="auto"/>
        <w:rPr>
          <w:color w:val="000000"/>
        </w:rPr>
      </w:pPr>
      <w:r>
        <w:rPr>
          <w:color w:val="000000"/>
        </w:rPr>
        <w:t>Por lo expuesto y fundado, este Pleno:</w:t>
      </w:r>
    </w:p>
    <w:p w14:paraId="40DEA7BE" w14:textId="77777777" w:rsidR="00B13C7F" w:rsidRDefault="00B13C7F" w:rsidP="007303B8">
      <w:pPr>
        <w:spacing w:after="0" w:line="360" w:lineRule="auto"/>
        <w:rPr>
          <w:color w:val="000000"/>
        </w:rPr>
      </w:pPr>
    </w:p>
    <w:p w14:paraId="38D5F818" w14:textId="77777777" w:rsidR="00B13C7F" w:rsidRDefault="0078568A" w:rsidP="007303B8">
      <w:pPr>
        <w:pStyle w:val="Ttulo1"/>
        <w:spacing w:before="0" w:after="0" w:line="360" w:lineRule="auto"/>
        <w:jc w:val="center"/>
        <w:rPr>
          <w:color w:val="000000"/>
          <w:sz w:val="22"/>
          <w:szCs w:val="22"/>
        </w:rPr>
      </w:pPr>
      <w:bookmarkStart w:id="14" w:name="_heading=h.a530t837h36q" w:colFirst="0" w:colLast="0"/>
      <w:bookmarkEnd w:id="14"/>
      <w:r>
        <w:rPr>
          <w:color w:val="000000"/>
          <w:sz w:val="22"/>
          <w:szCs w:val="22"/>
        </w:rPr>
        <w:t>R E S U E L V E</w:t>
      </w:r>
    </w:p>
    <w:p w14:paraId="039B82EB" w14:textId="77777777" w:rsidR="00B13C7F" w:rsidRDefault="00B13C7F" w:rsidP="007303B8">
      <w:pPr>
        <w:spacing w:after="0" w:line="360" w:lineRule="auto"/>
        <w:rPr>
          <w:b/>
          <w:bCs/>
          <w:color w:val="000000"/>
        </w:rPr>
      </w:pPr>
    </w:p>
    <w:p w14:paraId="7FFA2ECF" w14:textId="754BB88F" w:rsidR="00B13C7F" w:rsidRDefault="0078568A" w:rsidP="007303B8">
      <w:pPr>
        <w:spacing w:after="0" w:line="360" w:lineRule="auto"/>
        <w:rPr>
          <w:color w:val="000000"/>
        </w:rPr>
      </w:pPr>
      <w:r>
        <w:rPr>
          <w:b/>
          <w:bCs/>
          <w:color w:val="000000"/>
        </w:rPr>
        <w:t xml:space="preserve">PRIMERO. </w:t>
      </w:r>
      <w:r>
        <w:rPr>
          <w:color w:val="000000"/>
        </w:rPr>
        <w:t xml:space="preserve">Se </w:t>
      </w:r>
      <w:r>
        <w:rPr>
          <w:b/>
          <w:bCs/>
          <w:color w:val="000000"/>
        </w:rPr>
        <w:t xml:space="preserve">REVOCA </w:t>
      </w:r>
      <w:r>
        <w:rPr>
          <w:color w:val="000000"/>
        </w:rPr>
        <w:t xml:space="preserve">la respuesta entregada por el </w:t>
      </w:r>
      <w:r w:rsidR="009D3A97">
        <w:rPr>
          <w:color w:val="000000"/>
        </w:rPr>
        <w:t>Ayuntamiento de Metepec</w:t>
      </w:r>
      <w:r>
        <w:rPr>
          <w:color w:val="000000"/>
        </w:rPr>
        <w:t xml:space="preserve">, a la solicitud de información </w:t>
      </w:r>
      <w:r w:rsidR="009D3A97">
        <w:rPr>
          <w:color w:val="000000"/>
        </w:rPr>
        <w:t>00004/METEPEC/IP/2026</w:t>
      </w:r>
      <w:r>
        <w:rPr>
          <w:color w:val="000000"/>
        </w:rPr>
        <w:t xml:space="preserve">, por resultar </w:t>
      </w:r>
      <w:r>
        <w:rPr>
          <w:b/>
          <w:bCs/>
          <w:color w:val="000000"/>
        </w:rPr>
        <w:t xml:space="preserve">FUNDADAS </w:t>
      </w:r>
      <w:r>
        <w:rPr>
          <w:color w:val="000000"/>
        </w:rPr>
        <w:t>las razones o motivos de inconformidad hechos valer por la persona Recurrente, en términos de los considerandos QUINTO y SEXTO de la presente Resolución.</w:t>
      </w:r>
    </w:p>
    <w:p w14:paraId="3BE2B94E" w14:textId="77777777" w:rsidR="00B13C7F" w:rsidRDefault="00B13C7F" w:rsidP="007303B8">
      <w:pPr>
        <w:spacing w:after="0" w:line="360" w:lineRule="auto"/>
        <w:rPr>
          <w:color w:val="000000"/>
        </w:rPr>
      </w:pPr>
    </w:p>
    <w:p w14:paraId="03EBB3CA" w14:textId="77777777" w:rsidR="00B13C7F" w:rsidRDefault="0078568A" w:rsidP="007303B8">
      <w:pPr>
        <w:spacing w:after="0" w:line="360" w:lineRule="auto"/>
        <w:rPr>
          <w:color w:val="000000"/>
        </w:rPr>
      </w:pPr>
      <w:r>
        <w:rPr>
          <w:b/>
          <w:bCs/>
        </w:rPr>
        <w:t xml:space="preserve">SEGUNDO. </w:t>
      </w:r>
      <w:r>
        <w:rPr>
          <w:color w:val="000000"/>
        </w:rPr>
        <w:t xml:space="preserve">Se </w:t>
      </w:r>
      <w:r>
        <w:rPr>
          <w:b/>
          <w:bCs/>
          <w:color w:val="000000"/>
        </w:rPr>
        <w:t>ORDENA</w:t>
      </w:r>
      <w:r>
        <w:rPr>
          <w:color w:val="000000"/>
        </w:rPr>
        <w:t xml:space="preserve"> al Sujeto Obligado</w:t>
      </w:r>
      <w:r>
        <w:rPr>
          <w:b/>
          <w:bCs/>
          <w:color w:val="000000"/>
        </w:rPr>
        <w:t xml:space="preserve">, </w:t>
      </w:r>
      <w:r>
        <w:rPr>
          <w:color w:val="000000"/>
        </w:rPr>
        <w:t>a efecto de que previa búsqueda exhaustiva y razonable en los archivos de las unidades administrativas competentes, entregue a través del Sistema de Acceso a la Información Mexiquense (SAIMEX), en su caso, en versión pública, lo siguiente:</w:t>
      </w:r>
    </w:p>
    <w:p w14:paraId="045D06AE" w14:textId="77777777" w:rsidR="00B13C7F" w:rsidRDefault="00B13C7F" w:rsidP="007303B8">
      <w:pPr>
        <w:spacing w:after="0" w:line="360" w:lineRule="auto"/>
      </w:pPr>
    </w:p>
    <w:p w14:paraId="7FD600D2" w14:textId="6181DE4C" w:rsidR="00B13C7F" w:rsidRDefault="0078568A" w:rsidP="007303B8">
      <w:pPr>
        <w:numPr>
          <w:ilvl w:val="0"/>
          <w:numId w:val="7"/>
        </w:numPr>
        <w:pBdr>
          <w:top w:val="nil"/>
          <w:left w:val="nil"/>
          <w:bottom w:val="nil"/>
          <w:right w:val="nil"/>
          <w:between w:val="nil"/>
        </w:pBdr>
        <w:spacing w:after="0" w:line="360" w:lineRule="auto"/>
        <w:rPr>
          <w:color w:val="000000"/>
        </w:rPr>
      </w:pPr>
      <w:r>
        <w:rPr>
          <w:color w:val="000000"/>
        </w:rPr>
        <w:t xml:space="preserve">Las facturas recibidas del primero de enero al </w:t>
      </w:r>
      <w:r w:rsidR="007303B8">
        <w:rPr>
          <w:color w:val="000000"/>
        </w:rPr>
        <w:t>treinta y uno de diciembre</w:t>
      </w:r>
      <w:r>
        <w:rPr>
          <w:color w:val="000000"/>
        </w:rPr>
        <w:t xml:space="preserve"> de dos mil veinticinco, relacionadas con recursos</w:t>
      </w:r>
      <w:r w:rsidR="007303B8">
        <w:rPr>
          <w:color w:val="000000"/>
        </w:rPr>
        <w:t xml:space="preserve"> públicos</w:t>
      </w:r>
      <w:r>
        <w:rPr>
          <w:color w:val="000000"/>
        </w:rPr>
        <w:t xml:space="preserve"> de la partida específica </w:t>
      </w:r>
      <w:r w:rsidR="007303B8">
        <w:rPr>
          <w:color w:val="000000"/>
        </w:rPr>
        <w:t>3611</w:t>
      </w:r>
      <w:r>
        <w:rPr>
          <w:color w:val="000000"/>
        </w:rPr>
        <w:t>.</w:t>
      </w:r>
    </w:p>
    <w:p w14:paraId="4FEA80A8" w14:textId="77777777" w:rsidR="00B13C7F" w:rsidRDefault="00B13C7F" w:rsidP="007303B8">
      <w:pPr>
        <w:spacing w:after="0" w:line="360" w:lineRule="auto"/>
        <w:ind w:right="-93"/>
      </w:pPr>
    </w:p>
    <w:p w14:paraId="72569D59" w14:textId="77777777" w:rsidR="00B13C7F" w:rsidRDefault="0078568A" w:rsidP="007303B8">
      <w:pPr>
        <w:spacing w:after="0" w:line="360" w:lineRule="auto"/>
      </w:pPr>
      <w:r>
        <w:t>Además,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14:paraId="7FDF43E2" w14:textId="77777777" w:rsidR="00B13C7F" w:rsidRDefault="00B13C7F" w:rsidP="007303B8">
      <w:pPr>
        <w:spacing w:after="0" w:line="360" w:lineRule="auto"/>
      </w:pPr>
    </w:p>
    <w:p w14:paraId="1DA83A1C" w14:textId="77777777" w:rsidR="00B13C7F" w:rsidRDefault="0078568A" w:rsidP="007303B8">
      <w:pPr>
        <w:spacing w:after="0" w:line="360" w:lineRule="auto"/>
        <w:ind w:right="-28"/>
        <w:rPr>
          <w:b/>
          <w:bCs/>
          <w:color w:val="000000"/>
        </w:rPr>
      </w:pPr>
      <w:r>
        <w:rPr>
          <w:b/>
          <w:bCs/>
          <w:color w:val="000000"/>
        </w:rPr>
        <w:t xml:space="preserve">TERCERO. NOTIFÍQUESE POR SAIMEX </w:t>
      </w:r>
      <w:r>
        <w:rPr>
          <w:color w:val="000000"/>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59CA07AE" w14:textId="77777777" w:rsidR="00B13C7F" w:rsidRDefault="00B13C7F" w:rsidP="007303B8">
      <w:pPr>
        <w:spacing w:after="0" w:line="360" w:lineRule="auto"/>
        <w:ind w:right="-28"/>
        <w:rPr>
          <w:color w:val="000000"/>
        </w:rPr>
      </w:pPr>
    </w:p>
    <w:p w14:paraId="3695914D" w14:textId="77777777" w:rsidR="00B13C7F" w:rsidRDefault="0078568A" w:rsidP="007303B8">
      <w:pPr>
        <w:spacing w:after="0" w:line="360" w:lineRule="auto"/>
        <w:rPr>
          <w:color w:val="000000"/>
        </w:rPr>
      </w:pPr>
      <w:r>
        <w:rPr>
          <w:color w:val="000000"/>
        </w:rPr>
        <w:t>De conformidad con el artículo 198 de la Ley de la materia, de considerarlo procedente, el Sujeto Obligado de manera fundada y motivada, podrá solicitar una ampliación de plazo para el cumplimiento de la presente resolución.</w:t>
      </w:r>
    </w:p>
    <w:p w14:paraId="22F410D0" w14:textId="77777777" w:rsidR="00B13C7F" w:rsidRDefault="00B13C7F" w:rsidP="007303B8">
      <w:pPr>
        <w:spacing w:after="0" w:line="360" w:lineRule="auto"/>
        <w:rPr>
          <w:color w:val="000000"/>
        </w:rPr>
      </w:pPr>
    </w:p>
    <w:p w14:paraId="0835CD3D" w14:textId="77777777" w:rsidR="00B13C7F" w:rsidRDefault="0078568A" w:rsidP="007303B8">
      <w:pPr>
        <w:spacing w:after="0" w:line="360" w:lineRule="auto"/>
        <w:rPr>
          <w:color w:val="000000"/>
        </w:rPr>
      </w:pPr>
      <w:r>
        <w:rPr>
          <w:b/>
          <w:bCs/>
          <w:color w:val="000000"/>
        </w:rPr>
        <w:t>CUARTO. NOTIFÍQUESE POR SAIMEX</w:t>
      </w:r>
      <w:r>
        <w:rPr>
          <w:color w:val="000000"/>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 </w:t>
      </w:r>
    </w:p>
    <w:p w14:paraId="130F5030" w14:textId="77777777" w:rsidR="00B13C7F" w:rsidRDefault="00B13C7F" w:rsidP="007303B8">
      <w:pPr>
        <w:spacing w:after="0" w:line="360" w:lineRule="auto"/>
        <w:rPr>
          <w:b/>
          <w:bCs/>
          <w:color w:val="000000"/>
        </w:rPr>
      </w:pPr>
    </w:p>
    <w:p w14:paraId="4D840FAA" w14:textId="4B731D67" w:rsidR="00B13C7F" w:rsidRDefault="0078568A" w:rsidP="007303B8">
      <w:pPr>
        <w:spacing w:after="0" w:line="360" w:lineRule="auto"/>
        <w:rPr>
          <w:b/>
          <w:bCs/>
          <w:color w:val="000000"/>
        </w:rPr>
      </w:pPr>
      <w:r>
        <w:rPr>
          <w:color w:val="000000"/>
        </w:rPr>
        <w:t>ASÍ LO RESUELVE, POR </w:t>
      </w:r>
      <w:r>
        <w:rPr>
          <w:b/>
          <w:bCs/>
          <w:color w:val="000000"/>
        </w:rPr>
        <w:t>UNANIMIDAD</w:t>
      </w:r>
      <w:r>
        <w:rPr>
          <w:color w:val="000000"/>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7303B8">
        <w:rPr>
          <w:color w:val="000000"/>
        </w:rPr>
        <w:t>DÉCIM</w:t>
      </w:r>
      <w:r w:rsidR="00C10F8F">
        <w:rPr>
          <w:color w:val="000000"/>
        </w:rPr>
        <w:t>A</w:t>
      </w:r>
      <w:r w:rsidR="007303B8">
        <w:rPr>
          <w:color w:val="000000"/>
        </w:rPr>
        <w:t xml:space="preserve"> SEGUNDA</w:t>
      </w:r>
      <w:r>
        <w:rPr>
          <w:color w:val="000000"/>
        </w:rPr>
        <w:t xml:space="preserve"> SESIÓN ORDINARIA, CELEBRADA EL </w:t>
      </w:r>
      <w:r w:rsidR="007303B8">
        <w:rPr>
          <w:color w:val="000000"/>
        </w:rPr>
        <w:t>OCHO DE ABRIL</w:t>
      </w:r>
      <w:r>
        <w:rPr>
          <w:color w:val="000000"/>
        </w:rPr>
        <w:t xml:space="preserve"> DE DOS MIL VEINTISÉIS, ANTE EL SECRETARIO TÉCNICO DEL PLENO, ALEXIS TAPIA RAMÍREZ.</w:t>
      </w:r>
    </w:p>
    <w:p w14:paraId="5E59B882" w14:textId="77777777" w:rsidR="00B13C7F" w:rsidRDefault="00B13C7F" w:rsidP="007303B8">
      <w:pPr>
        <w:spacing w:after="0" w:line="360" w:lineRule="auto"/>
        <w:rPr>
          <w:b/>
          <w:bCs/>
          <w:color w:val="000000"/>
        </w:rPr>
      </w:pPr>
    </w:p>
    <w:p w14:paraId="33084591" w14:textId="77777777" w:rsidR="00B13C7F" w:rsidRDefault="00B13C7F" w:rsidP="007303B8">
      <w:pPr>
        <w:spacing w:after="0" w:line="360" w:lineRule="auto"/>
        <w:rPr>
          <w:b/>
          <w:bCs/>
          <w:color w:val="000000"/>
        </w:rPr>
      </w:pPr>
    </w:p>
    <w:p w14:paraId="5F61AC8E" w14:textId="77777777" w:rsidR="00B13C7F" w:rsidRDefault="00B13C7F" w:rsidP="007303B8">
      <w:pPr>
        <w:spacing w:after="0" w:line="360" w:lineRule="auto"/>
        <w:rPr>
          <w:color w:val="000000"/>
        </w:rPr>
      </w:pPr>
    </w:p>
    <w:p w14:paraId="4125BE78" w14:textId="77777777" w:rsidR="00B13C7F" w:rsidRDefault="00B13C7F" w:rsidP="007303B8">
      <w:pPr>
        <w:spacing w:after="0" w:line="360" w:lineRule="auto"/>
        <w:rPr>
          <w:color w:val="000000"/>
        </w:rPr>
      </w:pPr>
    </w:p>
    <w:p w14:paraId="6008D73C" w14:textId="77777777" w:rsidR="00B13C7F" w:rsidRDefault="00B13C7F" w:rsidP="007303B8">
      <w:pPr>
        <w:tabs>
          <w:tab w:val="right" w:pos="8931"/>
        </w:tabs>
        <w:spacing w:after="0" w:line="360" w:lineRule="auto"/>
        <w:rPr>
          <w:color w:val="000000"/>
        </w:rPr>
      </w:pPr>
    </w:p>
    <w:p w14:paraId="4E360A3D" w14:textId="77777777" w:rsidR="00B13C7F" w:rsidRDefault="00B13C7F" w:rsidP="007303B8">
      <w:pPr>
        <w:tabs>
          <w:tab w:val="right" w:pos="8931"/>
        </w:tabs>
        <w:spacing w:after="0" w:line="360" w:lineRule="auto"/>
        <w:rPr>
          <w:color w:val="000000"/>
        </w:rPr>
      </w:pPr>
    </w:p>
    <w:p w14:paraId="0A33A027" w14:textId="77777777" w:rsidR="00B13C7F" w:rsidRDefault="00B13C7F" w:rsidP="007303B8">
      <w:pPr>
        <w:spacing w:after="0" w:line="360" w:lineRule="auto"/>
        <w:rPr>
          <w:color w:val="000000"/>
        </w:rPr>
      </w:pPr>
    </w:p>
    <w:p w14:paraId="7993B169" w14:textId="77777777" w:rsidR="00B13C7F" w:rsidRDefault="00B13C7F" w:rsidP="007303B8">
      <w:pPr>
        <w:spacing w:after="0" w:line="360" w:lineRule="auto"/>
        <w:rPr>
          <w:color w:val="000000"/>
        </w:rPr>
      </w:pPr>
    </w:p>
    <w:p w14:paraId="320A00A8" w14:textId="77777777" w:rsidR="00B13C7F" w:rsidRDefault="00B13C7F" w:rsidP="007303B8">
      <w:pPr>
        <w:spacing w:after="0" w:line="360" w:lineRule="auto"/>
        <w:rPr>
          <w:color w:val="000000"/>
        </w:rPr>
      </w:pPr>
    </w:p>
    <w:p w14:paraId="44C7FC15" w14:textId="77777777" w:rsidR="00B13C7F" w:rsidRDefault="00B13C7F" w:rsidP="007303B8">
      <w:pPr>
        <w:spacing w:after="0" w:line="360" w:lineRule="auto"/>
        <w:rPr>
          <w:color w:val="000000"/>
        </w:rPr>
      </w:pPr>
    </w:p>
    <w:p w14:paraId="471E7D4E" w14:textId="77777777" w:rsidR="00B13C7F" w:rsidRDefault="00B13C7F" w:rsidP="007303B8">
      <w:pPr>
        <w:spacing w:after="0" w:line="360" w:lineRule="auto"/>
        <w:rPr>
          <w:color w:val="000000"/>
        </w:rPr>
      </w:pPr>
    </w:p>
    <w:p w14:paraId="77BA04B5" w14:textId="77777777" w:rsidR="00B13C7F" w:rsidRDefault="00B13C7F" w:rsidP="007303B8">
      <w:pPr>
        <w:spacing w:after="0" w:line="360" w:lineRule="auto"/>
        <w:rPr>
          <w:color w:val="000000"/>
        </w:rPr>
      </w:pPr>
    </w:p>
    <w:p w14:paraId="365378C2" w14:textId="77777777" w:rsidR="00B13C7F" w:rsidRDefault="00B13C7F" w:rsidP="007303B8">
      <w:pPr>
        <w:spacing w:after="0" w:line="360" w:lineRule="auto"/>
        <w:rPr>
          <w:color w:val="000000"/>
        </w:rPr>
      </w:pPr>
    </w:p>
    <w:p w14:paraId="3B4C7E9F" w14:textId="77777777" w:rsidR="00B13C7F" w:rsidRDefault="00B13C7F" w:rsidP="007303B8">
      <w:pPr>
        <w:spacing w:after="0" w:line="360" w:lineRule="auto"/>
        <w:rPr>
          <w:color w:val="000000"/>
        </w:rPr>
      </w:pPr>
    </w:p>
    <w:p w14:paraId="00A272EE" w14:textId="77777777" w:rsidR="00B13C7F" w:rsidRDefault="00B13C7F" w:rsidP="007303B8">
      <w:pPr>
        <w:spacing w:after="0" w:line="360" w:lineRule="auto"/>
        <w:rPr>
          <w:color w:val="000000"/>
        </w:rPr>
      </w:pPr>
    </w:p>
    <w:p w14:paraId="731FCDC7" w14:textId="77777777" w:rsidR="00B13C7F" w:rsidRDefault="00B13C7F" w:rsidP="007303B8">
      <w:pPr>
        <w:spacing w:after="0" w:line="360" w:lineRule="auto"/>
        <w:rPr>
          <w:color w:val="000000"/>
        </w:rPr>
      </w:pPr>
    </w:p>
    <w:p w14:paraId="262649C6" w14:textId="77777777" w:rsidR="00B13C7F" w:rsidRDefault="00B13C7F" w:rsidP="007303B8">
      <w:pPr>
        <w:spacing w:after="0" w:line="360" w:lineRule="auto"/>
        <w:rPr>
          <w:color w:val="000000"/>
        </w:rPr>
      </w:pPr>
    </w:p>
    <w:p w14:paraId="25E90753" w14:textId="77777777" w:rsidR="00B13C7F" w:rsidRDefault="00B13C7F" w:rsidP="007303B8">
      <w:pPr>
        <w:spacing w:after="0" w:line="360" w:lineRule="auto"/>
        <w:rPr>
          <w:color w:val="000000"/>
        </w:rPr>
      </w:pPr>
    </w:p>
    <w:p w14:paraId="77CABF2F" w14:textId="77777777" w:rsidR="00B13C7F" w:rsidRDefault="00B13C7F" w:rsidP="007303B8">
      <w:pPr>
        <w:spacing w:after="0" w:line="360" w:lineRule="auto"/>
        <w:rPr>
          <w:color w:val="000000"/>
        </w:rPr>
      </w:pPr>
    </w:p>
    <w:p w14:paraId="38156B94" w14:textId="77777777" w:rsidR="00B13C7F" w:rsidRDefault="00B13C7F" w:rsidP="007303B8">
      <w:pPr>
        <w:spacing w:after="0" w:line="360" w:lineRule="auto"/>
        <w:rPr>
          <w:color w:val="000000"/>
        </w:rPr>
      </w:pPr>
    </w:p>
    <w:p w14:paraId="28CCF032" w14:textId="77777777" w:rsidR="00B13C7F" w:rsidRDefault="00B13C7F" w:rsidP="007303B8">
      <w:pPr>
        <w:spacing w:after="0" w:line="360" w:lineRule="auto"/>
        <w:rPr>
          <w:color w:val="000000"/>
        </w:rPr>
      </w:pPr>
    </w:p>
    <w:p w14:paraId="5927896D" w14:textId="77777777" w:rsidR="00B13C7F" w:rsidRDefault="00B13C7F" w:rsidP="007303B8">
      <w:pPr>
        <w:spacing w:after="0" w:line="360" w:lineRule="auto"/>
        <w:rPr>
          <w:color w:val="000000"/>
        </w:rPr>
      </w:pPr>
    </w:p>
    <w:p w14:paraId="5CCFFD94" w14:textId="77777777" w:rsidR="00B13C7F" w:rsidRDefault="00B13C7F" w:rsidP="007303B8">
      <w:pPr>
        <w:spacing w:after="0" w:line="360" w:lineRule="auto"/>
        <w:rPr>
          <w:color w:val="000000"/>
        </w:rPr>
      </w:pPr>
    </w:p>
    <w:sectPr w:rsidR="00B13C7F">
      <w:headerReference w:type="even" r:id="rId11"/>
      <w:headerReference w:type="default" r:id="rId12"/>
      <w:footerReference w:type="even" r:id="rId13"/>
      <w:footerReference w:type="default" r:id="rId14"/>
      <w:headerReference w:type="first" r:id="rId15"/>
      <w:footerReference w:type="first" r:id="rId16"/>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99DFC0" w14:textId="77777777" w:rsidR="00ED3784" w:rsidRDefault="00ED3784">
      <w:pPr>
        <w:spacing w:after="0" w:line="240" w:lineRule="auto"/>
      </w:pPr>
      <w:r>
        <w:separator/>
      </w:r>
    </w:p>
  </w:endnote>
  <w:endnote w:type="continuationSeparator" w:id="0">
    <w:p w14:paraId="3324857D" w14:textId="77777777" w:rsidR="00ED3784" w:rsidRDefault="00ED37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3F112F11-F8A1-4079-8509-05061D70776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BF1EB482-DC55-420E-B2B9-B8AA123DC1DA}"/>
    <w:embedBold r:id="rId3" w:fontKey="{CD06703E-604A-44CD-9FDA-0AC51E2689B7}"/>
    <w:embedItalic r:id="rId4" w:fontKey="{44EA87C3-5512-4E14-BC52-AA925126CDB0}"/>
    <w:embedBoldItalic r:id="rId5" w:fontKey="{2905AC9B-AE25-46F9-A617-FDAB8E4B5566}"/>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5BFF5591-53A2-4D66-9AAE-DF01AAB39F43}"/>
    <w:embedBold r:id="rId7" w:fontKey="{263C1CCA-BA8A-450A-B234-6C994DBEB1CE}"/>
    <w:embedBoldItalic r:id="rId8" w:fontKey="{924806F3-405D-4FE8-989F-2DC1F4D8167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9" w:fontKey="{F035A99F-2579-493D-895B-A634A72D24AE}"/>
  </w:font>
  <w:font w:name="Calibri">
    <w:panose1 w:val="020F0502020204030204"/>
    <w:charset w:val="00"/>
    <w:family w:val="swiss"/>
    <w:pitch w:val="variable"/>
    <w:sig w:usb0="E4002EFF" w:usb1="C200247B" w:usb2="00000009" w:usb3="00000000" w:csb0="000001FF" w:csb1="00000000"/>
    <w:embedRegular r:id="rId10" w:fontKey="{5F85B023-ECCD-4493-BC94-2F1D2AA9C3FA}"/>
    <w:embedBold r:id="rId11" w:fontKey="{3A0A2301-AFDB-4117-81D6-3010C567D9EA}"/>
    <w:embedItalic r:id="rId12" w:fontKey="{B427EBC1-C852-483A-B848-EFE273FF3176}"/>
    <w:embedBoldItalic r:id="rId13" w:fontKey="{6A869731-1A19-4DA8-9D72-18791C4F2C12}"/>
  </w:font>
  <w:font w:name="Georgia">
    <w:panose1 w:val="02040502050405020303"/>
    <w:charset w:val="00"/>
    <w:family w:val="roman"/>
    <w:pitch w:val="variable"/>
    <w:sig w:usb0="00000287" w:usb1="00000000" w:usb2="00000000" w:usb3="00000000" w:csb0="0000009F" w:csb1="00000000"/>
    <w:embedItalic r:id="rId14" w:fontKey="{7B70D117-CA34-4E16-BE94-C2E2AF839E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E47F5" w14:textId="77777777" w:rsidR="00B13C7F" w:rsidRDefault="0078568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A96FE3">
      <w:rPr>
        <w:b/>
        <w:bCs/>
        <w:noProof/>
        <w:color w:val="000000"/>
        <w:sz w:val="24"/>
        <w:szCs w:val="24"/>
      </w:rPr>
      <w:t>32</w:t>
    </w:r>
    <w:r>
      <w:rPr>
        <w:b/>
        <w:bCs/>
        <w:color w:val="000000"/>
        <w:sz w:val="24"/>
        <w:szCs w:val="24"/>
      </w:rPr>
      <w:fldChar w:fldCharType="end"/>
    </w:r>
  </w:p>
  <w:p w14:paraId="555B49C9" w14:textId="77777777" w:rsidR="00B13C7F" w:rsidRDefault="00B13C7F">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C71D2" w14:textId="77777777" w:rsidR="00B13C7F" w:rsidRDefault="0078568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1C3C19">
      <w:rPr>
        <w:b/>
        <w:bCs/>
        <w:noProof/>
        <w:color w:val="000000"/>
        <w:sz w:val="24"/>
        <w:szCs w:val="24"/>
      </w:rPr>
      <w:t>22</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1C3C19">
      <w:rPr>
        <w:b/>
        <w:bCs/>
        <w:noProof/>
        <w:color w:val="000000"/>
        <w:sz w:val="24"/>
        <w:szCs w:val="24"/>
      </w:rPr>
      <w:t>32</w:t>
    </w:r>
    <w:r>
      <w:rPr>
        <w:b/>
        <w:bCs/>
        <w:color w:val="000000"/>
        <w:sz w:val="24"/>
        <w:szCs w:val="24"/>
      </w:rPr>
      <w:fldChar w:fldCharType="end"/>
    </w:r>
  </w:p>
  <w:p w14:paraId="18E745F4" w14:textId="77777777" w:rsidR="00B13C7F" w:rsidRDefault="00B13C7F">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8DB62" w14:textId="77777777" w:rsidR="00B13C7F" w:rsidRDefault="0078568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ED3784">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ED3784">
      <w:rPr>
        <w:b/>
        <w:bCs/>
        <w:noProof/>
        <w:color w:val="000000"/>
        <w:sz w:val="24"/>
        <w:szCs w:val="24"/>
      </w:rPr>
      <w:t>1</w:t>
    </w:r>
    <w:r>
      <w:rPr>
        <w:b/>
        <w:bCs/>
        <w:color w:val="000000"/>
        <w:sz w:val="24"/>
        <w:szCs w:val="24"/>
      </w:rPr>
      <w:fldChar w:fldCharType="end"/>
    </w:r>
  </w:p>
  <w:p w14:paraId="1EA50E54" w14:textId="77777777" w:rsidR="00B13C7F" w:rsidRDefault="00B13C7F">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2EE248" w14:textId="77777777" w:rsidR="00ED3784" w:rsidRDefault="00ED3784">
      <w:pPr>
        <w:spacing w:after="0" w:line="240" w:lineRule="auto"/>
      </w:pPr>
      <w:r>
        <w:separator/>
      </w:r>
    </w:p>
  </w:footnote>
  <w:footnote w:type="continuationSeparator" w:id="0">
    <w:p w14:paraId="36A3AC53" w14:textId="77777777" w:rsidR="00ED3784" w:rsidRDefault="00ED37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92932C" w14:textId="77777777" w:rsidR="00B13C7F" w:rsidRDefault="00B13C7F">
    <w:pPr>
      <w:widowControl w:val="0"/>
      <w:pBdr>
        <w:top w:val="nil"/>
        <w:left w:val="nil"/>
        <w:bottom w:val="nil"/>
        <w:right w:val="nil"/>
        <w:between w:val="nil"/>
      </w:pBdr>
      <w:spacing w:after="0" w:line="276" w:lineRule="auto"/>
      <w:jc w:val="left"/>
      <w:rPr>
        <w:color w:val="000000"/>
      </w:rPr>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B13C7F" w14:paraId="1F8CB6D9" w14:textId="77777777">
      <w:trPr>
        <w:trHeight w:val="132"/>
      </w:trPr>
      <w:tc>
        <w:tcPr>
          <w:tcW w:w="2691" w:type="dxa"/>
        </w:tcPr>
        <w:p w14:paraId="5624C4BE" w14:textId="77777777" w:rsidR="00B13C7F" w:rsidRDefault="0078568A">
          <w:pPr>
            <w:tabs>
              <w:tab w:val="right" w:pos="8838"/>
            </w:tabs>
            <w:ind w:right="-105"/>
            <w:rPr>
              <w:b/>
              <w:bCs/>
            </w:rPr>
          </w:pPr>
          <w:r>
            <w:rPr>
              <w:b/>
              <w:bCs/>
            </w:rPr>
            <w:t>Recurso de Revisión:</w:t>
          </w:r>
        </w:p>
      </w:tc>
      <w:tc>
        <w:tcPr>
          <w:tcW w:w="3405" w:type="dxa"/>
        </w:tcPr>
        <w:p w14:paraId="5B9C8AFB" w14:textId="77777777" w:rsidR="00B13C7F" w:rsidRDefault="0078568A">
          <w:pPr>
            <w:tabs>
              <w:tab w:val="right" w:pos="8838"/>
            </w:tabs>
            <w:ind w:left="-28" w:right="-32"/>
          </w:pPr>
          <w:r>
            <w:t>03846/INFOEM/IP/RR/2020</w:t>
          </w:r>
        </w:p>
      </w:tc>
    </w:tr>
    <w:tr w:rsidR="00B13C7F" w14:paraId="540F997E" w14:textId="77777777">
      <w:trPr>
        <w:trHeight w:val="261"/>
      </w:trPr>
      <w:tc>
        <w:tcPr>
          <w:tcW w:w="2691" w:type="dxa"/>
        </w:tcPr>
        <w:p w14:paraId="744F5961" w14:textId="77777777" w:rsidR="00B13C7F" w:rsidRDefault="0078568A">
          <w:pPr>
            <w:tabs>
              <w:tab w:val="right" w:pos="8838"/>
            </w:tabs>
            <w:ind w:right="-105"/>
            <w:rPr>
              <w:b/>
              <w:bCs/>
            </w:rPr>
          </w:pPr>
          <w:r>
            <w:rPr>
              <w:b/>
              <w:bCs/>
            </w:rPr>
            <w:t>Sujeto Obligado:</w:t>
          </w:r>
        </w:p>
      </w:tc>
      <w:tc>
        <w:tcPr>
          <w:tcW w:w="3405" w:type="dxa"/>
        </w:tcPr>
        <w:p w14:paraId="2324C112" w14:textId="77777777" w:rsidR="00B13C7F" w:rsidRDefault="0078568A">
          <w:pPr>
            <w:tabs>
              <w:tab w:val="right" w:pos="8838"/>
            </w:tabs>
            <w:ind w:right="-32"/>
          </w:pPr>
          <w:r>
            <w:t>Ayuntamiento de Temascalcingo</w:t>
          </w:r>
        </w:p>
      </w:tc>
    </w:tr>
    <w:tr w:rsidR="00B13C7F" w14:paraId="228FE796" w14:textId="77777777">
      <w:trPr>
        <w:trHeight w:val="261"/>
      </w:trPr>
      <w:tc>
        <w:tcPr>
          <w:tcW w:w="2691" w:type="dxa"/>
        </w:tcPr>
        <w:p w14:paraId="75805B53" w14:textId="77777777" w:rsidR="00B13C7F" w:rsidRDefault="0078568A">
          <w:pPr>
            <w:tabs>
              <w:tab w:val="right" w:pos="8838"/>
            </w:tabs>
            <w:ind w:right="-105"/>
            <w:rPr>
              <w:b/>
              <w:bCs/>
            </w:rPr>
          </w:pPr>
          <w:r>
            <w:rPr>
              <w:b/>
              <w:bCs/>
            </w:rPr>
            <w:t>Comisionado Ponente:</w:t>
          </w:r>
        </w:p>
      </w:tc>
      <w:tc>
        <w:tcPr>
          <w:tcW w:w="3405" w:type="dxa"/>
        </w:tcPr>
        <w:p w14:paraId="583C7636" w14:textId="77777777" w:rsidR="00B13C7F" w:rsidRDefault="0078568A">
          <w:pPr>
            <w:tabs>
              <w:tab w:val="right" w:pos="8838"/>
            </w:tabs>
            <w:ind w:right="-32"/>
            <w:rPr>
              <w:b/>
              <w:bCs/>
            </w:rPr>
          </w:pPr>
          <w:r>
            <w:t>Luis Gustavo Parra Noriega</w:t>
          </w:r>
        </w:p>
      </w:tc>
    </w:tr>
  </w:tbl>
  <w:p w14:paraId="05B42389" w14:textId="77777777" w:rsidR="00B13C7F" w:rsidRDefault="00ED3784">
    <w:pPr>
      <w:pBdr>
        <w:top w:val="nil"/>
        <w:left w:val="nil"/>
        <w:bottom w:val="nil"/>
        <w:right w:val="nil"/>
        <w:between w:val="nil"/>
      </w:pBdr>
      <w:tabs>
        <w:tab w:val="center" w:pos="4419"/>
        <w:tab w:val="right" w:pos="8838"/>
      </w:tabs>
      <w:spacing w:after="0" w:line="240" w:lineRule="auto"/>
      <w:rPr>
        <w:color w:val="000000"/>
      </w:rPr>
    </w:pPr>
    <w:r>
      <w:rPr>
        <w:color w:val="000000"/>
      </w:rPr>
      <w:pict w14:anchorId="1E63B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7B922C" w14:textId="77777777" w:rsidR="00B13C7F" w:rsidRDefault="00ED3784">
    <w:pPr>
      <w:widowControl w:val="0"/>
      <w:pBdr>
        <w:top w:val="nil"/>
        <w:left w:val="nil"/>
        <w:bottom w:val="nil"/>
        <w:right w:val="nil"/>
        <w:between w:val="nil"/>
      </w:pBdr>
      <w:spacing w:after="0" w:line="276" w:lineRule="auto"/>
      <w:jc w:val="left"/>
    </w:pPr>
    <w:r>
      <w:rPr>
        <w:color w:val="000000"/>
      </w:rPr>
      <w:pict w14:anchorId="71C127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margin-left:-85.35pt;margin-top:-130.7pt;width:663.5pt;height:12in;z-index:-251659776;mso-position-horizontal-relative:margin;mso-position-vertical-relative:margin">
          <v:imagedata r:id="rId1" o:title="image1"/>
          <w10:wrap anchorx="margin" anchory="margin"/>
        </v:shape>
      </w:pict>
    </w:r>
  </w:p>
  <w:tbl>
    <w:tblPr>
      <w:tblStyle w:val="a0"/>
      <w:tblW w:w="6663" w:type="dxa"/>
      <w:tblInd w:w="3828" w:type="dxa"/>
      <w:tblBorders>
        <w:top w:val="nil"/>
        <w:left w:val="nil"/>
        <w:bottom w:val="nil"/>
        <w:right w:val="nil"/>
        <w:insideH w:val="nil"/>
        <w:insideV w:val="nil"/>
      </w:tblBorders>
      <w:tblLayout w:type="fixed"/>
      <w:tblLook w:val="0400" w:firstRow="0" w:lastRow="0" w:firstColumn="0" w:lastColumn="0" w:noHBand="0" w:noVBand="1"/>
    </w:tblPr>
    <w:tblGrid>
      <w:gridCol w:w="2268"/>
      <w:gridCol w:w="4395"/>
    </w:tblGrid>
    <w:tr w:rsidR="00B13C7F" w14:paraId="7459501B" w14:textId="77777777" w:rsidTr="009D3A97">
      <w:trPr>
        <w:trHeight w:val="138"/>
      </w:trPr>
      <w:tc>
        <w:tcPr>
          <w:tcW w:w="2268" w:type="dxa"/>
          <w:vAlign w:val="center"/>
        </w:tcPr>
        <w:p w14:paraId="2BA3A509" w14:textId="77777777" w:rsidR="00B13C7F" w:rsidRDefault="00B13C7F">
          <w:pPr>
            <w:tabs>
              <w:tab w:val="right" w:pos="8838"/>
            </w:tabs>
            <w:ind w:left="-108" w:right="-105"/>
            <w:jc w:val="left"/>
            <w:rPr>
              <w:b/>
              <w:bCs/>
            </w:rPr>
          </w:pPr>
        </w:p>
        <w:p w14:paraId="3FFF1845" w14:textId="77777777" w:rsidR="00B13C7F" w:rsidRDefault="0078568A">
          <w:pPr>
            <w:tabs>
              <w:tab w:val="right" w:pos="8838"/>
            </w:tabs>
            <w:ind w:left="-108" w:right="-105"/>
            <w:jc w:val="left"/>
            <w:rPr>
              <w:b/>
              <w:bCs/>
            </w:rPr>
          </w:pPr>
          <w:r>
            <w:rPr>
              <w:b/>
              <w:bCs/>
            </w:rPr>
            <w:t>Recurso de Revisión:</w:t>
          </w:r>
        </w:p>
      </w:tc>
      <w:tc>
        <w:tcPr>
          <w:tcW w:w="4395" w:type="dxa"/>
        </w:tcPr>
        <w:p w14:paraId="3852EC47" w14:textId="77777777" w:rsidR="00B13C7F" w:rsidRDefault="00B13C7F">
          <w:pPr>
            <w:tabs>
              <w:tab w:val="right" w:pos="8838"/>
            </w:tabs>
            <w:ind w:right="57"/>
          </w:pPr>
        </w:p>
        <w:p w14:paraId="603F3822" w14:textId="4C25A02E" w:rsidR="00B13C7F" w:rsidRDefault="009D3A97">
          <w:pPr>
            <w:tabs>
              <w:tab w:val="right" w:pos="8838"/>
            </w:tabs>
            <w:ind w:right="57"/>
          </w:pPr>
          <w:r>
            <w:t>02996/INFOEM/IP/RR/2026</w:t>
          </w:r>
        </w:p>
      </w:tc>
    </w:tr>
    <w:tr w:rsidR="00B13C7F" w14:paraId="54D49672" w14:textId="77777777" w:rsidTr="009D3A97">
      <w:trPr>
        <w:trHeight w:val="273"/>
      </w:trPr>
      <w:tc>
        <w:tcPr>
          <w:tcW w:w="2268" w:type="dxa"/>
        </w:tcPr>
        <w:p w14:paraId="21632142" w14:textId="77777777" w:rsidR="00B13C7F" w:rsidRDefault="0078568A">
          <w:pPr>
            <w:tabs>
              <w:tab w:val="right" w:pos="8838"/>
            </w:tabs>
            <w:ind w:left="-108" w:right="-105"/>
            <w:rPr>
              <w:b/>
              <w:bCs/>
            </w:rPr>
          </w:pPr>
          <w:r>
            <w:rPr>
              <w:b/>
              <w:bCs/>
            </w:rPr>
            <w:t>Sujeto Obligado:</w:t>
          </w:r>
        </w:p>
      </w:tc>
      <w:tc>
        <w:tcPr>
          <w:tcW w:w="4395" w:type="dxa"/>
        </w:tcPr>
        <w:p w14:paraId="72FFA7C8" w14:textId="5A6D9554" w:rsidR="00B13C7F" w:rsidRDefault="009D3A97">
          <w:pPr>
            <w:tabs>
              <w:tab w:val="right" w:pos="8838"/>
            </w:tabs>
            <w:ind w:right="175"/>
          </w:pPr>
          <w:r>
            <w:t>Ayuntamiento de Metepec</w:t>
          </w:r>
        </w:p>
      </w:tc>
    </w:tr>
    <w:tr w:rsidR="00B13C7F" w14:paraId="56EAC1FF" w14:textId="77777777" w:rsidTr="009D3A97">
      <w:trPr>
        <w:trHeight w:val="273"/>
      </w:trPr>
      <w:tc>
        <w:tcPr>
          <w:tcW w:w="2268" w:type="dxa"/>
        </w:tcPr>
        <w:p w14:paraId="7A9C77BD" w14:textId="77777777" w:rsidR="00B13C7F" w:rsidRDefault="0078568A">
          <w:pPr>
            <w:tabs>
              <w:tab w:val="right" w:pos="8838"/>
            </w:tabs>
            <w:ind w:left="-108" w:right="-105"/>
            <w:rPr>
              <w:b/>
              <w:bCs/>
            </w:rPr>
          </w:pPr>
          <w:r>
            <w:rPr>
              <w:b/>
              <w:bCs/>
            </w:rPr>
            <w:t>Comisionado Ponente:</w:t>
          </w:r>
        </w:p>
      </w:tc>
      <w:tc>
        <w:tcPr>
          <w:tcW w:w="4395" w:type="dxa"/>
        </w:tcPr>
        <w:p w14:paraId="5FAA962E" w14:textId="77777777" w:rsidR="00B13C7F" w:rsidRDefault="0078568A">
          <w:pPr>
            <w:tabs>
              <w:tab w:val="right" w:pos="8838"/>
            </w:tabs>
            <w:ind w:right="-170"/>
          </w:pPr>
          <w:r>
            <w:t>Luis Gustavo Parra Noriega</w:t>
          </w:r>
        </w:p>
        <w:p w14:paraId="2E503AC1" w14:textId="77777777" w:rsidR="00B13C7F" w:rsidRDefault="00B13C7F">
          <w:pPr>
            <w:tabs>
              <w:tab w:val="right" w:pos="8838"/>
            </w:tabs>
            <w:ind w:right="-170"/>
            <w:rPr>
              <w:b/>
              <w:bCs/>
              <w:sz w:val="13"/>
              <w:szCs w:val="13"/>
            </w:rPr>
          </w:pPr>
        </w:p>
      </w:tc>
    </w:tr>
  </w:tbl>
  <w:p w14:paraId="07214335" w14:textId="77777777" w:rsidR="00B13C7F" w:rsidRDefault="00B13C7F">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ED9F86" w14:textId="77777777" w:rsidR="00B13C7F" w:rsidRDefault="00B13C7F">
    <w:pPr>
      <w:widowControl w:val="0"/>
      <w:pBdr>
        <w:top w:val="nil"/>
        <w:left w:val="nil"/>
        <w:bottom w:val="nil"/>
        <w:right w:val="nil"/>
        <w:between w:val="nil"/>
      </w:pBdr>
      <w:spacing w:after="0" w:line="276" w:lineRule="auto"/>
      <w:jc w:val="left"/>
      <w:rPr>
        <w:color w:val="000000"/>
      </w:rPr>
    </w:pPr>
  </w:p>
  <w:tbl>
    <w:tblPr>
      <w:tblStyle w:val="a1"/>
      <w:tblW w:w="6804"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B13C7F" w14:paraId="46E7DBE2" w14:textId="77777777" w:rsidTr="009D3A97">
      <w:trPr>
        <w:trHeight w:val="132"/>
      </w:trPr>
      <w:tc>
        <w:tcPr>
          <w:tcW w:w="2551" w:type="dxa"/>
        </w:tcPr>
        <w:p w14:paraId="350D9B31" w14:textId="77777777" w:rsidR="00B13C7F" w:rsidRDefault="0078568A">
          <w:pPr>
            <w:tabs>
              <w:tab w:val="right" w:pos="8838"/>
            </w:tabs>
            <w:ind w:right="-105"/>
            <w:rPr>
              <w:b/>
              <w:bCs/>
            </w:rPr>
          </w:pPr>
          <w:r>
            <w:rPr>
              <w:b/>
              <w:bCs/>
            </w:rPr>
            <w:t>Recurso de Revisión:</w:t>
          </w:r>
        </w:p>
      </w:tc>
      <w:tc>
        <w:tcPr>
          <w:tcW w:w="4253" w:type="dxa"/>
        </w:tcPr>
        <w:p w14:paraId="66077386" w14:textId="4E71ECCF" w:rsidR="00B13C7F" w:rsidRDefault="009D3A97">
          <w:r>
            <w:t>02996/INFOEM/IP/RR/2026</w:t>
          </w:r>
        </w:p>
      </w:tc>
    </w:tr>
    <w:tr w:rsidR="00B13C7F" w14:paraId="2FC31704" w14:textId="77777777" w:rsidTr="009D3A97">
      <w:trPr>
        <w:trHeight w:val="132"/>
      </w:trPr>
      <w:tc>
        <w:tcPr>
          <w:tcW w:w="2551" w:type="dxa"/>
          <w:shd w:val="clear" w:color="auto" w:fill="auto"/>
        </w:tcPr>
        <w:p w14:paraId="47EB3EC6" w14:textId="77777777" w:rsidR="00B13C7F" w:rsidRDefault="0078568A">
          <w:pPr>
            <w:tabs>
              <w:tab w:val="left" w:pos="1875"/>
            </w:tabs>
            <w:ind w:right="-105"/>
            <w:rPr>
              <w:b/>
              <w:bCs/>
            </w:rPr>
          </w:pPr>
          <w:r>
            <w:rPr>
              <w:b/>
              <w:bCs/>
            </w:rPr>
            <w:t>Recurrente:</w:t>
          </w:r>
          <w:r>
            <w:rPr>
              <w:b/>
              <w:bCs/>
            </w:rPr>
            <w:tab/>
          </w:r>
        </w:p>
      </w:tc>
      <w:tc>
        <w:tcPr>
          <w:tcW w:w="4253" w:type="dxa"/>
          <w:shd w:val="clear" w:color="auto" w:fill="auto"/>
        </w:tcPr>
        <w:p w14:paraId="26D40B52" w14:textId="75C6FD51" w:rsidR="00B13C7F" w:rsidRDefault="001C3C19">
          <w:r w:rsidRPr="001C3C19">
            <w:rPr>
              <w:highlight w:val="black"/>
            </w:rPr>
            <w:t>XXXXXXXXXXXXXXX</w:t>
          </w:r>
        </w:p>
      </w:tc>
    </w:tr>
    <w:tr w:rsidR="00B13C7F" w14:paraId="4F892151" w14:textId="77777777" w:rsidTr="009D3A97">
      <w:trPr>
        <w:trHeight w:val="261"/>
      </w:trPr>
      <w:tc>
        <w:tcPr>
          <w:tcW w:w="2551" w:type="dxa"/>
        </w:tcPr>
        <w:p w14:paraId="6A56C034" w14:textId="77777777" w:rsidR="00B13C7F" w:rsidRDefault="0078568A">
          <w:pPr>
            <w:tabs>
              <w:tab w:val="right" w:pos="8838"/>
            </w:tabs>
            <w:ind w:right="-105"/>
            <w:rPr>
              <w:b/>
              <w:bCs/>
            </w:rPr>
          </w:pPr>
          <w:r>
            <w:rPr>
              <w:b/>
              <w:bCs/>
            </w:rPr>
            <w:t>Sujeto Obligado:</w:t>
          </w:r>
        </w:p>
      </w:tc>
      <w:tc>
        <w:tcPr>
          <w:tcW w:w="4253" w:type="dxa"/>
        </w:tcPr>
        <w:p w14:paraId="1D187D3C" w14:textId="46D47D21" w:rsidR="00B13C7F" w:rsidRDefault="009D3A97">
          <w:r>
            <w:t>Ayuntamiento de Metepec</w:t>
          </w:r>
        </w:p>
      </w:tc>
    </w:tr>
    <w:tr w:rsidR="00B13C7F" w14:paraId="2618E207" w14:textId="77777777" w:rsidTr="009D3A97">
      <w:trPr>
        <w:trHeight w:val="261"/>
      </w:trPr>
      <w:tc>
        <w:tcPr>
          <w:tcW w:w="2551" w:type="dxa"/>
        </w:tcPr>
        <w:p w14:paraId="5ACFF4F2" w14:textId="77777777" w:rsidR="00B13C7F" w:rsidRDefault="0078568A">
          <w:pPr>
            <w:tabs>
              <w:tab w:val="right" w:pos="8838"/>
            </w:tabs>
            <w:ind w:right="-105"/>
            <w:rPr>
              <w:b/>
              <w:bCs/>
            </w:rPr>
          </w:pPr>
          <w:r>
            <w:rPr>
              <w:b/>
              <w:bCs/>
            </w:rPr>
            <w:t>Comisionado Ponente:</w:t>
          </w:r>
        </w:p>
      </w:tc>
      <w:tc>
        <w:tcPr>
          <w:tcW w:w="4253" w:type="dxa"/>
        </w:tcPr>
        <w:p w14:paraId="76F4BD8E" w14:textId="77777777" w:rsidR="00B13C7F" w:rsidRDefault="0078568A">
          <w:pPr>
            <w:tabs>
              <w:tab w:val="right" w:pos="8838"/>
            </w:tabs>
            <w:ind w:right="-32"/>
            <w:rPr>
              <w:b/>
              <w:bCs/>
            </w:rPr>
          </w:pPr>
          <w:r>
            <w:t>Luis Gustavo Parra Noriega</w:t>
          </w:r>
        </w:p>
      </w:tc>
    </w:tr>
  </w:tbl>
  <w:p w14:paraId="23A400AF" w14:textId="77777777" w:rsidR="00B13C7F" w:rsidRDefault="00ED3784">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1A074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451FE"/>
    <w:multiLevelType w:val="multilevel"/>
    <w:tmpl w:val="825EDC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970176E"/>
    <w:multiLevelType w:val="multilevel"/>
    <w:tmpl w:val="3EBC42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454567"/>
    <w:multiLevelType w:val="multilevel"/>
    <w:tmpl w:val="9F1C5F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C9542E8"/>
    <w:multiLevelType w:val="multilevel"/>
    <w:tmpl w:val="F64682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F2345DF"/>
    <w:multiLevelType w:val="multilevel"/>
    <w:tmpl w:val="A148C9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213770"/>
    <w:multiLevelType w:val="multilevel"/>
    <w:tmpl w:val="205CE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17A0575"/>
    <w:multiLevelType w:val="multilevel"/>
    <w:tmpl w:val="1708D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2A72A60"/>
    <w:multiLevelType w:val="multilevel"/>
    <w:tmpl w:val="DFCE67D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6955BE0"/>
    <w:multiLevelType w:val="multilevel"/>
    <w:tmpl w:val="BC3CF7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A164502"/>
    <w:multiLevelType w:val="multilevel"/>
    <w:tmpl w:val="66961B02"/>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3F9756D3"/>
    <w:multiLevelType w:val="multilevel"/>
    <w:tmpl w:val="2CF2CA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A933CC7"/>
    <w:multiLevelType w:val="hybridMultilevel"/>
    <w:tmpl w:val="C27488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D44646C"/>
    <w:multiLevelType w:val="multilevel"/>
    <w:tmpl w:val="986835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27D5C3B"/>
    <w:multiLevelType w:val="multilevel"/>
    <w:tmpl w:val="F91E7A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A292D89"/>
    <w:multiLevelType w:val="multilevel"/>
    <w:tmpl w:val="54BAD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9311C66"/>
    <w:multiLevelType w:val="multilevel"/>
    <w:tmpl w:val="48A65A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E305EA6"/>
    <w:multiLevelType w:val="multilevel"/>
    <w:tmpl w:val="97B21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0"/>
  </w:num>
  <w:num w:numId="3">
    <w:abstractNumId w:val="7"/>
  </w:num>
  <w:num w:numId="4">
    <w:abstractNumId w:val="14"/>
  </w:num>
  <w:num w:numId="5">
    <w:abstractNumId w:val="13"/>
  </w:num>
  <w:num w:numId="6">
    <w:abstractNumId w:val="9"/>
  </w:num>
  <w:num w:numId="7">
    <w:abstractNumId w:val="11"/>
  </w:num>
  <w:num w:numId="8">
    <w:abstractNumId w:val="3"/>
  </w:num>
  <w:num w:numId="9">
    <w:abstractNumId w:val="17"/>
  </w:num>
  <w:num w:numId="10">
    <w:abstractNumId w:val="15"/>
  </w:num>
  <w:num w:numId="11">
    <w:abstractNumId w:val="16"/>
  </w:num>
  <w:num w:numId="12">
    <w:abstractNumId w:val="1"/>
  </w:num>
  <w:num w:numId="13">
    <w:abstractNumId w:val="10"/>
  </w:num>
  <w:num w:numId="14">
    <w:abstractNumId w:val="8"/>
  </w:num>
  <w:num w:numId="15">
    <w:abstractNumId w:val="2"/>
  </w:num>
  <w:num w:numId="16">
    <w:abstractNumId w:val="4"/>
  </w:num>
  <w:num w:numId="17">
    <w:abstractNumId w:val="12"/>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C7F"/>
    <w:rsid w:val="0017701F"/>
    <w:rsid w:val="001A3EB8"/>
    <w:rsid w:val="001C3C19"/>
    <w:rsid w:val="002E742A"/>
    <w:rsid w:val="004259F0"/>
    <w:rsid w:val="004654E9"/>
    <w:rsid w:val="00576751"/>
    <w:rsid w:val="005B61FB"/>
    <w:rsid w:val="005F35C4"/>
    <w:rsid w:val="007303B8"/>
    <w:rsid w:val="0078568A"/>
    <w:rsid w:val="008717F5"/>
    <w:rsid w:val="008C5591"/>
    <w:rsid w:val="00940CD6"/>
    <w:rsid w:val="009C0176"/>
    <w:rsid w:val="009D3A97"/>
    <w:rsid w:val="00A96FE3"/>
    <w:rsid w:val="00B13C7F"/>
    <w:rsid w:val="00B13FD2"/>
    <w:rsid w:val="00C10F8F"/>
    <w:rsid w:val="00DC32B2"/>
    <w:rsid w:val="00E671E4"/>
    <w:rsid w:val="00ED3784"/>
    <w:rsid w:val="00F60C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C44BCEE"/>
  <w15:docId w15:val="{B6B64286-398F-4D58-A829-85593E211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4">
    <w:name w:val="4"/>
    <w:basedOn w:val="TableNormal0"/>
    <w:pPr>
      <w:spacing w:after="0" w:line="240" w:lineRule="auto"/>
    </w:pPr>
    <w:tblPr>
      <w:tblStyleRowBandSize w:val="1"/>
      <w:tblStyleColBandSize w:val="1"/>
      <w:tblCellMar>
        <w:left w:w="108" w:type="dxa"/>
        <w:right w:w="108" w:type="dxa"/>
      </w:tblCellMar>
    </w:tbl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de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C96A34"/>
    <w:rPr>
      <w:color w:val="605E5C"/>
      <w:shd w:val="clear" w:color="auto" w:fill="E1DFDD"/>
    </w:rPr>
  </w:style>
  <w:style w:type="character" w:customStyle="1" w:styleId="Mencinsinresolver5">
    <w:name w:val="Mención sin resolver5"/>
    <w:basedOn w:val="Fuentedeprrafopredeter"/>
    <w:uiPriority w:val="99"/>
    <w:semiHidden/>
    <w:unhideWhenUsed/>
    <w:rsid w:val="0065190E"/>
    <w:rPr>
      <w:color w:val="605E5C"/>
      <w:shd w:val="clear" w:color="auto" w:fill="E1DFDD"/>
    </w:rPr>
  </w:style>
  <w:style w:type="character" w:customStyle="1" w:styleId="Mencinsinresolver6">
    <w:name w:val="Mención sin resolver6"/>
    <w:basedOn w:val="Fuentedeprrafopredeter"/>
    <w:uiPriority w:val="99"/>
    <w:semiHidden/>
    <w:unhideWhenUsed/>
    <w:rsid w:val="00EE2207"/>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997810">
      <w:bodyDiv w:val="1"/>
      <w:marLeft w:val="0"/>
      <w:marRight w:val="0"/>
      <w:marTop w:val="0"/>
      <w:marBottom w:val="0"/>
      <w:divBdr>
        <w:top w:val="none" w:sz="0" w:space="0" w:color="auto"/>
        <w:left w:val="none" w:sz="0" w:space="0" w:color="auto"/>
        <w:bottom w:val="none" w:sz="0" w:space="0" w:color="auto"/>
        <w:right w:val="none" w:sz="0" w:space="0" w:color="auto"/>
      </w:divBdr>
    </w:div>
    <w:div w:id="411708940">
      <w:bodyDiv w:val="1"/>
      <w:marLeft w:val="0"/>
      <w:marRight w:val="0"/>
      <w:marTop w:val="0"/>
      <w:marBottom w:val="0"/>
      <w:divBdr>
        <w:top w:val="none" w:sz="0" w:space="0" w:color="auto"/>
        <w:left w:val="none" w:sz="0" w:space="0" w:color="auto"/>
        <w:bottom w:val="none" w:sz="0" w:space="0" w:color="auto"/>
        <w:right w:val="none" w:sz="0" w:space="0" w:color="auto"/>
      </w:divBdr>
    </w:div>
    <w:div w:id="847409912">
      <w:bodyDiv w:val="1"/>
      <w:marLeft w:val="0"/>
      <w:marRight w:val="0"/>
      <w:marTop w:val="0"/>
      <w:marBottom w:val="0"/>
      <w:divBdr>
        <w:top w:val="none" w:sz="0" w:space="0" w:color="auto"/>
        <w:left w:val="none" w:sz="0" w:space="0" w:color="auto"/>
        <w:bottom w:val="none" w:sz="0" w:space="0" w:color="auto"/>
        <w:right w:val="none" w:sz="0" w:space="0" w:color="auto"/>
      </w:divBdr>
    </w:div>
    <w:div w:id="897785384">
      <w:bodyDiv w:val="1"/>
      <w:marLeft w:val="0"/>
      <w:marRight w:val="0"/>
      <w:marTop w:val="0"/>
      <w:marBottom w:val="0"/>
      <w:divBdr>
        <w:top w:val="none" w:sz="0" w:space="0" w:color="auto"/>
        <w:left w:val="none" w:sz="0" w:space="0" w:color="auto"/>
        <w:bottom w:val="none" w:sz="0" w:space="0" w:color="auto"/>
        <w:right w:val="none" w:sz="0" w:space="0" w:color="auto"/>
      </w:divBdr>
    </w:div>
    <w:div w:id="962541866">
      <w:bodyDiv w:val="1"/>
      <w:marLeft w:val="0"/>
      <w:marRight w:val="0"/>
      <w:marTop w:val="0"/>
      <w:marBottom w:val="0"/>
      <w:divBdr>
        <w:top w:val="none" w:sz="0" w:space="0" w:color="auto"/>
        <w:left w:val="none" w:sz="0" w:space="0" w:color="auto"/>
        <w:bottom w:val="none" w:sz="0" w:space="0" w:color="auto"/>
        <w:right w:val="none" w:sz="0" w:space="0" w:color="auto"/>
      </w:divBdr>
    </w:div>
    <w:div w:id="967972217">
      <w:bodyDiv w:val="1"/>
      <w:marLeft w:val="0"/>
      <w:marRight w:val="0"/>
      <w:marTop w:val="0"/>
      <w:marBottom w:val="0"/>
      <w:divBdr>
        <w:top w:val="none" w:sz="0" w:space="0" w:color="auto"/>
        <w:left w:val="none" w:sz="0" w:space="0" w:color="auto"/>
        <w:bottom w:val="none" w:sz="0" w:space="0" w:color="auto"/>
        <w:right w:val="none" w:sz="0" w:space="0" w:color="auto"/>
      </w:divBdr>
    </w:div>
    <w:div w:id="1385107027">
      <w:bodyDiv w:val="1"/>
      <w:marLeft w:val="0"/>
      <w:marRight w:val="0"/>
      <w:marTop w:val="0"/>
      <w:marBottom w:val="0"/>
      <w:divBdr>
        <w:top w:val="none" w:sz="0" w:space="0" w:color="auto"/>
        <w:left w:val="none" w:sz="0" w:space="0" w:color="auto"/>
        <w:bottom w:val="none" w:sz="0" w:space="0" w:color="auto"/>
        <w:right w:val="none" w:sz="0" w:space="0" w:color="auto"/>
      </w:divBdr>
    </w:div>
    <w:div w:id="1968465923">
      <w:bodyDiv w:val="1"/>
      <w:marLeft w:val="0"/>
      <w:marRight w:val="0"/>
      <w:marTop w:val="0"/>
      <w:marBottom w:val="0"/>
      <w:divBdr>
        <w:top w:val="none" w:sz="0" w:space="0" w:color="auto"/>
        <w:left w:val="none" w:sz="0" w:space="0" w:color="auto"/>
        <w:bottom w:val="none" w:sz="0" w:space="0" w:color="auto"/>
        <w:right w:val="none" w:sz="0" w:space="0" w:color="auto"/>
      </w:divBdr>
    </w:div>
    <w:div w:id="1975133702">
      <w:bodyDiv w:val="1"/>
      <w:marLeft w:val="0"/>
      <w:marRight w:val="0"/>
      <w:marTop w:val="0"/>
      <w:marBottom w:val="0"/>
      <w:divBdr>
        <w:top w:val="none" w:sz="0" w:space="0" w:color="auto"/>
        <w:left w:val="none" w:sz="0" w:space="0" w:color="auto"/>
        <w:bottom w:val="none" w:sz="0" w:space="0" w:color="auto"/>
        <w:right w:val="none" w:sz="0" w:space="0" w:color="auto"/>
      </w:divBdr>
    </w:div>
    <w:div w:id="1997689392">
      <w:bodyDiv w:val="1"/>
      <w:marLeft w:val="0"/>
      <w:marRight w:val="0"/>
      <w:marTop w:val="0"/>
      <w:marBottom w:val="0"/>
      <w:divBdr>
        <w:top w:val="none" w:sz="0" w:space="0" w:color="auto"/>
        <w:left w:val="none" w:sz="0" w:space="0" w:color="auto"/>
        <w:bottom w:val="none" w:sz="0" w:space="0" w:color="auto"/>
        <w:right w:val="none" w:sz="0" w:space="0" w:color="auto"/>
      </w:divBdr>
    </w:div>
    <w:div w:id="2031104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UdtRu54aC4tTovj3QOax8inGcw==">CgMxLjAyDmgudzRyNnYyeTVoNmN6Mg5oLnVlOGhtemRnMGRzZzIOaC40enc0anFyZ3UzazEyDmgub2E3aGVycHR1NndxMg5oLjRjajR1MTc3eW92bjIOaC56NzJxMG96YWJ3M2oyDmguZnVqNndqcnd6emVqMgloLjMwajB6bGwyDmgucm80dzgzM3A5eDRxMg5oLnN4MTRlNm9heW43aDIOaC5qcjl0MHV3dnk1MTcyDmgueWd6YTY4cmlwd2czMg1oLm5xM2ZiNjNlY21pMg5oLmE1MzB0ODM3aDM2cTgAciExSEQ3Sm9SS245NkxBUG1fQ1pNOEdDX1FhbS1NWDBabG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8012</Words>
  <Characters>44066</Characters>
  <Application>Microsoft Office Word</Application>
  <DocSecurity>0</DocSecurity>
  <Lines>367</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ROX</cp:lastModifiedBy>
  <cp:revision>4</cp:revision>
  <cp:lastPrinted>2026-04-10T16:53:00Z</cp:lastPrinted>
  <dcterms:created xsi:type="dcterms:W3CDTF">2026-04-10T16:53:00Z</dcterms:created>
  <dcterms:modified xsi:type="dcterms:W3CDTF">2026-04-27T15:54:00Z</dcterms:modified>
</cp:coreProperties>
</file>