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5CA" w:rsidRPr="00E071F9" w:rsidRDefault="002055CA" w:rsidP="002055CA">
      <w:pPr>
        <w:spacing w:line="360" w:lineRule="auto"/>
        <w:jc w:val="both"/>
        <w:rPr>
          <w:rFonts w:ascii="Palatino Linotype" w:eastAsia="Palatino Linotype" w:hAnsi="Palatino Linotype" w:cs="Palatino Linotype"/>
        </w:rPr>
      </w:pPr>
      <w:bookmarkStart w:id="0" w:name="_GoBack"/>
      <w:bookmarkEnd w:id="0"/>
      <w:r w:rsidRPr="00E071F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6C5DEC" w:rsidRPr="00E071F9">
        <w:rPr>
          <w:rFonts w:ascii="Palatino Linotype" w:eastAsia="Palatino Linotype" w:hAnsi="Palatino Linotype" w:cs="Palatino Linotype"/>
        </w:rPr>
        <w:t>trece</w:t>
      </w:r>
      <w:r w:rsidR="00E071F9">
        <w:rPr>
          <w:rFonts w:ascii="Palatino Linotype" w:eastAsia="Palatino Linotype" w:hAnsi="Palatino Linotype" w:cs="Palatino Linotype"/>
        </w:rPr>
        <w:t xml:space="preserve"> (13)</w:t>
      </w:r>
      <w:r w:rsidRPr="00E071F9">
        <w:rPr>
          <w:rFonts w:ascii="Palatino Linotype" w:eastAsia="Palatino Linotype" w:hAnsi="Palatino Linotype" w:cs="Palatino Linotype"/>
        </w:rPr>
        <w:t xml:space="preserve"> de mayo de dos mil veintiséis.</w:t>
      </w:r>
    </w:p>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spacing w:line="360" w:lineRule="auto"/>
        <w:jc w:val="both"/>
        <w:rPr>
          <w:rFonts w:ascii="Palatino Linotype" w:eastAsia="Palatino Linotype" w:hAnsi="Palatino Linotype" w:cs="Palatino Linotype"/>
        </w:rPr>
      </w:pPr>
      <w:r w:rsidRPr="00E071F9">
        <w:rPr>
          <w:rFonts w:ascii="Palatino Linotype" w:eastAsia="Palatino Linotype" w:hAnsi="Palatino Linotype" w:cs="Palatino Linotype"/>
          <w:b/>
          <w:bCs/>
        </w:rPr>
        <w:t>VISTO</w:t>
      </w:r>
      <w:r w:rsidRPr="00E071F9">
        <w:rPr>
          <w:rFonts w:ascii="Palatino Linotype" w:eastAsia="Palatino Linotype" w:hAnsi="Palatino Linotype" w:cs="Palatino Linotype"/>
        </w:rPr>
        <w:t xml:space="preserve"> el expediente electrónico formado con motivo del recurso de revisión </w:t>
      </w:r>
      <w:r w:rsidRPr="00E071F9">
        <w:rPr>
          <w:rFonts w:ascii="Palatino Linotype" w:eastAsia="Palatino Linotype" w:hAnsi="Palatino Linotype" w:cs="Palatino Linotype"/>
          <w:b/>
          <w:bCs/>
        </w:rPr>
        <w:t xml:space="preserve">03018/INFOEM/IP/RR/2026, </w:t>
      </w:r>
      <w:r w:rsidRPr="00E071F9">
        <w:rPr>
          <w:rFonts w:ascii="Palatino Linotype" w:eastAsia="Palatino Linotype" w:hAnsi="Palatino Linotype" w:cs="Palatino Linotype"/>
        </w:rPr>
        <w:t xml:space="preserve">promovido por </w:t>
      </w:r>
      <w:r w:rsidR="009505A1">
        <w:rPr>
          <w:rFonts w:ascii="Palatino Linotype" w:eastAsia="Palatino Linotype" w:hAnsi="Palatino Linotype" w:cs="Palatino Linotype"/>
          <w:b/>
        </w:rPr>
        <w:t>XXXX</w:t>
      </w:r>
      <w:r w:rsidRPr="00E071F9">
        <w:rPr>
          <w:rFonts w:ascii="Palatino Linotype" w:eastAsia="Palatino Linotype" w:hAnsi="Palatino Linotype" w:cs="Palatino Linotype"/>
          <w:b/>
          <w:bCs/>
        </w:rPr>
        <w:t>,</w:t>
      </w:r>
      <w:r w:rsidRPr="00E071F9">
        <w:rPr>
          <w:rFonts w:ascii="Palatino Linotype" w:eastAsia="Palatino Linotype" w:hAnsi="Palatino Linotype" w:cs="Palatino Linotype"/>
        </w:rPr>
        <w:t xml:space="preserve"> a quien en lo sucesivo se identificará como </w:t>
      </w:r>
      <w:r w:rsidRPr="00E071F9">
        <w:rPr>
          <w:rFonts w:ascii="Palatino Linotype" w:eastAsia="Palatino Linotype" w:hAnsi="Palatino Linotype" w:cs="Palatino Linotype"/>
          <w:b/>
          <w:bCs/>
        </w:rPr>
        <w:t>EL RECURRENTE</w:t>
      </w:r>
      <w:r w:rsidRPr="00E071F9">
        <w:rPr>
          <w:rFonts w:ascii="Palatino Linotype" w:eastAsia="Palatino Linotype" w:hAnsi="Palatino Linotype" w:cs="Palatino Linotype"/>
        </w:rPr>
        <w:t xml:space="preserve">, en contra de la respuesta de la </w:t>
      </w:r>
      <w:r w:rsidRPr="00E071F9">
        <w:rPr>
          <w:rFonts w:ascii="Palatino Linotype" w:eastAsia="Palatino Linotype" w:hAnsi="Palatino Linotype" w:cs="Palatino Linotype"/>
          <w:b/>
          <w:bCs/>
        </w:rPr>
        <w:t xml:space="preserve">Comisión del Agua del Estado de México, </w:t>
      </w:r>
      <w:r w:rsidRPr="00E071F9">
        <w:rPr>
          <w:rFonts w:ascii="Palatino Linotype" w:eastAsia="Palatino Linotype" w:hAnsi="Palatino Linotype" w:cs="Palatino Linotype"/>
        </w:rPr>
        <w:t>en adelante el</w:t>
      </w:r>
      <w:r w:rsidRPr="00E071F9">
        <w:rPr>
          <w:rFonts w:ascii="Palatino Linotype" w:eastAsia="Palatino Linotype" w:hAnsi="Palatino Linotype" w:cs="Palatino Linotype"/>
          <w:b/>
          <w:bCs/>
        </w:rPr>
        <w:t xml:space="preserve"> SUJETO OBLIGADO</w:t>
      </w:r>
      <w:r w:rsidRPr="00E071F9">
        <w:rPr>
          <w:rFonts w:ascii="Palatino Linotype" w:eastAsia="Palatino Linotype" w:hAnsi="Palatino Linotype" w:cs="Palatino Linotype"/>
        </w:rPr>
        <w:t xml:space="preserve">, por lo que se procede a dictar la presente resolución, con base en los siguientes: </w:t>
      </w:r>
    </w:p>
    <w:p w:rsidR="002055CA" w:rsidRPr="00E071F9" w:rsidRDefault="002055CA" w:rsidP="002055CA">
      <w:pPr>
        <w:spacing w:line="360" w:lineRule="auto"/>
        <w:jc w:val="both"/>
        <w:rPr>
          <w:rFonts w:ascii="Palatino Linotype" w:eastAsia="Palatino Linotype" w:hAnsi="Palatino Linotype" w:cs="Palatino Linotype"/>
          <w:b/>
          <w:bCs/>
        </w:rPr>
      </w:pPr>
    </w:p>
    <w:p w:rsidR="002055CA" w:rsidRPr="00E071F9" w:rsidRDefault="002055CA" w:rsidP="002055CA">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E071F9">
        <w:rPr>
          <w:rFonts w:ascii="Palatino Linotype" w:eastAsia="Palatino Linotype" w:hAnsi="Palatino Linotype" w:cs="Palatino Linotype"/>
          <w:b/>
          <w:bCs/>
        </w:rPr>
        <w:t>A N T E C E D E N T E S</w:t>
      </w:r>
    </w:p>
    <w:p w:rsidR="002055CA" w:rsidRPr="00E071F9" w:rsidRDefault="002055CA" w:rsidP="002055CA">
      <w:pPr>
        <w:spacing w:line="360" w:lineRule="auto"/>
        <w:rPr>
          <w:rFonts w:ascii="Palatino Linotype" w:eastAsia="Palatino Linotype" w:hAnsi="Palatino Linotype" w:cs="Palatino Linotype"/>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El </w:t>
      </w:r>
      <w:r w:rsidRPr="00E071F9">
        <w:rPr>
          <w:rFonts w:ascii="Palatino Linotype" w:eastAsia="Palatino Linotype" w:hAnsi="Palatino Linotype" w:cs="Palatino Linotype"/>
          <w:b/>
          <w:bCs/>
          <w:color w:val="000000"/>
        </w:rPr>
        <w:t>dieciocho de febrero de dos mil veintiséis</w:t>
      </w:r>
      <w:r w:rsidRPr="00E071F9">
        <w:rPr>
          <w:rFonts w:ascii="Palatino Linotype" w:eastAsia="Palatino Linotype" w:hAnsi="Palatino Linotype" w:cs="Palatino Linotype"/>
          <w:color w:val="000000"/>
        </w:rPr>
        <w:t xml:space="preserve">, </w:t>
      </w:r>
      <w:r w:rsidRPr="00E071F9">
        <w:rPr>
          <w:rFonts w:ascii="Palatino Linotype" w:eastAsia="Palatino Linotype" w:hAnsi="Palatino Linotype" w:cs="Palatino Linotype"/>
          <w:b/>
          <w:bCs/>
          <w:color w:val="000000"/>
        </w:rPr>
        <w:t>EL RECURRENTE,</w:t>
      </w:r>
      <w:r w:rsidRPr="00E071F9">
        <w:rPr>
          <w:rFonts w:ascii="Palatino Linotype" w:eastAsia="Palatino Linotype" w:hAnsi="Palatino Linotype" w:cs="Palatino Linotype"/>
          <w:color w:val="000000"/>
        </w:rPr>
        <w:t xml:space="preserve"> ante el </w:t>
      </w:r>
      <w:r w:rsidRPr="00E071F9">
        <w:rPr>
          <w:rFonts w:ascii="Palatino Linotype" w:eastAsia="Palatino Linotype" w:hAnsi="Palatino Linotype" w:cs="Palatino Linotype"/>
          <w:b/>
          <w:bCs/>
          <w:color w:val="000000"/>
        </w:rPr>
        <w:t>SUJETO OBLIGADO</w:t>
      </w:r>
      <w:r w:rsidRPr="00E071F9">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E071F9">
        <w:rPr>
          <w:rFonts w:ascii="Palatino Linotype" w:eastAsia="Palatino Linotype" w:hAnsi="Palatino Linotype" w:cs="Palatino Linotype"/>
          <w:b/>
          <w:bCs/>
          <w:color w:val="000000"/>
        </w:rPr>
        <w:t xml:space="preserve">00051/CAEM/IP/2026, </w:t>
      </w:r>
      <w:r w:rsidRPr="00E071F9">
        <w:rPr>
          <w:rFonts w:ascii="Palatino Linotype" w:eastAsia="Palatino Linotype" w:hAnsi="Palatino Linotype" w:cs="Palatino Linotype"/>
        </w:rPr>
        <w:t>en la que se</w:t>
      </w:r>
      <w:r w:rsidRPr="00E071F9">
        <w:rPr>
          <w:rFonts w:ascii="Palatino Linotype" w:eastAsia="Palatino Linotype" w:hAnsi="Palatino Linotype" w:cs="Palatino Linotype"/>
          <w:color w:val="000000"/>
        </w:rPr>
        <w:t xml:space="preserve"> solicitó lo siguiente:</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055CA" w:rsidRPr="00E071F9" w:rsidRDefault="002055CA" w:rsidP="002055CA">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E071F9">
        <w:rPr>
          <w:rFonts w:ascii="Palatino Linotype" w:eastAsia="Palatino Linotype" w:hAnsi="Palatino Linotype" w:cs="Palatino Linotype"/>
          <w:i/>
          <w:iCs/>
          <w:color w:val="000000"/>
        </w:rPr>
        <w:t xml:space="preserve">“SOLICITO SABER LAS FUNCIONES DEL C. VICTOR CONRADO RAMIREZ EL SALARIO MENSUAL NETO Y BRUTO LAS ACTIVIDADES QUE REALIZA. SI CUENTA CON VEHICULO OFICIAL Y EL MONTO DE COMBUSTIBLE QUE LE DOTAN. SI ESTA COMISIONADO Y CUAL ES LA PLAZA CON LA QUE ESTA CONTRATADO EN QUE AÑO INGRESO Y SI HA TENIDO AUMENTOS SALARIALES EN LOS ULTIMOS 5 AÑOS” (Sic) </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Se señaló como modalidad de entrega a través de SAIMEX.</w:t>
      </w: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lastRenderedPageBreak/>
        <w:t xml:space="preserve">El </w:t>
      </w:r>
      <w:r w:rsidRPr="00E071F9">
        <w:rPr>
          <w:rFonts w:ascii="Palatino Linotype" w:eastAsia="Palatino Linotype" w:hAnsi="Palatino Linotype" w:cs="Palatino Linotype"/>
          <w:b/>
          <w:color w:val="000000"/>
        </w:rPr>
        <w:t>diecinueve de febrero de dos mil veintiséis</w:t>
      </w:r>
      <w:r w:rsidRPr="00E071F9">
        <w:rPr>
          <w:rFonts w:ascii="Palatino Linotype" w:eastAsia="Palatino Linotype" w:hAnsi="Palatino Linotype" w:cs="Palatino Linotype"/>
          <w:color w:val="000000"/>
        </w:rPr>
        <w:t xml:space="preserve">, se realizó un requerimiento al servidor público habilitado. </w:t>
      </w:r>
    </w:p>
    <w:p w:rsidR="002055CA" w:rsidRPr="00E071F9" w:rsidRDefault="002055CA" w:rsidP="002055CA">
      <w:pPr>
        <w:pBdr>
          <w:top w:val="nil"/>
          <w:left w:val="nil"/>
          <w:bottom w:val="nil"/>
          <w:right w:val="nil"/>
          <w:between w:val="nil"/>
        </w:pBdr>
        <w:ind w:left="720"/>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El </w:t>
      </w:r>
      <w:r w:rsidRPr="00E071F9">
        <w:rPr>
          <w:rFonts w:ascii="Palatino Linotype" w:eastAsia="Palatino Linotype" w:hAnsi="Palatino Linotype" w:cs="Palatino Linotype"/>
          <w:b/>
          <w:bCs/>
          <w:color w:val="000000"/>
        </w:rPr>
        <w:t>cuatro de marzo de dos mil veintiséis</w:t>
      </w:r>
      <w:r w:rsidRPr="00E071F9">
        <w:rPr>
          <w:rFonts w:ascii="Palatino Linotype" w:eastAsia="Palatino Linotype" w:hAnsi="Palatino Linotype" w:cs="Palatino Linotype"/>
          <w:color w:val="000000"/>
        </w:rPr>
        <w:t>, el Sujeto Obligado dio respuesta a la solicitud de información en los siguientes términos:</w:t>
      </w:r>
    </w:p>
    <w:p w:rsidR="002055CA" w:rsidRPr="00E071F9" w:rsidRDefault="002055CA" w:rsidP="002055CA">
      <w:pPr>
        <w:spacing w:line="360" w:lineRule="auto"/>
        <w:jc w:val="both"/>
        <w:rPr>
          <w:rFonts w:ascii="Palatino Linotype" w:eastAsia="Palatino Linotype" w:hAnsi="Palatino Linotype" w:cs="Palatino Linotype"/>
        </w:rPr>
      </w:pPr>
    </w:p>
    <w:tbl>
      <w:tblPr>
        <w:tblW w:w="7537" w:type="dxa"/>
        <w:jc w:val="center"/>
        <w:tblCellSpacing w:w="0" w:type="dxa"/>
        <w:tblCellMar>
          <w:left w:w="0" w:type="dxa"/>
          <w:right w:w="0" w:type="dxa"/>
        </w:tblCellMar>
        <w:tblLook w:val="04A0" w:firstRow="1" w:lastRow="0" w:firstColumn="1" w:lastColumn="0" w:noHBand="0" w:noVBand="1"/>
      </w:tblPr>
      <w:tblGrid>
        <w:gridCol w:w="7537"/>
      </w:tblGrid>
      <w:tr w:rsidR="002055CA" w:rsidRPr="00E071F9" w:rsidTr="002055CA">
        <w:trPr>
          <w:trHeight w:val="300"/>
          <w:tblCellSpacing w:w="0" w:type="dxa"/>
          <w:jc w:val="center"/>
        </w:trPr>
        <w:tc>
          <w:tcPr>
            <w:tcW w:w="0" w:type="auto"/>
            <w:vAlign w:val="center"/>
            <w:hideMark/>
          </w:tcPr>
          <w:p w:rsidR="002055CA" w:rsidRPr="00E071F9" w:rsidRDefault="002055CA" w:rsidP="002055CA">
            <w:pPr>
              <w:jc w:val="right"/>
              <w:rPr>
                <w:rFonts w:ascii="Palatino Linotype" w:hAnsi="Palatino Linotype"/>
                <w:i/>
              </w:rPr>
            </w:pPr>
            <w:r w:rsidRPr="00E071F9">
              <w:rPr>
                <w:rFonts w:ascii="Palatino Linotype" w:hAnsi="Palatino Linotype"/>
                <w:i/>
              </w:rPr>
              <w:br/>
              <w:t>“Metepec, México a 04 de Marzo de 2026</w:t>
            </w:r>
          </w:p>
        </w:tc>
      </w:tr>
      <w:tr w:rsidR="002055CA" w:rsidRPr="00E071F9" w:rsidTr="002055CA">
        <w:trPr>
          <w:trHeight w:val="300"/>
          <w:tblCellSpacing w:w="0" w:type="dxa"/>
          <w:jc w:val="center"/>
        </w:trPr>
        <w:tc>
          <w:tcPr>
            <w:tcW w:w="0" w:type="auto"/>
            <w:vAlign w:val="center"/>
            <w:hideMark/>
          </w:tcPr>
          <w:p w:rsidR="002055CA" w:rsidRPr="00E071F9" w:rsidRDefault="002055CA" w:rsidP="002055CA">
            <w:pPr>
              <w:jc w:val="right"/>
              <w:rPr>
                <w:rFonts w:ascii="Palatino Linotype" w:hAnsi="Palatino Linotype"/>
                <w:i/>
              </w:rPr>
            </w:pPr>
            <w:r w:rsidRPr="00E071F9">
              <w:rPr>
                <w:rFonts w:ascii="Palatino Linotype" w:hAnsi="Palatino Linotype"/>
                <w:i/>
              </w:rPr>
              <w:t>Nombre del solicitante: C. Solicitante</w:t>
            </w:r>
          </w:p>
        </w:tc>
      </w:tr>
      <w:tr w:rsidR="002055CA" w:rsidRPr="00E071F9" w:rsidTr="002055CA">
        <w:trPr>
          <w:trHeight w:val="300"/>
          <w:tblCellSpacing w:w="0" w:type="dxa"/>
          <w:jc w:val="center"/>
        </w:trPr>
        <w:tc>
          <w:tcPr>
            <w:tcW w:w="0" w:type="auto"/>
            <w:vAlign w:val="center"/>
            <w:hideMark/>
          </w:tcPr>
          <w:p w:rsidR="002055CA" w:rsidRPr="00E071F9" w:rsidRDefault="002055CA" w:rsidP="002055CA">
            <w:pPr>
              <w:jc w:val="right"/>
              <w:rPr>
                <w:rFonts w:ascii="Palatino Linotype" w:hAnsi="Palatino Linotype"/>
                <w:i/>
              </w:rPr>
            </w:pPr>
            <w:r w:rsidRPr="00E071F9">
              <w:rPr>
                <w:rFonts w:ascii="Palatino Linotype" w:hAnsi="Palatino Linotype"/>
                <w:i/>
              </w:rPr>
              <w:t>Folio de la solicitud: 00051/CAEM/IP/2026</w:t>
            </w:r>
          </w:p>
        </w:tc>
      </w:tr>
      <w:tr w:rsidR="002055CA" w:rsidRPr="00E071F9" w:rsidTr="002055CA">
        <w:trPr>
          <w:trHeight w:val="450"/>
          <w:tblCellSpacing w:w="0" w:type="dxa"/>
          <w:jc w:val="center"/>
        </w:trPr>
        <w:tc>
          <w:tcPr>
            <w:tcW w:w="0" w:type="auto"/>
            <w:vAlign w:val="center"/>
            <w:hideMark/>
          </w:tcPr>
          <w:p w:rsidR="002055CA" w:rsidRPr="00E071F9" w:rsidRDefault="002055CA" w:rsidP="002055CA">
            <w:pPr>
              <w:jc w:val="right"/>
              <w:rPr>
                <w:rFonts w:ascii="Palatino Linotype" w:hAnsi="Palatino Linotype"/>
                <w:i/>
              </w:rPr>
            </w:pPr>
          </w:p>
        </w:tc>
      </w:tr>
      <w:tr w:rsidR="002055CA" w:rsidRPr="00E071F9" w:rsidTr="002055CA">
        <w:trPr>
          <w:trHeight w:val="150"/>
          <w:tblCellSpacing w:w="0" w:type="dxa"/>
          <w:jc w:val="center"/>
        </w:trPr>
        <w:tc>
          <w:tcPr>
            <w:tcW w:w="0" w:type="auto"/>
            <w:vAlign w:val="center"/>
            <w:hideMark/>
          </w:tcPr>
          <w:p w:rsidR="002055CA" w:rsidRPr="00E071F9" w:rsidRDefault="002055CA" w:rsidP="002055CA">
            <w:pPr>
              <w:jc w:val="both"/>
              <w:rPr>
                <w:rFonts w:ascii="Palatino Linotype" w:hAnsi="Palatino Linotype"/>
                <w:i/>
              </w:rPr>
            </w:pPr>
            <w:r w:rsidRPr="00E071F9">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2055CA" w:rsidRPr="00E071F9" w:rsidTr="002055CA">
        <w:trPr>
          <w:trHeight w:val="375"/>
          <w:tblCellSpacing w:w="0" w:type="dxa"/>
          <w:jc w:val="center"/>
        </w:trPr>
        <w:tc>
          <w:tcPr>
            <w:tcW w:w="0" w:type="auto"/>
            <w:vAlign w:val="center"/>
            <w:hideMark/>
          </w:tcPr>
          <w:p w:rsidR="002055CA" w:rsidRPr="00E071F9" w:rsidRDefault="002055CA" w:rsidP="002055CA">
            <w:pPr>
              <w:jc w:val="both"/>
              <w:rPr>
                <w:rFonts w:ascii="Palatino Linotype" w:hAnsi="Palatino Linotype"/>
                <w:i/>
              </w:rPr>
            </w:pPr>
          </w:p>
        </w:tc>
      </w:tr>
      <w:tr w:rsidR="002055CA" w:rsidRPr="00E071F9" w:rsidTr="002055CA">
        <w:trPr>
          <w:trHeight w:val="150"/>
          <w:tblCellSpacing w:w="0" w:type="dxa"/>
          <w:jc w:val="center"/>
        </w:trPr>
        <w:tc>
          <w:tcPr>
            <w:tcW w:w="0" w:type="auto"/>
            <w:vAlign w:val="center"/>
            <w:hideMark/>
          </w:tcPr>
          <w:p w:rsidR="002055CA" w:rsidRPr="00E071F9" w:rsidRDefault="002055CA" w:rsidP="002055CA">
            <w:pPr>
              <w:jc w:val="both"/>
              <w:rPr>
                <w:rFonts w:ascii="Palatino Linotype" w:hAnsi="Palatino Linotype"/>
                <w:i/>
              </w:rPr>
            </w:pPr>
            <w:r w:rsidRPr="00E071F9">
              <w:rPr>
                <w:rFonts w:ascii="Palatino Linotype" w:hAnsi="Palatino Linotype"/>
                <w:i/>
              </w:rPr>
              <w:t xml:space="preserve">Oficio No. 219C0110000300S-UT/0166/2026 Naucalpan de Juárez, Estado de México 04 de marzo de 2026 ESTIMADO PETICIONARIO FOLIO DE LA SOLICITUD: 0051/CAEM/IP/2026 En respuesta a la solicitud recibida, nos permitimos hacer de su conocimiento que con fundamento en los artículos 2, fracciones III, VII; 4; 15; 24 fracciones XI y XXIV de la Ley de Transparencia y Acceso a la Información Pública del Estado de México y Municipios, y en cumplimiento a lo establecido en el artículo 53, fracciones II, V y VI, su petición formulada en la Unidad de Transparencia de la Comisión del Agua del Estado de México vía electrónica, misma que a la letra dice: “SOLICITO SABER LAS FUNCIONES DEL C. VICTOR CONRADO RAMIREZ EL SALARIO MENSUAL NETO Y BRUTO LAS ACTIVIDADES QUE REALIZA. SI CUENTA CON VEHICULO OFICIAL Y EL MONTO DE COMBUSTIBLE QUE LE DOTAN. SI ESTA COMISIONADO Y CUAL ES LA PLAZA CON LA QUE ESTA CONTRATADO EN QUE AÑO INGRESO Y SI HA TENIDO AUMENTOS SALARIALES EN LOS ULTIMOS 5 AÑOS.” (sic) Atendiendo lo indicado en los artículos 12, segundo párrafo, 53, fracción Il, V, VI y artículo 163 de la citada Ley hago de su conocimiento que: “(…) Los sujetos obligados sólo proporcionarán la información pública que se les requiera </w:t>
            </w:r>
            <w:r w:rsidRPr="00E071F9">
              <w:rPr>
                <w:rFonts w:ascii="Palatino Linotype" w:hAnsi="Palatino Linotype"/>
                <w:i/>
              </w:rPr>
              <w:lastRenderedPageBreak/>
              <w:t xml:space="preserve">y que obre en sus archivos y en el estado en el que se encuentre, la obligación de proporcionar información no corresponde el procesamiento de la misma, ni presentarla conforme al interesado la solicite; no estarán obligados a generarla, resumirla, efectuar cálculos o practicar investigaciones”. Por lo anterior, le informó que la Dirección General de Inversión y Gestión, mediante oficio 219C0112010200L/0205/2026 señalo que: En relación con lo anterior y en seguimiento a la solicitud planteada y con fundamento en los artículos 3, fracción XXXIX, 50, 59 fracciones | y Il, 150 y 151 de la LTAIPEMM y en la clave de estructura 229830001 del Manual General de Organización de la Comisión del Agua del Estado de México (MGOCAEM); me permito informar a usted, lo siguiente: • Por lo que respecta a las funciones, no se encuentran contempladas dentro del MGOCAEM. • No cuenta con vehículo oficial asignado y por tal motivo no se le dota combustible. • En cuanto a las actividades que realiza, son: - Dar seguimiento y supervisar operativamente las actividades de control documental de la Dirección General de Inversión y Gestión, asegurando el cumplimiento de las disposiciones emitidas por el Área Coordinadora de Archivos. - Fungir como enlace técnico entre la Unidad de Apoyo Administrativo y el Área Coordinadora de Archivos, para la atención de requerimientos, implementación de disposiciones archivísticas y seguimiento a obligaciones institucionales en la materia. - Supervisar el desempeño operativo de los analistas de control documental a su cargo, verificando la correcta integración, organización, clasificación y resguardo de la documentación administrativa y técnica generada por la Dirección General. - Verificar que los documentos que genere la dirección general se integren conforme a los instrumentos de control archivístico vigentes, asegurando su orden, identificación y localización oportuna. - Coordinar la atención de solicitudes internas de consulta, localización o reproducción de documentos, garantizando su disponibilidad y uso conforme a la normatividad archivística aplicable. - - Dar seguimiento y coadyuvar en los procesos de transferencia primaria, secundaria o baja documental, conforme a los calendarios, dictámenes y autorizaciones emitidas por el Área Coordinadora de Archivos. - Coadyuvar la gestión documental se realice sin invadir atribuciones de otras áreas, reconociendo que la integración del expediente único de obra es una responsabilidad compartida entre Unidades Administrativas competentes. - Las demás que le sean encomendadas por su superior jerárquico, inherentes a su ámbito de competencia y alineadas al marco normativo aplicable en materia archivística.: • Por último, referente a los rubros faltantes, se destaca que la </w:t>
            </w:r>
            <w:r w:rsidRPr="00E071F9">
              <w:rPr>
                <w:rFonts w:ascii="Palatino Linotype" w:hAnsi="Palatino Linotype"/>
                <w:i/>
              </w:rPr>
              <w:lastRenderedPageBreak/>
              <w:t>DGIG no cuenta con información referente a los mismos.: Así mismo la Dirección General de Administración y Finanzas mediante oficio número 219C0117L/0327/2026 señalo que: Considerando lo transcrito, previa búsqueda exhaustiva y razonable, materializada mediante oficio 219C01 170100001/294/2026, signado por la directora de administración, se informa que no se encontró registro o información alguna relacionada al C. Víctor Conrado Ramírez. Sin otro particular por el momento, aprovecho la ocasión para enviarle un cordial saludo. A T E N T A M E N T E MAESTRO FERNANDO DANIEL CABRERA RAMIREZ TITULAR DE LA UNIDAD DE TRANSPARENCIA Ccp.- FDCR/amtc Archivo</w:t>
            </w:r>
          </w:p>
        </w:tc>
      </w:tr>
      <w:tr w:rsidR="002055CA" w:rsidRPr="00E071F9" w:rsidTr="002055CA">
        <w:trPr>
          <w:trHeight w:val="375"/>
          <w:tblCellSpacing w:w="0" w:type="dxa"/>
          <w:jc w:val="center"/>
        </w:trPr>
        <w:tc>
          <w:tcPr>
            <w:tcW w:w="0" w:type="auto"/>
            <w:vAlign w:val="center"/>
            <w:hideMark/>
          </w:tcPr>
          <w:p w:rsidR="002055CA" w:rsidRPr="00E071F9" w:rsidRDefault="002055CA" w:rsidP="002055CA">
            <w:pPr>
              <w:rPr>
                <w:rFonts w:ascii="Palatino Linotype" w:hAnsi="Palatino Linotype"/>
                <w:i/>
              </w:rPr>
            </w:pPr>
          </w:p>
        </w:tc>
      </w:tr>
      <w:tr w:rsidR="002055CA" w:rsidRPr="00E071F9" w:rsidTr="002055CA">
        <w:trPr>
          <w:trHeight w:val="150"/>
          <w:tblCellSpacing w:w="0" w:type="dxa"/>
          <w:jc w:val="center"/>
        </w:trPr>
        <w:tc>
          <w:tcPr>
            <w:tcW w:w="0" w:type="auto"/>
            <w:vAlign w:val="center"/>
            <w:hideMark/>
          </w:tcPr>
          <w:p w:rsidR="002055CA" w:rsidRPr="00E071F9" w:rsidRDefault="002055CA" w:rsidP="002055CA">
            <w:pPr>
              <w:jc w:val="center"/>
              <w:rPr>
                <w:rFonts w:ascii="Palatino Linotype" w:hAnsi="Palatino Linotype"/>
                <w:i/>
              </w:rPr>
            </w:pPr>
          </w:p>
        </w:tc>
      </w:tr>
      <w:tr w:rsidR="002055CA" w:rsidRPr="00E071F9" w:rsidTr="002055CA">
        <w:trPr>
          <w:trHeight w:val="150"/>
          <w:tblCellSpacing w:w="0" w:type="dxa"/>
          <w:jc w:val="center"/>
        </w:trPr>
        <w:tc>
          <w:tcPr>
            <w:tcW w:w="0" w:type="auto"/>
            <w:vAlign w:val="center"/>
            <w:hideMark/>
          </w:tcPr>
          <w:p w:rsidR="002055CA" w:rsidRPr="00E071F9" w:rsidRDefault="002055CA" w:rsidP="002055CA">
            <w:pPr>
              <w:rPr>
                <w:rFonts w:ascii="Palatino Linotype" w:hAnsi="Palatino Linotype"/>
                <w:i/>
              </w:rPr>
            </w:pPr>
          </w:p>
        </w:tc>
      </w:tr>
      <w:tr w:rsidR="002055CA" w:rsidRPr="00E071F9" w:rsidTr="002055CA">
        <w:trPr>
          <w:trHeight w:val="150"/>
          <w:tblCellSpacing w:w="0" w:type="dxa"/>
          <w:jc w:val="center"/>
        </w:trPr>
        <w:tc>
          <w:tcPr>
            <w:tcW w:w="0" w:type="auto"/>
            <w:vAlign w:val="center"/>
            <w:hideMark/>
          </w:tcPr>
          <w:p w:rsidR="002055CA" w:rsidRPr="00E071F9" w:rsidRDefault="002055CA" w:rsidP="002055CA">
            <w:pPr>
              <w:rPr>
                <w:rFonts w:ascii="Palatino Linotype" w:hAnsi="Palatino Linotype"/>
                <w:i/>
              </w:rPr>
            </w:pPr>
            <w:r w:rsidRPr="00E071F9">
              <w:rPr>
                <w:rFonts w:ascii="Palatino Linotype" w:hAnsi="Palatino Linotype"/>
                <w:i/>
              </w:rPr>
              <w:t>ATENTAMENTE</w:t>
            </w:r>
          </w:p>
        </w:tc>
      </w:tr>
      <w:tr w:rsidR="002055CA" w:rsidRPr="00E071F9" w:rsidTr="002055CA">
        <w:trPr>
          <w:trHeight w:val="225"/>
          <w:tblCellSpacing w:w="0" w:type="dxa"/>
          <w:jc w:val="center"/>
        </w:trPr>
        <w:tc>
          <w:tcPr>
            <w:tcW w:w="0" w:type="auto"/>
            <w:vAlign w:val="center"/>
            <w:hideMark/>
          </w:tcPr>
          <w:p w:rsidR="002055CA" w:rsidRPr="00E071F9" w:rsidRDefault="002055CA" w:rsidP="002055CA">
            <w:pPr>
              <w:rPr>
                <w:rFonts w:ascii="Palatino Linotype" w:hAnsi="Palatino Linotype"/>
                <w:i/>
              </w:rPr>
            </w:pPr>
          </w:p>
        </w:tc>
      </w:tr>
      <w:tr w:rsidR="002055CA" w:rsidRPr="00E071F9" w:rsidTr="002055CA">
        <w:trPr>
          <w:trHeight w:val="150"/>
          <w:tblCellSpacing w:w="0" w:type="dxa"/>
          <w:jc w:val="center"/>
        </w:trPr>
        <w:tc>
          <w:tcPr>
            <w:tcW w:w="0" w:type="auto"/>
            <w:vAlign w:val="center"/>
            <w:hideMark/>
          </w:tcPr>
          <w:p w:rsidR="002055CA" w:rsidRPr="00E071F9" w:rsidRDefault="002055CA" w:rsidP="002055CA">
            <w:pPr>
              <w:rPr>
                <w:rFonts w:ascii="Palatino Linotype" w:hAnsi="Palatino Linotype"/>
                <w:i/>
              </w:rPr>
            </w:pPr>
            <w:r w:rsidRPr="00E071F9">
              <w:rPr>
                <w:rFonts w:ascii="Palatino Linotype" w:hAnsi="Palatino Linotype"/>
                <w:i/>
              </w:rPr>
              <w:t>Mtro. Fernando Daniel Cabrera Ramirez”</w:t>
            </w:r>
          </w:p>
        </w:tc>
      </w:tr>
    </w:tbl>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A la respuesta, el Sujeto Obligado adjuntó los archivos que se describen enseguida:</w:t>
      </w:r>
    </w:p>
    <w:p w:rsidR="002055CA" w:rsidRPr="00E071F9" w:rsidRDefault="002055CA" w:rsidP="002055CA">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2055CA" w:rsidRPr="00E071F9" w:rsidRDefault="002055CA" w:rsidP="002055CA">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 </w:t>
      </w:r>
      <w:hyperlink r:id="rId7" w:tgtFrame="_blank" w:history="1">
        <w:r w:rsidRPr="00E071F9">
          <w:rPr>
            <w:rStyle w:val="Hipervnculo"/>
            <w:rFonts w:ascii="Palatino Linotype" w:eastAsia="Palatino Linotype" w:hAnsi="Palatino Linotype" w:cs="Palatino Linotype"/>
            <w:b/>
            <w:bCs/>
            <w:color w:val="auto"/>
          </w:rPr>
          <w:t>51 CAEM IP 2026.pdf</w:t>
        </w:r>
      </w:hyperlink>
      <w:r w:rsidR="00745DF6" w:rsidRPr="00E071F9">
        <w:rPr>
          <w:rFonts w:ascii="Palatino Linotype" w:eastAsia="Palatino Linotype" w:hAnsi="Palatino Linotype" w:cs="Palatino Linotype"/>
          <w:b/>
          <w:bCs/>
          <w:u w:val="single"/>
        </w:rPr>
        <w:t xml:space="preserve"> y </w:t>
      </w:r>
      <w:hyperlink r:id="rId8" w:tgtFrame="_blank" w:history="1">
        <w:r w:rsidR="00745DF6" w:rsidRPr="00E071F9">
          <w:rPr>
            <w:rStyle w:val="Hipervnculo"/>
            <w:rFonts w:ascii="Palatino Linotype" w:eastAsia="Palatino Linotype" w:hAnsi="Palatino Linotype" w:cs="Palatino Linotype"/>
            <w:b/>
            <w:bCs/>
            <w:color w:val="auto"/>
          </w:rPr>
          <w:t>51 CAEM IP 2026.pdf</w:t>
        </w:r>
      </w:hyperlink>
      <w:r w:rsidRPr="00E071F9">
        <w:rPr>
          <w:rFonts w:ascii="Palatino Linotype" w:eastAsia="Palatino Linotype" w:hAnsi="Palatino Linotype" w:cs="Palatino Linotype"/>
          <w:bCs/>
        </w:rPr>
        <w:t xml:space="preserve">: oficio de fecha veintiséis de febrero de dos mil veintiséis, suscrito por el Titular de la Unidad de Transparencia, quien </w:t>
      </w:r>
      <w:r w:rsidR="00745DF6" w:rsidRPr="00E071F9">
        <w:rPr>
          <w:rFonts w:ascii="Palatino Linotype" w:eastAsia="Palatino Linotype" w:hAnsi="Palatino Linotype" w:cs="Palatino Linotype"/>
          <w:bCs/>
        </w:rPr>
        <w:t xml:space="preserve">señaló que derivado de la búsqueda no se localizó información de la persona referida. </w:t>
      </w:r>
      <w:r w:rsidRPr="00E071F9">
        <w:rPr>
          <w:rFonts w:ascii="Palatino Linotype" w:eastAsia="Palatino Linotype" w:hAnsi="Palatino Linotype" w:cs="Palatino Linotype"/>
          <w:bCs/>
        </w:rPr>
        <w:t xml:space="preserve"> </w:t>
      </w:r>
    </w:p>
    <w:p w:rsidR="002055CA" w:rsidRPr="00E071F9" w:rsidRDefault="0016719B" w:rsidP="002055CA">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9" w:tgtFrame="_blank" w:history="1">
        <w:r w:rsidR="002055CA" w:rsidRPr="00E071F9">
          <w:rPr>
            <w:rStyle w:val="Hipervnculo"/>
            <w:rFonts w:ascii="Palatino Linotype" w:eastAsia="Palatino Linotype" w:hAnsi="Palatino Linotype" w:cs="Palatino Linotype"/>
            <w:b/>
            <w:bCs/>
            <w:color w:val="auto"/>
          </w:rPr>
          <w:t>DA_294 (1).pdf</w:t>
        </w:r>
      </w:hyperlink>
      <w:r w:rsidR="00745DF6" w:rsidRPr="00E071F9">
        <w:rPr>
          <w:rFonts w:ascii="Palatino Linotype" w:eastAsia="Palatino Linotype" w:hAnsi="Palatino Linotype" w:cs="Palatino Linotype"/>
          <w:bCs/>
        </w:rPr>
        <w:t xml:space="preserve">: Oficio </w:t>
      </w:r>
      <w:r w:rsidR="00E60939" w:rsidRPr="00E071F9">
        <w:rPr>
          <w:rFonts w:ascii="Palatino Linotype" w:eastAsia="Palatino Linotype" w:hAnsi="Palatino Linotype" w:cs="Palatino Linotype"/>
          <w:bCs/>
        </w:rPr>
        <w:t xml:space="preserve">de fecha veinticinco de febrero de dos mil veintiséis, suscrito por la Directora de Administración, quien señaló que no se encontró registro o información alguna relacionada con el servidor público referido. </w:t>
      </w:r>
    </w:p>
    <w:p w:rsidR="002055CA" w:rsidRPr="00E071F9" w:rsidRDefault="0016719B" w:rsidP="002055CA">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10" w:tgtFrame="_blank" w:history="1">
        <w:r w:rsidR="002055CA" w:rsidRPr="00E071F9">
          <w:rPr>
            <w:rStyle w:val="Hipervnculo"/>
            <w:rFonts w:ascii="Palatino Linotype" w:eastAsia="Palatino Linotype" w:hAnsi="Palatino Linotype" w:cs="Palatino Linotype"/>
            <w:b/>
            <w:bCs/>
            <w:color w:val="auto"/>
          </w:rPr>
          <w:t>OFICIO No. 0205 RESPUESTA SOLICITUD 00051 TRANSPARENCIA.pdf</w:t>
        </w:r>
      </w:hyperlink>
      <w:r w:rsidR="00E60939" w:rsidRPr="00E071F9">
        <w:rPr>
          <w:rFonts w:ascii="Palatino Linotype" w:eastAsia="Palatino Linotype" w:hAnsi="Palatino Linotype" w:cs="Palatino Linotype"/>
          <w:bCs/>
        </w:rPr>
        <w:t xml:space="preserve">: oficio de fecha tres de marzo de dos mil veintiséis, suscrito por el Subdirector de Concursos y Contratos quien señaló que las funciones no se encuentran contempladas dentro del Manual General de </w:t>
      </w:r>
      <w:r w:rsidR="00E60939" w:rsidRPr="00E071F9">
        <w:rPr>
          <w:rFonts w:ascii="Palatino Linotype" w:eastAsia="Palatino Linotype" w:hAnsi="Palatino Linotype" w:cs="Palatino Linotype"/>
          <w:bCs/>
        </w:rPr>
        <w:lastRenderedPageBreak/>
        <w:t>Organización de la Comisión del Agua del Estado de México, que la persona referida no cuenta con vehículo por lo tanto no se le dota de gasolina y señaló las actividades que realiza.</w:t>
      </w:r>
    </w:p>
    <w:p w:rsidR="002055CA" w:rsidRPr="00E071F9" w:rsidRDefault="0016719B" w:rsidP="002055CA">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11" w:tgtFrame="_blank" w:history="1">
        <w:r w:rsidR="002055CA" w:rsidRPr="00E071F9">
          <w:rPr>
            <w:rStyle w:val="Hipervnculo"/>
            <w:rFonts w:ascii="Palatino Linotype" w:eastAsia="Palatino Linotype" w:hAnsi="Palatino Linotype" w:cs="Palatino Linotype"/>
            <w:b/>
            <w:bCs/>
            <w:color w:val="auto"/>
          </w:rPr>
          <w:t>0051.pdf</w:t>
        </w:r>
      </w:hyperlink>
      <w:r w:rsidR="00E60939" w:rsidRPr="00E071F9">
        <w:rPr>
          <w:rFonts w:ascii="Palatino Linotype" w:eastAsia="Palatino Linotype" w:hAnsi="Palatino Linotype" w:cs="Palatino Linotype"/>
          <w:bCs/>
        </w:rPr>
        <w:t xml:space="preserve">: oficio de fecha cuatro de marzo de dos mil veintiséis, suscrito por el Titular de la Unidad de Transparencia, quien señaló lo referido por los servidores públicos habilitados. </w:t>
      </w:r>
      <w:r w:rsidR="00E60939" w:rsidRPr="00E071F9">
        <w:rPr>
          <w:rFonts w:ascii="Palatino Linotype" w:eastAsia="Palatino Linotype" w:hAnsi="Palatino Linotype" w:cs="Palatino Linotype"/>
          <w:b/>
          <w:bCs/>
          <w:u w:val="single"/>
        </w:rPr>
        <w:t xml:space="preserve"> </w:t>
      </w:r>
    </w:p>
    <w:p w:rsidR="002055CA" w:rsidRPr="00E071F9" w:rsidRDefault="002055CA" w:rsidP="002055CA">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El </w:t>
      </w:r>
      <w:r w:rsidR="00E60939" w:rsidRPr="00E071F9">
        <w:rPr>
          <w:rFonts w:ascii="Palatino Linotype" w:eastAsia="Palatino Linotype" w:hAnsi="Palatino Linotype" w:cs="Palatino Linotype"/>
          <w:b/>
          <w:bCs/>
          <w:color w:val="000000"/>
        </w:rPr>
        <w:t>ocho de marzo de dos mil veintiséis</w:t>
      </w:r>
      <w:r w:rsidRPr="00E071F9">
        <w:rPr>
          <w:rFonts w:ascii="Palatino Linotype" w:eastAsia="Palatino Linotype" w:hAnsi="Palatino Linotype" w:cs="Palatino Linotype"/>
          <w:color w:val="000000"/>
        </w:rPr>
        <w:t xml:space="preserve">, </w:t>
      </w:r>
      <w:r w:rsidRPr="00E071F9">
        <w:rPr>
          <w:rFonts w:ascii="Palatino Linotype" w:eastAsia="Palatino Linotype" w:hAnsi="Palatino Linotype" w:cs="Palatino Linotype"/>
          <w:b/>
          <w:bCs/>
          <w:color w:val="000000"/>
        </w:rPr>
        <w:t>EL RECURRENTE</w:t>
      </w:r>
      <w:r w:rsidRPr="00E071F9">
        <w:rPr>
          <w:rFonts w:ascii="Palatino Linotype" w:eastAsia="Palatino Linotype" w:hAnsi="Palatino Linotype" w:cs="Palatino Linotype"/>
          <w:color w:val="000000"/>
        </w:rPr>
        <w:t xml:space="preserve"> interpuso el recurso de revisión, en contra de la respuesta, señalando como:</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055CA" w:rsidRPr="00E071F9" w:rsidRDefault="002055CA" w:rsidP="002361F5">
      <w:pPr>
        <w:pStyle w:val="Prrafodelista"/>
        <w:numPr>
          <w:ilvl w:val="0"/>
          <w:numId w:val="13"/>
        </w:numPr>
        <w:spacing w:line="360" w:lineRule="auto"/>
        <w:ind w:left="851" w:right="822" w:firstLine="0"/>
        <w:jc w:val="both"/>
      </w:pPr>
      <w:r w:rsidRPr="00E071F9">
        <w:rPr>
          <w:rFonts w:ascii="Palatino Linotype" w:eastAsia="Palatino Linotype" w:hAnsi="Palatino Linotype" w:cs="Palatino Linotype"/>
          <w:b/>
          <w:bCs/>
        </w:rPr>
        <w:t>Acto impugnado</w:t>
      </w:r>
      <w:r w:rsidRPr="00E071F9">
        <w:rPr>
          <w:rFonts w:ascii="Palatino Linotype" w:eastAsia="Palatino Linotype" w:hAnsi="Palatino Linotype" w:cs="Palatino Linotype"/>
          <w:b/>
          <w:bCs/>
          <w:i/>
          <w:iCs/>
        </w:rPr>
        <w:t>:</w:t>
      </w:r>
      <w:r w:rsidRPr="00E071F9">
        <w:rPr>
          <w:rFonts w:ascii="Palatino Linotype" w:eastAsia="Palatino Linotype" w:hAnsi="Palatino Linotype" w:cs="Palatino Linotype"/>
          <w:i/>
          <w:iCs/>
          <w:color w:val="000000"/>
        </w:rPr>
        <w:t xml:space="preserve"> “</w:t>
      </w:r>
      <w:r w:rsidR="00E638E1" w:rsidRPr="00E071F9">
        <w:rPr>
          <w:rFonts w:ascii="Palatino Linotype" w:eastAsia="Palatino Linotype" w:hAnsi="Palatino Linotype" w:cs="Palatino Linotype"/>
          <w:i/>
          <w:iCs/>
          <w:color w:val="000000"/>
        </w:rPr>
        <w:t>NIEGAN LA INFORMACXION POR IGNORANCIA Y DESCONOCIMIENTO DE LA LEY. SON OMISOS A SUS RESPONSABILIDADES LEGALES</w:t>
      </w:r>
      <w:r w:rsidRPr="00E071F9">
        <w:rPr>
          <w:rFonts w:ascii="Palatino Linotype" w:eastAsia="Palatino Linotype" w:hAnsi="Palatino Linotype" w:cs="Palatino Linotype"/>
          <w:i/>
          <w:iCs/>
          <w:color w:val="000000"/>
        </w:rPr>
        <w:t>" (Sic)</w:t>
      </w:r>
    </w:p>
    <w:p w:rsidR="002055CA" w:rsidRPr="00E071F9" w:rsidRDefault="002055CA" w:rsidP="002055CA">
      <w:pPr>
        <w:spacing w:line="360" w:lineRule="auto"/>
        <w:ind w:left="851" w:right="822"/>
        <w:jc w:val="both"/>
      </w:pPr>
    </w:p>
    <w:p w:rsidR="002055CA" w:rsidRPr="00E071F9" w:rsidRDefault="002055CA" w:rsidP="002055CA">
      <w:pPr>
        <w:numPr>
          <w:ilvl w:val="0"/>
          <w:numId w:val="1"/>
        </w:numPr>
        <w:spacing w:line="360" w:lineRule="auto"/>
        <w:ind w:left="851" w:right="822" w:firstLine="0"/>
        <w:jc w:val="both"/>
        <w:rPr>
          <w:rFonts w:ascii="Palatino Linotype" w:eastAsia="Palatino Linotype" w:hAnsi="Palatino Linotype" w:cs="Palatino Linotype"/>
        </w:rPr>
      </w:pPr>
      <w:r w:rsidRPr="00E071F9">
        <w:rPr>
          <w:rFonts w:ascii="Palatino Linotype" w:eastAsia="Palatino Linotype" w:hAnsi="Palatino Linotype" w:cs="Palatino Linotype"/>
          <w:b/>
          <w:bCs/>
        </w:rPr>
        <w:t xml:space="preserve">Razones o Motivos de inconformidad: </w:t>
      </w:r>
      <w:r w:rsidRPr="00E071F9">
        <w:rPr>
          <w:rFonts w:ascii="Palatino Linotype" w:eastAsia="Palatino Linotype" w:hAnsi="Palatino Linotype" w:cs="Palatino Linotype"/>
          <w:i/>
          <w:iCs/>
        </w:rPr>
        <w:t>"</w:t>
      </w:r>
      <w:r w:rsidR="00E638E1" w:rsidRPr="00E071F9">
        <w:rPr>
          <w:rFonts w:ascii="Palatino Linotype" w:eastAsia="Palatino Linotype" w:hAnsi="Palatino Linotype" w:cs="Palatino Linotype"/>
          <w:i/>
          <w:iCs/>
        </w:rPr>
        <w:t xml:space="preserve">Me refiero al folio número 0051/CAEM/IP/2026, mediante el cual solicite de manera puntual lo siguiente: "SOLICITO SABER LAS FUNCIONES DEL C. VICTOR CONRADO RAMIREZ EL SALARIO MENSUAL NETO Y BRUTO LAS ACTIVIDADES QUE REALIZA. SI CUENTA CON VEHICULO OFICIAL Y EL MONTO DE COMBUSTIBLE QUE LE DOTAN. SI ESTA COMISIONADO Y CUAL ES LA PLAZA CON LA QUE ESTA CONTRATADO EN QUE AÑO INGRESO Y SI HA TENIDO AUMENTOS SALARIALES EN LOS ULTIMOS 5 AÑOS." (sic) En respuesta citan el Art. 12 segundo párrafo, 53, fracción II, V, VI y artículo 163 de la citada Ley hago y hacen de mi conocimiento que: Los sujetos obligados sólo proporcionarán la información pública que se les requiera y que obre en sus archivos y </w:t>
      </w:r>
      <w:r w:rsidR="00E638E1" w:rsidRPr="00E071F9">
        <w:rPr>
          <w:rFonts w:ascii="Palatino Linotype" w:eastAsia="Palatino Linotype" w:hAnsi="Palatino Linotype" w:cs="Palatino Linotype"/>
          <w:i/>
          <w:iCs/>
        </w:rPr>
        <w:lastRenderedPageBreak/>
        <w:t xml:space="preserve">en el estado en el que se encuentre, la obligación de proporcionar información no corresponde el procesamiento de la misma, ni presentarla conforme al interesado la solicite; no estarán obligados a generarla, resumirla, efectuar cálculos o practicar investigaciones" (sic) Por lo anterior y en apego artículo 92 fracción VIII de la Ley de Transparencia y Acceso a la Información Pública del Estado de México y Municipios, que establece que los sujetos obligados deben publicar: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Esto significa que: 1. El sueldo bruto y neto es información pública obligatoria. 2. Debe estar publicada permanentemente en transparencia (IPOMEX o portal institucional). 3. No es información reservada ni confidencial. Por lo que su argumento carece de legitimidad legal. Cabe señalar que el desconocimiento de la ley no exime de su cumplimiento; por el contrario, los servidores públicos se encuentran obligados a observar el principio de legalidad previsto en el artículo 7 de la Ley de Responsabilidades Administrativas del Estado de México y Municipios, por lo que la omisión o actuación contraria a la normativa aplicable genera responsabilidad administrativa.” No omito mencionarle que el salario ya existe en sus registros administrativos y se denomina (nómina)., además la ley les obliga a tenerla publicada en transparencia, por lo que le exhorto a revisar en el ámbito de su competencia la Ley General de Transparencia y Acceso a la Información Pública, que obliga a todas las autoridades del país a publicar las remuneraciones de los servidores públicos. Conforme a derecho, solicito el RECURSO DE REVISIÓN, con fundamento en los Artículos 150 y 151, motivado por la entrega de información incompleta. por lo que su </w:t>
      </w:r>
      <w:r w:rsidR="00E638E1" w:rsidRPr="00E071F9">
        <w:rPr>
          <w:rFonts w:ascii="Palatino Linotype" w:eastAsia="Palatino Linotype" w:hAnsi="Palatino Linotype" w:cs="Palatino Linotype"/>
          <w:i/>
          <w:iCs/>
        </w:rPr>
        <w:lastRenderedPageBreak/>
        <w:t>negativa resulta improcedente. Agradeciendo la atención que le den a la presente quedo atento por los medios ya establecidos.</w:t>
      </w:r>
      <w:r w:rsidRPr="00E071F9">
        <w:rPr>
          <w:rFonts w:ascii="Palatino Linotype" w:eastAsia="Palatino Linotype" w:hAnsi="Palatino Linotype" w:cs="Palatino Linotype"/>
          <w:i/>
          <w:iCs/>
        </w:rPr>
        <w:t>" (Sic)</w:t>
      </w:r>
    </w:p>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E071F9">
        <w:rPr>
          <w:rFonts w:ascii="Palatino Linotype" w:eastAsia="Palatino Linotype" w:hAnsi="Palatino Linotype" w:cs="Palatino Linotype"/>
          <w:b/>
          <w:bCs/>
          <w:color w:val="000000"/>
        </w:rPr>
        <w:t xml:space="preserve">Ley de Transparencia y Acceso a la Información Pública del Estado de México y Municipios </w:t>
      </w:r>
      <w:r w:rsidRPr="00E071F9">
        <w:rPr>
          <w:rFonts w:ascii="Palatino Linotype" w:eastAsia="Palatino Linotype" w:hAnsi="Palatino Linotype" w:cs="Palatino Linotype"/>
          <w:color w:val="000000"/>
        </w:rPr>
        <w:t xml:space="preserve">se </w:t>
      </w:r>
      <w:r w:rsidRPr="00E071F9">
        <w:rPr>
          <w:rFonts w:ascii="Palatino Linotype" w:eastAsia="Palatino Linotype" w:hAnsi="Palatino Linotype" w:cs="Palatino Linotype"/>
        </w:rPr>
        <w:t>turna</w:t>
      </w:r>
      <w:r w:rsidRPr="00E071F9">
        <w:rPr>
          <w:rFonts w:ascii="Palatino Linotype" w:eastAsia="Palatino Linotype" w:hAnsi="Palatino Linotype" w:cs="Palatino Linotype"/>
          <w:color w:val="000000"/>
        </w:rPr>
        <w:t xml:space="preserve"> a la </w:t>
      </w:r>
      <w:r w:rsidRPr="00E071F9">
        <w:rPr>
          <w:rFonts w:ascii="Palatino Linotype" w:eastAsia="Palatino Linotype" w:hAnsi="Palatino Linotype" w:cs="Palatino Linotype"/>
          <w:b/>
          <w:bCs/>
          <w:color w:val="000000"/>
        </w:rPr>
        <w:t xml:space="preserve">Comisionada María del Rosario Mejía Ayala, </w:t>
      </w:r>
      <w:r w:rsidRPr="00E071F9">
        <w:rPr>
          <w:rFonts w:ascii="Palatino Linotype" w:eastAsia="Palatino Linotype" w:hAnsi="Palatino Linotype" w:cs="Palatino Linotype"/>
        </w:rPr>
        <w:t xml:space="preserve">para </w:t>
      </w:r>
      <w:r w:rsidRPr="00E071F9">
        <w:rPr>
          <w:rFonts w:ascii="Palatino Linotype" w:eastAsia="Palatino Linotype" w:hAnsi="Palatino Linotype" w:cs="Palatino Linotype"/>
          <w:color w:val="000000"/>
        </w:rPr>
        <w:t xml:space="preserve">su análisis. </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rPr>
        <w:t>La</w:t>
      </w:r>
      <w:r w:rsidRPr="00E071F9">
        <w:rPr>
          <w:rFonts w:ascii="Palatino Linotype" w:eastAsia="Palatino Linotype" w:hAnsi="Palatino Linotype" w:cs="Palatino Linotype"/>
          <w:color w:val="000000"/>
        </w:rPr>
        <w:t xml:space="preserve"> Comisionad</w:t>
      </w:r>
      <w:r w:rsidRPr="00E071F9">
        <w:rPr>
          <w:rFonts w:ascii="Palatino Linotype" w:eastAsia="Palatino Linotype" w:hAnsi="Palatino Linotype" w:cs="Palatino Linotype"/>
        </w:rPr>
        <w:t>a</w:t>
      </w:r>
      <w:r w:rsidRPr="00E071F9">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E638E1" w:rsidRPr="00E071F9">
        <w:rPr>
          <w:rFonts w:ascii="Palatino Linotype" w:eastAsia="Palatino Linotype" w:hAnsi="Palatino Linotype" w:cs="Palatino Linotype"/>
          <w:b/>
          <w:bCs/>
          <w:color w:val="000000"/>
        </w:rPr>
        <w:t>doce de marzo</w:t>
      </w:r>
      <w:r w:rsidRPr="00E071F9">
        <w:rPr>
          <w:rFonts w:ascii="Palatino Linotype" w:eastAsia="Palatino Linotype" w:hAnsi="Palatino Linotype" w:cs="Palatino Linotype"/>
          <w:b/>
          <w:bCs/>
          <w:color w:val="000000"/>
        </w:rPr>
        <w:t xml:space="preserve"> de dos mil veinticinco</w:t>
      </w:r>
      <w:r w:rsidRPr="00E071F9">
        <w:rPr>
          <w:rFonts w:ascii="Palatino Linotype" w:eastAsia="Palatino Linotype" w:hAnsi="Palatino Linotype" w:cs="Palatino Linotype"/>
          <w:color w:val="000000"/>
        </w:rPr>
        <w:t xml:space="preserve">, puso a disposición de las partes el expediente electrónico vía </w:t>
      </w:r>
      <w:r w:rsidRPr="00E071F9">
        <w:rPr>
          <w:rFonts w:ascii="Palatino Linotype" w:eastAsia="Palatino Linotype" w:hAnsi="Palatino Linotype" w:cs="Palatino Linotype"/>
          <w:b/>
          <w:bCs/>
          <w:color w:val="000000"/>
        </w:rPr>
        <w:t xml:space="preserve">SAIMEX </w:t>
      </w:r>
      <w:r w:rsidRPr="00E071F9">
        <w:rPr>
          <w:rFonts w:ascii="Palatino Linotype" w:eastAsia="Palatino Linotype" w:hAnsi="Palatino Linotype" w:cs="Palatino Linotype"/>
          <w:color w:val="000000"/>
        </w:rPr>
        <w:t xml:space="preserve">a efecto de que en un plazo máximo de siete días </w:t>
      </w:r>
      <w:r w:rsidRPr="00E071F9">
        <w:rPr>
          <w:rFonts w:ascii="Palatino Linotype" w:eastAsia="Palatino Linotype" w:hAnsi="Palatino Linotype" w:cs="Palatino Linotype"/>
        </w:rPr>
        <w:t>manifestara</w:t>
      </w:r>
      <w:r w:rsidRPr="00E071F9">
        <w:rPr>
          <w:rFonts w:ascii="Palatino Linotype" w:eastAsia="Palatino Linotype" w:hAnsi="Palatino Linotype" w:cs="Palatino Linotype"/>
          <w:color w:val="000000"/>
        </w:rPr>
        <w:t xml:space="preserve"> lo que a derecho </w:t>
      </w:r>
      <w:r w:rsidRPr="00E071F9">
        <w:rPr>
          <w:rFonts w:ascii="Palatino Linotype" w:eastAsia="Palatino Linotype" w:hAnsi="Palatino Linotype" w:cs="Palatino Linotype"/>
        </w:rPr>
        <w:t>conviniera</w:t>
      </w:r>
      <w:r w:rsidRPr="00E071F9">
        <w:rPr>
          <w:rFonts w:ascii="Palatino Linotype" w:eastAsia="Palatino Linotype" w:hAnsi="Palatino Linotype" w:cs="Palatino Linotype"/>
          <w:color w:val="000000"/>
        </w:rPr>
        <w:t xml:space="preserve">, </w:t>
      </w:r>
      <w:r w:rsidRPr="00E071F9">
        <w:rPr>
          <w:rFonts w:ascii="Palatino Linotype" w:eastAsia="Palatino Linotype" w:hAnsi="Palatino Linotype" w:cs="Palatino Linotype"/>
        </w:rPr>
        <w:t>ofreciera</w:t>
      </w:r>
      <w:r w:rsidRPr="00E071F9">
        <w:rPr>
          <w:rFonts w:ascii="Palatino Linotype" w:eastAsia="Palatino Linotype" w:hAnsi="Palatino Linotype" w:cs="Palatino Linotype"/>
          <w:color w:val="000000"/>
        </w:rPr>
        <w:t xml:space="preserve"> pruebas y alegatos según corresponda al caso concreto, de esta forma para que el </w:t>
      </w:r>
      <w:r w:rsidRPr="00E071F9">
        <w:rPr>
          <w:rFonts w:ascii="Palatino Linotype" w:eastAsia="Palatino Linotype" w:hAnsi="Palatino Linotype" w:cs="Palatino Linotype"/>
          <w:b/>
          <w:bCs/>
          <w:color w:val="000000"/>
        </w:rPr>
        <w:t>SUJETO OBLIGADO</w:t>
      </w:r>
      <w:r w:rsidRPr="00E071F9">
        <w:rPr>
          <w:rFonts w:ascii="Palatino Linotype" w:eastAsia="Palatino Linotype" w:hAnsi="Palatino Linotype" w:cs="Palatino Linotype"/>
          <w:color w:val="000000"/>
        </w:rPr>
        <w:t xml:space="preserve"> </w:t>
      </w:r>
      <w:r w:rsidRPr="00E071F9">
        <w:rPr>
          <w:rFonts w:ascii="Palatino Linotype" w:eastAsia="Palatino Linotype" w:hAnsi="Palatino Linotype" w:cs="Palatino Linotype"/>
        </w:rPr>
        <w:t>presentará</w:t>
      </w:r>
      <w:r w:rsidRPr="00E071F9">
        <w:rPr>
          <w:rFonts w:ascii="Palatino Linotype" w:eastAsia="Palatino Linotype" w:hAnsi="Palatino Linotype" w:cs="Palatino Linotype"/>
          <w:color w:val="000000"/>
        </w:rPr>
        <w:t xml:space="preserve"> el informe justificado procedente. </w:t>
      </w:r>
    </w:p>
    <w:p w:rsidR="002055CA" w:rsidRPr="00E071F9" w:rsidRDefault="002055CA" w:rsidP="002055CA">
      <w:pPr>
        <w:pBdr>
          <w:top w:val="nil"/>
          <w:left w:val="nil"/>
          <w:bottom w:val="nil"/>
          <w:right w:val="nil"/>
          <w:between w:val="nil"/>
        </w:pBdr>
        <w:ind w:left="720"/>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De las constancias del expediente electrónico SAIMEX se advierte que el Recurrente </w:t>
      </w:r>
      <w:r w:rsidR="00E638E1" w:rsidRPr="00E071F9">
        <w:rPr>
          <w:rFonts w:ascii="Palatino Linotype" w:eastAsia="Palatino Linotype" w:hAnsi="Palatino Linotype" w:cs="Palatino Linotype"/>
          <w:color w:val="000000"/>
        </w:rPr>
        <w:t xml:space="preserve">no </w:t>
      </w:r>
      <w:r w:rsidRPr="00E071F9">
        <w:rPr>
          <w:rFonts w:ascii="Palatino Linotype" w:eastAsia="Palatino Linotype" w:hAnsi="Palatino Linotype" w:cs="Palatino Linotype"/>
          <w:color w:val="000000"/>
        </w:rPr>
        <w:t xml:space="preserve">realizó manifestaciones </w:t>
      </w:r>
      <w:r w:rsidR="00E638E1" w:rsidRPr="00E071F9">
        <w:rPr>
          <w:rFonts w:ascii="Palatino Linotype" w:eastAsia="Palatino Linotype" w:hAnsi="Palatino Linotype" w:cs="Palatino Linotype"/>
          <w:color w:val="000000"/>
        </w:rPr>
        <w:t>que a su derecho convinieran; por su parte, el Sujeto Obligado no entregó informe justificado.</w:t>
      </w:r>
    </w:p>
    <w:p w:rsidR="00E638E1" w:rsidRPr="00E071F9" w:rsidRDefault="00E638E1" w:rsidP="00E638E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El </w:t>
      </w:r>
      <w:r w:rsidR="00E638E1" w:rsidRPr="00E071F9">
        <w:rPr>
          <w:rFonts w:ascii="Palatino Linotype" w:eastAsia="Palatino Linotype" w:hAnsi="Palatino Linotype" w:cs="Palatino Linotype"/>
          <w:b/>
          <w:bCs/>
          <w:color w:val="000000"/>
        </w:rPr>
        <w:t xml:space="preserve">veintinueve </w:t>
      </w:r>
      <w:r w:rsidRPr="00E071F9">
        <w:rPr>
          <w:rFonts w:ascii="Palatino Linotype" w:eastAsia="Palatino Linotype" w:hAnsi="Palatino Linotype" w:cs="Palatino Linotype"/>
          <w:b/>
          <w:bCs/>
          <w:color w:val="000000"/>
        </w:rPr>
        <w:t>de abril de dos mil veintiséis</w:t>
      </w:r>
      <w:r w:rsidRPr="00E071F9">
        <w:rPr>
          <w:rFonts w:ascii="Palatino Linotype" w:eastAsia="Palatino Linotype" w:hAnsi="Palatino Linotype" w:cs="Palatino Linotype"/>
          <w:color w:val="000000"/>
        </w:rPr>
        <w:t xml:space="preserve">, se notificó el acuerdo mediante el cual se aprobó la ampliación de plazo para emitir resolución. </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La Comisionada Ponente decretó el cierre de instrucción mediante el acuerdo del </w:t>
      </w:r>
      <w:r w:rsidR="00E638E1" w:rsidRPr="00E071F9">
        <w:rPr>
          <w:rFonts w:ascii="Palatino Linotype" w:eastAsia="Palatino Linotype" w:hAnsi="Palatino Linotype" w:cs="Palatino Linotype"/>
          <w:b/>
          <w:bCs/>
          <w:color w:val="000000"/>
        </w:rPr>
        <w:t xml:space="preserve">veintinueve </w:t>
      </w:r>
      <w:r w:rsidRPr="00E071F9">
        <w:rPr>
          <w:rFonts w:ascii="Palatino Linotype" w:eastAsia="Palatino Linotype" w:hAnsi="Palatino Linotype" w:cs="Palatino Linotype"/>
          <w:b/>
          <w:bCs/>
          <w:color w:val="000000"/>
        </w:rPr>
        <w:t>de abril de dos mil veintiséis.</w:t>
      </w:r>
      <w:r w:rsidR="00E071F9">
        <w:rPr>
          <w:rFonts w:ascii="Palatino Linotype" w:eastAsia="Palatino Linotype" w:hAnsi="Palatino Linotype" w:cs="Palatino Linotype"/>
          <w:b/>
          <w:bCs/>
          <w:color w:val="000000"/>
        </w:rPr>
        <w:t xml:space="preserve"> -----------------------------------------------------------------</w:t>
      </w:r>
    </w:p>
    <w:p w:rsidR="002055CA" w:rsidRPr="00E071F9" w:rsidRDefault="002055CA" w:rsidP="002055CA">
      <w:pPr>
        <w:spacing w:line="360" w:lineRule="auto"/>
        <w:rPr>
          <w:rFonts w:ascii="Palatino Linotype" w:eastAsia="Palatino Linotype" w:hAnsi="Palatino Linotype" w:cs="Palatino Linotype"/>
        </w:rPr>
      </w:pPr>
    </w:p>
    <w:p w:rsidR="002055CA" w:rsidRPr="00E071F9" w:rsidRDefault="002055CA" w:rsidP="002055CA">
      <w:pPr>
        <w:spacing w:line="360" w:lineRule="auto"/>
        <w:jc w:val="center"/>
        <w:rPr>
          <w:rFonts w:ascii="Palatino Linotype" w:eastAsia="Palatino Linotype" w:hAnsi="Palatino Linotype" w:cs="Palatino Linotype"/>
        </w:rPr>
      </w:pPr>
      <w:bookmarkStart w:id="2" w:name="_heading=h.1fob9te" w:colFirst="0" w:colLast="0"/>
      <w:bookmarkEnd w:id="2"/>
      <w:r w:rsidRPr="00E071F9">
        <w:rPr>
          <w:rFonts w:ascii="Palatino Linotype" w:eastAsia="Palatino Linotype" w:hAnsi="Palatino Linotype" w:cs="Palatino Linotype"/>
          <w:b/>
          <w:bCs/>
        </w:rPr>
        <w:lastRenderedPageBreak/>
        <w:t>C O N S I D E R A N D O</w:t>
      </w:r>
    </w:p>
    <w:p w:rsidR="002055CA" w:rsidRPr="00E071F9" w:rsidRDefault="002055CA" w:rsidP="002055CA">
      <w:pPr>
        <w:spacing w:line="360" w:lineRule="auto"/>
        <w:jc w:val="center"/>
        <w:rPr>
          <w:rFonts w:ascii="Palatino Linotype" w:eastAsia="Palatino Linotype" w:hAnsi="Palatino Linotype" w:cs="Palatino Linotype"/>
        </w:rPr>
      </w:pPr>
    </w:p>
    <w:p w:rsidR="002055CA" w:rsidRPr="00E071F9" w:rsidRDefault="002055CA" w:rsidP="002055CA">
      <w:pPr>
        <w:spacing w:line="360" w:lineRule="auto"/>
        <w:jc w:val="both"/>
        <w:rPr>
          <w:rFonts w:ascii="Palatino Linotype" w:eastAsia="Palatino Linotype" w:hAnsi="Palatino Linotype" w:cs="Palatino Linotype"/>
          <w:b/>
          <w:bCs/>
        </w:rPr>
      </w:pPr>
      <w:bookmarkStart w:id="3" w:name="_heading=h.3znysh7" w:colFirst="0" w:colLast="0"/>
      <w:bookmarkEnd w:id="3"/>
      <w:r w:rsidRPr="00E071F9">
        <w:rPr>
          <w:rFonts w:ascii="Palatino Linotype" w:eastAsia="Palatino Linotype" w:hAnsi="Palatino Linotype" w:cs="Palatino Linotype"/>
          <w:b/>
          <w:bCs/>
        </w:rPr>
        <w:t>PRIMERO. De la competencia</w:t>
      </w:r>
    </w:p>
    <w:p w:rsidR="002055CA" w:rsidRPr="00E071F9" w:rsidRDefault="002055CA" w:rsidP="002055CA">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2055CA" w:rsidRPr="00E071F9" w:rsidRDefault="002055CA" w:rsidP="002055CA">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2055CA" w:rsidRPr="00E071F9" w:rsidRDefault="002055CA" w:rsidP="002055CA">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E071F9">
        <w:rPr>
          <w:rFonts w:ascii="Palatino Linotype" w:eastAsia="Palatino Linotype" w:hAnsi="Palatino Linotype" w:cs="Palatino Linotype"/>
          <w:b/>
          <w:bCs/>
        </w:rPr>
        <w:t>SEGUNDO. De la oportunidad y procedencia.</w:t>
      </w: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El medio de impugnación fue presentado a través del </w:t>
      </w:r>
      <w:r w:rsidRPr="00E071F9">
        <w:rPr>
          <w:rFonts w:ascii="Palatino Linotype" w:eastAsia="Palatino Linotype" w:hAnsi="Palatino Linotype" w:cs="Palatino Linotype"/>
          <w:b/>
          <w:bCs/>
          <w:color w:val="000000"/>
        </w:rPr>
        <w:t>SAIMEX,</w:t>
      </w:r>
      <w:r w:rsidRPr="00E071F9">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E071F9">
        <w:rPr>
          <w:rFonts w:ascii="Palatino Linotype" w:eastAsia="Palatino Linotype" w:hAnsi="Palatino Linotype" w:cs="Palatino Linotype"/>
          <w:b/>
          <w:bCs/>
          <w:color w:val="000000"/>
        </w:rPr>
        <w:t>SUJETO OBLIGADO</w:t>
      </w:r>
      <w:r w:rsidRPr="00E071F9">
        <w:rPr>
          <w:rFonts w:ascii="Palatino Linotype" w:eastAsia="Palatino Linotype" w:hAnsi="Palatino Linotype" w:cs="Palatino Linotype"/>
          <w:color w:val="000000"/>
        </w:rPr>
        <w:t xml:space="preserve"> entregó respuesta a la solicitud el día </w:t>
      </w:r>
      <w:r w:rsidRPr="00E071F9">
        <w:rPr>
          <w:rFonts w:ascii="Palatino Linotype" w:eastAsia="Palatino Linotype" w:hAnsi="Palatino Linotype" w:cs="Palatino Linotype"/>
          <w:b/>
          <w:bCs/>
          <w:color w:val="000000"/>
        </w:rPr>
        <w:t xml:space="preserve"> </w:t>
      </w:r>
      <w:r w:rsidR="00E638E1" w:rsidRPr="00E071F9">
        <w:rPr>
          <w:rFonts w:ascii="Palatino Linotype" w:eastAsia="Palatino Linotype" w:hAnsi="Palatino Linotype" w:cs="Palatino Linotype"/>
          <w:b/>
          <w:bCs/>
          <w:color w:val="000000"/>
        </w:rPr>
        <w:t>cuatro de marzo de dos mil veintiséis</w:t>
      </w:r>
      <w:r w:rsidRPr="00E071F9">
        <w:rPr>
          <w:rFonts w:ascii="Palatino Linotype" w:eastAsia="Palatino Linotype" w:hAnsi="Palatino Linotype" w:cs="Palatino Linotype"/>
          <w:color w:val="000000"/>
        </w:rPr>
        <w:t>, de tal forma que el plazo para interponer el recurso de revisión transcurrió del</w:t>
      </w:r>
      <w:r w:rsidRPr="00E071F9">
        <w:rPr>
          <w:rFonts w:ascii="Palatino Linotype" w:eastAsia="Palatino Linotype" w:hAnsi="Palatino Linotype" w:cs="Palatino Linotype"/>
          <w:b/>
          <w:bCs/>
          <w:color w:val="000000"/>
        </w:rPr>
        <w:t xml:space="preserve"> </w:t>
      </w:r>
      <w:r w:rsidR="00E638E1" w:rsidRPr="00E071F9">
        <w:rPr>
          <w:rFonts w:ascii="Palatino Linotype" w:eastAsia="Palatino Linotype" w:hAnsi="Palatino Linotype" w:cs="Palatino Linotype"/>
          <w:b/>
          <w:bCs/>
          <w:color w:val="000000"/>
        </w:rPr>
        <w:t>cinco al veintiséis de marzo de dos mil veintiséis</w:t>
      </w:r>
      <w:r w:rsidRPr="00E071F9">
        <w:rPr>
          <w:rFonts w:ascii="Palatino Linotype" w:eastAsia="Palatino Linotype" w:hAnsi="Palatino Linotype" w:cs="Palatino Linotype"/>
          <w:color w:val="000000"/>
        </w:rPr>
        <w:t xml:space="preserve">; en consecuencia, presentó su inconformidad el día </w:t>
      </w:r>
      <w:r w:rsidR="00E638E1" w:rsidRPr="00E071F9">
        <w:rPr>
          <w:rFonts w:ascii="Palatino Linotype" w:eastAsia="Palatino Linotype" w:hAnsi="Palatino Linotype" w:cs="Palatino Linotype"/>
          <w:b/>
          <w:bCs/>
          <w:color w:val="000000"/>
        </w:rPr>
        <w:t>ocho de marzo de dos mil veintiséis</w:t>
      </w:r>
      <w:r w:rsidRPr="00E071F9">
        <w:rPr>
          <w:rFonts w:ascii="Palatino Linotype" w:eastAsia="Palatino Linotype" w:hAnsi="Palatino Linotype" w:cs="Palatino Linotype"/>
          <w:color w:val="000000"/>
        </w:rPr>
        <w:t xml:space="preserve">, por lo que se encuentra dentro de los márgenes temporales previstos en el artículo 178 de la </w:t>
      </w:r>
      <w:r w:rsidRPr="00E071F9">
        <w:rPr>
          <w:rFonts w:ascii="Palatino Linotype" w:eastAsia="Palatino Linotype" w:hAnsi="Palatino Linotype" w:cs="Palatino Linotype"/>
          <w:b/>
          <w:bCs/>
          <w:color w:val="000000"/>
        </w:rPr>
        <w:t xml:space="preserve">Ley de Transparencia y Acceso a la Información Pública del Estado de México y Municipios </w:t>
      </w:r>
      <w:r w:rsidRPr="00E071F9">
        <w:rPr>
          <w:rFonts w:ascii="Palatino Linotype" w:eastAsia="Palatino Linotype" w:hAnsi="Palatino Linotype" w:cs="Palatino Linotype"/>
          <w:color w:val="000000"/>
        </w:rPr>
        <w:t>vigente.</w:t>
      </w:r>
    </w:p>
    <w:p w:rsidR="002055CA" w:rsidRPr="00E071F9" w:rsidRDefault="002055CA" w:rsidP="002055CA">
      <w:pPr>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2055CA" w:rsidRPr="00E071F9" w:rsidRDefault="002055CA" w:rsidP="002055CA">
      <w:pPr>
        <w:pStyle w:val="Ttulo1"/>
        <w:spacing w:line="360" w:lineRule="auto"/>
        <w:rPr>
          <w:rFonts w:ascii="Palatino Linotype" w:eastAsia="Palatino Linotype" w:hAnsi="Palatino Linotype" w:cs="Palatino Linotype"/>
          <w:b/>
          <w:bCs/>
          <w:i/>
          <w:iCs/>
          <w:color w:val="000000"/>
          <w:sz w:val="24"/>
          <w:szCs w:val="24"/>
        </w:rPr>
      </w:pPr>
      <w:r w:rsidRPr="00E071F9">
        <w:rPr>
          <w:rFonts w:ascii="Palatino Linotype" w:eastAsia="Palatino Linotype" w:hAnsi="Palatino Linotype" w:cs="Palatino Linotype"/>
          <w:b/>
          <w:bCs/>
          <w:color w:val="000000"/>
          <w:sz w:val="24"/>
          <w:szCs w:val="24"/>
        </w:rPr>
        <w:t>TERCERO. Del planteamiento de la Litis</w:t>
      </w:r>
    </w:p>
    <w:p w:rsidR="002055CA" w:rsidRPr="00E071F9" w:rsidRDefault="002055CA" w:rsidP="00E638E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E071F9">
        <w:rPr>
          <w:rFonts w:ascii="Palatino Linotype" w:eastAsia="Palatino Linotype" w:hAnsi="Palatino Linotype" w:cs="Palatino Linotype"/>
          <w:color w:val="000000"/>
        </w:rPr>
        <w:t>El particular solici</w:t>
      </w:r>
      <w:r w:rsidR="00E638E1" w:rsidRPr="00E071F9">
        <w:rPr>
          <w:rFonts w:ascii="Palatino Linotype" w:eastAsia="Palatino Linotype" w:hAnsi="Palatino Linotype" w:cs="Palatino Linotype"/>
          <w:color w:val="000000"/>
        </w:rPr>
        <w:t xml:space="preserve">tó del servidor público referido en la solicitud de información el salario mensual bruto y neto, las actividades que realiza, conocer si cuenta con vehículo oficial y el monto de combustible con el que se le dota, saber si está comisionado y la plaza con la que está contratado y si ha tenido aumentos salariales en los últimos años. </w:t>
      </w:r>
    </w:p>
    <w:p w:rsidR="00E638E1" w:rsidRPr="00E071F9" w:rsidRDefault="00E638E1" w:rsidP="00E638E1">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2055CA" w:rsidRPr="00E071F9" w:rsidRDefault="002055CA" w:rsidP="002055CA">
      <w:pPr>
        <w:numPr>
          <w:ilvl w:val="0"/>
          <w:numId w:val="2"/>
        </w:numPr>
        <w:spacing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rPr>
        <w:t>En respue</w:t>
      </w:r>
      <w:r w:rsidR="00E638E1" w:rsidRPr="00E071F9">
        <w:rPr>
          <w:rFonts w:ascii="Palatino Linotype" w:eastAsia="Palatino Linotype" w:hAnsi="Palatino Linotype" w:cs="Palatino Linotype"/>
        </w:rPr>
        <w:t xml:space="preserve">sta, el Sujeto Obligado a través de la Dirección de Administración señaló que no se localizó registro relacionado con el servidor público, por su parte, el Subdirector de Concursos y Contratos señaló que el servidor público no tiene asignado vehículo por lo tanto no se le dota de gasolina y señaló sus funciones. Posteriormente, el Recurrente se inconformó de forma medular, por la falta de información referente a las remuneraciones. </w:t>
      </w:r>
    </w:p>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numPr>
          <w:ilvl w:val="0"/>
          <w:numId w:val="2"/>
        </w:numPr>
        <w:spacing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2055CA" w:rsidRPr="00E071F9" w:rsidRDefault="002055CA" w:rsidP="002055CA">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E071F9">
        <w:rPr>
          <w:rFonts w:ascii="Palatino Linotype" w:eastAsia="Palatino Linotype" w:hAnsi="Palatino Linotype" w:cs="Palatino Linotype"/>
          <w:b/>
          <w:bCs/>
          <w:color w:val="000000"/>
          <w:sz w:val="24"/>
          <w:szCs w:val="24"/>
        </w:rPr>
        <w:t xml:space="preserve">CUARTO. Estudio y resolución del recurso de revisión. </w:t>
      </w:r>
    </w:p>
    <w:p w:rsidR="002055CA" w:rsidRPr="00E071F9" w:rsidRDefault="002055CA" w:rsidP="002055CA">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w:t>
      </w:r>
      <w:r w:rsidRPr="00E071F9">
        <w:rPr>
          <w:rFonts w:ascii="Palatino Linotype" w:eastAsia="Palatino Linotype" w:hAnsi="Palatino Linotype" w:cs="Palatino Linotype"/>
          <w:color w:val="000000"/>
        </w:rPr>
        <w:lastRenderedPageBreak/>
        <w:t xml:space="preserve">aportados por las partes y apegándose en todo momento al principio de máxima publicidad de acuerdo con lo establecido en el artículo 8 de la </w:t>
      </w:r>
      <w:r w:rsidRPr="00E071F9">
        <w:rPr>
          <w:rFonts w:ascii="Palatino Linotype" w:eastAsia="Palatino Linotype" w:hAnsi="Palatino Linotype" w:cs="Palatino Linotype"/>
          <w:b/>
          <w:bCs/>
          <w:color w:val="000000"/>
        </w:rPr>
        <w:t>Ley de Transparencia y Acceso a la Información Pública del Estado de México y Municipios</w:t>
      </w:r>
      <w:r w:rsidRPr="00E071F9">
        <w:rPr>
          <w:rFonts w:ascii="Palatino Linotype" w:eastAsia="Palatino Linotype" w:hAnsi="Palatino Linotype" w:cs="Palatino Linotype"/>
          <w:color w:val="000000"/>
        </w:rPr>
        <w:t>.</w:t>
      </w:r>
    </w:p>
    <w:p w:rsidR="002055CA" w:rsidRPr="00E071F9" w:rsidRDefault="002055CA" w:rsidP="002055CA">
      <w:pPr>
        <w:spacing w:line="360" w:lineRule="auto"/>
        <w:jc w:val="both"/>
        <w:rPr>
          <w:rFonts w:ascii="Palatino Linotype" w:eastAsia="Palatino Linotype" w:hAnsi="Palatino Linotype" w:cs="Palatino Linotype"/>
        </w:rPr>
      </w:pPr>
      <w:bookmarkStart w:id="6" w:name="_heading=h.4d34og8" w:colFirst="0" w:colLast="0"/>
      <w:bookmarkEnd w:id="6"/>
    </w:p>
    <w:p w:rsidR="002361F5" w:rsidRPr="00E071F9" w:rsidRDefault="002055CA" w:rsidP="002361F5">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E071F9">
        <w:rPr>
          <w:rFonts w:ascii="Palatino Linotype" w:eastAsia="Palatino Linotype" w:hAnsi="Palatino Linotype" w:cs="Palatino Linotype"/>
          <w:b/>
          <w:bCs/>
          <w:color w:val="000000"/>
        </w:rPr>
        <w:t>SUJETO OBLIGADO y</w:t>
      </w:r>
      <w:r w:rsidRPr="00E071F9">
        <w:rPr>
          <w:rFonts w:ascii="Palatino Linotype" w:eastAsia="Palatino Linotype" w:hAnsi="Palatino Linotype" w:cs="Palatino Linotype"/>
          <w:color w:val="000000"/>
        </w:rPr>
        <w:t xml:space="preserve"> las manifestaciones realizadas por el </w:t>
      </w:r>
      <w:r w:rsidRPr="00E071F9">
        <w:rPr>
          <w:rFonts w:ascii="Palatino Linotype" w:eastAsia="Palatino Linotype" w:hAnsi="Palatino Linotype" w:cs="Palatino Linotype"/>
          <w:b/>
          <w:bCs/>
        </w:rPr>
        <w:t>SOLICITANTE</w:t>
      </w:r>
      <w:r w:rsidRPr="00E071F9">
        <w:rPr>
          <w:rFonts w:ascii="Palatino Linotype" w:eastAsia="Palatino Linotype" w:hAnsi="Palatino Linotype" w:cs="Palatino Linotype"/>
          <w:b/>
          <w:bCs/>
          <w:color w:val="000000"/>
        </w:rPr>
        <w:t xml:space="preserve"> </w:t>
      </w:r>
      <w:r w:rsidRPr="00E071F9">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2361F5" w:rsidRPr="00E071F9" w:rsidRDefault="002361F5" w:rsidP="002361F5">
      <w:pPr>
        <w:pStyle w:val="Prrafodelista"/>
        <w:rPr>
          <w:rFonts w:ascii="Palatino Linotype" w:eastAsia="Palatino Linotype" w:hAnsi="Palatino Linotype" w:cs="Palatino Linotype"/>
          <w:color w:val="000000"/>
        </w:rPr>
      </w:pPr>
    </w:p>
    <w:p w:rsidR="002361F5" w:rsidRPr="00E071F9" w:rsidRDefault="002055CA" w:rsidP="002361F5">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color w:val="000000"/>
        </w:rPr>
        <w:t xml:space="preserve">Al respecto, es necesario recordar que el particular solicitó </w:t>
      </w:r>
      <w:r w:rsidR="002361F5" w:rsidRPr="00E071F9">
        <w:rPr>
          <w:rFonts w:ascii="Palatino Linotype" w:eastAsia="Palatino Linotype" w:hAnsi="Palatino Linotype" w:cs="Palatino Linotype"/>
          <w:color w:val="000000"/>
        </w:rPr>
        <w:t xml:space="preserve">del servidor público referido en la solicitud de información el salario mensual bruto y neto, las actividades que realiza, conocer si cuenta con vehículo oficial y el monto de combustible con el que se le dota, saber si está comisionado y la plaza con la que está contratado y si ha tenido aumentos salariales en los últimos años. </w:t>
      </w:r>
      <w:r w:rsidR="002361F5" w:rsidRPr="00E071F9">
        <w:rPr>
          <w:rFonts w:ascii="Palatino Linotype" w:eastAsia="Palatino Linotype" w:hAnsi="Palatino Linotype" w:cs="Palatino Linotype"/>
        </w:rPr>
        <w:t>En respuesta, el Sujeto Obligado a través de la Dirección de Administración señaló que no se localizó registro relacionado con el servidor público, por su parte, el Subdirector de Concursos y Contratos señaló que el servidor público no tiene asignado vehículo por lo tanto no se le dota de gasolina y señaló sus funciones.</w:t>
      </w:r>
    </w:p>
    <w:p w:rsidR="002361F5" w:rsidRPr="00E071F9" w:rsidRDefault="002361F5" w:rsidP="002361F5">
      <w:pPr>
        <w:pStyle w:val="Prrafodelista"/>
        <w:rPr>
          <w:rFonts w:ascii="Palatino Linotype" w:eastAsia="Palatino Linotype" w:hAnsi="Palatino Linotype" w:cs="Palatino Linotype"/>
        </w:rPr>
      </w:pPr>
    </w:p>
    <w:p w:rsidR="002361F5" w:rsidRPr="00E071F9" w:rsidRDefault="002361F5" w:rsidP="002361F5">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rPr>
        <w:t>Posteriormente, el Recurrente se inconformó por las siguientes razones:</w:t>
      </w:r>
    </w:p>
    <w:p w:rsidR="002361F5" w:rsidRPr="00E071F9" w:rsidRDefault="002361F5" w:rsidP="002361F5">
      <w:pPr>
        <w:pStyle w:val="Prrafodelista"/>
        <w:rPr>
          <w:rFonts w:ascii="Palatino Linotype" w:eastAsia="Palatino Linotype" w:hAnsi="Palatino Linotype" w:cs="Palatino Linotype"/>
        </w:rPr>
      </w:pPr>
    </w:p>
    <w:p w:rsidR="002361F5" w:rsidRPr="00E071F9" w:rsidRDefault="002361F5" w:rsidP="002361F5">
      <w:pPr>
        <w:pStyle w:val="Prrafodelista"/>
        <w:numPr>
          <w:ilvl w:val="0"/>
          <w:numId w:val="13"/>
        </w:numPr>
        <w:spacing w:line="360" w:lineRule="auto"/>
        <w:ind w:left="851" w:right="822" w:firstLine="0"/>
        <w:jc w:val="both"/>
      </w:pPr>
      <w:r w:rsidRPr="00E071F9">
        <w:rPr>
          <w:rFonts w:ascii="Palatino Linotype" w:eastAsia="Palatino Linotype" w:hAnsi="Palatino Linotype" w:cs="Palatino Linotype"/>
          <w:b/>
          <w:bCs/>
        </w:rPr>
        <w:t>Acto impugnado</w:t>
      </w:r>
      <w:r w:rsidRPr="00E071F9">
        <w:rPr>
          <w:rFonts w:ascii="Palatino Linotype" w:eastAsia="Palatino Linotype" w:hAnsi="Palatino Linotype" w:cs="Palatino Linotype"/>
          <w:b/>
          <w:bCs/>
          <w:i/>
          <w:iCs/>
        </w:rPr>
        <w:t>:</w:t>
      </w:r>
      <w:r w:rsidRPr="00E071F9">
        <w:rPr>
          <w:rFonts w:ascii="Palatino Linotype" w:eastAsia="Palatino Linotype" w:hAnsi="Palatino Linotype" w:cs="Palatino Linotype"/>
          <w:i/>
          <w:iCs/>
          <w:color w:val="000000"/>
        </w:rPr>
        <w:t xml:space="preserve"> “NIEGAN LA INFORMACXION POR IGNORANCIA Y DESCONOCIMIENTO DE LA LEY. SON OMISOS A SUS RESPONSABILIDADES LEGALES" (Sic)</w:t>
      </w:r>
    </w:p>
    <w:p w:rsidR="002361F5" w:rsidRPr="00E071F9" w:rsidRDefault="002361F5" w:rsidP="002361F5">
      <w:pPr>
        <w:spacing w:line="360" w:lineRule="auto"/>
        <w:ind w:left="851" w:right="822"/>
        <w:jc w:val="both"/>
      </w:pPr>
    </w:p>
    <w:p w:rsidR="002361F5" w:rsidRPr="00E071F9" w:rsidRDefault="002361F5" w:rsidP="002361F5">
      <w:pPr>
        <w:numPr>
          <w:ilvl w:val="0"/>
          <w:numId w:val="1"/>
        </w:numPr>
        <w:spacing w:line="360" w:lineRule="auto"/>
        <w:ind w:left="851" w:right="822" w:firstLine="0"/>
        <w:jc w:val="both"/>
        <w:rPr>
          <w:rFonts w:ascii="Palatino Linotype" w:eastAsia="Palatino Linotype" w:hAnsi="Palatino Linotype" w:cs="Palatino Linotype"/>
        </w:rPr>
      </w:pPr>
      <w:r w:rsidRPr="00E071F9">
        <w:rPr>
          <w:rFonts w:ascii="Palatino Linotype" w:eastAsia="Palatino Linotype" w:hAnsi="Palatino Linotype" w:cs="Palatino Linotype"/>
          <w:b/>
          <w:bCs/>
        </w:rPr>
        <w:lastRenderedPageBreak/>
        <w:t xml:space="preserve">Razones o Motivos de inconformidad: </w:t>
      </w:r>
      <w:r w:rsidRPr="00E071F9">
        <w:rPr>
          <w:rFonts w:ascii="Palatino Linotype" w:eastAsia="Palatino Linotype" w:hAnsi="Palatino Linotype" w:cs="Palatino Linotype"/>
          <w:i/>
          <w:iCs/>
        </w:rPr>
        <w:t xml:space="preserve">"Me refiero al folio número 0051/CAEM/IP/2026, mediante el cual solicite de manera puntual lo siguiente: "SOLICITO SABER LAS FUNCIONES DEL C. VICTOR CONRADO RAMIREZ EL SALARIO MENSUAL NETO Y BRUTO LAS ACTIVIDADES QUE REALIZA. SI CUENTA CON VEHICULO OFICIAL Y EL MONTO DE COMBUSTIBLE QUE LE DOTAN. SI ESTA COMISIONADO Y CUAL ES LA PLAZA CON LA QUE ESTA CONTRATADO EN QUE AÑO INGRESO Y SI HA TENIDO AUMENTOS SALARIALES EN LOS ULTIMOS 5 AÑOS." (sic) En respuesta citan el Art. 12 segundo párrafo, 53, fracción II, V, VI y artículo 163 de la citada Ley hago y hacen de mi conocimiento que: Los sujetos obligados sólo proporcionarán la información pública que se les requiera y que obre en sus archivos y en el estado en el que se encuentre, la obligación de proporcionar información no corresponde el procesamiento de la misma, ni presentarla conforme al interesado la solicite; no estarán obligados a generarla, resumirla, efectuar cálculos o practicar investigaciones" (sic) Por lo anterior y en apego artículo 92 fracción VIII de la Ley de Transparencia y Acceso a la Información Pública del Estado de México y Municipios, que establece que los sujetos obligados deben publicar: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Esto significa que: 1. El sueldo bruto y neto es información pública obligatoria. 2. Debe estar publicada permanentemente en transparencia (IPOMEX o portal institucional). 3. No es información reservada ni confidencial. Por lo que su argumento carece de legitimidad legal. Cabe señalar que el desconocimiento de la ley no exime de su cumplimiento; por el contrario, los servidores públicos se encuentran </w:t>
      </w:r>
      <w:r w:rsidRPr="00E071F9">
        <w:rPr>
          <w:rFonts w:ascii="Palatino Linotype" w:eastAsia="Palatino Linotype" w:hAnsi="Palatino Linotype" w:cs="Palatino Linotype"/>
          <w:i/>
          <w:iCs/>
        </w:rPr>
        <w:lastRenderedPageBreak/>
        <w:t>obligados a observar el principio de legalidad previsto en el artículo 7 de la Ley de Responsabilidades Administrativas del Estado de México y Municipios, por lo que la omisión o actuación contraria a la normativa aplicable genera responsabilidad administrativa.” No omito mencionarle que el salario ya existe en sus registros administrativos y se denomina (nómina)., además la ley les obliga a tenerla publicada en transparencia, por lo que le exhorto a revisar en el ámbito de su competencia la Ley General de Transparencia y Acceso a la Información Pública, que obliga a todas las autoridades del país a publicar las remuneraciones de los servidores públicos. Conforme a derecho, solicito el RECURSO DE REVISIÓN, con fundamento en los Artículos 150 y 151, motivado por la entrega de información incompleta. por lo que su negativa resulta improcedente. Agradeciendo la atención que le den a la presente quedo atento por los medios ya establecidos." (Sic)</w:t>
      </w:r>
    </w:p>
    <w:p w:rsidR="002055CA" w:rsidRPr="00E071F9" w:rsidRDefault="002055CA" w:rsidP="002055CA">
      <w:pPr>
        <w:pStyle w:val="Prrafodelista"/>
        <w:spacing w:line="360" w:lineRule="auto"/>
        <w:ind w:left="0"/>
        <w:jc w:val="both"/>
        <w:rPr>
          <w:rFonts w:ascii="Palatino Linotype" w:hAnsi="Palatino Linotype"/>
        </w:rPr>
      </w:pPr>
    </w:p>
    <w:p w:rsidR="002055CA" w:rsidRPr="00E071F9" w:rsidRDefault="002055CA" w:rsidP="002055CA">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E071F9">
        <w:rPr>
          <w:rFonts w:ascii="Palatino Linotype" w:eastAsia="MS Mincho" w:hAnsi="Palatino Linotype" w:cs="Arial"/>
          <w:lang w:eastAsia="es-ES"/>
        </w:rPr>
        <w:t xml:space="preserve">Ahora bien, la inconformidad del RECURRENTE radica en la falta </w:t>
      </w:r>
      <w:r w:rsidR="002361F5" w:rsidRPr="00E071F9">
        <w:rPr>
          <w:rFonts w:ascii="Palatino Linotype" w:eastAsia="MS Mincho" w:hAnsi="Palatino Linotype" w:cs="Arial"/>
          <w:lang w:eastAsia="es-ES"/>
        </w:rPr>
        <w:t>de las remuneraciones del servidor público</w:t>
      </w:r>
      <w:r w:rsidRPr="00E071F9">
        <w:rPr>
          <w:rFonts w:ascii="Palatino Linotype" w:eastAsia="MS Mincho" w:hAnsi="Palatino Linotype" w:cs="Arial"/>
          <w:lang w:eastAsia="es-ES"/>
        </w:rPr>
        <w:t xml:space="preserve">;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2055CA" w:rsidRPr="00E071F9" w:rsidRDefault="002055CA" w:rsidP="002055CA">
      <w:pPr>
        <w:pStyle w:val="Prrafodelista"/>
        <w:spacing w:before="240" w:after="240" w:line="360" w:lineRule="auto"/>
        <w:ind w:left="0" w:right="48"/>
        <w:jc w:val="both"/>
        <w:rPr>
          <w:rFonts w:ascii="Palatino Linotype" w:eastAsia="MS Mincho" w:hAnsi="Palatino Linotype" w:cs="Arial"/>
          <w:lang w:eastAsia="es-ES"/>
        </w:rPr>
      </w:pPr>
    </w:p>
    <w:p w:rsidR="002055CA" w:rsidRPr="00E071F9" w:rsidRDefault="002055CA" w:rsidP="002055CA">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E071F9">
        <w:rPr>
          <w:rFonts w:ascii="Palatino Linotype" w:eastAsia="MS Mincho" w:hAnsi="Palatino Linotype" w:cs="Arial"/>
          <w:lang w:eastAsia="es-ES"/>
        </w:rPr>
        <w:t>Sirve de sustento, la tesis jurisprudencial número VI.3o.C. J/60, publicada en el Semanario Judicial de la Federación y su Gaceta bajo el número de registro 176,608 que a la letra dice:</w:t>
      </w:r>
    </w:p>
    <w:p w:rsidR="002055CA" w:rsidRPr="00E071F9" w:rsidRDefault="002055CA" w:rsidP="002055CA">
      <w:pPr>
        <w:pStyle w:val="Prrafodelista"/>
        <w:spacing w:before="240" w:after="240" w:line="360" w:lineRule="auto"/>
        <w:ind w:left="0" w:right="48"/>
        <w:jc w:val="both"/>
        <w:rPr>
          <w:rFonts w:ascii="Palatino Linotype" w:eastAsia="MS Mincho" w:hAnsi="Palatino Linotype" w:cs="Arial"/>
          <w:lang w:eastAsia="es-ES"/>
        </w:rPr>
      </w:pPr>
    </w:p>
    <w:p w:rsidR="002055CA" w:rsidRPr="00E071F9" w:rsidRDefault="002055CA" w:rsidP="002055CA">
      <w:pPr>
        <w:pStyle w:val="Prrafodelista"/>
        <w:spacing w:before="240" w:after="240" w:line="360" w:lineRule="auto"/>
        <w:ind w:left="851" w:right="822"/>
        <w:jc w:val="both"/>
        <w:rPr>
          <w:rFonts w:ascii="Palatino Linotype" w:eastAsia="MS Mincho" w:hAnsi="Palatino Linotype" w:cs="Arial"/>
          <w:i/>
          <w:lang w:eastAsia="es-ES"/>
        </w:rPr>
      </w:pPr>
      <w:r w:rsidRPr="00E071F9">
        <w:rPr>
          <w:rFonts w:ascii="Palatino Linotype" w:eastAsia="MS Mincho" w:hAnsi="Palatino Linotype" w:cs="Arial"/>
          <w:i/>
          <w:lang w:eastAsia="es-ES"/>
        </w:rPr>
        <w:lastRenderedPageBreak/>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2055CA" w:rsidRPr="00E071F9" w:rsidRDefault="002055CA" w:rsidP="002055CA">
      <w:pPr>
        <w:pStyle w:val="Prrafodelista"/>
        <w:spacing w:before="240" w:after="240" w:line="360" w:lineRule="auto"/>
        <w:ind w:left="851" w:right="822"/>
        <w:jc w:val="both"/>
        <w:rPr>
          <w:rFonts w:ascii="Palatino Linotype" w:eastAsia="MS Mincho" w:hAnsi="Palatino Linotype" w:cs="Arial"/>
          <w:i/>
          <w:lang w:eastAsia="es-ES"/>
        </w:rPr>
      </w:pPr>
    </w:p>
    <w:p w:rsidR="002055CA" w:rsidRPr="00E071F9" w:rsidRDefault="002055CA" w:rsidP="002055CA">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E071F9">
        <w:rPr>
          <w:rFonts w:ascii="Palatino Linotype" w:eastAsia="MS Mincho" w:hAnsi="Palatino Linotype" w:cs="Arial"/>
          <w:lang w:eastAsia="es-ES"/>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2055CA" w:rsidRPr="00E071F9" w:rsidRDefault="002055CA" w:rsidP="002055CA">
      <w:pPr>
        <w:pStyle w:val="Prrafodelista"/>
        <w:spacing w:before="240" w:after="240" w:line="360" w:lineRule="auto"/>
        <w:ind w:left="0" w:right="48"/>
        <w:jc w:val="both"/>
        <w:rPr>
          <w:rFonts w:ascii="Palatino Linotype" w:eastAsia="MS Mincho" w:hAnsi="Palatino Linotype" w:cs="Arial"/>
          <w:lang w:eastAsia="es-ES"/>
        </w:rPr>
      </w:pPr>
    </w:p>
    <w:p w:rsidR="002055CA" w:rsidRPr="00E071F9" w:rsidRDefault="002055CA" w:rsidP="002055CA">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E071F9">
        <w:rPr>
          <w:rFonts w:ascii="Palatino Linotype" w:eastAsia="MS Mincho" w:hAnsi="Palatino Linotype" w:cs="Arial"/>
          <w:lang w:eastAsia="es-ES"/>
        </w:rPr>
        <w:t>Atento a ello, es importante traer a contexto la Tesis Jurisprudencial Número 3ª./J.7/91, Publicada en el Semanario Judicial de la Federación y su Gaceta bajo el número de registro 174,177, que establece lo siguiente:</w:t>
      </w:r>
    </w:p>
    <w:p w:rsidR="002055CA" w:rsidRPr="00E071F9" w:rsidRDefault="002055CA" w:rsidP="002055CA">
      <w:pPr>
        <w:pStyle w:val="Prrafodelista"/>
        <w:spacing w:before="240" w:after="240" w:line="360" w:lineRule="auto"/>
        <w:ind w:left="0" w:right="48"/>
        <w:jc w:val="both"/>
        <w:rPr>
          <w:rFonts w:ascii="Palatino Linotype" w:eastAsia="MS Mincho" w:hAnsi="Palatino Linotype" w:cs="Arial"/>
          <w:lang w:eastAsia="es-ES"/>
        </w:rPr>
      </w:pPr>
    </w:p>
    <w:p w:rsidR="002055CA" w:rsidRPr="00E071F9" w:rsidRDefault="002055CA" w:rsidP="002055CA">
      <w:pPr>
        <w:pStyle w:val="Prrafodelista"/>
        <w:spacing w:before="240" w:after="240" w:line="360" w:lineRule="auto"/>
        <w:ind w:left="851" w:right="822"/>
        <w:jc w:val="both"/>
        <w:rPr>
          <w:rFonts w:ascii="Palatino Linotype" w:eastAsia="MS Mincho" w:hAnsi="Palatino Linotype" w:cs="Arial"/>
          <w:i/>
          <w:lang w:eastAsia="es-ES"/>
        </w:rPr>
      </w:pPr>
      <w:r w:rsidRPr="00E071F9">
        <w:rPr>
          <w:rFonts w:ascii="Palatino Linotype" w:eastAsia="MS Mincho" w:hAnsi="Palatino Linotype" w:cs="Arial"/>
          <w:i/>
          <w:lang w:eastAsia="es-ES"/>
        </w:rPr>
        <w:t>“REVISIÓN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2055CA" w:rsidRPr="00E071F9" w:rsidRDefault="002055CA" w:rsidP="002055CA">
      <w:pPr>
        <w:numPr>
          <w:ilvl w:val="0"/>
          <w:numId w:val="2"/>
        </w:numPr>
        <w:spacing w:line="360" w:lineRule="auto"/>
        <w:ind w:left="0" w:right="49" w:firstLine="0"/>
        <w:contextualSpacing/>
        <w:jc w:val="both"/>
        <w:rPr>
          <w:rFonts w:ascii="Palatino Linotype" w:eastAsiaTheme="minorEastAsia" w:hAnsi="Palatino Linotype"/>
          <w:lang w:val="es-ES_tradnl" w:eastAsia="es-ES"/>
        </w:rPr>
      </w:pPr>
      <w:r w:rsidRPr="00E071F9">
        <w:rPr>
          <w:rFonts w:ascii="Palatino Linotype" w:hAnsi="Palatino Linotype" w:cs="Tahoma"/>
          <w:bCs/>
          <w:lang w:eastAsia="es-ES"/>
        </w:rPr>
        <w:lastRenderedPageBreak/>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r w:rsidRPr="00E071F9">
        <w:rPr>
          <w:rFonts w:ascii="Palatino Linotype" w:eastAsiaTheme="minorEastAsia" w:hAnsi="Palatino Linotype"/>
          <w:lang w:val="es-ES_tradnl" w:eastAsia="es-ES"/>
        </w:rPr>
        <w:t>E</w:t>
      </w:r>
      <w:r w:rsidRPr="00E071F9">
        <w:rPr>
          <w:rFonts w:ascii="Palatino Linotype" w:hAnsi="Palatino Linotype" w:cs="Tahoma"/>
          <w:bCs/>
          <w:iCs/>
          <w:lang w:eastAsia="es-ES"/>
        </w:rPr>
        <w:t xml:space="preserve">n este contexto, se hará pronunciamiento, únicamente por los expedientes de personal y los recibos de nómina. </w:t>
      </w:r>
    </w:p>
    <w:p w:rsidR="002055CA" w:rsidRPr="00E071F9" w:rsidRDefault="002055CA" w:rsidP="002055CA">
      <w:pPr>
        <w:pStyle w:val="Prrafodelista"/>
        <w:spacing w:line="360" w:lineRule="auto"/>
        <w:ind w:left="0"/>
        <w:jc w:val="both"/>
        <w:rPr>
          <w:rFonts w:ascii="Palatino Linotype" w:hAnsi="Palatino Linotype"/>
        </w:rPr>
      </w:pPr>
    </w:p>
    <w:p w:rsidR="002055CA" w:rsidRPr="00E071F9" w:rsidRDefault="002055CA" w:rsidP="002055CA">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E071F9">
        <w:rPr>
          <w:rFonts w:ascii="Palatino Linotype" w:eastAsia="Palatino Linotype" w:hAnsi="Palatino Linotype" w:cs="Palatino Linotype"/>
          <w:b/>
          <w:bCs/>
          <w:color w:val="000000"/>
        </w:rPr>
        <w:t>De la búsqueda exhaustiva.</w:t>
      </w: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E071F9">
        <w:rPr>
          <w:rFonts w:ascii="Palatino Linotype" w:eastAsia="Palatino Linotype" w:hAnsi="Palatino Linotype" w:cs="Palatino Linotype"/>
          <w:i/>
          <w:iCs/>
          <w:color w:val="000000"/>
        </w:rPr>
        <w:t xml:space="preserve">en el ámbito de sus atribuciones, de promover, respetar, proteger y </w:t>
      </w:r>
      <w:r w:rsidRPr="00E071F9">
        <w:rPr>
          <w:rFonts w:ascii="Palatino Linotype" w:eastAsia="Palatino Linotype" w:hAnsi="Palatino Linotype" w:cs="Palatino Linotype"/>
          <w:b/>
          <w:bCs/>
          <w:i/>
          <w:iCs/>
          <w:color w:val="000000"/>
        </w:rPr>
        <w:t>garantizar</w:t>
      </w:r>
      <w:r w:rsidRPr="00E071F9">
        <w:rPr>
          <w:rFonts w:ascii="Palatino Linotype" w:eastAsia="Palatino Linotype" w:hAnsi="Palatino Linotype" w:cs="Palatino Linotype"/>
          <w:i/>
          <w:iCs/>
          <w:color w:val="000000"/>
        </w:rPr>
        <w:t xml:space="preserve"> los derechos humanos. </w:t>
      </w:r>
      <w:r w:rsidRPr="00E071F9">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sidRPr="00E071F9">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E071F9">
        <w:rPr>
          <w:i/>
          <w:iCs/>
          <w:color w:val="000000"/>
          <w:vertAlign w:val="superscript"/>
        </w:rPr>
        <w:footnoteReference w:id="1"/>
      </w:r>
      <w:r w:rsidRPr="00E071F9">
        <w:rPr>
          <w:rFonts w:ascii="Palatino Linotype" w:eastAsia="Palatino Linotype" w:hAnsi="Palatino Linotype" w:cs="Palatino Linotype"/>
          <w:i/>
          <w:iCs/>
          <w:color w:val="000000"/>
        </w:rPr>
        <w:t xml:space="preserve">, </w:t>
      </w:r>
      <w:r w:rsidRPr="00E071F9">
        <w:rPr>
          <w:rFonts w:ascii="Palatino Linotype" w:eastAsia="Palatino Linotype" w:hAnsi="Palatino Linotype" w:cs="Palatino Linotype"/>
          <w:color w:val="000000"/>
        </w:rPr>
        <w:t>asimismo establece</w:t>
      </w:r>
      <w:r w:rsidRPr="00E071F9">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2055CA" w:rsidRPr="00E071F9" w:rsidRDefault="002055CA" w:rsidP="002055CA">
      <w:pPr>
        <w:pBdr>
          <w:top w:val="nil"/>
          <w:left w:val="nil"/>
          <w:bottom w:val="nil"/>
          <w:right w:val="nil"/>
          <w:between w:val="nil"/>
        </w:pBdr>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w:t>
      </w:r>
      <w:r w:rsidRPr="00E071F9">
        <w:rPr>
          <w:rFonts w:ascii="Palatino Linotype" w:eastAsia="Palatino Linotype" w:hAnsi="Palatino Linotype" w:cs="Palatino Linotype"/>
          <w:color w:val="000000"/>
        </w:rPr>
        <w:lastRenderedPageBreak/>
        <w:t>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2055CA" w:rsidRPr="00E071F9" w:rsidRDefault="002055CA" w:rsidP="002055CA">
      <w:pPr>
        <w:pBdr>
          <w:top w:val="nil"/>
          <w:left w:val="nil"/>
          <w:bottom w:val="nil"/>
          <w:right w:val="nil"/>
          <w:between w:val="nil"/>
        </w:pBdr>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Es así que, su obligación es </w:t>
      </w:r>
      <w:r w:rsidRPr="00E071F9">
        <w:rPr>
          <w:rFonts w:ascii="Palatino Linotype" w:eastAsia="Palatino Linotype" w:hAnsi="Palatino Linotype" w:cs="Palatino Linotype"/>
          <w:i/>
          <w:iCs/>
          <w:color w:val="000000"/>
        </w:rPr>
        <w:t>realizar, con efectividad, los trámites internos necesarios para la atención de las solicitudes de información</w:t>
      </w:r>
      <w:r w:rsidRPr="00E071F9">
        <w:rPr>
          <w:color w:val="000000"/>
          <w:vertAlign w:val="superscript"/>
        </w:rPr>
        <w:footnoteReference w:id="2"/>
      </w:r>
      <w:r w:rsidRPr="00E071F9">
        <w:rPr>
          <w:rFonts w:ascii="Palatino Linotype" w:eastAsia="Palatino Linotype" w:hAnsi="Palatino Linotype" w:cs="Palatino Linotype"/>
          <w:color w:val="000000"/>
        </w:rPr>
        <w:t>, es decir, deben otorgar respuestas concisas, contundentes y sobre todo que den la certeza de los actos que realizan.</w:t>
      </w:r>
    </w:p>
    <w:p w:rsidR="002055CA" w:rsidRPr="00E071F9" w:rsidRDefault="002055CA" w:rsidP="002055CA">
      <w:pPr>
        <w:pBdr>
          <w:top w:val="nil"/>
          <w:left w:val="nil"/>
          <w:bottom w:val="nil"/>
          <w:right w:val="nil"/>
          <w:between w:val="nil"/>
        </w:pBdr>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 xml:space="preserve">Artículo 50. </w:t>
      </w:r>
      <w:r w:rsidRPr="00E071F9">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2055CA" w:rsidRPr="00E071F9" w:rsidRDefault="002055CA" w:rsidP="002055CA">
      <w:pPr>
        <w:ind w:left="567" w:right="616"/>
        <w:jc w:val="both"/>
        <w:rPr>
          <w:rFonts w:ascii="Palatino Linotype" w:eastAsia="Palatino Linotype" w:hAnsi="Palatino Linotype" w:cs="Palatino Linotype"/>
          <w:i/>
          <w:iCs/>
        </w:rPr>
      </w:pP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 xml:space="preserve">Artículo 53. </w:t>
      </w:r>
      <w:r w:rsidRPr="00E071F9">
        <w:rPr>
          <w:rFonts w:ascii="Palatino Linotype" w:eastAsia="Palatino Linotype" w:hAnsi="Palatino Linotype" w:cs="Palatino Linotype"/>
          <w:i/>
          <w:iCs/>
        </w:rPr>
        <w:t>Las Unidades de Transparencia tendrán las siguientes funciones:</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i/>
          <w:iCs/>
        </w:rPr>
        <w:t>(…)</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II.</w:t>
      </w:r>
      <w:r w:rsidRPr="00E071F9">
        <w:rPr>
          <w:rFonts w:ascii="Palatino Linotype" w:eastAsia="Palatino Linotype" w:hAnsi="Palatino Linotype" w:cs="Palatino Linotype"/>
          <w:i/>
          <w:iCs/>
        </w:rPr>
        <w:t xml:space="preserve"> Recibir, tramitar y dar respuesta a las solicitudes de acceso a la información;</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i/>
          <w:iCs/>
        </w:rPr>
        <w:t>(…)</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IV.</w:t>
      </w:r>
      <w:r w:rsidRPr="00E071F9">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V.</w:t>
      </w:r>
      <w:r w:rsidRPr="00E071F9">
        <w:rPr>
          <w:rFonts w:ascii="Palatino Linotype" w:eastAsia="Palatino Linotype" w:hAnsi="Palatino Linotype" w:cs="Palatino Linotype"/>
          <w:i/>
          <w:iCs/>
        </w:rPr>
        <w:t xml:space="preserve"> Entregar, en su caso, a los particulares la información solicitada;</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i/>
          <w:iCs/>
        </w:rPr>
        <w:t>(…)</w:t>
      </w:r>
    </w:p>
    <w:p w:rsidR="002055CA" w:rsidRPr="00E071F9" w:rsidRDefault="002055CA" w:rsidP="002055CA">
      <w:pPr>
        <w:ind w:left="567" w:right="616"/>
        <w:jc w:val="both"/>
        <w:rPr>
          <w:rFonts w:ascii="Palatino Linotype" w:eastAsia="Palatino Linotype" w:hAnsi="Palatino Linotype" w:cs="Palatino Linotype"/>
          <w:i/>
          <w:iCs/>
        </w:rPr>
      </w:pP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 xml:space="preserve">Artículo 58. </w:t>
      </w:r>
      <w:r w:rsidRPr="00E071F9">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2055CA" w:rsidRPr="00E071F9" w:rsidRDefault="002055CA" w:rsidP="002055CA">
      <w:pPr>
        <w:ind w:left="567" w:right="616"/>
        <w:jc w:val="both"/>
        <w:rPr>
          <w:rFonts w:ascii="Palatino Linotype" w:eastAsia="Palatino Linotype" w:hAnsi="Palatino Linotype" w:cs="Palatino Linotype"/>
          <w:i/>
          <w:iCs/>
        </w:rPr>
      </w:pP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lastRenderedPageBreak/>
        <w:t xml:space="preserve">Artículo 59. </w:t>
      </w:r>
      <w:r w:rsidRPr="00E071F9">
        <w:rPr>
          <w:rFonts w:ascii="Palatino Linotype" w:eastAsia="Palatino Linotype" w:hAnsi="Palatino Linotype" w:cs="Palatino Linotype"/>
          <w:i/>
          <w:iCs/>
        </w:rPr>
        <w:t>Los servidores públicos habilitados tendrán las funciones siguientes:</w:t>
      </w:r>
    </w:p>
    <w:p w:rsidR="002055CA" w:rsidRPr="00E071F9" w:rsidRDefault="002055CA" w:rsidP="002055CA">
      <w:pPr>
        <w:ind w:left="567" w:right="616"/>
        <w:jc w:val="both"/>
        <w:rPr>
          <w:rFonts w:ascii="Palatino Linotype" w:eastAsia="Palatino Linotype" w:hAnsi="Palatino Linotype" w:cs="Palatino Linotype"/>
          <w:i/>
          <w:iCs/>
        </w:rPr>
      </w:pP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I.</w:t>
      </w:r>
      <w:r w:rsidRPr="00E071F9">
        <w:rPr>
          <w:rFonts w:ascii="Palatino Linotype" w:eastAsia="Palatino Linotype" w:hAnsi="Palatino Linotype" w:cs="Palatino Linotype"/>
          <w:i/>
          <w:iCs/>
        </w:rPr>
        <w:t xml:space="preserve"> Localizar la información que le solicite la Unidad de Transparencia;</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II.</w:t>
      </w:r>
      <w:r w:rsidRPr="00E071F9">
        <w:rPr>
          <w:rFonts w:ascii="Palatino Linotype" w:eastAsia="Palatino Linotype" w:hAnsi="Palatino Linotype" w:cs="Palatino Linotype"/>
          <w:i/>
          <w:iCs/>
        </w:rPr>
        <w:t xml:space="preserve"> Proporcionar la información que obre en los archivos y que le sea solicitada por la Unidad de Transparencia;</w:t>
      </w: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i/>
          <w:iCs/>
        </w:rPr>
        <w:t>(...)</w:t>
      </w:r>
    </w:p>
    <w:p w:rsidR="002055CA" w:rsidRPr="00E071F9" w:rsidRDefault="002055CA" w:rsidP="002055CA">
      <w:pPr>
        <w:ind w:left="567" w:right="616"/>
        <w:jc w:val="both"/>
        <w:rPr>
          <w:rFonts w:ascii="Palatino Linotype" w:eastAsia="Palatino Linotype" w:hAnsi="Palatino Linotype" w:cs="Palatino Linotype"/>
          <w:i/>
          <w:iCs/>
        </w:rPr>
      </w:pPr>
    </w:p>
    <w:p w:rsidR="002055CA" w:rsidRPr="00E071F9" w:rsidRDefault="002055CA" w:rsidP="002055CA">
      <w:pPr>
        <w:ind w:left="567" w:right="616"/>
        <w:jc w:val="both"/>
        <w:rPr>
          <w:rFonts w:ascii="Palatino Linotype" w:eastAsia="Palatino Linotype" w:hAnsi="Palatino Linotype" w:cs="Palatino Linotype"/>
          <w:i/>
          <w:iCs/>
        </w:rPr>
      </w:pPr>
      <w:r w:rsidRPr="00E071F9">
        <w:rPr>
          <w:rFonts w:ascii="Palatino Linotype" w:eastAsia="Palatino Linotype" w:hAnsi="Palatino Linotype" w:cs="Palatino Linotype"/>
          <w:b/>
          <w:bCs/>
          <w:i/>
          <w:iCs/>
        </w:rPr>
        <w:t xml:space="preserve">Artículo 162. </w:t>
      </w:r>
      <w:r w:rsidRPr="00E071F9">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B4A28" w:rsidRPr="00E071F9" w:rsidRDefault="002055CA" w:rsidP="000B4A2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la respuesta fue emitida por la Dirección de </w:t>
      </w:r>
      <w:r w:rsidRPr="00E071F9">
        <w:rPr>
          <w:rFonts w:ascii="Palatino Linotype" w:eastAsia="Palatino Linotype" w:hAnsi="Palatino Linotype" w:cs="Palatino Linotype"/>
          <w:color w:val="000000"/>
        </w:rPr>
        <w:lastRenderedPageBreak/>
        <w:t xml:space="preserve">Administración, </w:t>
      </w:r>
      <w:r w:rsidR="002361F5" w:rsidRPr="00E071F9">
        <w:rPr>
          <w:rFonts w:ascii="Palatino Linotype" w:eastAsia="Palatino Linotype" w:hAnsi="Palatino Linotype" w:cs="Palatino Linotype"/>
          <w:color w:val="000000"/>
        </w:rPr>
        <w:t xml:space="preserve">quien tiene facultades para conocer de la información solicitada, pues es el área encargada de la administración del personal, sin embargo, recordemos que señaló que no se encontró registro de la persona referida. Por otro lado, el Subdirector de Concursos y Contratos, señaló las funciones de la persona referida, por lo tanto, se puede deducir que si es un servidor público adscrito a la Comisión del Agua del Estado de México. </w:t>
      </w:r>
    </w:p>
    <w:p w:rsidR="000B4A28" w:rsidRPr="00E071F9" w:rsidRDefault="000B4A28" w:rsidP="000B4A28">
      <w:pPr>
        <w:pStyle w:val="Prrafodelista"/>
        <w:rPr>
          <w:rFonts w:ascii="Palatino Linotype" w:eastAsia="Palatino Linotype" w:hAnsi="Palatino Linotype" w:cs="Palatino Linotype"/>
          <w:color w:val="000000"/>
        </w:rPr>
      </w:pPr>
    </w:p>
    <w:p w:rsidR="002055CA" w:rsidRPr="00E071F9" w:rsidRDefault="000B4A28" w:rsidP="000B4A2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Ahora bien, respecto a las remuneraciones</w:t>
      </w:r>
      <w:r w:rsidR="002055CA" w:rsidRPr="00E071F9">
        <w:rPr>
          <w:rFonts w:ascii="Palatino Linotype" w:eastAsia="Palatino Linotype" w:hAnsi="Palatino Linotype" w:cs="Palatino Linotype"/>
          <w:color w:val="000000"/>
        </w:rPr>
        <w:t xml:space="preserve"> es necesario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2055CA" w:rsidRPr="00E071F9" w:rsidRDefault="002055CA" w:rsidP="002055CA">
      <w:pPr>
        <w:spacing w:before="240"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b/>
          <w:i/>
        </w:rPr>
        <w:t xml:space="preserve">“NÓMINA </w:t>
      </w:r>
      <w:r w:rsidRPr="00E071F9">
        <w:rPr>
          <w:rFonts w:ascii="Palatino Linotype" w:eastAsia="Palatino Linotype" w:hAnsi="Palatino Linotype" w:cs="Palatino Linotype"/>
          <w:i/>
        </w:rPr>
        <w:t>Listado general de los trabajadores de una institución, en</w:t>
      </w:r>
      <w:r w:rsidRPr="00E071F9">
        <w:rPr>
          <w:rFonts w:ascii="Palatino Linotype" w:eastAsia="Palatino Linotype" w:hAnsi="Palatino Linotype" w:cs="Palatino Linotype"/>
          <w:b/>
          <w:i/>
        </w:rPr>
        <w:t xml:space="preserve"> </w:t>
      </w:r>
      <w:r w:rsidRPr="00E071F9">
        <w:rPr>
          <w:rFonts w:ascii="Palatino Linotype" w:eastAsia="Palatino Linotype" w:hAnsi="Palatino Linotype" w:cs="Palatino Linotype"/>
          <w:i/>
        </w:rPr>
        <w:t>el cual se asientan las percepciones brutas, deducciones y</w:t>
      </w:r>
      <w:r w:rsidRPr="00E071F9">
        <w:rPr>
          <w:rFonts w:ascii="Palatino Linotype" w:eastAsia="Palatino Linotype" w:hAnsi="Palatino Linotype" w:cs="Palatino Linotype"/>
          <w:b/>
          <w:i/>
        </w:rPr>
        <w:t xml:space="preserve"> </w:t>
      </w:r>
      <w:r w:rsidRPr="00E071F9">
        <w:rPr>
          <w:rFonts w:ascii="Palatino Linotype" w:eastAsia="Palatino Linotype" w:hAnsi="Palatino Linotype" w:cs="Palatino Linotype"/>
          <w:i/>
        </w:rPr>
        <w:t>alcance neto de las mismas; la nómina es utilizada para</w:t>
      </w:r>
      <w:r w:rsidRPr="00E071F9">
        <w:rPr>
          <w:rFonts w:ascii="Palatino Linotype" w:eastAsia="Palatino Linotype" w:hAnsi="Palatino Linotype" w:cs="Palatino Linotype"/>
          <w:b/>
          <w:i/>
        </w:rPr>
        <w:t xml:space="preserve"> </w:t>
      </w:r>
      <w:r w:rsidRPr="00E071F9">
        <w:rPr>
          <w:rFonts w:ascii="Palatino Linotype" w:eastAsia="Palatino Linotype" w:hAnsi="Palatino Linotype" w:cs="Palatino Linotype"/>
          <w:i/>
        </w:rPr>
        <w:t>efectuar los pagos periódicos (semanales, quincenales o</w:t>
      </w:r>
      <w:r w:rsidRPr="00E071F9">
        <w:rPr>
          <w:rFonts w:ascii="Palatino Linotype" w:eastAsia="Palatino Linotype" w:hAnsi="Palatino Linotype" w:cs="Palatino Linotype"/>
          <w:b/>
          <w:i/>
        </w:rPr>
        <w:t xml:space="preserve"> </w:t>
      </w:r>
      <w:r w:rsidRPr="00E071F9">
        <w:rPr>
          <w:rFonts w:ascii="Palatino Linotype" w:eastAsia="Palatino Linotype" w:hAnsi="Palatino Linotype" w:cs="Palatino Linotype"/>
          <w:i/>
        </w:rPr>
        <w:t>mensuales) a los trabajadores por concepto de sueldos y</w:t>
      </w:r>
      <w:r w:rsidRPr="00E071F9">
        <w:rPr>
          <w:rFonts w:ascii="Palatino Linotype" w:eastAsia="Palatino Linotype" w:hAnsi="Palatino Linotype" w:cs="Palatino Linotype"/>
          <w:b/>
          <w:i/>
        </w:rPr>
        <w:t xml:space="preserve"> </w:t>
      </w:r>
      <w:r w:rsidRPr="00E071F9">
        <w:rPr>
          <w:rFonts w:ascii="Palatino Linotype" w:eastAsia="Palatino Linotype" w:hAnsi="Palatino Linotype" w:cs="Palatino Linotype"/>
          <w:i/>
        </w:rPr>
        <w:t>salarios.”(Sic)</w:t>
      </w:r>
    </w:p>
    <w:p w:rsidR="002055CA" w:rsidRPr="00E071F9" w:rsidRDefault="002055CA" w:rsidP="002055CA">
      <w:pPr>
        <w:spacing w:line="360" w:lineRule="auto"/>
        <w:ind w:right="-876"/>
        <w:jc w:val="both"/>
        <w:rPr>
          <w:rFonts w:ascii="Palatino Linotype" w:eastAsia="Palatino Linotype" w:hAnsi="Palatino Linotype" w:cs="Palatino Linotype"/>
        </w:rPr>
      </w:pPr>
    </w:p>
    <w:p w:rsidR="002055CA" w:rsidRPr="00E071F9" w:rsidRDefault="002055CA" w:rsidP="002055CA">
      <w:pPr>
        <w:numPr>
          <w:ilvl w:val="0"/>
          <w:numId w:val="2"/>
        </w:numPr>
        <w:pBdr>
          <w:top w:val="nil"/>
          <w:left w:val="nil"/>
          <w:bottom w:val="nil"/>
          <w:right w:val="nil"/>
          <w:between w:val="nil"/>
        </w:pBdr>
        <w:spacing w:line="360" w:lineRule="auto"/>
        <w:ind w:left="0" w:right="-167" w:firstLine="0"/>
        <w:jc w:val="both"/>
        <w:rPr>
          <w:rFonts w:ascii="Palatino Linotype" w:eastAsia="Century Gothic" w:hAnsi="Palatino Linotype" w:cs="Century Gothic"/>
          <w:color w:val="000000"/>
        </w:rPr>
      </w:pPr>
      <w:r w:rsidRPr="00E071F9">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2055CA" w:rsidRPr="00E071F9" w:rsidRDefault="002055CA" w:rsidP="002055CA">
      <w:pPr>
        <w:pBdr>
          <w:top w:val="nil"/>
          <w:left w:val="nil"/>
          <w:bottom w:val="nil"/>
          <w:right w:val="nil"/>
          <w:between w:val="nil"/>
        </w:pBdr>
        <w:spacing w:line="360" w:lineRule="auto"/>
        <w:ind w:right="-167"/>
        <w:jc w:val="both"/>
        <w:rPr>
          <w:rFonts w:ascii="Palatino Linotype" w:eastAsia="Century Gothic" w:hAnsi="Palatino Linotype" w:cs="Century Gothic"/>
          <w:color w:val="000000"/>
        </w:rPr>
      </w:pP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t>“</w:t>
      </w:r>
      <w:r w:rsidRPr="00E071F9">
        <w:rPr>
          <w:rFonts w:ascii="Palatino Linotype" w:eastAsia="Palatino Linotype" w:hAnsi="Palatino Linotype" w:cs="Palatino Linotype"/>
          <w:b/>
          <w:i/>
        </w:rPr>
        <w:t>Artículo 804.-</w:t>
      </w:r>
      <w:r w:rsidRPr="00E071F9">
        <w:rPr>
          <w:rFonts w:ascii="Palatino Linotype" w:eastAsia="Palatino Linotype" w:hAnsi="Palatino Linotype" w:cs="Palatino Linotype"/>
          <w:i/>
        </w:rPr>
        <w:t xml:space="preserve"> </w:t>
      </w:r>
      <w:r w:rsidRPr="00E071F9">
        <w:rPr>
          <w:rFonts w:ascii="Palatino Linotype" w:eastAsia="Palatino Linotype" w:hAnsi="Palatino Linotype" w:cs="Palatino Linotype"/>
          <w:b/>
          <w:i/>
        </w:rPr>
        <w:t>El patrón tiene obligación de conservar y exhibir en juicio los documentos que a continuación se precisan</w:t>
      </w:r>
      <w:r w:rsidRPr="00E071F9">
        <w:rPr>
          <w:rFonts w:ascii="Palatino Linotype" w:eastAsia="Palatino Linotype" w:hAnsi="Palatino Linotype" w:cs="Palatino Linotype"/>
          <w:i/>
        </w:rPr>
        <w:t>:</w:t>
      </w:r>
    </w:p>
    <w:p w:rsidR="002055CA" w:rsidRPr="00E071F9" w:rsidRDefault="002055CA" w:rsidP="002055CA">
      <w:pPr>
        <w:spacing w:line="276" w:lineRule="auto"/>
        <w:ind w:left="851" w:right="822"/>
        <w:jc w:val="both"/>
        <w:rPr>
          <w:rFonts w:ascii="Palatino Linotype" w:eastAsia="Palatino Linotype" w:hAnsi="Palatino Linotype" w:cs="Palatino Linotype"/>
          <w:i/>
        </w:rPr>
      </w:pP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b/>
          <w:i/>
        </w:rPr>
        <w:t>II.</w:t>
      </w:r>
      <w:r w:rsidRPr="00E071F9">
        <w:rPr>
          <w:rFonts w:ascii="Palatino Linotype" w:eastAsia="Palatino Linotype" w:hAnsi="Palatino Linotype" w:cs="Palatino Linotype"/>
          <w:i/>
        </w:rPr>
        <w:t xml:space="preserve"> Listas de raya</w:t>
      </w:r>
      <w:r w:rsidRPr="00E071F9">
        <w:rPr>
          <w:rFonts w:ascii="Palatino Linotype" w:eastAsia="Palatino Linotype" w:hAnsi="Palatino Linotype" w:cs="Palatino Linotype"/>
          <w:b/>
          <w:i/>
        </w:rPr>
        <w:t xml:space="preserve"> o nómina de personal</w:t>
      </w:r>
      <w:r w:rsidRPr="00E071F9">
        <w:rPr>
          <w:rFonts w:ascii="Palatino Linotype" w:eastAsia="Palatino Linotype" w:hAnsi="Palatino Linotype" w:cs="Palatino Linotype"/>
          <w:i/>
        </w:rPr>
        <w:t xml:space="preserve">, cuando se lleven en el centro de trabajo; o recibos de pagos de salarios; </w:t>
      </w: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t>(…)</w:t>
      </w: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E071F9">
        <w:rPr>
          <w:rFonts w:ascii="Palatino Linotype" w:eastAsia="Palatino Linotype" w:hAnsi="Palatino Linotype" w:cs="Palatino Linotype"/>
          <w:b/>
          <w:i/>
        </w:rPr>
        <w:t>los señalados en las fracciones II, III y IV, durante el último año y un año después de que se extinga la relación laboral</w:t>
      </w:r>
      <w:r w:rsidRPr="00E071F9">
        <w:rPr>
          <w:rFonts w:ascii="Palatino Linotype" w:eastAsia="Palatino Linotype" w:hAnsi="Palatino Linotype" w:cs="Palatino Linotype"/>
          <w:i/>
        </w:rPr>
        <w:t>; y los mencionados en la fracción V, conforme lo señalen las Leyes que los rijan.” (Sic)</w:t>
      </w:r>
    </w:p>
    <w:p w:rsidR="000B4A28" w:rsidRPr="00E071F9" w:rsidRDefault="000B4A28" w:rsidP="002055CA">
      <w:pPr>
        <w:spacing w:line="276" w:lineRule="auto"/>
        <w:ind w:left="851" w:right="822"/>
        <w:jc w:val="both"/>
        <w:rPr>
          <w:rFonts w:ascii="Palatino Linotype" w:eastAsia="Palatino Linotype" w:hAnsi="Palatino Linotype" w:cs="Palatino Linotype"/>
          <w:i/>
        </w:rPr>
      </w:pPr>
    </w:p>
    <w:p w:rsidR="002055CA" w:rsidRPr="00E071F9" w:rsidRDefault="002055CA" w:rsidP="002055C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r w:rsidRPr="00E071F9">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2055CA" w:rsidRPr="00E071F9" w:rsidRDefault="002055CA" w:rsidP="002055CA">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spacing w:after="240" w:line="360" w:lineRule="auto"/>
        <w:ind w:left="0" w:right="-28" w:firstLine="0"/>
        <w:jc w:val="both"/>
        <w:rPr>
          <w:rFonts w:ascii="Palatino Linotype" w:hAnsi="Palatino Linotype"/>
          <w:color w:val="000000"/>
        </w:rPr>
      </w:pPr>
      <w:r w:rsidRPr="00E071F9">
        <w:rPr>
          <w:rFonts w:ascii="Palatino Linotype" w:eastAsia="Palatino Linotype" w:hAnsi="Palatino Linotype" w:cs="Palatino Linotype"/>
          <w:color w:val="000000"/>
        </w:rPr>
        <w:t>En ese contexto, tratándose de servidores públicos de los Municipios la Ley del Trabajo de los Servidores Públicos del Estado y Municipios, en su artículo 220-K, establece lo siguiente:</w:t>
      </w:r>
    </w:p>
    <w:p w:rsidR="002055CA" w:rsidRPr="00E071F9" w:rsidRDefault="002055CA" w:rsidP="002055CA">
      <w:pPr>
        <w:spacing w:before="240"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b/>
          <w:i/>
        </w:rPr>
        <w:t>“ARTÍCULO 220 K.-</w:t>
      </w:r>
      <w:r w:rsidRPr="00E071F9">
        <w:rPr>
          <w:rFonts w:ascii="Palatino Linotype" w:eastAsia="Palatino Linotype" w:hAnsi="Palatino Linotype" w:cs="Palatino Linotype"/>
          <w:i/>
        </w:rPr>
        <w:t xml:space="preserve"> La </w:t>
      </w:r>
      <w:r w:rsidRPr="00E071F9">
        <w:rPr>
          <w:rFonts w:ascii="Palatino Linotype" w:eastAsia="Palatino Linotype" w:hAnsi="Palatino Linotype" w:cs="Palatino Linotype"/>
          <w:b/>
          <w:i/>
        </w:rPr>
        <w:t>institución o dependencia pública tiene la obligación de conservar y exhibir en el proceso los documentos que a continuación</w:t>
      </w:r>
      <w:r w:rsidRPr="00E071F9">
        <w:rPr>
          <w:rFonts w:ascii="Palatino Linotype" w:eastAsia="Palatino Linotype" w:hAnsi="Palatino Linotype" w:cs="Palatino Linotype"/>
          <w:i/>
        </w:rPr>
        <w:t xml:space="preserve"> </w:t>
      </w:r>
      <w:r w:rsidRPr="00E071F9">
        <w:rPr>
          <w:rFonts w:ascii="Palatino Linotype" w:eastAsia="Palatino Linotype" w:hAnsi="Palatino Linotype" w:cs="Palatino Linotype"/>
          <w:b/>
          <w:i/>
        </w:rPr>
        <w:t>se precisan</w:t>
      </w:r>
      <w:r w:rsidRPr="00E071F9">
        <w:rPr>
          <w:rFonts w:ascii="Palatino Linotype" w:eastAsia="Palatino Linotype" w:hAnsi="Palatino Linotype" w:cs="Palatino Linotype"/>
          <w:i/>
        </w:rPr>
        <w:t>:</w:t>
      </w: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t>…</w:t>
      </w:r>
    </w:p>
    <w:p w:rsidR="002055CA" w:rsidRPr="00E071F9" w:rsidRDefault="002055CA" w:rsidP="002055CA">
      <w:pPr>
        <w:spacing w:line="276" w:lineRule="auto"/>
        <w:ind w:left="851" w:right="822"/>
        <w:jc w:val="both"/>
        <w:rPr>
          <w:rFonts w:ascii="Palatino Linotype" w:eastAsia="Palatino Linotype" w:hAnsi="Palatino Linotype" w:cs="Palatino Linotype"/>
          <w:b/>
          <w:i/>
        </w:rPr>
      </w:pPr>
      <w:r w:rsidRPr="00E071F9">
        <w:rPr>
          <w:rFonts w:ascii="Palatino Linotype" w:eastAsia="Palatino Linotype" w:hAnsi="Palatino Linotype" w:cs="Palatino Linotype"/>
          <w:i/>
        </w:rPr>
        <w:t>II</w:t>
      </w:r>
      <w:r w:rsidRPr="00E071F9">
        <w:rPr>
          <w:rFonts w:ascii="Palatino Linotype" w:eastAsia="Palatino Linotype" w:hAnsi="Palatino Linotype" w:cs="Palatino Linotype"/>
          <w:i/>
          <w:u w:val="single"/>
        </w:rPr>
        <w:t xml:space="preserve">. </w:t>
      </w:r>
      <w:r w:rsidRPr="00E071F9">
        <w:rPr>
          <w:rFonts w:ascii="Palatino Linotype" w:eastAsia="Palatino Linotype" w:hAnsi="Palatino Linotype" w:cs="Palatino Linotype"/>
          <w:b/>
          <w:i/>
          <w:u w:val="single"/>
        </w:rPr>
        <w:t>Recibos de pagos de salarios o</w:t>
      </w:r>
      <w:r w:rsidRPr="00E071F9">
        <w:rPr>
          <w:rFonts w:ascii="Palatino Linotype" w:eastAsia="Palatino Linotype" w:hAnsi="Palatino Linotype" w:cs="Palatino Linotype"/>
          <w:i/>
          <w:u w:val="single"/>
        </w:rPr>
        <w:t xml:space="preserve"> </w:t>
      </w:r>
      <w:r w:rsidRPr="00E071F9">
        <w:rPr>
          <w:rFonts w:ascii="Palatino Linotype" w:eastAsia="Palatino Linotype" w:hAnsi="Palatino Linotype" w:cs="Palatino Linotype"/>
          <w:b/>
          <w:i/>
          <w:u w:val="single"/>
        </w:rPr>
        <w:t>las constancias documentales del pago de salario</w:t>
      </w:r>
      <w:r w:rsidRPr="00E071F9">
        <w:rPr>
          <w:rFonts w:ascii="Palatino Linotype" w:eastAsia="Palatino Linotype" w:hAnsi="Palatino Linotype" w:cs="Palatino Linotype"/>
          <w:i/>
          <w:u w:val="single"/>
        </w:rPr>
        <w:t xml:space="preserve"> </w:t>
      </w:r>
      <w:r w:rsidRPr="00E071F9">
        <w:rPr>
          <w:rFonts w:ascii="Palatino Linotype" w:eastAsia="Palatino Linotype" w:hAnsi="Palatino Linotype" w:cs="Palatino Linotype"/>
          <w:b/>
          <w:i/>
          <w:u w:val="single"/>
        </w:rPr>
        <w:t>cuando sea por depósito o mediante información electrónica;</w:t>
      </w: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t>…</w:t>
      </w: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2055CA" w:rsidRPr="00E071F9" w:rsidRDefault="002055CA" w:rsidP="002055CA">
      <w:pPr>
        <w:spacing w:line="276" w:lineRule="auto"/>
        <w:ind w:left="851" w:right="822"/>
        <w:jc w:val="both"/>
        <w:rPr>
          <w:rFonts w:ascii="Palatino Linotype" w:eastAsia="Palatino Linotype" w:hAnsi="Palatino Linotype" w:cs="Palatino Linotype"/>
          <w:i/>
        </w:rPr>
      </w:pPr>
      <w:r w:rsidRPr="00E071F9">
        <w:rPr>
          <w:rFonts w:ascii="Palatino Linotype" w:eastAsia="Palatino Linotype" w:hAnsi="Palatino Linotype" w:cs="Palatino Linotype"/>
          <w:i/>
        </w:rPr>
        <w:lastRenderedPageBreak/>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2055CA" w:rsidRPr="00E071F9" w:rsidRDefault="002055CA" w:rsidP="002055CA">
      <w:pPr>
        <w:tabs>
          <w:tab w:val="left" w:pos="9072"/>
        </w:tabs>
        <w:ind w:left="851" w:right="-876"/>
        <w:jc w:val="both"/>
        <w:rPr>
          <w:rFonts w:ascii="Palatino Linotype" w:eastAsia="Palatino Linotype" w:hAnsi="Palatino Linotype" w:cs="Palatino Linotype"/>
          <w:i/>
        </w:rPr>
      </w:pPr>
    </w:p>
    <w:p w:rsidR="002055CA" w:rsidRPr="00E071F9" w:rsidRDefault="002055CA" w:rsidP="002055CA">
      <w:pPr>
        <w:numPr>
          <w:ilvl w:val="0"/>
          <w:numId w:val="2"/>
        </w:numPr>
        <w:pBdr>
          <w:top w:val="nil"/>
          <w:left w:val="nil"/>
          <w:bottom w:val="nil"/>
          <w:right w:val="nil"/>
          <w:between w:val="nil"/>
        </w:pBdr>
        <w:spacing w:line="360" w:lineRule="auto"/>
        <w:ind w:left="0" w:right="113" w:firstLine="0"/>
        <w:jc w:val="both"/>
        <w:rPr>
          <w:rFonts w:ascii="Palatino Linotype" w:hAnsi="Palatino Linotype"/>
          <w:color w:val="000000"/>
        </w:rPr>
      </w:pPr>
      <w:r w:rsidRPr="00E071F9">
        <w:rPr>
          <w:rFonts w:ascii="Palatino Linotype" w:eastAsia="Palatino Linotype" w:hAnsi="Palatino Linotype" w:cs="Palatino Linotype"/>
          <w:color w:val="000000"/>
        </w:rPr>
        <w:t xml:space="preserve">Luego entonces, tenemos que toda institución o dependencia pública del Estado de México </w:t>
      </w:r>
      <w:r w:rsidRPr="00E071F9">
        <w:rPr>
          <w:rFonts w:ascii="Palatino Linotype" w:eastAsia="Palatino Linotype" w:hAnsi="Palatino Linotype" w:cs="Palatino Linotype"/>
          <w:color w:val="000000"/>
          <w:u w:val="single"/>
        </w:rPr>
        <w:t>debe conservar las constancias documentales del pago de salario cuando sea por depósito o mediante información electrónica</w:t>
      </w:r>
      <w:r w:rsidRPr="00E071F9">
        <w:rPr>
          <w:rFonts w:ascii="Palatino Linotype" w:eastAsia="Palatino Linotype" w:hAnsi="Palatino Linotype" w:cs="Palatino Linotype"/>
          <w:color w:val="000000"/>
        </w:rPr>
        <w:t xml:space="preserve">, debiendo conservar dicha documentación durante el último año y un año después de que se extinga la relación laboral a través de los sistemas de digitalización o de información magnética o electrónica, por lo tanto, es procedente ordenar la entrega de los recibos de nómina de los servidores públicos que integran la Dirección de la Mujer. </w:t>
      </w:r>
    </w:p>
    <w:p w:rsidR="002055CA" w:rsidRPr="00E071F9" w:rsidRDefault="002055CA" w:rsidP="002055CA">
      <w:pPr>
        <w:pBdr>
          <w:top w:val="nil"/>
          <w:left w:val="nil"/>
          <w:bottom w:val="nil"/>
          <w:right w:val="nil"/>
          <w:between w:val="nil"/>
        </w:pBdr>
        <w:spacing w:line="360" w:lineRule="auto"/>
        <w:ind w:right="113"/>
        <w:jc w:val="both"/>
        <w:rPr>
          <w:rFonts w:ascii="Palatino Linotype" w:hAnsi="Palatino Linotype"/>
          <w:color w:val="000000"/>
        </w:rPr>
      </w:pPr>
    </w:p>
    <w:p w:rsidR="002055CA" w:rsidRPr="00E071F9" w:rsidRDefault="002055CA" w:rsidP="002055CA">
      <w:pPr>
        <w:numPr>
          <w:ilvl w:val="0"/>
          <w:numId w:val="2"/>
        </w:numPr>
        <w:tabs>
          <w:tab w:val="left" w:pos="0"/>
        </w:tabs>
        <w:spacing w:after="240" w:line="360" w:lineRule="auto"/>
        <w:ind w:left="0" w:firstLine="0"/>
        <w:jc w:val="both"/>
        <w:rPr>
          <w:rFonts w:ascii="Palatino Linotype" w:hAnsi="Palatino Linotype"/>
        </w:rPr>
      </w:pPr>
      <w:r w:rsidRPr="00E071F9">
        <w:rPr>
          <w:rFonts w:ascii="Palatino Linotype" w:hAnsi="Palatino Linotype"/>
          <w:color w:val="000000" w:themeColor="text1"/>
        </w:rPr>
        <w:t xml:space="preserve">Asimismo, resulta necesario referir que, el </w:t>
      </w:r>
      <w:r w:rsidRPr="00E071F9">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E071F9">
        <w:rPr>
          <w:rFonts w:ascii="Palatino Linotype" w:eastAsia="Calibri" w:hAnsi="Palatino Linotype" w:cs="Arial"/>
          <w:b/>
        </w:rPr>
        <w:t>los Sujetos Obligados deberán documentar todo acto que se derive del ejercicio de sus facultades, competencias o funciones,</w:t>
      </w:r>
      <w:r w:rsidRPr="00E071F9">
        <w:rPr>
          <w:rFonts w:ascii="Palatino Linotype" w:eastAsia="Calibri" w:hAnsi="Palatino Linotype" w:cs="Arial"/>
        </w:rPr>
        <w:t xml:space="preserve"> considerando desde su origen la eventual publicidad y reutilización de la información que generen, posean o administren.</w:t>
      </w:r>
    </w:p>
    <w:p w:rsidR="002055CA" w:rsidRPr="00E071F9" w:rsidRDefault="002055CA" w:rsidP="002055CA">
      <w:pPr>
        <w:numPr>
          <w:ilvl w:val="0"/>
          <w:numId w:val="2"/>
        </w:numPr>
        <w:tabs>
          <w:tab w:val="left" w:pos="0"/>
        </w:tabs>
        <w:spacing w:after="240" w:line="360" w:lineRule="auto"/>
        <w:ind w:left="0" w:firstLine="0"/>
        <w:jc w:val="both"/>
        <w:rPr>
          <w:rFonts w:ascii="Palatino Linotype" w:hAnsi="Palatino Linotype"/>
        </w:rPr>
      </w:pPr>
      <w:r w:rsidRPr="00E071F9">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r w:rsidRPr="00E071F9">
        <w:rPr>
          <w:rFonts w:ascii="Palatino Linotype" w:hAnsi="Palatino Linotype" w:cs="Bookman Old Style,Bold"/>
          <w:b/>
          <w:bCs/>
          <w:i/>
        </w:rPr>
        <w:lastRenderedPageBreak/>
        <w:t xml:space="preserve">Artículo 4. </w:t>
      </w:r>
      <w:r w:rsidRPr="00E071F9">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r w:rsidRPr="00E071F9">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r w:rsidRPr="00E071F9">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2055CA" w:rsidRPr="00E071F9" w:rsidRDefault="002055CA" w:rsidP="002055CA">
      <w:pPr>
        <w:autoSpaceDE w:val="0"/>
        <w:autoSpaceDN w:val="0"/>
        <w:adjustRightInd w:val="0"/>
        <w:spacing w:line="276" w:lineRule="auto"/>
        <w:ind w:right="567"/>
        <w:jc w:val="both"/>
        <w:rPr>
          <w:rFonts w:ascii="Palatino Linotype" w:hAnsi="Palatino Linotype" w:cs="Arial"/>
          <w:i/>
          <w:color w:val="000000"/>
        </w:rPr>
      </w:pP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r w:rsidRPr="00E071F9">
        <w:rPr>
          <w:rFonts w:ascii="Palatino Linotype" w:hAnsi="Palatino Linotype" w:cs="Bookman Old Style,Bold"/>
          <w:b/>
          <w:bCs/>
          <w:i/>
        </w:rPr>
        <w:t xml:space="preserve">Artículo 12. </w:t>
      </w:r>
      <w:r w:rsidRPr="00E071F9">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p>
    <w:p w:rsidR="002055CA" w:rsidRPr="00E071F9" w:rsidRDefault="002055CA" w:rsidP="002055CA">
      <w:pPr>
        <w:autoSpaceDE w:val="0"/>
        <w:autoSpaceDN w:val="0"/>
        <w:adjustRightInd w:val="0"/>
        <w:spacing w:line="276" w:lineRule="auto"/>
        <w:ind w:left="567" w:right="567"/>
        <w:jc w:val="both"/>
        <w:rPr>
          <w:rFonts w:ascii="Palatino Linotype" w:hAnsi="Palatino Linotype" w:cs="Bookman Old Style"/>
          <w:i/>
        </w:rPr>
      </w:pPr>
      <w:r w:rsidRPr="00E071F9">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E071F9">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2055CA" w:rsidRPr="00E071F9" w:rsidRDefault="002055CA" w:rsidP="002055CA">
      <w:pPr>
        <w:autoSpaceDE w:val="0"/>
        <w:autoSpaceDN w:val="0"/>
        <w:adjustRightInd w:val="0"/>
        <w:spacing w:line="360" w:lineRule="auto"/>
        <w:ind w:left="567" w:right="567"/>
        <w:jc w:val="both"/>
        <w:rPr>
          <w:rFonts w:ascii="Palatino Linotype" w:hAnsi="Palatino Linotype" w:cs="Arial"/>
          <w:i/>
          <w:color w:val="000000"/>
        </w:rPr>
      </w:pPr>
    </w:p>
    <w:p w:rsidR="000B4A28" w:rsidRPr="00E071F9" w:rsidRDefault="002055CA" w:rsidP="000B4A28">
      <w:pPr>
        <w:pStyle w:val="Prrafodelista"/>
        <w:numPr>
          <w:ilvl w:val="0"/>
          <w:numId w:val="2"/>
        </w:numPr>
        <w:tabs>
          <w:tab w:val="left" w:pos="851"/>
        </w:tabs>
        <w:spacing w:line="360" w:lineRule="auto"/>
        <w:ind w:left="0" w:right="49" w:firstLine="0"/>
        <w:jc w:val="both"/>
        <w:rPr>
          <w:rFonts w:ascii="Palatino Linotype" w:hAnsi="Palatino Linotype"/>
        </w:rPr>
      </w:pPr>
      <w:r w:rsidRPr="00E071F9">
        <w:rPr>
          <w:rFonts w:ascii="Palatino Linotype" w:hAnsi="Palatino Linotype"/>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w:t>
      </w:r>
      <w:r w:rsidRPr="00E071F9">
        <w:rPr>
          <w:rFonts w:ascii="Palatino Linotype" w:hAnsi="Palatino Linotype"/>
        </w:rPr>
        <w:lastRenderedPageBreak/>
        <w:t>encuentre en su posesión en estricto apego a los principios de eficacia</w:t>
      </w:r>
      <w:r w:rsidRPr="00E071F9">
        <w:rPr>
          <w:rStyle w:val="Refdenotaalpie"/>
          <w:rFonts w:ascii="Palatino Linotype" w:hAnsi="Palatino Linotype"/>
        </w:rPr>
        <w:footnoteReference w:id="3"/>
      </w:r>
      <w:r w:rsidRPr="00E071F9">
        <w:rPr>
          <w:rFonts w:ascii="Palatino Linotype" w:hAnsi="Palatino Linotype"/>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B4A28" w:rsidRPr="00E071F9" w:rsidRDefault="000B4A28" w:rsidP="000B4A28">
      <w:pPr>
        <w:pStyle w:val="Prrafodelista"/>
        <w:tabs>
          <w:tab w:val="left" w:pos="851"/>
        </w:tabs>
        <w:spacing w:line="360" w:lineRule="auto"/>
        <w:ind w:left="0" w:right="49"/>
        <w:jc w:val="both"/>
        <w:rPr>
          <w:rFonts w:ascii="Palatino Linotype" w:hAnsi="Palatino Linotype"/>
        </w:rPr>
      </w:pPr>
    </w:p>
    <w:p w:rsidR="000B4A28" w:rsidRPr="00E071F9" w:rsidRDefault="000B4A28" w:rsidP="000B4A28">
      <w:pPr>
        <w:pStyle w:val="Prrafodelista"/>
        <w:numPr>
          <w:ilvl w:val="0"/>
          <w:numId w:val="2"/>
        </w:numPr>
        <w:tabs>
          <w:tab w:val="left" w:pos="851"/>
        </w:tabs>
        <w:spacing w:line="360" w:lineRule="auto"/>
        <w:ind w:left="0" w:right="49" w:firstLine="0"/>
        <w:jc w:val="both"/>
        <w:rPr>
          <w:rFonts w:ascii="Palatino Linotype" w:hAnsi="Palatino Linotype"/>
        </w:rPr>
      </w:pPr>
      <w:r w:rsidRPr="00E071F9">
        <w:rPr>
          <w:rFonts w:ascii="Palatino Linotype" w:hAnsi="Palatino Linotype"/>
        </w:rPr>
        <w:t>Aunado a ello, las remuneraciones son una obligación de transparencia común establecidas en la fracción VIII del artículo 92 de la Ley de Transparencia y Acceso a la Información del Estado de México y Municipios, en el que señala “</w:t>
      </w:r>
      <w:r w:rsidRPr="00E071F9">
        <w:rPr>
          <w:rFonts w:ascii="Palatino Linotype" w:hAnsi="Palatino Linotype"/>
          <w:i/>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r w:rsidRPr="00E071F9">
        <w:rPr>
          <w:rFonts w:ascii="Palatino Linotype" w:hAnsi="Palatino Linotype"/>
        </w:rPr>
        <w:t xml:space="preserve">”. </w:t>
      </w:r>
    </w:p>
    <w:p w:rsidR="000B4A28" w:rsidRPr="00E071F9" w:rsidRDefault="000B4A28" w:rsidP="000B4A28">
      <w:pPr>
        <w:pStyle w:val="Prrafodelista"/>
        <w:rPr>
          <w:rFonts w:ascii="Palatino Linotype" w:hAnsi="Palatino Linotype"/>
        </w:rPr>
      </w:pPr>
    </w:p>
    <w:p w:rsidR="002055CA" w:rsidRPr="00E071F9" w:rsidRDefault="002055CA" w:rsidP="002055CA">
      <w:pPr>
        <w:pStyle w:val="Prrafodelista"/>
        <w:numPr>
          <w:ilvl w:val="0"/>
          <w:numId w:val="2"/>
        </w:numPr>
        <w:tabs>
          <w:tab w:val="left" w:pos="851"/>
        </w:tabs>
        <w:spacing w:line="360" w:lineRule="auto"/>
        <w:ind w:left="0" w:right="49" w:firstLine="0"/>
        <w:jc w:val="both"/>
        <w:rPr>
          <w:rFonts w:ascii="Palatino Linotype" w:hAnsi="Palatino Linotype"/>
        </w:rPr>
      </w:pPr>
      <w:r w:rsidRPr="00E071F9">
        <w:rPr>
          <w:rFonts w:ascii="Palatino Linotype" w:hAnsi="Palatino Linotype"/>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2055CA" w:rsidRPr="00E071F9" w:rsidRDefault="002055CA" w:rsidP="002055CA">
      <w:pPr>
        <w:pStyle w:val="Prrafodelista"/>
        <w:spacing w:line="276" w:lineRule="auto"/>
        <w:rPr>
          <w:rFonts w:ascii="Palatino Linotype" w:hAnsi="Palatino Linotype"/>
        </w:rPr>
      </w:pPr>
    </w:p>
    <w:p w:rsidR="002055CA" w:rsidRPr="00E071F9" w:rsidRDefault="002055CA" w:rsidP="002055CA">
      <w:pPr>
        <w:pStyle w:val="Prrafodelista"/>
        <w:tabs>
          <w:tab w:val="left" w:pos="851"/>
        </w:tabs>
        <w:spacing w:line="276" w:lineRule="auto"/>
        <w:ind w:left="567" w:right="567"/>
        <w:jc w:val="both"/>
        <w:rPr>
          <w:rFonts w:ascii="Palatino Linotype" w:hAnsi="Palatino Linotype"/>
          <w:i/>
        </w:rPr>
      </w:pPr>
      <w:r w:rsidRPr="00E071F9">
        <w:rPr>
          <w:rFonts w:ascii="Palatino Linotype" w:hAnsi="Palatino Linotype"/>
          <w:b/>
          <w:i/>
        </w:rPr>
        <w:t>ACCESO A LA INFORMACIÓN. IMPLICACIÓN DEL PRINCIPIO DE MÁXIMA PUBLICIDAD EN EL DERECHO FUNDAMENTAL RELATIVO.</w:t>
      </w:r>
      <w:r w:rsidRPr="00E071F9">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w:t>
      </w:r>
      <w:r w:rsidRPr="00E071F9">
        <w:rPr>
          <w:rFonts w:ascii="Palatino Linotype" w:hAnsi="Palatino Linotype"/>
          <w:i/>
        </w:rPr>
        <w:lastRenderedPageBreak/>
        <w:t xml:space="preserve">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2055CA" w:rsidRPr="00E071F9" w:rsidRDefault="002055CA" w:rsidP="002055CA">
      <w:pPr>
        <w:pStyle w:val="Prrafodelista"/>
        <w:tabs>
          <w:tab w:val="left" w:pos="851"/>
        </w:tabs>
        <w:spacing w:line="276" w:lineRule="auto"/>
        <w:ind w:left="567" w:right="567"/>
        <w:jc w:val="both"/>
        <w:rPr>
          <w:rFonts w:ascii="Palatino Linotype" w:hAnsi="Palatino Linotype"/>
          <w:i/>
        </w:rPr>
      </w:pPr>
    </w:p>
    <w:p w:rsidR="002055CA" w:rsidRPr="00E071F9" w:rsidRDefault="002055CA" w:rsidP="002055CA">
      <w:pPr>
        <w:pStyle w:val="Prrafodelista"/>
        <w:tabs>
          <w:tab w:val="left" w:pos="851"/>
        </w:tabs>
        <w:spacing w:line="276" w:lineRule="auto"/>
        <w:ind w:left="567" w:right="567"/>
        <w:jc w:val="both"/>
        <w:rPr>
          <w:rFonts w:ascii="Palatino Linotype" w:hAnsi="Palatino Linotype"/>
          <w:i/>
        </w:rPr>
      </w:pPr>
      <w:r w:rsidRPr="00E071F9">
        <w:rPr>
          <w:rFonts w:ascii="Palatino Linotype" w:hAnsi="Palatino Linotype"/>
          <w:i/>
        </w:rPr>
        <w:t xml:space="preserve">CUARTO TRIBUNAL COLEGIADO EN MATERIA ADMINISTRATIVA DEL PRIMER CIRCUITO. </w:t>
      </w:r>
    </w:p>
    <w:p w:rsidR="002055CA" w:rsidRPr="00E071F9" w:rsidRDefault="002055CA" w:rsidP="002055CA">
      <w:pPr>
        <w:pStyle w:val="Prrafodelista"/>
        <w:tabs>
          <w:tab w:val="left" w:pos="851"/>
        </w:tabs>
        <w:spacing w:line="276" w:lineRule="auto"/>
        <w:ind w:left="567" w:right="567"/>
        <w:jc w:val="both"/>
        <w:rPr>
          <w:rFonts w:ascii="Palatino Linotype" w:hAnsi="Palatino Linotype"/>
          <w:i/>
        </w:rPr>
      </w:pPr>
    </w:p>
    <w:p w:rsidR="002055CA" w:rsidRPr="00E071F9" w:rsidRDefault="002055CA" w:rsidP="002055CA">
      <w:pPr>
        <w:pStyle w:val="Prrafodelista"/>
        <w:tabs>
          <w:tab w:val="left" w:pos="851"/>
        </w:tabs>
        <w:spacing w:line="276" w:lineRule="auto"/>
        <w:ind w:left="567" w:right="567"/>
        <w:jc w:val="both"/>
        <w:rPr>
          <w:rFonts w:ascii="Palatino Linotype" w:hAnsi="Palatino Linotype"/>
          <w:i/>
        </w:rPr>
      </w:pPr>
      <w:r w:rsidRPr="00E071F9">
        <w:rPr>
          <w:rFonts w:ascii="Palatino Linotype" w:hAnsi="Palatino Linotype"/>
          <w:i/>
        </w:rPr>
        <w:t>Amparo en revisión 257/2012. Ruth Corona Muñoz. 6 de diciembre de 2012. Unanimidad de votos. Ponente: Jean Claude Tron Petit. Secretaria: Mayra Susana Martínez López.</w:t>
      </w:r>
    </w:p>
    <w:p w:rsidR="002055CA" w:rsidRPr="00E071F9" w:rsidRDefault="002055CA" w:rsidP="002055CA">
      <w:pPr>
        <w:pStyle w:val="Prrafodelista"/>
        <w:spacing w:line="360" w:lineRule="auto"/>
        <w:rPr>
          <w:rFonts w:ascii="Palatino Linotype" w:hAnsi="Palatino Linotype"/>
        </w:rPr>
      </w:pPr>
    </w:p>
    <w:p w:rsidR="002055CA" w:rsidRPr="00E071F9" w:rsidRDefault="002055CA" w:rsidP="002055CA">
      <w:pPr>
        <w:pStyle w:val="Prrafodelista"/>
        <w:numPr>
          <w:ilvl w:val="0"/>
          <w:numId w:val="2"/>
        </w:numPr>
        <w:tabs>
          <w:tab w:val="left" w:pos="851"/>
        </w:tabs>
        <w:spacing w:before="240" w:after="240" w:line="360" w:lineRule="auto"/>
        <w:ind w:left="0" w:right="49" w:firstLine="0"/>
        <w:jc w:val="both"/>
        <w:rPr>
          <w:rFonts w:ascii="Palatino Linotype" w:hAnsi="Palatino Linotype" w:cs="Arial"/>
        </w:rPr>
      </w:pPr>
      <w:r w:rsidRPr="00E071F9">
        <w:rPr>
          <w:rFonts w:ascii="Palatino Linotype" w:hAnsi="Palatino Linotype"/>
        </w:rPr>
        <w:t>El derecho de acceso a la información encuentra su materia elemental en los documentos, y la Ley de Transparencia local  nos brinda el siguiente concepto, para darnos un mejor panorama:</w:t>
      </w:r>
    </w:p>
    <w:p w:rsidR="002055CA" w:rsidRPr="00E071F9" w:rsidRDefault="002055CA" w:rsidP="002055CA">
      <w:pPr>
        <w:autoSpaceDE w:val="0"/>
        <w:autoSpaceDN w:val="0"/>
        <w:adjustRightInd w:val="0"/>
        <w:spacing w:line="360" w:lineRule="auto"/>
        <w:ind w:left="567" w:right="567"/>
        <w:jc w:val="both"/>
        <w:rPr>
          <w:rFonts w:ascii="Palatino Linotype" w:hAnsi="Palatino Linotype"/>
          <w:i/>
        </w:rPr>
      </w:pPr>
      <w:r w:rsidRPr="00E071F9">
        <w:rPr>
          <w:rFonts w:ascii="Palatino Linotype" w:eastAsiaTheme="minorHAnsi" w:hAnsi="Palatino Linotype" w:cs="Bookman Old Style,Bold"/>
          <w:b/>
          <w:bCs/>
          <w:i/>
          <w:lang w:eastAsia="en-US"/>
        </w:rPr>
        <w:t xml:space="preserve">XI. Documento: </w:t>
      </w:r>
      <w:r w:rsidRPr="00E071F9">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E071F9">
        <w:rPr>
          <w:rFonts w:ascii="Palatino Linotype" w:eastAsiaTheme="minorHAnsi" w:hAnsi="Palatino Linotype" w:cs="Bookman Old Style"/>
          <w:b/>
          <w:i/>
          <w:lang w:eastAsia="en-US"/>
        </w:rPr>
        <w:t>cualquier otro registro</w:t>
      </w:r>
      <w:r w:rsidRPr="00E071F9">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w:t>
      </w:r>
      <w:r w:rsidRPr="00E071F9">
        <w:rPr>
          <w:rFonts w:ascii="Palatino Linotype" w:eastAsiaTheme="minorHAnsi" w:hAnsi="Palatino Linotype" w:cs="Bookman Old Style"/>
          <w:i/>
          <w:lang w:eastAsia="en-US"/>
        </w:rPr>
        <w:lastRenderedPageBreak/>
        <w:t>documentos podrán estar en cualquier medio, sea escrito, impreso, sonoro, visual, electrónico, informático u holográfico;</w:t>
      </w:r>
    </w:p>
    <w:p w:rsidR="002055CA" w:rsidRPr="00E071F9" w:rsidRDefault="002055CA" w:rsidP="002055CA">
      <w:pPr>
        <w:pStyle w:val="Prrafodelista"/>
        <w:tabs>
          <w:tab w:val="left" w:pos="851"/>
        </w:tabs>
        <w:spacing w:line="360" w:lineRule="auto"/>
        <w:ind w:left="0" w:right="49"/>
        <w:jc w:val="both"/>
        <w:rPr>
          <w:rFonts w:ascii="Palatino Linotype" w:hAnsi="Palatino Linotype"/>
        </w:rPr>
      </w:pPr>
    </w:p>
    <w:p w:rsidR="002055CA" w:rsidRPr="00E071F9" w:rsidRDefault="002055CA" w:rsidP="002055CA">
      <w:pPr>
        <w:pStyle w:val="Prrafodelista"/>
        <w:numPr>
          <w:ilvl w:val="0"/>
          <w:numId w:val="2"/>
        </w:numPr>
        <w:tabs>
          <w:tab w:val="left" w:pos="851"/>
        </w:tabs>
        <w:spacing w:line="360" w:lineRule="auto"/>
        <w:ind w:left="0" w:right="49" w:firstLine="0"/>
        <w:jc w:val="both"/>
        <w:rPr>
          <w:rFonts w:ascii="Palatino Linotype" w:hAnsi="Palatino Linotype"/>
        </w:rPr>
      </w:pPr>
      <w:r w:rsidRPr="00E071F9">
        <w:rPr>
          <w:rFonts w:ascii="Palatino Linotype" w:hAnsi="Palatino Linotype"/>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2055CA" w:rsidRPr="00E071F9" w:rsidRDefault="002055CA" w:rsidP="002055C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2055CA" w:rsidRPr="00E071F9" w:rsidRDefault="002055CA" w:rsidP="002055CA">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E071F9">
        <w:rPr>
          <w:rFonts w:ascii="Palatino Linotype" w:eastAsia="Palatino Linotype" w:hAnsi="Palatino Linotype" w:cs="Palatino Linotype"/>
          <w:b/>
          <w:bCs/>
          <w:color w:val="000000"/>
        </w:rPr>
        <w:t>RECURRENTE</w:t>
      </w:r>
      <w:r w:rsidRPr="00E071F9">
        <w:rPr>
          <w:rFonts w:ascii="Palatino Linotype" w:eastAsia="Palatino Linotype" w:hAnsi="Palatino Linotype" w:cs="Palatino Linotype"/>
          <w:color w:val="000000"/>
        </w:rPr>
        <w:t xml:space="preserve"> dentro del recurso de revisión </w:t>
      </w:r>
      <w:r w:rsidR="000B4A28" w:rsidRPr="00E071F9">
        <w:rPr>
          <w:rFonts w:ascii="Palatino Linotype" w:eastAsia="Palatino Linotype" w:hAnsi="Palatino Linotype" w:cs="Palatino Linotype"/>
          <w:b/>
          <w:bCs/>
          <w:color w:val="000000"/>
        </w:rPr>
        <w:t>03018/INFOEM/IP/RR/2026</w:t>
      </w:r>
      <w:r w:rsidRPr="00E071F9">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E071F9">
        <w:rPr>
          <w:rFonts w:ascii="Palatino Linotype" w:eastAsia="Palatino Linotype" w:hAnsi="Palatino Linotype" w:cs="Palatino Linotype"/>
          <w:b/>
          <w:bCs/>
          <w:color w:val="000000"/>
        </w:rPr>
        <w:t>MODIFICA</w:t>
      </w:r>
      <w:r w:rsidRPr="00E071F9">
        <w:rPr>
          <w:rFonts w:ascii="Palatino Linotype" w:eastAsia="Palatino Linotype" w:hAnsi="Palatino Linotype" w:cs="Palatino Linotype"/>
          <w:color w:val="000000"/>
        </w:rPr>
        <w:t xml:space="preserve"> la respuesta a la solicitud de información número </w:t>
      </w:r>
      <w:hyperlink r:id="rId12" w:history="1">
        <w:r w:rsidR="000B4A28" w:rsidRPr="00E071F9">
          <w:rPr>
            <w:rStyle w:val="Hipervnculo"/>
            <w:rFonts w:ascii="Palatino Linotype" w:eastAsia="Palatino Linotype" w:hAnsi="Palatino Linotype" w:cs="Palatino Linotype"/>
            <w:b/>
            <w:bCs/>
            <w:color w:val="auto"/>
            <w:u w:val="none"/>
          </w:rPr>
          <w:t>00051/CAEM/IP/2026</w:t>
        </w:r>
      </w:hyperlink>
      <w:r w:rsidRPr="00E071F9">
        <w:rPr>
          <w:rFonts w:ascii="Palatino Linotype" w:eastAsia="Palatino Linotype" w:hAnsi="Palatino Linotype" w:cs="Palatino Linotype"/>
          <w:b/>
          <w:bCs/>
        </w:rPr>
        <w:t xml:space="preserve"> </w:t>
      </w:r>
      <w:r w:rsidRPr="00E071F9">
        <w:rPr>
          <w:rFonts w:ascii="Palatino Linotype" w:eastAsia="Palatino Linotype" w:hAnsi="Palatino Linotype" w:cs="Palatino Linotype"/>
          <w:color w:val="000000"/>
        </w:rPr>
        <w:t xml:space="preserve">y se </w:t>
      </w:r>
      <w:r w:rsidRPr="00E071F9">
        <w:rPr>
          <w:rFonts w:ascii="Palatino Linotype" w:eastAsia="Palatino Linotype" w:hAnsi="Palatino Linotype" w:cs="Palatino Linotype"/>
          <w:b/>
          <w:bCs/>
          <w:color w:val="000000"/>
        </w:rPr>
        <w:t xml:space="preserve">ORDENA </w:t>
      </w:r>
      <w:r w:rsidRPr="00E071F9">
        <w:rPr>
          <w:rFonts w:ascii="Palatino Linotype" w:eastAsia="Palatino Linotype" w:hAnsi="Palatino Linotype" w:cs="Palatino Linotype"/>
          <w:color w:val="000000"/>
        </w:rPr>
        <w:t>entregar, de ser procedente en versión pública, la siguiente información:</w:t>
      </w:r>
    </w:p>
    <w:p w:rsidR="002055CA" w:rsidRPr="00E071F9" w:rsidRDefault="002055CA" w:rsidP="002055C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2055CA" w:rsidRPr="00E071F9" w:rsidRDefault="000B4A28" w:rsidP="000B4A28">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E071F9">
        <w:rPr>
          <w:rFonts w:ascii="Palatino Linotype" w:eastAsia="Palatino Linotype" w:hAnsi="Palatino Linotype" w:cs="Palatino Linotype"/>
          <w:b/>
        </w:rPr>
        <w:t xml:space="preserve">Soporte documental donde conste el sueldo bruto y neto mensual del servidor público referido en la solicitud de información, vigente a la fecha de la solicitud. </w:t>
      </w:r>
    </w:p>
    <w:p w:rsidR="000B4A28" w:rsidRPr="00E071F9" w:rsidRDefault="000B4A28" w:rsidP="000B4A28">
      <w:pPr>
        <w:pStyle w:val="Prrafodelista"/>
        <w:pBdr>
          <w:top w:val="nil"/>
          <w:left w:val="nil"/>
          <w:bottom w:val="nil"/>
          <w:right w:val="nil"/>
          <w:between w:val="nil"/>
        </w:pBdr>
        <w:spacing w:line="360" w:lineRule="auto"/>
        <w:ind w:left="1440" w:right="822"/>
        <w:jc w:val="both"/>
        <w:rPr>
          <w:rFonts w:ascii="Palatino Linotype" w:eastAsia="Palatino Linotype" w:hAnsi="Palatino Linotype" w:cs="Palatino Linotype"/>
        </w:rPr>
      </w:pPr>
    </w:p>
    <w:p w:rsidR="002055CA" w:rsidRPr="00E071F9" w:rsidRDefault="002055CA" w:rsidP="002055CA">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QUINTO. De la versión pública.</w:t>
      </w:r>
    </w:p>
    <w:p w:rsidR="002055CA" w:rsidRPr="00E071F9" w:rsidRDefault="002055CA" w:rsidP="002055CA">
      <w:pPr>
        <w:pStyle w:val="Prrafodelista"/>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Debe destacarse que, debido a la naturaleza de la información solicitada</w:t>
      </w:r>
      <w:r w:rsidRPr="00E071F9">
        <w:rPr>
          <w:rFonts w:ascii="Palatino Linotype" w:eastAsia="Palatino Linotype" w:hAnsi="Palatino Linotype" w:cs="Palatino Linotype"/>
          <w:b/>
          <w:color w:val="000000"/>
        </w:rPr>
        <w:t xml:space="preserve"> </w:t>
      </w:r>
      <w:r w:rsidRPr="00E071F9">
        <w:rPr>
          <w:rFonts w:ascii="Palatino Linotype" w:eastAsia="Palatino Linotype" w:hAnsi="Palatino Linotype" w:cs="Palatino Linotype"/>
          <w:color w:val="000000"/>
        </w:rPr>
        <w:t xml:space="preserve">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w:t>
      </w:r>
      <w:r w:rsidRPr="00E071F9">
        <w:rPr>
          <w:rFonts w:ascii="Palatino Linotype" w:eastAsia="Palatino Linotype" w:hAnsi="Palatino Linotype" w:cs="Palatino Linotype"/>
          <w:color w:val="000000"/>
        </w:rPr>
        <w:lastRenderedPageBreak/>
        <w:t>servidores públicos y en su caso generar la versión pública de los documentos por las consideraciones que se estimen pertinentes.</w:t>
      </w:r>
    </w:p>
    <w:p w:rsidR="002055CA" w:rsidRPr="00E071F9" w:rsidRDefault="002055CA" w:rsidP="002055CA">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2055CA" w:rsidRPr="00E071F9" w:rsidRDefault="002055CA" w:rsidP="002055CA">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2055CA" w:rsidRPr="00E071F9" w:rsidRDefault="002055CA" w:rsidP="002055CA">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7371"/>
      </w:tblGrid>
      <w:tr w:rsidR="002055CA" w:rsidRPr="00E071F9" w:rsidTr="00E071F9">
        <w:tc>
          <w:tcPr>
            <w:tcW w:w="2547" w:type="dxa"/>
          </w:tcPr>
          <w:p w:rsidR="002055CA" w:rsidRPr="00E071F9" w:rsidRDefault="002055CA" w:rsidP="002055CA">
            <w:pPr>
              <w:spacing w:line="276" w:lineRule="auto"/>
              <w:rPr>
                <w:rFonts w:ascii="Palatino Linotype" w:eastAsia="Palatino Linotype" w:hAnsi="Palatino Linotype" w:cs="Palatino Linotype"/>
              </w:rPr>
            </w:pPr>
            <w:r w:rsidRPr="00E071F9">
              <w:rPr>
                <w:rFonts w:ascii="Palatino Linotype" w:eastAsia="Palatino Linotype" w:hAnsi="Palatino Linotype" w:cs="Palatino Linotype"/>
              </w:rPr>
              <w:t>a) Requisitos previos.</w:t>
            </w:r>
          </w:p>
        </w:tc>
        <w:tc>
          <w:tcPr>
            <w:tcW w:w="7371" w:type="dxa"/>
          </w:tcPr>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Al hacerlo tienen que precisar de qué información se trata, señalando el supuesto de clasificación (confidencialidad o reserva).</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Además, se debe señalar el procedimiento, de los tres que establecen los artículos 132 y 106 de la Ley Estatal y General, respectivamente.</w:t>
            </w:r>
          </w:p>
          <w:p w:rsidR="002055CA" w:rsidRPr="00E071F9" w:rsidRDefault="002055CA" w:rsidP="002055CA">
            <w:pPr>
              <w:spacing w:line="276" w:lineRule="auto"/>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E071F9">
              <w:rPr>
                <w:rFonts w:ascii="Palatino Linotype" w:eastAsia="Palatino Linotype" w:hAnsi="Palatino Linotype" w:cs="Palatino Linotype"/>
                <w:u w:val="single"/>
              </w:rPr>
              <w:t xml:space="preserve">no se puede hacer un acuerdo para clasificar de manera general todos los documentos de un expediente o área,  </w:t>
            </w:r>
            <w:r w:rsidRPr="00E071F9">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2055CA" w:rsidRPr="00E071F9" w:rsidTr="00E071F9">
        <w:tc>
          <w:tcPr>
            <w:tcW w:w="2547" w:type="dxa"/>
          </w:tcPr>
          <w:p w:rsidR="002055CA" w:rsidRPr="00E071F9" w:rsidRDefault="002055CA" w:rsidP="002055CA">
            <w:pPr>
              <w:spacing w:line="276" w:lineRule="auto"/>
              <w:rPr>
                <w:rFonts w:ascii="Palatino Linotype" w:eastAsia="Palatino Linotype" w:hAnsi="Palatino Linotype" w:cs="Palatino Linotype"/>
              </w:rPr>
            </w:pPr>
            <w:r w:rsidRPr="00E071F9">
              <w:rPr>
                <w:rFonts w:ascii="Palatino Linotype" w:eastAsia="Palatino Linotype" w:hAnsi="Palatino Linotype" w:cs="Palatino Linotype"/>
              </w:rPr>
              <w:t>b) Supuestos de clasificación.</w:t>
            </w:r>
          </w:p>
        </w:tc>
        <w:tc>
          <w:tcPr>
            <w:tcW w:w="7371" w:type="dxa"/>
          </w:tcPr>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w:t>
            </w:r>
            <w:r w:rsidRPr="00E071F9">
              <w:rPr>
                <w:rFonts w:ascii="Palatino Linotype" w:eastAsia="Palatino Linotype" w:hAnsi="Palatino Linotype" w:cs="Palatino Linotype"/>
              </w:rPr>
              <w:lastRenderedPageBreak/>
              <w:t>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055CA" w:rsidRPr="00E071F9" w:rsidRDefault="002055CA" w:rsidP="002055CA">
            <w:pPr>
              <w:spacing w:line="276" w:lineRule="auto"/>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El </w:t>
            </w:r>
            <w:r w:rsidRPr="00E071F9">
              <w:rPr>
                <w:rFonts w:ascii="Palatino Linotype" w:eastAsia="Palatino Linotype" w:hAnsi="Palatino Linotype" w:cs="Palatino Linotype"/>
                <w:b/>
              </w:rPr>
              <w:t>SUJETO OBLIGADO</w:t>
            </w:r>
            <w:r w:rsidRPr="00E071F9">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055CA" w:rsidRPr="00E071F9" w:rsidTr="00E071F9">
        <w:tc>
          <w:tcPr>
            <w:tcW w:w="2547" w:type="dxa"/>
          </w:tcPr>
          <w:p w:rsidR="002055CA" w:rsidRPr="00E071F9" w:rsidRDefault="002055CA" w:rsidP="002055CA">
            <w:pPr>
              <w:spacing w:line="276" w:lineRule="auto"/>
              <w:rPr>
                <w:rFonts w:ascii="Palatino Linotype" w:eastAsia="Palatino Linotype" w:hAnsi="Palatino Linotype" w:cs="Palatino Linotype"/>
              </w:rPr>
            </w:pPr>
            <w:r w:rsidRPr="00E071F9">
              <w:rPr>
                <w:rFonts w:ascii="Palatino Linotype" w:eastAsia="Palatino Linotype" w:hAnsi="Palatino Linotype" w:cs="Palatino Linotype"/>
              </w:rPr>
              <w:lastRenderedPageBreak/>
              <w:t>c) Formalidades para emitir el acuerdo de clasificación.</w:t>
            </w:r>
          </w:p>
        </w:tc>
        <w:tc>
          <w:tcPr>
            <w:tcW w:w="7371" w:type="dxa"/>
          </w:tcPr>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Es necesario que </w:t>
            </w:r>
            <w:r w:rsidRPr="00E071F9">
              <w:rPr>
                <w:rFonts w:ascii="Palatino Linotype" w:eastAsia="Palatino Linotype" w:hAnsi="Palatino Linotype" w:cs="Palatino Linotype"/>
                <w:b/>
                <w:u w:val="single"/>
              </w:rPr>
              <w:t>el acto reúna con los requisitos elementales</w:t>
            </w:r>
            <w:r w:rsidRPr="00E071F9">
              <w:rPr>
                <w:rFonts w:ascii="Palatino Linotype" w:eastAsia="Palatino Linotype" w:hAnsi="Palatino Linotype" w:cs="Palatino Linotype"/>
              </w:rPr>
              <w:t>, entre ellos, que la autoridad que va a emitir el acto de autoridad sea la legalmente facultada para ello.</w:t>
            </w:r>
          </w:p>
          <w:p w:rsidR="002055CA" w:rsidRPr="00E071F9" w:rsidRDefault="002055CA" w:rsidP="002055CA">
            <w:pPr>
              <w:spacing w:line="276" w:lineRule="auto"/>
              <w:jc w:val="both"/>
              <w:rPr>
                <w:rFonts w:ascii="Palatino Linotype" w:eastAsia="Palatino Linotype" w:hAnsi="Palatino Linotype" w:cs="Palatino Linotype"/>
              </w:rPr>
            </w:pPr>
            <w:r w:rsidRPr="00E071F9">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055CA" w:rsidRPr="00E071F9" w:rsidTr="00E071F9">
        <w:tc>
          <w:tcPr>
            <w:tcW w:w="2547" w:type="dxa"/>
          </w:tcPr>
          <w:p w:rsidR="002055CA" w:rsidRPr="00E071F9" w:rsidRDefault="002055CA" w:rsidP="002055CA">
            <w:pPr>
              <w:spacing w:line="276" w:lineRule="auto"/>
              <w:rPr>
                <w:rFonts w:ascii="Palatino Linotype" w:eastAsia="Palatino Linotype" w:hAnsi="Palatino Linotype" w:cs="Palatino Linotype"/>
              </w:rPr>
            </w:pPr>
          </w:p>
          <w:p w:rsidR="002055CA" w:rsidRPr="00E071F9" w:rsidRDefault="002055CA" w:rsidP="002055CA">
            <w:pPr>
              <w:spacing w:line="276" w:lineRule="auto"/>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d) Requisitos de fondo del acuerdo de clasificación. </w:t>
            </w:r>
          </w:p>
        </w:tc>
        <w:tc>
          <w:tcPr>
            <w:tcW w:w="7371" w:type="dxa"/>
          </w:tcPr>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071F9">
              <w:rPr>
                <w:rFonts w:ascii="Palatino Linotype" w:eastAsia="Palatino Linotype" w:hAnsi="Palatino Linotype" w:cs="Palatino Linotype"/>
                <w:b/>
              </w:rPr>
              <w:t>Sujetos Obligados</w:t>
            </w:r>
            <w:r w:rsidRPr="00E071F9">
              <w:rPr>
                <w:rFonts w:ascii="Palatino Linotype" w:eastAsia="Palatino Linotype" w:hAnsi="Palatino Linotype" w:cs="Palatino Linotype"/>
              </w:rPr>
              <w:t xml:space="preserve">, por lo que deberán fundar y motivar debidamente la clasificación. </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lastRenderedPageBreak/>
              <w:t xml:space="preserve">De lo anterior, se desprende que para una correcta </w:t>
            </w:r>
            <w:r w:rsidRPr="00E071F9">
              <w:rPr>
                <w:rFonts w:ascii="Palatino Linotype" w:eastAsia="Palatino Linotype" w:hAnsi="Palatino Linotype" w:cs="Palatino Linotype"/>
                <w:b/>
              </w:rPr>
              <w:t>clasificación total o parcial</w:t>
            </w:r>
            <w:r w:rsidRPr="00E071F9">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Ahora bien, </w:t>
            </w:r>
            <w:r w:rsidRPr="00E071F9">
              <w:rPr>
                <w:rFonts w:ascii="Palatino Linotype" w:eastAsia="Palatino Linotype" w:hAnsi="Palatino Linotype" w:cs="Palatino Linotype"/>
                <w:b/>
                <w:u w:val="single"/>
              </w:rPr>
              <w:t>para cada caso además de fundar y motivar</w:t>
            </w:r>
            <w:r w:rsidRPr="00E071F9">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055CA" w:rsidRPr="00E071F9" w:rsidTr="00E071F9">
        <w:tc>
          <w:tcPr>
            <w:tcW w:w="2547" w:type="dxa"/>
          </w:tcPr>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lastRenderedPageBreak/>
              <w:t xml:space="preserve">e) Condiciones especiales de la clasificación de la información como confidencial. </w:t>
            </w:r>
          </w:p>
          <w:p w:rsidR="002055CA" w:rsidRPr="00E071F9" w:rsidRDefault="002055CA" w:rsidP="002055CA">
            <w:pPr>
              <w:spacing w:line="276" w:lineRule="auto"/>
              <w:rPr>
                <w:rFonts w:ascii="Palatino Linotype" w:eastAsia="Palatino Linotype" w:hAnsi="Palatino Linotype" w:cs="Palatino Linotype"/>
              </w:rPr>
            </w:pPr>
          </w:p>
        </w:tc>
        <w:tc>
          <w:tcPr>
            <w:tcW w:w="7371" w:type="dxa"/>
          </w:tcPr>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2055CA" w:rsidRPr="00E071F9" w:rsidRDefault="002055CA" w:rsidP="002055CA">
            <w:pPr>
              <w:spacing w:line="276" w:lineRule="auto"/>
              <w:ind w:right="49"/>
              <w:jc w:val="both"/>
              <w:rPr>
                <w:rFonts w:ascii="Palatino Linotype" w:eastAsia="Palatino Linotype" w:hAnsi="Palatino Linotype" w:cs="Palatino Linotype"/>
              </w:rPr>
            </w:pPr>
            <w:r w:rsidRPr="00E071F9">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w:t>
            </w:r>
            <w:r w:rsidRPr="00E071F9">
              <w:rPr>
                <w:rFonts w:ascii="Palatino Linotype" w:eastAsia="Palatino Linotype" w:hAnsi="Palatino Linotype" w:cs="Palatino Linotype"/>
              </w:rPr>
              <w:lastRenderedPageBreak/>
              <w:t xml:space="preserve">de la Nación, los servidores públicos nos encontramos sujetos a un régimen menor de protección. </w:t>
            </w:r>
          </w:p>
          <w:p w:rsidR="002055CA" w:rsidRPr="00E071F9" w:rsidRDefault="002055CA" w:rsidP="002055CA">
            <w:pPr>
              <w:spacing w:line="276" w:lineRule="auto"/>
              <w:rPr>
                <w:rFonts w:ascii="Palatino Linotype" w:eastAsia="Palatino Linotype" w:hAnsi="Palatino Linotype" w:cs="Palatino Linotype"/>
              </w:rPr>
            </w:pPr>
            <w:r w:rsidRPr="00E071F9">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pStyle w:val="Prrafodelista"/>
        <w:numPr>
          <w:ilvl w:val="0"/>
          <w:numId w:val="2"/>
        </w:numPr>
        <w:spacing w:line="360" w:lineRule="auto"/>
        <w:ind w:left="0" w:firstLine="0"/>
        <w:jc w:val="both"/>
        <w:rPr>
          <w:rFonts w:ascii="Palatino Linotype" w:hAnsi="Palatino Linotype" w:cs="Arial"/>
          <w:lang w:val="es-ES"/>
        </w:rPr>
      </w:pPr>
      <w:r w:rsidRPr="00E071F9">
        <w:rPr>
          <w:rFonts w:ascii="Palatino Linotype" w:hAnsi="Palatino Linotype"/>
          <w:color w:val="222222"/>
        </w:rPr>
        <w:t>Por otro lado, de manera enunciativa mas no limitativas, dentro de los elementos que integran los recibos de nómina se pueden encontrar los siguientes:</w:t>
      </w:r>
    </w:p>
    <w:p w:rsidR="002055CA" w:rsidRPr="00E071F9" w:rsidRDefault="002055CA" w:rsidP="002055CA">
      <w:pPr>
        <w:pStyle w:val="Prrafodelista"/>
        <w:spacing w:line="360" w:lineRule="auto"/>
        <w:ind w:left="0"/>
        <w:jc w:val="both"/>
        <w:rPr>
          <w:rFonts w:ascii="Palatino Linotype" w:hAnsi="Palatino Linotype" w:cs="Arial"/>
          <w:lang w:val="es-ES"/>
        </w:rPr>
      </w:pP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Clave Única de Registro de Población (CURP);</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Número de ISSEMyM;</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Número de empleado;</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Registro Federal de Contribuyentes (RFC);</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Número de Serie del CSD del SAT;</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Número de Serie del CDS del emisor;</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Serie y folio;</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Firma;</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Código QR;</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Sello Digital del Contribuyente; y</w:t>
      </w:r>
    </w:p>
    <w:p w:rsidR="002055CA" w:rsidRPr="00E071F9" w:rsidRDefault="002055CA" w:rsidP="002055CA">
      <w:pPr>
        <w:pStyle w:val="Prrafodelista"/>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Sello Digital del SAT.</w:t>
      </w:r>
    </w:p>
    <w:p w:rsidR="002055CA" w:rsidRPr="00E071F9" w:rsidRDefault="002055CA" w:rsidP="002055CA">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2055CA" w:rsidRPr="00E071F9" w:rsidRDefault="002055CA" w:rsidP="002055CA">
      <w:pPr>
        <w:pStyle w:val="Ttulo3"/>
        <w:numPr>
          <w:ilvl w:val="0"/>
          <w:numId w:val="8"/>
        </w:numPr>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Clave Única de Registro de Población (CURP).</w:t>
      </w:r>
    </w:p>
    <w:p w:rsidR="002055CA" w:rsidRPr="00E071F9" w:rsidRDefault="002055CA" w:rsidP="002055CA">
      <w:pPr>
        <w:pStyle w:val="Prrafodelista"/>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w:t>
      </w:r>
      <w:r w:rsidRPr="00E071F9">
        <w:rPr>
          <w:rFonts w:ascii="Palatino Linotype" w:eastAsia="Palatino Linotype" w:hAnsi="Palatino Linotype" w:cs="Palatino Linotype"/>
          <w:color w:val="000000"/>
        </w:rPr>
        <w:lastRenderedPageBreak/>
        <w:t xml:space="preserve">elemento que permite registrar de forma individual a las o los mexicanos, así como a los extranjeros que se encuentren en condiciones de estancia regular en el país o en trámite de ésta, se integra por dieciocho (18) caracteres, los cuales son: </w:t>
      </w:r>
    </w:p>
    <w:p w:rsidR="002055CA" w:rsidRPr="00E071F9" w:rsidRDefault="002055CA" w:rsidP="002055CA">
      <w:pPr>
        <w:shd w:val="clear" w:color="auto" w:fill="FFFFFF"/>
        <w:spacing w:before="240" w:after="240" w:line="360" w:lineRule="auto"/>
        <w:jc w:val="center"/>
        <w:rPr>
          <w:rFonts w:ascii="Palatino Linotype" w:hAnsi="Palatino Linotype"/>
          <w:color w:val="222222"/>
        </w:rPr>
      </w:pPr>
      <w:r w:rsidRPr="00E071F9">
        <w:rPr>
          <w:rFonts w:ascii="Palatino Linotype" w:hAnsi="Palatino Linotype"/>
          <w:noProof/>
        </w:rPr>
        <w:drawing>
          <wp:inline distT="0" distB="0" distL="0" distR="0" wp14:anchorId="7D992878" wp14:editId="77B26D2A">
            <wp:extent cx="5305425" cy="3423684"/>
            <wp:effectExtent l="0" t="0" r="0" b="571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5748" t="8269" r="41254" b="18081"/>
                    <a:stretch>
                      <a:fillRect/>
                    </a:stretch>
                  </pic:blipFill>
                  <pic:spPr>
                    <a:xfrm>
                      <a:off x="0" y="0"/>
                      <a:ext cx="5314343" cy="3429439"/>
                    </a:xfrm>
                    <a:prstGeom prst="rect">
                      <a:avLst/>
                    </a:prstGeom>
                    <a:ln/>
                  </pic:spPr>
                </pic:pic>
              </a:graphicData>
            </a:graphic>
          </wp:inline>
        </w:drawing>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Entre las características de la CURP, se encuentra: </w:t>
      </w:r>
    </w:p>
    <w:p w:rsidR="002055CA" w:rsidRPr="00E071F9" w:rsidRDefault="002055CA" w:rsidP="002055C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E071F9">
        <w:rPr>
          <w:rFonts w:ascii="Palatino Linotype" w:eastAsia="Palatino Linotype" w:hAnsi="Palatino Linotype" w:cs="Palatino Linotype"/>
          <w:b/>
        </w:rPr>
        <w:t xml:space="preserve">Composición. </w:t>
      </w:r>
      <w:r w:rsidRPr="00E071F9">
        <w:rPr>
          <w:rFonts w:ascii="Palatino Linotype" w:eastAsia="Palatino Linotype" w:hAnsi="Palatino Linotype" w:cs="Palatino Linotype"/>
        </w:rPr>
        <w:t>Alfanumérica.</w:t>
      </w:r>
    </w:p>
    <w:p w:rsidR="002055CA" w:rsidRPr="00E071F9" w:rsidRDefault="002055CA" w:rsidP="002055C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E071F9">
        <w:rPr>
          <w:rFonts w:ascii="Palatino Linotype" w:eastAsia="Palatino Linotype" w:hAnsi="Palatino Linotype" w:cs="Palatino Linotype"/>
          <w:b/>
        </w:rPr>
        <w:t xml:space="preserve">Longitud. </w:t>
      </w:r>
      <w:r w:rsidRPr="00E071F9">
        <w:rPr>
          <w:rFonts w:ascii="Palatino Linotype" w:eastAsia="Palatino Linotype" w:hAnsi="Palatino Linotype" w:cs="Palatino Linotype"/>
        </w:rPr>
        <w:t xml:space="preserve"> 18 caracteres.</w:t>
      </w:r>
    </w:p>
    <w:p w:rsidR="002055CA" w:rsidRPr="00E071F9" w:rsidRDefault="002055CA" w:rsidP="002055C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E071F9">
        <w:rPr>
          <w:rFonts w:ascii="Palatino Linotype" w:eastAsia="Palatino Linotype" w:hAnsi="Palatino Linotype" w:cs="Palatino Linotype"/>
          <w:b/>
        </w:rPr>
        <w:t xml:space="preserve">Naturaleza. </w:t>
      </w:r>
      <w:r w:rsidRPr="00E071F9">
        <w:rPr>
          <w:rFonts w:ascii="Palatino Linotype" w:eastAsia="Palatino Linotype" w:hAnsi="Palatino Linotype" w:cs="Palatino Linotype"/>
        </w:rPr>
        <w:t>Biunívoca.</w:t>
      </w:r>
    </w:p>
    <w:p w:rsidR="002055CA" w:rsidRPr="00E071F9" w:rsidRDefault="002055CA" w:rsidP="002055C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E071F9">
        <w:rPr>
          <w:rFonts w:ascii="Palatino Linotype" w:eastAsia="Palatino Linotype" w:hAnsi="Palatino Linotype" w:cs="Palatino Linotype"/>
          <w:b/>
        </w:rPr>
        <w:lastRenderedPageBreak/>
        <w:t xml:space="preserve">Universalidad. </w:t>
      </w:r>
      <w:r w:rsidRPr="00E071F9">
        <w:rPr>
          <w:rFonts w:ascii="Palatino Linotype" w:eastAsia="Palatino Linotype" w:hAnsi="Palatino Linotype" w:cs="Palatino Linotype"/>
        </w:rPr>
        <w:t>Se asigna a todas las personas que conforman la población.</w:t>
      </w:r>
    </w:p>
    <w:p w:rsidR="002055CA" w:rsidRPr="00E071F9" w:rsidRDefault="002055CA" w:rsidP="002055CA">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E071F9">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2055CA" w:rsidRPr="00E071F9" w:rsidRDefault="002055CA" w:rsidP="002055CA">
      <w:pPr>
        <w:pStyle w:val="Prrafodelista"/>
        <w:numPr>
          <w:ilvl w:val="0"/>
          <w:numId w:val="2"/>
        </w:numPr>
        <w:pBdr>
          <w:top w:val="nil"/>
          <w:left w:val="nil"/>
          <w:bottom w:val="nil"/>
          <w:right w:val="nil"/>
          <w:between w:val="nil"/>
        </w:pBdr>
        <w:tabs>
          <w:tab w:val="left" w:pos="567"/>
        </w:tabs>
        <w:spacing w:line="360" w:lineRule="auto"/>
        <w:ind w:left="0" w:right="822" w:firstLine="0"/>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i/>
          <w:color w:val="000000"/>
        </w:rPr>
        <w:t>“</w:t>
      </w:r>
      <w:r w:rsidRPr="00E071F9">
        <w:rPr>
          <w:rFonts w:ascii="Palatino Linotype" w:eastAsia="Palatino Linotype" w:hAnsi="Palatino Linotype" w:cs="Palatino Linotype"/>
          <w:b/>
          <w:i/>
          <w:color w:val="000000"/>
        </w:rPr>
        <w:t xml:space="preserve">Clave Única de Registro de Población (CURP). </w:t>
      </w:r>
      <w:r w:rsidRPr="00E071F9">
        <w:rPr>
          <w:rFonts w:ascii="Palatino Linotype" w:eastAsia="Palatino Linotype" w:hAnsi="Palatino Linotype" w:cs="Palatino Linotype"/>
          <w:i/>
          <w:color w:val="000000"/>
        </w:rPr>
        <w:t xml:space="preserve">La Clave Única de Registro de Población se integra por datos personales que sólo conciernen al particular titular de la misma, como lo son su nombre, apellidos, fecha de nacimiento, lugar de nacimiento y sexo. Dichos datos, </w:t>
      </w:r>
      <w:r w:rsidRPr="00E071F9">
        <w:rPr>
          <w:rFonts w:ascii="Palatino Linotype" w:eastAsia="Palatino Linotype" w:hAnsi="Palatino Linotype" w:cs="Palatino Linotype"/>
          <w:i/>
          <w:color w:val="000000"/>
        </w:rPr>
        <w:lastRenderedPageBreak/>
        <w:t>constituyen información que distingue plenamente a una persona física del resto de los habitantes del</w:t>
      </w:r>
    </w:p>
    <w:p w:rsidR="002055CA" w:rsidRPr="00E071F9" w:rsidRDefault="002055CA" w:rsidP="002055CA">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2055CA" w:rsidRPr="00E071F9" w:rsidRDefault="002055CA" w:rsidP="002055CA">
      <w:pPr>
        <w:pStyle w:val="Ttulo3"/>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II. Clave ISSEMyM</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w:t>
      </w:r>
      <w:r w:rsidRPr="00E071F9">
        <w:rPr>
          <w:rFonts w:ascii="Palatino Linotype" w:eastAsia="Palatino Linotype" w:hAnsi="Palatino Linotype" w:cs="Palatino Linotype"/>
          <w:color w:val="000000"/>
        </w:rPr>
        <w:lastRenderedPageBreak/>
        <w:t>cambia, aunque el trabajador se dé de baja y alta en diversas ocasiones, con motivo de haber trabajado en diferentes instituciones gubernamentales de la Entidad.</w:t>
      </w:r>
    </w:p>
    <w:p w:rsidR="002055CA" w:rsidRPr="00E071F9" w:rsidRDefault="002055CA" w:rsidP="002055CA">
      <w:pPr>
        <w:pStyle w:val="Ttulo3"/>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III. Número de empleado.</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2055CA" w:rsidRPr="00E071F9" w:rsidRDefault="002055CA" w:rsidP="002055CA">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rPr>
      </w:pPr>
      <w:r w:rsidRPr="00E071F9">
        <w:rPr>
          <w:rFonts w:ascii="Palatino Linotype" w:eastAsia="Palatino Linotype" w:hAnsi="Palatino Linotype" w:cs="Palatino Linotype"/>
          <w:b/>
          <w:i/>
          <w:color w:val="000000"/>
        </w:rPr>
        <w:t>Número de empleado.</w:t>
      </w:r>
      <w:r w:rsidRPr="00E071F9">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2055CA" w:rsidRPr="00E071F9" w:rsidRDefault="002055CA" w:rsidP="002055CA">
      <w:pPr>
        <w:pStyle w:val="Ttulo3"/>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lastRenderedPageBreak/>
        <w:t>IV. Registro Federal de Contribuyentes (RFC)</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2055CA" w:rsidRPr="00E071F9" w:rsidRDefault="002055CA" w:rsidP="002055CA">
      <w:pPr>
        <w:pStyle w:val="Prrafodelista"/>
        <w:spacing w:line="360" w:lineRule="auto"/>
        <w:ind w:left="851"/>
        <w:jc w:val="both"/>
        <w:rPr>
          <w:rFonts w:ascii="Palatino Linotype" w:eastAsia="Palatino Linotype" w:hAnsi="Palatino Linotype" w:cs="Palatino Linotype"/>
          <w:b/>
          <w:i/>
        </w:rPr>
      </w:pPr>
      <w:r w:rsidRPr="00E071F9">
        <w:rPr>
          <w:rFonts w:ascii="Palatino Linotype" w:eastAsia="Palatino Linotype" w:hAnsi="Palatino Linotype" w:cs="Palatino Linotype"/>
          <w:b/>
          <w:i/>
        </w:rPr>
        <w:t xml:space="preserve">Registro Federal de Contribuyentes (RFC) de personas físicas. </w:t>
      </w:r>
    </w:p>
    <w:p w:rsidR="002055CA" w:rsidRPr="00E071F9" w:rsidRDefault="002055CA" w:rsidP="002055CA">
      <w:pPr>
        <w:pStyle w:val="Prrafodelista"/>
        <w:pBdr>
          <w:top w:val="nil"/>
          <w:left w:val="nil"/>
          <w:bottom w:val="nil"/>
          <w:right w:val="nil"/>
          <w:between w:val="nil"/>
        </w:pBdr>
        <w:spacing w:line="360" w:lineRule="auto"/>
        <w:ind w:left="851" w:right="567"/>
        <w:jc w:val="both"/>
        <w:rPr>
          <w:rFonts w:ascii="Palatino Linotype" w:eastAsia="Palatino Linotype" w:hAnsi="Palatino Linotype" w:cs="Palatino Linotype"/>
          <w:i/>
          <w:color w:val="000000"/>
        </w:rPr>
      </w:pPr>
      <w:r w:rsidRPr="00E071F9">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2055CA" w:rsidRPr="00E071F9" w:rsidRDefault="002055CA" w:rsidP="002055CA">
      <w:pPr>
        <w:shd w:val="clear" w:color="auto" w:fill="FFFFFF"/>
        <w:spacing w:before="240" w:after="240" w:line="360" w:lineRule="auto"/>
        <w:jc w:val="both"/>
        <w:rPr>
          <w:rFonts w:ascii="Palatino Linotype" w:hAnsi="Palatino Linotype"/>
          <w:color w:val="222222"/>
        </w:rPr>
      </w:pP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E071F9">
        <w:rPr>
          <w:rFonts w:ascii="Palatino Linotype" w:eastAsia="Palatino Linotype" w:hAnsi="Palatino Linotype" w:cs="Palatino Linotype"/>
          <w:color w:val="000000"/>
        </w:rPr>
        <w:t>, así como tampoco con el desempeño laboral que pueda tener una persona.</w:t>
      </w:r>
      <w:bookmarkStart w:id="7" w:name="_heading=h.35nkun2" w:colFirst="0" w:colLast="0"/>
      <w:bookmarkEnd w:id="7"/>
    </w:p>
    <w:p w:rsidR="002055CA" w:rsidRPr="00E071F9" w:rsidRDefault="002055CA" w:rsidP="002055CA">
      <w:pPr>
        <w:pStyle w:val="Ttulo3"/>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V. Deducciones personales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E071F9">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E071F9">
        <w:rPr>
          <w:rFonts w:ascii="Palatino Linotype" w:eastAsia="Palatino Linotype" w:hAnsi="Palatino Linotype" w:cs="Palatino Linotype"/>
          <w:color w:val="000000"/>
        </w:rPr>
        <w:t>, seguro de vida, accidentes y enfermedades.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w:t>
      </w:r>
      <w:r w:rsidRPr="00E071F9">
        <w:rPr>
          <w:rFonts w:ascii="Palatino Linotype" w:eastAsia="Palatino Linotype" w:hAnsi="Palatino Linotype" w:cs="Palatino Linotype"/>
          <w:color w:val="000000"/>
        </w:rPr>
        <w:lastRenderedPageBreak/>
        <w:t xml:space="preserve">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8" w:name="_heading=h.1ksv4uv" w:colFirst="0" w:colLast="0"/>
      <w:bookmarkEnd w:id="8"/>
    </w:p>
    <w:p w:rsidR="002055CA" w:rsidRPr="00E071F9" w:rsidRDefault="002055CA" w:rsidP="002055CA">
      <w:pPr>
        <w:pStyle w:val="Ttulo3"/>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VI. CÓDIGO QR</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sidRPr="00E071F9">
        <w:rPr>
          <w:rFonts w:ascii="Palatino Linotype" w:eastAsia="Palatino Linotype" w:hAnsi="Palatino Linotype" w:cs="Palatino Linotype"/>
          <w:i/>
          <w:color w:val="000000"/>
        </w:rPr>
        <w:t>QR Code (Quick Response Code)</w:t>
      </w:r>
      <w:r w:rsidRPr="00E071F9">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4">
        <w:r w:rsidRPr="00E071F9">
          <w:rPr>
            <w:rFonts w:ascii="Palatino Linotype" w:eastAsia="Palatino Linotype" w:hAnsi="Palatino Linotype" w:cs="Palatino Linotype"/>
            <w:color w:val="0563C1"/>
            <w:u w:val="single"/>
          </w:rPr>
          <w:t>http://dof.gob.mx/nota_detalle.php?codigo=5492254&amp;fecha=28/07/2017</w:t>
        </w:r>
      </w:hyperlink>
      <w:r w:rsidRPr="00E071F9">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lastRenderedPageBreak/>
        <w:t>Hasta este punto, se considera que la información relacionada con los siguientes puntos actualiza una causal de confidencialidad, toda vez que identifica o hace identificable a su titular.</w:t>
      </w:r>
    </w:p>
    <w:p w:rsidR="002055CA" w:rsidRPr="00E071F9" w:rsidRDefault="002055CA" w:rsidP="002055CA">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Clave Única de Registro de Población (CURP)</w:t>
      </w:r>
    </w:p>
    <w:p w:rsidR="002055CA" w:rsidRPr="00E071F9" w:rsidRDefault="002055CA" w:rsidP="002055CA">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Clave ISSEMyM</w:t>
      </w:r>
    </w:p>
    <w:p w:rsidR="002055CA" w:rsidRPr="00E071F9" w:rsidRDefault="002055CA" w:rsidP="002055CA">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 xml:space="preserve">Número de empleado </w:t>
      </w:r>
      <w:r w:rsidRPr="00E071F9">
        <w:rPr>
          <w:rFonts w:ascii="Palatino Linotype" w:eastAsia="Palatino Linotype" w:hAnsi="Palatino Linotype" w:cs="Palatino Linotype"/>
          <w:b/>
          <w:color w:val="000000"/>
        </w:rPr>
        <w:t>(sólo en el caso de que contenga datos personales o se relacione con los mismos, de lo contrario es información pública)</w:t>
      </w:r>
    </w:p>
    <w:p w:rsidR="002055CA" w:rsidRPr="00E071F9" w:rsidRDefault="002055CA" w:rsidP="002055CA">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Registro Federal de Contribuyentes (RFC)</w:t>
      </w:r>
    </w:p>
    <w:p w:rsidR="002055CA" w:rsidRPr="00E071F9" w:rsidRDefault="002055CA" w:rsidP="002055CA">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color w:val="000000"/>
        </w:rPr>
        <w:t>Deducciones personales</w:t>
      </w:r>
    </w:p>
    <w:p w:rsidR="002055CA" w:rsidRPr="00E071F9" w:rsidRDefault="002055CA" w:rsidP="002055CA">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t>Código QR</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Ahora bien, siguiendo con el análisis de los datos que contienen los recibos remitidos, siguen los siguientes:</w:t>
      </w:r>
      <w:bookmarkStart w:id="9" w:name="_heading=h.44sinio" w:colFirst="0" w:colLast="0"/>
      <w:bookmarkEnd w:id="9"/>
    </w:p>
    <w:p w:rsidR="002055CA" w:rsidRPr="00E071F9" w:rsidRDefault="002055CA" w:rsidP="002055CA">
      <w:pPr>
        <w:pStyle w:val="Ttulo3"/>
        <w:spacing w:line="360" w:lineRule="auto"/>
        <w:ind w:right="397"/>
        <w:jc w:val="both"/>
        <w:rPr>
          <w:rFonts w:ascii="Palatino Linotype" w:eastAsia="Palatino Linotype" w:hAnsi="Palatino Linotype" w:cs="Palatino Linotype"/>
          <w:b/>
          <w:color w:val="000000"/>
        </w:rPr>
      </w:pPr>
      <w:r w:rsidRPr="00E071F9">
        <w:rPr>
          <w:rFonts w:ascii="Palatino Linotype" w:eastAsia="Palatino Linotype" w:hAnsi="Palatino Linotype" w:cs="Palatino Linotype"/>
          <w:b/>
          <w:color w:val="000000"/>
        </w:rPr>
        <w:lastRenderedPageBreak/>
        <w:t>VII. Sellos digitales del emisor y del Servicio de Administración Tributaria y cadena original del complemento de certificación digital del órgano previamente señalado; así como folio fiscal. (PUBLICOS)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Las cadenas originales y sellos que se agregan a las facturas</w:t>
      </w:r>
      <w:r w:rsidRPr="00E071F9">
        <w:rPr>
          <w:rFonts w:ascii="Palatino Linotype" w:eastAsia="Palatino Linotype" w:hAnsi="Palatino Linotype" w:cs="Palatino Linotype"/>
          <w:b/>
          <w:color w:val="000000"/>
        </w:rPr>
        <w:t>,</w:t>
      </w:r>
      <w:r w:rsidRPr="00E071F9">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“Elementos utilizados en la generación de Sellos Digitales:</w:t>
      </w: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•Cadena Original, el elemento a sellar, en este caso de un comprobante fiscal digital a través de Internet.</w:t>
      </w: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lastRenderedPageBreak/>
        <w:t>•Certificado de Sello Digital y su correspondiente clave privada.</w:t>
      </w: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•Algoritmos de criptografía de clave pública para firma electrónica avanzada.</w:t>
      </w: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•Especificaciones de conversión de la firma electrónica avanzada a Base 64.</w:t>
      </w:r>
    </w:p>
    <w:p w:rsidR="002055CA" w:rsidRPr="00E071F9" w:rsidRDefault="002055CA" w:rsidP="002055CA">
      <w:pPr>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Para la generación de sellos digitales se utiliza criptografía de clave pública aplicada a una cadena original.</w:t>
      </w:r>
    </w:p>
    <w:p w:rsidR="002055CA" w:rsidRPr="00E071F9" w:rsidRDefault="002055CA" w:rsidP="002055CA">
      <w:pPr>
        <w:spacing w:line="360" w:lineRule="auto"/>
        <w:ind w:left="851" w:right="539"/>
        <w:jc w:val="both"/>
        <w:rPr>
          <w:rFonts w:ascii="Palatino Linotype" w:eastAsia="Palatino Linotype" w:hAnsi="Palatino Linotype" w:cs="Palatino Linotype"/>
          <w:i/>
        </w:rPr>
      </w:pP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Criptografía de la Clave Pública</w:t>
      </w:r>
    </w:p>
    <w:p w:rsidR="002055CA" w:rsidRPr="00E071F9" w:rsidRDefault="002055CA" w:rsidP="002055CA">
      <w:pPr>
        <w:pStyle w:val="Prrafodelista"/>
        <w:spacing w:line="360" w:lineRule="auto"/>
        <w:ind w:left="851" w:right="539"/>
        <w:jc w:val="both"/>
        <w:rPr>
          <w:rFonts w:ascii="Palatino Linotype" w:eastAsia="Palatino Linotype" w:hAnsi="Palatino Linotype" w:cs="Palatino Linotype"/>
          <w:i/>
        </w:rPr>
      </w:pPr>
      <w:r w:rsidRPr="00E071F9">
        <w:rPr>
          <w:rFonts w:ascii="Palatino Linotype" w:eastAsia="Palatino Linotype" w:hAnsi="Palatino Linotype" w:cs="Palatino Linotype"/>
          <w:i/>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 xml:space="preserve">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w:t>
      </w:r>
      <w:r w:rsidRPr="00E071F9">
        <w:rPr>
          <w:rFonts w:ascii="Palatino Linotype" w:eastAsia="Palatino Linotype" w:hAnsi="Palatino Linotype" w:cs="Palatino Linotype"/>
          <w:color w:val="000000"/>
        </w:rPr>
        <w:lastRenderedPageBreak/>
        <w:t>comprobante fiscal. Es un número consecutivo contenido en los comprobantes fiscales digitales, compuesto por 5 grupos de números y letras separados por guiones, tal como se muestra a continuación:</w:t>
      </w:r>
    </w:p>
    <w:p w:rsidR="002055CA" w:rsidRPr="00E071F9" w:rsidRDefault="002055CA" w:rsidP="002055CA">
      <w:pPr>
        <w:shd w:val="clear" w:color="auto" w:fill="FFFFFF"/>
        <w:spacing w:before="240" w:after="240" w:line="360" w:lineRule="auto"/>
        <w:jc w:val="both"/>
        <w:rPr>
          <w:rFonts w:ascii="Palatino Linotype" w:hAnsi="Palatino Linotype"/>
          <w:color w:val="222222"/>
        </w:rPr>
      </w:pPr>
      <w:r w:rsidRPr="00E071F9">
        <w:rPr>
          <w:rFonts w:ascii="Palatino Linotype" w:eastAsia="Palatino Linotype" w:hAnsi="Palatino Linotype" w:cs="Palatino Linotype"/>
          <w:noProof/>
        </w:rPr>
        <w:drawing>
          <wp:inline distT="0" distB="0" distL="0" distR="0" wp14:anchorId="1312E1EA" wp14:editId="56719903">
            <wp:extent cx="5612130" cy="42473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t="40505" r="32588" b="47482"/>
                    <a:stretch>
                      <a:fillRect/>
                    </a:stretch>
                  </pic:blipFill>
                  <pic:spPr>
                    <a:xfrm>
                      <a:off x="0" y="0"/>
                      <a:ext cx="5612130" cy="424735"/>
                    </a:xfrm>
                    <a:prstGeom prst="rect">
                      <a:avLst/>
                    </a:prstGeom>
                    <a:ln/>
                  </pic:spPr>
                </pic:pic>
              </a:graphicData>
            </a:graphic>
          </wp:inline>
        </w:drawing>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eastAsia="Palatino Linotype" w:hAnsi="Palatino Linotype" w:cs="Palatino Linotype"/>
          <w:color w:val="000000"/>
        </w:rPr>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E071F9" w:rsidRPr="00E071F9" w:rsidRDefault="00E071F9" w:rsidP="00E071F9">
      <w:pPr>
        <w:shd w:val="clear" w:color="auto" w:fill="FFFFFF"/>
        <w:spacing w:before="240" w:after="240" w:line="360" w:lineRule="auto"/>
        <w:jc w:val="both"/>
        <w:rPr>
          <w:rFonts w:ascii="Palatino Linotype" w:hAnsi="Palatino Linotype"/>
          <w:color w:val="222222"/>
        </w:rPr>
      </w:pPr>
    </w:p>
    <w:p w:rsidR="002055CA" w:rsidRPr="00E071F9" w:rsidRDefault="002055CA" w:rsidP="002055CA">
      <w:pPr>
        <w:pStyle w:val="Prrafodelista"/>
        <w:spacing w:line="360" w:lineRule="auto"/>
        <w:ind w:left="0"/>
        <w:jc w:val="both"/>
        <w:rPr>
          <w:rFonts w:ascii="Palatino Linotype" w:hAnsi="Palatino Linotype" w:cs="Arial"/>
          <w:b/>
        </w:rPr>
      </w:pPr>
      <w:r w:rsidRPr="00E071F9">
        <w:rPr>
          <w:rFonts w:ascii="Palatino Linotype" w:hAnsi="Palatino Linotype" w:cs="Arial"/>
          <w:b/>
        </w:rPr>
        <w:lastRenderedPageBreak/>
        <w:t>Deducciones que no son personales.</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hAnsi="Palatino Linotype" w:cs="Arial"/>
        </w:rPr>
        <w:t>La Ley del Trabajo de los Servidores Públicos del Estado y Municipios</w:t>
      </w:r>
      <w:r w:rsidRPr="00E071F9">
        <w:rPr>
          <w:rStyle w:val="Refdenotaalpie"/>
          <w:rFonts w:ascii="Palatino Linotype" w:hAnsi="Palatino Linotype" w:cs="Arial"/>
        </w:rPr>
        <w:footnoteReference w:id="4"/>
      </w:r>
      <w:r w:rsidRPr="00E071F9">
        <w:rPr>
          <w:rFonts w:ascii="Palatino Linotype" w:hAnsi="Palatino Linotype" w:cs="Arial"/>
        </w:rPr>
        <w:t xml:space="preserve"> en el artículo 84 establece lo siguiente:</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 xml:space="preserve">ARTÍCULO 84. Sólo podrán hacerse retenciones, descuentos o deducciones al sueldo de los servidores públicos por concepto de: </w:t>
      </w:r>
    </w:p>
    <w:p w:rsidR="002055CA" w:rsidRPr="00E071F9" w:rsidRDefault="002055CA" w:rsidP="002055CA">
      <w:pPr>
        <w:pStyle w:val="Prrafodelista"/>
        <w:spacing w:line="360" w:lineRule="auto"/>
        <w:ind w:left="851" w:right="822"/>
        <w:jc w:val="both"/>
        <w:rPr>
          <w:rFonts w:ascii="Palatino Linotype" w:hAnsi="Palatino Linotype"/>
          <w:b/>
          <w:i/>
        </w:rPr>
      </w:pPr>
      <w:r w:rsidRPr="00E071F9">
        <w:rPr>
          <w:rFonts w:ascii="Palatino Linotype" w:hAnsi="Palatino Linotype"/>
          <w:b/>
          <w:i/>
        </w:rPr>
        <w:t>I. Gravámenes fiscales relacionados con el sueldo;</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 xml:space="preserve">III. Cuotas sindicales; </w:t>
      </w:r>
    </w:p>
    <w:p w:rsidR="002055CA" w:rsidRPr="00E071F9" w:rsidRDefault="002055CA" w:rsidP="002055CA">
      <w:pPr>
        <w:pStyle w:val="Prrafodelista"/>
        <w:spacing w:line="360" w:lineRule="auto"/>
        <w:ind w:left="851" w:right="822"/>
        <w:jc w:val="both"/>
        <w:rPr>
          <w:rFonts w:ascii="Palatino Linotype" w:hAnsi="Palatino Linotype"/>
          <w:b/>
          <w:i/>
        </w:rPr>
      </w:pPr>
      <w:r w:rsidRPr="00E071F9">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rsidR="002055CA" w:rsidRPr="00E071F9" w:rsidRDefault="002055CA" w:rsidP="002055CA">
      <w:pPr>
        <w:pStyle w:val="Prrafodelista"/>
        <w:spacing w:line="360" w:lineRule="auto"/>
        <w:ind w:left="851" w:right="822"/>
        <w:jc w:val="both"/>
        <w:rPr>
          <w:rFonts w:ascii="Palatino Linotype" w:hAnsi="Palatino Linotype"/>
          <w:b/>
          <w:i/>
        </w:rPr>
      </w:pPr>
      <w:r w:rsidRPr="00E071F9">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 xml:space="preserve">VI. Obligaciones a cargo del servidor público con las que haya consentido, derivadas de la adquisición o del uso de habitaciones consideradas como de interés social; </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 xml:space="preserve">VII. Faltas de puntualidad o de asistencia injustificadas; </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 xml:space="preserve">VIII. Pensiones alimenticias ordenadas por la autoridad judicial; o </w:t>
      </w:r>
    </w:p>
    <w:p w:rsidR="002055CA" w:rsidRPr="00E071F9" w:rsidRDefault="002055CA" w:rsidP="002055CA">
      <w:pPr>
        <w:pStyle w:val="Prrafodelista"/>
        <w:spacing w:line="360" w:lineRule="auto"/>
        <w:ind w:left="851" w:right="822"/>
        <w:jc w:val="both"/>
        <w:rPr>
          <w:rFonts w:ascii="Palatino Linotype" w:hAnsi="Palatino Linotype"/>
          <w:i/>
        </w:rPr>
      </w:pPr>
      <w:r w:rsidRPr="00E071F9">
        <w:rPr>
          <w:rFonts w:ascii="Palatino Linotype" w:hAnsi="Palatino Linotype"/>
          <w:i/>
        </w:rPr>
        <w:t>IX. Cualquier otro convenido con instituciones de servicios y aceptado por el servidor público.</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hAnsi="Palatino Linotype" w:cs="Arial"/>
        </w:rPr>
        <w:lastRenderedPageBreak/>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2055CA" w:rsidRPr="00E071F9" w:rsidRDefault="002055CA" w:rsidP="002055CA">
      <w:pPr>
        <w:pStyle w:val="Prrafodelista"/>
        <w:spacing w:line="360" w:lineRule="auto"/>
        <w:ind w:left="0"/>
        <w:jc w:val="both"/>
        <w:rPr>
          <w:rFonts w:ascii="Palatino Linotype" w:hAnsi="Palatino Linotype" w:cs="Arial"/>
        </w:rPr>
      </w:pPr>
      <w:r w:rsidRPr="00E071F9">
        <w:rPr>
          <w:rFonts w:ascii="Palatino Linotype" w:hAnsi="Palatino Linotype" w:cs="Arial"/>
          <w:b/>
        </w:rPr>
        <w:t>Seguro de Capitalización Individualizado.</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2055CA" w:rsidRPr="00E071F9" w:rsidRDefault="002055CA" w:rsidP="002055CA">
      <w:pPr>
        <w:pStyle w:val="Prrafodelista"/>
        <w:spacing w:line="360" w:lineRule="auto"/>
        <w:ind w:left="851" w:right="822"/>
        <w:jc w:val="both"/>
        <w:rPr>
          <w:rFonts w:ascii="Palatino Linotype" w:hAnsi="Palatino Linotype" w:cs="Arial"/>
        </w:rPr>
      </w:pPr>
      <w:r w:rsidRPr="00E071F9">
        <w:rPr>
          <w:rFonts w:ascii="Palatino Linotype" w:hAnsi="Palatino Linotype" w:cs="Arial"/>
        </w:rPr>
        <w:t>•</w:t>
      </w:r>
      <w:r w:rsidRPr="00E071F9">
        <w:rPr>
          <w:rFonts w:ascii="Palatino Linotype" w:hAnsi="Palatino Linotype" w:cs="Arial"/>
        </w:rPr>
        <w:tab/>
        <w:t>Subcuenta de cuota obligatoria; que corresponde a un porcentaje del sueldo sujeto a cotización, que se descuenta al servir público de manera automática.</w:t>
      </w:r>
    </w:p>
    <w:p w:rsidR="002055CA" w:rsidRPr="00E071F9" w:rsidRDefault="002055CA" w:rsidP="002055CA">
      <w:pPr>
        <w:pStyle w:val="Prrafodelista"/>
        <w:spacing w:line="360" w:lineRule="auto"/>
        <w:ind w:left="851" w:right="822"/>
        <w:jc w:val="both"/>
        <w:rPr>
          <w:rFonts w:ascii="Palatino Linotype" w:hAnsi="Palatino Linotype" w:cs="Arial"/>
        </w:rPr>
      </w:pPr>
      <w:r w:rsidRPr="00E071F9">
        <w:rPr>
          <w:rFonts w:ascii="Palatino Linotype" w:hAnsi="Palatino Linotype" w:cs="Arial"/>
        </w:rPr>
        <w:t>•</w:t>
      </w:r>
      <w:r w:rsidRPr="00E071F9">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2055CA" w:rsidRPr="00E071F9" w:rsidRDefault="002055CA" w:rsidP="002055CA">
      <w:pPr>
        <w:pStyle w:val="Prrafodelista"/>
        <w:spacing w:line="360" w:lineRule="auto"/>
        <w:ind w:left="851" w:right="822"/>
        <w:jc w:val="both"/>
        <w:rPr>
          <w:rFonts w:ascii="Palatino Linotype" w:hAnsi="Palatino Linotype" w:cs="Arial"/>
        </w:rPr>
      </w:pPr>
      <w:r w:rsidRPr="00E071F9">
        <w:rPr>
          <w:rFonts w:ascii="Palatino Linotype" w:hAnsi="Palatino Linotype" w:cs="Arial"/>
        </w:rPr>
        <w:t>•</w:t>
      </w:r>
      <w:r w:rsidRPr="00E071F9">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hAnsi="Palatino Linotype" w:cs="Arial"/>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w:t>
      </w:r>
      <w:r w:rsidRPr="00E071F9">
        <w:rPr>
          <w:rFonts w:ascii="Palatino Linotype" w:hAnsi="Palatino Linotype" w:cs="Arial"/>
        </w:rPr>
        <w:lastRenderedPageBreak/>
        <w:t xml:space="preserve">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2055CA" w:rsidRPr="00E071F9" w:rsidRDefault="002055CA" w:rsidP="002055CA">
      <w:pPr>
        <w:pStyle w:val="Prrafodelista"/>
        <w:spacing w:line="360" w:lineRule="auto"/>
        <w:ind w:left="567" w:right="822"/>
        <w:jc w:val="both"/>
        <w:rPr>
          <w:rFonts w:ascii="Palatino Linotype" w:hAnsi="Palatino Linotype" w:cs="Arial"/>
          <w:i/>
        </w:rPr>
      </w:pPr>
      <w:r w:rsidRPr="00E071F9">
        <w:rPr>
          <w:rFonts w:ascii="Palatino Linotype" w:hAnsi="Palatino Linotype" w:cs="Arial"/>
          <w:i/>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w:t>
      </w:r>
      <w:r w:rsidRPr="00E071F9">
        <w:rPr>
          <w:rFonts w:ascii="Palatino Linotype" w:hAnsi="Palatino Linotype" w:cs="Arial"/>
          <w:i/>
        </w:rPr>
        <w:lastRenderedPageBreak/>
        <w:t>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E071F9">
        <w:rPr>
          <w:rFonts w:ascii="Palatino Linotype" w:hAnsi="Palatino Linotype" w:cs="Arial"/>
        </w:rPr>
        <w:t xml:space="preserve"> </w:t>
      </w:r>
    </w:p>
    <w:p w:rsidR="002055CA" w:rsidRPr="00E071F9" w:rsidRDefault="002055CA" w:rsidP="002055CA">
      <w:pPr>
        <w:numPr>
          <w:ilvl w:val="0"/>
          <w:numId w:val="2"/>
        </w:numPr>
        <w:shd w:val="clear" w:color="auto" w:fill="FFFFFF"/>
        <w:spacing w:before="240" w:after="240" w:line="360" w:lineRule="auto"/>
        <w:ind w:left="0" w:firstLine="0"/>
        <w:jc w:val="both"/>
        <w:rPr>
          <w:rFonts w:ascii="Palatino Linotype" w:hAnsi="Palatino Linotype"/>
          <w:color w:val="222222"/>
        </w:rPr>
      </w:pPr>
      <w:r w:rsidRPr="00E071F9">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2055CA" w:rsidRPr="00E071F9" w:rsidRDefault="002055CA" w:rsidP="002055CA">
      <w:pPr>
        <w:numPr>
          <w:ilvl w:val="0"/>
          <w:numId w:val="2"/>
        </w:numPr>
        <w:spacing w:line="360" w:lineRule="auto"/>
        <w:ind w:left="0" w:firstLine="0"/>
        <w:jc w:val="both"/>
        <w:rPr>
          <w:rFonts w:ascii="Palatino Linotype" w:eastAsia="Palatino Linotype" w:hAnsi="Palatino Linotype" w:cs="Palatino Linotype"/>
        </w:rPr>
      </w:pPr>
      <w:r w:rsidRPr="00E071F9">
        <w:rPr>
          <w:rFonts w:ascii="Palatino Linotype" w:eastAsia="Palatino Linotype" w:hAnsi="Palatino Linotype" w:cs="Palatino Linotype"/>
          <w:color w:val="000000"/>
        </w:rPr>
        <w:t xml:space="preserve">Por lo anteriormente expuesto y fundado, este </w:t>
      </w:r>
      <w:r w:rsidRPr="00E071F9">
        <w:rPr>
          <w:rFonts w:ascii="Palatino Linotype" w:eastAsia="Palatino Linotype" w:hAnsi="Palatino Linotype" w:cs="Palatino Linotype"/>
          <w:b/>
          <w:bCs/>
          <w:color w:val="000000"/>
        </w:rPr>
        <w:t>ÓRGANO GARANTE</w:t>
      </w:r>
      <w:r w:rsidRPr="00E071F9">
        <w:rPr>
          <w:rFonts w:ascii="Palatino Linotype" w:eastAsia="Palatino Linotype" w:hAnsi="Palatino Linotype" w:cs="Palatino Linotype"/>
          <w:color w:val="000000"/>
        </w:rPr>
        <w:t xml:space="preserve"> emite los siguientes:</w:t>
      </w:r>
    </w:p>
    <w:p w:rsidR="002055CA" w:rsidRPr="00E071F9" w:rsidRDefault="002055CA" w:rsidP="002055CA">
      <w:pPr>
        <w:keepNext/>
        <w:keepLines/>
        <w:spacing w:before="240" w:line="360" w:lineRule="auto"/>
        <w:jc w:val="center"/>
        <w:rPr>
          <w:rFonts w:ascii="Palatino Linotype" w:eastAsia="Palatino Linotype" w:hAnsi="Palatino Linotype" w:cs="Palatino Linotype"/>
          <w:b/>
          <w:bCs/>
          <w:color w:val="000000"/>
        </w:rPr>
      </w:pPr>
      <w:r w:rsidRPr="00E071F9">
        <w:rPr>
          <w:rFonts w:ascii="Palatino Linotype" w:eastAsia="Palatino Linotype" w:hAnsi="Palatino Linotype" w:cs="Palatino Linotype"/>
          <w:b/>
          <w:bCs/>
          <w:color w:val="000000"/>
        </w:rPr>
        <w:t>R E S O L U T I V O S</w:t>
      </w:r>
    </w:p>
    <w:p w:rsidR="002055CA" w:rsidRPr="00E071F9" w:rsidRDefault="002055CA" w:rsidP="002055CA">
      <w:pPr>
        <w:keepNext/>
        <w:keepLines/>
        <w:spacing w:before="240" w:line="360" w:lineRule="auto"/>
        <w:jc w:val="center"/>
        <w:rPr>
          <w:rFonts w:ascii="Palatino Linotype" w:eastAsia="Palatino Linotype" w:hAnsi="Palatino Linotype" w:cs="Palatino Linotype"/>
          <w:b/>
          <w:bCs/>
          <w:color w:val="000000"/>
        </w:rPr>
      </w:pPr>
    </w:p>
    <w:p w:rsidR="002055CA" w:rsidRPr="00E071F9" w:rsidRDefault="002055CA" w:rsidP="002055CA">
      <w:pPr>
        <w:spacing w:line="360" w:lineRule="auto"/>
        <w:jc w:val="both"/>
        <w:rPr>
          <w:rFonts w:ascii="Palatino Linotype" w:eastAsia="Palatino Linotype" w:hAnsi="Palatino Linotype" w:cs="Palatino Linotype"/>
        </w:rPr>
      </w:pPr>
      <w:r w:rsidRPr="00E071F9">
        <w:rPr>
          <w:rFonts w:ascii="Palatino Linotype" w:eastAsia="Palatino Linotype" w:hAnsi="Palatino Linotype" w:cs="Palatino Linotype"/>
          <w:b/>
          <w:bCs/>
        </w:rPr>
        <w:t xml:space="preserve">PRIMERO. </w:t>
      </w:r>
      <w:r w:rsidRPr="00E071F9">
        <w:rPr>
          <w:rFonts w:ascii="Palatino Linotype" w:eastAsia="Palatino Linotype" w:hAnsi="Palatino Linotype" w:cs="Palatino Linotype"/>
        </w:rPr>
        <w:t>Resultan fundadas las</w:t>
      </w:r>
      <w:r w:rsidRPr="00E071F9">
        <w:rPr>
          <w:rFonts w:ascii="Palatino Linotype" w:eastAsia="Palatino Linotype" w:hAnsi="Palatino Linotype" w:cs="Palatino Linotype"/>
          <w:b/>
          <w:bCs/>
        </w:rPr>
        <w:t xml:space="preserve"> </w:t>
      </w:r>
      <w:r w:rsidRPr="00E071F9">
        <w:rPr>
          <w:rFonts w:ascii="Palatino Linotype" w:eastAsia="Palatino Linotype" w:hAnsi="Palatino Linotype" w:cs="Palatino Linotype"/>
        </w:rPr>
        <w:t xml:space="preserve">razones o motivos de inconformidad hechos valer en el recurso de revisión </w:t>
      </w:r>
      <w:r w:rsidR="000B4A28" w:rsidRPr="00E071F9">
        <w:rPr>
          <w:rFonts w:ascii="Palatino Linotype" w:eastAsia="Palatino Linotype" w:hAnsi="Palatino Linotype" w:cs="Palatino Linotype"/>
          <w:b/>
          <w:bCs/>
        </w:rPr>
        <w:t>03018/INFOEM/IP/RR/2026</w:t>
      </w:r>
      <w:r w:rsidRPr="00E071F9">
        <w:rPr>
          <w:rFonts w:ascii="Palatino Linotype" w:eastAsia="Palatino Linotype" w:hAnsi="Palatino Linotype" w:cs="Palatino Linotype"/>
          <w:b/>
          <w:bCs/>
        </w:rPr>
        <w:t xml:space="preserve"> </w:t>
      </w:r>
      <w:r w:rsidRPr="00E071F9">
        <w:rPr>
          <w:rFonts w:ascii="Palatino Linotype" w:eastAsia="Palatino Linotype" w:hAnsi="Palatino Linotype" w:cs="Palatino Linotype"/>
        </w:rPr>
        <w:t xml:space="preserve">en términos del </w:t>
      </w:r>
      <w:r w:rsidRPr="00E071F9">
        <w:rPr>
          <w:rFonts w:ascii="Palatino Linotype" w:eastAsia="Palatino Linotype" w:hAnsi="Palatino Linotype" w:cs="Palatino Linotype"/>
          <w:b/>
          <w:bCs/>
        </w:rPr>
        <w:t>Considerando</w:t>
      </w:r>
      <w:r w:rsidRPr="00E071F9">
        <w:rPr>
          <w:rFonts w:ascii="Palatino Linotype" w:eastAsia="Palatino Linotype" w:hAnsi="Palatino Linotype" w:cs="Palatino Linotype"/>
        </w:rPr>
        <w:t xml:space="preserve"> </w:t>
      </w:r>
      <w:r w:rsidRPr="00E071F9">
        <w:rPr>
          <w:rFonts w:ascii="Palatino Linotype" w:eastAsia="Palatino Linotype" w:hAnsi="Palatino Linotype" w:cs="Palatino Linotype"/>
          <w:b/>
          <w:bCs/>
        </w:rPr>
        <w:t xml:space="preserve">CUARTO y QUINTO </w:t>
      </w:r>
      <w:r w:rsidRPr="00E071F9">
        <w:rPr>
          <w:rFonts w:ascii="Palatino Linotype" w:eastAsia="Palatino Linotype" w:hAnsi="Palatino Linotype" w:cs="Palatino Linotype"/>
        </w:rPr>
        <w:t>de la presente resolución.</w:t>
      </w:r>
    </w:p>
    <w:p w:rsidR="002055CA" w:rsidRPr="00E071F9" w:rsidRDefault="002055CA" w:rsidP="002055CA">
      <w:pPr>
        <w:spacing w:line="360" w:lineRule="auto"/>
        <w:jc w:val="both"/>
        <w:rPr>
          <w:rFonts w:ascii="Palatino Linotype" w:eastAsia="Palatino Linotype" w:hAnsi="Palatino Linotype" w:cs="Palatino Linotype"/>
        </w:rPr>
      </w:pPr>
    </w:p>
    <w:p w:rsidR="002055CA" w:rsidRPr="00E071F9" w:rsidRDefault="002055CA" w:rsidP="002055CA">
      <w:pPr>
        <w:spacing w:line="360" w:lineRule="auto"/>
        <w:jc w:val="both"/>
        <w:rPr>
          <w:rFonts w:ascii="Palatino Linotype" w:eastAsia="Palatino Linotype" w:hAnsi="Palatino Linotype" w:cs="Palatino Linotype"/>
        </w:rPr>
      </w:pPr>
      <w:bookmarkStart w:id="10" w:name="_heading=h.26in1rg" w:colFirst="0" w:colLast="0"/>
      <w:bookmarkEnd w:id="10"/>
      <w:r w:rsidRPr="00E071F9">
        <w:rPr>
          <w:rFonts w:ascii="Palatino Linotype" w:eastAsia="Palatino Linotype" w:hAnsi="Palatino Linotype" w:cs="Palatino Linotype"/>
          <w:b/>
          <w:bCs/>
        </w:rPr>
        <w:t>SEGUNDO.</w:t>
      </w:r>
      <w:r w:rsidRPr="00E071F9">
        <w:rPr>
          <w:rFonts w:ascii="Palatino Linotype" w:eastAsia="Palatino Linotype" w:hAnsi="Palatino Linotype" w:cs="Palatino Linotype"/>
          <w:color w:val="2F5496"/>
        </w:rPr>
        <w:t xml:space="preserve"> </w:t>
      </w:r>
      <w:r w:rsidRPr="00E071F9">
        <w:rPr>
          <w:rFonts w:ascii="Palatino Linotype" w:eastAsia="Palatino Linotype" w:hAnsi="Palatino Linotype" w:cs="Palatino Linotype"/>
        </w:rPr>
        <w:t>Se</w:t>
      </w:r>
      <w:r w:rsidRPr="00E071F9">
        <w:rPr>
          <w:rFonts w:ascii="Palatino Linotype" w:eastAsia="Palatino Linotype" w:hAnsi="Palatino Linotype" w:cs="Palatino Linotype"/>
          <w:b/>
          <w:bCs/>
        </w:rPr>
        <w:t xml:space="preserve"> MODIFICA </w:t>
      </w:r>
      <w:r w:rsidR="006C5DEC" w:rsidRPr="00E071F9">
        <w:rPr>
          <w:rFonts w:ascii="Palatino Linotype" w:eastAsia="Palatino Linotype" w:hAnsi="Palatino Linotype" w:cs="Palatino Linotype"/>
        </w:rPr>
        <w:t>la respuesta emitida por la</w:t>
      </w:r>
      <w:r w:rsidRPr="00E071F9">
        <w:rPr>
          <w:rFonts w:ascii="Palatino Linotype" w:eastAsia="Palatino Linotype" w:hAnsi="Palatino Linotype" w:cs="Palatino Linotype"/>
        </w:rPr>
        <w:t xml:space="preserve"> </w:t>
      </w:r>
      <w:r w:rsidR="000B4A28" w:rsidRPr="00E071F9">
        <w:rPr>
          <w:rFonts w:ascii="Palatino Linotype" w:eastAsia="Palatino Linotype" w:hAnsi="Palatino Linotype" w:cs="Palatino Linotype"/>
          <w:b/>
          <w:bCs/>
        </w:rPr>
        <w:t xml:space="preserve">Comisión del Agua del Estado de México </w:t>
      </w:r>
      <w:r w:rsidRPr="00E071F9">
        <w:rPr>
          <w:rFonts w:ascii="Palatino Linotype" w:eastAsia="Palatino Linotype" w:hAnsi="Palatino Linotype" w:cs="Palatino Linotype"/>
        </w:rPr>
        <w:t xml:space="preserve">a la solicitud </w:t>
      </w:r>
      <w:hyperlink r:id="rId16" w:history="1">
        <w:r w:rsidR="000B4A28" w:rsidRPr="00E071F9">
          <w:rPr>
            <w:rStyle w:val="Hipervnculo"/>
            <w:rFonts w:ascii="Palatino Linotype" w:eastAsia="Palatino Linotype" w:hAnsi="Palatino Linotype" w:cs="Palatino Linotype"/>
            <w:b/>
            <w:bCs/>
            <w:color w:val="auto"/>
            <w:u w:val="none"/>
          </w:rPr>
          <w:t>00051/CAEM/IP/2026</w:t>
        </w:r>
      </w:hyperlink>
      <w:r w:rsidRPr="00E071F9">
        <w:rPr>
          <w:rFonts w:ascii="Palatino Linotype" w:eastAsia="Palatino Linotype" w:hAnsi="Palatino Linotype" w:cs="Palatino Linotype"/>
          <w:b/>
          <w:bCs/>
        </w:rPr>
        <w:t>,</w:t>
      </w:r>
      <w:r w:rsidRPr="00E071F9">
        <w:rPr>
          <w:rFonts w:ascii="Palatino Linotype" w:eastAsia="Palatino Linotype" w:hAnsi="Palatino Linotype" w:cs="Palatino Linotype"/>
        </w:rPr>
        <w:t xml:space="preserve"> y se </w:t>
      </w:r>
      <w:r w:rsidRPr="00E071F9">
        <w:rPr>
          <w:rFonts w:ascii="Palatino Linotype" w:eastAsia="Palatino Linotype" w:hAnsi="Palatino Linotype" w:cs="Palatino Linotype"/>
          <w:b/>
          <w:bCs/>
        </w:rPr>
        <w:t>ORDENA</w:t>
      </w:r>
      <w:r w:rsidRPr="00E071F9">
        <w:rPr>
          <w:rFonts w:ascii="Palatino Linotype" w:eastAsia="Palatino Linotype" w:hAnsi="Palatino Linotype" w:cs="Palatino Linotype"/>
        </w:rPr>
        <w:t xml:space="preserve"> la entrega, a través del Sistema de </w:t>
      </w:r>
      <w:r w:rsidRPr="00E071F9">
        <w:rPr>
          <w:rFonts w:ascii="Palatino Linotype" w:eastAsia="Palatino Linotype" w:hAnsi="Palatino Linotype" w:cs="Palatino Linotype"/>
        </w:rPr>
        <w:lastRenderedPageBreak/>
        <w:t>Acceso a la Información Mexiquense, de ser procedente en versión pública, la siguiente información:</w:t>
      </w:r>
    </w:p>
    <w:p w:rsidR="002055CA" w:rsidRPr="00E071F9" w:rsidRDefault="002055CA" w:rsidP="002055CA">
      <w:pPr>
        <w:spacing w:line="360" w:lineRule="auto"/>
        <w:jc w:val="both"/>
        <w:rPr>
          <w:rFonts w:ascii="Palatino Linotype" w:eastAsia="Palatino Linotype" w:hAnsi="Palatino Linotype" w:cs="Palatino Linotype"/>
        </w:rPr>
      </w:pPr>
    </w:p>
    <w:p w:rsidR="000B4A28" w:rsidRPr="00E071F9" w:rsidRDefault="000B4A28" w:rsidP="000B4A28">
      <w:pPr>
        <w:pStyle w:val="Prrafodelista"/>
        <w:numPr>
          <w:ilvl w:val="1"/>
          <w:numId w:val="4"/>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rPr>
      </w:pPr>
      <w:bookmarkStart w:id="11" w:name="_heading=h.6oxbj6l8i40c" w:colFirst="0" w:colLast="0"/>
      <w:bookmarkEnd w:id="11"/>
      <w:r w:rsidRPr="00E071F9">
        <w:rPr>
          <w:rFonts w:ascii="Palatino Linotype" w:eastAsia="Palatino Linotype" w:hAnsi="Palatino Linotype" w:cs="Palatino Linotype"/>
          <w:b/>
        </w:rPr>
        <w:t xml:space="preserve">Soporte documental donde conste el sueldo bruto y neto mensual del servidor público referido en la solicitud de información, vigente a la fecha de la solicitud. </w:t>
      </w:r>
    </w:p>
    <w:p w:rsidR="000B4A28" w:rsidRPr="00E071F9" w:rsidRDefault="000B4A28" w:rsidP="000B4A28">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b/>
        </w:rPr>
      </w:pPr>
    </w:p>
    <w:p w:rsidR="002055CA" w:rsidRPr="00E071F9" w:rsidRDefault="002055CA" w:rsidP="002055CA">
      <w:pPr>
        <w:tabs>
          <w:tab w:val="left" w:pos="993"/>
        </w:tabs>
        <w:spacing w:line="360" w:lineRule="auto"/>
        <w:jc w:val="both"/>
        <w:rPr>
          <w:rFonts w:ascii="Palatino Linotype" w:eastAsia="Palatino Linotype" w:hAnsi="Palatino Linotype" w:cs="Palatino Linotype"/>
        </w:rPr>
      </w:pPr>
      <w:r w:rsidRPr="00E071F9">
        <w:rPr>
          <w:rFonts w:ascii="Palatino Linotype" w:eastAsia="Palatino Linotype" w:hAnsi="Palatino Linotype" w:cs="Palatino Linotype"/>
          <w:color w:val="000000"/>
        </w:rPr>
        <w:t xml:space="preserve">Para </w:t>
      </w:r>
      <w:r w:rsidRPr="00E071F9">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E071F9">
        <w:rPr>
          <w:rFonts w:ascii="Palatino Linotype" w:eastAsia="Palatino Linotype" w:hAnsi="Palatino Linotype" w:cs="Palatino Linotype"/>
          <w:b/>
          <w:bCs/>
        </w:rPr>
        <w:t>RECURRENTE</w:t>
      </w:r>
      <w:r w:rsidRPr="00E071F9">
        <w:rPr>
          <w:rFonts w:ascii="Palatino Linotype" w:eastAsia="Palatino Linotype" w:hAnsi="Palatino Linotype" w:cs="Palatino Linotype"/>
        </w:rPr>
        <w:t>.</w:t>
      </w:r>
    </w:p>
    <w:p w:rsidR="002055CA" w:rsidRPr="00E071F9" w:rsidRDefault="002055CA" w:rsidP="002055CA">
      <w:pPr>
        <w:tabs>
          <w:tab w:val="left" w:pos="993"/>
        </w:tabs>
        <w:spacing w:line="360" w:lineRule="auto"/>
        <w:jc w:val="both"/>
        <w:rPr>
          <w:rFonts w:ascii="Palatino Linotype" w:eastAsia="Palatino Linotype" w:hAnsi="Palatino Linotype" w:cs="Palatino Linotype"/>
        </w:rPr>
      </w:pPr>
    </w:p>
    <w:p w:rsidR="002055CA" w:rsidRPr="00E071F9" w:rsidRDefault="002055CA" w:rsidP="002055CA">
      <w:pPr>
        <w:shd w:val="clear" w:color="auto" w:fill="FFFFFF"/>
        <w:spacing w:line="360" w:lineRule="auto"/>
        <w:jc w:val="both"/>
        <w:rPr>
          <w:rFonts w:ascii="Palatino Linotype" w:eastAsia="Palatino Linotype" w:hAnsi="Palatino Linotype" w:cs="Palatino Linotype"/>
          <w:color w:val="222222"/>
        </w:rPr>
      </w:pPr>
      <w:r w:rsidRPr="00E071F9">
        <w:rPr>
          <w:rFonts w:ascii="Palatino Linotype" w:eastAsia="Palatino Linotype" w:hAnsi="Palatino Linotype" w:cs="Palatino Linotype"/>
          <w:b/>
          <w:bCs/>
          <w:color w:val="222222"/>
        </w:rPr>
        <w:t xml:space="preserve">TERCERO. </w:t>
      </w:r>
      <w:r w:rsidRPr="00E071F9">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E071F9">
        <w:rPr>
          <w:rFonts w:ascii="Palatino Linotype" w:eastAsia="Palatino Linotype" w:hAnsi="Palatino Linotype" w:cs="Palatino Linotype"/>
          <w:b/>
          <w:bCs/>
          <w:color w:val="222222"/>
        </w:rPr>
        <w:t>dé cumplimiento a lo ordenado dentro del plazo de diez días hábiles,</w:t>
      </w:r>
      <w:r w:rsidRPr="00E071F9">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055CA" w:rsidRPr="00E071F9" w:rsidRDefault="002055CA" w:rsidP="002055CA">
      <w:pPr>
        <w:shd w:val="clear" w:color="auto" w:fill="FFFFFF"/>
        <w:spacing w:line="360" w:lineRule="auto"/>
        <w:jc w:val="both"/>
        <w:rPr>
          <w:rFonts w:ascii="Palatino Linotype" w:eastAsia="Palatino Linotype" w:hAnsi="Palatino Linotype" w:cs="Palatino Linotype"/>
          <w:b/>
          <w:bCs/>
          <w:color w:val="222222"/>
        </w:rPr>
      </w:pPr>
    </w:p>
    <w:p w:rsidR="002055CA" w:rsidRPr="00E071F9" w:rsidRDefault="002055CA" w:rsidP="002055CA">
      <w:pPr>
        <w:shd w:val="clear" w:color="auto" w:fill="FFFFFF"/>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b/>
          <w:bCs/>
          <w:color w:val="000000"/>
        </w:rPr>
        <w:lastRenderedPageBreak/>
        <w:t>CUARTO.</w:t>
      </w:r>
      <w:r w:rsidRPr="00E071F9">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E071F9">
        <w:rPr>
          <w:rFonts w:ascii="Palatino Linotype" w:eastAsia="Palatino Linotype" w:hAnsi="Palatino Linotype" w:cs="Palatino Linotype"/>
          <w:b/>
          <w:bCs/>
          <w:color w:val="000000"/>
        </w:rPr>
        <w:t>SUJETO OBLIGADO</w:t>
      </w:r>
      <w:r w:rsidRPr="00E071F9">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2055CA" w:rsidRPr="00E071F9" w:rsidRDefault="002055CA" w:rsidP="002055CA">
      <w:pPr>
        <w:spacing w:line="360" w:lineRule="auto"/>
        <w:rPr>
          <w:rFonts w:ascii="Palatino Linotype" w:eastAsia="Palatino Linotype" w:hAnsi="Palatino Linotype" w:cs="Palatino Linotype"/>
        </w:rPr>
      </w:pPr>
    </w:p>
    <w:p w:rsidR="002055CA" w:rsidRPr="00E071F9" w:rsidRDefault="002055CA" w:rsidP="002055CA">
      <w:pPr>
        <w:shd w:val="clear" w:color="auto" w:fill="FFFFFF"/>
        <w:spacing w:line="360" w:lineRule="auto"/>
        <w:jc w:val="both"/>
        <w:rPr>
          <w:rFonts w:ascii="Palatino Linotype" w:eastAsia="Palatino Linotype" w:hAnsi="Palatino Linotype" w:cs="Palatino Linotype"/>
          <w:color w:val="000000"/>
        </w:rPr>
      </w:pPr>
      <w:r w:rsidRPr="00E071F9">
        <w:rPr>
          <w:rFonts w:ascii="Palatino Linotype" w:eastAsia="Palatino Linotype" w:hAnsi="Palatino Linotype" w:cs="Palatino Linotype"/>
          <w:b/>
          <w:bCs/>
        </w:rPr>
        <w:t xml:space="preserve">QUINTO. </w:t>
      </w:r>
      <w:r w:rsidRPr="00E071F9">
        <w:rPr>
          <w:rFonts w:ascii="Palatino Linotype" w:eastAsia="Palatino Linotype" w:hAnsi="Palatino Linotype" w:cs="Palatino Linotype"/>
          <w:b/>
          <w:bCs/>
          <w:color w:val="222222"/>
        </w:rPr>
        <w:t xml:space="preserve">Notifíquese </w:t>
      </w:r>
      <w:r w:rsidRPr="00E071F9">
        <w:rPr>
          <w:rFonts w:ascii="Palatino Linotype" w:eastAsia="Palatino Linotype" w:hAnsi="Palatino Linotype" w:cs="Palatino Linotype"/>
          <w:color w:val="222222"/>
        </w:rPr>
        <w:t xml:space="preserve">al </w:t>
      </w:r>
      <w:r w:rsidRPr="00E071F9">
        <w:rPr>
          <w:rFonts w:ascii="Palatino Linotype" w:eastAsia="Palatino Linotype" w:hAnsi="Palatino Linotype" w:cs="Palatino Linotype"/>
          <w:b/>
          <w:bCs/>
          <w:color w:val="222222"/>
        </w:rPr>
        <w:t>RECURRENTE</w:t>
      </w:r>
      <w:r w:rsidRPr="00E071F9">
        <w:rPr>
          <w:rFonts w:ascii="Palatino Linotype" w:eastAsia="Palatino Linotype" w:hAnsi="Palatino Linotype" w:cs="Palatino Linotype"/>
          <w:color w:val="222222"/>
        </w:rPr>
        <w:t xml:space="preserve"> </w:t>
      </w:r>
      <w:r w:rsidRPr="00E071F9">
        <w:rPr>
          <w:rFonts w:ascii="Palatino Linotype" w:eastAsia="Palatino Linotype" w:hAnsi="Palatino Linotype" w:cs="Palatino Linotype"/>
        </w:rPr>
        <w:t>la presente resolución vía Sistema de Acceso a la Información Mexiquense (SAIMEX).</w:t>
      </w:r>
    </w:p>
    <w:p w:rsidR="002055CA" w:rsidRPr="00E071F9" w:rsidRDefault="002055CA" w:rsidP="002055CA">
      <w:pPr>
        <w:shd w:val="clear" w:color="auto" w:fill="FFFFFF"/>
        <w:spacing w:line="360" w:lineRule="auto"/>
        <w:jc w:val="both"/>
        <w:rPr>
          <w:rFonts w:ascii="Palatino Linotype" w:eastAsia="Palatino Linotype" w:hAnsi="Palatino Linotype" w:cs="Palatino Linotype"/>
        </w:rPr>
      </w:pPr>
    </w:p>
    <w:p w:rsidR="002055CA" w:rsidRPr="00E071F9" w:rsidRDefault="002055CA" w:rsidP="002055CA">
      <w:pPr>
        <w:spacing w:line="360" w:lineRule="auto"/>
        <w:jc w:val="both"/>
        <w:rPr>
          <w:rFonts w:ascii="Palatino Linotype" w:eastAsia="Palatino Linotype" w:hAnsi="Palatino Linotype" w:cs="Palatino Linotype"/>
        </w:rPr>
      </w:pPr>
      <w:r w:rsidRPr="00E071F9">
        <w:rPr>
          <w:rFonts w:ascii="Palatino Linotype" w:eastAsia="Palatino Linotype" w:hAnsi="Palatino Linotype" w:cs="Palatino Linotype"/>
          <w:b/>
          <w:bCs/>
        </w:rPr>
        <w:t>SEXTO.</w:t>
      </w:r>
      <w:r w:rsidRPr="00E071F9">
        <w:rPr>
          <w:rFonts w:ascii="Palatino Linotype" w:eastAsia="Palatino Linotype" w:hAnsi="Palatino Linotype" w:cs="Palatino Linotype"/>
        </w:rPr>
        <w:t xml:space="preserve"> Se hace del conocimiento del </w:t>
      </w:r>
      <w:r w:rsidRPr="00E071F9">
        <w:rPr>
          <w:rFonts w:ascii="Palatino Linotype" w:eastAsia="Palatino Linotype" w:hAnsi="Palatino Linotype" w:cs="Palatino Linotype"/>
          <w:b/>
          <w:bCs/>
        </w:rPr>
        <w:t>RECURRENTE</w:t>
      </w:r>
      <w:r w:rsidRPr="00E071F9">
        <w:rPr>
          <w:rFonts w:ascii="Palatino Linotype" w:eastAsia="Palatino Linotype" w:hAnsi="Palatino Linotype" w:cs="Palatino Linotype"/>
          <w:color w:val="222222"/>
        </w:rPr>
        <w:t xml:space="preserve"> </w:t>
      </w:r>
      <w:r w:rsidRPr="00E071F9">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2055CA" w:rsidRPr="00E071F9" w:rsidRDefault="002055CA" w:rsidP="002055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5DEC" w:rsidRPr="00E071F9" w:rsidRDefault="006C5DEC" w:rsidP="006C5DEC">
      <w:pPr>
        <w:spacing w:before="240" w:after="240" w:line="360" w:lineRule="auto"/>
        <w:ind w:firstLine="1"/>
        <w:jc w:val="both"/>
        <w:rPr>
          <w:rFonts w:ascii="Palatino Linotype" w:hAnsi="Palatino Linotype"/>
        </w:rPr>
      </w:pPr>
      <w:bookmarkStart w:id="12" w:name="_Hlk99014733"/>
      <w:r w:rsidRPr="00E071F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E071F9">
        <w:rPr>
          <w:rFonts w:ascii="Palatino Linotype" w:hAnsi="Palatino Linotype" w:cs="Palatino Linotype"/>
          <w:color w:val="000000" w:themeColor="text1"/>
        </w:rPr>
        <w:t>ALEXIS TAPIA RAMÍREZ.</w:t>
      </w:r>
    </w:p>
    <w:bookmarkEnd w:id="12"/>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2055CA" w:rsidRPr="00E071F9" w:rsidRDefault="002055CA" w:rsidP="002055CA"/>
    <w:p w:rsidR="00AC0231" w:rsidRPr="00E071F9" w:rsidRDefault="00AC0231"/>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p w:rsidR="00403D1F" w:rsidRPr="00E071F9" w:rsidRDefault="00403D1F"/>
    <w:sectPr w:rsidR="00403D1F" w:rsidRPr="00E071F9" w:rsidSect="00E071F9">
      <w:headerReference w:type="even" r:id="rId17"/>
      <w:headerReference w:type="default" r:id="rId18"/>
      <w:footerReference w:type="default" r:id="rId19"/>
      <w:headerReference w:type="first" r:id="rId20"/>
      <w:footerReference w:type="first" r:id="rId21"/>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19B" w:rsidRDefault="0016719B" w:rsidP="002055CA">
      <w:r>
        <w:separator/>
      </w:r>
    </w:p>
  </w:endnote>
  <w:endnote w:type="continuationSeparator" w:id="0">
    <w:p w:rsidR="0016719B" w:rsidRDefault="0016719B" w:rsidP="0020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8E1" w:rsidRPr="00E071F9" w:rsidRDefault="00E638E1">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E071F9">
      <w:rPr>
        <w:rFonts w:ascii="Palatino Linotype" w:hAnsi="Palatino Linotype"/>
        <w:color w:val="000000"/>
        <w:sz w:val="22"/>
      </w:rPr>
      <w:t xml:space="preserve">Página </w:t>
    </w:r>
    <w:r w:rsidRPr="00E071F9">
      <w:rPr>
        <w:rFonts w:ascii="Palatino Linotype" w:hAnsi="Palatino Linotype"/>
        <w:b/>
        <w:bCs/>
        <w:color w:val="000000"/>
        <w:sz w:val="22"/>
      </w:rPr>
      <w:fldChar w:fldCharType="begin"/>
    </w:r>
    <w:r w:rsidRPr="00E071F9">
      <w:rPr>
        <w:rFonts w:ascii="Palatino Linotype" w:hAnsi="Palatino Linotype"/>
        <w:b/>
        <w:bCs/>
        <w:color w:val="000000"/>
        <w:sz w:val="22"/>
      </w:rPr>
      <w:instrText>PAGE</w:instrText>
    </w:r>
    <w:r w:rsidRPr="00E071F9">
      <w:rPr>
        <w:rFonts w:ascii="Palatino Linotype" w:hAnsi="Palatino Linotype"/>
        <w:b/>
        <w:bCs/>
        <w:color w:val="000000"/>
        <w:sz w:val="22"/>
      </w:rPr>
      <w:fldChar w:fldCharType="separate"/>
    </w:r>
    <w:r w:rsidR="009505A1">
      <w:rPr>
        <w:rFonts w:ascii="Palatino Linotype" w:hAnsi="Palatino Linotype"/>
        <w:b/>
        <w:bCs/>
        <w:noProof/>
        <w:color w:val="000000"/>
        <w:sz w:val="22"/>
      </w:rPr>
      <w:t>21</w:t>
    </w:r>
    <w:r w:rsidRPr="00E071F9">
      <w:rPr>
        <w:rFonts w:ascii="Palatino Linotype" w:hAnsi="Palatino Linotype"/>
        <w:b/>
        <w:bCs/>
        <w:color w:val="000000"/>
        <w:sz w:val="22"/>
      </w:rPr>
      <w:fldChar w:fldCharType="end"/>
    </w:r>
    <w:r w:rsidRPr="00E071F9">
      <w:rPr>
        <w:rFonts w:ascii="Palatino Linotype" w:hAnsi="Palatino Linotype"/>
        <w:color w:val="000000"/>
        <w:sz w:val="22"/>
      </w:rPr>
      <w:t xml:space="preserve"> de </w:t>
    </w:r>
    <w:r w:rsidRPr="00E071F9">
      <w:rPr>
        <w:rFonts w:ascii="Palatino Linotype" w:hAnsi="Palatino Linotype"/>
        <w:b/>
        <w:bCs/>
        <w:color w:val="000000"/>
        <w:sz w:val="22"/>
      </w:rPr>
      <w:fldChar w:fldCharType="begin"/>
    </w:r>
    <w:r w:rsidRPr="00E071F9">
      <w:rPr>
        <w:rFonts w:ascii="Palatino Linotype" w:hAnsi="Palatino Linotype"/>
        <w:b/>
        <w:bCs/>
        <w:color w:val="000000"/>
        <w:sz w:val="22"/>
      </w:rPr>
      <w:instrText>NUMPAGES</w:instrText>
    </w:r>
    <w:r w:rsidRPr="00E071F9">
      <w:rPr>
        <w:rFonts w:ascii="Palatino Linotype" w:hAnsi="Palatino Linotype"/>
        <w:b/>
        <w:bCs/>
        <w:color w:val="000000"/>
        <w:sz w:val="22"/>
      </w:rPr>
      <w:fldChar w:fldCharType="separate"/>
    </w:r>
    <w:r w:rsidR="009505A1">
      <w:rPr>
        <w:rFonts w:ascii="Palatino Linotype" w:hAnsi="Palatino Linotype"/>
        <w:b/>
        <w:bCs/>
        <w:noProof/>
        <w:color w:val="000000"/>
        <w:sz w:val="22"/>
      </w:rPr>
      <w:t>45</w:t>
    </w:r>
    <w:r w:rsidRPr="00E071F9">
      <w:rPr>
        <w:rFonts w:ascii="Palatino Linotype" w:hAnsi="Palatino Linotype"/>
        <w:b/>
        <w:bCs/>
        <w:color w:val="000000"/>
        <w:sz w:val="22"/>
      </w:rPr>
      <w:fldChar w:fldCharType="end"/>
    </w:r>
  </w:p>
  <w:p w:rsidR="00E638E1" w:rsidRDefault="00E638E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8E1" w:rsidRPr="00E071F9" w:rsidRDefault="00E638E1">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E071F9">
      <w:rPr>
        <w:rFonts w:ascii="Palatino Linotype" w:hAnsi="Palatino Linotype"/>
        <w:color w:val="000000"/>
        <w:sz w:val="22"/>
      </w:rPr>
      <w:t xml:space="preserve">Página </w:t>
    </w:r>
    <w:r w:rsidRPr="00E071F9">
      <w:rPr>
        <w:rFonts w:ascii="Palatino Linotype" w:hAnsi="Palatino Linotype"/>
        <w:b/>
        <w:bCs/>
        <w:color w:val="000000"/>
        <w:sz w:val="22"/>
      </w:rPr>
      <w:fldChar w:fldCharType="begin"/>
    </w:r>
    <w:r w:rsidRPr="00E071F9">
      <w:rPr>
        <w:rFonts w:ascii="Palatino Linotype" w:hAnsi="Palatino Linotype"/>
        <w:b/>
        <w:bCs/>
        <w:color w:val="000000"/>
        <w:sz w:val="22"/>
      </w:rPr>
      <w:instrText>PAGE</w:instrText>
    </w:r>
    <w:r w:rsidRPr="00E071F9">
      <w:rPr>
        <w:rFonts w:ascii="Palatino Linotype" w:hAnsi="Palatino Linotype"/>
        <w:b/>
        <w:bCs/>
        <w:color w:val="000000"/>
        <w:sz w:val="22"/>
      </w:rPr>
      <w:fldChar w:fldCharType="separate"/>
    </w:r>
    <w:r w:rsidR="009505A1">
      <w:rPr>
        <w:rFonts w:ascii="Palatino Linotype" w:hAnsi="Palatino Linotype"/>
        <w:b/>
        <w:bCs/>
        <w:noProof/>
        <w:color w:val="000000"/>
        <w:sz w:val="22"/>
      </w:rPr>
      <w:t>1</w:t>
    </w:r>
    <w:r w:rsidRPr="00E071F9">
      <w:rPr>
        <w:rFonts w:ascii="Palatino Linotype" w:hAnsi="Palatino Linotype"/>
        <w:b/>
        <w:bCs/>
        <w:color w:val="000000"/>
        <w:sz w:val="22"/>
      </w:rPr>
      <w:fldChar w:fldCharType="end"/>
    </w:r>
    <w:r w:rsidRPr="00E071F9">
      <w:rPr>
        <w:rFonts w:ascii="Palatino Linotype" w:hAnsi="Palatino Linotype"/>
        <w:color w:val="000000"/>
        <w:sz w:val="22"/>
      </w:rPr>
      <w:t xml:space="preserve"> de </w:t>
    </w:r>
    <w:r w:rsidRPr="00E071F9">
      <w:rPr>
        <w:rFonts w:ascii="Palatino Linotype" w:hAnsi="Palatino Linotype"/>
        <w:b/>
        <w:bCs/>
        <w:color w:val="000000"/>
        <w:sz w:val="22"/>
      </w:rPr>
      <w:fldChar w:fldCharType="begin"/>
    </w:r>
    <w:r w:rsidRPr="00E071F9">
      <w:rPr>
        <w:rFonts w:ascii="Palatino Linotype" w:hAnsi="Palatino Linotype"/>
        <w:b/>
        <w:bCs/>
        <w:color w:val="000000"/>
        <w:sz w:val="22"/>
      </w:rPr>
      <w:instrText>NUMPAGES</w:instrText>
    </w:r>
    <w:r w:rsidRPr="00E071F9">
      <w:rPr>
        <w:rFonts w:ascii="Palatino Linotype" w:hAnsi="Palatino Linotype"/>
        <w:b/>
        <w:bCs/>
        <w:color w:val="000000"/>
        <w:sz w:val="22"/>
      </w:rPr>
      <w:fldChar w:fldCharType="separate"/>
    </w:r>
    <w:r w:rsidR="009505A1">
      <w:rPr>
        <w:rFonts w:ascii="Palatino Linotype" w:hAnsi="Palatino Linotype"/>
        <w:b/>
        <w:bCs/>
        <w:noProof/>
        <w:color w:val="000000"/>
        <w:sz w:val="22"/>
      </w:rPr>
      <w:t>45</w:t>
    </w:r>
    <w:r w:rsidRPr="00E071F9">
      <w:rPr>
        <w:rFonts w:ascii="Palatino Linotype" w:hAnsi="Palatino Linotype"/>
        <w:b/>
        <w:bCs/>
        <w:color w:val="000000"/>
        <w:sz w:val="22"/>
      </w:rPr>
      <w:fldChar w:fldCharType="end"/>
    </w:r>
  </w:p>
  <w:p w:rsidR="00E638E1" w:rsidRDefault="00E638E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19B" w:rsidRDefault="0016719B" w:rsidP="002055CA">
      <w:r>
        <w:separator/>
      </w:r>
    </w:p>
  </w:footnote>
  <w:footnote w:type="continuationSeparator" w:id="0">
    <w:p w:rsidR="0016719B" w:rsidRDefault="0016719B" w:rsidP="002055CA">
      <w:r>
        <w:continuationSeparator/>
      </w:r>
    </w:p>
  </w:footnote>
  <w:footnote w:id="1">
    <w:p w:rsidR="00E638E1" w:rsidRDefault="00E638E1" w:rsidP="002055C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E638E1" w:rsidRDefault="00E638E1" w:rsidP="002055C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E638E1" w:rsidRDefault="00E638E1" w:rsidP="002055C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E638E1" w:rsidRDefault="00E638E1" w:rsidP="002055CA">
      <w:pPr>
        <w:pStyle w:val="Textonotapie"/>
      </w:pPr>
      <w:r>
        <w:rPr>
          <w:rStyle w:val="Refdenotaalpie"/>
        </w:rPr>
        <w:footnoteRef/>
      </w:r>
      <w:r>
        <w:t xml:space="preserve"> Ley de Transparencia y Acceso a la Información Pública del Estado de México y Municipios. Artículo 9. …</w:t>
      </w:r>
    </w:p>
    <w:p w:rsidR="00E638E1" w:rsidRDefault="00E638E1" w:rsidP="002055CA">
      <w:pPr>
        <w:pStyle w:val="Textonotapie"/>
      </w:pPr>
      <w:r>
        <w:t>II. Eficacia: Obligación del Instituto para tutelar, de manera efectiva, el derecho de acceso a la información;</w:t>
      </w:r>
    </w:p>
    <w:p w:rsidR="00E638E1" w:rsidRDefault="00E638E1" w:rsidP="002055CA">
      <w:pPr>
        <w:pStyle w:val="Textonotapie"/>
      </w:pPr>
      <w:r>
        <w:t xml:space="preserve">… </w:t>
      </w:r>
    </w:p>
  </w:footnote>
  <w:footnote w:id="4">
    <w:p w:rsidR="00E638E1" w:rsidRDefault="00E638E1" w:rsidP="002055CA">
      <w:pPr>
        <w:pStyle w:val="Textonotapie"/>
      </w:pPr>
      <w:r>
        <w:rPr>
          <w:rStyle w:val="Refdenotaalpie"/>
        </w:rPr>
        <w:footnoteRef/>
      </w:r>
      <w:r>
        <w:t xml:space="preserve"> </w:t>
      </w:r>
      <w:hyperlink r:id="rId1" w:history="1">
        <w:r w:rsidRPr="008A46CF">
          <w:rPr>
            <w:rStyle w:val="Hipervnculo"/>
          </w:rPr>
          <w:t>https://legislacion.edomex.gob.mx/sites/legislacion.edomex.gob.mx/files/files/pdf/ley/vig/leyvig083.pdf</w:t>
        </w:r>
      </w:hyperlink>
    </w:p>
    <w:p w:rsidR="00E638E1" w:rsidRDefault="00E638E1" w:rsidP="002055CA">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8E1" w:rsidRDefault="0016719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21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E638E1" w:rsidTr="00E071F9">
      <w:trPr>
        <w:trHeight w:val="1435"/>
      </w:trPr>
      <w:tc>
        <w:tcPr>
          <w:tcW w:w="2268" w:type="dxa"/>
          <w:shd w:val="clear" w:color="auto" w:fill="auto"/>
        </w:tcPr>
        <w:p w:rsidR="00E638E1" w:rsidRDefault="00E638E1">
          <w:pPr>
            <w:tabs>
              <w:tab w:val="right" w:pos="4273"/>
            </w:tabs>
            <w:rPr>
              <w:rFonts w:ascii="Garamond" w:eastAsia="Garamond" w:hAnsi="Garamond" w:cs="Garamond"/>
              <w:sz w:val="16"/>
              <w:szCs w:val="16"/>
            </w:rPr>
          </w:pPr>
        </w:p>
      </w:tc>
      <w:tc>
        <w:tcPr>
          <w:tcW w:w="8080" w:type="dxa"/>
          <w:shd w:val="clear" w:color="auto" w:fill="auto"/>
        </w:tcPr>
        <w:tbl>
          <w:tblPr>
            <w:tblW w:w="7796" w:type="dxa"/>
            <w:tblInd w:w="459" w:type="dxa"/>
            <w:tblLayout w:type="fixed"/>
            <w:tblLook w:val="0400" w:firstRow="0" w:lastRow="0" w:firstColumn="0" w:lastColumn="0" w:noHBand="0" w:noVBand="1"/>
          </w:tblPr>
          <w:tblGrid>
            <w:gridCol w:w="2693"/>
            <w:gridCol w:w="5103"/>
          </w:tblGrid>
          <w:tr w:rsidR="00E638E1" w:rsidTr="00E071F9">
            <w:trPr>
              <w:trHeight w:val="150"/>
            </w:trPr>
            <w:tc>
              <w:tcPr>
                <w:tcW w:w="2693" w:type="dxa"/>
                <w:shd w:val="clear" w:color="auto" w:fill="auto"/>
              </w:tcPr>
              <w:p w:rsidR="00E638E1" w:rsidRPr="00E071F9" w:rsidRDefault="00E638E1">
                <w:pPr>
                  <w:tabs>
                    <w:tab w:val="right" w:pos="8838"/>
                  </w:tabs>
                  <w:ind w:right="-10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Recurso de Revisión:</w:t>
                </w:r>
              </w:p>
            </w:tc>
            <w:tc>
              <w:tcPr>
                <w:tcW w:w="5103" w:type="dxa"/>
                <w:shd w:val="clear" w:color="auto" w:fill="auto"/>
              </w:tcPr>
              <w:p w:rsidR="00E638E1" w:rsidRPr="00E071F9" w:rsidRDefault="00E638E1">
                <w:pPr>
                  <w:tabs>
                    <w:tab w:val="right" w:pos="8838"/>
                  </w:tabs>
                  <w:ind w:left="-108" w:right="-1090"/>
                  <w:jc w:val="both"/>
                  <w:rPr>
                    <w:rFonts w:ascii="Palatino Linotype" w:eastAsia="Palatino Linotype" w:hAnsi="Palatino Linotype" w:cs="Palatino Linotype"/>
                    <w:szCs w:val="22"/>
                  </w:rPr>
                </w:pPr>
                <w:r w:rsidRPr="00E071F9">
                  <w:rPr>
                    <w:rFonts w:ascii="Palatino Linotype" w:eastAsia="Palatino Linotype" w:hAnsi="Palatino Linotype" w:cs="Palatino Linotype"/>
                    <w:szCs w:val="22"/>
                  </w:rPr>
                  <w:t>03018/INFOEM/IP/RR/2026</w:t>
                </w:r>
                <w:r w:rsidRPr="00E071F9">
                  <w:rPr>
                    <w:rFonts w:ascii="Palatino Linotype" w:eastAsia="Palatino Linotype" w:hAnsi="Palatino Linotype" w:cs="Palatino Linotype"/>
                    <w:b/>
                    <w:bCs/>
                    <w:szCs w:val="22"/>
                  </w:rPr>
                  <w:t xml:space="preserve"> </w:t>
                </w:r>
              </w:p>
            </w:tc>
          </w:tr>
          <w:tr w:rsidR="00E638E1" w:rsidTr="00E071F9">
            <w:trPr>
              <w:trHeight w:val="295"/>
            </w:trPr>
            <w:tc>
              <w:tcPr>
                <w:tcW w:w="2693" w:type="dxa"/>
                <w:shd w:val="clear" w:color="auto" w:fill="auto"/>
              </w:tcPr>
              <w:p w:rsidR="00E638E1" w:rsidRPr="00E071F9" w:rsidRDefault="00E638E1">
                <w:pPr>
                  <w:tabs>
                    <w:tab w:val="right" w:pos="8838"/>
                  </w:tabs>
                  <w:ind w:right="-10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Sujeto Obligado:</w:t>
                </w:r>
              </w:p>
            </w:tc>
            <w:tc>
              <w:tcPr>
                <w:tcW w:w="5103" w:type="dxa"/>
                <w:shd w:val="clear" w:color="auto" w:fill="auto"/>
              </w:tcPr>
              <w:p w:rsidR="00E638E1" w:rsidRPr="00E071F9" w:rsidRDefault="00E638E1">
                <w:pPr>
                  <w:tabs>
                    <w:tab w:val="left" w:pos="2834"/>
                    <w:tab w:val="right" w:pos="8838"/>
                  </w:tabs>
                  <w:ind w:left="-108" w:right="-1090"/>
                  <w:jc w:val="both"/>
                  <w:rPr>
                    <w:rFonts w:ascii="Palatino Linotype" w:eastAsia="Palatino Linotype" w:hAnsi="Palatino Linotype" w:cs="Palatino Linotype"/>
                    <w:szCs w:val="22"/>
                  </w:rPr>
                </w:pPr>
                <w:r w:rsidRPr="00E071F9">
                  <w:rPr>
                    <w:rFonts w:ascii="Palatino Linotype" w:eastAsia="Palatino Linotype" w:hAnsi="Palatino Linotype" w:cs="Palatino Linotype"/>
                    <w:szCs w:val="22"/>
                  </w:rPr>
                  <w:t>Comisión del Agua del Estado de México</w:t>
                </w:r>
              </w:p>
            </w:tc>
          </w:tr>
          <w:tr w:rsidR="00E638E1" w:rsidTr="00E071F9">
            <w:trPr>
              <w:trHeight w:val="295"/>
            </w:trPr>
            <w:tc>
              <w:tcPr>
                <w:tcW w:w="2693" w:type="dxa"/>
                <w:shd w:val="clear" w:color="auto" w:fill="auto"/>
              </w:tcPr>
              <w:p w:rsidR="00E638E1" w:rsidRPr="00E071F9" w:rsidRDefault="00E638E1">
                <w:pPr>
                  <w:tabs>
                    <w:tab w:val="right" w:pos="8838"/>
                  </w:tabs>
                  <w:ind w:right="-10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Comisionado ponente:</w:t>
                </w:r>
              </w:p>
            </w:tc>
            <w:tc>
              <w:tcPr>
                <w:tcW w:w="5103" w:type="dxa"/>
                <w:shd w:val="clear" w:color="auto" w:fill="auto"/>
              </w:tcPr>
              <w:p w:rsidR="00E638E1" w:rsidRPr="00E071F9" w:rsidRDefault="00E638E1">
                <w:pPr>
                  <w:tabs>
                    <w:tab w:val="right" w:pos="8838"/>
                  </w:tabs>
                  <w:ind w:left="-108" w:right="-1090"/>
                  <w:jc w:val="both"/>
                  <w:rPr>
                    <w:rFonts w:ascii="Palatino Linotype" w:eastAsia="Palatino Linotype" w:hAnsi="Palatino Linotype" w:cs="Palatino Linotype"/>
                    <w:szCs w:val="22"/>
                  </w:rPr>
                </w:pPr>
                <w:r w:rsidRPr="00E071F9">
                  <w:rPr>
                    <w:rFonts w:ascii="Palatino Linotype" w:eastAsia="Palatino Linotype" w:hAnsi="Palatino Linotype" w:cs="Palatino Linotype"/>
                    <w:szCs w:val="22"/>
                  </w:rPr>
                  <w:t>María del Rosario Mejía Ayala</w:t>
                </w:r>
              </w:p>
              <w:p w:rsidR="00E638E1" w:rsidRPr="00E071F9" w:rsidRDefault="00E638E1">
                <w:pPr>
                  <w:tabs>
                    <w:tab w:val="right" w:pos="8838"/>
                  </w:tabs>
                  <w:ind w:left="-108" w:right="-1090"/>
                  <w:jc w:val="both"/>
                  <w:rPr>
                    <w:rFonts w:ascii="Palatino Linotype" w:eastAsia="Palatino Linotype" w:hAnsi="Palatino Linotype" w:cs="Palatino Linotype"/>
                    <w:b/>
                    <w:bCs/>
                    <w:szCs w:val="22"/>
                  </w:rPr>
                </w:pPr>
              </w:p>
            </w:tc>
          </w:tr>
        </w:tbl>
        <w:p w:rsidR="00E638E1" w:rsidRDefault="00E638E1">
          <w:pPr>
            <w:tabs>
              <w:tab w:val="right" w:pos="8838"/>
            </w:tabs>
            <w:ind w:left="-28"/>
            <w:jc w:val="both"/>
            <w:rPr>
              <w:rFonts w:ascii="Arial" w:eastAsia="Arial" w:hAnsi="Arial" w:cs="Arial"/>
              <w:b/>
              <w:bCs/>
              <w:sz w:val="22"/>
              <w:szCs w:val="22"/>
            </w:rPr>
          </w:pPr>
        </w:p>
      </w:tc>
    </w:tr>
  </w:tbl>
  <w:p w:rsidR="00E638E1" w:rsidRDefault="0016719B">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619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2265"/>
      <w:gridCol w:w="8367"/>
    </w:tblGrid>
    <w:tr w:rsidR="00E638E1" w:rsidTr="00E071F9">
      <w:trPr>
        <w:trHeight w:val="1435"/>
      </w:trPr>
      <w:tc>
        <w:tcPr>
          <w:tcW w:w="2265" w:type="dxa"/>
          <w:shd w:val="clear" w:color="auto" w:fill="auto"/>
        </w:tcPr>
        <w:p w:rsidR="00E638E1" w:rsidRDefault="00E638E1">
          <w:pPr>
            <w:tabs>
              <w:tab w:val="right" w:pos="4273"/>
            </w:tabs>
            <w:rPr>
              <w:rFonts w:ascii="Garamond" w:eastAsia="Garamond" w:hAnsi="Garamond" w:cs="Garamond"/>
              <w:sz w:val="22"/>
              <w:szCs w:val="22"/>
            </w:rPr>
          </w:pPr>
        </w:p>
      </w:tc>
      <w:tc>
        <w:tcPr>
          <w:tcW w:w="8367" w:type="dxa"/>
          <w:shd w:val="clear" w:color="auto" w:fill="auto"/>
        </w:tcPr>
        <w:tbl>
          <w:tblPr>
            <w:tblW w:w="7800" w:type="dxa"/>
            <w:tblInd w:w="321" w:type="dxa"/>
            <w:tblLayout w:type="fixed"/>
            <w:tblLook w:val="0400" w:firstRow="0" w:lastRow="0" w:firstColumn="0" w:lastColumn="0" w:noHBand="0" w:noVBand="1"/>
          </w:tblPr>
          <w:tblGrid>
            <w:gridCol w:w="2835"/>
            <w:gridCol w:w="4965"/>
          </w:tblGrid>
          <w:tr w:rsidR="00E638E1" w:rsidTr="00E071F9">
            <w:trPr>
              <w:trHeight w:val="144"/>
            </w:trPr>
            <w:tc>
              <w:tcPr>
                <w:tcW w:w="2835" w:type="dxa"/>
                <w:shd w:val="clear" w:color="auto" w:fill="auto"/>
              </w:tcPr>
              <w:p w:rsidR="00E638E1" w:rsidRPr="00E071F9" w:rsidRDefault="00E638E1">
                <w:pPr>
                  <w:tabs>
                    <w:tab w:val="right" w:pos="8838"/>
                  </w:tabs>
                  <w:ind w:left="-264" w:right="-105" w:firstLine="19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Recurso de Revisión:</w:t>
                </w:r>
              </w:p>
            </w:tc>
            <w:tc>
              <w:tcPr>
                <w:tcW w:w="4965" w:type="dxa"/>
                <w:shd w:val="clear" w:color="auto" w:fill="auto"/>
              </w:tcPr>
              <w:p w:rsidR="00E638E1" w:rsidRPr="00E071F9" w:rsidRDefault="00E638E1">
                <w:pPr>
                  <w:tabs>
                    <w:tab w:val="right" w:pos="8838"/>
                  </w:tabs>
                  <w:ind w:left="-74" w:right="-1269"/>
                  <w:rPr>
                    <w:rFonts w:ascii="Palatino Linotype" w:eastAsia="Palatino Linotype" w:hAnsi="Palatino Linotype" w:cs="Palatino Linotype"/>
                    <w:szCs w:val="22"/>
                  </w:rPr>
                </w:pPr>
                <w:r w:rsidRPr="00E071F9">
                  <w:rPr>
                    <w:rFonts w:ascii="Palatino Linotype" w:eastAsia="Palatino Linotype" w:hAnsi="Palatino Linotype" w:cs="Palatino Linotype"/>
                    <w:szCs w:val="22"/>
                  </w:rPr>
                  <w:t>03018/INFOEM/IP/RR/2026</w:t>
                </w:r>
              </w:p>
            </w:tc>
          </w:tr>
          <w:tr w:rsidR="00E638E1" w:rsidTr="00E071F9">
            <w:trPr>
              <w:trHeight w:val="144"/>
            </w:trPr>
            <w:tc>
              <w:tcPr>
                <w:tcW w:w="2835" w:type="dxa"/>
                <w:shd w:val="clear" w:color="auto" w:fill="auto"/>
              </w:tcPr>
              <w:p w:rsidR="00E638E1" w:rsidRPr="00E071F9" w:rsidRDefault="00E638E1">
                <w:pPr>
                  <w:tabs>
                    <w:tab w:val="right" w:pos="8838"/>
                  </w:tabs>
                  <w:ind w:left="-74" w:right="-10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Recurrente:</w:t>
                </w:r>
              </w:p>
            </w:tc>
            <w:tc>
              <w:tcPr>
                <w:tcW w:w="4965" w:type="dxa"/>
                <w:shd w:val="clear" w:color="auto" w:fill="auto"/>
              </w:tcPr>
              <w:p w:rsidR="00E638E1" w:rsidRPr="00E071F9" w:rsidRDefault="00E638E1" w:rsidP="009505A1">
                <w:pPr>
                  <w:tabs>
                    <w:tab w:val="left" w:pos="3122"/>
                    <w:tab w:val="right" w:pos="8838"/>
                  </w:tabs>
                  <w:ind w:left="-74" w:right="-1269"/>
                  <w:rPr>
                    <w:rFonts w:ascii="Palatino Linotype" w:eastAsia="Palatino Linotype" w:hAnsi="Palatino Linotype" w:cs="Palatino Linotype"/>
                    <w:szCs w:val="22"/>
                  </w:rPr>
                </w:pPr>
                <w:r w:rsidRPr="00E071F9">
                  <w:rPr>
                    <w:rFonts w:ascii="Palatino Linotype" w:eastAsia="Palatino Linotype" w:hAnsi="Palatino Linotype" w:cs="Palatino Linotype"/>
                    <w:bCs/>
                    <w:szCs w:val="22"/>
                  </w:rPr>
                  <w:t> </w:t>
                </w:r>
                <w:r w:rsidR="009505A1">
                  <w:rPr>
                    <w:rFonts w:ascii="Palatino Linotype" w:eastAsia="Palatino Linotype" w:hAnsi="Palatino Linotype" w:cs="Palatino Linotype"/>
                    <w:bCs/>
                    <w:szCs w:val="22"/>
                  </w:rPr>
                  <w:t>XXXX</w:t>
                </w:r>
              </w:p>
            </w:tc>
          </w:tr>
          <w:tr w:rsidR="00E638E1" w:rsidTr="00E071F9">
            <w:trPr>
              <w:trHeight w:val="283"/>
            </w:trPr>
            <w:tc>
              <w:tcPr>
                <w:tcW w:w="2835" w:type="dxa"/>
                <w:shd w:val="clear" w:color="auto" w:fill="auto"/>
              </w:tcPr>
              <w:p w:rsidR="00E638E1" w:rsidRPr="00E071F9" w:rsidRDefault="00E638E1">
                <w:pPr>
                  <w:tabs>
                    <w:tab w:val="right" w:pos="8838"/>
                  </w:tabs>
                  <w:ind w:left="-74" w:right="-10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Sujeto Obligado:</w:t>
                </w:r>
              </w:p>
            </w:tc>
            <w:tc>
              <w:tcPr>
                <w:tcW w:w="4965" w:type="dxa"/>
                <w:shd w:val="clear" w:color="auto" w:fill="auto"/>
              </w:tcPr>
              <w:p w:rsidR="00E638E1" w:rsidRPr="00E071F9" w:rsidRDefault="00E638E1">
                <w:pPr>
                  <w:tabs>
                    <w:tab w:val="left" w:pos="2834"/>
                    <w:tab w:val="right" w:pos="8838"/>
                  </w:tabs>
                  <w:ind w:left="-74" w:right="-1269"/>
                  <w:rPr>
                    <w:rFonts w:ascii="Palatino Linotype" w:eastAsia="Palatino Linotype" w:hAnsi="Palatino Linotype" w:cs="Palatino Linotype"/>
                    <w:szCs w:val="22"/>
                  </w:rPr>
                </w:pPr>
                <w:r w:rsidRPr="00E071F9">
                  <w:rPr>
                    <w:rFonts w:ascii="Palatino Linotype" w:eastAsia="Palatino Linotype" w:hAnsi="Palatino Linotype" w:cs="Palatino Linotype"/>
                    <w:szCs w:val="22"/>
                  </w:rPr>
                  <w:t>Comisión del Agua del Estado de México</w:t>
                </w:r>
              </w:p>
            </w:tc>
          </w:tr>
          <w:tr w:rsidR="00E638E1" w:rsidTr="00E071F9">
            <w:trPr>
              <w:trHeight w:val="283"/>
            </w:trPr>
            <w:tc>
              <w:tcPr>
                <w:tcW w:w="2835" w:type="dxa"/>
                <w:shd w:val="clear" w:color="auto" w:fill="auto"/>
              </w:tcPr>
              <w:p w:rsidR="00E638E1" w:rsidRPr="00E071F9" w:rsidRDefault="00E638E1">
                <w:pPr>
                  <w:tabs>
                    <w:tab w:val="right" w:pos="8838"/>
                  </w:tabs>
                  <w:ind w:left="-74" w:right="-105"/>
                  <w:rPr>
                    <w:rFonts w:ascii="Palatino Linotype" w:eastAsia="Palatino Linotype" w:hAnsi="Palatino Linotype" w:cs="Palatino Linotype"/>
                    <w:b/>
                    <w:bCs/>
                    <w:szCs w:val="22"/>
                  </w:rPr>
                </w:pPr>
                <w:r w:rsidRPr="00E071F9">
                  <w:rPr>
                    <w:rFonts w:ascii="Palatino Linotype" w:eastAsia="Palatino Linotype" w:hAnsi="Palatino Linotype" w:cs="Palatino Linotype"/>
                    <w:b/>
                    <w:bCs/>
                    <w:szCs w:val="22"/>
                  </w:rPr>
                  <w:t>Comisionado ponente:</w:t>
                </w:r>
              </w:p>
            </w:tc>
            <w:tc>
              <w:tcPr>
                <w:tcW w:w="4965" w:type="dxa"/>
                <w:shd w:val="clear" w:color="auto" w:fill="auto"/>
              </w:tcPr>
              <w:p w:rsidR="00E638E1" w:rsidRPr="00E071F9" w:rsidRDefault="00E638E1">
                <w:pPr>
                  <w:tabs>
                    <w:tab w:val="right" w:pos="8838"/>
                  </w:tabs>
                  <w:ind w:left="-74" w:right="-1269"/>
                  <w:rPr>
                    <w:rFonts w:ascii="Palatino Linotype" w:eastAsia="Palatino Linotype" w:hAnsi="Palatino Linotype" w:cs="Palatino Linotype"/>
                    <w:szCs w:val="22"/>
                  </w:rPr>
                </w:pPr>
                <w:r w:rsidRPr="00E071F9">
                  <w:rPr>
                    <w:rFonts w:ascii="Palatino Linotype" w:eastAsia="Palatino Linotype" w:hAnsi="Palatino Linotype" w:cs="Palatino Linotype"/>
                    <w:szCs w:val="22"/>
                  </w:rPr>
                  <w:t>María del Rosario Mejía Ayala</w:t>
                </w:r>
              </w:p>
              <w:p w:rsidR="00E638E1" w:rsidRPr="00E071F9" w:rsidRDefault="00E638E1">
                <w:pPr>
                  <w:tabs>
                    <w:tab w:val="right" w:pos="8838"/>
                  </w:tabs>
                  <w:ind w:left="-74" w:right="-1269"/>
                  <w:rPr>
                    <w:rFonts w:ascii="Palatino Linotype" w:eastAsia="Palatino Linotype" w:hAnsi="Palatino Linotype" w:cs="Palatino Linotype"/>
                    <w:b/>
                    <w:bCs/>
                    <w:szCs w:val="22"/>
                  </w:rPr>
                </w:pPr>
              </w:p>
            </w:tc>
          </w:tr>
        </w:tbl>
        <w:p w:rsidR="00E638E1" w:rsidRDefault="00E638E1">
          <w:pPr>
            <w:tabs>
              <w:tab w:val="right" w:pos="8838"/>
            </w:tabs>
            <w:ind w:left="-28"/>
            <w:jc w:val="both"/>
            <w:rPr>
              <w:rFonts w:ascii="Arial" w:eastAsia="Arial" w:hAnsi="Arial" w:cs="Arial"/>
              <w:b/>
              <w:bCs/>
              <w:sz w:val="22"/>
              <w:szCs w:val="22"/>
            </w:rPr>
          </w:pPr>
        </w:p>
      </w:tc>
    </w:tr>
  </w:tbl>
  <w:p w:rsidR="00E638E1" w:rsidRDefault="0016719B">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5.25pt;margin-top:-120.45pt;width:589.8pt;height:768pt;z-index:-25165516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04381908"/>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2E2842"/>
    <w:multiLevelType w:val="hybridMultilevel"/>
    <w:tmpl w:val="5854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F47404"/>
    <w:multiLevelType w:val="multilevel"/>
    <w:tmpl w:val="1696B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205166"/>
    <w:multiLevelType w:val="hybridMultilevel"/>
    <w:tmpl w:val="9FC6EF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5ED2C3A"/>
    <w:multiLevelType w:val="multilevel"/>
    <w:tmpl w:val="E7B0E2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D85099"/>
    <w:multiLevelType w:val="hybridMultilevel"/>
    <w:tmpl w:val="AD5C10E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2" w15:restartNumberingAfterBreak="0">
    <w:nsid w:val="7DA045A3"/>
    <w:multiLevelType w:val="hybridMultilevel"/>
    <w:tmpl w:val="E6F6F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0"/>
  </w:num>
  <w:num w:numId="4">
    <w:abstractNumId w:val="9"/>
  </w:num>
  <w:num w:numId="5">
    <w:abstractNumId w:val="0"/>
  </w:num>
  <w:num w:numId="6">
    <w:abstractNumId w:val="12"/>
  </w:num>
  <w:num w:numId="7">
    <w:abstractNumId w:val="4"/>
  </w:num>
  <w:num w:numId="8">
    <w:abstractNumId w:val="7"/>
  </w:num>
  <w:num w:numId="9">
    <w:abstractNumId w:val="8"/>
  </w:num>
  <w:num w:numId="10">
    <w:abstractNumId w:val="3"/>
  </w:num>
  <w:num w:numId="11">
    <w:abstractNumId w:val="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CA"/>
    <w:rsid w:val="000B4A28"/>
    <w:rsid w:val="001451FF"/>
    <w:rsid w:val="0016719B"/>
    <w:rsid w:val="002055CA"/>
    <w:rsid w:val="002361F5"/>
    <w:rsid w:val="00403D1F"/>
    <w:rsid w:val="0064670D"/>
    <w:rsid w:val="006B2800"/>
    <w:rsid w:val="006C5DEC"/>
    <w:rsid w:val="00745DF6"/>
    <w:rsid w:val="008A2744"/>
    <w:rsid w:val="009505A1"/>
    <w:rsid w:val="00A11777"/>
    <w:rsid w:val="00AC0231"/>
    <w:rsid w:val="00E071F9"/>
    <w:rsid w:val="00E07D50"/>
    <w:rsid w:val="00E60939"/>
    <w:rsid w:val="00E638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4310318-C668-48D0-B401-8FC00636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055CA"/>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2055CA"/>
    <w:pPr>
      <w:keepNext/>
      <w:keepLines/>
      <w:spacing w:before="240"/>
      <w:outlineLvl w:val="0"/>
    </w:pPr>
    <w:rPr>
      <w:rFonts w:ascii="Calibri" w:eastAsia="Calibri" w:hAnsi="Calibri" w:cs="Calibri"/>
      <w:color w:val="2E75B5"/>
      <w:sz w:val="32"/>
      <w:szCs w:val="32"/>
    </w:rPr>
  </w:style>
  <w:style w:type="paragraph" w:styleId="Ttulo3">
    <w:name w:val="heading 3"/>
    <w:basedOn w:val="Normal"/>
    <w:next w:val="Normal"/>
    <w:link w:val="Ttulo3Car"/>
    <w:uiPriority w:val="9"/>
    <w:unhideWhenUsed/>
    <w:qFormat/>
    <w:rsid w:val="002055CA"/>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055CA"/>
    <w:rPr>
      <w:rFonts w:ascii="Calibri" w:eastAsia="Calibri" w:hAnsi="Calibri" w:cs="Calibri"/>
      <w:color w:val="2E75B5"/>
      <w:sz w:val="32"/>
      <w:szCs w:val="32"/>
      <w:lang w:eastAsia="es-MX"/>
    </w:rPr>
  </w:style>
  <w:style w:type="character" w:customStyle="1" w:styleId="Ttulo3Car">
    <w:name w:val="Título 3 Car"/>
    <w:basedOn w:val="Fuentedeprrafopredeter"/>
    <w:link w:val="Ttulo3"/>
    <w:uiPriority w:val="9"/>
    <w:rsid w:val="002055CA"/>
    <w:rPr>
      <w:rFonts w:asciiTheme="majorHAnsi" w:eastAsiaTheme="majorEastAsia" w:hAnsiTheme="majorHAnsi" w:cstheme="majorBidi"/>
      <w:color w:val="1F4D78" w:themeColor="accent1" w:themeShade="7F"/>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055C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055CA"/>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2055C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055CA"/>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055CA"/>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2055CA"/>
    <w:rPr>
      <w:vertAlign w:val="superscript"/>
    </w:rPr>
  </w:style>
  <w:style w:type="paragraph" w:styleId="Piedepgina">
    <w:name w:val="footer"/>
    <w:basedOn w:val="Normal"/>
    <w:link w:val="PiedepginaCar"/>
    <w:uiPriority w:val="99"/>
    <w:unhideWhenUsed/>
    <w:rsid w:val="002055CA"/>
    <w:pPr>
      <w:tabs>
        <w:tab w:val="center" w:pos="4419"/>
        <w:tab w:val="right" w:pos="8838"/>
      </w:tabs>
    </w:pPr>
  </w:style>
  <w:style w:type="character" w:customStyle="1" w:styleId="PiedepginaCar">
    <w:name w:val="Pie de página Car"/>
    <w:basedOn w:val="Fuentedeprrafopredeter"/>
    <w:link w:val="Piedepgina"/>
    <w:uiPriority w:val="99"/>
    <w:rsid w:val="002055C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44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701209.page"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saimex.org.mx/saimex/solicitud/downloadAttach/2701186.page" TargetMode="External"/><Relationship Id="rId12" Type="http://schemas.openxmlformats.org/officeDocument/2006/relationships/hyperlink" Target="javascript:abrirAcuse(73839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avascript:abrirAcuse(738392);"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mex.org.mx/saimex/solicitud/downloadAttach/2703533.page"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www.saimex.org.mx/saimex/solicitud/downloadAttach/2703201.pag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aimex.org.mx/saimex/solicitud/downloadAttach/2701210.page" TargetMode="External"/><Relationship Id="rId14" Type="http://schemas.openxmlformats.org/officeDocument/2006/relationships/hyperlink" Target="http://dof.gob.mx/nota_detalle.php?codigo=5492254&amp;fecha=28/07/201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45</Pages>
  <Words>11361</Words>
  <Characters>62491</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2026-05-14T17:38:00Z</cp:lastPrinted>
  <dcterms:created xsi:type="dcterms:W3CDTF">2026-04-29T17:03:00Z</dcterms:created>
  <dcterms:modified xsi:type="dcterms:W3CDTF">2026-05-19T00:28:00Z</dcterms:modified>
</cp:coreProperties>
</file>