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6BB" w:rsidRDefault="001C491E">
      <w:pPr>
        <w:spacing w:line="360" w:lineRule="auto"/>
        <w:jc w:val="both"/>
        <w:rPr>
          <w:rFonts w:ascii="Palatino Linotype" w:eastAsia="Palatino Linotype" w:hAnsi="Palatino Linotype" w:cs="Palatino Linotype"/>
          <w:sz w:val="24"/>
          <w:szCs w:val="24"/>
        </w:rPr>
      </w:pPr>
      <w:bookmarkStart w:id="0" w:name="_heading=h.dn4n6i3ei64s" w:colFirst="0" w:colLast="0"/>
      <w:bookmarkEnd w:id="0"/>
      <w:r>
        <w:rPr>
          <w:rFonts w:ascii="Palatino Linotype" w:eastAsia="Palatino Linotype" w:hAnsi="Palatino Linotype" w:cs="Palatino Linotype"/>
          <w:sz w:val="24"/>
          <w:szCs w:val="24"/>
        </w:rPr>
        <w:t>R</w:t>
      </w:r>
      <w:bookmarkStart w:id="1" w:name="_GoBack"/>
      <w:bookmarkEnd w:id="1"/>
      <w:r>
        <w:rPr>
          <w:rFonts w:ascii="Palatino Linotype" w:eastAsia="Palatino Linotype" w:hAnsi="Palatino Linotype" w:cs="Palatino Linotype"/>
          <w:sz w:val="24"/>
          <w:szCs w:val="24"/>
        </w:rPr>
        <w:t>esolución del Pleno del Instituto de Transparencia, Acceso a la Información Pública y Protección de Datos Personales del Estado de México y Municipios, con domicilio en Metepec, Estado de México; de</w:t>
      </w:r>
      <w:r w:rsidR="006414EA">
        <w:rPr>
          <w:rFonts w:ascii="Palatino Linotype" w:eastAsia="Palatino Linotype" w:hAnsi="Palatino Linotype" w:cs="Palatino Linotype"/>
          <w:sz w:val="24"/>
          <w:szCs w:val="24"/>
        </w:rPr>
        <w:t xml:space="preserve"> fecha</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bCs/>
          <w:sz w:val="24"/>
          <w:szCs w:val="24"/>
        </w:rPr>
        <w:t xml:space="preserve">veintiuno </w:t>
      </w:r>
      <w:r w:rsidR="006414EA">
        <w:rPr>
          <w:rFonts w:ascii="Palatino Linotype" w:eastAsia="Palatino Linotype" w:hAnsi="Palatino Linotype" w:cs="Palatino Linotype"/>
          <w:b/>
          <w:bCs/>
          <w:sz w:val="24"/>
          <w:szCs w:val="24"/>
        </w:rPr>
        <w:t xml:space="preserve">(21) </w:t>
      </w:r>
      <w:r>
        <w:rPr>
          <w:rFonts w:ascii="Palatino Linotype" w:eastAsia="Palatino Linotype" w:hAnsi="Palatino Linotype" w:cs="Palatino Linotype"/>
          <w:b/>
          <w:bCs/>
          <w:sz w:val="24"/>
          <w:szCs w:val="24"/>
        </w:rPr>
        <w:t>de enero de dos mil veintiséis.</w:t>
      </w:r>
    </w:p>
    <w:p w:rsidR="00AB16BB" w:rsidRDefault="00AB16BB">
      <w:pPr>
        <w:spacing w:line="360" w:lineRule="auto"/>
        <w:jc w:val="both"/>
        <w:rPr>
          <w:rFonts w:ascii="Palatino Linotype" w:eastAsia="Palatino Linotype" w:hAnsi="Palatino Linotype" w:cs="Palatino Linotype"/>
          <w:sz w:val="24"/>
          <w:szCs w:val="24"/>
        </w:rPr>
      </w:pPr>
    </w:p>
    <w:p w:rsidR="00AB16BB" w:rsidRDefault="001C491E">
      <w:pPr>
        <w:spacing w:line="360" w:lineRule="auto"/>
        <w:jc w:val="both"/>
        <w:rPr>
          <w:rFonts w:ascii="Palatino Linotype" w:eastAsia="Palatino Linotype" w:hAnsi="Palatino Linotype" w:cs="Palatino Linotype"/>
          <w:b/>
          <w:bCs/>
          <w:sz w:val="24"/>
          <w:szCs w:val="24"/>
        </w:rPr>
      </w:pPr>
      <w:r>
        <w:rPr>
          <w:rFonts w:ascii="Palatino Linotype" w:eastAsia="Palatino Linotype" w:hAnsi="Palatino Linotype" w:cs="Palatino Linotype"/>
          <w:b/>
          <w:bCs/>
          <w:sz w:val="24"/>
          <w:szCs w:val="24"/>
        </w:rPr>
        <w:t>VISTO</w:t>
      </w:r>
      <w:r>
        <w:rPr>
          <w:rFonts w:ascii="Palatino Linotype" w:eastAsia="Palatino Linotype" w:hAnsi="Palatino Linotype" w:cs="Palatino Linotype"/>
          <w:sz w:val="24"/>
          <w:szCs w:val="24"/>
        </w:rPr>
        <w:t xml:space="preserve"> el expediente electrónico formado con motivo del recurso de revisión</w:t>
      </w:r>
      <w:r>
        <w:rPr>
          <w:rFonts w:ascii="Palatino Linotype" w:eastAsia="Palatino Linotype" w:hAnsi="Palatino Linotype" w:cs="Palatino Linotype"/>
          <w:b/>
          <w:bCs/>
          <w:sz w:val="24"/>
          <w:szCs w:val="24"/>
        </w:rPr>
        <w:t xml:space="preserve"> 07723/INFOEM/IP/RR/2025, </w:t>
      </w:r>
      <w:r>
        <w:rPr>
          <w:rFonts w:ascii="Palatino Linotype" w:eastAsia="Palatino Linotype" w:hAnsi="Palatino Linotype" w:cs="Palatino Linotype"/>
          <w:sz w:val="24"/>
          <w:szCs w:val="24"/>
        </w:rPr>
        <w:t>promovido por</w:t>
      </w:r>
      <w:r>
        <w:rPr>
          <w:rFonts w:ascii="Palatino Linotype" w:eastAsia="Palatino Linotype" w:hAnsi="Palatino Linotype" w:cs="Palatino Linotype"/>
          <w:b/>
          <w:bCs/>
          <w:color w:val="FF0000"/>
          <w:sz w:val="24"/>
          <w:szCs w:val="24"/>
        </w:rPr>
        <w:t xml:space="preserve"> </w:t>
      </w:r>
      <w:r>
        <w:rPr>
          <w:rFonts w:ascii="Palatino Linotype" w:eastAsia="Palatino Linotype" w:hAnsi="Palatino Linotype" w:cs="Palatino Linotype"/>
          <w:b/>
          <w:bCs/>
          <w:sz w:val="24"/>
          <w:szCs w:val="24"/>
        </w:rPr>
        <w:t>una persona que no prop</w:t>
      </w:r>
      <w:r w:rsidR="006414EA">
        <w:rPr>
          <w:rFonts w:ascii="Palatino Linotype" w:eastAsia="Palatino Linotype" w:hAnsi="Palatino Linotype" w:cs="Palatino Linotype"/>
          <w:b/>
          <w:bCs/>
          <w:sz w:val="24"/>
          <w:szCs w:val="24"/>
        </w:rPr>
        <w:t xml:space="preserve">orcionó datos de identificación, </w:t>
      </w:r>
      <w:r>
        <w:rPr>
          <w:rFonts w:ascii="Palatino Linotype" w:eastAsia="Palatino Linotype" w:hAnsi="Palatino Linotype" w:cs="Palatino Linotype"/>
          <w:sz w:val="24"/>
          <w:szCs w:val="24"/>
        </w:rPr>
        <w:t xml:space="preserve">a quien en lo sucesivo se identificará como </w:t>
      </w:r>
      <w:r>
        <w:rPr>
          <w:rFonts w:ascii="Palatino Linotype" w:eastAsia="Palatino Linotype" w:hAnsi="Palatino Linotype" w:cs="Palatino Linotype"/>
          <w:b/>
          <w:bCs/>
          <w:sz w:val="24"/>
          <w:szCs w:val="24"/>
        </w:rPr>
        <w:t>EL RECURRENTE</w:t>
      </w:r>
      <w:r>
        <w:rPr>
          <w:rFonts w:ascii="Palatino Linotype" w:eastAsia="Palatino Linotype" w:hAnsi="Palatino Linotype" w:cs="Palatino Linotype"/>
          <w:sz w:val="24"/>
          <w:szCs w:val="24"/>
        </w:rPr>
        <w:t xml:space="preserve">, en contra de la respuesta del </w:t>
      </w:r>
      <w:r>
        <w:rPr>
          <w:rFonts w:ascii="Palatino Linotype" w:eastAsia="Palatino Linotype" w:hAnsi="Palatino Linotype" w:cs="Palatino Linotype"/>
          <w:b/>
          <w:bCs/>
          <w:sz w:val="24"/>
          <w:szCs w:val="24"/>
        </w:rPr>
        <w:t xml:space="preserve">Ayuntamiento de Toluca, </w:t>
      </w:r>
      <w:r>
        <w:rPr>
          <w:rFonts w:ascii="Palatino Linotype" w:eastAsia="Palatino Linotype" w:hAnsi="Palatino Linotype" w:cs="Palatino Linotype"/>
          <w:sz w:val="24"/>
          <w:szCs w:val="24"/>
        </w:rPr>
        <w:t xml:space="preserve">en </w:t>
      </w:r>
      <w:r w:rsidR="006414EA">
        <w:rPr>
          <w:rFonts w:ascii="Palatino Linotype" w:eastAsia="Palatino Linotype" w:hAnsi="Palatino Linotype" w:cs="Palatino Linotype"/>
          <w:sz w:val="24"/>
          <w:szCs w:val="24"/>
        </w:rPr>
        <w:t>adelante</w:t>
      </w:r>
      <w:r>
        <w:rPr>
          <w:rFonts w:ascii="Palatino Linotype" w:eastAsia="Palatino Linotype" w:hAnsi="Palatino Linotype" w:cs="Palatino Linotype"/>
          <w:sz w:val="24"/>
          <w:szCs w:val="24"/>
        </w:rPr>
        <w:t xml:space="preserve"> el</w:t>
      </w:r>
      <w:r>
        <w:rPr>
          <w:rFonts w:ascii="Palatino Linotype" w:eastAsia="Palatino Linotype" w:hAnsi="Palatino Linotype" w:cs="Palatino Linotype"/>
          <w:b/>
          <w:bCs/>
          <w:sz w:val="24"/>
          <w:szCs w:val="24"/>
        </w:rPr>
        <w:t xml:space="preserve"> SUJETO OBLIGADO</w:t>
      </w:r>
      <w:r>
        <w:rPr>
          <w:rFonts w:ascii="Palatino Linotype" w:eastAsia="Palatino Linotype" w:hAnsi="Palatino Linotype" w:cs="Palatino Linotype"/>
          <w:sz w:val="24"/>
          <w:szCs w:val="24"/>
        </w:rPr>
        <w:t>, por lo que se procede a dictar la presente resolución, con base en los siguientes:</w:t>
      </w:r>
    </w:p>
    <w:p w:rsidR="00AB16BB" w:rsidRDefault="00AB16BB">
      <w:pPr>
        <w:spacing w:line="360" w:lineRule="auto"/>
        <w:jc w:val="both"/>
        <w:rPr>
          <w:rFonts w:ascii="Palatino Linotype" w:eastAsia="Palatino Linotype" w:hAnsi="Palatino Linotype" w:cs="Palatino Linotype"/>
          <w:b/>
          <w:bCs/>
          <w:sz w:val="24"/>
          <w:szCs w:val="24"/>
        </w:rPr>
      </w:pPr>
    </w:p>
    <w:p w:rsidR="00AB16BB" w:rsidRDefault="001C491E">
      <w:pPr>
        <w:keepNext/>
        <w:keepLines/>
        <w:spacing w:line="360" w:lineRule="auto"/>
        <w:jc w:val="center"/>
        <w:rPr>
          <w:rFonts w:ascii="Palatino Linotype" w:eastAsia="Palatino Linotype" w:hAnsi="Palatino Linotype" w:cs="Palatino Linotype"/>
          <w:b/>
          <w:bCs/>
          <w:sz w:val="24"/>
          <w:szCs w:val="24"/>
        </w:rPr>
      </w:pPr>
      <w:bookmarkStart w:id="2" w:name="_heading=h.gjdgxs" w:colFirst="0" w:colLast="0"/>
      <w:bookmarkEnd w:id="2"/>
      <w:r>
        <w:rPr>
          <w:rFonts w:ascii="Palatino Linotype" w:eastAsia="Palatino Linotype" w:hAnsi="Palatino Linotype" w:cs="Palatino Linotype"/>
          <w:b/>
          <w:bCs/>
          <w:sz w:val="24"/>
          <w:szCs w:val="24"/>
        </w:rPr>
        <w:t>A</w:t>
      </w:r>
      <w:r w:rsidR="006414EA">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N</w:t>
      </w:r>
      <w:r w:rsidR="006414EA">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T</w:t>
      </w:r>
      <w:r w:rsidR="006414EA">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E</w:t>
      </w:r>
      <w:r w:rsidR="006414EA">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C</w:t>
      </w:r>
      <w:r w:rsidR="006414EA">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E</w:t>
      </w:r>
      <w:r w:rsidR="006414EA">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D</w:t>
      </w:r>
      <w:r w:rsidR="006414EA">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E</w:t>
      </w:r>
      <w:r w:rsidR="006414EA">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N</w:t>
      </w:r>
      <w:r w:rsidR="006414EA">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T</w:t>
      </w:r>
      <w:r w:rsidR="006414EA">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E</w:t>
      </w:r>
      <w:r w:rsidR="006414EA">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S</w:t>
      </w:r>
    </w:p>
    <w:p w:rsidR="006414EA" w:rsidRDefault="006414EA">
      <w:pPr>
        <w:keepNext/>
        <w:keepLines/>
        <w:spacing w:line="360" w:lineRule="auto"/>
        <w:jc w:val="center"/>
        <w:rPr>
          <w:rFonts w:ascii="Palatino Linotype" w:eastAsia="Palatino Linotype" w:hAnsi="Palatino Linotype" w:cs="Palatino Linotype"/>
          <w:b/>
          <w:bCs/>
          <w:sz w:val="24"/>
          <w:szCs w:val="24"/>
        </w:rPr>
      </w:pPr>
    </w:p>
    <w:p w:rsidR="00AB16BB" w:rsidRDefault="001C491E">
      <w:pPr>
        <w:numPr>
          <w:ilvl w:val="0"/>
          <w:numId w:val="2"/>
        </w:numPr>
        <w:spacing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w:t>
      </w:r>
      <w:r>
        <w:rPr>
          <w:rFonts w:ascii="Palatino Linotype" w:eastAsia="Palatino Linotype" w:hAnsi="Palatino Linotype" w:cs="Palatino Linotype"/>
          <w:b/>
          <w:bCs/>
          <w:sz w:val="24"/>
          <w:szCs w:val="24"/>
        </w:rPr>
        <w:t>trece de mayo de dos mil veinticinco</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bCs/>
          <w:sz w:val="24"/>
          <w:szCs w:val="24"/>
        </w:rPr>
        <w:t>EL RECURRENTE,</w:t>
      </w:r>
      <w:r>
        <w:rPr>
          <w:rFonts w:ascii="Palatino Linotype" w:eastAsia="Palatino Linotype" w:hAnsi="Palatino Linotype" w:cs="Palatino Linotype"/>
          <w:sz w:val="24"/>
          <w:szCs w:val="24"/>
        </w:rPr>
        <w:t xml:space="preserve"> ante el </w:t>
      </w:r>
      <w:r>
        <w:rPr>
          <w:rFonts w:ascii="Palatino Linotype" w:eastAsia="Palatino Linotype" w:hAnsi="Palatino Linotype" w:cs="Palatino Linotype"/>
          <w:b/>
          <w:bCs/>
          <w:sz w:val="24"/>
          <w:szCs w:val="24"/>
        </w:rPr>
        <w:t>SUJETO OBLIGADO</w:t>
      </w:r>
      <w:r>
        <w:rPr>
          <w:rFonts w:ascii="Palatino Linotype" w:eastAsia="Palatino Linotype" w:hAnsi="Palatino Linotype" w:cs="Palatino Linotype"/>
          <w:sz w:val="24"/>
          <w:szCs w:val="24"/>
        </w:rPr>
        <w:t xml:space="preserve"> vía Sistema de Acceso a la Información Mexiquense (</w:t>
      </w:r>
      <w:r>
        <w:rPr>
          <w:rFonts w:ascii="Palatino Linotype" w:eastAsia="Palatino Linotype" w:hAnsi="Palatino Linotype" w:cs="Palatino Linotype"/>
          <w:b/>
          <w:bCs/>
          <w:sz w:val="24"/>
          <w:szCs w:val="24"/>
        </w:rPr>
        <w:t>SAIMEX)</w:t>
      </w:r>
      <w:r>
        <w:rPr>
          <w:rFonts w:ascii="Palatino Linotype" w:eastAsia="Palatino Linotype" w:hAnsi="Palatino Linotype" w:cs="Palatino Linotype"/>
          <w:sz w:val="24"/>
          <w:szCs w:val="24"/>
        </w:rPr>
        <w:t>,presentó la solicitud de información registrada con el número</w:t>
      </w:r>
      <w:r>
        <w:rPr>
          <w:rFonts w:ascii="Palatino Linotype" w:eastAsia="Palatino Linotype" w:hAnsi="Palatino Linotype" w:cs="Palatino Linotype"/>
          <w:b/>
          <w:bCs/>
          <w:sz w:val="24"/>
          <w:szCs w:val="24"/>
        </w:rPr>
        <w:t xml:space="preserve"> 02756/TOLUCA/IP/2025, </w:t>
      </w:r>
      <w:r w:rsidR="006414EA">
        <w:rPr>
          <w:rFonts w:ascii="Palatino Linotype" w:eastAsia="Palatino Linotype" w:hAnsi="Palatino Linotype" w:cs="Palatino Linotype"/>
          <w:sz w:val="24"/>
          <w:szCs w:val="24"/>
        </w:rPr>
        <w:t xml:space="preserve">en la que se </w:t>
      </w:r>
      <w:r>
        <w:rPr>
          <w:rFonts w:ascii="Palatino Linotype" w:eastAsia="Palatino Linotype" w:hAnsi="Palatino Linotype" w:cs="Palatino Linotype"/>
          <w:sz w:val="24"/>
          <w:szCs w:val="24"/>
        </w:rPr>
        <w:t>solicitó lo siguiente:</w:t>
      </w:r>
    </w:p>
    <w:p w:rsidR="00AB16BB" w:rsidRDefault="00AB16BB">
      <w:pPr>
        <w:pBdr>
          <w:top w:val="nil"/>
          <w:left w:val="nil"/>
          <w:bottom w:val="nil"/>
          <w:right w:val="nil"/>
          <w:between w:val="nil"/>
        </w:pBdr>
        <w:spacing w:line="360" w:lineRule="auto"/>
        <w:ind w:left="1069" w:right="567"/>
        <w:jc w:val="both"/>
        <w:rPr>
          <w:rFonts w:ascii="Palatino Linotype" w:eastAsia="Palatino Linotype" w:hAnsi="Palatino Linotype" w:cs="Palatino Linotype"/>
          <w:i/>
          <w:iCs/>
          <w:color w:val="000000"/>
          <w:sz w:val="24"/>
          <w:szCs w:val="24"/>
        </w:rPr>
      </w:pPr>
    </w:p>
    <w:p w:rsidR="00AB16BB" w:rsidRDefault="001C491E">
      <w:pPr>
        <w:pBdr>
          <w:top w:val="nil"/>
          <w:left w:val="nil"/>
          <w:bottom w:val="nil"/>
          <w:right w:val="nil"/>
          <w:between w:val="nil"/>
        </w:pBdr>
        <w:ind w:left="567" w:right="567"/>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i/>
          <w:iCs/>
          <w:color w:val="000000"/>
          <w:sz w:val="24"/>
          <w:szCs w:val="24"/>
        </w:rPr>
        <w:t xml:space="preserve">“TODOS LOS GASTOS PAGADOS AL DIRECTORES GENERALES, DIRECTORES DE AREAS, SUBDIRECTORES, CORODINADORES, JEFES DE DEPARTAMENTO ASqOR CUALQUER CONCEPTO DE 01 DE ENERO AL 09 DE MAYO POR GASTOS DE REPRESENTACIÓN, VIATICOS, COMIDAD, GASOLINA, ETC TODOS.” (Sic) </w:t>
      </w:r>
    </w:p>
    <w:p w:rsidR="006414EA" w:rsidRDefault="006414EA">
      <w:pPr>
        <w:pBdr>
          <w:top w:val="nil"/>
          <w:left w:val="nil"/>
          <w:bottom w:val="nil"/>
          <w:right w:val="nil"/>
          <w:between w:val="nil"/>
        </w:pBdr>
        <w:ind w:left="567" w:right="567"/>
        <w:jc w:val="both"/>
        <w:rPr>
          <w:rFonts w:ascii="Palatino Linotype" w:eastAsia="Palatino Linotype" w:hAnsi="Palatino Linotype" w:cs="Palatino Linotype"/>
          <w:i/>
          <w:iCs/>
          <w:color w:val="000000"/>
          <w:sz w:val="24"/>
          <w:szCs w:val="24"/>
        </w:rPr>
      </w:pPr>
    </w:p>
    <w:p w:rsidR="00AB16BB" w:rsidRDefault="00AB16BB">
      <w:pPr>
        <w:pBdr>
          <w:top w:val="nil"/>
          <w:left w:val="nil"/>
          <w:bottom w:val="nil"/>
          <w:right w:val="nil"/>
          <w:between w:val="nil"/>
        </w:pBdr>
        <w:ind w:left="567" w:right="567"/>
        <w:jc w:val="both"/>
        <w:rPr>
          <w:rFonts w:ascii="Palatino Linotype" w:eastAsia="Palatino Linotype" w:hAnsi="Palatino Linotype" w:cs="Palatino Linotype"/>
          <w:i/>
          <w:iCs/>
          <w:color w:val="000000"/>
          <w:sz w:val="24"/>
          <w:szCs w:val="24"/>
        </w:rPr>
      </w:pPr>
    </w:p>
    <w:p w:rsidR="00AB16BB" w:rsidRDefault="001C491E">
      <w:pPr>
        <w:numPr>
          <w:ilvl w:val="0"/>
          <w:numId w:val="3"/>
        </w:numPr>
        <w:spacing w:line="360" w:lineRule="auto"/>
        <w:ind w:right="56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Modalidad de entrega: </w:t>
      </w:r>
      <w:r>
        <w:rPr>
          <w:rFonts w:ascii="Palatino Linotype" w:eastAsia="Palatino Linotype" w:hAnsi="Palatino Linotype" w:cs="Palatino Linotype"/>
          <w:b/>
          <w:bCs/>
          <w:sz w:val="24"/>
          <w:szCs w:val="24"/>
        </w:rPr>
        <w:t>Vía SAIMEX.</w:t>
      </w:r>
    </w:p>
    <w:p w:rsidR="00AB16BB" w:rsidRDefault="001C491E">
      <w:pPr>
        <w:numPr>
          <w:ilvl w:val="0"/>
          <w:numId w:val="2"/>
        </w:numPr>
        <w:spacing w:line="360" w:lineRule="auto"/>
        <w:ind w:left="0" w:firstLine="0"/>
        <w:jc w:val="both"/>
        <w:rPr>
          <w:rFonts w:ascii="Palatino Linotype" w:eastAsia="Palatino Linotype" w:hAnsi="Palatino Linotype" w:cs="Palatino Linotype"/>
          <w:i/>
          <w:iCs/>
          <w:sz w:val="24"/>
          <w:szCs w:val="24"/>
        </w:rPr>
      </w:pPr>
      <w:r>
        <w:rPr>
          <w:rFonts w:ascii="Palatino Linotype" w:eastAsia="Palatino Linotype" w:hAnsi="Palatino Linotype" w:cs="Palatino Linotype"/>
          <w:sz w:val="24"/>
          <w:szCs w:val="24"/>
        </w:rPr>
        <w:lastRenderedPageBreak/>
        <w:t xml:space="preserve">El </w:t>
      </w:r>
      <w:r>
        <w:rPr>
          <w:rFonts w:ascii="Palatino Linotype" w:eastAsia="Palatino Linotype" w:hAnsi="Palatino Linotype" w:cs="Palatino Linotype"/>
          <w:b/>
          <w:bCs/>
          <w:sz w:val="24"/>
          <w:szCs w:val="24"/>
        </w:rPr>
        <w:t xml:space="preserve">tres de junio de dos mil veinticinco, </w:t>
      </w:r>
      <w:r>
        <w:rPr>
          <w:rFonts w:ascii="Palatino Linotype" w:eastAsia="Palatino Linotype" w:hAnsi="Palatino Linotype" w:cs="Palatino Linotype"/>
          <w:sz w:val="24"/>
          <w:szCs w:val="24"/>
        </w:rPr>
        <w:t xml:space="preserve">el </w:t>
      </w:r>
      <w:r>
        <w:rPr>
          <w:rFonts w:ascii="Palatino Linotype" w:eastAsia="Palatino Linotype" w:hAnsi="Palatino Linotype" w:cs="Palatino Linotype"/>
          <w:b/>
          <w:bCs/>
          <w:sz w:val="24"/>
          <w:szCs w:val="24"/>
        </w:rPr>
        <w:t>SUJETO O</w:t>
      </w:r>
      <w:r>
        <w:rPr>
          <w:rFonts w:ascii="Palatino Linotype" w:eastAsia="Palatino Linotype" w:hAnsi="Palatino Linotype" w:cs="Palatino Linotype"/>
          <w:sz w:val="24"/>
          <w:szCs w:val="24"/>
        </w:rPr>
        <w:t>B</w:t>
      </w:r>
      <w:r>
        <w:rPr>
          <w:rFonts w:ascii="Palatino Linotype" w:eastAsia="Palatino Linotype" w:hAnsi="Palatino Linotype" w:cs="Palatino Linotype"/>
          <w:b/>
          <w:bCs/>
          <w:sz w:val="24"/>
          <w:szCs w:val="24"/>
        </w:rPr>
        <w:t xml:space="preserve">LIGADO </w:t>
      </w:r>
      <w:r>
        <w:rPr>
          <w:rFonts w:ascii="Palatino Linotype" w:eastAsia="Palatino Linotype" w:hAnsi="Palatino Linotype" w:cs="Palatino Linotype"/>
          <w:sz w:val="24"/>
          <w:szCs w:val="24"/>
        </w:rPr>
        <w:t xml:space="preserve">dio </w:t>
      </w:r>
      <w:r>
        <w:rPr>
          <w:rFonts w:ascii="Palatino Linotype" w:eastAsia="Palatino Linotype" w:hAnsi="Palatino Linotype" w:cs="Palatino Linotype"/>
          <w:b/>
          <w:bCs/>
          <w:sz w:val="24"/>
          <w:szCs w:val="24"/>
        </w:rPr>
        <w:t>RESPUESTA</w:t>
      </w:r>
      <w:r>
        <w:rPr>
          <w:rFonts w:ascii="Palatino Linotype" w:eastAsia="Palatino Linotype" w:hAnsi="Palatino Linotype" w:cs="Palatino Linotype"/>
          <w:sz w:val="24"/>
          <w:szCs w:val="24"/>
        </w:rPr>
        <w:t xml:space="preserve"> a través de los archivos siguientes:</w:t>
      </w:r>
    </w:p>
    <w:p w:rsidR="00AB16BB" w:rsidRDefault="001C491E">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b/>
          <w:bCs/>
          <w:color w:val="000000"/>
          <w:sz w:val="24"/>
          <w:szCs w:val="24"/>
        </w:rPr>
      </w:pPr>
      <w:r>
        <w:rPr>
          <w:rFonts w:ascii="Palatino Linotype" w:eastAsia="Palatino Linotype" w:hAnsi="Palatino Linotype" w:cs="Palatino Linotype"/>
          <w:b/>
          <w:bCs/>
          <w:sz w:val="24"/>
          <w:szCs w:val="24"/>
        </w:rPr>
        <w:t>R</w:t>
      </w:r>
      <w:r>
        <w:rPr>
          <w:rFonts w:ascii="Palatino Linotype" w:eastAsia="Palatino Linotype" w:hAnsi="Palatino Linotype" w:cs="Palatino Linotype"/>
          <w:b/>
          <w:bCs/>
          <w:color w:val="000000"/>
          <w:sz w:val="24"/>
          <w:szCs w:val="24"/>
        </w:rPr>
        <w:t xml:space="preserve">espuesta saimex 2756.pdf: </w:t>
      </w:r>
      <w:r>
        <w:rPr>
          <w:rFonts w:ascii="Palatino Linotype" w:eastAsia="Palatino Linotype" w:hAnsi="Palatino Linotype" w:cs="Palatino Linotype"/>
          <w:color w:val="000000"/>
          <w:sz w:val="24"/>
          <w:szCs w:val="24"/>
        </w:rPr>
        <w:t xml:space="preserve">Oficio firmado por el Tesorero Municipal, por el que </w:t>
      </w:r>
      <w:r>
        <w:rPr>
          <w:rFonts w:ascii="Palatino Linotype" w:eastAsia="Palatino Linotype" w:hAnsi="Palatino Linotype" w:cs="Palatino Linotype"/>
          <w:sz w:val="24"/>
          <w:szCs w:val="24"/>
        </w:rPr>
        <w:t>informó</w:t>
      </w:r>
      <w:r>
        <w:rPr>
          <w:rFonts w:ascii="Palatino Linotype" w:eastAsia="Palatino Linotype" w:hAnsi="Palatino Linotype" w:cs="Palatino Linotype"/>
          <w:color w:val="000000"/>
          <w:sz w:val="24"/>
          <w:szCs w:val="24"/>
        </w:rPr>
        <w:t xml:space="preserve"> lo siguiente:</w:t>
      </w:r>
    </w:p>
    <w:p w:rsidR="00AB16BB" w:rsidRDefault="001C491E">
      <w:pPr>
        <w:ind w:left="567" w:right="539"/>
        <w:jc w:val="both"/>
        <w:rPr>
          <w:rFonts w:ascii="Palatino Linotype" w:eastAsia="Palatino Linotype" w:hAnsi="Palatino Linotype" w:cs="Palatino Linotype"/>
          <w:b/>
          <w:bCs/>
          <w:i/>
          <w:iCs/>
          <w:sz w:val="32"/>
          <w:szCs w:val="32"/>
        </w:rPr>
      </w:pPr>
      <w:r>
        <w:rPr>
          <w:rFonts w:ascii="Palatino Linotype" w:eastAsia="Palatino Linotype" w:hAnsi="Palatino Linotype" w:cs="Palatino Linotype"/>
          <w:i/>
          <w:iCs/>
          <w:sz w:val="24"/>
          <w:szCs w:val="24"/>
        </w:rPr>
        <w:t>“me permito informarle, que una vez realizada una búsqueda exhaustiva en nuestros archivos, no se cuenta con registro financiero, documental, contable o presupuestal que ampare el concepto de gasto, del departamento de ASqOR.”</w:t>
      </w:r>
    </w:p>
    <w:p w:rsidR="00AB16BB" w:rsidRDefault="001C491E">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b/>
          <w:bCs/>
          <w:i/>
          <w:iCs/>
          <w:color w:val="000000"/>
          <w:sz w:val="32"/>
          <w:szCs w:val="32"/>
        </w:rPr>
      </w:pPr>
      <w:r>
        <w:rPr>
          <w:rFonts w:ascii="Palatino Linotype" w:eastAsia="Palatino Linotype" w:hAnsi="Palatino Linotype" w:cs="Palatino Linotype"/>
          <w:b/>
          <w:bCs/>
          <w:color w:val="000000"/>
          <w:sz w:val="24"/>
          <w:szCs w:val="24"/>
        </w:rPr>
        <w:t xml:space="preserve">R. 02756. 2025.pdf: </w:t>
      </w:r>
      <w:r>
        <w:rPr>
          <w:rFonts w:ascii="Palatino Linotype" w:eastAsia="Palatino Linotype" w:hAnsi="Palatino Linotype" w:cs="Palatino Linotype"/>
          <w:color w:val="000000"/>
          <w:sz w:val="24"/>
          <w:szCs w:val="24"/>
        </w:rPr>
        <w:t xml:space="preserve">Oficio firmado por el Titular de la Unidad de Transparencia, por el que </w:t>
      </w:r>
      <w:r>
        <w:rPr>
          <w:rFonts w:ascii="Palatino Linotype" w:eastAsia="Palatino Linotype" w:hAnsi="Palatino Linotype" w:cs="Palatino Linotype"/>
          <w:sz w:val="24"/>
          <w:szCs w:val="24"/>
        </w:rPr>
        <w:t>informó</w:t>
      </w:r>
      <w:r>
        <w:rPr>
          <w:rFonts w:ascii="Palatino Linotype" w:eastAsia="Palatino Linotype" w:hAnsi="Palatino Linotype" w:cs="Palatino Linotype"/>
          <w:color w:val="000000"/>
          <w:sz w:val="24"/>
          <w:szCs w:val="24"/>
        </w:rPr>
        <w:t xml:space="preserve"> lo siguiente:</w:t>
      </w:r>
    </w:p>
    <w:p w:rsidR="00AB16BB" w:rsidRDefault="001C491E">
      <w:pPr>
        <w:ind w:left="567" w:right="539"/>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”…que la Dirección General de Administración y Servidora Pública Habilitada, informó que la Dirección de Recursos Humanos, después de haber realizado una búsqueda exhaustiva y razonable en los archivos que obran en sus departamentos, informa que no se encontró registró alguno de la información solicitada, asimismo el Departamento de Mantenimiento Vehicular y Control de Combustible informa que con la finalidad de cumplir con la solicitud comunica que las unidades vehiculares de las Direcciones Generales son de uso operativo y que la dotación de combustible depende de las características y operatividad del área a las que están adscritas.”</w:t>
      </w:r>
    </w:p>
    <w:p w:rsidR="00AB16BB" w:rsidRDefault="00AB16BB">
      <w:pPr>
        <w:spacing w:line="360" w:lineRule="auto"/>
        <w:jc w:val="both"/>
        <w:rPr>
          <w:rFonts w:ascii="Palatino Linotype" w:eastAsia="Palatino Linotype" w:hAnsi="Palatino Linotype" w:cs="Palatino Linotype"/>
          <w:b/>
          <w:bCs/>
          <w:i/>
          <w:iCs/>
          <w:sz w:val="32"/>
          <w:szCs w:val="32"/>
        </w:rPr>
      </w:pPr>
    </w:p>
    <w:p w:rsidR="00AB16BB" w:rsidRDefault="001C491E">
      <w:pPr>
        <w:numPr>
          <w:ilvl w:val="0"/>
          <w:numId w:val="2"/>
        </w:numPr>
        <w:spacing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Inconforme con lo anterior, el </w:t>
      </w:r>
      <w:r>
        <w:rPr>
          <w:rFonts w:ascii="Palatino Linotype" w:eastAsia="Palatino Linotype" w:hAnsi="Palatino Linotype" w:cs="Palatino Linotype"/>
          <w:b/>
          <w:bCs/>
          <w:sz w:val="24"/>
          <w:szCs w:val="24"/>
        </w:rPr>
        <w:t>veinticuatro de junio de dos mil veinticinco</w:t>
      </w:r>
      <w:r>
        <w:rPr>
          <w:rFonts w:ascii="Palatino Linotype" w:eastAsia="Palatino Linotype" w:hAnsi="Palatino Linotype" w:cs="Palatino Linotype"/>
          <w:sz w:val="24"/>
          <w:szCs w:val="24"/>
        </w:rPr>
        <w:t xml:space="preserve">,  el </w:t>
      </w:r>
      <w:r>
        <w:rPr>
          <w:rFonts w:ascii="Palatino Linotype" w:eastAsia="Palatino Linotype" w:hAnsi="Palatino Linotype" w:cs="Palatino Linotype"/>
          <w:b/>
          <w:bCs/>
          <w:sz w:val="24"/>
          <w:szCs w:val="24"/>
        </w:rPr>
        <w:t xml:space="preserve">SUJETO OBLIGADO </w:t>
      </w:r>
      <w:r>
        <w:rPr>
          <w:rFonts w:ascii="Palatino Linotype" w:eastAsia="Palatino Linotype" w:hAnsi="Palatino Linotype" w:cs="Palatino Linotype"/>
          <w:sz w:val="24"/>
          <w:szCs w:val="24"/>
        </w:rPr>
        <w:t xml:space="preserve">interpuso recurso de revisión, arguyendo como </w:t>
      </w:r>
    </w:p>
    <w:p w:rsidR="00AB16BB" w:rsidRDefault="00AB16BB">
      <w:pPr>
        <w:spacing w:line="360" w:lineRule="auto"/>
        <w:jc w:val="both"/>
        <w:rPr>
          <w:rFonts w:ascii="Palatino Linotype" w:eastAsia="Palatino Linotype" w:hAnsi="Palatino Linotype" w:cs="Palatino Linotype"/>
          <w:sz w:val="24"/>
          <w:szCs w:val="24"/>
        </w:rPr>
      </w:pPr>
    </w:p>
    <w:p w:rsidR="00AB16BB" w:rsidRPr="006414EA" w:rsidRDefault="006414EA" w:rsidP="006414EA">
      <w:pPr>
        <w:pStyle w:val="Prrafodelista"/>
        <w:numPr>
          <w:ilvl w:val="0"/>
          <w:numId w:val="7"/>
        </w:numPr>
        <w:pBdr>
          <w:top w:val="nil"/>
          <w:left w:val="nil"/>
          <w:bottom w:val="nil"/>
          <w:right w:val="nil"/>
          <w:between w:val="nil"/>
        </w:pBdr>
        <w:ind w:right="539"/>
        <w:jc w:val="both"/>
        <w:rPr>
          <w:rFonts w:ascii="Palatino Linotype" w:eastAsia="Palatino Linotype" w:hAnsi="Palatino Linotype" w:cs="Palatino Linotype"/>
          <w:i/>
          <w:iCs/>
          <w:color w:val="000000"/>
          <w:sz w:val="24"/>
        </w:rPr>
      </w:pPr>
      <w:r w:rsidRPr="006414EA">
        <w:rPr>
          <w:rFonts w:ascii="Palatino Linotype" w:eastAsia="Palatino Linotype" w:hAnsi="Palatino Linotype" w:cs="Palatino Linotype"/>
          <w:b/>
          <w:bCs/>
          <w:color w:val="000000"/>
          <w:sz w:val="24"/>
        </w:rPr>
        <w:t>ACTO IMPUGNADO</w:t>
      </w:r>
      <w:r w:rsidR="001C491E" w:rsidRPr="006414EA">
        <w:rPr>
          <w:rFonts w:ascii="Palatino Linotype" w:eastAsia="Palatino Linotype" w:hAnsi="Palatino Linotype" w:cs="Palatino Linotype"/>
          <w:b/>
          <w:bCs/>
          <w:i/>
          <w:iCs/>
          <w:color w:val="000000"/>
          <w:sz w:val="24"/>
        </w:rPr>
        <w:t>:</w:t>
      </w:r>
      <w:r w:rsidR="001C491E" w:rsidRPr="006414EA">
        <w:rPr>
          <w:rFonts w:ascii="Palatino Linotype" w:eastAsia="Palatino Linotype" w:hAnsi="Palatino Linotype" w:cs="Palatino Linotype"/>
          <w:color w:val="000000"/>
          <w:sz w:val="24"/>
        </w:rPr>
        <w:t xml:space="preserve"> </w:t>
      </w:r>
      <w:r w:rsidR="001C491E" w:rsidRPr="006414EA">
        <w:rPr>
          <w:rFonts w:ascii="Palatino Linotype" w:eastAsia="Palatino Linotype" w:hAnsi="Palatino Linotype" w:cs="Palatino Linotype"/>
          <w:i/>
          <w:iCs/>
          <w:color w:val="000000"/>
          <w:sz w:val="24"/>
        </w:rPr>
        <w:t>“La entrega de la información esta incompleta no sean opacos etreguen todo” (sic)</w:t>
      </w:r>
    </w:p>
    <w:p w:rsidR="00AB16BB" w:rsidRDefault="00AB16BB">
      <w:pPr>
        <w:pBdr>
          <w:top w:val="nil"/>
          <w:left w:val="nil"/>
          <w:bottom w:val="nil"/>
          <w:right w:val="nil"/>
          <w:between w:val="nil"/>
        </w:pBdr>
        <w:spacing w:line="360" w:lineRule="auto"/>
        <w:ind w:left="720" w:right="539"/>
        <w:jc w:val="both"/>
        <w:rPr>
          <w:rFonts w:ascii="Palatino Linotype" w:eastAsia="Palatino Linotype" w:hAnsi="Palatino Linotype" w:cs="Palatino Linotype"/>
          <w:color w:val="000000"/>
          <w:sz w:val="24"/>
          <w:szCs w:val="24"/>
        </w:rPr>
      </w:pPr>
    </w:p>
    <w:p w:rsidR="00AB16BB" w:rsidRPr="006414EA" w:rsidRDefault="006414EA" w:rsidP="006414EA">
      <w:pPr>
        <w:pStyle w:val="Prrafodelista"/>
        <w:numPr>
          <w:ilvl w:val="0"/>
          <w:numId w:val="7"/>
        </w:numPr>
        <w:pBdr>
          <w:top w:val="nil"/>
          <w:left w:val="nil"/>
          <w:bottom w:val="nil"/>
          <w:right w:val="nil"/>
          <w:between w:val="nil"/>
        </w:pBdr>
        <w:ind w:right="539"/>
        <w:jc w:val="both"/>
        <w:rPr>
          <w:rFonts w:ascii="Palatino Linotype" w:eastAsia="Palatino Linotype" w:hAnsi="Palatino Linotype" w:cs="Palatino Linotype"/>
          <w:color w:val="000000"/>
          <w:sz w:val="24"/>
        </w:rPr>
      </w:pPr>
      <w:r w:rsidRPr="006414EA">
        <w:rPr>
          <w:rFonts w:ascii="Palatino Linotype" w:eastAsia="Palatino Linotype" w:hAnsi="Palatino Linotype" w:cs="Palatino Linotype"/>
          <w:b/>
          <w:bCs/>
          <w:color w:val="000000"/>
          <w:sz w:val="24"/>
        </w:rPr>
        <w:t xml:space="preserve">RAZONES O MOTIVOS DE INCONFORMIDAD: </w:t>
      </w:r>
      <w:r w:rsidR="001C491E" w:rsidRPr="006414EA">
        <w:rPr>
          <w:rFonts w:ascii="Palatino Linotype" w:eastAsia="Palatino Linotype" w:hAnsi="Palatino Linotype" w:cs="Palatino Linotype"/>
          <w:b/>
          <w:bCs/>
          <w:color w:val="000000"/>
          <w:sz w:val="24"/>
        </w:rPr>
        <w:t>“</w:t>
      </w:r>
      <w:r w:rsidR="001C491E" w:rsidRPr="006414EA">
        <w:rPr>
          <w:rFonts w:ascii="Palatino Linotype" w:eastAsia="Palatino Linotype" w:hAnsi="Palatino Linotype" w:cs="Palatino Linotype"/>
          <w:i/>
          <w:iCs/>
          <w:color w:val="000000"/>
          <w:sz w:val="24"/>
        </w:rPr>
        <w:t>La entrega de la información esta incompleta no sean opacos etreguen todo “(Sic)</w:t>
      </w:r>
    </w:p>
    <w:p w:rsidR="00AB16BB" w:rsidRDefault="00AB16BB">
      <w:pPr>
        <w:pBdr>
          <w:top w:val="nil"/>
          <w:left w:val="nil"/>
          <w:bottom w:val="nil"/>
          <w:right w:val="nil"/>
          <w:between w:val="nil"/>
        </w:pBdr>
        <w:ind w:left="720"/>
        <w:rPr>
          <w:rFonts w:ascii="Palatino Linotype" w:eastAsia="Palatino Linotype" w:hAnsi="Palatino Linotype" w:cs="Palatino Linotype"/>
          <w:color w:val="000000"/>
          <w:sz w:val="24"/>
          <w:szCs w:val="24"/>
        </w:rPr>
      </w:pPr>
    </w:p>
    <w:p w:rsidR="00AB16BB" w:rsidRDefault="00AB16BB">
      <w:pPr>
        <w:pBdr>
          <w:top w:val="nil"/>
          <w:left w:val="nil"/>
          <w:bottom w:val="nil"/>
          <w:right w:val="nil"/>
          <w:between w:val="nil"/>
        </w:pBdr>
        <w:ind w:left="720" w:right="539" w:hanging="360"/>
        <w:jc w:val="both"/>
        <w:rPr>
          <w:rFonts w:ascii="Palatino Linotype" w:eastAsia="Palatino Linotype" w:hAnsi="Palatino Linotype" w:cs="Palatino Linotype"/>
          <w:color w:val="000000"/>
          <w:sz w:val="24"/>
          <w:szCs w:val="24"/>
        </w:rPr>
      </w:pPr>
    </w:p>
    <w:p w:rsidR="00AB16BB" w:rsidRDefault="001C491E">
      <w:pPr>
        <w:numPr>
          <w:ilvl w:val="0"/>
          <w:numId w:val="2"/>
        </w:numPr>
        <w:spacing w:line="360" w:lineRule="auto"/>
        <w:ind w:left="0"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Se registró el recurso de revisión bajo el número de expediente al rubro indicado, asimismo con fundamento en lo dispuesto por el artículo 185 fracción I de la </w:t>
      </w:r>
      <w:r>
        <w:rPr>
          <w:rFonts w:ascii="Palatino Linotype" w:eastAsia="Palatino Linotype" w:hAnsi="Palatino Linotype" w:cs="Palatino Linotype"/>
          <w:b/>
          <w:bCs/>
          <w:sz w:val="24"/>
          <w:szCs w:val="24"/>
        </w:rPr>
        <w:t xml:space="preserve">Ley de Transparencia y Acceso a la Información Pública del Estado de México y Municipios </w:t>
      </w:r>
      <w:r>
        <w:rPr>
          <w:rFonts w:ascii="Palatino Linotype" w:eastAsia="Palatino Linotype" w:hAnsi="Palatino Linotype" w:cs="Palatino Linotype"/>
          <w:sz w:val="24"/>
          <w:szCs w:val="24"/>
        </w:rPr>
        <w:t xml:space="preserve">se turnó a la </w:t>
      </w:r>
      <w:r>
        <w:rPr>
          <w:rFonts w:ascii="Palatino Linotype" w:eastAsia="Palatino Linotype" w:hAnsi="Palatino Linotype" w:cs="Palatino Linotype"/>
          <w:b/>
          <w:bCs/>
          <w:sz w:val="24"/>
          <w:szCs w:val="24"/>
        </w:rPr>
        <w:t xml:space="preserve">Comisionada María del Rosario Mejía Ayala, </w:t>
      </w:r>
      <w:r w:rsidR="006414EA">
        <w:rPr>
          <w:rFonts w:ascii="Palatino Linotype" w:eastAsia="Palatino Linotype" w:hAnsi="Palatino Linotype" w:cs="Palatino Linotype"/>
          <w:sz w:val="24"/>
          <w:szCs w:val="24"/>
        </w:rPr>
        <w:t>para</w:t>
      </w:r>
      <w:r>
        <w:rPr>
          <w:rFonts w:ascii="Palatino Linotype" w:eastAsia="Palatino Linotype" w:hAnsi="Palatino Linotype" w:cs="Palatino Linotype"/>
          <w:sz w:val="24"/>
          <w:szCs w:val="24"/>
        </w:rPr>
        <w:t xml:space="preserve"> su análisis. </w:t>
      </w:r>
    </w:p>
    <w:p w:rsidR="00AB16BB" w:rsidRDefault="00AB16BB">
      <w:pPr>
        <w:spacing w:line="360" w:lineRule="auto"/>
        <w:jc w:val="both"/>
        <w:rPr>
          <w:rFonts w:ascii="Palatino Linotype" w:eastAsia="Palatino Linotype" w:hAnsi="Palatino Linotype" w:cs="Palatino Linotype"/>
          <w:sz w:val="24"/>
          <w:szCs w:val="24"/>
        </w:rPr>
      </w:pPr>
    </w:p>
    <w:p w:rsidR="00AB16BB" w:rsidRDefault="006414EA">
      <w:pPr>
        <w:numPr>
          <w:ilvl w:val="0"/>
          <w:numId w:val="2"/>
        </w:numPr>
        <w:spacing w:line="360" w:lineRule="auto"/>
        <w:ind w:left="0" w:firstLine="0"/>
        <w:jc w:val="both"/>
        <w:rPr>
          <w:rFonts w:ascii="Palatino Linotype" w:eastAsia="Palatino Linotype" w:hAnsi="Palatino Linotype" w:cs="Palatino Linotype"/>
          <w:i/>
          <w:iCs/>
          <w:sz w:val="24"/>
          <w:szCs w:val="24"/>
        </w:rPr>
      </w:pPr>
      <w:r>
        <w:rPr>
          <w:rFonts w:ascii="Palatino Linotype" w:eastAsia="Palatino Linotype" w:hAnsi="Palatino Linotype" w:cs="Palatino Linotype"/>
          <w:sz w:val="24"/>
          <w:szCs w:val="24"/>
        </w:rPr>
        <w:t>La Comisionada p</w:t>
      </w:r>
      <w:r w:rsidR="001C491E">
        <w:rPr>
          <w:rFonts w:ascii="Palatino Linotype" w:eastAsia="Palatino Linotype" w:hAnsi="Palatino Linotype" w:cs="Palatino Linotype"/>
          <w:sz w:val="24"/>
          <w:szCs w:val="24"/>
        </w:rPr>
        <w:t xml:space="preserve">onente con fundamento en lo dispuesto por el artículo 18 fracción II de la ley de la materia, a través del acuerdo de admisión notificado el </w:t>
      </w:r>
      <w:r w:rsidR="001C491E">
        <w:rPr>
          <w:rFonts w:ascii="Palatino Linotype" w:eastAsia="Palatino Linotype" w:hAnsi="Palatino Linotype" w:cs="Palatino Linotype"/>
          <w:b/>
          <w:bCs/>
          <w:sz w:val="24"/>
          <w:szCs w:val="24"/>
        </w:rPr>
        <w:t>primero de julio de dos mil veinticinco,</w:t>
      </w:r>
      <w:r w:rsidR="001C491E">
        <w:rPr>
          <w:rFonts w:ascii="Palatino Linotype" w:eastAsia="Palatino Linotype" w:hAnsi="Palatino Linotype" w:cs="Palatino Linotype"/>
          <w:sz w:val="24"/>
          <w:szCs w:val="24"/>
        </w:rPr>
        <w:t xml:space="preserve"> se puso a disposición de las partes el expediente electrónico vía </w:t>
      </w:r>
      <w:r w:rsidR="001C491E">
        <w:rPr>
          <w:rFonts w:ascii="Palatino Linotype" w:eastAsia="Palatino Linotype" w:hAnsi="Palatino Linotype" w:cs="Palatino Linotype"/>
          <w:b/>
          <w:bCs/>
          <w:sz w:val="24"/>
          <w:szCs w:val="24"/>
        </w:rPr>
        <w:t xml:space="preserve">SAIMEX </w:t>
      </w:r>
      <w:r w:rsidR="001C491E">
        <w:rPr>
          <w:rFonts w:ascii="Palatino Linotype" w:eastAsia="Palatino Linotype" w:hAnsi="Palatino Linotype" w:cs="Palatino Linotype"/>
          <w:sz w:val="24"/>
          <w:szCs w:val="24"/>
        </w:rPr>
        <w:t xml:space="preserve">a efecto de que en un plazo máximo de siete días manifestaran lo que a derecho convinieran, ofrecieran pruebas y alegatos según corresponda al caso concreto, de esta forma para que el </w:t>
      </w:r>
      <w:r w:rsidR="001C491E">
        <w:rPr>
          <w:rFonts w:ascii="Palatino Linotype" w:eastAsia="Palatino Linotype" w:hAnsi="Palatino Linotype" w:cs="Palatino Linotype"/>
          <w:b/>
          <w:bCs/>
          <w:sz w:val="24"/>
          <w:szCs w:val="24"/>
        </w:rPr>
        <w:t>SUJETO OBLIGADO</w:t>
      </w:r>
      <w:r w:rsidR="001C491E">
        <w:rPr>
          <w:rFonts w:ascii="Palatino Linotype" w:eastAsia="Palatino Linotype" w:hAnsi="Palatino Linotype" w:cs="Palatino Linotype"/>
          <w:sz w:val="24"/>
          <w:szCs w:val="24"/>
        </w:rPr>
        <w:t xml:space="preserve"> presentara el informe justificado procedente. </w:t>
      </w:r>
    </w:p>
    <w:p w:rsidR="00AB16BB" w:rsidRDefault="00AB16BB">
      <w:pPr>
        <w:pBdr>
          <w:top w:val="nil"/>
          <w:left w:val="nil"/>
          <w:bottom w:val="nil"/>
          <w:right w:val="nil"/>
          <w:between w:val="nil"/>
        </w:pBdr>
        <w:ind w:left="720"/>
        <w:rPr>
          <w:rFonts w:ascii="Palatino Linotype" w:eastAsia="Palatino Linotype" w:hAnsi="Palatino Linotype" w:cs="Palatino Linotype"/>
          <w:i/>
          <w:iCs/>
          <w:color w:val="000000"/>
          <w:sz w:val="24"/>
          <w:szCs w:val="24"/>
        </w:rPr>
      </w:pPr>
    </w:p>
    <w:p w:rsidR="00AB16BB" w:rsidRDefault="001C491E">
      <w:pPr>
        <w:numPr>
          <w:ilvl w:val="0"/>
          <w:numId w:val="2"/>
        </w:numPr>
        <w:spacing w:line="360" w:lineRule="auto"/>
        <w:ind w:left="0" w:firstLine="0"/>
        <w:jc w:val="both"/>
        <w:rPr>
          <w:rFonts w:ascii="Palatino Linotype" w:eastAsia="Palatino Linotype" w:hAnsi="Palatino Linotype" w:cs="Palatino Linotype"/>
          <w:i/>
          <w:iCs/>
          <w:sz w:val="24"/>
          <w:szCs w:val="24"/>
        </w:rPr>
      </w:pPr>
      <w:r>
        <w:rPr>
          <w:rFonts w:ascii="Palatino Linotype" w:eastAsia="Palatino Linotype" w:hAnsi="Palatino Linotype" w:cs="Palatino Linotype"/>
          <w:sz w:val="24"/>
          <w:szCs w:val="24"/>
        </w:rPr>
        <w:t xml:space="preserve">De las constancias que obran en el expediente electrónico SAIMEX, se advierte que el </w:t>
      </w:r>
      <w:r>
        <w:rPr>
          <w:rFonts w:ascii="Palatino Linotype" w:eastAsia="Palatino Linotype" w:hAnsi="Palatino Linotype" w:cs="Palatino Linotype"/>
          <w:b/>
          <w:bCs/>
          <w:sz w:val="24"/>
          <w:szCs w:val="24"/>
        </w:rPr>
        <w:t>PARTICULAR,</w:t>
      </w:r>
      <w:r>
        <w:rPr>
          <w:rFonts w:ascii="Palatino Linotype" w:eastAsia="Palatino Linotype" w:hAnsi="Palatino Linotype" w:cs="Palatino Linotype"/>
          <w:sz w:val="24"/>
          <w:szCs w:val="24"/>
        </w:rPr>
        <w:t xml:space="preserve"> no realizó manifestación alguna.</w:t>
      </w:r>
    </w:p>
    <w:p w:rsidR="00AB16BB" w:rsidRDefault="00AB16BB">
      <w:pPr>
        <w:spacing w:line="360" w:lineRule="auto"/>
        <w:jc w:val="both"/>
        <w:rPr>
          <w:rFonts w:ascii="Palatino Linotype" w:eastAsia="Palatino Linotype" w:hAnsi="Palatino Linotype" w:cs="Palatino Linotype"/>
          <w:i/>
          <w:iCs/>
          <w:sz w:val="24"/>
          <w:szCs w:val="24"/>
        </w:rPr>
      </w:pPr>
    </w:p>
    <w:p w:rsidR="00AB16BB" w:rsidRDefault="001C491E">
      <w:pPr>
        <w:numPr>
          <w:ilvl w:val="0"/>
          <w:numId w:val="2"/>
        </w:numPr>
        <w:spacing w:line="360" w:lineRule="auto"/>
        <w:ind w:left="0" w:firstLine="0"/>
        <w:jc w:val="both"/>
        <w:rPr>
          <w:rFonts w:ascii="Palatino Linotype" w:eastAsia="Palatino Linotype" w:hAnsi="Palatino Linotype" w:cs="Palatino Linotype"/>
          <w:color w:val="FF0000"/>
          <w:sz w:val="24"/>
          <w:szCs w:val="24"/>
        </w:rPr>
      </w:pPr>
      <w:r>
        <w:rPr>
          <w:rFonts w:ascii="Palatino Linotype" w:eastAsia="Palatino Linotype" w:hAnsi="Palatino Linotype" w:cs="Palatino Linotype"/>
          <w:sz w:val="24"/>
          <w:szCs w:val="24"/>
        </w:rPr>
        <w:t xml:space="preserve">El </w:t>
      </w:r>
      <w:r>
        <w:rPr>
          <w:rFonts w:ascii="Palatino Linotype" w:eastAsia="Palatino Linotype" w:hAnsi="Palatino Linotype" w:cs="Palatino Linotype"/>
          <w:b/>
          <w:bCs/>
          <w:sz w:val="24"/>
          <w:szCs w:val="24"/>
        </w:rPr>
        <w:t xml:space="preserve">SUJETO OBLIGADO, </w:t>
      </w:r>
      <w:r>
        <w:rPr>
          <w:rFonts w:ascii="Palatino Linotype" w:eastAsia="Palatino Linotype" w:hAnsi="Palatino Linotype" w:cs="Palatino Linotype"/>
          <w:sz w:val="24"/>
          <w:szCs w:val="24"/>
        </w:rPr>
        <w:t>el cinco de junio de dos mil veinticinco, rindió el Informe Justificado a través de los archivos siguientes:</w:t>
      </w:r>
    </w:p>
    <w:p w:rsidR="00AB16BB" w:rsidRDefault="001C491E">
      <w:pPr>
        <w:numPr>
          <w:ilvl w:val="0"/>
          <w:numId w:val="5"/>
        </w:numPr>
        <w:pBdr>
          <w:top w:val="nil"/>
          <w:left w:val="nil"/>
          <w:bottom w:val="nil"/>
          <w:right w:val="nil"/>
          <w:between w:val="nil"/>
        </w:pBdr>
        <w:jc w:val="both"/>
        <w:rPr>
          <w:rFonts w:ascii="Palatino Linotype" w:eastAsia="Palatino Linotype" w:hAnsi="Palatino Linotype" w:cs="Palatino Linotype"/>
          <w:b/>
          <w:bCs/>
          <w:color w:val="000000"/>
          <w:sz w:val="24"/>
          <w:szCs w:val="24"/>
        </w:rPr>
      </w:pPr>
      <w:r>
        <w:rPr>
          <w:rFonts w:ascii="Palatino Linotype" w:eastAsia="Palatino Linotype" w:hAnsi="Palatino Linotype" w:cs="Palatino Linotype"/>
          <w:b/>
          <w:bCs/>
          <w:color w:val="000000"/>
          <w:sz w:val="24"/>
          <w:szCs w:val="24"/>
        </w:rPr>
        <w:t xml:space="preserve">ANEXOS 07723-2025.pdf:; </w:t>
      </w:r>
      <w:r>
        <w:rPr>
          <w:rFonts w:ascii="Palatino Linotype" w:eastAsia="Palatino Linotype" w:hAnsi="Palatino Linotype" w:cs="Palatino Linotype"/>
          <w:color w:val="000000"/>
          <w:sz w:val="24"/>
          <w:szCs w:val="24"/>
        </w:rPr>
        <w:t xml:space="preserve">Oficio firmado por la Directora de Administración por el que ratifica la respuesta primigenia, oficio firmado por el Tesorero Municipal, por el que ratifica la respuesta primigenia. </w:t>
      </w:r>
    </w:p>
    <w:p w:rsidR="00AB16BB" w:rsidRDefault="001C491E">
      <w:pPr>
        <w:numPr>
          <w:ilvl w:val="0"/>
          <w:numId w:val="5"/>
        </w:numPr>
        <w:pBdr>
          <w:top w:val="nil"/>
          <w:left w:val="nil"/>
          <w:bottom w:val="nil"/>
          <w:right w:val="nil"/>
          <w:between w:val="nil"/>
        </w:pBdr>
        <w:jc w:val="both"/>
        <w:rPr>
          <w:rFonts w:ascii="Palatino Linotype" w:eastAsia="Palatino Linotype" w:hAnsi="Palatino Linotype" w:cs="Palatino Linotype"/>
          <w:b/>
          <w:bCs/>
          <w:color w:val="000000"/>
          <w:sz w:val="24"/>
          <w:szCs w:val="24"/>
        </w:rPr>
      </w:pPr>
      <w:r>
        <w:rPr>
          <w:rFonts w:ascii="Palatino Linotype" w:eastAsia="Palatino Linotype" w:hAnsi="Palatino Linotype" w:cs="Palatino Linotype"/>
          <w:b/>
          <w:bCs/>
          <w:color w:val="000000"/>
          <w:sz w:val="24"/>
          <w:szCs w:val="24"/>
        </w:rPr>
        <w:t xml:space="preserve">Ratificación 07723.pdf: </w:t>
      </w:r>
      <w:r>
        <w:rPr>
          <w:rFonts w:ascii="Palatino Linotype" w:eastAsia="Palatino Linotype" w:hAnsi="Palatino Linotype" w:cs="Palatino Linotype"/>
          <w:color w:val="000000"/>
          <w:sz w:val="24"/>
          <w:szCs w:val="24"/>
        </w:rPr>
        <w:t>Oficio firmado por el Titular de la Unidad de Transparencia por el que confirma las respuestas proporcionadas por la Directora de Administración y el Tesorero Municipal.</w:t>
      </w:r>
    </w:p>
    <w:p w:rsidR="00AB16BB" w:rsidRDefault="00AB16BB">
      <w:pPr>
        <w:jc w:val="both"/>
        <w:rPr>
          <w:rFonts w:ascii="Century Gothic" w:eastAsia="Century Gothic" w:hAnsi="Century Gothic" w:cs="Century Gothic"/>
          <w:sz w:val="22"/>
          <w:szCs w:val="22"/>
        </w:rPr>
      </w:pPr>
    </w:p>
    <w:p w:rsidR="00AB16BB" w:rsidRDefault="00AB16BB">
      <w:pPr>
        <w:jc w:val="both"/>
        <w:rPr>
          <w:rFonts w:ascii="Century Gothic" w:eastAsia="Century Gothic" w:hAnsi="Century Gothic" w:cs="Century Gothic"/>
          <w:sz w:val="22"/>
          <w:szCs w:val="22"/>
        </w:rPr>
      </w:pPr>
    </w:p>
    <w:p w:rsidR="00AB16BB" w:rsidRDefault="00AB16BB">
      <w:pPr>
        <w:jc w:val="both"/>
        <w:rPr>
          <w:rFonts w:ascii="Century Gothic" w:eastAsia="Century Gothic" w:hAnsi="Century Gothic" w:cs="Century Gothic"/>
          <w:sz w:val="22"/>
          <w:szCs w:val="22"/>
        </w:rPr>
      </w:pPr>
    </w:p>
    <w:p w:rsidR="00AB16BB" w:rsidRDefault="001C491E">
      <w:pPr>
        <w:numPr>
          <w:ilvl w:val="0"/>
          <w:numId w:val="2"/>
        </w:numPr>
        <w:tabs>
          <w:tab w:val="left" w:pos="426"/>
        </w:tabs>
        <w:spacing w:line="360" w:lineRule="auto"/>
        <w:ind w:left="0" w:firstLine="0"/>
        <w:jc w:val="both"/>
        <w:rPr>
          <w:rFonts w:ascii="Palatino Linotype" w:eastAsia="Palatino Linotype" w:hAnsi="Palatino Linotype" w:cs="Palatino Linotype"/>
          <w:b/>
          <w:bCs/>
          <w:sz w:val="24"/>
          <w:szCs w:val="24"/>
          <w:u w:val="single"/>
        </w:rPr>
      </w:pPr>
      <w:r>
        <w:rPr>
          <w:rFonts w:ascii="Palatino Linotype" w:eastAsia="Palatino Linotype" w:hAnsi="Palatino Linotype" w:cs="Palatino Linotype"/>
          <w:sz w:val="24"/>
          <w:szCs w:val="24"/>
        </w:rPr>
        <w:lastRenderedPageBreak/>
        <w:t xml:space="preserve">El </w:t>
      </w:r>
      <w:r>
        <w:rPr>
          <w:rFonts w:ascii="Palatino Linotype" w:eastAsia="Palatino Linotype" w:hAnsi="Palatino Linotype" w:cs="Palatino Linotype"/>
          <w:b/>
          <w:bCs/>
          <w:sz w:val="24"/>
          <w:szCs w:val="24"/>
        </w:rPr>
        <w:t xml:space="preserve">doce de enero de dos mil veintiséis, </w:t>
      </w:r>
      <w:r>
        <w:rPr>
          <w:rFonts w:ascii="Palatino Linotype" w:eastAsia="Palatino Linotype" w:hAnsi="Palatino Linotype" w:cs="Palatino Linotype"/>
          <w:sz w:val="24"/>
          <w:szCs w:val="24"/>
        </w:rPr>
        <w:t>se notificó el acuerdo por el que se amplió el plazo para resolver el recurso de revisión que nos ocupa.</w:t>
      </w:r>
    </w:p>
    <w:p w:rsidR="00AB16BB" w:rsidRDefault="00AB16BB">
      <w:pPr>
        <w:tabs>
          <w:tab w:val="left" w:pos="426"/>
        </w:tabs>
        <w:spacing w:line="360" w:lineRule="auto"/>
        <w:jc w:val="both"/>
        <w:rPr>
          <w:rFonts w:ascii="Palatino Linotype" w:eastAsia="Palatino Linotype" w:hAnsi="Palatino Linotype" w:cs="Palatino Linotype"/>
          <w:b/>
          <w:bCs/>
          <w:sz w:val="24"/>
          <w:szCs w:val="24"/>
          <w:u w:val="single"/>
        </w:rPr>
      </w:pPr>
    </w:p>
    <w:p w:rsidR="00AB16BB" w:rsidRDefault="001C491E">
      <w:pPr>
        <w:numPr>
          <w:ilvl w:val="0"/>
          <w:numId w:val="2"/>
        </w:numPr>
        <w:tabs>
          <w:tab w:val="left" w:pos="426"/>
        </w:tabs>
        <w:spacing w:line="360" w:lineRule="auto"/>
        <w:ind w:left="0" w:firstLine="0"/>
        <w:jc w:val="both"/>
        <w:rPr>
          <w:rFonts w:ascii="Palatino Linotype" w:eastAsia="Palatino Linotype" w:hAnsi="Palatino Linotype" w:cs="Palatino Linotype"/>
          <w:b/>
          <w:bCs/>
          <w:sz w:val="24"/>
          <w:szCs w:val="24"/>
          <w:u w:val="single"/>
        </w:rPr>
      </w:pPr>
      <w:r>
        <w:rPr>
          <w:rFonts w:ascii="Palatino Linotype" w:eastAsia="Palatino Linotype" w:hAnsi="Palatino Linotype" w:cs="Palatino Linotype"/>
          <w:sz w:val="24"/>
          <w:szCs w:val="24"/>
        </w:rPr>
        <w:t>El</w:t>
      </w:r>
      <w:r>
        <w:rPr>
          <w:rFonts w:ascii="Palatino Linotype" w:eastAsia="Palatino Linotype" w:hAnsi="Palatino Linotype" w:cs="Palatino Linotype"/>
          <w:b/>
          <w:bCs/>
          <w:sz w:val="24"/>
          <w:szCs w:val="24"/>
        </w:rPr>
        <w:t xml:space="preserve"> </w:t>
      </w:r>
      <w:r w:rsidR="00CF7C72">
        <w:rPr>
          <w:rFonts w:ascii="Palatino Linotype" w:eastAsia="Palatino Linotype" w:hAnsi="Palatino Linotype" w:cs="Palatino Linotype"/>
          <w:b/>
          <w:bCs/>
          <w:sz w:val="24"/>
          <w:szCs w:val="24"/>
        </w:rPr>
        <w:t>dieciséis</w:t>
      </w:r>
      <w:r>
        <w:rPr>
          <w:rFonts w:ascii="Palatino Linotype" w:eastAsia="Palatino Linotype" w:hAnsi="Palatino Linotype" w:cs="Palatino Linotype"/>
          <w:b/>
          <w:bCs/>
          <w:sz w:val="24"/>
          <w:szCs w:val="24"/>
        </w:rPr>
        <w:t xml:space="preserve"> de enero de dos mil veintiséis</w:t>
      </w:r>
      <w:r>
        <w:rPr>
          <w:rFonts w:ascii="Palatino Linotype" w:eastAsia="Palatino Linotype" w:hAnsi="Palatino Linotype" w:cs="Palatino Linotype"/>
          <w:sz w:val="24"/>
          <w:szCs w:val="24"/>
        </w:rPr>
        <w:t xml:space="preserve">, la Comisionada Ponente decretó el cierre de instrucción y al no existir diligencias por realizar y se turnó el expediente a resolución correspondiente, por lo que no habiendo más que hacer constar, y </w:t>
      </w:r>
    </w:p>
    <w:p w:rsidR="00AB16BB" w:rsidRDefault="00AB16BB">
      <w:pPr>
        <w:tabs>
          <w:tab w:val="left" w:pos="426"/>
        </w:tabs>
        <w:spacing w:line="360" w:lineRule="auto"/>
        <w:jc w:val="both"/>
        <w:rPr>
          <w:rFonts w:ascii="Palatino Linotype" w:eastAsia="Palatino Linotype" w:hAnsi="Palatino Linotype" w:cs="Palatino Linotype"/>
          <w:b/>
          <w:bCs/>
          <w:sz w:val="24"/>
          <w:szCs w:val="24"/>
          <w:u w:val="single"/>
        </w:rPr>
      </w:pPr>
    </w:p>
    <w:p w:rsidR="00AB16BB" w:rsidRDefault="001C491E">
      <w:pPr>
        <w:keepNext/>
        <w:keepLines/>
        <w:spacing w:line="360" w:lineRule="auto"/>
        <w:jc w:val="center"/>
        <w:rPr>
          <w:rFonts w:ascii="Palatino Linotype" w:eastAsia="Palatino Linotype" w:hAnsi="Palatino Linotype" w:cs="Palatino Linotype"/>
          <w:b/>
          <w:bCs/>
          <w:sz w:val="24"/>
          <w:szCs w:val="24"/>
        </w:rPr>
      </w:pPr>
      <w:bookmarkStart w:id="3" w:name="_heading=h.30j0zll" w:colFirst="0" w:colLast="0"/>
      <w:bookmarkEnd w:id="3"/>
      <w:r>
        <w:rPr>
          <w:rFonts w:ascii="Palatino Linotype" w:eastAsia="Palatino Linotype" w:hAnsi="Palatino Linotype" w:cs="Palatino Linotype"/>
          <w:b/>
          <w:bCs/>
          <w:sz w:val="24"/>
          <w:szCs w:val="24"/>
        </w:rPr>
        <w:t>C</w:t>
      </w:r>
      <w:r w:rsidR="006414EA">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O</w:t>
      </w:r>
      <w:r w:rsidR="006414EA">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N</w:t>
      </w:r>
      <w:r w:rsidR="006414EA">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S</w:t>
      </w:r>
      <w:r w:rsidR="006414EA">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I</w:t>
      </w:r>
      <w:r w:rsidR="006414EA">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D</w:t>
      </w:r>
      <w:r w:rsidR="006414EA">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E</w:t>
      </w:r>
      <w:r w:rsidR="006414EA">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R</w:t>
      </w:r>
      <w:r w:rsidR="006414EA">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A</w:t>
      </w:r>
      <w:r w:rsidR="006414EA">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N</w:t>
      </w:r>
      <w:r w:rsidR="006414EA">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D</w:t>
      </w:r>
      <w:r w:rsidR="006414EA">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b/>
          <w:bCs/>
          <w:sz w:val="24"/>
          <w:szCs w:val="24"/>
        </w:rPr>
        <w:t xml:space="preserve">O </w:t>
      </w:r>
    </w:p>
    <w:p w:rsidR="00AB16BB" w:rsidRDefault="00AB16BB">
      <w:pPr>
        <w:keepNext/>
        <w:keepLines/>
        <w:spacing w:line="360" w:lineRule="auto"/>
        <w:jc w:val="center"/>
        <w:rPr>
          <w:rFonts w:ascii="Palatino Linotype" w:eastAsia="Palatino Linotype" w:hAnsi="Palatino Linotype" w:cs="Palatino Linotype"/>
          <w:sz w:val="24"/>
          <w:szCs w:val="24"/>
        </w:rPr>
      </w:pPr>
    </w:p>
    <w:p w:rsidR="00AB16BB" w:rsidRDefault="001C491E">
      <w:pPr>
        <w:keepNext/>
        <w:keepLines/>
        <w:spacing w:line="360" w:lineRule="auto"/>
        <w:rPr>
          <w:rFonts w:ascii="Palatino Linotype" w:eastAsia="Palatino Linotype" w:hAnsi="Palatino Linotype" w:cs="Palatino Linotype"/>
          <w:b/>
          <w:bCs/>
          <w:sz w:val="24"/>
          <w:szCs w:val="24"/>
        </w:rPr>
      </w:pPr>
      <w:bookmarkStart w:id="4" w:name="_heading=h.1fob9te" w:colFirst="0" w:colLast="0"/>
      <w:bookmarkEnd w:id="4"/>
      <w:r>
        <w:rPr>
          <w:rFonts w:ascii="Palatino Linotype" w:eastAsia="Palatino Linotype" w:hAnsi="Palatino Linotype" w:cs="Palatino Linotype"/>
          <w:b/>
          <w:bCs/>
          <w:sz w:val="24"/>
          <w:szCs w:val="24"/>
        </w:rPr>
        <w:t>PRIMERO. De la competencia</w:t>
      </w:r>
    </w:p>
    <w:p w:rsidR="00AB16BB" w:rsidRDefault="001C491E">
      <w:pPr>
        <w:numPr>
          <w:ilvl w:val="0"/>
          <w:numId w:val="2"/>
        </w:numPr>
        <w:tabs>
          <w:tab w:val="left" w:pos="426"/>
        </w:tabs>
        <w:spacing w:line="360" w:lineRule="auto"/>
        <w:ind w:left="0"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AB16BB" w:rsidRDefault="00AB16BB">
      <w:pPr>
        <w:tabs>
          <w:tab w:val="left" w:pos="426"/>
        </w:tabs>
        <w:spacing w:line="360" w:lineRule="auto"/>
        <w:jc w:val="both"/>
        <w:rPr>
          <w:rFonts w:ascii="Palatino Linotype" w:eastAsia="Palatino Linotype" w:hAnsi="Palatino Linotype" w:cs="Palatino Linotype"/>
          <w:color w:val="000000"/>
          <w:sz w:val="24"/>
          <w:szCs w:val="24"/>
        </w:rPr>
      </w:pPr>
    </w:p>
    <w:p w:rsidR="00AB16BB" w:rsidRDefault="001C491E">
      <w:pPr>
        <w:keepNext/>
        <w:keepLines/>
        <w:spacing w:line="360" w:lineRule="auto"/>
        <w:rPr>
          <w:rFonts w:ascii="Palatino Linotype" w:eastAsia="Palatino Linotype" w:hAnsi="Palatino Linotype" w:cs="Palatino Linotype"/>
          <w:b/>
          <w:bCs/>
          <w:sz w:val="24"/>
          <w:szCs w:val="24"/>
        </w:rPr>
      </w:pPr>
      <w:bookmarkStart w:id="5" w:name="_heading=h.3znysh7" w:colFirst="0" w:colLast="0"/>
      <w:bookmarkEnd w:id="5"/>
      <w:r>
        <w:rPr>
          <w:rFonts w:ascii="Palatino Linotype" w:eastAsia="Palatino Linotype" w:hAnsi="Palatino Linotype" w:cs="Palatino Linotype"/>
          <w:b/>
          <w:bCs/>
          <w:sz w:val="24"/>
          <w:szCs w:val="24"/>
        </w:rPr>
        <w:lastRenderedPageBreak/>
        <w:t>SEGUNDO. De la oportunidad y procedencia.</w:t>
      </w:r>
    </w:p>
    <w:p w:rsidR="00AB16BB" w:rsidRDefault="001C491E">
      <w:pPr>
        <w:numPr>
          <w:ilvl w:val="0"/>
          <w:numId w:val="2"/>
        </w:numPr>
        <w:spacing w:line="360" w:lineRule="auto"/>
        <w:ind w:left="0" w:right="48"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medio de impugnación fue presentado a través del </w:t>
      </w:r>
      <w:r>
        <w:rPr>
          <w:rFonts w:ascii="Palatino Linotype" w:eastAsia="Palatino Linotype" w:hAnsi="Palatino Linotype" w:cs="Palatino Linotype"/>
          <w:b/>
          <w:bCs/>
          <w:sz w:val="24"/>
          <w:szCs w:val="24"/>
        </w:rPr>
        <w:t>SAIMEX,</w:t>
      </w:r>
      <w:r>
        <w:rPr>
          <w:rFonts w:ascii="Palatino Linotype" w:eastAsia="Palatino Linotype" w:hAnsi="Palatino Linotype" w:cs="Palatino Linotype"/>
          <w:sz w:val="24"/>
          <w:szCs w:val="24"/>
        </w:rPr>
        <w:t xml:space="preserve"> en el formato previamente aprobado para tal efecto y dentro del plazo legal de quince días hábiles otorgados; para el caso en particular es de señalar que el </w:t>
      </w:r>
      <w:r>
        <w:rPr>
          <w:rFonts w:ascii="Palatino Linotype" w:eastAsia="Palatino Linotype" w:hAnsi="Palatino Linotype" w:cs="Palatino Linotype"/>
          <w:b/>
          <w:bCs/>
          <w:sz w:val="24"/>
          <w:szCs w:val="24"/>
        </w:rPr>
        <w:t>SUJETO OBLIGADO</w:t>
      </w:r>
      <w:r>
        <w:rPr>
          <w:rFonts w:ascii="Palatino Linotype" w:eastAsia="Palatino Linotype" w:hAnsi="Palatino Linotype" w:cs="Palatino Linotype"/>
          <w:sz w:val="24"/>
          <w:szCs w:val="24"/>
        </w:rPr>
        <w:t xml:space="preserve"> entregó respuesta el </w:t>
      </w:r>
      <w:r>
        <w:rPr>
          <w:rFonts w:ascii="Palatino Linotype" w:eastAsia="Palatino Linotype" w:hAnsi="Palatino Linotype" w:cs="Palatino Linotype"/>
          <w:b/>
          <w:bCs/>
          <w:sz w:val="24"/>
          <w:szCs w:val="24"/>
        </w:rPr>
        <w:t>tres de junio de dos mil veinticinco</w:t>
      </w:r>
      <w:r>
        <w:rPr>
          <w:rFonts w:ascii="Palatino Linotype" w:eastAsia="Palatino Linotype" w:hAnsi="Palatino Linotype" w:cs="Palatino Linotype"/>
          <w:sz w:val="24"/>
          <w:szCs w:val="24"/>
        </w:rPr>
        <w:t xml:space="preserve">, de tal forma que el plazo para interponer el recurso transcurrió del </w:t>
      </w:r>
      <w:r>
        <w:rPr>
          <w:rFonts w:ascii="Palatino Linotype" w:eastAsia="Palatino Linotype" w:hAnsi="Palatino Linotype" w:cs="Palatino Linotype"/>
          <w:b/>
          <w:bCs/>
          <w:sz w:val="24"/>
          <w:szCs w:val="24"/>
        </w:rPr>
        <w:t xml:space="preserve">dos al cuatro al veinticuatro de junio de dos mil veinticinco, </w:t>
      </w:r>
      <w:r>
        <w:rPr>
          <w:rFonts w:ascii="Palatino Linotype" w:eastAsia="Palatino Linotype" w:hAnsi="Palatino Linotype" w:cs="Palatino Linotype"/>
          <w:sz w:val="24"/>
          <w:szCs w:val="24"/>
        </w:rPr>
        <w:t xml:space="preserve">en consecuencia, si el </w:t>
      </w:r>
      <w:r>
        <w:rPr>
          <w:rFonts w:ascii="Palatino Linotype" w:eastAsia="Palatino Linotype" w:hAnsi="Palatino Linotype" w:cs="Palatino Linotype"/>
          <w:b/>
          <w:bCs/>
          <w:sz w:val="24"/>
          <w:szCs w:val="24"/>
        </w:rPr>
        <w:t>PARTICULAR</w:t>
      </w:r>
      <w:r>
        <w:rPr>
          <w:rFonts w:ascii="Palatino Linotype" w:eastAsia="Palatino Linotype" w:hAnsi="Palatino Linotype" w:cs="Palatino Linotype"/>
          <w:sz w:val="24"/>
          <w:szCs w:val="24"/>
        </w:rPr>
        <w:t xml:space="preserve"> presentó su inconformidad el </w:t>
      </w:r>
      <w:r>
        <w:rPr>
          <w:rFonts w:ascii="Palatino Linotype" w:eastAsia="Palatino Linotype" w:hAnsi="Palatino Linotype" w:cs="Palatino Linotype"/>
          <w:b/>
          <w:bCs/>
          <w:sz w:val="24"/>
          <w:szCs w:val="24"/>
        </w:rPr>
        <w:t>veinticuatro de junio de dos mil veinticinco</w:t>
      </w:r>
      <w:r>
        <w:rPr>
          <w:rFonts w:ascii="Palatino Linotype" w:eastAsia="Palatino Linotype" w:hAnsi="Palatino Linotype" w:cs="Palatino Linotype"/>
          <w:sz w:val="24"/>
          <w:szCs w:val="24"/>
        </w:rPr>
        <w:t xml:space="preserve">, este  se encuentra dentro de los márgenes temporales previstos en el artículo 178 de la </w:t>
      </w:r>
      <w:r>
        <w:rPr>
          <w:rFonts w:ascii="Palatino Linotype" w:eastAsia="Palatino Linotype" w:hAnsi="Palatino Linotype" w:cs="Palatino Linotype"/>
          <w:b/>
          <w:bCs/>
          <w:sz w:val="24"/>
          <w:szCs w:val="24"/>
        </w:rPr>
        <w:t xml:space="preserve">Ley de Transparencia y Acceso a la Información Pública del Estado de México y Municipios </w:t>
      </w:r>
      <w:r>
        <w:rPr>
          <w:rFonts w:ascii="Palatino Linotype" w:eastAsia="Palatino Linotype" w:hAnsi="Palatino Linotype" w:cs="Palatino Linotype"/>
          <w:sz w:val="24"/>
          <w:szCs w:val="24"/>
        </w:rPr>
        <w:t xml:space="preserve">vigente. </w:t>
      </w:r>
    </w:p>
    <w:p w:rsidR="00AB16BB" w:rsidRDefault="00AB16BB">
      <w:pPr>
        <w:spacing w:line="360" w:lineRule="auto"/>
        <w:ind w:right="49"/>
        <w:jc w:val="both"/>
        <w:rPr>
          <w:rFonts w:ascii="Palatino Linotype" w:eastAsia="Palatino Linotype" w:hAnsi="Palatino Linotype" w:cs="Palatino Linotype"/>
          <w:sz w:val="24"/>
          <w:szCs w:val="24"/>
        </w:rPr>
      </w:pPr>
      <w:bookmarkStart w:id="6" w:name="_heading=h.2et92p0" w:colFirst="0" w:colLast="0"/>
      <w:bookmarkEnd w:id="6"/>
    </w:p>
    <w:p w:rsidR="00AB16BB" w:rsidRDefault="001C491E">
      <w:pPr>
        <w:pStyle w:val="Ttulo2"/>
        <w:rPr>
          <w:rFonts w:ascii="Palatino Linotype" w:eastAsia="Palatino Linotype" w:hAnsi="Palatino Linotype" w:cs="Palatino Linotype"/>
          <w:b/>
          <w:bCs/>
          <w:i/>
          <w:iCs/>
          <w:color w:val="000000"/>
          <w:sz w:val="24"/>
          <w:szCs w:val="24"/>
        </w:rPr>
      </w:pPr>
      <w:r>
        <w:rPr>
          <w:rFonts w:ascii="Palatino Linotype" w:eastAsia="Palatino Linotype" w:hAnsi="Palatino Linotype" w:cs="Palatino Linotype"/>
          <w:b/>
          <w:bCs/>
          <w:color w:val="000000"/>
          <w:sz w:val="24"/>
          <w:szCs w:val="24"/>
        </w:rPr>
        <w:t xml:space="preserve">TERCERO. Del planteamiento de la </w:t>
      </w:r>
      <w:r>
        <w:rPr>
          <w:rFonts w:ascii="Palatino Linotype" w:eastAsia="Palatino Linotype" w:hAnsi="Palatino Linotype" w:cs="Palatino Linotype"/>
          <w:b/>
          <w:bCs/>
          <w:i/>
          <w:iCs/>
          <w:color w:val="000000"/>
          <w:sz w:val="24"/>
          <w:szCs w:val="24"/>
        </w:rPr>
        <w:t>Litis.</w:t>
      </w:r>
    </w:p>
    <w:p w:rsidR="00AB16BB" w:rsidRDefault="001C491E">
      <w:pPr>
        <w:numPr>
          <w:ilvl w:val="0"/>
          <w:numId w:val="2"/>
        </w:numPr>
        <w:spacing w:line="360" w:lineRule="auto"/>
        <w:ind w:left="0" w:right="49"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Se solicitó la información que a continuación se desagrega:</w:t>
      </w:r>
    </w:p>
    <w:p w:rsidR="00AB16BB" w:rsidRDefault="001C491E">
      <w:pPr>
        <w:pBdr>
          <w:top w:val="nil"/>
          <w:left w:val="nil"/>
          <w:bottom w:val="nil"/>
          <w:right w:val="nil"/>
          <w:between w:val="nil"/>
        </w:pBdr>
        <w:spacing w:line="276" w:lineRule="auto"/>
        <w:ind w:left="720" w:right="68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TODOS LOS GASTOS PAGADOS AL DIRECTORES GENERALES, DIRECTORES DE AREAS, SUBDIRECTORES, CORODINADORES, JEFES DE DEPARTAMENTO ASqOR CUALQUER CONCEPTO DE 01 DE ENERO AL 09 DE MAYO POR GASTOS DE REPRESENTACIÓN, VIATICOS, COMIDAD, GASOLINA, ETC TODOS.</w:t>
      </w:r>
    </w:p>
    <w:p w:rsidR="00AB16BB" w:rsidRDefault="00AB16BB">
      <w:pPr>
        <w:pBdr>
          <w:top w:val="nil"/>
          <w:left w:val="nil"/>
          <w:bottom w:val="nil"/>
          <w:right w:val="nil"/>
          <w:between w:val="nil"/>
        </w:pBdr>
        <w:spacing w:line="276" w:lineRule="auto"/>
        <w:ind w:left="720" w:right="680"/>
        <w:jc w:val="both"/>
        <w:rPr>
          <w:rFonts w:ascii="Palatino Linotype" w:eastAsia="Palatino Linotype" w:hAnsi="Palatino Linotype" w:cs="Palatino Linotype"/>
          <w:color w:val="000000"/>
          <w:sz w:val="24"/>
          <w:szCs w:val="24"/>
        </w:rPr>
      </w:pPr>
    </w:p>
    <w:p w:rsidR="00AB16BB" w:rsidRDefault="001C491E">
      <w:pPr>
        <w:numPr>
          <w:ilvl w:val="0"/>
          <w:numId w:val="2"/>
        </w:numPr>
        <w:spacing w:line="360" w:lineRule="auto"/>
        <w:ind w:left="0" w:right="49" w:firstLine="0"/>
        <w:jc w:val="both"/>
        <w:rPr>
          <w:rFonts w:ascii="Palatino Linotype" w:eastAsia="Palatino Linotype" w:hAnsi="Palatino Linotype" w:cs="Palatino Linotype"/>
          <w:i/>
          <w:iCs/>
          <w:sz w:val="24"/>
          <w:szCs w:val="24"/>
        </w:rPr>
      </w:pPr>
      <w:r>
        <w:rPr>
          <w:rFonts w:ascii="Palatino Linotype" w:eastAsia="Palatino Linotype" w:hAnsi="Palatino Linotype" w:cs="Palatino Linotype"/>
          <w:sz w:val="24"/>
          <w:szCs w:val="24"/>
        </w:rPr>
        <w:t xml:space="preserve">El </w:t>
      </w:r>
      <w:r>
        <w:rPr>
          <w:rFonts w:ascii="Palatino Linotype" w:eastAsia="Palatino Linotype" w:hAnsi="Palatino Linotype" w:cs="Palatino Linotype"/>
          <w:b/>
          <w:bCs/>
          <w:sz w:val="24"/>
          <w:szCs w:val="24"/>
        </w:rPr>
        <w:t xml:space="preserve">SUJETO OBLIGADO, </w:t>
      </w:r>
      <w:r>
        <w:rPr>
          <w:rFonts w:ascii="Palatino Linotype" w:eastAsia="Palatino Linotype" w:hAnsi="Palatino Linotype" w:cs="Palatino Linotype"/>
          <w:sz w:val="24"/>
          <w:szCs w:val="24"/>
        </w:rPr>
        <w:t xml:space="preserve">dio respuesta como quedó referido en el numeral 2 de la presente resolución. </w:t>
      </w:r>
    </w:p>
    <w:p w:rsidR="00AB16BB" w:rsidRDefault="00AB16BB">
      <w:pPr>
        <w:spacing w:line="360" w:lineRule="auto"/>
        <w:ind w:right="49"/>
        <w:jc w:val="both"/>
        <w:rPr>
          <w:rFonts w:ascii="Palatino Linotype" w:eastAsia="Palatino Linotype" w:hAnsi="Palatino Linotype" w:cs="Palatino Linotype"/>
          <w:sz w:val="24"/>
          <w:szCs w:val="24"/>
        </w:rPr>
      </w:pPr>
    </w:p>
    <w:p w:rsidR="00AB16BB" w:rsidRDefault="001C491E">
      <w:pPr>
        <w:numPr>
          <w:ilvl w:val="0"/>
          <w:numId w:val="2"/>
        </w:numPr>
        <w:spacing w:line="360" w:lineRule="auto"/>
        <w:ind w:left="0" w:right="49" w:firstLine="0"/>
        <w:jc w:val="both"/>
        <w:rPr>
          <w:rFonts w:ascii="Palatino Linotype" w:eastAsia="Palatino Linotype" w:hAnsi="Palatino Linotype" w:cs="Palatino Linotype"/>
          <w:i/>
          <w:iCs/>
          <w:sz w:val="24"/>
          <w:szCs w:val="24"/>
        </w:rPr>
      </w:pPr>
      <w:r>
        <w:rPr>
          <w:rFonts w:ascii="Palatino Linotype" w:eastAsia="Palatino Linotype" w:hAnsi="Palatino Linotype" w:cs="Palatino Linotype"/>
          <w:sz w:val="24"/>
          <w:szCs w:val="24"/>
        </w:rPr>
        <w:t xml:space="preserve">Inconforme con lo anterior, el ahora </w:t>
      </w:r>
      <w:r>
        <w:rPr>
          <w:rFonts w:ascii="Palatino Linotype" w:eastAsia="Palatino Linotype" w:hAnsi="Palatino Linotype" w:cs="Palatino Linotype"/>
          <w:b/>
          <w:bCs/>
          <w:sz w:val="24"/>
          <w:szCs w:val="24"/>
        </w:rPr>
        <w:t xml:space="preserve">RECURRENTE </w:t>
      </w:r>
      <w:r>
        <w:rPr>
          <w:rFonts w:ascii="Palatino Linotype" w:eastAsia="Palatino Linotype" w:hAnsi="Palatino Linotype" w:cs="Palatino Linotype"/>
          <w:sz w:val="24"/>
          <w:szCs w:val="24"/>
        </w:rPr>
        <w:t>interpuso Recurso de Revisión arguyendo medularmente la entrega de la información de manera incompleta.</w:t>
      </w:r>
    </w:p>
    <w:p w:rsidR="00AB16BB" w:rsidRDefault="00AB16BB">
      <w:pPr>
        <w:spacing w:line="360" w:lineRule="auto"/>
        <w:ind w:right="49"/>
        <w:jc w:val="both"/>
        <w:rPr>
          <w:rFonts w:ascii="Palatino Linotype" w:eastAsia="Palatino Linotype" w:hAnsi="Palatino Linotype" w:cs="Palatino Linotype"/>
          <w:i/>
          <w:iCs/>
          <w:sz w:val="24"/>
          <w:szCs w:val="24"/>
        </w:rPr>
      </w:pPr>
    </w:p>
    <w:p w:rsidR="00AB16BB" w:rsidRDefault="001C491E">
      <w:pPr>
        <w:numPr>
          <w:ilvl w:val="0"/>
          <w:numId w:val="2"/>
        </w:numPr>
        <w:spacing w:line="360" w:lineRule="auto"/>
        <w:ind w:left="0" w:right="49"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En dichas condiciones, la </w:t>
      </w:r>
      <w:r>
        <w:rPr>
          <w:rFonts w:ascii="Palatino Linotype" w:eastAsia="Palatino Linotype" w:hAnsi="Palatino Linotype" w:cs="Palatino Linotype"/>
          <w:i/>
          <w:iCs/>
          <w:sz w:val="24"/>
          <w:szCs w:val="24"/>
        </w:rPr>
        <w:t>Litis</w:t>
      </w:r>
      <w:r>
        <w:rPr>
          <w:rFonts w:ascii="Palatino Linotype" w:eastAsia="Palatino Linotype" w:hAnsi="Palatino Linotype" w:cs="Palatino Linotype"/>
          <w:sz w:val="24"/>
          <w:szCs w:val="24"/>
        </w:rPr>
        <w:t xml:space="preserve"> a resolver en este recurso se circunscribe a determinar si se actualiza la causal de procedencia prevista en el artículo 179, fracción</w:t>
      </w:r>
      <w:r>
        <w:rPr>
          <w:rFonts w:ascii="Palatino Linotype" w:eastAsia="Palatino Linotype" w:hAnsi="Palatino Linotype" w:cs="Palatino Linotype"/>
          <w:b/>
          <w:bCs/>
          <w:sz w:val="24"/>
          <w:szCs w:val="24"/>
        </w:rPr>
        <w:t xml:space="preserve"> V </w:t>
      </w:r>
      <w:r>
        <w:rPr>
          <w:rFonts w:ascii="Palatino Linotype" w:eastAsia="Palatino Linotype" w:hAnsi="Palatino Linotype" w:cs="Palatino Linotype"/>
          <w:sz w:val="24"/>
          <w:szCs w:val="24"/>
        </w:rPr>
        <w:t xml:space="preserve">de la </w:t>
      </w:r>
      <w:r>
        <w:rPr>
          <w:rFonts w:ascii="Palatino Linotype" w:eastAsia="Palatino Linotype" w:hAnsi="Palatino Linotype" w:cs="Palatino Linotype"/>
          <w:b/>
          <w:bCs/>
          <w:sz w:val="24"/>
          <w:szCs w:val="24"/>
        </w:rPr>
        <w:t>Ley de Transparencia y Acceso a la Información Pública del Estado de México y Municipios</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color w:val="000000"/>
          <w:sz w:val="24"/>
          <w:szCs w:val="24"/>
        </w:rPr>
        <w:t xml:space="preserve">fracción que determina las hipótesis jurídica relativa a La entrega de información incompleta; </w:t>
      </w:r>
      <w:r>
        <w:rPr>
          <w:rFonts w:ascii="Palatino Linotype" w:eastAsia="Palatino Linotype" w:hAnsi="Palatino Linotype" w:cs="Palatino Linotype"/>
          <w:sz w:val="24"/>
          <w:szCs w:val="24"/>
        </w:rPr>
        <w:t xml:space="preserve">contexto del cual se dolió </w:t>
      </w:r>
      <w:r>
        <w:rPr>
          <w:rFonts w:ascii="Palatino Linotype" w:eastAsia="Palatino Linotype" w:hAnsi="Palatino Linotype" w:cs="Palatino Linotype"/>
          <w:b/>
          <w:bCs/>
          <w:sz w:val="24"/>
          <w:szCs w:val="24"/>
        </w:rPr>
        <w:t xml:space="preserve">EL RECURRENTE </w:t>
      </w:r>
      <w:r>
        <w:rPr>
          <w:rFonts w:ascii="Palatino Linotype" w:eastAsia="Palatino Linotype" w:hAnsi="Palatino Linotype" w:cs="Palatino Linotype"/>
          <w:sz w:val="24"/>
          <w:szCs w:val="24"/>
        </w:rPr>
        <w:t>al momento de interponer su inconformidad.</w:t>
      </w:r>
      <w:r>
        <w:rPr>
          <w:rFonts w:ascii="Palatino Linotype" w:eastAsia="Palatino Linotype" w:hAnsi="Palatino Linotype" w:cs="Palatino Linotype"/>
          <w:color w:val="000000"/>
          <w:sz w:val="24"/>
          <w:szCs w:val="24"/>
        </w:rPr>
        <w:t xml:space="preserve"> De modo tal que, el presente recurso de revisión se abocara en determinar si el </w:t>
      </w:r>
      <w:r>
        <w:rPr>
          <w:rFonts w:ascii="Palatino Linotype" w:eastAsia="Palatino Linotype" w:hAnsi="Palatino Linotype" w:cs="Palatino Linotype"/>
          <w:b/>
          <w:bCs/>
          <w:color w:val="000000"/>
          <w:sz w:val="24"/>
          <w:szCs w:val="24"/>
        </w:rPr>
        <w:t>SUJETO</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bCs/>
          <w:color w:val="000000"/>
          <w:sz w:val="24"/>
          <w:szCs w:val="24"/>
        </w:rPr>
        <w:t>OBLIGADO</w:t>
      </w:r>
      <w:r>
        <w:rPr>
          <w:rFonts w:ascii="Palatino Linotype" w:eastAsia="Palatino Linotype" w:hAnsi="Palatino Linotype" w:cs="Palatino Linotype"/>
          <w:color w:val="000000"/>
          <w:sz w:val="24"/>
          <w:szCs w:val="24"/>
        </w:rPr>
        <w:t xml:space="preserve"> con su respuesta ciertamente actualiza la causal de procedencia</w:t>
      </w:r>
      <w:r>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color w:val="000000"/>
          <w:sz w:val="24"/>
          <w:szCs w:val="24"/>
        </w:rPr>
        <w:t>antes señalada. Así como comprobar si la respuesta emitida resulta congruente e integral en términos del artículo 11 de la ley de la materia.</w:t>
      </w:r>
    </w:p>
    <w:p w:rsidR="00AB16BB" w:rsidRDefault="00AB16BB">
      <w:pPr>
        <w:pBdr>
          <w:top w:val="nil"/>
          <w:left w:val="nil"/>
          <w:bottom w:val="nil"/>
          <w:right w:val="nil"/>
          <w:between w:val="nil"/>
        </w:pBdr>
        <w:ind w:left="720"/>
        <w:rPr>
          <w:rFonts w:ascii="Palatino Linotype" w:eastAsia="Palatino Linotype" w:hAnsi="Palatino Linotype" w:cs="Palatino Linotype"/>
          <w:color w:val="000000"/>
          <w:sz w:val="24"/>
          <w:szCs w:val="24"/>
        </w:rPr>
      </w:pPr>
    </w:p>
    <w:p w:rsidR="00AB16BB" w:rsidRDefault="001C491E">
      <w:pPr>
        <w:pStyle w:val="Ttulo2"/>
        <w:rPr>
          <w:rFonts w:ascii="Palatino Linotype" w:eastAsia="Palatino Linotype" w:hAnsi="Palatino Linotype" w:cs="Palatino Linotype"/>
          <w:b/>
          <w:bCs/>
          <w:color w:val="000000"/>
          <w:sz w:val="24"/>
          <w:szCs w:val="24"/>
        </w:rPr>
      </w:pPr>
      <w:bookmarkStart w:id="7" w:name="_heading=h.3dy6vkm" w:colFirst="0" w:colLast="0"/>
      <w:bookmarkEnd w:id="7"/>
      <w:r>
        <w:rPr>
          <w:rFonts w:ascii="Palatino Linotype" w:eastAsia="Palatino Linotype" w:hAnsi="Palatino Linotype" w:cs="Palatino Linotype"/>
          <w:b/>
          <w:bCs/>
          <w:color w:val="000000"/>
          <w:sz w:val="24"/>
          <w:szCs w:val="24"/>
        </w:rPr>
        <w:t>CUARTO. Del estudio y resolución del asunto.</w:t>
      </w:r>
    </w:p>
    <w:p w:rsidR="00AB16BB" w:rsidRDefault="001C491E">
      <w:pPr>
        <w:numPr>
          <w:ilvl w:val="0"/>
          <w:numId w:val="2"/>
        </w:numPr>
        <w:spacing w:line="360" w:lineRule="auto"/>
        <w:ind w:left="0" w:right="49" w:firstLine="0"/>
        <w:jc w:val="both"/>
        <w:rPr>
          <w:rFonts w:ascii="Palatino Linotype" w:eastAsia="Palatino Linotype" w:hAnsi="Palatino Linotype" w:cs="Palatino Linotype"/>
          <w:sz w:val="24"/>
          <w:szCs w:val="24"/>
        </w:rPr>
      </w:pPr>
      <w:bookmarkStart w:id="8" w:name="_heading=h.pm37h28awxvy" w:colFirst="0" w:colLast="0"/>
      <w:bookmarkEnd w:id="8"/>
      <w:r>
        <w:rPr>
          <w:rFonts w:ascii="Palatino Linotype" w:eastAsia="Palatino Linotype" w:hAnsi="Palatino Linotype" w:cs="Palatino Linotype"/>
          <w:sz w:val="24"/>
          <w:szCs w:val="24"/>
        </w:rPr>
        <w:t xml:space="preserve">Dicho lo anterior, este Órgano Resolutor se avocara a realizar el estudio en conjunto de todas las constancias que obran en el SAIMEX, con la finalidad de poder determinar si los motivos de inconformidad hechos valer por el ahora </w:t>
      </w:r>
      <w:r>
        <w:rPr>
          <w:rFonts w:ascii="Palatino Linotype" w:eastAsia="Palatino Linotype" w:hAnsi="Palatino Linotype" w:cs="Palatino Linotype"/>
          <w:b/>
          <w:bCs/>
          <w:sz w:val="24"/>
          <w:szCs w:val="24"/>
        </w:rPr>
        <w:t xml:space="preserve">RECURRENTE, </w:t>
      </w:r>
      <w:r>
        <w:rPr>
          <w:rFonts w:ascii="Palatino Linotype" w:eastAsia="Palatino Linotype" w:hAnsi="Palatino Linotype" w:cs="Palatino Linotype"/>
          <w:sz w:val="24"/>
          <w:szCs w:val="24"/>
        </w:rPr>
        <w:t>resultan fundados, por lo que respecto a la fuente obligacional, se refiere lo siguiente:</w:t>
      </w:r>
    </w:p>
    <w:p w:rsidR="00AB16BB" w:rsidRDefault="001C491E">
      <w:pPr>
        <w:spacing w:line="360" w:lineRule="auto"/>
        <w:ind w:right="49"/>
        <w:jc w:val="center"/>
        <w:rPr>
          <w:rFonts w:ascii="Palatino Linotype" w:eastAsia="Palatino Linotype" w:hAnsi="Palatino Linotype" w:cs="Palatino Linotype"/>
          <w:b/>
          <w:bCs/>
          <w:sz w:val="24"/>
          <w:szCs w:val="24"/>
        </w:rPr>
      </w:pPr>
      <w:r>
        <w:rPr>
          <w:rFonts w:ascii="Palatino Linotype" w:eastAsia="Palatino Linotype" w:hAnsi="Palatino Linotype" w:cs="Palatino Linotype"/>
          <w:b/>
          <w:bCs/>
          <w:sz w:val="24"/>
          <w:szCs w:val="24"/>
        </w:rPr>
        <w:t>BANDO MUNICIPAL</w:t>
      </w:r>
    </w:p>
    <w:p w:rsidR="00AB16BB" w:rsidRDefault="00AB16BB">
      <w:pPr>
        <w:spacing w:line="360" w:lineRule="auto"/>
        <w:ind w:right="49"/>
        <w:jc w:val="center"/>
        <w:rPr>
          <w:rFonts w:ascii="Palatino Linotype" w:eastAsia="Palatino Linotype" w:hAnsi="Palatino Linotype" w:cs="Palatino Linotype"/>
          <w:b/>
          <w:bCs/>
          <w:sz w:val="24"/>
          <w:szCs w:val="24"/>
        </w:rPr>
      </w:pPr>
    </w:p>
    <w:p w:rsidR="00AB16BB" w:rsidRDefault="001C491E">
      <w:pPr>
        <w:ind w:left="426" w:right="397"/>
        <w:jc w:val="center"/>
        <w:rPr>
          <w:rFonts w:ascii="Palatino Linotype" w:eastAsia="Palatino Linotype" w:hAnsi="Palatino Linotype" w:cs="Palatino Linotype"/>
          <w:b/>
          <w:bCs/>
          <w:i/>
          <w:iCs/>
          <w:sz w:val="24"/>
          <w:szCs w:val="24"/>
        </w:rPr>
      </w:pPr>
      <w:r>
        <w:rPr>
          <w:rFonts w:ascii="Palatino Linotype" w:eastAsia="Palatino Linotype" w:hAnsi="Palatino Linotype" w:cs="Palatino Linotype"/>
          <w:b/>
          <w:bCs/>
          <w:i/>
          <w:iCs/>
          <w:sz w:val="24"/>
          <w:szCs w:val="24"/>
        </w:rPr>
        <w:t>TÍTULO SÉPTIMO: DE LA ADMINISTRACIÓN PÚBLICA MUNICIPAL CAPÍTULO PRIMERO: DEL GOBIERNO Y SU ORGANIZACIÓN</w:t>
      </w:r>
    </w:p>
    <w:p w:rsidR="00AB16BB" w:rsidRDefault="00AB16BB">
      <w:pPr>
        <w:ind w:left="426" w:right="397"/>
        <w:jc w:val="both"/>
        <w:rPr>
          <w:rFonts w:ascii="Palatino Linotype" w:eastAsia="Palatino Linotype" w:hAnsi="Palatino Linotype" w:cs="Palatino Linotype"/>
          <w:b/>
          <w:bCs/>
          <w:i/>
          <w:iCs/>
          <w:sz w:val="24"/>
          <w:szCs w:val="24"/>
        </w:rPr>
      </w:pP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b/>
          <w:bCs/>
          <w:i/>
          <w:iCs/>
          <w:sz w:val="24"/>
          <w:szCs w:val="24"/>
        </w:rPr>
        <w:t>Artículo 89</w:t>
      </w:r>
      <w:r>
        <w:rPr>
          <w:rFonts w:ascii="Palatino Linotype" w:eastAsia="Palatino Linotype" w:hAnsi="Palatino Linotype" w:cs="Palatino Linotype"/>
          <w:i/>
          <w:iCs/>
          <w:sz w:val="24"/>
          <w:szCs w:val="24"/>
        </w:rPr>
        <w:t>. El ejercicio del gobierno municipal se deposita en un cuerpo colegiado denominado Ayuntamiento. La ejecución de las atribuciones corresponde al Presidente Municipal, quien dirige la Administración Pública Municipal. Las competencias se ejercerán conforme al marco legal aplicable. La Administración Pública Municipal será centralizada, descentralizada y autónoma.</w:t>
      </w:r>
    </w:p>
    <w:p w:rsidR="00AB16BB" w:rsidRDefault="00AB16BB">
      <w:pPr>
        <w:ind w:left="426" w:right="397"/>
        <w:jc w:val="both"/>
        <w:rPr>
          <w:rFonts w:ascii="Palatino Linotype" w:eastAsia="Palatino Linotype" w:hAnsi="Palatino Linotype" w:cs="Palatino Linotype"/>
          <w:i/>
          <w:iCs/>
          <w:sz w:val="24"/>
          <w:szCs w:val="24"/>
        </w:rPr>
      </w:pP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b/>
          <w:bCs/>
          <w:i/>
          <w:iCs/>
          <w:sz w:val="24"/>
          <w:szCs w:val="24"/>
        </w:rPr>
        <w:lastRenderedPageBreak/>
        <w:t xml:space="preserve"> Artículo 90</w:t>
      </w:r>
      <w:r>
        <w:rPr>
          <w:rFonts w:ascii="Palatino Linotype" w:eastAsia="Palatino Linotype" w:hAnsi="Palatino Linotype" w:cs="Palatino Linotype"/>
          <w:i/>
          <w:iCs/>
          <w:sz w:val="24"/>
          <w:szCs w:val="24"/>
        </w:rPr>
        <w:t>. Para la consulta, estudio, planeación, gestión y ejecución en los diferentes ámbitos de aplicación de la Administración Pública Municipal, la o el Presidente Municipal se regirá por la Constitución Política de los Estados Unidos Mexicanos, la Constitución Política del Estado Libre y Soberano de México, la Ley Orgánica Municipal, el presente Bando y demás disposiciones aplicables, y se auxiliará de las siguientes:</w:t>
      </w:r>
    </w:p>
    <w:p w:rsidR="00AB16BB" w:rsidRDefault="00AB16BB">
      <w:pPr>
        <w:ind w:left="426" w:right="397"/>
        <w:jc w:val="both"/>
        <w:rPr>
          <w:rFonts w:ascii="Palatino Linotype" w:eastAsia="Palatino Linotype" w:hAnsi="Palatino Linotype" w:cs="Palatino Linotype"/>
          <w:i/>
          <w:iCs/>
          <w:sz w:val="24"/>
          <w:szCs w:val="24"/>
        </w:rPr>
      </w:pP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b/>
          <w:bCs/>
          <w:i/>
          <w:iCs/>
          <w:sz w:val="24"/>
          <w:szCs w:val="24"/>
        </w:rPr>
        <w:t xml:space="preserve"> I. DEPENDENCIAS</w:t>
      </w:r>
      <w:r>
        <w:rPr>
          <w:rFonts w:ascii="Palatino Linotype" w:eastAsia="Palatino Linotype" w:hAnsi="Palatino Linotype" w:cs="Palatino Linotype"/>
          <w:i/>
          <w:iCs/>
          <w:sz w:val="24"/>
          <w:szCs w:val="24"/>
        </w:rPr>
        <w:t>:</w:t>
      </w: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 1.Secretaría del Ayuntamiento; </w:t>
      </w: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b/>
          <w:bCs/>
          <w:i/>
          <w:iCs/>
          <w:sz w:val="24"/>
          <w:szCs w:val="24"/>
        </w:rPr>
        <w:t>2.Tesorería Municipal</w:t>
      </w:r>
      <w:r>
        <w:rPr>
          <w:rFonts w:ascii="Palatino Linotype" w:eastAsia="Palatino Linotype" w:hAnsi="Palatino Linotype" w:cs="Palatino Linotype"/>
          <w:i/>
          <w:iCs/>
          <w:sz w:val="24"/>
          <w:szCs w:val="24"/>
        </w:rPr>
        <w:t>;</w:t>
      </w: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 3.Órgano Interno de Control; </w:t>
      </w: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4.Dirección General de Gobierno; </w:t>
      </w: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5.Dirección General de Seguridad y Protección; </w:t>
      </w:r>
    </w:p>
    <w:p w:rsidR="00AB16BB" w:rsidRDefault="001C491E">
      <w:pPr>
        <w:ind w:left="426" w:right="397"/>
        <w:jc w:val="both"/>
        <w:rPr>
          <w:rFonts w:ascii="Palatino Linotype" w:eastAsia="Palatino Linotype" w:hAnsi="Palatino Linotype" w:cs="Palatino Linotype"/>
          <w:b/>
          <w:bCs/>
          <w:i/>
          <w:iCs/>
          <w:sz w:val="24"/>
          <w:szCs w:val="24"/>
        </w:rPr>
      </w:pPr>
      <w:r>
        <w:rPr>
          <w:rFonts w:ascii="Palatino Linotype" w:eastAsia="Palatino Linotype" w:hAnsi="Palatino Linotype" w:cs="Palatino Linotype"/>
          <w:b/>
          <w:bCs/>
          <w:i/>
          <w:iCs/>
          <w:sz w:val="24"/>
          <w:szCs w:val="24"/>
        </w:rPr>
        <w:t xml:space="preserve">6.Dirección General de Administración; </w:t>
      </w: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7.Dirección General de Medio Ambiente;</w:t>
      </w: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 8.Dirección General de Servicios Públicos;</w:t>
      </w: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 9.Dirección General de Innovación, Planeación y Gestión Urbana;</w:t>
      </w: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 10.Dirección General de Obras Públicas; </w:t>
      </w: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11.Dirección General de Desarrollo Económico; </w:t>
      </w: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12.Dirección General de Bienestar; y </w:t>
      </w: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13.Dirección General de Educación, Cultura y Turismo.</w:t>
      </w:r>
    </w:p>
    <w:p w:rsidR="00AB16BB" w:rsidRDefault="00AB16BB">
      <w:pPr>
        <w:ind w:left="426" w:right="397"/>
        <w:jc w:val="both"/>
        <w:rPr>
          <w:rFonts w:ascii="Palatino Linotype" w:eastAsia="Palatino Linotype" w:hAnsi="Palatino Linotype" w:cs="Palatino Linotype"/>
          <w:i/>
          <w:iCs/>
          <w:sz w:val="24"/>
          <w:szCs w:val="24"/>
        </w:rPr>
      </w:pP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b/>
          <w:bCs/>
          <w:i/>
          <w:iCs/>
          <w:sz w:val="24"/>
          <w:szCs w:val="24"/>
        </w:rPr>
        <w:t>Artículo 92.</w:t>
      </w:r>
      <w:r>
        <w:rPr>
          <w:rFonts w:ascii="Palatino Linotype" w:eastAsia="Palatino Linotype" w:hAnsi="Palatino Linotype" w:cs="Palatino Linotype"/>
          <w:i/>
          <w:iCs/>
          <w:sz w:val="24"/>
          <w:szCs w:val="24"/>
        </w:rPr>
        <w:t xml:space="preserve"> La administración pública municipal será centralizada, descentralizada y autónoma. Para el ejercicio del poder público municipal, las personas titulares de las Direcciones Generales, los Organismos Descentralizados y el Órgano Autónomo tendrán las atribuciones y facultades que le otorguen las disposiciones legales aplicables a su campo de actuación y las que este Bando y el Código Reglamentario les confiera.</w:t>
      </w: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b/>
          <w:bCs/>
          <w:i/>
          <w:iCs/>
          <w:sz w:val="24"/>
          <w:szCs w:val="24"/>
        </w:rPr>
        <w:t>…</w:t>
      </w:r>
    </w:p>
    <w:p w:rsidR="00AB16BB" w:rsidRDefault="00AB16BB">
      <w:pPr>
        <w:ind w:left="426" w:right="397"/>
        <w:jc w:val="both"/>
        <w:rPr>
          <w:rFonts w:ascii="Palatino Linotype" w:eastAsia="Palatino Linotype" w:hAnsi="Palatino Linotype" w:cs="Palatino Linotype"/>
          <w:i/>
          <w:iCs/>
          <w:sz w:val="24"/>
          <w:szCs w:val="24"/>
        </w:rPr>
      </w:pP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II. La persona titular de la Tesorería Municipal es responsable de la administración y control de los recursos financieros del municipio, asegurando el cumplimiento de las disposiciones fiscales y presupuestales. Sus funciones incluyen la recaudación, fiscalización y administración de ingresos municipales, así como la elaboración y supervisión de los informes financieros y la cuenta pública. Además, coordina la aplicación de políticas de racionalidad y austeridad presupuestal, otorga suficiencia presupuestaria a las dependencias municipales, y gestiona la nómina del personal, garantizando su pago oportuno.</w:t>
      </w: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lastRenderedPageBreak/>
        <w:t>…</w:t>
      </w: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VI. La persona titular de la Dirección General de Administración es responsable de la gestión integral del capital humano del Ayuntamiento, coordinando el reclutamiento, contratación, capacitación y desarrollo del personal, así como la aplicación de las disposiciones laborales y sindicales. Supervisará la elaboración y distribución de la nómina, garantizando su apego a la normatividad y el presupuesto autorizado. Dirigirá los procesos de adquisición, arrendamiento y contratación de servicios, asegurando la eficiencia y transparencia en el uso de los recursos públicos. Administrará el parque vehicular, los bienes municipales y la logística de eventos públicos e implementará políticas de gobierno digital y normativas para el uso de tecnologías de la información, promoviendo la eficiencia operativa de la administración pública municipal.</w:t>
      </w: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w:t>
      </w:r>
    </w:p>
    <w:p w:rsidR="00AB16BB" w:rsidRDefault="001C491E">
      <w:pPr>
        <w:ind w:left="426" w:right="397"/>
        <w:jc w:val="center"/>
        <w:rPr>
          <w:rFonts w:ascii="Palatino Linotype" w:eastAsia="Palatino Linotype" w:hAnsi="Palatino Linotype" w:cs="Palatino Linotype"/>
          <w:b/>
          <w:bCs/>
          <w:sz w:val="24"/>
          <w:szCs w:val="24"/>
        </w:rPr>
      </w:pPr>
      <w:r>
        <w:rPr>
          <w:rFonts w:ascii="Palatino Linotype" w:eastAsia="Palatino Linotype" w:hAnsi="Palatino Linotype" w:cs="Palatino Linotype"/>
          <w:b/>
          <w:bCs/>
          <w:sz w:val="24"/>
          <w:szCs w:val="24"/>
        </w:rPr>
        <w:t>MANUAL DE ORGANIZACIÓN DE LA TESORERÍA MUNICIPAL</w:t>
      </w:r>
    </w:p>
    <w:p w:rsidR="00AB16BB" w:rsidRDefault="00AB16BB">
      <w:pPr>
        <w:ind w:left="426" w:right="397"/>
        <w:jc w:val="center"/>
        <w:rPr>
          <w:rFonts w:ascii="Palatino Linotype" w:eastAsia="Palatino Linotype" w:hAnsi="Palatino Linotype" w:cs="Palatino Linotype"/>
          <w:b/>
          <w:bCs/>
          <w:sz w:val="24"/>
          <w:szCs w:val="24"/>
        </w:rPr>
      </w:pPr>
    </w:p>
    <w:p w:rsidR="00AB16BB" w:rsidRDefault="001C491E">
      <w:pPr>
        <w:ind w:left="426" w:right="397"/>
        <w:jc w:val="center"/>
        <w:rPr>
          <w:rFonts w:ascii="Palatino Linotype" w:eastAsia="Palatino Linotype" w:hAnsi="Palatino Linotype" w:cs="Palatino Linotype"/>
          <w:b/>
          <w:bCs/>
          <w:sz w:val="24"/>
          <w:szCs w:val="24"/>
        </w:rPr>
      </w:pPr>
      <w:r>
        <w:rPr>
          <w:rFonts w:ascii="Palatino Linotype" w:eastAsia="Palatino Linotype" w:hAnsi="Palatino Linotype" w:cs="Palatino Linotype"/>
          <w:b/>
          <w:bCs/>
          <w:sz w:val="24"/>
          <w:szCs w:val="24"/>
        </w:rPr>
        <w:t>CÓDIGO REGLAMENTARIO MUNICIPAL DE TOLUCA</w:t>
      </w:r>
    </w:p>
    <w:p w:rsidR="00AB16BB" w:rsidRDefault="001C491E">
      <w:pPr>
        <w:ind w:left="426" w:right="397"/>
        <w:jc w:val="center"/>
        <w:rPr>
          <w:rFonts w:ascii="Palatino Linotype" w:eastAsia="Palatino Linotype" w:hAnsi="Palatino Linotype" w:cs="Palatino Linotype"/>
          <w:b/>
          <w:bCs/>
          <w:sz w:val="24"/>
          <w:szCs w:val="24"/>
        </w:rPr>
      </w:pPr>
      <w:r>
        <w:rPr>
          <w:rFonts w:ascii="Palatino Linotype" w:eastAsia="Palatino Linotype" w:hAnsi="Palatino Linotype" w:cs="Palatino Linotype"/>
          <w:b/>
          <w:bCs/>
          <w:sz w:val="24"/>
          <w:szCs w:val="24"/>
        </w:rPr>
        <w:t>TÍTULO TERCERO</w:t>
      </w:r>
    </w:p>
    <w:p w:rsidR="00AB16BB" w:rsidRDefault="001C491E">
      <w:pPr>
        <w:ind w:left="426" w:right="397"/>
        <w:jc w:val="center"/>
        <w:rPr>
          <w:rFonts w:ascii="Palatino Linotype" w:eastAsia="Palatino Linotype" w:hAnsi="Palatino Linotype" w:cs="Palatino Linotype"/>
          <w:b/>
          <w:bCs/>
          <w:sz w:val="24"/>
          <w:szCs w:val="24"/>
        </w:rPr>
      </w:pPr>
      <w:r>
        <w:rPr>
          <w:rFonts w:ascii="Palatino Linotype" w:eastAsia="Palatino Linotype" w:hAnsi="Palatino Linotype" w:cs="Palatino Linotype"/>
          <w:b/>
          <w:bCs/>
          <w:sz w:val="24"/>
          <w:szCs w:val="24"/>
        </w:rPr>
        <w:t xml:space="preserve">DE LA ADMINISTRACIÓN PÚBLICA MUNICIPAL </w:t>
      </w:r>
    </w:p>
    <w:p w:rsidR="00AB16BB" w:rsidRDefault="001C491E">
      <w:pPr>
        <w:ind w:left="426" w:right="397"/>
        <w:jc w:val="center"/>
        <w:rPr>
          <w:rFonts w:ascii="Palatino Linotype" w:eastAsia="Palatino Linotype" w:hAnsi="Palatino Linotype" w:cs="Palatino Linotype"/>
          <w:b/>
          <w:bCs/>
          <w:sz w:val="24"/>
          <w:szCs w:val="24"/>
        </w:rPr>
      </w:pPr>
      <w:r>
        <w:rPr>
          <w:rFonts w:ascii="Palatino Linotype" w:eastAsia="Palatino Linotype" w:hAnsi="Palatino Linotype" w:cs="Palatino Linotype"/>
          <w:b/>
          <w:bCs/>
          <w:sz w:val="24"/>
          <w:szCs w:val="24"/>
        </w:rPr>
        <w:t>SECCIÓN TERCERA</w:t>
      </w:r>
    </w:p>
    <w:p w:rsidR="00AB16BB" w:rsidRDefault="001C491E">
      <w:pPr>
        <w:ind w:left="426" w:right="397"/>
        <w:jc w:val="center"/>
        <w:rPr>
          <w:rFonts w:ascii="Palatino Linotype" w:eastAsia="Palatino Linotype" w:hAnsi="Palatino Linotype" w:cs="Palatino Linotype"/>
          <w:b/>
          <w:bCs/>
          <w:sz w:val="24"/>
          <w:szCs w:val="24"/>
        </w:rPr>
      </w:pPr>
      <w:r>
        <w:rPr>
          <w:rFonts w:ascii="Palatino Linotype" w:eastAsia="Palatino Linotype" w:hAnsi="Palatino Linotype" w:cs="Palatino Linotype"/>
          <w:b/>
          <w:bCs/>
          <w:sz w:val="24"/>
          <w:szCs w:val="24"/>
        </w:rPr>
        <w:t>DE LA TESORERÍA MUNICIPAL</w:t>
      </w:r>
    </w:p>
    <w:p w:rsidR="00AB16BB" w:rsidRDefault="00AB16BB">
      <w:pPr>
        <w:ind w:left="426" w:right="397"/>
        <w:jc w:val="both"/>
        <w:rPr>
          <w:rFonts w:ascii="Palatino Linotype" w:eastAsia="Palatino Linotype" w:hAnsi="Palatino Linotype" w:cs="Palatino Linotype"/>
          <w:i/>
          <w:iCs/>
          <w:sz w:val="24"/>
          <w:szCs w:val="24"/>
        </w:rPr>
      </w:pPr>
    </w:p>
    <w:p w:rsidR="00AB16BB" w:rsidRDefault="00AB16BB">
      <w:pPr>
        <w:ind w:left="426" w:right="397"/>
        <w:jc w:val="both"/>
        <w:rPr>
          <w:rFonts w:ascii="Palatino Linotype" w:eastAsia="Palatino Linotype" w:hAnsi="Palatino Linotype" w:cs="Palatino Linotype"/>
          <w:i/>
          <w:iCs/>
          <w:sz w:val="24"/>
          <w:szCs w:val="24"/>
        </w:rPr>
      </w:pP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202013000 Dirección de Egresos</w:t>
      </w:r>
    </w:p>
    <w:p w:rsidR="00AB16BB" w:rsidRDefault="00AB16BB">
      <w:pPr>
        <w:ind w:left="426" w:right="397"/>
        <w:jc w:val="both"/>
        <w:rPr>
          <w:rFonts w:ascii="Palatino Linotype" w:eastAsia="Palatino Linotype" w:hAnsi="Palatino Linotype" w:cs="Palatino Linotype"/>
          <w:i/>
          <w:iCs/>
          <w:sz w:val="24"/>
          <w:szCs w:val="24"/>
        </w:rPr>
      </w:pP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Objetivo</w:t>
      </w:r>
    </w:p>
    <w:p w:rsidR="00AB16BB" w:rsidRDefault="00AB16BB">
      <w:pPr>
        <w:ind w:left="426" w:right="397"/>
        <w:jc w:val="both"/>
        <w:rPr>
          <w:rFonts w:ascii="Palatino Linotype" w:eastAsia="Palatino Linotype" w:hAnsi="Palatino Linotype" w:cs="Palatino Linotype"/>
          <w:i/>
          <w:iCs/>
          <w:sz w:val="24"/>
          <w:szCs w:val="24"/>
        </w:rPr>
      </w:pP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 Coordinar y planear la integración, aplicación y distribución de los recursos financieros del Ayuntamiento de Toluca, con base en el presupuesto autorizado a cada dependencia, controlando su adecuado ejercicio y estableciendo las medidas necesarias para la operación de los programas de inversión y gasto corriente, así como para el pago de las obligaciones contraídas con proveedores de bienes y servicios. </w:t>
      </w:r>
    </w:p>
    <w:p w:rsidR="00AB16BB" w:rsidRDefault="00AB16BB">
      <w:pPr>
        <w:ind w:left="426" w:right="397"/>
        <w:jc w:val="both"/>
        <w:rPr>
          <w:rFonts w:ascii="Palatino Linotype" w:eastAsia="Palatino Linotype" w:hAnsi="Palatino Linotype" w:cs="Palatino Linotype"/>
          <w:i/>
          <w:iCs/>
          <w:sz w:val="24"/>
          <w:szCs w:val="24"/>
        </w:rPr>
      </w:pP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Funciones:</w:t>
      </w:r>
    </w:p>
    <w:p w:rsidR="00AB16BB" w:rsidRDefault="00AB16BB">
      <w:pPr>
        <w:ind w:left="426" w:right="397"/>
        <w:jc w:val="both"/>
        <w:rPr>
          <w:rFonts w:ascii="Palatino Linotype" w:eastAsia="Palatino Linotype" w:hAnsi="Palatino Linotype" w:cs="Palatino Linotype"/>
          <w:i/>
          <w:iCs/>
          <w:sz w:val="24"/>
          <w:szCs w:val="24"/>
        </w:rPr>
      </w:pP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w:t>
      </w: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lastRenderedPageBreak/>
        <w:t>7. Recibir, integrar, analizar y validar la suficiencia presupuestal de las solicitudes de adquisición, órdenes de servicio y gastos a comprobar que presentan las unidades administrativas y someterlo a autorización de la o el titular de la Tesorería Municipal;</w:t>
      </w: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w:t>
      </w:r>
    </w:p>
    <w:p w:rsidR="00AB16BB" w:rsidRDefault="00AB16BB">
      <w:pPr>
        <w:ind w:left="426" w:right="397"/>
        <w:jc w:val="both"/>
        <w:rPr>
          <w:rFonts w:ascii="Palatino Linotype" w:eastAsia="Palatino Linotype" w:hAnsi="Palatino Linotype" w:cs="Palatino Linotype"/>
          <w:i/>
          <w:iCs/>
          <w:sz w:val="24"/>
          <w:szCs w:val="24"/>
        </w:rPr>
      </w:pPr>
    </w:p>
    <w:p w:rsidR="00AB16BB" w:rsidRDefault="00AB16BB">
      <w:pPr>
        <w:ind w:left="426" w:right="397"/>
        <w:jc w:val="both"/>
        <w:rPr>
          <w:rFonts w:ascii="Palatino Linotype" w:eastAsia="Palatino Linotype" w:hAnsi="Palatino Linotype" w:cs="Palatino Linotype"/>
          <w:i/>
          <w:iCs/>
          <w:sz w:val="24"/>
          <w:szCs w:val="24"/>
        </w:rPr>
      </w:pPr>
    </w:p>
    <w:p w:rsidR="00AB16BB" w:rsidRDefault="001C491E">
      <w:pPr>
        <w:ind w:left="426" w:right="397"/>
        <w:jc w:val="both"/>
        <w:rPr>
          <w:rFonts w:ascii="Palatino Linotype" w:eastAsia="Palatino Linotype" w:hAnsi="Palatino Linotype" w:cs="Palatino Linotype"/>
          <w:b/>
          <w:bCs/>
          <w:sz w:val="24"/>
          <w:szCs w:val="24"/>
        </w:rPr>
      </w:pPr>
      <w:r>
        <w:rPr>
          <w:rFonts w:ascii="Palatino Linotype" w:eastAsia="Palatino Linotype" w:hAnsi="Palatino Linotype" w:cs="Palatino Linotype"/>
          <w:b/>
          <w:bCs/>
          <w:sz w:val="24"/>
          <w:szCs w:val="24"/>
        </w:rPr>
        <w:t>CÓDIGO REGLAMENTARIO MUNICIPAL DE TOLUCA TÍTULO TERCERO DE LA ADMINISTRACIÓN PÚBLICA MUNICIPAL SECCIÓN NOVENA DE LA DIRECCIÓN GENERAL DE ADMINISTRACIÓN</w:t>
      </w:r>
    </w:p>
    <w:p w:rsidR="00AB16BB" w:rsidRDefault="00AB16BB">
      <w:pPr>
        <w:ind w:left="426" w:right="397"/>
        <w:jc w:val="both"/>
        <w:rPr>
          <w:rFonts w:ascii="Palatino Linotype" w:eastAsia="Palatino Linotype" w:hAnsi="Palatino Linotype" w:cs="Palatino Linotype"/>
          <w:b/>
          <w:bCs/>
          <w:sz w:val="24"/>
          <w:szCs w:val="24"/>
        </w:rPr>
      </w:pPr>
    </w:p>
    <w:p w:rsidR="00AB16BB" w:rsidRDefault="00AB16BB">
      <w:pPr>
        <w:ind w:left="426" w:right="397"/>
        <w:jc w:val="both"/>
        <w:rPr>
          <w:rFonts w:ascii="Palatino Linotype" w:eastAsia="Palatino Linotype" w:hAnsi="Palatino Linotype" w:cs="Palatino Linotype"/>
          <w:b/>
          <w:bCs/>
          <w:sz w:val="24"/>
          <w:szCs w:val="24"/>
        </w:rPr>
      </w:pP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Artículo 3.43 La o el titular de la Dirección General de Administración, tiene las siguientes atribuciones:</w:t>
      </w:r>
    </w:p>
    <w:p w:rsidR="00AB16BB" w:rsidRDefault="00AB16BB">
      <w:pPr>
        <w:ind w:left="426" w:right="397"/>
        <w:jc w:val="both"/>
        <w:rPr>
          <w:rFonts w:ascii="Palatino Linotype" w:eastAsia="Palatino Linotype" w:hAnsi="Palatino Linotype" w:cs="Palatino Linotype"/>
          <w:i/>
          <w:iCs/>
          <w:sz w:val="24"/>
          <w:szCs w:val="24"/>
        </w:rPr>
      </w:pP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 I. Coordinar y dirigir los sistemas de reclutamiento, selección, contratación e inducción y desarrollo de personal; </w:t>
      </w:r>
    </w:p>
    <w:p w:rsidR="00AB16BB" w:rsidRDefault="00AB16BB">
      <w:pPr>
        <w:ind w:left="426" w:right="397"/>
        <w:jc w:val="both"/>
        <w:rPr>
          <w:rFonts w:ascii="Palatino Linotype" w:eastAsia="Palatino Linotype" w:hAnsi="Palatino Linotype" w:cs="Palatino Linotype"/>
          <w:i/>
          <w:iCs/>
          <w:sz w:val="24"/>
          <w:szCs w:val="24"/>
        </w:rPr>
      </w:pP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II. Verificar que se cumplan las disposiciones en materia de trabajo, seguridad e higiene laboral, así como las del Código Reglamentario, respecto de los derechos y obligaciones del personal; </w:t>
      </w:r>
    </w:p>
    <w:p w:rsidR="00AB16BB" w:rsidRDefault="00AB16BB">
      <w:pPr>
        <w:ind w:left="426" w:right="397"/>
        <w:jc w:val="both"/>
        <w:rPr>
          <w:rFonts w:ascii="Palatino Linotype" w:eastAsia="Palatino Linotype" w:hAnsi="Palatino Linotype" w:cs="Palatino Linotype"/>
          <w:i/>
          <w:iCs/>
          <w:sz w:val="24"/>
          <w:szCs w:val="24"/>
        </w:rPr>
      </w:pP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III. Autorizar las altas, bajas, cambios, permisos, licencias, comisiones del personal, entre otras, para su trámite y efectos;</w:t>
      </w:r>
    </w:p>
    <w:p w:rsidR="00AB16BB" w:rsidRDefault="00AB16BB">
      <w:pPr>
        <w:ind w:left="426" w:right="397"/>
        <w:jc w:val="both"/>
        <w:rPr>
          <w:rFonts w:ascii="Palatino Linotype" w:eastAsia="Palatino Linotype" w:hAnsi="Palatino Linotype" w:cs="Palatino Linotype"/>
          <w:i/>
          <w:iCs/>
          <w:sz w:val="24"/>
          <w:szCs w:val="24"/>
        </w:rPr>
      </w:pP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 IV. Autorizar la elaboración y distribución oportuna de la nómina al personal que labora en el Ayuntamiento, apegándose a la normatividad en la materia y presupuesto al autorizado;</w:t>
      </w:r>
    </w:p>
    <w:p w:rsidR="00AB16BB" w:rsidRDefault="00AB16BB">
      <w:pPr>
        <w:ind w:left="426" w:right="397"/>
        <w:jc w:val="both"/>
        <w:rPr>
          <w:rFonts w:ascii="Palatino Linotype" w:eastAsia="Palatino Linotype" w:hAnsi="Palatino Linotype" w:cs="Palatino Linotype"/>
          <w:i/>
          <w:iCs/>
          <w:sz w:val="24"/>
          <w:szCs w:val="24"/>
        </w:rPr>
      </w:pP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V. Coordinar, programar y establecer las políticas de capacitación y adiestramiento para el desarrollo adecuado de personal, conforme a las necesidades institucionales y a las propias del personal; </w:t>
      </w:r>
    </w:p>
    <w:p w:rsidR="00AB16BB" w:rsidRDefault="00AB16BB">
      <w:pPr>
        <w:ind w:left="426" w:right="397"/>
        <w:jc w:val="both"/>
        <w:rPr>
          <w:rFonts w:ascii="Palatino Linotype" w:eastAsia="Palatino Linotype" w:hAnsi="Palatino Linotype" w:cs="Palatino Linotype"/>
          <w:i/>
          <w:iCs/>
          <w:sz w:val="24"/>
          <w:szCs w:val="24"/>
        </w:rPr>
      </w:pP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VI. Vigilar y verificar el cumplimiento de las clausulas establecidas en los convenios sindicales, para mantener y fortalecer las relaciones con las instituciones, y a su vez buscar el beneficio en cuanto a las prestaciones y condiciones laborales de los trabajadores agremiados; </w:t>
      </w:r>
    </w:p>
    <w:p w:rsidR="00AB16BB" w:rsidRDefault="00AB16BB">
      <w:pPr>
        <w:ind w:left="426" w:right="397"/>
        <w:jc w:val="both"/>
        <w:rPr>
          <w:rFonts w:ascii="Palatino Linotype" w:eastAsia="Palatino Linotype" w:hAnsi="Palatino Linotype" w:cs="Palatino Linotype"/>
          <w:i/>
          <w:iCs/>
          <w:sz w:val="24"/>
          <w:szCs w:val="24"/>
        </w:rPr>
      </w:pP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lastRenderedPageBreak/>
        <w:t xml:space="preserve">VII. Intervenir, vigilar y dar el seguimiento correspondiente a todos los procedimientos de adquisición, arrendamiento de inmuebles, contratación de servicios, enajenación y subasta de bienes, conforme a los lineamientos establecidos en la normatividad correspondiente; </w:t>
      </w:r>
    </w:p>
    <w:p w:rsidR="00AB16BB" w:rsidRDefault="00AB16BB">
      <w:pPr>
        <w:ind w:left="426" w:right="397"/>
        <w:jc w:val="both"/>
        <w:rPr>
          <w:rFonts w:ascii="Palatino Linotype" w:eastAsia="Palatino Linotype" w:hAnsi="Palatino Linotype" w:cs="Palatino Linotype"/>
          <w:i/>
          <w:iCs/>
          <w:sz w:val="24"/>
          <w:szCs w:val="24"/>
        </w:rPr>
      </w:pP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VIII. Coordinar la elaboración del programa anual de adquisiciones del Ayuntamiento, con base en los montos establecidos para cada partida por objeto de gasto en el presupuesto, con el fin de ponerlo a disposición de los comités para su debida aprobación; </w:t>
      </w:r>
    </w:p>
    <w:p w:rsidR="00AB16BB" w:rsidRDefault="00AB16BB">
      <w:pPr>
        <w:ind w:left="426" w:right="397"/>
        <w:jc w:val="both"/>
        <w:rPr>
          <w:rFonts w:ascii="Palatino Linotype" w:eastAsia="Palatino Linotype" w:hAnsi="Palatino Linotype" w:cs="Palatino Linotype"/>
          <w:i/>
          <w:iCs/>
          <w:sz w:val="24"/>
          <w:szCs w:val="24"/>
        </w:rPr>
      </w:pP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IX. Integrar el catálogo general de proveedores que permita identificar de manera ágil a quienes, con base en el giro comercial principal, cumplan y cuenten con los documentos y requisitos que establece la ley, con el propósito de considerarlos en los procesos de compra, prestación de servicios y arrendamientos de inmuebles, en la búsqueda de las mejores condiciones a favor del municipio; </w:t>
      </w:r>
    </w:p>
    <w:p w:rsidR="00AB16BB" w:rsidRDefault="00AB16BB">
      <w:pPr>
        <w:ind w:left="426" w:right="397"/>
        <w:jc w:val="both"/>
        <w:rPr>
          <w:rFonts w:ascii="Palatino Linotype" w:eastAsia="Palatino Linotype" w:hAnsi="Palatino Linotype" w:cs="Palatino Linotype"/>
          <w:i/>
          <w:iCs/>
          <w:sz w:val="24"/>
          <w:szCs w:val="24"/>
        </w:rPr>
      </w:pP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X. Supervisar y vigilar que los procedimientos de licitaciones públicas, así como sus excepciones, se desarrollen conforme lo establece la normatividad respectiva y en estricto apego a los lineamientos establecidos de eficiencia, eficacia, honradez y transparencia; </w:t>
      </w:r>
    </w:p>
    <w:p w:rsidR="00AB16BB" w:rsidRDefault="00AB16BB">
      <w:pPr>
        <w:ind w:left="426" w:right="397"/>
        <w:jc w:val="both"/>
        <w:rPr>
          <w:rFonts w:ascii="Palatino Linotype" w:eastAsia="Palatino Linotype" w:hAnsi="Palatino Linotype" w:cs="Palatino Linotype"/>
          <w:i/>
          <w:iCs/>
          <w:sz w:val="24"/>
          <w:szCs w:val="24"/>
        </w:rPr>
      </w:pP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XI. Establecer los mecanismos y procedimientos necesarios para la investigación y obtención de información sobre estudios de mercado y precios de referencia;</w:t>
      </w:r>
    </w:p>
    <w:p w:rsidR="00AB16BB" w:rsidRDefault="00AB16BB">
      <w:pPr>
        <w:ind w:left="426" w:right="397"/>
        <w:jc w:val="both"/>
        <w:rPr>
          <w:rFonts w:ascii="Palatino Linotype" w:eastAsia="Palatino Linotype" w:hAnsi="Palatino Linotype" w:cs="Palatino Linotype"/>
          <w:i/>
          <w:iCs/>
          <w:sz w:val="24"/>
          <w:szCs w:val="24"/>
        </w:rPr>
      </w:pP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XII. Revisar, suscribir y vigilar todos aquellos contratos que se formalicen con proveedores, así como su ejecución y ejercicio, relativos a fallos de adjudicación de procesos de licitación pública o de sus excepciones, mismos que deberán cumplir con la normatividad en la materia;</w:t>
      </w:r>
    </w:p>
    <w:p w:rsidR="00AB16BB" w:rsidRDefault="00AB16BB">
      <w:pPr>
        <w:ind w:left="426" w:right="397"/>
        <w:jc w:val="both"/>
        <w:rPr>
          <w:rFonts w:ascii="Palatino Linotype" w:eastAsia="Palatino Linotype" w:hAnsi="Palatino Linotype" w:cs="Palatino Linotype"/>
          <w:i/>
          <w:iCs/>
          <w:sz w:val="24"/>
          <w:szCs w:val="24"/>
        </w:rPr>
      </w:pP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 XIII. Presidir los comités instituidos para atender los procesos de adquisición y enajenación de bienes muebles e inmuebles, contratación de servicios y arrendamientos. Convocar a sus integrantes y desahogar los asuntos que se sometan a consideración de éstos, así como llevar a cabo las funciones que establece la normatividad en la materia; </w:t>
      </w:r>
    </w:p>
    <w:p w:rsidR="00AB16BB" w:rsidRDefault="00AB16BB">
      <w:pPr>
        <w:ind w:left="426" w:right="397"/>
        <w:jc w:val="both"/>
        <w:rPr>
          <w:rFonts w:ascii="Palatino Linotype" w:eastAsia="Palatino Linotype" w:hAnsi="Palatino Linotype" w:cs="Palatino Linotype"/>
          <w:i/>
          <w:iCs/>
          <w:sz w:val="24"/>
          <w:szCs w:val="24"/>
        </w:rPr>
      </w:pP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XIV. Vigilar, controlar y supervisar el estricto manejo, recepción, resguardo y entrega de los materiales que se reciben en el Almacén General, con la finalidad de que éstos cumplan con las características físicas y técnicas requeridas, asimismo, establecer los mecanismos necesarios para realizar inventarios de manera periódica; </w:t>
      </w:r>
    </w:p>
    <w:p w:rsidR="00AB16BB" w:rsidRDefault="00AB16BB">
      <w:pPr>
        <w:ind w:left="426" w:right="397"/>
        <w:jc w:val="both"/>
        <w:rPr>
          <w:rFonts w:ascii="Palatino Linotype" w:eastAsia="Palatino Linotype" w:hAnsi="Palatino Linotype" w:cs="Palatino Linotype"/>
          <w:i/>
          <w:iCs/>
          <w:sz w:val="24"/>
          <w:szCs w:val="24"/>
        </w:rPr>
      </w:pP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lastRenderedPageBreak/>
        <w:t xml:space="preserve">XV. Derogada; </w:t>
      </w:r>
    </w:p>
    <w:p w:rsidR="00AB16BB" w:rsidRDefault="00AB16BB">
      <w:pPr>
        <w:ind w:left="426" w:right="397"/>
        <w:jc w:val="both"/>
        <w:rPr>
          <w:rFonts w:ascii="Palatino Linotype" w:eastAsia="Palatino Linotype" w:hAnsi="Palatino Linotype" w:cs="Palatino Linotype"/>
          <w:i/>
          <w:iCs/>
          <w:sz w:val="24"/>
          <w:szCs w:val="24"/>
        </w:rPr>
      </w:pP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XVI. Derogada; </w:t>
      </w:r>
    </w:p>
    <w:p w:rsidR="00AB16BB" w:rsidRDefault="00AB16BB">
      <w:pPr>
        <w:ind w:left="426" w:right="397"/>
        <w:jc w:val="both"/>
        <w:rPr>
          <w:rFonts w:ascii="Palatino Linotype" w:eastAsia="Palatino Linotype" w:hAnsi="Palatino Linotype" w:cs="Palatino Linotype"/>
          <w:i/>
          <w:iCs/>
          <w:sz w:val="24"/>
          <w:szCs w:val="24"/>
        </w:rPr>
      </w:pP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XVII. Implementar y supervisar que se lleven a cabo todas las actividades relacionadas al mantenimiento, adecuación, conservación, aseo y limpieza de las áreas que integran el Ayuntamiento, que se utilizan para la atención al público y actividades administrativas;</w:t>
      </w:r>
    </w:p>
    <w:p w:rsidR="00AB16BB" w:rsidRDefault="00AB16BB">
      <w:pPr>
        <w:ind w:left="426" w:right="397"/>
        <w:jc w:val="both"/>
        <w:rPr>
          <w:rFonts w:ascii="Palatino Linotype" w:eastAsia="Palatino Linotype" w:hAnsi="Palatino Linotype" w:cs="Palatino Linotype"/>
          <w:i/>
          <w:iCs/>
          <w:sz w:val="24"/>
          <w:szCs w:val="24"/>
        </w:rPr>
      </w:pP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 XVIII. Crear los mecanismos para dotar de combustible al parque vehicular y maquinaria del Ayuntamiento, conforme a los controles establecidos</w:t>
      </w:r>
    </w:p>
    <w:p w:rsidR="00AB16BB" w:rsidRDefault="00AB16BB">
      <w:pPr>
        <w:ind w:left="426" w:right="397"/>
        <w:jc w:val="both"/>
        <w:rPr>
          <w:rFonts w:ascii="Palatino Linotype" w:eastAsia="Palatino Linotype" w:hAnsi="Palatino Linotype" w:cs="Palatino Linotype"/>
          <w:i/>
          <w:iCs/>
          <w:sz w:val="24"/>
          <w:szCs w:val="24"/>
        </w:rPr>
      </w:pP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XIX. Establecer los mecanismos y procesos administrativos necesarios para el diagnóstico, mantenimiento y reparación del parque vehicular del Ayuntamiento, definir los requisitos para ingresar los vehículos al taller municipal o en su caso canalizarlos a talleres externos;</w:t>
      </w:r>
    </w:p>
    <w:p w:rsidR="00AB16BB" w:rsidRDefault="00AB16BB">
      <w:pPr>
        <w:ind w:left="426" w:right="397"/>
        <w:jc w:val="both"/>
        <w:rPr>
          <w:rFonts w:ascii="Palatino Linotype" w:eastAsia="Palatino Linotype" w:hAnsi="Palatino Linotype" w:cs="Palatino Linotype"/>
          <w:i/>
          <w:iCs/>
          <w:sz w:val="24"/>
          <w:szCs w:val="24"/>
        </w:rPr>
      </w:pP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 XX. Atender y establecer la logística y las acciones pertinentes para el desarrollo de los eventos públicos con representación del Ayuntamiento; </w:t>
      </w:r>
    </w:p>
    <w:p w:rsidR="00AB16BB" w:rsidRDefault="00AB16BB">
      <w:pPr>
        <w:ind w:left="426" w:right="397"/>
        <w:jc w:val="both"/>
        <w:rPr>
          <w:rFonts w:ascii="Palatino Linotype" w:eastAsia="Palatino Linotype" w:hAnsi="Palatino Linotype" w:cs="Palatino Linotype"/>
          <w:i/>
          <w:iCs/>
          <w:sz w:val="24"/>
          <w:szCs w:val="24"/>
        </w:rPr>
      </w:pP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XXI. Planear organizar, implementar y evaluar las políticas municipales en materia de gobierno digital, así como participar en las iniciativas que en la misma materia surjan del ámbito estatal y/o federal; </w:t>
      </w:r>
    </w:p>
    <w:p w:rsidR="00AB16BB" w:rsidRDefault="00AB16BB">
      <w:pPr>
        <w:ind w:left="426" w:right="397"/>
        <w:jc w:val="both"/>
        <w:rPr>
          <w:rFonts w:ascii="Palatino Linotype" w:eastAsia="Palatino Linotype" w:hAnsi="Palatino Linotype" w:cs="Palatino Linotype"/>
          <w:i/>
          <w:iCs/>
          <w:sz w:val="24"/>
          <w:szCs w:val="24"/>
        </w:rPr>
      </w:pP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XXII. Emitir las políticas, normas y lineamientos administrativos relativos al uso de las tecnologías de la información y comunicación al interior de la administración pública municipal;</w:t>
      </w:r>
    </w:p>
    <w:p w:rsidR="00AB16BB" w:rsidRDefault="00AB16BB">
      <w:pPr>
        <w:ind w:left="426" w:right="397"/>
        <w:jc w:val="both"/>
        <w:rPr>
          <w:rFonts w:ascii="Palatino Linotype" w:eastAsia="Palatino Linotype" w:hAnsi="Palatino Linotype" w:cs="Palatino Linotype"/>
          <w:i/>
          <w:iCs/>
          <w:sz w:val="24"/>
          <w:szCs w:val="24"/>
        </w:rPr>
      </w:pP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 XXIII. Derogada; </w:t>
      </w:r>
    </w:p>
    <w:p w:rsidR="00AB16BB" w:rsidRDefault="00AB16BB">
      <w:pPr>
        <w:ind w:left="426" w:right="397"/>
        <w:jc w:val="both"/>
        <w:rPr>
          <w:rFonts w:ascii="Palatino Linotype" w:eastAsia="Palatino Linotype" w:hAnsi="Palatino Linotype" w:cs="Palatino Linotype"/>
          <w:i/>
          <w:iCs/>
          <w:sz w:val="24"/>
          <w:szCs w:val="24"/>
        </w:rPr>
      </w:pP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XXIV. Derogada; </w:t>
      </w:r>
    </w:p>
    <w:p w:rsidR="00AB16BB" w:rsidRDefault="00AB16BB">
      <w:pPr>
        <w:ind w:left="426" w:right="397"/>
        <w:jc w:val="both"/>
        <w:rPr>
          <w:rFonts w:ascii="Palatino Linotype" w:eastAsia="Palatino Linotype" w:hAnsi="Palatino Linotype" w:cs="Palatino Linotype"/>
          <w:i/>
          <w:iCs/>
          <w:sz w:val="24"/>
          <w:szCs w:val="24"/>
        </w:rPr>
      </w:pP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XXV. Coordinar y supervisar las acciones para la creación, desarrollo y actualización de la página o portal oficial del Ayuntamiento; </w:t>
      </w:r>
    </w:p>
    <w:p w:rsidR="00AB16BB" w:rsidRDefault="00AB16BB">
      <w:pPr>
        <w:ind w:left="426" w:right="397"/>
        <w:jc w:val="both"/>
        <w:rPr>
          <w:rFonts w:ascii="Palatino Linotype" w:eastAsia="Palatino Linotype" w:hAnsi="Palatino Linotype" w:cs="Palatino Linotype"/>
          <w:i/>
          <w:iCs/>
          <w:sz w:val="24"/>
          <w:szCs w:val="24"/>
        </w:rPr>
      </w:pP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XXVI. Derogada; </w:t>
      </w:r>
    </w:p>
    <w:p w:rsidR="00AB16BB" w:rsidRDefault="00AB16BB">
      <w:pPr>
        <w:ind w:left="426" w:right="397"/>
        <w:jc w:val="both"/>
        <w:rPr>
          <w:rFonts w:ascii="Palatino Linotype" w:eastAsia="Palatino Linotype" w:hAnsi="Palatino Linotype" w:cs="Palatino Linotype"/>
          <w:i/>
          <w:iCs/>
          <w:sz w:val="24"/>
          <w:szCs w:val="24"/>
        </w:rPr>
      </w:pP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lastRenderedPageBreak/>
        <w:t xml:space="preserve">XXVII. Establecer, operar y evaluar los mecanismos de coordinación con las delegaciones administrativas, en el ejercicio del presupuesto asignado, movimientos de personal y solicitud de bienes, insumos, servicios y arrendamientos que requieran las unidades administrativas para el desempeño de sus funciones; </w:t>
      </w:r>
    </w:p>
    <w:p w:rsidR="00AB16BB" w:rsidRDefault="00AB16BB">
      <w:pPr>
        <w:ind w:left="426" w:right="397"/>
        <w:jc w:val="both"/>
        <w:rPr>
          <w:rFonts w:ascii="Palatino Linotype" w:eastAsia="Palatino Linotype" w:hAnsi="Palatino Linotype" w:cs="Palatino Linotype"/>
          <w:i/>
          <w:iCs/>
          <w:sz w:val="24"/>
          <w:szCs w:val="24"/>
        </w:rPr>
      </w:pP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XXVIII. Emitir las políticas, normas y lineamientos administrativos relativos a los asuntos de su competencia, responsabilidad se desarrollen con transparencia, considerando los lineamientos establecidos en la normatividad anticorrupción, así mismo con eficiencia y eficacia en el manejo de los recursos; y </w:t>
      </w:r>
    </w:p>
    <w:p w:rsidR="00AB16BB" w:rsidRDefault="00AB16BB">
      <w:pPr>
        <w:ind w:left="426" w:right="397"/>
        <w:jc w:val="both"/>
        <w:rPr>
          <w:rFonts w:ascii="Palatino Linotype" w:eastAsia="Palatino Linotype" w:hAnsi="Palatino Linotype" w:cs="Palatino Linotype"/>
          <w:i/>
          <w:iCs/>
          <w:sz w:val="24"/>
          <w:szCs w:val="24"/>
        </w:rPr>
      </w:pP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 xml:space="preserve">XXIX. Las demás que le confieran otros ordenamientos jurídicos, el H. Ayuntamiento y el Presidente Municipacon la finalidad de que los trabajos y las actividades que sean inherentes a su responsabilidad se desarrollen con transparencia, considerando los lineamientos establecidos en la normatividad anticorrupción, así mismo con eficiencia y eficacia en el manejo de los recursos; y </w:t>
      </w:r>
    </w:p>
    <w:p w:rsidR="00AB16BB" w:rsidRDefault="00AB16BB">
      <w:pPr>
        <w:ind w:left="426" w:right="397"/>
        <w:jc w:val="both"/>
        <w:rPr>
          <w:rFonts w:ascii="Palatino Linotype" w:eastAsia="Palatino Linotype" w:hAnsi="Palatino Linotype" w:cs="Palatino Linotype"/>
          <w:i/>
          <w:iCs/>
          <w:sz w:val="24"/>
          <w:szCs w:val="24"/>
        </w:rPr>
      </w:pP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XXIX. Las demás que le confieran otros ordenamientos jurídicos, el H. Ayuntamiento y el Presidente Municipal.</w:t>
      </w:r>
    </w:p>
    <w:p w:rsidR="00AB16BB" w:rsidRDefault="00AB16BB">
      <w:pPr>
        <w:ind w:left="426" w:right="397"/>
        <w:jc w:val="both"/>
        <w:rPr>
          <w:rFonts w:ascii="Palatino Linotype" w:eastAsia="Palatino Linotype" w:hAnsi="Palatino Linotype" w:cs="Palatino Linotype"/>
          <w:i/>
          <w:iCs/>
          <w:sz w:val="24"/>
          <w:szCs w:val="24"/>
        </w:rPr>
      </w:pPr>
    </w:p>
    <w:p w:rsidR="00AB16BB" w:rsidRDefault="001C491E">
      <w:pPr>
        <w:ind w:left="426" w:right="397"/>
        <w:jc w:val="both"/>
        <w:rPr>
          <w:rFonts w:ascii="Palatino Linotype" w:eastAsia="Palatino Linotype" w:hAnsi="Palatino Linotype" w:cs="Palatino Linotype"/>
          <w:i/>
          <w:iCs/>
          <w:sz w:val="24"/>
          <w:szCs w:val="24"/>
        </w:rPr>
      </w:pPr>
      <w:r>
        <w:rPr>
          <w:rFonts w:ascii="Palatino Linotype" w:eastAsia="Palatino Linotype" w:hAnsi="Palatino Linotype" w:cs="Palatino Linotype"/>
          <w:i/>
          <w:iCs/>
          <w:sz w:val="24"/>
          <w:szCs w:val="24"/>
        </w:rPr>
        <w:t>Artículo 3.44. La Dirección General de Administración, para el cumplimiento de sus atribuciones, se auxiliará de la Dirección de Recursos Humanos, de la Dirección de Recursos Materiales, de la Dirección de Servicios Generales y de la Dirección de Tecnologías de la Información y Gobierno Digital.</w:t>
      </w:r>
    </w:p>
    <w:p w:rsidR="00AB16BB" w:rsidRDefault="00AB16BB">
      <w:pPr>
        <w:ind w:left="426" w:right="397"/>
        <w:jc w:val="both"/>
        <w:rPr>
          <w:rFonts w:ascii="Palatino Linotype" w:eastAsia="Palatino Linotype" w:hAnsi="Palatino Linotype" w:cs="Palatino Linotype"/>
          <w:i/>
          <w:iCs/>
          <w:sz w:val="24"/>
          <w:szCs w:val="24"/>
        </w:rPr>
      </w:pPr>
    </w:p>
    <w:p w:rsidR="00AB16BB" w:rsidRDefault="00AB16BB">
      <w:pPr>
        <w:ind w:left="426" w:right="397"/>
        <w:jc w:val="both"/>
        <w:rPr>
          <w:rFonts w:ascii="Palatino Linotype" w:eastAsia="Palatino Linotype" w:hAnsi="Palatino Linotype" w:cs="Palatino Linotype"/>
          <w:i/>
          <w:iCs/>
          <w:sz w:val="24"/>
          <w:szCs w:val="24"/>
        </w:rPr>
      </w:pPr>
    </w:p>
    <w:p w:rsidR="00AB16BB" w:rsidRDefault="001C491E">
      <w:pPr>
        <w:numPr>
          <w:ilvl w:val="0"/>
          <w:numId w:val="2"/>
        </w:numPr>
        <w:spacing w:line="360" w:lineRule="auto"/>
        <w:ind w:left="0" w:right="49"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lo anterior, se advierte que fueron los Servidores Públicos Habilitados quienes dieron respuesta a la solicitud de información que nos ocupa. </w:t>
      </w:r>
    </w:p>
    <w:p w:rsidR="00AB16BB" w:rsidRDefault="00AB16BB">
      <w:pPr>
        <w:spacing w:line="360" w:lineRule="auto"/>
        <w:ind w:right="49"/>
        <w:jc w:val="both"/>
        <w:rPr>
          <w:rFonts w:ascii="Palatino Linotype" w:eastAsia="Palatino Linotype" w:hAnsi="Palatino Linotype" w:cs="Palatino Linotype"/>
          <w:sz w:val="24"/>
          <w:szCs w:val="24"/>
        </w:rPr>
      </w:pPr>
    </w:p>
    <w:p w:rsidR="00AB16BB" w:rsidRDefault="001C491E">
      <w:pPr>
        <w:numPr>
          <w:ilvl w:val="0"/>
          <w:numId w:val="2"/>
        </w:numPr>
        <w:spacing w:line="360" w:lineRule="auto"/>
        <w:ind w:left="0" w:right="49"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Ahora bien por lo que hace a la respuesta proporcionada, se reitera que se solicitó lo siguiente:</w:t>
      </w:r>
    </w:p>
    <w:p w:rsidR="00AB16BB" w:rsidRDefault="00AB16BB">
      <w:pPr>
        <w:spacing w:line="360" w:lineRule="auto"/>
        <w:ind w:right="49"/>
        <w:jc w:val="both"/>
        <w:rPr>
          <w:rFonts w:ascii="Palatino Linotype" w:eastAsia="Palatino Linotype" w:hAnsi="Palatino Linotype" w:cs="Palatino Linotype"/>
          <w:sz w:val="24"/>
          <w:szCs w:val="24"/>
        </w:rPr>
      </w:pPr>
    </w:p>
    <w:p w:rsidR="00AB16BB" w:rsidRDefault="001C491E" w:rsidP="006414EA">
      <w:pPr>
        <w:ind w:right="68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Todos los gastos pagados por cualquier concepto del primero de enero al nueve de mayo de dos mil veinticinco, por gastos de representación, viáticos, comidas, gasolina, etc., de:</w:t>
      </w:r>
    </w:p>
    <w:p w:rsidR="00AB16BB" w:rsidRDefault="001C491E">
      <w:pPr>
        <w:numPr>
          <w:ilvl w:val="0"/>
          <w:numId w:val="6"/>
        </w:numPr>
        <w:pBdr>
          <w:top w:val="nil"/>
          <w:left w:val="nil"/>
          <w:bottom w:val="nil"/>
          <w:right w:val="nil"/>
          <w:between w:val="nil"/>
        </w:pBdr>
        <w:ind w:left="1843" w:right="68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 DIRECTORES GENERALES,</w:t>
      </w:r>
    </w:p>
    <w:p w:rsidR="00AB16BB" w:rsidRDefault="001C491E">
      <w:pPr>
        <w:numPr>
          <w:ilvl w:val="0"/>
          <w:numId w:val="6"/>
        </w:numPr>
        <w:pBdr>
          <w:top w:val="nil"/>
          <w:left w:val="nil"/>
          <w:bottom w:val="nil"/>
          <w:right w:val="nil"/>
          <w:between w:val="nil"/>
        </w:pBdr>
        <w:ind w:left="1843" w:right="68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 DIRECTORES DE AREAS, </w:t>
      </w:r>
    </w:p>
    <w:p w:rsidR="00AB16BB" w:rsidRDefault="001C491E">
      <w:pPr>
        <w:numPr>
          <w:ilvl w:val="0"/>
          <w:numId w:val="6"/>
        </w:numPr>
        <w:pBdr>
          <w:top w:val="nil"/>
          <w:left w:val="nil"/>
          <w:bottom w:val="nil"/>
          <w:right w:val="nil"/>
          <w:between w:val="nil"/>
        </w:pBdr>
        <w:ind w:left="1843" w:right="68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SUBDIRECTORES, </w:t>
      </w:r>
    </w:p>
    <w:p w:rsidR="00AB16BB" w:rsidRDefault="001C491E">
      <w:pPr>
        <w:numPr>
          <w:ilvl w:val="0"/>
          <w:numId w:val="6"/>
        </w:numPr>
        <w:pBdr>
          <w:top w:val="nil"/>
          <w:left w:val="nil"/>
          <w:bottom w:val="nil"/>
          <w:right w:val="nil"/>
          <w:between w:val="nil"/>
        </w:pBdr>
        <w:ind w:left="1843" w:right="68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CORODINADORES, </w:t>
      </w:r>
    </w:p>
    <w:p w:rsidR="00AB16BB" w:rsidRDefault="001C491E">
      <w:pPr>
        <w:numPr>
          <w:ilvl w:val="0"/>
          <w:numId w:val="6"/>
        </w:numPr>
        <w:pBdr>
          <w:top w:val="nil"/>
          <w:left w:val="nil"/>
          <w:bottom w:val="nil"/>
          <w:right w:val="nil"/>
          <w:between w:val="nil"/>
        </w:pBdr>
        <w:ind w:left="1843" w:right="68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JEFES DE DEPARTAMENTO,</w:t>
      </w:r>
    </w:p>
    <w:p w:rsidR="00AB16BB" w:rsidRDefault="001C491E">
      <w:pPr>
        <w:numPr>
          <w:ilvl w:val="0"/>
          <w:numId w:val="6"/>
        </w:numPr>
        <w:pBdr>
          <w:top w:val="nil"/>
          <w:left w:val="nil"/>
          <w:bottom w:val="nil"/>
          <w:right w:val="nil"/>
          <w:between w:val="nil"/>
        </w:pBdr>
        <w:ind w:left="1843" w:right="68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 ASESOR.</w:t>
      </w:r>
    </w:p>
    <w:p w:rsidR="00AB16BB" w:rsidRDefault="00AB16BB">
      <w:pPr>
        <w:spacing w:line="360" w:lineRule="auto"/>
        <w:ind w:right="49"/>
        <w:jc w:val="both"/>
        <w:rPr>
          <w:rFonts w:ascii="Palatino Linotype" w:eastAsia="Palatino Linotype" w:hAnsi="Palatino Linotype" w:cs="Palatino Linotype"/>
          <w:sz w:val="24"/>
          <w:szCs w:val="24"/>
        </w:rPr>
      </w:pPr>
    </w:p>
    <w:p w:rsidR="00AB16BB" w:rsidRDefault="001C491E">
      <w:pPr>
        <w:numPr>
          <w:ilvl w:val="0"/>
          <w:numId w:val="2"/>
        </w:numPr>
        <w:spacing w:line="360" w:lineRule="auto"/>
        <w:ind w:left="0" w:right="49" w:firstLine="0"/>
        <w:jc w:val="both"/>
        <w:rPr>
          <w:rFonts w:ascii="Palatino Linotype" w:eastAsia="Palatino Linotype" w:hAnsi="Palatino Linotype" w:cs="Palatino Linotype"/>
          <w:i/>
          <w:iCs/>
          <w:sz w:val="24"/>
          <w:szCs w:val="24"/>
        </w:rPr>
      </w:pPr>
      <w:r>
        <w:rPr>
          <w:rFonts w:ascii="Palatino Linotype" w:eastAsia="Palatino Linotype" w:hAnsi="Palatino Linotype" w:cs="Palatino Linotype"/>
          <w:sz w:val="24"/>
          <w:szCs w:val="24"/>
        </w:rPr>
        <w:t>Atento a lo anterior, el Tesorero Municipal informó que “</w:t>
      </w:r>
      <w:r>
        <w:rPr>
          <w:rFonts w:ascii="Palatino Linotype" w:eastAsia="Palatino Linotype" w:hAnsi="Palatino Linotype" w:cs="Palatino Linotype"/>
          <w:i/>
          <w:iCs/>
          <w:sz w:val="24"/>
          <w:szCs w:val="24"/>
        </w:rPr>
        <w:t xml:space="preserve">una vez realizada una búsqueda exhaustiva en nuestros archivos, no se cuenta con registro financiero, documental, </w:t>
      </w:r>
      <w:r>
        <w:rPr>
          <w:rFonts w:ascii="Palatino Linotype" w:eastAsia="Palatino Linotype" w:hAnsi="Palatino Linotype" w:cs="Palatino Linotype"/>
          <w:sz w:val="24"/>
          <w:szCs w:val="24"/>
        </w:rPr>
        <w:t>contable o presupuestal que ampare el concepto de gasto, del departamento de ASqOR.” y la Dirección General de Administración y Servidora Pública Habilitada</w:t>
      </w:r>
      <w:r>
        <w:rPr>
          <w:rFonts w:ascii="Palatino Linotype" w:eastAsia="Palatino Linotype" w:hAnsi="Palatino Linotype" w:cs="Palatino Linotype"/>
          <w:i/>
          <w:iCs/>
          <w:sz w:val="24"/>
          <w:szCs w:val="24"/>
        </w:rPr>
        <w:t xml:space="preserve">, informó que la Dirección de Recursos Humanos, después de haber realizado una búsqueda exhaustiva y razonable en los archivos que obran en sus departamentos, informa que no se encontró registró alguno de la información solicitada, asimismo el Departamento de Mantenimiento Vehicular y Control de Combustible informa que con la finalidad de cumplir con la solicitud comunica que las unidades vehiculares de las Direcciones Generales son de uso operativo y que la dotación de combustible depende de las características y operatividad del área a las que están adscritas.” </w:t>
      </w:r>
    </w:p>
    <w:p w:rsidR="00AB16BB" w:rsidRDefault="00AB16BB">
      <w:pPr>
        <w:spacing w:line="360" w:lineRule="auto"/>
        <w:ind w:right="49"/>
        <w:jc w:val="both"/>
        <w:rPr>
          <w:rFonts w:ascii="Palatino Linotype" w:eastAsia="Palatino Linotype" w:hAnsi="Palatino Linotype" w:cs="Palatino Linotype"/>
          <w:i/>
          <w:iCs/>
          <w:sz w:val="24"/>
          <w:szCs w:val="24"/>
        </w:rPr>
      </w:pPr>
    </w:p>
    <w:p w:rsidR="00AB16BB" w:rsidRDefault="001C491E">
      <w:pPr>
        <w:numPr>
          <w:ilvl w:val="0"/>
          <w:numId w:val="2"/>
        </w:numPr>
        <w:spacing w:line="360" w:lineRule="auto"/>
        <w:ind w:left="0" w:right="49"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Es así que, este Órgano Resolutor, arriba a la conclusión de no tenerse por colmada en su totalidad la solicitud de información que nos ocupa, en virtud de que, si bien es cierto, se pronunciaron los servidores públicos habilitados para tal efecto, también cierto es que no </w:t>
      </w:r>
      <w:r>
        <w:rPr>
          <w:rFonts w:ascii="Palatino Linotype" w:eastAsia="Palatino Linotype" w:hAnsi="Palatino Linotype" w:cs="Palatino Linotype"/>
          <w:sz w:val="24"/>
          <w:szCs w:val="24"/>
        </w:rPr>
        <w:lastRenderedPageBreak/>
        <w:t xml:space="preserve">se pronunciaron las áreas que integran al </w:t>
      </w:r>
      <w:r>
        <w:rPr>
          <w:rFonts w:ascii="Palatino Linotype" w:eastAsia="Palatino Linotype" w:hAnsi="Palatino Linotype" w:cs="Palatino Linotype"/>
          <w:b/>
          <w:bCs/>
          <w:sz w:val="24"/>
          <w:szCs w:val="24"/>
        </w:rPr>
        <w:t xml:space="preserve">SUJETO OBLIGADO, </w:t>
      </w:r>
      <w:r>
        <w:rPr>
          <w:rFonts w:ascii="Palatino Linotype" w:eastAsia="Palatino Linotype" w:hAnsi="Palatino Linotype" w:cs="Palatino Linotype"/>
          <w:sz w:val="24"/>
          <w:szCs w:val="24"/>
        </w:rPr>
        <w:t xml:space="preserve"> de acuerdo al ya citado artículo 90 del Bando Municipal.</w:t>
      </w:r>
    </w:p>
    <w:p w:rsidR="00AB16BB" w:rsidRDefault="00AB16BB">
      <w:pPr>
        <w:spacing w:line="360" w:lineRule="auto"/>
        <w:ind w:right="49"/>
        <w:jc w:val="both"/>
        <w:rPr>
          <w:rFonts w:ascii="Palatino Linotype" w:eastAsia="Palatino Linotype" w:hAnsi="Palatino Linotype" w:cs="Palatino Linotype"/>
          <w:sz w:val="24"/>
          <w:szCs w:val="24"/>
        </w:rPr>
      </w:pPr>
    </w:p>
    <w:p w:rsidR="00AB16BB" w:rsidRDefault="001C491E">
      <w:pPr>
        <w:numPr>
          <w:ilvl w:val="0"/>
          <w:numId w:val="2"/>
        </w:numPr>
        <w:spacing w:line="360" w:lineRule="auto"/>
        <w:ind w:left="0" w:right="49"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Aunado a lo anterior, se observa que el </w:t>
      </w:r>
      <w:r>
        <w:rPr>
          <w:rFonts w:ascii="Palatino Linotype" w:eastAsia="Palatino Linotype" w:hAnsi="Palatino Linotype" w:cs="Palatino Linotype"/>
          <w:b/>
          <w:bCs/>
          <w:sz w:val="24"/>
          <w:szCs w:val="24"/>
        </w:rPr>
        <w:t xml:space="preserve">SUJETO OBLIGADO, </w:t>
      </w:r>
      <w:r>
        <w:rPr>
          <w:rFonts w:ascii="Palatino Linotype" w:eastAsia="Palatino Linotype" w:hAnsi="Palatino Linotype" w:cs="Palatino Linotype"/>
          <w:sz w:val="24"/>
          <w:szCs w:val="24"/>
        </w:rPr>
        <w:t>se pronunció respecto del “</w:t>
      </w:r>
      <w:r>
        <w:rPr>
          <w:rFonts w:ascii="Palatino Linotype" w:eastAsia="Palatino Linotype" w:hAnsi="Palatino Linotype" w:cs="Palatino Linotype"/>
          <w:i/>
          <w:iCs/>
          <w:sz w:val="24"/>
          <w:szCs w:val="24"/>
        </w:rPr>
        <w:t xml:space="preserve">departamento de ASqOR.”, </w:t>
      </w:r>
      <w:r>
        <w:rPr>
          <w:rFonts w:ascii="Palatino Linotype" w:eastAsia="Palatino Linotype" w:hAnsi="Palatino Linotype" w:cs="Palatino Linotype"/>
          <w:sz w:val="24"/>
          <w:szCs w:val="24"/>
        </w:rPr>
        <w:t xml:space="preserve">sin embargo, este departamento no obra dentro de los del </w:t>
      </w:r>
      <w:r>
        <w:rPr>
          <w:rFonts w:ascii="Palatino Linotype" w:eastAsia="Palatino Linotype" w:hAnsi="Palatino Linotype" w:cs="Palatino Linotype"/>
          <w:b/>
          <w:bCs/>
          <w:sz w:val="24"/>
          <w:szCs w:val="24"/>
        </w:rPr>
        <w:t xml:space="preserve">SUJETO OBLIGADO, </w:t>
      </w:r>
      <w:r>
        <w:rPr>
          <w:rFonts w:ascii="Palatino Linotype" w:eastAsia="Palatino Linotype" w:hAnsi="Palatino Linotype" w:cs="Palatino Linotype"/>
          <w:sz w:val="24"/>
          <w:szCs w:val="24"/>
        </w:rPr>
        <w:t>sin que se observe que se haya pronunciado por las áreas que integran al Ayuntamiento de Toluca, razones suficientes para ordenar la búsqueda exhaustiva y razonable a efecto de que se dé cuenta de lo solicitado, es decir, todos los gastos pagados por cualquier concepto del primero de enero al nueve de mayo de dos mil veinticinco, por gastos de representación, viáticos, comidas, gasolina, etc., de los servidores públicos referidos en la solicitud de información que nos ocupa.</w:t>
      </w:r>
    </w:p>
    <w:p w:rsidR="00AB16BB" w:rsidRDefault="00AB16BB">
      <w:pPr>
        <w:spacing w:line="360" w:lineRule="auto"/>
        <w:ind w:right="49"/>
        <w:jc w:val="both"/>
        <w:rPr>
          <w:rFonts w:ascii="Palatino Linotype" w:eastAsia="Palatino Linotype" w:hAnsi="Palatino Linotype" w:cs="Palatino Linotype"/>
          <w:sz w:val="24"/>
          <w:szCs w:val="24"/>
        </w:rPr>
      </w:pPr>
    </w:p>
    <w:p w:rsidR="00AB16BB" w:rsidRDefault="001C491E">
      <w:pPr>
        <w:numPr>
          <w:ilvl w:val="0"/>
          <w:numId w:val="2"/>
        </w:numPr>
        <w:spacing w:line="360" w:lineRule="auto"/>
        <w:ind w:left="0" w:right="49" w:firstLine="0"/>
        <w:jc w:val="both"/>
        <w:rPr>
          <w:rFonts w:ascii="Palatino Linotype" w:eastAsia="Palatino Linotype" w:hAnsi="Palatino Linotype" w:cs="Palatino Linotype"/>
          <w:sz w:val="24"/>
          <w:szCs w:val="24"/>
        </w:rPr>
      </w:pPr>
      <w:bookmarkStart w:id="9" w:name="_heading=h.tmf6qwawdpuf" w:colFirst="0" w:colLast="0"/>
      <w:bookmarkEnd w:id="9"/>
      <w:r>
        <w:rPr>
          <w:rFonts w:ascii="Palatino Linotype" w:eastAsia="Palatino Linotype" w:hAnsi="Palatino Linotype" w:cs="Palatino Linotype"/>
          <w:sz w:val="24"/>
          <w:szCs w:val="24"/>
        </w:rPr>
        <w:t>Ahora bien, resulta importante referir que el documento que de manera enunciativa más no limitativa, pudiera dar cuenta de lo solicitado, son las facturas, por lo que al respecto se refiere lo siguiente:</w:t>
      </w:r>
    </w:p>
    <w:p w:rsidR="00AB16BB" w:rsidRDefault="00AB16BB">
      <w:pPr>
        <w:spacing w:line="360" w:lineRule="auto"/>
        <w:ind w:right="49"/>
        <w:jc w:val="both"/>
        <w:rPr>
          <w:rFonts w:ascii="Palatino Linotype" w:eastAsia="Palatino Linotype" w:hAnsi="Palatino Linotype" w:cs="Palatino Linotype"/>
          <w:sz w:val="24"/>
          <w:szCs w:val="24"/>
        </w:rPr>
      </w:pPr>
    </w:p>
    <w:p w:rsidR="00AB16BB" w:rsidRPr="006414EA" w:rsidRDefault="001C491E" w:rsidP="006414EA">
      <w:pPr>
        <w:pStyle w:val="Prrafodelista"/>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rPr>
      </w:pPr>
      <w:r w:rsidRPr="006414EA">
        <w:rPr>
          <w:rFonts w:ascii="Palatino Linotype" w:eastAsia="Palatino Linotype" w:hAnsi="Palatino Linotype" w:cs="Palatino Linotype"/>
          <w:color w:val="000000"/>
          <w:sz w:val="24"/>
        </w:rPr>
        <w:t xml:space="preserve">Respecto de las facturas resulta oportuno traer a contexto, la información publicada por la Secretaría de Hacienda y Crédito Público, referente al Servicio de Administración Tributaria (SAT), en donde se advierte los requisitos que deben reunir las facturas emitidas, consultable en la dirección electrónica </w:t>
      </w:r>
      <w:hyperlink r:id="rId8">
        <w:r w:rsidRPr="006414EA">
          <w:rPr>
            <w:rFonts w:ascii="Palatino Linotype" w:eastAsia="Palatino Linotype" w:hAnsi="Palatino Linotype" w:cs="Palatino Linotype"/>
            <w:color w:val="0563C1"/>
            <w:sz w:val="24"/>
            <w:u w:val="single"/>
          </w:rPr>
          <w:t>http://omawww.sat.gob.mx/factura/Paginas/solicita_requisitos.htm</w:t>
        </w:r>
      </w:hyperlink>
      <w:r w:rsidRPr="006414EA">
        <w:rPr>
          <w:rFonts w:ascii="Palatino Linotype" w:eastAsia="Palatino Linotype" w:hAnsi="Palatino Linotype" w:cs="Palatino Linotype"/>
          <w:color w:val="000000"/>
          <w:sz w:val="24"/>
        </w:rPr>
        <w:t>, de conformidad con lo siguiente:</w:t>
      </w:r>
    </w:p>
    <w:p w:rsidR="00AB16BB" w:rsidRDefault="00AB16BB">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rsidR="00AB16BB" w:rsidRDefault="001C491E">
      <w:pPr>
        <w:pBdr>
          <w:top w:val="nil"/>
          <w:left w:val="nil"/>
          <w:bottom w:val="nil"/>
          <w:right w:val="nil"/>
          <w:between w:val="nil"/>
        </w:pBdr>
        <w:ind w:left="720"/>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b/>
          <w:bCs/>
          <w:i/>
          <w:iCs/>
          <w:color w:val="000000"/>
          <w:sz w:val="24"/>
          <w:szCs w:val="24"/>
        </w:rPr>
        <w:lastRenderedPageBreak/>
        <w:t>Requisitos que deben reunir las facturas que recibas</w:t>
      </w:r>
      <w:r>
        <w:rPr>
          <w:rFonts w:ascii="Palatino Linotype" w:eastAsia="Palatino Linotype" w:hAnsi="Palatino Linotype" w:cs="Palatino Linotype"/>
          <w:i/>
          <w:iCs/>
          <w:color w:val="000000"/>
          <w:sz w:val="24"/>
          <w:szCs w:val="24"/>
        </w:rPr>
        <w:t>:</w:t>
      </w:r>
    </w:p>
    <w:p w:rsidR="00AB16BB" w:rsidRDefault="001C491E">
      <w:pPr>
        <w:pBdr>
          <w:top w:val="nil"/>
          <w:left w:val="nil"/>
          <w:bottom w:val="nil"/>
          <w:right w:val="nil"/>
          <w:between w:val="nil"/>
        </w:pBdr>
        <w:ind w:left="720"/>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i/>
          <w:iCs/>
          <w:color w:val="000000"/>
          <w:sz w:val="24"/>
          <w:szCs w:val="24"/>
        </w:rPr>
        <w:t>  Clave del Registro Federal de Contribuyentes de quien los expida.</w:t>
      </w:r>
    </w:p>
    <w:p w:rsidR="00AB16BB" w:rsidRDefault="001C491E">
      <w:pPr>
        <w:pBdr>
          <w:top w:val="nil"/>
          <w:left w:val="nil"/>
          <w:bottom w:val="nil"/>
          <w:right w:val="nil"/>
          <w:between w:val="nil"/>
        </w:pBdr>
        <w:ind w:left="720"/>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i/>
          <w:iCs/>
          <w:color w:val="000000"/>
          <w:sz w:val="24"/>
          <w:szCs w:val="24"/>
        </w:rPr>
        <w:t>  Régimen Fiscal en que tributen conforme a la Ley del ISR.</w:t>
      </w:r>
    </w:p>
    <w:p w:rsidR="00AB16BB" w:rsidRDefault="001C491E">
      <w:pPr>
        <w:pBdr>
          <w:top w:val="nil"/>
          <w:left w:val="nil"/>
          <w:bottom w:val="nil"/>
          <w:right w:val="nil"/>
          <w:between w:val="nil"/>
        </w:pBdr>
        <w:ind w:left="720"/>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i/>
          <w:iCs/>
          <w:color w:val="000000"/>
          <w:sz w:val="24"/>
          <w:szCs w:val="24"/>
        </w:rPr>
        <w:t>  Sí se tiene más de un local o establecimiento, se deberá señalar el domicilio del local o establecimiento en el que se expidan las Facturas.</w:t>
      </w:r>
    </w:p>
    <w:p w:rsidR="00AB16BB" w:rsidRDefault="001C491E">
      <w:pPr>
        <w:pBdr>
          <w:top w:val="nil"/>
          <w:left w:val="nil"/>
          <w:bottom w:val="nil"/>
          <w:right w:val="nil"/>
          <w:between w:val="nil"/>
        </w:pBdr>
        <w:ind w:left="720"/>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i/>
          <w:iCs/>
          <w:color w:val="000000"/>
          <w:sz w:val="24"/>
          <w:szCs w:val="24"/>
        </w:rPr>
        <w:t>  Contener el número de folio asignado por el SAT y el sello digital del SAT.</w:t>
      </w:r>
    </w:p>
    <w:p w:rsidR="00AB16BB" w:rsidRDefault="001C491E">
      <w:pPr>
        <w:pBdr>
          <w:top w:val="nil"/>
          <w:left w:val="nil"/>
          <w:bottom w:val="nil"/>
          <w:right w:val="nil"/>
          <w:between w:val="nil"/>
        </w:pBdr>
        <w:ind w:left="720"/>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i/>
          <w:iCs/>
          <w:color w:val="000000"/>
          <w:sz w:val="24"/>
          <w:szCs w:val="24"/>
        </w:rPr>
        <w:t>  Sello digital del contribuyente que lo expide.</w:t>
      </w:r>
    </w:p>
    <w:p w:rsidR="00AB16BB" w:rsidRDefault="001C491E">
      <w:pPr>
        <w:pBdr>
          <w:top w:val="nil"/>
          <w:left w:val="nil"/>
          <w:bottom w:val="nil"/>
          <w:right w:val="nil"/>
          <w:between w:val="nil"/>
        </w:pBdr>
        <w:ind w:left="720"/>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i/>
          <w:iCs/>
          <w:color w:val="000000"/>
          <w:sz w:val="24"/>
          <w:szCs w:val="24"/>
        </w:rPr>
        <w:t>  Lugar y fecha de expedición.</w:t>
      </w:r>
    </w:p>
    <w:p w:rsidR="00AB16BB" w:rsidRDefault="001C491E">
      <w:pPr>
        <w:pBdr>
          <w:top w:val="nil"/>
          <w:left w:val="nil"/>
          <w:bottom w:val="nil"/>
          <w:right w:val="nil"/>
          <w:between w:val="nil"/>
        </w:pBdr>
        <w:ind w:left="720"/>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i/>
          <w:iCs/>
          <w:color w:val="000000"/>
          <w:sz w:val="24"/>
          <w:szCs w:val="24"/>
        </w:rPr>
        <w:t>  Clave del Registro Federal de Contribuyentes de la persona a favor de quien se expida.</w:t>
      </w:r>
    </w:p>
    <w:p w:rsidR="00AB16BB" w:rsidRDefault="001C491E">
      <w:pPr>
        <w:pBdr>
          <w:top w:val="nil"/>
          <w:left w:val="nil"/>
          <w:bottom w:val="nil"/>
          <w:right w:val="nil"/>
          <w:between w:val="nil"/>
        </w:pBdr>
        <w:ind w:left="720"/>
        <w:jc w:val="both"/>
        <w:rPr>
          <w:rFonts w:ascii="Palatino Linotype" w:eastAsia="Palatino Linotype" w:hAnsi="Palatino Linotype" w:cs="Palatino Linotype"/>
          <w:i/>
          <w:iCs/>
          <w:color w:val="000000"/>
          <w:sz w:val="24"/>
          <w:szCs w:val="24"/>
          <w:u w:val="single"/>
        </w:rPr>
      </w:pPr>
      <w:r>
        <w:rPr>
          <w:rFonts w:ascii="Palatino Linotype" w:eastAsia="Palatino Linotype" w:hAnsi="Palatino Linotype" w:cs="Palatino Linotype"/>
          <w:i/>
          <w:iCs/>
          <w:color w:val="000000"/>
          <w:sz w:val="24"/>
          <w:szCs w:val="24"/>
          <w:u w:val="single"/>
        </w:rPr>
        <w:t>  Cantidad, unidad de medida y clase de los bienes, mercancías o descripción del servicio o del uso o goce que amparen.</w:t>
      </w:r>
    </w:p>
    <w:p w:rsidR="00AB16BB" w:rsidRDefault="001C491E">
      <w:pPr>
        <w:pBdr>
          <w:top w:val="nil"/>
          <w:left w:val="nil"/>
          <w:bottom w:val="nil"/>
          <w:right w:val="nil"/>
          <w:between w:val="nil"/>
        </w:pBdr>
        <w:ind w:left="720"/>
        <w:jc w:val="both"/>
        <w:rPr>
          <w:rFonts w:ascii="Palatino Linotype" w:eastAsia="Palatino Linotype" w:hAnsi="Palatino Linotype" w:cs="Palatino Linotype"/>
          <w:i/>
          <w:iCs/>
          <w:color w:val="000000"/>
          <w:sz w:val="24"/>
          <w:szCs w:val="24"/>
          <w:u w:val="single"/>
        </w:rPr>
      </w:pPr>
      <w:r>
        <w:rPr>
          <w:rFonts w:ascii="Palatino Linotype" w:eastAsia="Palatino Linotype" w:hAnsi="Palatino Linotype" w:cs="Palatino Linotype"/>
          <w:i/>
          <w:iCs/>
          <w:color w:val="000000"/>
          <w:sz w:val="24"/>
          <w:szCs w:val="24"/>
          <w:u w:val="single"/>
        </w:rPr>
        <w:t>  Valor unitario consignado en número.</w:t>
      </w:r>
    </w:p>
    <w:p w:rsidR="00AB16BB" w:rsidRDefault="001C491E">
      <w:pPr>
        <w:pBdr>
          <w:top w:val="nil"/>
          <w:left w:val="nil"/>
          <w:bottom w:val="nil"/>
          <w:right w:val="nil"/>
          <w:between w:val="nil"/>
        </w:pBdr>
        <w:ind w:left="720"/>
        <w:jc w:val="both"/>
        <w:rPr>
          <w:rFonts w:ascii="Palatino Linotype" w:eastAsia="Palatino Linotype" w:hAnsi="Palatino Linotype" w:cs="Palatino Linotype"/>
          <w:i/>
          <w:iCs/>
          <w:color w:val="000000"/>
          <w:sz w:val="24"/>
          <w:szCs w:val="24"/>
          <w:u w:val="single"/>
        </w:rPr>
      </w:pPr>
      <w:r>
        <w:rPr>
          <w:rFonts w:ascii="Palatino Linotype" w:eastAsia="Palatino Linotype" w:hAnsi="Palatino Linotype" w:cs="Palatino Linotype"/>
          <w:i/>
          <w:iCs/>
          <w:color w:val="000000"/>
          <w:sz w:val="24"/>
          <w:szCs w:val="24"/>
          <w:u w:val="single"/>
        </w:rPr>
        <w:t>  Importe total señalado en número o en letra.</w:t>
      </w:r>
    </w:p>
    <w:p w:rsidR="00AB16BB" w:rsidRDefault="001C491E">
      <w:pPr>
        <w:pBdr>
          <w:top w:val="nil"/>
          <w:left w:val="nil"/>
          <w:bottom w:val="nil"/>
          <w:right w:val="nil"/>
          <w:between w:val="nil"/>
        </w:pBdr>
        <w:ind w:left="720"/>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i/>
          <w:iCs/>
          <w:color w:val="000000"/>
          <w:sz w:val="24"/>
          <w:szCs w:val="24"/>
        </w:rPr>
        <w:t>  Señalamiento expreso cuando la prestación se pague en una sola exhibición o en parcialidades.</w:t>
      </w:r>
    </w:p>
    <w:p w:rsidR="00AB16BB" w:rsidRDefault="001C491E">
      <w:pPr>
        <w:pBdr>
          <w:top w:val="nil"/>
          <w:left w:val="nil"/>
          <w:bottom w:val="nil"/>
          <w:right w:val="nil"/>
          <w:between w:val="nil"/>
        </w:pBdr>
        <w:ind w:left="720"/>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i/>
          <w:iCs/>
          <w:color w:val="000000"/>
          <w:sz w:val="24"/>
          <w:szCs w:val="24"/>
        </w:rPr>
        <w:t>  Cuando proceda, se indicará el monto de los impuestos trasladados, desglosados por tasa de impuesto y, en su caso, el monto de los impuestos retenidos.</w:t>
      </w:r>
    </w:p>
    <w:p w:rsidR="00AB16BB" w:rsidRDefault="001C491E">
      <w:pPr>
        <w:pBdr>
          <w:top w:val="nil"/>
          <w:left w:val="nil"/>
          <w:bottom w:val="nil"/>
          <w:right w:val="nil"/>
          <w:between w:val="nil"/>
        </w:pBdr>
        <w:ind w:left="720"/>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i/>
          <w:iCs/>
          <w:color w:val="000000"/>
          <w:sz w:val="24"/>
          <w:szCs w:val="24"/>
        </w:rPr>
        <w:t>  Forma en que se realizó el pago (efectivo, transferencia electrónica de fondos, cheque nominativos o tarjeta de débito, de crédito, de servicio o la denominada monedero electrónico que autorice el Servicio de Administración Tributaria).</w:t>
      </w:r>
    </w:p>
    <w:p w:rsidR="00AB16BB" w:rsidRDefault="001C491E">
      <w:pPr>
        <w:pBdr>
          <w:top w:val="nil"/>
          <w:left w:val="nil"/>
          <w:bottom w:val="nil"/>
          <w:right w:val="nil"/>
          <w:between w:val="nil"/>
        </w:pBdr>
        <w:ind w:left="720"/>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i/>
          <w:iCs/>
          <w:color w:val="000000"/>
          <w:sz w:val="24"/>
          <w:szCs w:val="24"/>
        </w:rPr>
        <w:t>  Número y fecha del documento aduanero, tratándose de ventas de primera mano de mercancías de importación.</w:t>
      </w:r>
    </w:p>
    <w:p w:rsidR="00AB16BB" w:rsidRDefault="001C491E">
      <w:pPr>
        <w:pBdr>
          <w:top w:val="nil"/>
          <w:left w:val="nil"/>
          <w:bottom w:val="nil"/>
          <w:right w:val="nil"/>
          <w:between w:val="nil"/>
        </w:pBdr>
        <w:ind w:left="720"/>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i/>
          <w:iCs/>
          <w:color w:val="000000"/>
          <w:sz w:val="24"/>
          <w:szCs w:val="24"/>
        </w:rPr>
        <w:br/>
      </w:r>
      <w:r>
        <w:rPr>
          <w:rFonts w:ascii="Palatino Linotype" w:eastAsia="Palatino Linotype" w:hAnsi="Palatino Linotype" w:cs="Palatino Linotype"/>
          <w:b/>
          <w:bCs/>
          <w:i/>
          <w:iCs/>
          <w:color w:val="000000"/>
          <w:sz w:val="24"/>
          <w:szCs w:val="24"/>
        </w:rPr>
        <w:t>Además, debe contener los siguientes datos:</w:t>
      </w:r>
      <w:r>
        <w:rPr>
          <w:rFonts w:ascii="Palatino Linotype" w:eastAsia="Palatino Linotype" w:hAnsi="Palatino Linotype" w:cs="Palatino Linotype"/>
          <w:b/>
          <w:bCs/>
          <w:i/>
          <w:iCs/>
          <w:color w:val="000000"/>
          <w:sz w:val="24"/>
          <w:szCs w:val="24"/>
        </w:rPr>
        <w:br/>
      </w:r>
      <w:r>
        <w:rPr>
          <w:rFonts w:ascii="Palatino Linotype" w:eastAsia="Palatino Linotype" w:hAnsi="Palatino Linotype" w:cs="Palatino Linotype"/>
          <w:i/>
          <w:iCs/>
          <w:color w:val="000000"/>
          <w:sz w:val="24"/>
          <w:szCs w:val="24"/>
        </w:rPr>
        <w:t>a) Fecha y hora de certificación.</w:t>
      </w:r>
      <w:r>
        <w:rPr>
          <w:rFonts w:ascii="Palatino Linotype" w:eastAsia="Palatino Linotype" w:hAnsi="Palatino Linotype" w:cs="Palatino Linotype"/>
          <w:i/>
          <w:iCs/>
          <w:color w:val="000000"/>
          <w:sz w:val="24"/>
          <w:szCs w:val="24"/>
        </w:rPr>
        <w:br/>
        <w:t>b) Número de serie del certificado digital del SAT con el que se realizó el sellado.</w:t>
      </w:r>
    </w:p>
    <w:p w:rsidR="00AB16BB" w:rsidRDefault="00AB16BB">
      <w:pPr>
        <w:rPr>
          <w:rFonts w:ascii="Palatino Linotype" w:eastAsia="Palatino Linotype" w:hAnsi="Palatino Linotype" w:cs="Palatino Linotype"/>
          <w:sz w:val="24"/>
          <w:szCs w:val="24"/>
        </w:rPr>
      </w:pPr>
    </w:p>
    <w:p w:rsidR="00AB16BB" w:rsidRDefault="00AB16BB">
      <w:pPr>
        <w:spacing w:line="360" w:lineRule="auto"/>
        <w:ind w:right="49"/>
        <w:jc w:val="both"/>
        <w:rPr>
          <w:rFonts w:ascii="Palatino Linotype" w:eastAsia="Palatino Linotype" w:hAnsi="Palatino Linotype" w:cs="Palatino Linotype"/>
          <w:sz w:val="24"/>
          <w:szCs w:val="24"/>
        </w:rPr>
      </w:pPr>
    </w:p>
    <w:p w:rsidR="00AB16BB" w:rsidRDefault="001C491E">
      <w:pPr>
        <w:numPr>
          <w:ilvl w:val="0"/>
          <w:numId w:val="2"/>
        </w:numPr>
        <w:spacing w:line="360" w:lineRule="auto"/>
        <w:ind w:left="0" w:right="49"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consecuencia de lo anterior, al no haberse entregado la información solicitada, no se advierte que se haya colmado rubro alguno de la solicitud de información, resultando dable </w:t>
      </w:r>
      <w:r>
        <w:rPr>
          <w:rFonts w:ascii="Palatino Linotype" w:eastAsia="Palatino Linotype" w:hAnsi="Palatino Linotype" w:cs="Palatino Linotype"/>
          <w:b/>
          <w:bCs/>
          <w:sz w:val="24"/>
          <w:szCs w:val="24"/>
        </w:rPr>
        <w:t>REVOCAR</w:t>
      </w:r>
      <w:r>
        <w:rPr>
          <w:rFonts w:ascii="Palatino Linotype" w:eastAsia="Palatino Linotype" w:hAnsi="Palatino Linotype" w:cs="Palatino Linotype"/>
          <w:sz w:val="24"/>
          <w:szCs w:val="24"/>
        </w:rPr>
        <w:t xml:space="preserve"> la respuesta proporcionada por el </w:t>
      </w:r>
      <w:r>
        <w:rPr>
          <w:rFonts w:ascii="Palatino Linotype" w:eastAsia="Palatino Linotype" w:hAnsi="Palatino Linotype" w:cs="Palatino Linotype"/>
          <w:b/>
          <w:bCs/>
          <w:sz w:val="24"/>
          <w:szCs w:val="24"/>
        </w:rPr>
        <w:t>SUJETO OBLIGADO,</w:t>
      </w:r>
      <w:r>
        <w:rPr>
          <w:sz w:val="24"/>
          <w:szCs w:val="24"/>
        </w:rPr>
        <w:t xml:space="preserve"> </w:t>
      </w:r>
      <w:r>
        <w:rPr>
          <w:rFonts w:ascii="Palatino Linotype" w:eastAsia="Palatino Linotype" w:hAnsi="Palatino Linotype" w:cs="Palatino Linotype"/>
          <w:sz w:val="24"/>
          <w:szCs w:val="24"/>
        </w:rPr>
        <w:t xml:space="preserve">ordenando la </w:t>
      </w:r>
      <w:r>
        <w:rPr>
          <w:rFonts w:ascii="Palatino Linotype" w:eastAsia="Palatino Linotype" w:hAnsi="Palatino Linotype" w:cs="Palatino Linotype"/>
          <w:sz w:val="24"/>
          <w:szCs w:val="24"/>
        </w:rPr>
        <w:lastRenderedPageBreak/>
        <w:t>búsqueda exhaustiva y razonable a efecto de que dé cuenta en donde conste o se advierta lo solicitado.</w:t>
      </w:r>
    </w:p>
    <w:p w:rsidR="00AB16BB" w:rsidRDefault="00AB16BB">
      <w:pPr>
        <w:spacing w:line="360" w:lineRule="auto"/>
        <w:ind w:right="49"/>
        <w:jc w:val="both"/>
        <w:rPr>
          <w:rFonts w:ascii="Palatino Linotype" w:eastAsia="Palatino Linotype" w:hAnsi="Palatino Linotype" w:cs="Palatino Linotype"/>
          <w:sz w:val="24"/>
          <w:szCs w:val="24"/>
        </w:rPr>
      </w:pPr>
    </w:p>
    <w:p w:rsidR="00AB16BB" w:rsidRDefault="001C491E">
      <w:pPr>
        <w:pBdr>
          <w:top w:val="nil"/>
          <w:left w:val="nil"/>
          <w:bottom w:val="nil"/>
          <w:right w:val="nil"/>
          <w:between w:val="nil"/>
        </w:pBdr>
        <w:tabs>
          <w:tab w:val="left" w:pos="851"/>
        </w:tabs>
        <w:spacing w:line="360" w:lineRule="auto"/>
        <w:ind w:right="333"/>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bCs/>
          <w:color w:val="000000"/>
          <w:sz w:val="24"/>
          <w:szCs w:val="24"/>
        </w:rPr>
        <w:t>QUINTO. De la versión pública.</w:t>
      </w:r>
    </w:p>
    <w:p w:rsidR="00AB16BB" w:rsidRDefault="001C491E">
      <w:pPr>
        <w:numPr>
          <w:ilvl w:val="0"/>
          <w:numId w:val="1"/>
        </w:numPr>
        <w:pBdr>
          <w:top w:val="nil"/>
          <w:left w:val="nil"/>
          <w:bottom w:val="nil"/>
          <w:right w:val="nil"/>
          <w:between w:val="nil"/>
        </w:pBdr>
        <w:tabs>
          <w:tab w:val="left" w:pos="851"/>
        </w:tabs>
        <w:spacing w:after="160" w:line="360" w:lineRule="auto"/>
        <w:ind w:right="333"/>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bCs/>
          <w:color w:val="000000"/>
          <w:sz w:val="24"/>
          <w:szCs w:val="24"/>
        </w:rPr>
        <w:t xml:space="preserve">Nociones generales. </w:t>
      </w:r>
    </w:p>
    <w:p w:rsidR="00AB16BB" w:rsidRDefault="001C491E">
      <w:pPr>
        <w:numPr>
          <w:ilvl w:val="0"/>
          <w:numId w:val="2"/>
        </w:numPr>
        <w:spacing w:line="360" w:lineRule="auto"/>
        <w:ind w:left="0" w:right="113"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Debe destacarse que, debido a la naturaleza de la información solicitada</w:t>
      </w:r>
      <w:r>
        <w:rPr>
          <w:rFonts w:ascii="Palatino Linotype" w:eastAsia="Palatino Linotype" w:hAnsi="Palatino Linotype" w:cs="Palatino Linotype"/>
          <w:b/>
          <w:bCs/>
          <w:color w:val="000000"/>
          <w:sz w:val="24"/>
          <w:szCs w:val="24"/>
        </w:rPr>
        <w:t xml:space="preserve">, </w:t>
      </w:r>
      <w:r>
        <w:rPr>
          <w:rFonts w:ascii="Palatino Linotype" w:eastAsia="Palatino Linotype" w:hAnsi="Palatino Linotype" w:cs="Palatino Linotype"/>
          <w:color w:val="000000"/>
          <w:sz w:val="24"/>
          <w:szCs w:val="24"/>
        </w:rPr>
        <w:t xml:space="preserve">eventualmente pudiera obrar datos personales susceptibles de protegerse, el </w:t>
      </w:r>
      <w:r>
        <w:rPr>
          <w:rFonts w:ascii="Palatino Linotype" w:eastAsia="Palatino Linotype" w:hAnsi="Palatino Linotype" w:cs="Palatino Linotype"/>
          <w:b/>
          <w:bCs/>
          <w:color w:val="000000"/>
          <w:sz w:val="24"/>
          <w:szCs w:val="24"/>
        </w:rPr>
        <w:t xml:space="preserve">SUJETO OBLIGADO </w:t>
      </w:r>
      <w:r>
        <w:rPr>
          <w:rFonts w:ascii="Palatino Linotype" w:eastAsia="Palatino Linotype" w:hAnsi="Palatino Linotype" w:cs="Palatino Linotype"/>
          <w:color w:val="000000"/>
          <w:sz w:val="24"/>
          <w:szCs w:val="24"/>
        </w:rPr>
        <w:t xml:space="preserve">deberá de hacer la adecuada versión pública, protegiendo los datos que no son susceptibles de ser proporcionados. </w:t>
      </w:r>
    </w:p>
    <w:p w:rsidR="00AB16BB" w:rsidRDefault="00AB16BB">
      <w:pPr>
        <w:pBdr>
          <w:top w:val="nil"/>
          <w:left w:val="nil"/>
          <w:bottom w:val="nil"/>
          <w:right w:val="nil"/>
          <w:between w:val="nil"/>
        </w:pBdr>
        <w:spacing w:line="360" w:lineRule="auto"/>
        <w:ind w:right="113"/>
        <w:jc w:val="both"/>
        <w:rPr>
          <w:rFonts w:ascii="Palatino Linotype" w:eastAsia="Palatino Linotype" w:hAnsi="Palatino Linotype" w:cs="Palatino Linotype"/>
          <w:color w:val="000000"/>
          <w:sz w:val="24"/>
          <w:szCs w:val="24"/>
        </w:rPr>
      </w:pPr>
    </w:p>
    <w:p w:rsidR="00AB16BB" w:rsidRDefault="001C491E">
      <w:pPr>
        <w:numPr>
          <w:ilvl w:val="0"/>
          <w:numId w:val="2"/>
        </w:numPr>
        <w:spacing w:line="360" w:lineRule="auto"/>
        <w:ind w:left="0" w:right="113"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No pasa desapercibido para este Órgano Garante que los Sujetos Obligados 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AB16BB" w:rsidRDefault="00AB16BB">
      <w:pPr>
        <w:pBdr>
          <w:top w:val="nil"/>
          <w:left w:val="nil"/>
          <w:bottom w:val="nil"/>
          <w:right w:val="nil"/>
          <w:between w:val="nil"/>
        </w:pBdr>
        <w:tabs>
          <w:tab w:val="left" w:pos="851"/>
        </w:tabs>
        <w:spacing w:line="360" w:lineRule="auto"/>
        <w:ind w:right="333"/>
        <w:jc w:val="both"/>
        <w:rPr>
          <w:rFonts w:ascii="Palatino Linotype" w:eastAsia="Palatino Linotype" w:hAnsi="Palatino Linotype" w:cs="Palatino Linotype"/>
          <w:color w:val="000000"/>
          <w:sz w:val="24"/>
          <w:szCs w:val="24"/>
        </w:rPr>
      </w:pPr>
    </w:p>
    <w:tbl>
      <w:tblPr>
        <w:tblStyle w:val="a"/>
        <w:tblW w:w="1015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0"/>
        <w:gridCol w:w="7208"/>
      </w:tblGrid>
      <w:tr w:rsidR="00AB16BB" w:rsidTr="006414EA">
        <w:tc>
          <w:tcPr>
            <w:tcW w:w="2950" w:type="dxa"/>
          </w:tcPr>
          <w:p w:rsidR="00AB16BB" w:rsidRDefault="001C491E" w:rsidP="006414EA">
            <w:pPr>
              <w:pBdr>
                <w:top w:val="nil"/>
                <w:left w:val="nil"/>
                <w:bottom w:val="nil"/>
                <w:right w:val="nil"/>
                <w:between w:val="nil"/>
              </w:pBdr>
              <w:tabs>
                <w:tab w:val="left" w:pos="851"/>
              </w:tabs>
              <w:spacing w:line="360" w:lineRule="auto"/>
              <w:ind w:right="333"/>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 Requisitos previos.</w:t>
            </w:r>
          </w:p>
        </w:tc>
        <w:tc>
          <w:tcPr>
            <w:tcW w:w="7208" w:type="dxa"/>
          </w:tcPr>
          <w:p w:rsidR="00AB16BB" w:rsidRDefault="001C491E">
            <w:pPr>
              <w:pBdr>
                <w:top w:val="nil"/>
                <w:left w:val="nil"/>
                <w:bottom w:val="nil"/>
                <w:right w:val="nil"/>
                <w:between w:val="nil"/>
              </w:pBdr>
              <w:tabs>
                <w:tab w:val="left" w:pos="851"/>
              </w:tabs>
              <w:spacing w:line="360" w:lineRule="auto"/>
              <w:ind w:right="333"/>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Los artículos 100 y 122 de la Ley Estatal y de la Ley General, vigente al momento de interponer la solicitud de información, respectivamente, señalan que si los Sujetos Obligados determinan que la información actualiza alguno de los supuestos de clasificación, es deber de los titulares de las áreas proponer su clasificación y no del Comité de Transparencia. </w:t>
            </w:r>
          </w:p>
          <w:p w:rsidR="00AB16BB" w:rsidRDefault="001C491E">
            <w:pPr>
              <w:pBdr>
                <w:top w:val="nil"/>
                <w:left w:val="nil"/>
                <w:bottom w:val="nil"/>
                <w:right w:val="nil"/>
                <w:between w:val="nil"/>
              </w:pBdr>
              <w:tabs>
                <w:tab w:val="left" w:pos="851"/>
              </w:tabs>
              <w:spacing w:line="360" w:lineRule="auto"/>
              <w:ind w:right="333"/>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Al hacerlo tienen que precisar de qué información se trata, señalando el supuesto de clasificación (confidencialidad o reserva).</w:t>
            </w:r>
          </w:p>
          <w:p w:rsidR="00AB16BB" w:rsidRDefault="001C491E">
            <w:pPr>
              <w:pBdr>
                <w:top w:val="nil"/>
                <w:left w:val="nil"/>
                <w:bottom w:val="nil"/>
                <w:right w:val="nil"/>
                <w:between w:val="nil"/>
              </w:pBdr>
              <w:tabs>
                <w:tab w:val="left" w:pos="851"/>
              </w:tabs>
              <w:spacing w:line="360" w:lineRule="auto"/>
              <w:ind w:right="333"/>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Además, se debe señalar el procedimiento, de los tres que establecen los artículos 132 y 106 de la Ley Estatal y General vigente al momento de interponer la solicitud de información, respectivamente.</w:t>
            </w:r>
          </w:p>
          <w:p w:rsidR="00AB16BB" w:rsidRDefault="00AB16BB">
            <w:pPr>
              <w:pBdr>
                <w:top w:val="nil"/>
                <w:left w:val="nil"/>
                <w:bottom w:val="nil"/>
                <w:right w:val="nil"/>
                <w:between w:val="nil"/>
              </w:pBdr>
              <w:tabs>
                <w:tab w:val="left" w:pos="851"/>
              </w:tabs>
              <w:spacing w:line="360" w:lineRule="auto"/>
              <w:ind w:right="333"/>
              <w:jc w:val="both"/>
              <w:rPr>
                <w:rFonts w:ascii="Palatino Linotype" w:eastAsia="Palatino Linotype" w:hAnsi="Palatino Linotype" w:cs="Palatino Linotype"/>
                <w:color w:val="000000"/>
                <w:sz w:val="24"/>
                <w:szCs w:val="24"/>
              </w:rPr>
            </w:pPr>
          </w:p>
          <w:p w:rsidR="00AB16BB" w:rsidRDefault="001C491E">
            <w:pPr>
              <w:pBdr>
                <w:top w:val="nil"/>
                <w:left w:val="nil"/>
                <w:bottom w:val="nil"/>
                <w:right w:val="nil"/>
                <w:between w:val="nil"/>
              </w:pBdr>
              <w:tabs>
                <w:tab w:val="left" w:pos="851"/>
              </w:tabs>
              <w:spacing w:line="360" w:lineRule="auto"/>
              <w:ind w:right="333"/>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El último de estos requisitos previos consiste en que no se pueden emitir acuerdos de carácter general ni particular, esto es, </w:t>
            </w:r>
            <w:r>
              <w:rPr>
                <w:rFonts w:ascii="Palatino Linotype" w:eastAsia="Palatino Linotype" w:hAnsi="Palatino Linotype" w:cs="Palatino Linotype"/>
                <w:color w:val="000000"/>
                <w:sz w:val="24"/>
                <w:szCs w:val="24"/>
                <w:u w:val="single"/>
              </w:rPr>
              <w:t>no se puede hacer un acuerdo para clasificar de manera general todos los documentos de un expediente o área, sin</w:t>
            </w:r>
            <w:r>
              <w:rPr>
                <w:rFonts w:ascii="Palatino Linotype" w:eastAsia="Palatino Linotype" w:hAnsi="Palatino Linotype" w:cs="Palatino Linotype"/>
                <w:color w:val="000000"/>
                <w:sz w:val="24"/>
                <w:szCs w:val="24"/>
              </w:rPr>
              <w:t xml:space="preserve"> individualizar su análisis y tampoco se puede hacer un acuerdo por cada dato que se vaya a clasificar dentro de un documento con diez datos, por ejemplo, susceptibles de ser clasificados.</w:t>
            </w:r>
          </w:p>
        </w:tc>
      </w:tr>
      <w:tr w:rsidR="00AB16BB" w:rsidTr="006414EA">
        <w:tc>
          <w:tcPr>
            <w:tcW w:w="2950" w:type="dxa"/>
          </w:tcPr>
          <w:p w:rsidR="00AB16BB" w:rsidRDefault="001C491E" w:rsidP="006414EA">
            <w:pPr>
              <w:pBdr>
                <w:top w:val="nil"/>
                <w:left w:val="nil"/>
                <w:bottom w:val="nil"/>
                <w:right w:val="nil"/>
                <w:between w:val="nil"/>
              </w:pBdr>
              <w:tabs>
                <w:tab w:val="left" w:pos="851"/>
              </w:tabs>
              <w:spacing w:line="360" w:lineRule="auto"/>
              <w:ind w:right="333"/>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b) Supuestos de clasificación.</w:t>
            </w:r>
          </w:p>
        </w:tc>
        <w:tc>
          <w:tcPr>
            <w:tcW w:w="7208" w:type="dxa"/>
          </w:tcPr>
          <w:p w:rsidR="00AB16BB" w:rsidRDefault="001C491E">
            <w:pPr>
              <w:pBdr>
                <w:top w:val="nil"/>
                <w:left w:val="nil"/>
                <w:bottom w:val="nil"/>
                <w:right w:val="nil"/>
                <w:between w:val="nil"/>
              </w:pBdr>
              <w:tabs>
                <w:tab w:val="left" w:pos="851"/>
              </w:tabs>
              <w:spacing w:line="360" w:lineRule="auto"/>
              <w:ind w:right="333"/>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Las disposiciones constitucionales y legales en la materia establecen los dos supuestos generales para clasificar la información: por reserva y por confidencialidad.</w:t>
            </w:r>
          </w:p>
          <w:p w:rsidR="00AB16BB" w:rsidRDefault="001C491E">
            <w:pPr>
              <w:pBdr>
                <w:top w:val="nil"/>
                <w:left w:val="nil"/>
                <w:bottom w:val="nil"/>
                <w:right w:val="nil"/>
                <w:between w:val="nil"/>
              </w:pBdr>
              <w:tabs>
                <w:tab w:val="left" w:pos="851"/>
              </w:tabs>
              <w:spacing w:line="360" w:lineRule="auto"/>
              <w:ind w:right="333"/>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Los artículos 116 y 143 de la Ley Estatal y de la Ley General, vigente al momento de interponer la solicitud de información, respectivamente, señalan los supuestos para que la información pueda ser clasificada como confidencial. Mientras que los artículos 105 y 130 de la Ley Estatal y de la Ley General, vigente </w:t>
            </w:r>
            <w:r>
              <w:rPr>
                <w:rFonts w:ascii="Palatino Linotype" w:eastAsia="Palatino Linotype" w:hAnsi="Palatino Linotype" w:cs="Palatino Linotype"/>
                <w:color w:val="000000"/>
                <w:sz w:val="24"/>
                <w:szCs w:val="24"/>
              </w:rPr>
              <w:lastRenderedPageBreak/>
              <w:t>al momento de interponer la solicitud de información,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AB16BB" w:rsidRDefault="001C491E">
            <w:pPr>
              <w:pBdr>
                <w:top w:val="nil"/>
                <w:left w:val="nil"/>
                <w:bottom w:val="nil"/>
                <w:right w:val="nil"/>
                <w:between w:val="nil"/>
              </w:pBdr>
              <w:tabs>
                <w:tab w:val="left" w:pos="851"/>
              </w:tabs>
              <w:spacing w:line="360" w:lineRule="auto"/>
              <w:ind w:right="333"/>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El </w:t>
            </w:r>
            <w:r>
              <w:rPr>
                <w:rFonts w:ascii="Palatino Linotype" w:eastAsia="Palatino Linotype" w:hAnsi="Palatino Linotype" w:cs="Palatino Linotype"/>
                <w:b/>
                <w:bCs/>
                <w:color w:val="000000"/>
                <w:sz w:val="24"/>
                <w:szCs w:val="24"/>
              </w:rPr>
              <w:t>Sujeto Obligado</w:t>
            </w:r>
            <w:r>
              <w:rPr>
                <w:rFonts w:ascii="Palatino Linotype" w:eastAsia="Palatino Linotype" w:hAnsi="Palatino Linotype" w:cs="Palatino Linotype"/>
                <w:color w:val="000000"/>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AB16BB" w:rsidTr="006414EA">
        <w:tc>
          <w:tcPr>
            <w:tcW w:w="2950" w:type="dxa"/>
          </w:tcPr>
          <w:p w:rsidR="00AB16BB" w:rsidRDefault="001C491E">
            <w:pPr>
              <w:pBdr>
                <w:top w:val="nil"/>
                <w:left w:val="nil"/>
                <w:bottom w:val="nil"/>
                <w:right w:val="nil"/>
                <w:between w:val="nil"/>
              </w:pBdr>
              <w:tabs>
                <w:tab w:val="left" w:pos="851"/>
              </w:tabs>
              <w:spacing w:line="360" w:lineRule="auto"/>
              <w:ind w:right="333"/>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c) Formalidades para emitir el acuerdo de clasificación.</w:t>
            </w:r>
          </w:p>
        </w:tc>
        <w:tc>
          <w:tcPr>
            <w:tcW w:w="7208" w:type="dxa"/>
          </w:tcPr>
          <w:p w:rsidR="00AB16BB" w:rsidRDefault="001C491E">
            <w:pPr>
              <w:pBdr>
                <w:top w:val="nil"/>
                <w:left w:val="nil"/>
                <w:bottom w:val="nil"/>
                <w:right w:val="nil"/>
                <w:between w:val="nil"/>
              </w:pBdr>
              <w:tabs>
                <w:tab w:val="left" w:pos="851"/>
              </w:tabs>
              <w:spacing w:line="360" w:lineRule="auto"/>
              <w:ind w:right="333"/>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El Comité de Transparencia, según lo dispuesto en los artículos cuenta con las facultades para aprobar, modificar o revocar la clasificación de la información que haya propuesto. </w:t>
            </w:r>
          </w:p>
          <w:p w:rsidR="00AB16BB" w:rsidRDefault="001C491E">
            <w:pPr>
              <w:pBdr>
                <w:top w:val="nil"/>
                <w:left w:val="nil"/>
                <w:bottom w:val="nil"/>
                <w:right w:val="nil"/>
                <w:between w:val="nil"/>
              </w:pBdr>
              <w:tabs>
                <w:tab w:val="left" w:pos="851"/>
              </w:tabs>
              <w:spacing w:line="360" w:lineRule="auto"/>
              <w:ind w:right="333"/>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Es necesario que </w:t>
            </w:r>
            <w:r>
              <w:rPr>
                <w:rFonts w:ascii="Palatino Linotype" w:eastAsia="Palatino Linotype" w:hAnsi="Palatino Linotype" w:cs="Palatino Linotype"/>
                <w:b/>
                <w:bCs/>
                <w:color w:val="000000"/>
                <w:sz w:val="24"/>
                <w:szCs w:val="24"/>
                <w:u w:val="single"/>
              </w:rPr>
              <w:t>el acto reúna con los requisitos elementales</w:t>
            </w:r>
            <w:r>
              <w:rPr>
                <w:rFonts w:ascii="Palatino Linotype" w:eastAsia="Palatino Linotype" w:hAnsi="Palatino Linotype" w:cs="Palatino Linotype"/>
                <w:color w:val="000000"/>
                <w:sz w:val="24"/>
                <w:szCs w:val="24"/>
              </w:rPr>
              <w:t>, entre ellos, que la autoridad que va a emitir el acto de autoridad sea la legalmente facultada para ello.</w:t>
            </w:r>
          </w:p>
          <w:p w:rsidR="00AB16BB" w:rsidRDefault="001C491E">
            <w:pPr>
              <w:pBdr>
                <w:top w:val="nil"/>
                <w:left w:val="nil"/>
                <w:bottom w:val="nil"/>
                <w:right w:val="nil"/>
                <w:between w:val="nil"/>
              </w:pBdr>
              <w:tabs>
                <w:tab w:val="left" w:pos="851"/>
              </w:tabs>
              <w:spacing w:line="360" w:lineRule="auto"/>
              <w:ind w:right="333"/>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w:t>
            </w:r>
            <w:r>
              <w:rPr>
                <w:rFonts w:ascii="Palatino Linotype" w:eastAsia="Palatino Linotype" w:hAnsi="Palatino Linotype" w:cs="Palatino Linotype"/>
                <w:color w:val="000000"/>
                <w:sz w:val="24"/>
                <w:szCs w:val="24"/>
              </w:rPr>
              <w:lastRenderedPageBreak/>
              <w:t>agenda de los asuntos a tratar en las sesiones, se insiste, a partir de las decisiones adoptadas previamente por los titulares de áreas y que son sujetas a control, en primera instancia, por el Comité de Transparencia.</w:t>
            </w:r>
          </w:p>
        </w:tc>
      </w:tr>
      <w:tr w:rsidR="00AB16BB" w:rsidTr="006414EA">
        <w:tc>
          <w:tcPr>
            <w:tcW w:w="2950" w:type="dxa"/>
          </w:tcPr>
          <w:p w:rsidR="00AB16BB" w:rsidRDefault="00AB16BB">
            <w:pPr>
              <w:pBdr>
                <w:top w:val="nil"/>
                <w:left w:val="nil"/>
                <w:bottom w:val="nil"/>
                <w:right w:val="nil"/>
                <w:between w:val="nil"/>
              </w:pBdr>
              <w:tabs>
                <w:tab w:val="left" w:pos="851"/>
              </w:tabs>
              <w:spacing w:line="360" w:lineRule="auto"/>
              <w:ind w:right="333"/>
              <w:jc w:val="both"/>
              <w:rPr>
                <w:rFonts w:ascii="Palatino Linotype" w:eastAsia="Palatino Linotype" w:hAnsi="Palatino Linotype" w:cs="Palatino Linotype"/>
                <w:color w:val="000000"/>
                <w:sz w:val="24"/>
                <w:szCs w:val="24"/>
              </w:rPr>
            </w:pPr>
          </w:p>
          <w:p w:rsidR="00AB16BB" w:rsidRDefault="001C491E">
            <w:pPr>
              <w:pBdr>
                <w:top w:val="nil"/>
                <w:left w:val="nil"/>
                <w:bottom w:val="nil"/>
                <w:right w:val="nil"/>
                <w:between w:val="nil"/>
              </w:pBdr>
              <w:tabs>
                <w:tab w:val="left" w:pos="851"/>
              </w:tabs>
              <w:spacing w:line="360" w:lineRule="auto"/>
              <w:ind w:right="333"/>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 Requisitos de fondo del acuerdo de clasificación. </w:t>
            </w:r>
          </w:p>
        </w:tc>
        <w:tc>
          <w:tcPr>
            <w:tcW w:w="7208" w:type="dxa"/>
          </w:tcPr>
          <w:p w:rsidR="00AB16BB" w:rsidRDefault="001C491E">
            <w:pPr>
              <w:pBdr>
                <w:top w:val="nil"/>
                <w:left w:val="nil"/>
                <w:bottom w:val="nil"/>
                <w:right w:val="nil"/>
                <w:between w:val="nil"/>
              </w:pBdr>
              <w:tabs>
                <w:tab w:val="left" w:pos="851"/>
              </w:tabs>
              <w:spacing w:line="360" w:lineRule="auto"/>
              <w:ind w:right="333"/>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Pr>
                <w:rFonts w:ascii="Palatino Linotype" w:eastAsia="Palatino Linotype" w:hAnsi="Palatino Linotype" w:cs="Palatino Linotype"/>
                <w:b/>
                <w:bCs/>
                <w:color w:val="000000"/>
                <w:sz w:val="24"/>
                <w:szCs w:val="24"/>
              </w:rPr>
              <w:t>Sujetos Obligados</w:t>
            </w:r>
            <w:r>
              <w:rPr>
                <w:rFonts w:ascii="Palatino Linotype" w:eastAsia="Palatino Linotype" w:hAnsi="Palatino Linotype" w:cs="Palatino Linotype"/>
                <w:color w:val="000000"/>
                <w:sz w:val="24"/>
                <w:szCs w:val="24"/>
              </w:rPr>
              <w:t xml:space="preserve">, por lo que deberán fundar y motivar debidamente la clasificación. </w:t>
            </w:r>
          </w:p>
          <w:p w:rsidR="00AB16BB" w:rsidRDefault="001C491E">
            <w:pPr>
              <w:pBdr>
                <w:top w:val="nil"/>
                <w:left w:val="nil"/>
                <w:bottom w:val="nil"/>
                <w:right w:val="nil"/>
                <w:between w:val="nil"/>
              </w:pBdr>
              <w:tabs>
                <w:tab w:val="left" w:pos="851"/>
              </w:tabs>
              <w:spacing w:line="360" w:lineRule="auto"/>
              <w:ind w:right="333"/>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De lo anterior, se desprende que para una correcta </w:t>
            </w:r>
            <w:r>
              <w:rPr>
                <w:rFonts w:ascii="Palatino Linotype" w:eastAsia="Palatino Linotype" w:hAnsi="Palatino Linotype" w:cs="Palatino Linotype"/>
                <w:b/>
                <w:bCs/>
                <w:color w:val="000000"/>
                <w:sz w:val="24"/>
                <w:szCs w:val="24"/>
              </w:rPr>
              <w:t>clasificación total o parcial</w:t>
            </w:r>
            <w:r>
              <w:rPr>
                <w:rFonts w:ascii="Palatino Linotype" w:eastAsia="Palatino Linotype" w:hAnsi="Palatino Linotype" w:cs="Palatino Linotype"/>
                <w:color w:val="000000"/>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AB16BB" w:rsidRDefault="001C491E">
            <w:pPr>
              <w:pBdr>
                <w:top w:val="nil"/>
                <w:left w:val="nil"/>
                <w:bottom w:val="nil"/>
                <w:right w:val="nil"/>
                <w:between w:val="nil"/>
              </w:pBdr>
              <w:tabs>
                <w:tab w:val="left" w:pos="851"/>
              </w:tabs>
              <w:spacing w:line="360" w:lineRule="auto"/>
              <w:ind w:right="333"/>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Así, en un acto de autoridad se cumple con la debida fundamentación cuando se cita el precepto legal aplicable al caso concreto y la debida motivación cuando se expresan las razones, motivos o circunstancias que tomó en cuenta la </w:t>
            </w:r>
            <w:r>
              <w:rPr>
                <w:rFonts w:ascii="Palatino Linotype" w:eastAsia="Palatino Linotype" w:hAnsi="Palatino Linotype" w:cs="Palatino Linotype"/>
                <w:color w:val="000000"/>
                <w:sz w:val="24"/>
                <w:szCs w:val="24"/>
              </w:rPr>
              <w:lastRenderedPageBreak/>
              <w:t>autoridad para adecuar el hecho a los fundamentos de derecho. De este modo, la persona que se sienta afectada pueda impugnar la decisión, permitiéndole una real y auténtica defensa.</w:t>
            </w:r>
          </w:p>
          <w:p w:rsidR="00AB16BB" w:rsidRDefault="001C491E">
            <w:pPr>
              <w:pBdr>
                <w:top w:val="nil"/>
                <w:left w:val="nil"/>
                <w:bottom w:val="nil"/>
                <w:right w:val="nil"/>
                <w:between w:val="nil"/>
              </w:pBdr>
              <w:tabs>
                <w:tab w:val="left" w:pos="851"/>
              </w:tabs>
              <w:spacing w:line="360" w:lineRule="auto"/>
              <w:ind w:right="333"/>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En ese mismo sentido, el numeral trigésimo tercero fracción V de los Lineamientos Generales, precisa que para motivar la clasificación se deben acreditar las circunstancias de tiempo, modo y lugar.</w:t>
            </w:r>
          </w:p>
          <w:p w:rsidR="00AB16BB" w:rsidRDefault="001C491E">
            <w:pPr>
              <w:pBdr>
                <w:top w:val="nil"/>
                <w:left w:val="nil"/>
                <w:bottom w:val="nil"/>
                <w:right w:val="nil"/>
                <w:between w:val="nil"/>
              </w:pBdr>
              <w:tabs>
                <w:tab w:val="left" w:pos="851"/>
              </w:tabs>
              <w:spacing w:line="360" w:lineRule="auto"/>
              <w:ind w:right="333"/>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Ahora bien, </w:t>
            </w:r>
            <w:r>
              <w:rPr>
                <w:rFonts w:ascii="Palatino Linotype" w:eastAsia="Palatino Linotype" w:hAnsi="Palatino Linotype" w:cs="Palatino Linotype"/>
                <w:b/>
                <w:bCs/>
                <w:color w:val="000000"/>
                <w:sz w:val="24"/>
                <w:szCs w:val="24"/>
                <w:u w:val="single"/>
              </w:rPr>
              <w:t>para cada caso además de fundar y motivar</w:t>
            </w:r>
            <w:r>
              <w:rPr>
                <w:rFonts w:ascii="Palatino Linotype" w:eastAsia="Palatino Linotype" w:hAnsi="Palatino Linotype" w:cs="Palatino Linotype"/>
                <w:color w:val="000000"/>
                <w:sz w:val="24"/>
                <w:szCs w:val="24"/>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AB16BB" w:rsidTr="006414EA">
        <w:tc>
          <w:tcPr>
            <w:tcW w:w="2950" w:type="dxa"/>
          </w:tcPr>
          <w:p w:rsidR="00AB16BB" w:rsidRDefault="001C491E" w:rsidP="006414EA">
            <w:pPr>
              <w:pBdr>
                <w:top w:val="nil"/>
                <w:left w:val="nil"/>
                <w:bottom w:val="nil"/>
                <w:right w:val="nil"/>
                <w:between w:val="nil"/>
              </w:pBdr>
              <w:tabs>
                <w:tab w:val="left" w:pos="851"/>
              </w:tabs>
              <w:spacing w:line="360" w:lineRule="auto"/>
              <w:ind w:right="333"/>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e) Condiciones especiales de la clasificación de la información como confidencial. </w:t>
            </w:r>
          </w:p>
        </w:tc>
        <w:tc>
          <w:tcPr>
            <w:tcW w:w="7208" w:type="dxa"/>
          </w:tcPr>
          <w:p w:rsidR="00AB16BB" w:rsidRDefault="001C491E">
            <w:pPr>
              <w:pBdr>
                <w:top w:val="nil"/>
                <w:left w:val="nil"/>
                <w:bottom w:val="nil"/>
                <w:right w:val="nil"/>
                <w:between w:val="nil"/>
              </w:pBdr>
              <w:tabs>
                <w:tab w:val="left" w:pos="851"/>
              </w:tabs>
              <w:spacing w:line="360" w:lineRule="auto"/>
              <w:ind w:right="333"/>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Los artículos 148 y 120 de la Ley Estatal y de la Ley General vigente al momento de interponer la solicitud de información, respectivamente, establecen que aun tratándose de datos personales, se podrán proporcionar, incluso sin solicitar el consentimiento de su titular. </w:t>
            </w:r>
          </w:p>
          <w:p w:rsidR="00AB16BB" w:rsidRDefault="001C491E">
            <w:pPr>
              <w:pBdr>
                <w:top w:val="nil"/>
                <w:left w:val="nil"/>
                <w:bottom w:val="nil"/>
                <w:right w:val="nil"/>
                <w:between w:val="nil"/>
              </w:pBdr>
              <w:tabs>
                <w:tab w:val="left" w:pos="851"/>
              </w:tabs>
              <w:spacing w:line="360" w:lineRule="auto"/>
              <w:ind w:right="333"/>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el caso de lo señalado en la fracción IV, será el Instituto quien deba aplicar la prueba de interés público, considerando </w:t>
            </w:r>
            <w:r>
              <w:rPr>
                <w:rFonts w:ascii="Palatino Linotype" w:eastAsia="Palatino Linotype" w:hAnsi="Palatino Linotype" w:cs="Palatino Linotype"/>
                <w:color w:val="000000"/>
                <w:sz w:val="24"/>
                <w:szCs w:val="24"/>
              </w:rPr>
              <w:lastRenderedPageBreak/>
              <w:t xml:space="preserve">también que como recientemente ha discutido la Suprema Corte de Justicia de la Nación, los servidores públicos nos encontramos sujetos a un régimen menor de protección. </w:t>
            </w:r>
          </w:p>
          <w:p w:rsidR="00AB16BB" w:rsidRDefault="001C491E">
            <w:pPr>
              <w:pBdr>
                <w:top w:val="nil"/>
                <w:left w:val="nil"/>
                <w:bottom w:val="nil"/>
                <w:right w:val="nil"/>
                <w:between w:val="nil"/>
              </w:pBdr>
              <w:tabs>
                <w:tab w:val="left" w:pos="851"/>
              </w:tabs>
              <w:spacing w:line="360" w:lineRule="auto"/>
              <w:ind w:right="333"/>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AB16BB" w:rsidRDefault="00AB16BB">
      <w:pPr>
        <w:spacing w:line="360" w:lineRule="auto"/>
        <w:ind w:right="49"/>
        <w:jc w:val="both"/>
        <w:rPr>
          <w:color w:val="000000"/>
          <w:sz w:val="24"/>
          <w:szCs w:val="24"/>
        </w:rPr>
      </w:pPr>
      <w:bookmarkStart w:id="10" w:name="_heading=h.4d34og8" w:colFirst="0" w:colLast="0"/>
      <w:bookmarkEnd w:id="10"/>
    </w:p>
    <w:p w:rsidR="00AB16BB" w:rsidRDefault="001C491E">
      <w:pPr>
        <w:numPr>
          <w:ilvl w:val="0"/>
          <w:numId w:val="2"/>
        </w:numPr>
        <w:spacing w:line="360" w:lineRule="auto"/>
        <w:ind w:left="0" w:right="49" w:firstLine="0"/>
        <w:jc w:val="both"/>
        <w:rPr>
          <w:color w:val="000000"/>
          <w:sz w:val="24"/>
          <w:szCs w:val="24"/>
        </w:rPr>
      </w:pPr>
      <w:r>
        <w:rPr>
          <w:rFonts w:ascii="Palatino Linotype" w:eastAsia="Palatino Linotype" w:hAnsi="Palatino Linotype" w:cs="Palatino Linotype"/>
          <w:sz w:val="24"/>
          <w:szCs w:val="24"/>
        </w:rPr>
        <w:t>Por lo anteriormente expuesto, este Órgano Garante considera parcialmente fundadas las razones o motivos de inconformidad que plantea el</w:t>
      </w:r>
      <w:r>
        <w:rPr>
          <w:rFonts w:ascii="Palatino Linotype" w:eastAsia="Palatino Linotype" w:hAnsi="Palatino Linotype" w:cs="Palatino Linotype"/>
          <w:b/>
          <w:bCs/>
          <w:sz w:val="24"/>
          <w:szCs w:val="24"/>
        </w:rPr>
        <w:t xml:space="preserve"> RECURRENTE</w:t>
      </w:r>
      <w:r>
        <w:rPr>
          <w:rFonts w:ascii="Palatino Linotype" w:eastAsia="Palatino Linotype" w:hAnsi="Palatino Linotype" w:cs="Palatino Linotype"/>
          <w:sz w:val="24"/>
          <w:szCs w:val="24"/>
        </w:rPr>
        <w:t xml:space="preserve">, determinando </w:t>
      </w:r>
      <w:r>
        <w:rPr>
          <w:rFonts w:ascii="Palatino Linotype" w:eastAsia="Palatino Linotype" w:hAnsi="Palatino Linotype" w:cs="Palatino Linotype"/>
          <w:b/>
          <w:bCs/>
          <w:smallCaps/>
          <w:sz w:val="24"/>
          <w:szCs w:val="24"/>
        </w:rPr>
        <w:t xml:space="preserve">REVOCAR  </w:t>
      </w:r>
      <w:r>
        <w:rPr>
          <w:rFonts w:ascii="Palatino Linotype" w:eastAsia="Palatino Linotype" w:hAnsi="Palatino Linotype" w:cs="Palatino Linotype"/>
          <w:sz w:val="24"/>
          <w:szCs w:val="24"/>
        </w:rPr>
        <w:t xml:space="preserve">la respuesta del </w:t>
      </w:r>
      <w:r>
        <w:rPr>
          <w:rFonts w:ascii="Palatino Linotype" w:eastAsia="Palatino Linotype" w:hAnsi="Palatino Linotype" w:cs="Palatino Linotype"/>
          <w:b/>
          <w:bCs/>
          <w:sz w:val="24"/>
          <w:szCs w:val="24"/>
        </w:rPr>
        <w:t>SUJETO OBLIGADO</w:t>
      </w:r>
      <w:r>
        <w:rPr>
          <w:rFonts w:ascii="Palatino Linotype" w:eastAsia="Palatino Linotype" w:hAnsi="Palatino Linotype" w:cs="Palatino Linotype"/>
          <w:sz w:val="24"/>
          <w:szCs w:val="24"/>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Pr>
          <w:rFonts w:ascii="Palatino Linotype" w:eastAsia="Palatino Linotype" w:hAnsi="Palatino Linotype" w:cs="Palatino Linotype"/>
          <w:color w:val="000000"/>
          <w:sz w:val="24"/>
          <w:szCs w:val="24"/>
        </w:rPr>
        <w:t xml:space="preserve">este </w:t>
      </w:r>
      <w:r>
        <w:rPr>
          <w:rFonts w:ascii="Palatino Linotype" w:eastAsia="Palatino Linotype" w:hAnsi="Palatino Linotype" w:cs="Palatino Linotype"/>
          <w:b/>
          <w:bCs/>
          <w:color w:val="000000"/>
          <w:sz w:val="24"/>
          <w:szCs w:val="24"/>
        </w:rPr>
        <w:t>ÓRGANO GARANTE</w:t>
      </w:r>
      <w:r>
        <w:rPr>
          <w:rFonts w:ascii="Palatino Linotype" w:eastAsia="Palatino Linotype" w:hAnsi="Palatino Linotype" w:cs="Palatino Linotype"/>
          <w:color w:val="000000"/>
          <w:sz w:val="24"/>
          <w:szCs w:val="24"/>
        </w:rPr>
        <w:t xml:space="preserve"> emite los siguientes.</w:t>
      </w:r>
    </w:p>
    <w:p w:rsidR="00AB16BB" w:rsidRDefault="00AB16BB">
      <w:pPr>
        <w:spacing w:line="360" w:lineRule="auto"/>
        <w:ind w:right="113"/>
        <w:jc w:val="both"/>
        <w:rPr>
          <w:rFonts w:ascii="Palatino Linotype" w:eastAsia="Palatino Linotype" w:hAnsi="Palatino Linotype" w:cs="Palatino Linotype"/>
          <w:i/>
          <w:iCs/>
          <w:color w:val="000000"/>
          <w:sz w:val="24"/>
          <w:szCs w:val="24"/>
        </w:rPr>
      </w:pPr>
    </w:p>
    <w:p w:rsidR="00AB16BB" w:rsidRDefault="00AB16BB">
      <w:pPr>
        <w:pBdr>
          <w:top w:val="nil"/>
          <w:left w:val="nil"/>
          <w:bottom w:val="nil"/>
          <w:right w:val="nil"/>
          <w:between w:val="nil"/>
        </w:pBdr>
        <w:ind w:left="720" w:right="113"/>
        <w:rPr>
          <w:rFonts w:ascii="Palatino Linotype" w:eastAsia="Palatino Linotype" w:hAnsi="Palatino Linotype" w:cs="Palatino Linotype"/>
          <w:color w:val="000000"/>
          <w:sz w:val="24"/>
          <w:szCs w:val="24"/>
        </w:rPr>
      </w:pPr>
    </w:p>
    <w:p w:rsidR="00AB16BB" w:rsidRDefault="001C491E">
      <w:pPr>
        <w:pStyle w:val="Ttulo1"/>
        <w:spacing w:before="0" w:line="360" w:lineRule="auto"/>
        <w:ind w:right="113"/>
        <w:jc w:val="center"/>
        <w:rPr>
          <w:rFonts w:ascii="Palatino Linotype" w:eastAsia="Palatino Linotype" w:hAnsi="Palatino Linotype" w:cs="Palatino Linotype"/>
          <w:b/>
          <w:bCs/>
          <w:color w:val="000000"/>
          <w:sz w:val="24"/>
          <w:szCs w:val="24"/>
        </w:rPr>
      </w:pPr>
      <w:r>
        <w:rPr>
          <w:rFonts w:ascii="Palatino Linotype" w:eastAsia="Palatino Linotype" w:hAnsi="Palatino Linotype" w:cs="Palatino Linotype"/>
          <w:b/>
          <w:bCs/>
          <w:color w:val="000000"/>
          <w:sz w:val="24"/>
          <w:szCs w:val="24"/>
        </w:rPr>
        <w:t>R E S O L U T I V O S</w:t>
      </w:r>
    </w:p>
    <w:p w:rsidR="00AB16BB" w:rsidRDefault="00AB16BB">
      <w:pPr>
        <w:spacing w:line="360" w:lineRule="auto"/>
        <w:ind w:right="113"/>
        <w:rPr>
          <w:rFonts w:ascii="Palatino Linotype" w:eastAsia="Palatino Linotype" w:hAnsi="Palatino Linotype" w:cs="Palatino Linotype"/>
          <w:sz w:val="24"/>
          <w:szCs w:val="24"/>
        </w:rPr>
      </w:pPr>
    </w:p>
    <w:p w:rsidR="00AB16BB" w:rsidRDefault="001C491E">
      <w:pPr>
        <w:spacing w:line="360" w:lineRule="auto"/>
        <w:ind w:right="113"/>
        <w:jc w:val="both"/>
        <w:rPr>
          <w:rFonts w:ascii="Palatino Linotype" w:eastAsia="Palatino Linotype" w:hAnsi="Palatino Linotype" w:cs="Palatino Linotype"/>
          <w:sz w:val="24"/>
          <w:szCs w:val="24"/>
        </w:rPr>
      </w:pPr>
      <w:r>
        <w:rPr>
          <w:rFonts w:ascii="Palatino Linotype" w:eastAsia="Palatino Linotype" w:hAnsi="Palatino Linotype" w:cs="Palatino Linotype"/>
          <w:b/>
          <w:bCs/>
          <w:sz w:val="24"/>
          <w:szCs w:val="24"/>
        </w:rPr>
        <w:t>PRIMERO</w:t>
      </w:r>
      <w:r>
        <w:rPr>
          <w:rFonts w:ascii="Palatino Linotype" w:eastAsia="Palatino Linotype" w:hAnsi="Palatino Linotype" w:cs="Palatino Linotype"/>
          <w:sz w:val="24"/>
          <w:szCs w:val="24"/>
        </w:rPr>
        <w:t>. Resultan fundadas las</w:t>
      </w:r>
      <w:r>
        <w:rPr>
          <w:rFonts w:ascii="Palatino Linotype" w:eastAsia="Palatino Linotype" w:hAnsi="Palatino Linotype" w:cs="Palatino Linotype"/>
          <w:b/>
          <w:bCs/>
          <w:sz w:val="24"/>
          <w:szCs w:val="24"/>
        </w:rPr>
        <w:t xml:space="preserve"> </w:t>
      </w:r>
      <w:r>
        <w:rPr>
          <w:rFonts w:ascii="Palatino Linotype" w:eastAsia="Palatino Linotype" w:hAnsi="Palatino Linotype" w:cs="Palatino Linotype"/>
          <w:sz w:val="24"/>
          <w:szCs w:val="24"/>
        </w:rPr>
        <w:t xml:space="preserve">razones o motivos de inconformidad hechos valer en el Recurso de Revisión </w:t>
      </w:r>
      <w:r>
        <w:rPr>
          <w:rFonts w:ascii="Palatino Linotype" w:eastAsia="Palatino Linotype" w:hAnsi="Palatino Linotype" w:cs="Palatino Linotype"/>
          <w:b/>
          <w:bCs/>
          <w:sz w:val="24"/>
          <w:szCs w:val="24"/>
        </w:rPr>
        <w:t xml:space="preserve">07723/INFOEM/IP/RR/2025, </w:t>
      </w:r>
      <w:r>
        <w:rPr>
          <w:rFonts w:ascii="Palatino Linotype" w:eastAsia="Palatino Linotype" w:hAnsi="Palatino Linotype" w:cs="Palatino Linotype"/>
          <w:sz w:val="24"/>
          <w:szCs w:val="24"/>
        </w:rPr>
        <w:t xml:space="preserve">en términos del </w:t>
      </w:r>
      <w:r>
        <w:rPr>
          <w:rFonts w:ascii="Palatino Linotype" w:eastAsia="Palatino Linotype" w:hAnsi="Palatino Linotype" w:cs="Palatino Linotype"/>
          <w:b/>
          <w:bCs/>
          <w:sz w:val="24"/>
          <w:szCs w:val="24"/>
        </w:rPr>
        <w:t xml:space="preserve">Considerando Cuarto </w:t>
      </w:r>
      <w:r>
        <w:rPr>
          <w:rFonts w:ascii="Palatino Linotype" w:eastAsia="Palatino Linotype" w:hAnsi="Palatino Linotype" w:cs="Palatino Linotype"/>
          <w:sz w:val="24"/>
          <w:szCs w:val="24"/>
        </w:rPr>
        <w:t>de la presente resolución.</w:t>
      </w:r>
    </w:p>
    <w:p w:rsidR="00AB16BB" w:rsidRDefault="001C491E">
      <w:pPr>
        <w:spacing w:line="360" w:lineRule="auto"/>
        <w:ind w:right="113"/>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bCs/>
          <w:sz w:val="24"/>
          <w:szCs w:val="24"/>
        </w:rPr>
        <w:lastRenderedPageBreak/>
        <w:t>SEGUNDO.</w:t>
      </w:r>
      <w:r>
        <w:rPr>
          <w:rFonts w:ascii="Palatino Linotype" w:eastAsia="Palatino Linotype" w:hAnsi="Palatino Linotype" w:cs="Palatino Linotype"/>
          <w:color w:val="2E75B5"/>
          <w:sz w:val="24"/>
          <w:szCs w:val="24"/>
        </w:rPr>
        <w:t xml:space="preserve"> </w:t>
      </w:r>
      <w:r>
        <w:rPr>
          <w:rFonts w:ascii="Palatino Linotype" w:eastAsia="Palatino Linotype" w:hAnsi="Palatino Linotype" w:cs="Palatino Linotype"/>
          <w:color w:val="000000"/>
          <w:sz w:val="24"/>
          <w:szCs w:val="24"/>
        </w:rPr>
        <w:t xml:space="preserve">Se </w:t>
      </w:r>
      <w:r>
        <w:rPr>
          <w:rFonts w:ascii="Palatino Linotype" w:eastAsia="Palatino Linotype" w:hAnsi="Palatino Linotype" w:cs="Palatino Linotype"/>
          <w:b/>
          <w:bCs/>
          <w:color w:val="000000"/>
          <w:sz w:val="24"/>
          <w:szCs w:val="24"/>
        </w:rPr>
        <w:t xml:space="preserve">REVOCA </w:t>
      </w:r>
      <w:r>
        <w:rPr>
          <w:rFonts w:ascii="Palatino Linotype" w:eastAsia="Palatino Linotype" w:hAnsi="Palatino Linotype" w:cs="Palatino Linotype"/>
          <w:color w:val="000000"/>
          <w:sz w:val="24"/>
          <w:szCs w:val="24"/>
        </w:rPr>
        <w:t xml:space="preserve">la respuesta emitida por el </w:t>
      </w:r>
      <w:r>
        <w:rPr>
          <w:rFonts w:ascii="Palatino Linotype" w:eastAsia="Palatino Linotype" w:hAnsi="Palatino Linotype" w:cs="Palatino Linotype"/>
          <w:b/>
          <w:bCs/>
          <w:color w:val="000000"/>
          <w:sz w:val="24"/>
          <w:szCs w:val="24"/>
        </w:rPr>
        <w:t xml:space="preserve">Ayuntamiento de Toluca </w:t>
      </w:r>
      <w:r>
        <w:rPr>
          <w:rFonts w:ascii="Palatino Linotype" w:eastAsia="Palatino Linotype" w:hAnsi="Palatino Linotype" w:cs="Palatino Linotype"/>
          <w:color w:val="000000"/>
          <w:sz w:val="24"/>
          <w:szCs w:val="24"/>
        </w:rPr>
        <w:t xml:space="preserve">y se </w:t>
      </w:r>
      <w:r>
        <w:rPr>
          <w:rFonts w:ascii="Palatino Linotype" w:eastAsia="Palatino Linotype" w:hAnsi="Palatino Linotype" w:cs="Palatino Linotype"/>
          <w:b/>
          <w:bCs/>
          <w:color w:val="000000"/>
          <w:sz w:val="24"/>
          <w:szCs w:val="24"/>
        </w:rPr>
        <w:t>ORDENA</w:t>
      </w:r>
      <w:r>
        <w:rPr>
          <w:rFonts w:ascii="Palatino Linotype" w:eastAsia="Palatino Linotype" w:hAnsi="Palatino Linotype" w:cs="Palatino Linotype"/>
          <w:color w:val="000000"/>
          <w:sz w:val="24"/>
          <w:szCs w:val="24"/>
        </w:rPr>
        <w:t xml:space="preserve"> entregar vía Sistema de Acceso a la Información Mexiquense </w:t>
      </w:r>
      <w:r>
        <w:rPr>
          <w:rFonts w:ascii="Palatino Linotype" w:eastAsia="Palatino Linotype" w:hAnsi="Palatino Linotype" w:cs="Palatino Linotype"/>
          <w:b/>
          <w:bCs/>
          <w:color w:val="000000"/>
          <w:sz w:val="24"/>
          <w:szCs w:val="24"/>
        </w:rPr>
        <w:t xml:space="preserve">(SAIMEX), </w:t>
      </w:r>
      <w:r>
        <w:rPr>
          <w:rFonts w:ascii="Palatino Linotype" w:eastAsia="Palatino Linotype" w:hAnsi="Palatino Linotype" w:cs="Palatino Linotype"/>
          <w:color w:val="000000"/>
          <w:sz w:val="24"/>
          <w:szCs w:val="24"/>
        </w:rPr>
        <w:t>previa búsqueda exhaustiva y razonable, lo siguiente:</w:t>
      </w:r>
    </w:p>
    <w:p w:rsidR="00AB16BB" w:rsidRDefault="001C491E">
      <w:pPr>
        <w:spacing w:line="360" w:lineRule="auto"/>
        <w:ind w:right="113"/>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p>
    <w:p w:rsidR="00AB16BB" w:rsidRDefault="001C491E">
      <w:pPr>
        <w:spacing w:line="276" w:lineRule="auto"/>
        <w:ind w:right="113"/>
        <w:jc w:val="both"/>
        <w:rPr>
          <w:rFonts w:ascii="Palatino Linotype" w:eastAsia="Palatino Linotype" w:hAnsi="Palatino Linotype" w:cs="Palatino Linotype"/>
          <w:b/>
          <w:bCs/>
          <w:sz w:val="24"/>
          <w:szCs w:val="24"/>
        </w:rPr>
      </w:pPr>
      <w:r>
        <w:rPr>
          <w:rFonts w:ascii="Palatino Linotype" w:eastAsia="Palatino Linotype" w:hAnsi="Palatino Linotype" w:cs="Palatino Linotype"/>
          <w:b/>
          <w:bCs/>
          <w:sz w:val="24"/>
          <w:szCs w:val="24"/>
        </w:rPr>
        <w:t>Del primero de enero al nueve de mayo de dos mil veinticinco, de los  Directores Generales, Directores de Áreas, Subdirectores, Coordinadores, Jefes De Departamento, Asesores, que integran el Ayuntamiento de Toluca, lo siguiente:</w:t>
      </w:r>
    </w:p>
    <w:p w:rsidR="00AB16BB" w:rsidRDefault="00AB16BB">
      <w:pPr>
        <w:spacing w:line="276" w:lineRule="auto"/>
        <w:ind w:right="397"/>
        <w:jc w:val="both"/>
        <w:rPr>
          <w:rFonts w:ascii="Palatino Linotype" w:eastAsia="Palatino Linotype" w:hAnsi="Palatino Linotype" w:cs="Palatino Linotype"/>
          <w:b/>
          <w:bCs/>
          <w:sz w:val="24"/>
          <w:szCs w:val="24"/>
        </w:rPr>
      </w:pPr>
    </w:p>
    <w:p w:rsidR="00AB16BB" w:rsidRDefault="001C491E">
      <w:pPr>
        <w:numPr>
          <w:ilvl w:val="0"/>
          <w:numId w:val="6"/>
        </w:numPr>
        <w:spacing w:line="276" w:lineRule="auto"/>
        <w:ind w:right="822"/>
        <w:jc w:val="both"/>
        <w:rPr>
          <w:rFonts w:ascii="Palatino Linotype" w:eastAsia="Palatino Linotype" w:hAnsi="Palatino Linotype" w:cs="Palatino Linotype"/>
          <w:b/>
          <w:bCs/>
          <w:sz w:val="24"/>
          <w:szCs w:val="24"/>
        </w:rPr>
      </w:pPr>
      <w:r>
        <w:rPr>
          <w:rFonts w:ascii="Palatino Linotype" w:eastAsia="Palatino Linotype" w:hAnsi="Palatino Linotype" w:cs="Palatino Linotype"/>
          <w:b/>
          <w:bCs/>
          <w:sz w:val="24"/>
          <w:szCs w:val="24"/>
        </w:rPr>
        <w:t xml:space="preserve">Documento en donde consten o se adviertan los gastos pagados por cualquier concepto, incluidos gastos de representación, viáticos, comidas, gasolina, etc. </w:t>
      </w:r>
    </w:p>
    <w:p w:rsidR="00AB16BB" w:rsidRDefault="00AB16BB">
      <w:pPr>
        <w:pBdr>
          <w:top w:val="nil"/>
          <w:left w:val="nil"/>
          <w:bottom w:val="nil"/>
          <w:right w:val="nil"/>
          <w:between w:val="nil"/>
        </w:pBdr>
        <w:spacing w:line="276" w:lineRule="auto"/>
        <w:ind w:right="191"/>
        <w:jc w:val="both"/>
        <w:rPr>
          <w:rFonts w:ascii="Palatino Linotype" w:eastAsia="Palatino Linotype" w:hAnsi="Palatino Linotype" w:cs="Palatino Linotype"/>
          <w:b/>
          <w:bCs/>
          <w:color w:val="000000"/>
          <w:sz w:val="32"/>
          <w:szCs w:val="32"/>
        </w:rPr>
      </w:pPr>
    </w:p>
    <w:p w:rsidR="00AB16BB" w:rsidRDefault="001C491E">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Para el caso de que la información que se ordena entregar no haya sido generada, poseída o administrada dentro del periodo solicitado, bastará que, de forma clara y precisa, se haga del conocimiento del Particular.</w:t>
      </w:r>
    </w:p>
    <w:p w:rsidR="00AB16BB" w:rsidRDefault="00AB16BB">
      <w:pPr>
        <w:pBdr>
          <w:top w:val="nil"/>
          <w:left w:val="nil"/>
          <w:bottom w:val="nil"/>
          <w:right w:val="nil"/>
          <w:between w:val="nil"/>
        </w:pBdr>
        <w:spacing w:line="276" w:lineRule="auto"/>
        <w:ind w:right="191"/>
        <w:jc w:val="both"/>
        <w:rPr>
          <w:rFonts w:ascii="Palatino Linotype" w:eastAsia="Palatino Linotype" w:hAnsi="Palatino Linotype" w:cs="Palatino Linotype"/>
          <w:b/>
          <w:bCs/>
          <w:color w:val="000000"/>
          <w:sz w:val="24"/>
          <w:szCs w:val="24"/>
        </w:rPr>
      </w:pPr>
    </w:p>
    <w:p w:rsidR="00AB16BB" w:rsidRDefault="001C491E">
      <w:pPr>
        <w:spacing w:line="360" w:lineRule="auto"/>
        <w:ind w:right="113"/>
        <w:jc w:val="both"/>
        <w:rPr>
          <w:rFonts w:ascii="Palatino Linotype" w:eastAsia="Palatino Linotype" w:hAnsi="Palatino Linotype" w:cs="Palatino Linotype"/>
          <w:b/>
          <w:bCs/>
          <w:sz w:val="24"/>
          <w:szCs w:val="24"/>
        </w:rPr>
      </w:pPr>
      <w:r>
        <w:rPr>
          <w:rFonts w:ascii="Palatino Linotype" w:eastAsia="Palatino Linotype" w:hAnsi="Palatino Linotype" w:cs="Palatino Linotype"/>
          <w:sz w:val="24"/>
          <w:szCs w:val="24"/>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Pr>
          <w:rFonts w:ascii="Palatino Linotype" w:eastAsia="Palatino Linotype" w:hAnsi="Palatino Linotype" w:cs="Palatino Linotype"/>
          <w:b/>
          <w:bCs/>
          <w:sz w:val="24"/>
          <w:szCs w:val="24"/>
        </w:rPr>
        <w:t>RECURRENTE.</w:t>
      </w:r>
    </w:p>
    <w:p w:rsidR="00AB16BB" w:rsidRDefault="00AB16BB">
      <w:pPr>
        <w:ind w:right="113"/>
        <w:rPr>
          <w:rFonts w:ascii="Palatino Linotype" w:eastAsia="Palatino Linotype" w:hAnsi="Palatino Linotype" w:cs="Palatino Linotype"/>
          <w:i/>
          <w:iCs/>
          <w:color w:val="000000"/>
          <w:sz w:val="24"/>
          <w:szCs w:val="24"/>
        </w:rPr>
      </w:pPr>
    </w:p>
    <w:p w:rsidR="00AB16BB" w:rsidRDefault="001C491E">
      <w:pPr>
        <w:tabs>
          <w:tab w:val="left" w:pos="2947"/>
        </w:tabs>
        <w:spacing w:line="360" w:lineRule="auto"/>
        <w:ind w:right="113"/>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b/>
      </w:r>
    </w:p>
    <w:p w:rsidR="00AB16BB" w:rsidRDefault="001C491E">
      <w:pPr>
        <w:tabs>
          <w:tab w:val="left" w:pos="8080"/>
        </w:tabs>
        <w:spacing w:line="360" w:lineRule="auto"/>
        <w:ind w:right="113"/>
        <w:jc w:val="both"/>
        <w:rPr>
          <w:rFonts w:ascii="Palatino Linotype" w:eastAsia="Palatino Linotype" w:hAnsi="Palatino Linotype" w:cs="Palatino Linotype"/>
          <w:color w:val="222222"/>
          <w:sz w:val="24"/>
          <w:szCs w:val="24"/>
        </w:rPr>
      </w:pPr>
      <w:r>
        <w:rPr>
          <w:rFonts w:ascii="Palatino Linotype" w:eastAsia="Palatino Linotype" w:hAnsi="Palatino Linotype" w:cs="Palatino Linotype"/>
          <w:b/>
          <w:bCs/>
          <w:sz w:val="24"/>
          <w:szCs w:val="24"/>
        </w:rPr>
        <w:lastRenderedPageBreak/>
        <w:t xml:space="preserve">TERCERO. </w:t>
      </w:r>
      <w:r>
        <w:rPr>
          <w:rFonts w:ascii="Palatino Linotype" w:eastAsia="Palatino Linotype" w:hAnsi="Palatino Linotype" w:cs="Palatino Linotype"/>
          <w:b/>
          <w:bCs/>
          <w:color w:val="222222"/>
          <w:sz w:val="24"/>
          <w:szCs w:val="24"/>
        </w:rPr>
        <w:t xml:space="preserve">NOTIFÍQUESE </w:t>
      </w:r>
      <w:r>
        <w:rPr>
          <w:rFonts w:ascii="Palatino Linotype" w:eastAsia="Palatino Linotype" w:hAnsi="Palatino Linotype" w:cs="Palatino Linotype"/>
          <w:color w:val="222222"/>
          <w:sz w:val="24"/>
          <w:szCs w:val="24"/>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Pr>
          <w:rFonts w:ascii="Palatino Linotype" w:eastAsia="Palatino Linotype" w:hAnsi="Palatino Linotype" w:cs="Palatino Linotype"/>
          <w:b/>
          <w:bCs/>
          <w:color w:val="222222"/>
          <w:sz w:val="24"/>
          <w:szCs w:val="24"/>
        </w:rPr>
        <w:t xml:space="preserve">dé cumplimiento a lo ordenado dentro del plazo de diez días hábiles, </w:t>
      </w:r>
      <w:r>
        <w:rPr>
          <w:rFonts w:ascii="Palatino Linotype" w:eastAsia="Palatino Linotype" w:hAnsi="Palatino Linotype" w:cs="Palatino Linotype"/>
          <w:color w:val="222222"/>
          <w:sz w:val="24"/>
          <w:szCs w:val="24"/>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AB16BB" w:rsidRDefault="00AB16BB">
      <w:pPr>
        <w:spacing w:line="360" w:lineRule="auto"/>
        <w:ind w:right="113"/>
        <w:jc w:val="both"/>
        <w:rPr>
          <w:rFonts w:ascii="Palatino Linotype" w:eastAsia="Palatino Linotype" w:hAnsi="Palatino Linotype" w:cs="Palatino Linotype"/>
          <w:sz w:val="24"/>
          <w:szCs w:val="24"/>
        </w:rPr>
      </w:pPr>
    </w:p>
    <w:p w:rsidR="00AB16BB" w:rsidRDefault="001C491E">
      <w:pPr>
        <w:spacing w:line="360" w:lineRule="auto"/>
        <w:ind w:right="113"/>
        <w:jc w:val="both"/>
        <w:rPr>
          <w:rFonts w:ascii="Palatino Linotype" w:eastAsia="Palatino Linotype" w:hAnsi="Palatino Linotype" w:cs="Palatino Linotype"/>
          <w:sz w:val="24"/>
          <w:szCs w:val="24"/>
        </w:rPr>
      </w:pPr>
      <w:r>
        <w:rPr>
          <w:rFonts w:ascii="Palatino Linotype" w:eastAsia="Palatino Linotype" w:hAnsi="Palatino Linotype" w:cs="Palatino Linotype"/>
          <w:b/>
          <w:bCs/>
          <w:sz w:val="24"/>
          <w:szCs w:val="24"/>
        </w:rPr>
        <w:t xml:space="preserve">CUARTO. </w:t>
      </w:r>
      <w:r>
        <w:rPr>
          <w:rFonts w:ascii="Palatino Linotype" w:eastAsia="Palatino Linotype" w:hAnsi="Palatino Linotype" w:cs="Palatino Linotype"/>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AB16BB" w:rsidRDefault="00AB16BB">
      <w:pPr>
        <w:spacing w:line="360" w:lineRule="auto"/>
        <w:ind w:right="113"/>
        <w:jc w:val="both"/>
        <w:rPr>
          <w:rFonts w:ascii="Palatino Linotype" w:eastAsia="Palatino Linotype" w:hAnsi="Palatino Linotype" w:cs="Palatino Linotype"/>
          <w:sz w:val="24"/>
          <w:szCs w:val="24"/>
        </w:rPr>
      </w:pPr>
    </w:p>
    <w:p w:rsidR="00AB16BB" w:rsidRDefault="001C491E">
      <w:pPr>
        <w:spacing w:line="360" w:lineRule="auto"/>
        <w:ind w:right="113"/>
        <w:jc w:val="both"/>
        <w:rPr>
          <w:rFonts w:ascii="Palatino Linotype" w:eastAsia="Palatino Linotype" w:hAnsi="Palatino Linotype" w:cs="Palatino Linotype"/>
          <w:sz w:val="24"/>
          <w:szCs w:val="24"/>
        </w:rPr>
      </w:pPr>
      <w:r>
        <w:rPr>
          <w:rFonts w:ascii="Palatino Linotype" w:eastAsia="Palatino Linotype" w:hAnsi="Palatino Linotype" w:cs="Palatino Linotype"/>
          <w:b/>
          <w:bCs/>
          <w:sz w:val="24"/>
          <w:szCs w:val="24"/>
        </w:rPr>
        <w:t xml:space="preserve">QUINTO. </w:t>
      </w:r>
      <w:r>
        <w:rPr>
          <w:rFonts w:ascii="Palatino Linotype" w:eastAsia="Palatino Linotype" w:hAnsi="Palatino Linotype" w:cs="Palatino Linotype"/>
          <w:b/>
          <w:bCs/>
          <w:color w:val="222222"/>
          <w:sz w:val="24"/>
          <w:szCs w:val="24"/>
        </w:rPr>
        <w:t xml:space="preserve">Notifíquese </w:t>
      </w:r>
      <w:r w:rsidR="00C94138">
        <w:rPr>
          <w:rFonts w:ascii="Palatino Linotype" w:eastAsia="Palatino Linotype" w:hAnsi="Palatino Linotype" w:cs="Palatino Linotype"/>
          <w:color w:val="222222"/>
          <w:sz w:val="24"/>
          <w:szCs w:val="24"/>
        </w:rPr>
        <w:t>al</w:t>
      </w:r>
      <w:r>
        <w:rPr>
          <w:rFonts w:ascii="Palatino Linotype" w:eastAsia="Palatino Linotype" w:hAnsi="Palatino Linotype" w:cs="Palatino Linotype"/>
          <w:b/>
          <w:bCs/>
          <w:sz w:val="24"/>
          <w:szCs w:val="24"/>
        </w:rPr>
        <w:t xml:space="preserve"> RECURRENTE</w:t>
      </w:r>
      <w:r>
        <w:rPr>
          <w:rFonts w:ascii="Palatino Linotype" w:eastAsia="Palatino Linotype" w:hAnsi="Palatino Linotype" w:cs="Palatino Linotype"/>
          <w:sz w:val="24"/>
          <w:szCs w:val="24"/>
        </w:rPr>
        <w:t xml:space="preserve"> la presente resolución, vía SAIMEX.</w:t>
      </w:r>
    </w:p>
    <w:p w:rsidR="00AB16BB" w:rsidRDefault="00AB16BB">
      <w:pPr>
        <w:spacing w:line="360" w:lineRule="auto"/>
        <w:ind w:right="113"/>
        <w:jc w:val="both"/>
        <w:rPr>
          <w:rFonts w:ascii="Palatino Linotype" w:eastAsia="Palatino Linotype" w:hAnsi="Palatino Linotype" w:cs="Palatino Linotype"/>
          <w:sz w:val="24"/>
          <w:szCs w:val="24"/>
        </w:rPr>
      </w:pPr>
    </w:p>
    <w:p w:rsidR="00AB16BB" w:rsidRDefault="001C491E">
      <w:pPr>
        <w:spacing w:line="360" w:lineRule="auto"/>
        <w:ind w:right="113"/>
        <w:jc w:val="both"/>
        <w:rPr>
          <w:rFonts w:ascii="Palatino Linotype" w:eastAsia="Palatino Linotype" w:hAnsi="Palatino Linotype" w:cs="Palatino Linotype"/>
          <w:sz w:val="24"/>
          <w:szCs w:val="24"/>
        </w:rPr>
      </w:pPr>
      <w:r>
        <w:rPr>
          <w:rFonts w:ascii="Palatino Linotype" w:eastAsia="Palatino Linotype" w:hAnsi="Palatino Linotype" w:cs="Palatino Linotype"/>
          <w:b/>
          <w:bCs/>
          <w:sz w:val="24"/>
          <w:szCs w:val="24"/>
        </w:rPr>
        <w:t>SEXTO.</w:t>
      </w:r>
      <w:r>
        <w:rPr>
          <w:rFonts w:ascii="Palatino Linotype" w:eastAsia="Palatino Linotype" w:hAnsi="Palatino Linotype" w:cs="Palatino Linotype"/>
          <w:sz w:val="24"/>
          <w:szCs w:val="24"/>
        </w:rPr>
        <w:t xml:space="preserve"> Se hace del conocimiento de </w:t>
      </w:r>
      <w:r>
        <w:rPr>
          <w:rFonts w:ascii="Palatino Linotype" w:eastAsia="Palatino Linotype" w:hAnsi="Palatino Linotype" w:cs="Palatino Linotype"/>
          <w:b/>
          <w:bCs/>
          <w:sz w:val="24"/>
          <w:szCs w:val="24"/>
        </w:rPr>
        <w:t>LA RECURRENTE</w:t>
      </w:r>
      <w:r>
        <w:rPr>
          <w:rFonts w:ascii="Palatino Linotype" w:eastAsia="Palatino Linotype" w:hAnsi="Palatino Linotype" w:cs="Palatino Linotype"/>
          <w:sz w:val="24"/>
          <w:szCs w:val="24"/>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AB16BB" w:rsidRDefault="00AB16BB">
      <w:pPr>
        <w:spacing w:line="360" w:lineRule="auto"/>
        <w:ind w:right="113"/>
        <w:jc w:val="both"/>
        <w:rPr>
          <w:rFonts w:ascii="Palatino Linotype" w:eastAsia="Palatino Linotype" w:hAnsi="Palatino Linotype" w:cs="Palatino Linotype"/>
          <w:sz w:val="24"/>
          <w:szCs w:val="24"/>
        </w:rPr>
      </w:pPr>
    </w:p>
    <w:p w:rsidR="00C94138" w:rsidRPr="00C94138" w:rsidRDefault="00C94138" w:rsidP="00C94138">
      <w:pPr>
        <w:spacing w:before="240" w:after="240" w:line="360" w:lineRule="auto"/>
        <w:ind w:firstLine="1"/>
        <w:jc w:val="both"/>
        <w:rPr>
          <w:rFonts w:ascii="Palatino Linotype" w:hAnsi="Palatino Linotype"/>
          <w:sz w:val="24"/>
        </w:rPr>
      </w:pPr>
      <w:bookmarkStart w:id="11" w:name="_Hlk99014733"/>
      <w:r w:rsidRPr="00C94138">
        <w:rPr>
          <w:rFonts w:ascii="Palatino Linotype" w:hAnsi="Palatino Linotype" w:cs="Palatino Linotype"/>
          <w:sz w:val="24"/>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SEGUNDA SESIÓN ORDINARIA, CELEBRADA EL VEINTIUNO (21) DE ENERO DE DOS MIL VEINTISÉIS, ANTE EL SECRETARIO TÉCNICO DEL PLENO </w:t>
      </w:r>
      <w:r w:rsidRPr="00C94138">
        <w:rPr>
          <w:rFonts w:ascii="Palatino Linotype" w:hAnsi="Palatino Linotype" w:cs="Palatino Linotype"/>
          <w:color w:val="000000" w:themeColor="text1"/>
          <w:sz w:val="24"/>
        </w:rPr>
        <w:t>ALEXIS TAPIA RAMÍREZ.</w:t>
      </w:r>
    </w:p>
    <w:bookmarkEnd w:id="11"/>
    <w:p w:rsidR="00AB16BB" w:rsidRPr="00C94138" w:rsidRDefault="00AB16BB">
      <w:pPr>
        <w:spacing w:line="360" w:lineRule="auto"/>
        <w:ind w:right="49"/>
        <w:jc w:val="both"/>
        <w:rPr>
          <w:rFonts w:ascii="Palatino Linotype" w:eastAsia="Palatino Linotype" w:hAnsi="Palatino Linotype" w:cs="Palatino Linotype"/>
          <w:b/>
          <w:bCs/>
          <w:sz w:val="32"/>
          <w:szCs w:val="24"/>
        </w:rPr>
      </w:pPr>
    </w:p>
    <w:p w:rsidR="00AB16BB" w:rsidRPr="00C94138" w:rsidRDefault="00AB16BB">
      <w:pPr>
        <w:spacing w:line="360" w:lineRule="auto"/>
        <w:ind w:right="34"/>
        <w:jc w:val="both"/>
        <w:rPr>
          <w:rFonts w:ascii="Palatino Linotype" w:eastAsia="Palatino Linotype" w:hAnsi="Palatino Linotype" w:cs="Palatino Linotype"/>
          <w:color w:val="000000"/>
          <w:sz w:val="32"/>
          <w:szCs w:val="24"/>
        </w:rPr>
      </w:pPr>
      <w:bookmarkStart w:id="12" w:name="_heading=h.tyjcwt" w:colFirst="0" w:colLast="0"/>
      <w:bookmarkEnd w:id="12"/>
    </w:p>
    <w:p w:rsidR="00AB16BB" w:rsidRDefault="00AB16BB"/>
    <w:p w:rsidR="006414EA" w:rsidRDefault="006414EA"/>
    <w:p w:rsidR="006414EA" w:rsidRDefault="006414EA"/>
    <w:p w:rsidR="006414EA" w:rsidRDefault="006414EA"/>
    <w:p w:rsidR="006414EA" w:rsidRDefault="006414EA"/>
    <w:p w:rsidR="006414EA" w:rsidRDefault="006414EA"/>
    <w:p w:rsidR="006414EA" w:rsidRDefault="006414EA"/>
    <w:p w:rsidR="006414EA" w:rsidRDefault="006414EA"/>
    <w:p w:rsidR="006414EA" w:rsidRDefault="006414EA"/>
    <w:p w:rsidR="006414EA" w:rsidRDefault="006414EA"/>
    <w:p w:rsidR="006414EA" w:rsidRDefault="006414EA"/>
    <w:p w:rsidR="006414EA" w:rsidRDefault="006414EA"/>
    <w:p w:rsidR="006414EA" w:rsidRDefault="006414EA"/>
    <w:p w:rsidR="006414EA" w:rsidRDefault="006414EA"/>
    <w:p w:rsidR="006414EA" w:rsidRDefault="006414EA"/>
    <w:p w:rsidR="006414EA" w:rsidRDefault="006414EA"/>
    <w:p w:rsidR="006414EA" w:rsidRDefault="006414EA"/>
    <w:p w:rsidR="006414EA" w:rsidRDefault="006414EA"/>
    <w:p w:rsidR="006414EA" w:rsidRDefault="006414EA"/>
    <w:p w:rsidR="006414EA" w:rsidRDefault="006414EA"/>
    <w:p w:rsidR="006414EA" w:rsidRDefault="006414EA"/>
    <w:p w:rsidR="006414EA" w:rsidRDefault="006414EA"/>
    <w:p w:rsidR="006414EA" w:rsidRDefault="006414EA"/>
    <w:p w:rsidR="006414EA" w:rsidRDefault="006414EA"/>
    <w:p w:rsidR="006414EA" w:rsidRDefault="006414EA"/>
    <w:p w:rsidR="006414EA" w:rsidRDefault="006414EA"/>
    <w:p w:rsidR="006414EA" w:rsidRDefault="006414EA"/>
    <w:p w:rsidR="006414EA" w:rsidRDefault="006414EA"/>
    <w:p w:rsidR="006414EA" w:rsidRDefault="006414EA"/>
    <w:p w:rsidR="006414EA" w:rsidRDefault="006414EA"/>
    <w:sectPr w:rsidR="006414EA" w:rsidSect="006414EA">
      <w:headerReference w:type="even" r:id="rId9"/>
      <w:headerReference w:type="default" r:id="rId10"/>
      <w:footerReference w:type="default" r:id="rId11"/>
      <w:headerReference w:type="first" r:id="rId12"/>
      <w:footerReference w:type="first" r:id="rId13"/>
      <w:pgSz w:w="12240" w:h="15840"/>
      <w:pgMar w:top="80" w:right="900" w:bottom="1418" w:left="1588" w:header="709" w:footer="73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7C3C" w:rsidRDefault="00137C3C">
      <w:r>
        <w:separator/>
      </w:r>
    </w:p>
  </w:endnote>
  <w:endnote w:type="continuationSeparator" w:id="0">
    <w:p w:rsidR="00137C3C" w:rsidRDefault="00137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DA382645-83C4-48BA-BF2E-F3D61B0B7365}"/>
  </w:font>
  <w:font w:name="Palatino Linotype">
    <w:panose1 w:val="02040502050505030304"/>
    <w:charset w:val="00"/>
    <w:family w:val="roman"/>
    <w:pitch w:val="variable"/>
    <w:sig w:usb0="E0000287" w:usb1="40000013" w:usb2="00000000" w:usb3="00000000" w:csb0="0000019F" w:csb1="00000000"/>
    <w:embedRegular r:id="rId2" w:fontKey="{2C443AFF-6E75-4B45-9984-D44EECC3BF10}"/>
    <w:embedBold r:id="rId3" w:fontKey="{147CFB79-64FF-4C88-AF2C-120235C99B96}"/>
    <w:embedItalic r:id="rId4" w:fontKey="{F30EBCA2-3C0B-4A3B-967F-72D38531609C}"/>
    <w:embedBoldItalic r:id="rId5" w:fontKey="{0BB48124-F6A1-42FB-845B-3E2F4CF7002F}"/>
  </w:font>
  <w:font w:name="Calibri">
    <w:panose1 w:val="020F0502020204030204"/>
    <w:charset w:val="00"/>
    <w:family w:val="swiss"/>
    <w:pitch w:val="variable"/>
    <w:sig w:usb0="E4002EFF" w:usb1="C200247B" w:usb2="00000009" w:usb3="00000000" w:csb0="000001FF" w:csb1="00000000"/>
    <w:embedRegular r:id="rId6" w:fontKey="{D0D38222-3188-4A92-833D-FF2458ED571C}"/>
  </w:font>
  <w:font w:name="Calibri Light">
    <w:panose1 w:val="020F0302020204030204"/>
    <w:charset w:val="00"/>
    <w:family w:val="swiss"/>
    <w:pitch w:val="variable"/>
    <w:sig w:usb0="E4002EFF" w:usb1="C200247B" w:usb2="00000009" w:usb3="00000000" w:csb0="000001FF" w:csb1="00000000"/>
    <w:embedRegular r:id="rId7" w:fontKey="{34AC84C9-E0EA-4A75-AC8E-503C092E4679}"/>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embedRegular r:id="rId8" w:fontKey="{9454D76E-EF62-407F-A947-01938F32D971}"/>
  </w:font>
  <w:font w:name="Georgia">
    <w:panose1 w:val="02040502050405020303"/>
    <w:charset w:val="00"/>
    <w:family w:val="roman"/>
    <w:pitch w:val="variable"/>
    <w:sig w:usb0="00000287" w:usb1="00000000" w:usb2="00000000" w:usb3="00000000" w:csb0="0000009F" w:csb1="00000000"/>
    <w:embedItalic r:id="rId9" w:fontKey="{58E0406E-BB4F-47EE-905E-1F20D36D62E7}"/>
  </w:font>
  <w:font w:name="Garamond">
    <w:panose1 w:val="02020404030301010803"/>
    <w:charset w:val="00"/>
    <w:family w:val="roman"/>
    <w:pitch w:val="variable"/>
    <w:sig w:usb0="00000287" w:usb1="00000000" w:usb2="00000000" w:usb3="00000000" w:csb0="0000009F" w:csb1="00000000"/>
    <w:embedRegular r:id="rId10" w:fontKey="{5F7400E0-8239-4963-AD52-A8CE1A3A044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6BB" w:rsidRDefault="00AB16BB">
    <w:pPr>
      <w:pBdr>
        <w:top w:val="nil"/>
        <w:left w:val="nil"/>
        <w:bottom w:val="nil"/>
        <w:right w:val="nil"/>
        <w:between w:val="nil"/>
      </w:pBdr>
      <w:tabs>
        <w:tab w:val="center" w:pos="4419"/>
        <w:tab w:val="right" w:pos="8838"/>
      </w:tabs>
      <w:jc w:val="right"/>
      <w:rPr>
        <w:color w:val="000000"/>
      </w:rPr>
    </w:pPr>
  </w:p>
  <w:p w:rsidR="00AB16BB" w:rsidRPr="006414EA" w:rsidRDefault="001C491E">
    <w:pPr>
      <w:pBdr>
        <w:top w:val="nil"/>
        <w:left w:val="nil"/>
        <w:bottom w:val="nil"/>
        <w:right w:val="nil"/>
        <w:between w:val="nil"/>
      </w:pBdr>
      <w:tabs>
        <w:tab w:val="center" w:pos="4419"/>
        <w:tab w:val="right" w:pos="8838"/>
      </w:tabs>
      <w:jc w:val="right"/>
      <w:rPr>
        <w:rFonts w:ascii="Palatino Linotype" w:hAnsi="Palatino Linotype"/>
        <w:color w:val="000000"/>
        <w:sz w:val="22"/>
        <w:szCs w:val="22"/>
      </w:rPr>
    </w:pPr>
    <w:r w:rsidRPr="006414EA">
      <w:rPr>
        <w:rFonts w:ascii="Palatino Linotype" w:hAnsi="Palatino Linotype"/>
        <w:color w:val="000000"/>
        <w:sz w:val="22"/>
        <w:szCs w:val="22"/>
      </w:rPr>
      <w:t xml:space="preserve">Página </w:t>
    </w:r>
    <w:r w:rsidRPr="006414EA">
      <w:rPr>
        <w:rFonts w:ascii="Palatino Linotype" w:hAnsi="Palatino Linotype"/>
        <w:b/>
        <w:bCs/>
        <w:color w:val="000000"/>
        <w:sz w:val="22"/>
        <w:szCs w:val="22"/>
      </w:rPr>
      <w:fldChar w:fldCharType="begin"/>
    </w:r>
    <w:r w:rsidRPr="006414EA">
      <w:rPr>
        <w:rFonts w:ascii="Palatino Linotype" w:hAnsi="Palatino Linotype"/>
        <w:b/>
        <w:bCs/>
        <w:color w:val="000000"/>
        <w:sz w:val="22"/>
        <w:szCs w:val="22"/>
      </w:rPr>
      <w:instrText>PAGE</w:instrText>
    </w:r>
    <w:r w:rsidRPr="006414EA">
      <w:rPr>
        <w:rFonts w:ascii="Palatino Linotype" w:hAnsi="Palatino Linotype"/>
        <w:b/>
        <w:bCs/>
        <w:color w:val="000000"/>
        <w:sz w:val="22"/>
        <w:szCs w:val="22"/>
      </w:rPr>
      <w:fldChar w:fldCharType="separate"/>
    </w:r>
    <w:r w:rsidR="006414EA">
      <w:rPr>
        <w:rFonts w:ascii="Palatino Linotype" w:hAnsi="Palatino Linotype"/>
        <w:b/>
        <w:bCs/>
        <w:noProof/>
        <w:color w:val="000000"/>
        <w:sz w:val="22"/>
        <w:szCs w:val="22"/>
      </w:rPr>
      <w:t>21</w:t>
    </w:r>
    <w:r w:rsidRPr="006414EA">
      <w:rPr>
        <w:rFonts w:ascii="Palatino Linotype" w:hAnsi="Palatino Linotype"/>
        <w:b/>
        <w:bCs/>
        <w:color w:val="000000"/>
        <w:sz w:val="22"/>
        <w:szCs w:val="22"/>
      </w:rPr>
      <w:fldChar w:fldCharType="end"/>
    </w:r>
    <w:r w:rsidRPr="006414EA">
      <w:rPr>
        <w:rFonts w:ascii="Palatino Linotype" w:hAnsi="Palatino Linotype"/>
        <w:color w:val="000000"/>
        <w:sz w:val="22"/>
        <w:szCs w:val="22"/>
      </w:rPr>
      <w:t xml:space="preserve"> de </w:t>
    </w:r>
    <w:r w:rsidRPr="006414EA">
      <w:rPr>
        <w:rFonts w:ascii="Palatino Linotype" w:hAnsi="Palatino Linotype"/>
        <w:b/>
        <w:bCs/>
        <w:color w:val="000000"/>
        <w:sz w:val="22"/>
        <w:szCs w:val="22"/>
      </w:rPr>
      <w:fldChar w:fldCharType="begin"/>
    </w:r>
    <w:r w:rsidRPr="006414EA">
      <w:rPr>
        <w:rFonts w:ascii="Palatino Linotype" w:hAnsi="Palatino Linotype"/>
        <w:b/>
        <w:bCs/>
        <w:color w:val="000000"/>
        <w:sz w:val="22"/>
        <w:szCs w:val="22"/>
      </w:rPr>
      <w:instrText>NUMPAGES</w:instrText>
    </w:r>
    <w:r w:rsidRPr="006414EA">
      <w:rPr>
        <w:rFonts w:ascii="Palatino Linotype" w:hAnsi="Palatino Linotype"/>
        <w:b/>
        <w:bCs/>
        <w:color w:val="000000"/>
        <w:sz w:val="22"/>
        <w:szCs w:val="22"/>
      </w:rPr>
      <w:fldChar w:fldCharType="separate"/>
    </w:r>
    <w:r w:rsidR="006414EA">
      <w:rPr>
        <w:rFonts w:ascii="Palatino Linotype" w:hAnsi="Palatino Linotype"/>
        <w:b/>
        <w:bCs/>
        <w:noProof/>
        <w:color w:val="000000"/>
        <w:sz w:val="22"/>
        <w:szCs w:val="22"/>
      </w:rPr>
      <w:t>25</w:t>
    </w:r>
    <w:r w:rsidRPr="006414EA">
      <w:rPr>
        <w:rFonts w:ascii="Palatino Linotype" w:hAnsi="Palatino Linotype"/>
        <w:b/>
        <w:bCs/>
        <w:color w:val="000000"/>
        <w:sz w:val="22"/>
        <w:szCs w:val="22"/>
      </w:rPr>
      <w:fldChar w:fldCharType="end"/>
    </w:r>
  </w:p>
  <w:p w:rsidR="00AB16BB" w:rsidRDefault="00AB16BB">
    <w:pPr>
      <w:pBdr>
        <w:top w:val="nil"/>
        <w:left w:val="nil"/>
        <w:bottom w:val="nil"/>
        <w:right w:val="nil"/>
        <w:between w:val="nil"/>
      </w:pBdr>
      <w:tabs>
        <w:tab w:val="center" w:pos="4419"/>
        <w:tab w:val="right" w:pos="8838"/>
      </w:tabs>
      <w:rPr>
        <w:color w:val="000000"/>
      </w:rPr>
    </w:pPr>
  </w:p>
  <w:p w:rsidR="00AB16BB" w:rsidRDefault="00AB16BB"/>
  <w:p w:rsidR="00AB16BB" w:rsidRDefault="00AB16BB"/>
  <w:p w:rsidR="00AB16BB" w:rsidRDefault="00AB16B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6BB" w:rsidRPr="006414EA" w:rsidRDefault="001C491E">
    <w:pPr>
      <w:pBdr>
        <w:top w:val="nil"/>
        <w:left w:val="nil"/>
        <w:bottom w:val="nil"/>
        <w:right w:val="nil"/>
        <w:between w:val="nil"/>
      </w:pBdr>
      <w:tabs>
        <w:tab w:val="center" w:pos="4419"/>
        <w:tab w:val="right" w:pos="8838"/>
      </w:tabs>
      <w:jc w:val="right"/>
      <w:rPr>
        <w:rFonts w:ascii="Palatino Linotype" w:hAnsi="Palatino Linotype"/>
        <w:color w:val="000000"/>
        <w:sz w:val="22"/>
        <w:szCs w:val="22"/>
      </w:rPr>
    </w:pPr>
    <w:r w:rsidRPr="006414EA">
      <w:rPr>
        <w:rFonts w:ascii="Palatino Linotype" w:hAnsi="Palatino Linotype"/>
        <w:color w:val="000000"/>
        <w:sz w:val="22"/>
        <w:szCs w:val="22"/>
      </w:rPr>
      <w:t xml:space="preserve">Página </w:t>
    </w:r>
    <w:r w:rsidRPr="006414EA">
      <w:rPr>
        <w:rFonts w:ascii="Palatino Linotype" w:hAnsi="Palatino Linotype"/>
        <w:b/>
        <w:bCs/>
        <w:color w:val="000000"/>
        <w:sz w:val="22"/>
        <w:szCs w:val="22"/>
      </w:rPr>
      <w:fldChar w:fldCharType="begin"/>
    </w:r>
    <w:r w:rsidRPr="006414EA">
      <w:rPr>
        <w:rFonts w:ascii="Palatino Linotype" w:hAnsi="Palatino Linotype"/>
        <w:b/>
        <w:bCs/>
        <w:color w:val="000000"/>
        <w:sz w:val="22"/>
        <w:szCs w:val="22"/>
      </w:rPr>
      <w:instrText>PAGE</w:instrText>
    </w:r>
    <w:r w:rsidRPr="006414EA">
      <w:rPr>
        <w:rFonts w:ascii="Palatino Linotype" w:hAnsi="Palatino Linotype"/>
        <w:b/>
        <w:bCs/>
        <w:color w:val="000000"/>
        <w:sz w:val="22"/>
        <w:szCs w:val="22"/>
      </w:rPr>
      <w:fldChar w:fldCharType="separate"/>
    </w:r>
    <w:r w:rsidR="006414EA">
      <w:rPr>
        <w:rFonts w:ascii="Palatino Linotype" w:hAnsi="Palatino Linotype"/>
        <w:b/>
        <w:bCs/>
        <w:noProof/>
        <w:color w:val="000000"/>
        <w:sz w:val="22"/>
        <w:szCs w:val="22"/>
      </w:rPr>
      <w:t>1</w:t>
    </w:r>
    <w:r w:rsidRPr="006414EA">
      <w:rPr>
        <w:rFonts w:ascii="Palatino Linotype" w:hAnsi="Palatino Linotype"/>
        <w:b/>
        <w:bCs/>
        <w:color w:val="000000"/>
        <w:sz w:val="22"/>
        <w:szCs w:val="22"/>
      </w:rPr>
      <w:fldChar w:fldCharType="end"/>
    </w:r>
    <w:r w:rsidRPr="006414EA">
      <w:rPr>
        <w:rFonts w:ascii="Palatino Linotype" w:hAnsi="Palatino Linotype"/>
        <w:color w:val="000000"/>
        <w:sz w:val="22"/>
        <w:szCs w:val="22"/>
      </w:rPr>
      <w:t xml:space="preserve"> de </w:t>
    </w:r>
    <w:r w:rsidRPr="006414EA">
      <w:rPr>
        <w:rFonts w:ascii="Palatino Linotype" w:hAnsi="Palatino Linotype"/>
        <w:b/>
        <w:bCs/>
        <w:color w:val="000000"/>
        <w:sz w:val="22"/>
        <w:szCs w:val="22"/>
      </w:rPr>
      <w:fldChar w:fldCharType="begin"/>
    </w:r>
    <w:r w:rsidRPr="006414EA">
      <w:rPr>
        <w:rFonts w:ascii="Palatino Linotype" w:hAnsi="Palatino Linotype"/>
        <w:b/>
        <w:bCs/>
        <w:color w:val="000000"/>
        <w:sz w:val="22"/>
        <w:szCs w:val="22"/>
      </w:rPr>
      <w:instrText>NUMPAGES</w:instrText>
    </w:r>
    <w:r w:rsidRPr="006414EA">
      <w:rPr>
        <w:rFonts w:ascii="Palatino Linotype" w:hAnsi="Palatino Linotype"/>
        <w:b/>
        <w:bCs/>
        <w:color w:val="000000"/>
        <w:sz w:val="22"/>
        <w:szCs w:val="22"/>
      </w:rPr>
      <w:fldChar w:fldCharType="separate"/>
    </w:r>
    <w:r w:rsidR="006414EA">
      <w:rPr>
        <w:rFonts w:ascii="Palatino Linotype" w:hAnsi="Palatino Linotype"/>
        <w:b/>
        <w:bCs/>
        <w:noProof/>
        <w:color w:val="000000"/>
        <w:sz w:val="22"/>
        <w:szCs w:val="22"/>
      </w:rPr>
      <w:t>25</w:t>
    </w:r>
    <w:r w:rsidRPr="006414EA">
      <w:rPr>
        <w:rFonts w:ascii="Palatino Linotype" w:hAnsi="Palatino Linotype"/>
        <w:b/>
        <w:bCs/>
        <w:color w:val="000000"/>
        <w:sz w:val="22"/>
        <w:szCs w:val="22"/>
      </w:rPr>
      <w:fldChar w:fldCharType="end"/>
    </w:r>
  </w:p>
  <w:p w:rsidR="00AB16BB" w:rsidRDefault="00AB16BB">
    <w:pPr>
      <w:pBdr>
        <w:top w:val="nil"/>
        <w:left w:val="nil"/>
        <w:bottom w:val="nil"/>
        <w:right w:val="nil"/>
        <w:between w:val="nil"/>
      </w:pBdr>
      <w:tabs>
        <w:tab w:val="center" w:pos="4419"/>
        <w:tab w:val="right" w:pos="8838"/>
      </w:tabs>
      <w:rPr>
        <w:color w:val="000000"/>
      </w:rPr>
    </w:pPr>
  </w:p>
  <w:p w:rsidR="00AB16BB" w:rsidRDefault="00AB16BB"/>
  <w:p w:rsidR="00AB16BB" w:rsidRDefault="00AB16BB"/>
  <w:p w:rsidR="00AB16BB" w:rsidRDefault="00AB16B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7C3C" w:rsidRDefault="00137C3C">
      <w:r>
        <w:separator/>
      </w:r>
    </w:p>
  </w:footnote>
  <w:footnote w:type="continuationSeparator" w:id="0">
    <w:p w:rsidR="00137C3C" w:rsidRDefault="00137C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6BB" w:rsidRDefault="00137C3C">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663.5pt;height:12in;z-index:-251657728;mso-position-horizontal:center;mso-position-horizontal-relative:margin;mso-position-vertical:center;mso-position-vertical-relative:margin">
          <v:imagedata r:id="rId1" o:title="image1"/>
          <w10:wrap anchorx="margin" anchory="margin"/>
        </v:shape>
      </w:pict>
    </w:r>
  </w:p>
  <w:p w:rsidR="00AB16BB" w:rsidRDefault="00AB16BB"/>
  <w:p w:rsidR="00AB16BB" w:rsidRDefault="00AB16BB"/>
  <w:p w:rsidR="00AB16BB" w:rsidRDefault="00AB16B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9781" w:type="dxa"/>
      <w:tblInd w:w="0" w:type="dxa"/>
      <w:tblLayout w:type="fixed"/>
      <w:tblLook w:val="0400" w:firstRow="0" w:lastRow="0" w:firstColumn="0" w:lastColumn="0" w:noHBand="0" w:noVBand="1"/>
    </w:tblPr>
    <w:tblGrid>
      <w:gridCol w:w="1843"/>
      <w:gridCol w:w="7938"/>
    </w:tblGrid>
    <w:tr w:rsidR="00AB16BB" w:rsidTr="006414EA">
      <w:trPr>
        <w:trHeight w:val="1435"/>
      </w:trPr>
      <w:tc>
        <w:tcPr>
          <w:tcW w:w="1843" w:type="dxa"/>
          <w:shd w:val="clear" w:color="auto" w:fill="auto"/>
        </w:tcPr>
        <w:p w:rsidR="00AB16BB" w:rsidRDefault="001C491E">
          <w:pPr>
            <w:tabs>
              <w:tab w:val="right" w:pos="4273"/>
            </w:tabs>
            <w:rPr>
              <w:rFonts w:ascii="Garamond" w:eastAsia="Garamond" w:hAnsi="Garamond" w:cs="Garamond"/>
              <w:sz w:val="16"/>
              <w:szCs w:val="16"/>
            </w:rPr>
          </w:pPr>
          <w:r>
            <w:rPr>
              <w:rFonts w:ascii="Garamond" w:eastAsia="Garamond" w:hAnsi="Garamond" w:cs="Garamond"/>
              <w:sz w:val="16"/>
              <w:szCs w:val="16"/>
            </w:rPr>
            <w:t xml:space="preserve"> </w:t>
          </w:r>
        </w:p>
      </w:tc>
      <w:tc>
        <w:tcPr>
          <w:tcW w:w="7938" w:type="dxa"/>
          <w:shd w:val="clear" w:color="auto" w:fill="auto"/>
        </w:tcPr>
        <w:tbl>
          <w:tblPr>
            <w:tblStyle w:val="a1"/>
            <w:tblW w:w="6647" w:type="dxa"/>
            <w:tblInd w:w="1594" w:type="dxa"/>
            <w:tblBorders>
              <w:top w:val="nil"/>
              <w:left w:val="nil"/>
              <w:bottom w:val="nil"/>
              <w:right w:val="nil"/>
              <w:insideH w:val="nil"/>
              <w:insideV w:val="nil"/>
            </w:tblBorders>
            <w:tblLayout w:type="fixed"/>
            <w:tblLook w:val="0400" w:firstRow="0" w:lastRow="0" w:firstColumn="0" w:lastColumn="0" w:noHBand="0" w:noVBand="1"/>
          </w:tblPr>
          <w:tblGrid>
            <w:gridCol w:w="2827"/>
            <w:gridCol w:w="3820"/>
          </w:tblGrid>
          <w:tr w:rsidR="00AB16BB" w:rsidTr="006414EA">
            <w:trPr>
              <w:trHeight w:val="338"/>
            </w:trPr>
            <w:tc>
              <w:tcPr>
                <w:tcW w:w="2827" w:type="dxa"/>
              </w:tcPr>
              <w:p w:rsidR="00AB16BB" w:rsidRPr="006414EA" w:rsidRDefault="001C491E">
                <w:pPr>
                  <w:tabs>
                    <w:tab w:val="right" w:pos="8838"/>
                  </w:tabs>
                  <w:ind w:right="-105"/>
                  <w:rPr>
                    <w:rFonts w:ascii="Palatino Linotype" w:eastAsia="Palatino Linotype" w:hAnsi="Palatino Linotype" w:cs="Palatino Linotype"/>
                    <w:b/>
                    <w:bCs/>
                    <w:sz w:val="24"/>
                    <w:szCs w:val="22"/>
                  </w:rPr>
                </w:pPr>
                <w:r w:rsidRPr="006414EA">
                  <w:rPr>
                    <w:rFonts w:ascii="Palatino Linotype" w:eastAsia="Palatino Linotype" w:hAnsi="Palatino Linotype" w:cs="Palatino Linotype"/>
                    <w:b/>
                    <w:bCs/>
                    <w:sz w:val="24"/>
                    <w:szCs w:val="22"/>
                  </w:rPr>
                  <w:t>Recurso de Revisión:</w:t>
                </w:r>
              </w:p>
            </w:tc>
            <w:tc>
              <w:tcPr>
                <w:tcW w:w="3820" w:type="dxa"/>
              </w:tcPr>
              <w:p w:rsidR="00AB16BB" w:rsidRPr="006414EA" w:rsidRDefault="001C491E" w:rsidP="006414EA">
                <w:pPr>
                  <w:tabs>
                    <w:tab w:val="right" w:pos="8838"/>
                  </w:tabs>
                  <w:ind w:right="-105"/>
                  <w:rPr>
                    <w:rFonts w:ascii="Palatino Linotype" w:eastAsia="Palatino Linotype" w:hAnsi="Palatino Linotype" w:cs="Palatino Linotype"/>
                    <w:bCs/>
                    <w:sz w:val="24"/>
                    <w:szCs w:val="22"/>
                  </w:rPr>
                </w:pPr>
                <w:r w:rsidRPr="006414EA">
                  <w:rPr>
                    <w:rFonts w:ascii="Palatino Linotype" w:eastAsia="Palatino Linotype" w:hAnsi="Palatino Linotype" w:cs="Palatino Linotype"/>
                    <w:bCs/>
                    <w:sz w:val="24"/>
                    <w:szCs w:val="22"/>
                  </w:rPr>
                  <w:t>07723/INFOEM/IP/RR/2025</w:t>
                </w:r>
              </w:p>
            </w:tc>
          </w:tr>
          <w:tr w:rsidR="00AB16BB" w:rsidTr="006414EA">
            <w:trPr>
              <w:trHeight w:val="283"/>
            </w:trPr>
            <w:tc>
              <w:tcPr>
                <w:tcW w:w="2827" w:type="dxa"/>
              </w:tcPr>
              <w:p w:rsidR="00AB16BB" w:rsidRPr="006414EA" w:rsidRDefault="001C491E">
                <w:pPr>
                  <w:tabs>
                    <w:tab w:val="right" w:pos="8838"/>
                  </w:tabs>
                  <w:ind w:right="-105"/>
                  <w:rPr>
                    <w:rFonts w:ascii="Palatino Linotype" w:eastAsia="Palatino Linotype" w:hAnsi="Palatino Linotype" w:cs="Palatino Linotype"/>
                    <w:b/>
                    <w:bCs/>
                    <w:sz w:val="24"/>
                    <w:szCs w:val="22"/>
                  </w:rPr>
                </w:pPr>
                <w:bookmarkStart w:id="13" w:name="_heading=h.sntx7fxyoq1u" w:colFirst="0" w:colLast="0"/>
                <w:bookmarkEnd w:id="13"/>
                <w:r w:rsidRPr="006414EA">
                  <w:rPr>
                    <w:rFonts w:ascii="Palatino Linotype" w:eastAsia="Palatino Linotype" w:hAnsi="Palatino Linotype" w:cs="Palatino Linotype"/>
                    <w:b/>
                    <w:bCs/>
                    <w:sz w:val="24"/>
                    <w:szCs w:val="22"/>
                  </w:rPr>
                  <w:t>Sujeto Obligado:</w:t>
                </w:r>
              </w:p>
            </w:tc>
            <w:tc>
              <w:tcPr>
                <w:tcW w:w="3820" w:type="dxa"/>
              </w:tcPr>
              <w:p w:rsidR="00AB16BB" w:rsidRPr="006414EA" w:rsidRDefault="001C491E" w:rsidP="006414EA">
                <w:pPr>
                  <w:tabs>
                    <w:tab w:val="left" w:pos="2834"/>
                    <w:tab w:val="right" w:pos="8838"/>
                  </w:tabs>
                  <w:ind w:right="-107"/>
                  <w:rPr>
                    <w:rFonts w:ascii="Palatino Linotype" w:eastAsia="Palatino Linotype" w:hAnsi="Palatino Linotype" w:cs="Palatino Linotype"/>
                    <w:bCs/>
                    <w:color w:val="000000"/>
                    <w:sz w:val="24"/>
                    <w:szCs w:val="22"/>
                  </w:rPr>
                </w:pPr>
                <w:r w:rsidRPr="006414EA">
                  <w:rPr>
                    <w:rFonts w:ascii="Palatino Linotype" w:eastAsia="Palatino Linotype" w:hAnsi="Palatino Linotype" w:cs="Palatino Linotype"/>
                    <w:bCs/>
                    <w:color w:val="000000"/>
                    <w:sz w:val="24"/>
                    <w:szCs w:val="22"/>
                  </w:rPr>
                  <w:t>Ayuntamiento de Toluca</w:t>
                </w:r>
              </w:p>
            </w:tc>
          </w:tr>
          <w:tr w:rsidR="00AB16BB" w:rsidTr="006414EA">
            <w:trPr>
              <w:trHeight w:val="283"/>
            </w:trPr>
            <w:tc>
              <w:tcPr>
                <w:tcW w:w="2827" w:type="dxa"/>
              </w:tcPr>
              <w:p w:rsidR="00AB16BB" w:rsidRPr="006414EA" w:rsidRDefault="001C491E">
                <w:pPr>
                  <w:tabs>
                    <w:tab w:val="right" w:pos="8838"/>
                  </w:tabs>
                  <w:ind w:right="-105"/>
                  <w:rPr>
                    <w:rFonts w:ascii="Palatino Linotype" w:eastAsia="Palatino Linotype" w:hAnsi="Palatino Linotype" w:cs="Palatino Linotype"/>
                    <w:b/>
                    <w:bCs/>
                    <w:sz w:val="24"/>
                    <w:szCs w:val="22"/>
                  </w:rPr>
                </w:pPr>
                <w:r w:rsidRPr="006414EA">
                  <w:rPr>
                    <w:rFonts w:ascii="Palatino Linotype" w:eastAsia="Palatino Linotype" w:hAnsi="Palatino Linotype" w:cs="Palatino Linotype"/>
                    <w:b/>
                    <w:bCs/>
                    <w:sz w:val="24"/>
                    <w:szCs w:val="22"/>
                  </w:rPr>
                  <w:t>Comisionada Ponente:</w:t>
                </w:r>
              </w:p>
            </w:tc>
            <w:tc>
              <w:tcPr>
                <w:tcW w:w="3820" w:type="dxa"/>
              </w:tcPr>
              <w:p w:rsidR="00AB16BB" w:rsidRPr="006414EA" w:rsidRDefault="001C491E" w:rsidP="006414EA">
                <w:pPr>
                  <w:tabs>
                    <w:tab w:val="right" w:pos="8838"/>
                  </w:tabs>
                  <w:ind w:left="-113" w:right="-105"/>
                  <w:rPr>
                    <w:rFonts w:ascii="Palatino Linotype" w:eastAsia="Palatino Linotype" w:hAnsi="Palatino Linotype" w:cs="Palatino Linotype"/>
                    <w:bCs/>
                    <w:sz w:val="24"/>
                    <w:szCs w:val="22"/>
                  </w:rPr>
                </w:pPr>
                <w:r w:rsidRPr="006414EA">
                  <w:rPr>
                    <w:rFonts w:ascii="Palatino Linotype" w:eastAsia="Palatino Linotype" w:hAnsi="Palatino Linotype" w:cs="Palatino Linotype"/>
                    <w:bCs/>
                    <w:sz w:val="24"/>
                    <w:szCs w:val="22"/>
                  </w:rPr>
                  <w:t>María del Rosario Mejía Ayala</w:t>
                </w:r>
              </w:p>
            </w:tc>
          </w:tr>
        </w:tbl>
        <w:p w:rsidR="00AB16BB" w:rsidRDefault="00AB16BB">
          <w:pPr>
            <w:tabs>
              <w:tab w:val="right" w:pos="8838"/>
            </w:tabs>
            <w:ind w:left="-28"/>
            <w:jc w:val="both"/>
            <w:rPr>
              <w:rFonts w:ascii="Arial" w:eastAsia="Arial" w:hAnsi="Arial" w:cs="Arial"/>
              <w:b/>
              <w:bCs/>
              <w:sz w:val="22"/>
              <w:szCs w:val="22"/>
            </w:rPr>
          </w:pPr>
        </w:p>
      </w:tc>
    </w:tr>
  </w:tbl>
  <w:p w:rsidR="00AB16BB" w:rsidRPr="006414EA" w:rsidRDefault="00137C3C" w:rsidP="006414EA">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79.4pt;margin-top:-137.2pt;width:663.5pt;height:12in;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2"/>
      <w:tblW w:w="10065" w:type="dxa"/>
      <w:tblInd w:w="0" w:type="dxa"/>
      <w:tblLayout w:type="fixed"/>
      <w:tblLook w:val="0400" w:firstRow="0" w:lastRow="0" w:firstColumn="0" w:lastColumn="0" w:noHBand="0" w:noVBand="1"/>
    </w:tblPr>
    <w:tblGrid>
      <w:gridCol w:w="1560"/>
      <w:gridCol w:w="8505"/>
    </w:tblGrid>
    <w:tr w:rsidR="00AB16BB" w:rsidTr="006414EA">
      <w:trPr>
        <w:trHeight w:val="1435"/>
      </w:trPr>
      <w:tc>
        <w:tcPr>
          <w:tcW w:w="1560" w:type="dxa"/>
          <w:shd w:val="clear" w:color="auto" w:fill="auto"/>
        </w:tcPr>
        <w:p w:rsidR="00AB16BB" w:rsidRDefault="00AB16BB">
          <w:pPr>
            <w:tabs>
              <w:tab w:val="right" w:pos="4273"/>
            </w:tabs>
            <w:rPr>
              <w:rFonts w:ascii="Garamond" w:eastAsia="Garamond" w:hAnsi="Garamond" w:cs="Garamond"/>
              <w:sz w:val="22"/>
              <w:szCs w:val="22"/>
            </w:rPr>
          </w:pPr>
        </w:p>
      </w:tc>
      <w:tc>
        <w:tcPr>
          <w:tcW w:w="8505" w:type="dxa"/>
          <w:shd w:val="clear" w:color="auto" w:fill="auto"/>
        </w:tcPr>
        <w:tbl>
          <w:tblPr>
            <w:tblStyle w:val="a3"/>
            <w:tblW w:w="9311" w:type="dxa"/>
            <w:tblInd w:w="1879" w:type="dxa"/>
            <w:tblBorders>
              <w:top w:val="nil"/>
              <w:left w:val="nil"/>
              <w:bottom w:val="nil"/>
              <w:right w:val="nil"/>
              <w:insideH w:val="nil"/>
              <w:insideV w:val="nil"/>
            </w:tblBorders>
            <w:tblLayout w:type="fixed"/>
            <w:tblLook w:val="0400" w:firstRow="0" w:lastRow="0" w:firstColumn="0" w:lastColumn="0" w:noHBand="0" w:noVBand="1"/>
          </w:tblPr>
          <w:tblGrid>
            <w:gridCol w:w="2825"/>
            <w:gridCol w:w="3507"/>
            <w:gridCol w:w="2979"/>
          </w:tblGrid>
          <w:tr w:rsidR="00AB16BB" w:rsidTr="006414EA">
            <w:trPr>
              <w:trHeight w:val="144"/>
            </w:trPr>
            <w:tc>
              <w:tcPr>
                <w:tcW w:w="2825" w:type="dxa"/>
              </w:tcPr>
              <w:p w:rsidR="00AB16BB" w:rsidRPr="006414EA" w:rsidRDefault="001C491E">
                <w:pPr>
                  <w:tabs>
                    <w:tab w:val="right" w:pos="8838"/>
                  </w:tabs>
                  <w:ind w:left="-74" w:right="-105"/>
                  <w:rPr>
                    <w:rFonts w:ascii="Palatino Linotype" w:eastAsia="Palatino Linotype" w:hAnsi="Palatino Linotype" w:cs="Palatino Linotype"/>
                    <w:b/>
                    <w:bCs/>
                    <w:sz w:val="24"/>
                    <w:szCs w:val="24"/>
                  </w:rPr>
                </w:pPr>
                <w:bookmarkStart w:id="14" w:name="_heading=h.4ncr9cyvsfbz" w:colFirst="0" w:colLast="0"/>
                <w:bookmarkEnd w:id="14"/>
                <w:r w:rsidRPr="006414EA">
                  <w:rPr>
                    <w:rFonts w:ascii="Palatino Linotype" w:eastAsia="Palatino Linotype" w:hAnsi="Palatino Linotype" w:cs="Palatino Linotype"/>
                    <w:b/>
                    <w:bCs/>
                    <w:sz w:val="24"/>
                    <w:szCs w:val="24"/>
                  </w:rPr>
                  <w:t>Recurso de Revisión:</w:t>
                </w:r>
              </w:p>
            </w:tc>
            <w:tc>
              <w:tcPr>
                <w:tcW w:w="3507" w:type="dxa"/>
              </w:tcPr>
              <w:p w:rsidR="00AB16BB" w:rsidRPr="006414EA" w:rsidRDefault="001C491E">
                <w:pPr>
                  <w:tabs>
                    <w:tab w:val="right" w:pos="8838"/>
                  </w:tabs>
                  <w:ind w:left="-3" w:right="-105"/>
                  <w:jc w:val="both"/>
                  <w:rPr>
                    <w:rFonts w:ascii="Palatino Linotype" w:eastAsia="Palatino Linotype" w:hAnsi="Palatino Linotype" w:cs="Palatino Linotype"/>
                    <w:bCs/>
                    <w:sz w:val="24"/>
                    <w:szCs w:val="24"/>
                  </w:rPr>
                </w:pPr>
                <w:r w:rsidRPr="006414EA">
                  <w:rPr>
                    <w:rFonts w:ascii="Palatino Linotype" w:eastAsia="Palatino Linotype" w:hAnsi="Palatino Linotype" w:cs="Palatino Linotype"/>
                    <w:bCs/>
                    <w:sz w:val="24"/>
                    <w:szCs w:val="24"/>
                  </w:rPr>
                  <w:t> 07723/INFOEM/IP/RR/2025</w:t>
                </w:r>
              </w:p>
            </w:tc>
            <w:tc>
              <w:tcPr>
                <w:tcW w:w="2979" w:type="dxa"/>
              </w:tcPr>
              <w:p w:rsidR="00AB16BB" w:rsidRDefault="00AB16BB">
                <w:pPr>
                  <w:tabs>
                    <w:tab w:val="right" w:pos="8838"/>
                  </w:tabs>
                  <w:ind w:left="-74" w:right="-105"/>
                  <w:jc w:val="both"/>
                  <w:rPr>
                    <w:rFonts w:ascii="Palatino Linotype" w:eastAsia="Palatino Linotype" w:hAnsi="Palatino Linotype" w:cs="Palatino Linotype"/>
                    <w:sz w:val="22"/>
                    <w:szCs w:val="22"/>
                  </w:rPr>
                </w:pPr>
              </w:p>
            </w:tc>
          </w:tr>
          <w:tr w:rsidR="00AB16BB" w:rsidTr="006414EA">
            <w:trPr>
              <w:trHeight w:val="144"/>
            </w:trPr>
            <w:tc>
              <w:tcPr>
                <w:tcW w:w="2825" w:type="dxa"/>
              </w:tcPr>
              <w:p w:rsidR="00AB16BB" w:rsidRPr="006414EA" w:rsidRDefault="001C491E">
                <w:pPr>
                  <w:tabs>
                    <w:tab w:val="right" w:pos="8838"/>
                  </w:tabs>
                  <w:ind w:left="-74" w:right="-105"/>
                  <w:rPr>
                    <w:rFonts w:ascii="Palatino Linotype" w:eastAsia="Palatino Linotype" w:hAnsi="Palatino Linotype" w:cs="Palatino Linotype"/>
                    <w:b/>
                    <w:bCs/>
                    <w:sz w:val="24"/>
                    <w:szCs w:val="24"/>
                  </w:rPr>
                </w:pPr>
                <w:bookmarkStart w:id="15" w:name="_heading=h.qpf8b5m7kzlq" w:colFirst="0" w:colLast="0"/>
                <w:bookmarkEnd w:id="15"/>
                <w:r w:rsidRPr="006414EA">
                  <w:rPr>
                    <w:rFonts w:ascii="Palatino Linotype" w:eastAsia="Palatino Linotype" w:hAnsi="Palatino Linotype" w:cs="Palatino Linotype"/>
                    <w:b/>
                    <w:bCs/>
                    <w:sz w:val="24"/>
                    <w:szCs w:val="24"/>
                  </w:rPr>
                  <w:t>Recurrente:</w:t>
                </w:r>
              </w:p>
            </w:tc>
            <w:tc>
              <w:tcPr>
                <w:tcW w:w="3507" w:type="dxa"/>
              </w:tcPr>
              <w:p w:rsidR="00AB16BB" w:rsidRPr="006414EA" w:rsidRDefault="00AB16BB" w:rsidP="00C94138">
                <w:pPr>
                  <w:tabs>
                    <w:tab w:val="left" w:pos="3122"/>
                    <w:tab w:val="right" w:pos="8838"/>
                  </w:tabs>
                  <w:ind w:right="1457"/>
                  <w:jc w:val="both"/>
                  <w:rPr>
                    <w:rFonts w:ascii="Palatino Linotype" w:eastAsia="Palatino Linotype" w:hAnsi="Palatino Linotype" w:cs="Palatino Linotype"/>
                    <w:bCs/>
                    <w:sz w:val="24"/>
                    <w:szCs w:val="24"/>
                  </w:rPr>
                </w:pPr>
              </w:p>
            </w:tc>
            <w:tc>
              <w:tcPr>
                <w:tcW w:w="2979" w:type="dxa"/>
              </w:tcPr>
              <w:p w:rsidR="00AB16BB" w:rsidRDefault="00AB16BB">
                <w:pPr>
                  <w:tabs>
                    <w:tab w:val="left" w:pos="3122"/>
                    <w:tab w:val="right" w:pos="8838"/>
                  </w:tabs>
                  <w:ind w:right="-105"/>
                  <w:jc w:val="both"/>
                  <w:rPr>
                    <w:rFonts w:ascii="Palatino Linotype" w:eastAsia="Palatino Linotype" w:hAnsi="Palatino Linotype" w:cs="Palatino Linotype"/>
                    <w:sz w:val="22"/>
                    <w:szCs w:val="22"/>
                  </w:rPr>
                </w:pPr>
              </w:p>
            </w:tc>
          </w:tr>
          <w:tr w:rsidR="00AB16BB" w:rsidTr="006414EA">
            <w:trPr>
              <w:trHeight w:val="283"/>
            </w:trPr>
            <w:tc>
              <w:tcPr>
                <w:tcW w:w="2825" w:type="dxa"/>
              </w:tcPr>
              <w:p w:rsidR="00AB16BB" w:rsidRPr="006414EA" w:rsidRDefault="001C491E">
                <w:pPr>
                  <w:tabs>
                    <w:tab w:val="right" w:pos="8838"/>
                  </w:tabs>
                  <w:ind w:left="-74" w:right="-105"/>
                  <w:rPr>
                    <w:rFonts w:ascii="Palatino Linotype" w:eastAsia="Palatino Linotype" w:hAnsi="Palatino Linotype" w:cs="Palatino Linotype"/>
                    <w:b/>
                    <w:bCs/>
                    <w:sz w:val="24"/>
                    <w:szCs w:val="24"/>
                  </w:rPr>
                </w:pPr>
                <w:r w:rsidRPr="006414EA">
                  <w:rPr>
                    <w:rFonts w:ascii="Palatino Linotype" w:eastAsia="Palatino Linotype" w:hAnsi="Palatino Linotype" w:cs="Palatino Linotype"/>
                    <w:b/>
                    <w:bCs/>
                    <w:sz w:val="24"/>
                    <w:szCs w:val="24"/>
                  </w:rPr>
                  <w:t>Sujeto Obligado:</w:t>
                </w:r>
              </w:p>
            </w:tc>
            <w:tc>
              <w:tcPr>
                <w:tcW w:w="3507" w:type="dxa"/>
              </w:tcPr>
              <w:p w:rsidR="00AB16BB" w:rsidRPr="006414EA" w:rsidRDefault="001C491E" w:rsidP="006414EA">
                <w:pPr>
                  <w:tabs>
                    <w:tab w:val="right" w:pos="8838"/>
                  </w:tabs>
                  <w:ind w:left="-3" w:right="-105"/>
                  <w:jc w:val="both"/>
                  <w:rPr>
                    <w:rFonts w:ascii="Palatino Linotype" w:eastAsia="Palatino Linotype" w:hAnsi="Palatino Linotype" w:cs="Palatino Linotype"/>
                    <w:bCs/>
                    <w:sz w:val="24"/>
                    <w:szCs w:val="24"/>
                  </w:rPr>
                </w:pPr>
                <w:r w:rsidRPr="006414EA">
                  <w:rPr>
                    <w:rFonts w:ascii="Palatino Linotype" w:eastAsia="Palatino Linotype" w:hAnsi="Palatino Linotype" w:cs="Palatino Linotype"/>
                    <w:bCs/>
                    <w:color w:val="000000"/>
                    <w:sz w:val="24"/>
                    <w:szCs w:val="24"/>
                  </w:rPr>
                  <w:t>Ayuntamiento de Toluca</w:t>
                </w:r>
              </w:p>
            </w:tc>
            <w:tc>
              <w:tcPr>
                <w:tcW w:w="2979" w:type="dxa"/>
              </w:tcPr>
              <w:p w:rsidR="00AB16BB" w:rsidRDefault="00AB16BB">
                <w:pPr>
                  <w:tabs>
                    <w:tab w:val="left" w:pos="2834"/>
                    <w:tab w:val="right" w:pos="8838"/>
                  </w:tabs>
                  <w:ind w:left="-74" w:right="-105"/>
                  <w:jc w:val="both"/>
                  <w:rPr>
                    <w:rFonts w:ascii="Palatino Linotype" w:eastAsia="Palatino Linotype" w:hAnsi="Palatino Linotype" w:cs="Palatino Linotype"/>
                    <w:b/>
                    <w:bCs/>
                  </w:rPr>
                </w:pPr>
              </w:p>
            </w:tc>
          </w:tr>
          <w:tr w:rsidR="00AB16BB" w:rsidTr="006414EA">
            <w:trPr>
              <w:trHeight w:val="283"/>
            </w:trPr>
            <w:tc>
              <w:tcPr>
                <w:tcW w:w="2825" w:type="dxa"/>
              </w:tcPr>
              <w:p w:rsidR="00AB16BB" w:rsidRPr="006414EA" w:rsidRDefault="001C491E">
                <w:pPr>
                  <w:tabs>
                    <w:tab w:val="right" w:pos="8838"/>
                  </w:tabs>
                  <w:ind w:left="-74" w:right="-105"/>
                  <w:rPr>
                    <w:rFonts w:ascii="Palatino Linotype" w:eastAsia="Palatino Linotype" w:hAnsi="Palatino Linotype" w:cs="Palatino Linotype"/>
                    <w:b/>
                    <w:bCs/>
                    <w:sz w:val="24"/>
                    <w:szCs w:val="24"/>
                  </w:rPr>
                </w:pPr>
                <w:r w:rsidRPr="006414EA">
                  <w:rPr>
                    <w:rFonts w:ascii="Palatino Linotype" w:eastAsia="Palatino Linotype" w:hAnsi="Palatino Linotype" w:cs="Palatino Linotype"/>
                    <w:b/>
                    <w:bCs/>
                    <w:sz w:val="24"/>
                    <w:szCs w:val="24"/>
                  </w:rPr>
                  <w:t>Comisionada Ponente:</w:t>
                </w:r>
              </w:p>
            </w:tc>
            <w:tc>
              <w:tcPr>
                <w:tcW w:w="3507" w:type="dxa"/>
              </w:tcPr>
              <w:p w:rsidR="00AB16BB" w:rsidRPr="006414EA" w:rsidRDefault="001C491E">
                <w:pPr>
                  <w:tabs>
                    <w:tab w:val="right" w:pos="8838"/>
                  </w:tabs>
                  <w:ind w:left="-3" w:right="-105"/>
                  <w:jc w:val="both"/>
                  <w:rPr>
                    <w:rFonts w:ascii="Palatino Linotype" w:eastAsia="Palatino Linotype" w:hAnsi="Palatino Linotype" w:cs="Palatino Linotype"/>
                    <w:bCs/>
                    <w:sz w:val="24"/>
                    <w:szCs w:val="24"/>
                  </w:rPr>
                </w:pPr>
                <w:r w:rsidRPr="006414EA">
                  <w:rPr>
                    <w:rFonts w:ascii="Palatino Linotype" w:eastAsia="Palatino Linotype" w:hAnsi="Palatino Linotype" w:cs="Palatino Linotype"/>
                    <w:bCs/>
                    <w:sz w:val="24"/>
                    <w:szCs w:val="24"/>
                  </w:rPr>
                  <w:t>María del Rosario Mejía Ayala</w:t>
                </w:r>
              </w:p>
            </w:tc>
            <w:tc>
              <w:tcPr>
                <w:tcW w:w="2979" w:type="dxa"/>
              </w:tcPr>
              <w:p w:rsidR="00AB16BB" w:rsidRDefault="00AB16BB">
                <w:pPr>
                  <w:tabs>
                    <w:tab w:val="right" w:pos="8838"/>
                  </w:tabs>
                  <w:ind w:left="-74" w:right="-105"/>
                  <w:jc w:val="both"/>
                  <w:rPr>
                    <w:rFonts w:ascii="Palatino Linotype" w:eastAsia="Palatino Linotype" w:hAnsi="Palatino Linotype" w:cs="Palatino Linotype"/>
                    <w:b/>
                    <w:bCs/>
                  </w:rPr>
                </w:pPr>
              </w:p>
            </w:tc>
          </w:tr>
        </w:tbl>
        <w:p w:rsidR="00AB16BB" w:rsidRDefault="00AB16BB">
          <w:pPr>
            <w:tabs>
              <w:tab w:val="right" w:pos="8838"/>
            </w:tabs>
            <w:ind w:left="-28"/>
            <w:jc w:val="both"/>
            <w:rPr>
              <w:rFonts w:ascii="Arial" w:eastAsia="Arial" w:hAnsi="Arial" w:cs="Arial"/>
              <w:b/>
              <w:bCs/>
              <w:sz w:val="22"/>
              <w:szCs w:val="22"/>
            </w:rPr>
          </w:pPr>
        </w:p>
      </w:tc>
    </w:tr>
  </w:tbl>
  <w:p w:rsidR="00AB16BB" w:rsidRDefault="00137C3C">
    <w:pPr>
      <w:pBdr>
        <w:top w:val="nil"/>
        <w:left w:val="nil"/>
        <w:bottom w:val="nil"/>
        <w:right w:val="nil"/>
        <w:between w:val="nil"/>
      </w:pBdr>
      <w:tabs>
        <w:tab w:val="center" w:pos="4419"/>
        <w:tab w:val="right" w:pos="8838"/>
        <w:tab w:val="center" w:pos="4522"/>
      </w:tabs>
      <w:rPr>
        <w:color w:val="000000"/>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75.8pt;margin-top:-138.35pt;width:663.5pt;height:12in;z-index:-251658752;mso-position-horizontal-relative:margin;mso-position-vertical-relative:margin">
          <v:imagedata r:id="rId1" o:title="image1"/>
          <w10:wrap anchorx="margin" anchory="margin"/>
        </v:shape>
      </w:pict>
    </w:r>
  </w:p>
  <w:p w:rsidR="00AB16BB" w:rsidRDefault="00AB16BB"/>
  <w:p w:rsidR="00AB16BB" w:rsidRDefault="00AB16B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35011"/>
    <w:multiLevelType w:val="hybridMultilevel"/>
    <w:tmpl w:val="15803DA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2AA9441B"/>
    <w:multiLevelType w:val="multilevel"/>
    <w:tmpl w:val="00AE657A"/>
    <w:lvl w:ilvl="0">
      <w:start w:val="1"/>
      <w:numFmt w:val="upperRoman"/>
      <w:pStyle w:val="Listaconvietas2"/>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BED7149"/>
    <w:multiLevelType w:val="multilevel"/>
    <w:tmpl w:val="A9106386"/>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3" w15:restartNumberingAfterBreak="0">
    <w:nsid w:val="2CF856F1"/>
    <w:multiLevelType w:val="multilevel"/>
    <w:tmpl w:val="3F6EC1E0"/>
    <w:lvl w:ilvl="0">
      <w:start w:val="1"/>
      <w:numFmt w:val="decimal"/>
      <w:lvlText w:val="%1."/>
      <w:lvlJc w:val="left"/>
      <w:pPr>
        <w:ind w:left="501" w:hanging="359"/>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2236AF0"/>
    <w:multiLevelType w:val="multilevel"/>
    <w:tmpl w:val="884E7C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3312AF"/>
    <w:multiLevelType w:val="multilevel"/>
    <w:tmpl w:val="04768E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31C54EC"/>
    <w:multiLevelType w:val="multilevel"/>
    <w:tmpl w:val="4B5674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3"/>
  </w:num>
  <w:num w:numId="3">
    <w:abstractNumId w:val="2"/>
  </w:num>
  <w:num w:numId="4">
    <w:abstractNumId w:val="4"/>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6BB"/>
    <w:rsid w:val="00137C3C"/>
    <w:rsid w:val="001C491E"/>
    <w:rsid w:val="006414EA"/>
    <w:rsid w:val="00AB16BB"/>
    <w:rsid w:val="00B24FB3"/>
    <w:rsid w:val="00C94138"/>
    <w:rsid w:val="00CF7C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BD712D5F-D4E5-4183-B3D3-10D192BC4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40"/>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uiPriority w:val="9"/>
    <w:rsid w:val="00D136D0"/>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uiPriority w:val="9"/>
    <w:rsid w:val="00D136D0"/>
    <w:rPr>
      <w:rFonts w:asciiTheme="majorHAnsi" w:eastAsiaTheme="majorEastAsia" w:hAnsiTheme="majorHAnsi" w:cstheme="majorBidi"/>
      <w:color w:val="2E74B5" w:themeColor="accent1" w:themeShade="BF"/>
      <w:sz w:val="26"/>
      <w:szCs w:val="26"/>
      <w:lang w:eastAsia="es-ES"/>
    </w:rPr>
  </w:style>
  <w:style w:type="paragraph" w:styleId="Encabezado">
    <w:name w:val="header"/>
    <w:basedOn w:val="Normal"/>
    <w:link w:val="EncabezadoCar"/>
    <w:uiPriority w:val="99"/>
    <w:unhideWhenUsed/>
    <w:qFormat/>
    <w:rsid w:val="00D136D0"/>
    <w:pPr>
      <w:tabs>
        <w:tab w:val="center" w:pos="4419"/>
        <w:tab w:val="right" w:pos="8838"/>
      </w:tabs>
    </w:pPr>
  </w:style>
  <w:style w:type="character" w:customStyle="1" w:styleId="EncabezadoCar">
    <w:name w:val="Encabezado Car"/>
    <w:basedOn w:val="Fuentedeprrafopredeter"/>
    <w:link w:val="Encabezado"/>
    <w:uiPriority w:val="99"/>
    <w:qFormat/>
    <w:rsid w:val="00D136D0"/>
    <w:rPr>
      <w:rFonts w:ascii="Times New Roman" w:eastAsia="Times New Roman" w:hAnsi="Times New Roman" w:cs="Times New Roman"/>
      <w:sz w:val="20"/>
      <w:szCs w:val="20"/>
      <w:lang w:eastAsia="es-ES"/>
    </w:rPr>
  </w:style>
  <w:style w:type="paragraph" w:styleId="Listaconvietas2">
    <w:name w:val="List Bullet 2"/>
    <w:basedOn w:val="Normal"/>
    <w:uiPriority w:val="99"/>
    <w:unhideWhenUsed/>
    <w:qFormat/>
    <w:rsid w:val="00D136D0"/>
    <w:pPr>
      <w:numPr>
        <w:numId w:val="1"/>
      </w:numPr>
      <w:contextualSpacing/>
    </w:pPr>
  </w:style>
  <w:style w:type="paragraph" w:styleId="Piedepgina">
    <w:name w:val="footer"/>
    <w:basedOn w:val="Normal"/>
    <w:link w:val="PiedepginaCar"/>
    <w:uiPriority w:val="99"/>
    <w:unhideWhenUsed/>
    <w:qFormat/>
    <w:rsid w:val="00D136D0"/>
    <w:pPr>
      <w:tabs>
        <w:tab w:val="center" w:pos="4419"/>
        <w:tab w:val="right" w:pos="8838"/>
      </w:tabs>
    </w:pPr>
  </w:style>
  <w:style w:type="character" w:customStyle="1" w:styleId="PiedepginaCar">
    <w:name w:val="Pie de página Car"/>
    <w:basedOn w:val="Fuentedeprrafopredeter"/>
    <w:link w:val="Piedepgina"/>
    <w:uiPriority w:val="99"/>
    <w:qFormat/>
    <w:rsid w:val="00D136D0"/>
    <w:rPr>
      <w:rFonts w:ascii="Times New Roman" w:eastAsia="Times New Roman" w:hAnsi="Times New Roman" w:cs="Times New Roman"/>
      <w:sz w:val="20"/>
      <w:szCs w:val="20"/>
      <w:lang w:eastAsia="es-ES"/>
    </w:rPr>
  </w:style>
  <w:style w:type="table" w:styleId="Tablaconcuadrcula">
    <w:name w:val="Table Grid"/>
    <w:basedOn w:val="Tablanormal"/>
    <w:uiPriority w:val="39"/>
    <w:qFormat/>
    <w:rsid w:val="00D136D0"/>
    <w:rPr>
      <w:rFonts w:eastAsia="SimSu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136D0"/>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D136D0"/>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9F7816"/>
    <w:rPr>
      <w:color w:val="0563C1" w:themeColor="hyperlink"/>
      <w:u w:val="single"/>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mawww.sat.gob.mx/factura/Paginas/solicita_requisitos.ht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1TXXkvJ3VT0X08wC+X76LFZQ==">CgMxLjAyDmguZG40bjZpM2VpNjRzMghoLmdqZGd4czIJaC4zMGowemxsMgloLjFmb2I5dGUyCWguM3pueXNoNzIJaC4yZXQ5MnAwMgloLjNkeTZ2a20yDmgucG0zN2gyOGF3eHZ5Mg5oLnRtZjZxd2F3ZHB1ZjIJaC40ZDM0b2c4MghoLnR5amN3dDIOaC5zbnR4N2Z4eW9xMXUyDmguNG5jcjljeXZzZmJ6Mg5oLnFwZjhiNW03a3pscTgAciExbmYyYXVpUjlhbmVvZFNIYjFyOFBWSmdxMHVTTWxSa3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25</Pages>
  <Words>5420</Words>
  <Characters>29816</Characters>
  <Application>Microsoft Office Word</Application>
  <DocSecurity>0</DocSecurity>
  <Lines>248</Lines>
  <Paragraphs>70</Paragraphs>
  <ScaleCrop>false</ScaleCrop>
  <Company>HP Inc.</Company>
  <LinksUpToDate>false</LinksUpToDate>
  <CharactersWithSpaces>35166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Cuenta Microsoft</cp:lastModifiedBy>
  <cp:revision>5</cp:revision>
  <dcterms:created xsi:type="dcterms:W3CDTF">2026-01-13T17:16:00Z</dcterms:created>
  <dcterms:modified xsi:type="dcterms:W3CDTF">2026-02-03T22:42:00Z</dcterms:modified>
</cp:coreProperties>
</file>