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7A67A" w14:textId="6BB43095" w:rsidR="00893048" w:rsidRPr="00580FBF" w:rsidRDefault="00893048" w:rsidP="00893048">
      <w:pPr>
        <w:spacing w:line="360" w:lineRule="auto"/>
        <w:jc w:val="both"/>
        <w:rPr>
          <w:rFonts w:ascii="Palatino Linotype" w:eastAsia="Palatino Linotype" w:hAnsi="Palatino Linotype" w:cs="Palatino Linotype"/>
        </w:rPr>
      </w:pPr>
      <w:r w:rsidRPr="00580FBF">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w:t>
      </w:r>
      <w:r w:rsidR="00580FBF">
        <w:rPr>
          <w:rFonts w:ascii="Palatino Linotype" w:eastAsia="Palatino Linotype" w:hAnsi="Palatino Linotype" w:cs="Palatino Linotype"/>
        </w:rPr>
        <w:t xml:space="preserve"> fecha</w:t>
      </w:r>
      <w:r w:rsidRPr="00580FBF">
        <w:rPr>
          <w:rFonts w:ascii="Palatino Linotype" w:eastAsia="Palatino Linotype" w:hAnsi="Palatino Linotype" w:cs="Palatino Linotype"/>
        </w:rPr>
        <w:t xml:space="preserve"> </w:t>
      </w:r>
      <w:r w:rsidR="007B02FB" w:rsidRPr="00580FBF">
        <w:rPr>
          <w:rFonts w:ascii="Palatino Linotype" w:eastAsia="Palatino Linotype" w:hAnsi="Palatino Linotype" w:cs="Palatino Linotype"/>
          <w:b/>
        </w:rPr>
        <w:t xml:space="preserve">trece </w:t>
      </w:r>
      <w:r w:rsidR="00580FBF">
        <w:rPr>
          <w:rFonts w:ascii="Palatino Linotype" w:eastAsia="Palatino Linotype" w:hAnsi="Palatino Linotype" w:cs="Palatino Linotype"/>
          <w:b/>
        </w:rPr>
        <w:t xml:space="preserve">(13) </w:t>
      </w:r>
      <w:r w:rsidR="003775C0" w:rsidRPr="00580FBF">
        <w:rPr>
          <w:rFonts w:ascii="Palatino Linotype" w:eastAsia="Palatino Linotype" w:hAnsi="Palatino Linotype" w:cs="Palatino Linotype"/>
          <w:b/>
        </w:rPr>
        <w:t xml:space="preserve">de mayo </w:t>
      </w:r>
      <w:r w:rsidRPr="00580FBF">
        <w:rPr>
          <w:rFonts w:ascii="Palatino Linotype" w:eastAsia="Palatino Linotype" w:hAnsi="Palatino Linotype" w:cs="Palatino Linotype"/>
          <w:b/>
        </w:rPr>
        <w:t>de dos mil veintiséis</w:t>
      </w:r>
      <w:r w:rsidRPr="00580FBF">
        <w:rPr>
          <w:rFonts w:ascii="Palatino Linotype" w:eastAsia="Palatino Linotype" w:hAnsi="Palatino Linotype" w:cs="Palatino Linotype"/>
        </w:rPr>
        <w:t xml:space="preserve">. </w:t>
      </w:r>
    </w:p>
    <w:p w14:paraId="353A4BF8" w14:textId="77777777" w:rsidR="00893048" w:rsidRPr="00580FBF" w:rsidRDefault="00893048" w:rsidP="00893048">
      <w:pPr>
        <w:spacing w:line="360" w:lineRule="auto"/>
        <w:jc w:val="both"/>
        <w:rPr>
          <w:rFonts w:ascii="Palatino Linotype" w:eastAsia="Palatino Linotype" w:hAnsi="Palatino Linotype" w:cs="Palatino Linotype"/>
        </w:rPr>
      </w:pPr>
    </w:p>
    <w:p w14:paraId="18814509" w14:textId="217AF687" w:rsidR="00893048" w:rsidRPr="00580FBF" w:rsidRDefault="00893048" w:rsidP="00893048">
      <w:pPr>
        <w:spacing w:line="360" w:lineRule="auto"/>
        <w:jc w:val="both"/>
        <w:rPr>
          <w:rFonts w:ascii="Palatino Linotype" w:eastAsia="Palatino Linotype" w:hAnsi="Palatino Linotype" w:cs="Palatino Linotype"/>
        </w:rPr>
      </w:pPr>
      <w:r w:rsidRPr="00580FBF">
        <w:rPr>
          <w:rFonts w:ascii="Palatino Linotype" w:eastAsia="Palatino Linotype" w:hAnsi="Palatino Linotype" w:cs="Palatino Linotype"/>
          <w:b/>
          <w:bCs/>
        </w:rPr>
        <w:t>VISTO</w:t>
      </w:r>
      <w:r w:rsidRPr="00580FBF">
        <w:rPr>
          <w:rFonts w:ascii="Palatino Linotype" w:eastAsia="Palatino Linotype" w:hAnsi="Palatino Linotype" w:cs="Palatino Linotype"/>
        </w:rPr>
        <w:t xml:space="preserve"> el expediente electrónico formado con motivo del recurso de revisión </w:t>
      </w:r>
      <w:r w:rsidR="003775C0" w:rsidRPr="00580FBF">
        <w:rPr>
          <w:rFonts w:ascii="Palatino Linotype" w:eastAsia="Palatino Linotype" w:hAnsi="Palatino Linotype" w:cs="Palatino Linotype"/>
          <w:b/>
          <w:bCs/>
        </w:rPr>
        <w:t>01118</w:t>
      </w:r>
      <w:r w:rsidRPr="00580FBF">
        <w:rPr>
          <w:rFonts w:ascii="Palatino Linotype" w:eastAsia="Palatino Linotype" w:hAnsi="Palatino Linotype" w:cs="Palatino Linotype"/>
          <w:b/>
          <w:bCs/>
        </w:rPr>
        <w:t>/INFOEM/IP/RR/202</w:t>
      </w:r>
      <w:r w:rsidR="003775C0" w:rsidRPr="00580FBF">
        <w:rPr>
          <w:rFonts w:ascii="Palatino Linotype" w:eastAsia="Palatino Linotype" w:hAnsi="Palatino Linotype" w:cs="Palatino Linotype"/>
          <w:b/>
          <w:bCs/>
        </w:rPr>
        <w:t>6</w:t>
      </w:r>
      <w:r w:rsidRPr="00580FBF">
        <w:rPr>
          <w:rFonts w:ascii="Palatino Linotype" w:eastAsia="Palatino Linotype" w:hAnsi="Palatino Linotype" w:cs="Palatino Linotype"/>
          <w:b/>
          <w:bCs/>
        </w:rPr>
        <w:t xml:space="preserve">, </w:t>
      </w:r>
      <w:r w:rsidRPr="00580FBF">
        <w:rPr>
          <w:rFonts w:ascii="Palatino Linotype" w:eastAsia="Palatino Linotype" w:hAnsi="Palatino Linotype" w:cs="Palatino Linotype"/>
        </w:rPr>
        <w:t xml:space="preserve">promovido por </w:t>
      </w:r>
      <w:r w:rsidR="00386EAE">
        <w:rPr>
          <w:rFonts w:ascii="Palatino Linotype" w:eastAsia="Palatino Linotype" w:hAnsi="Palatino Linotype" w:cs="Palatino Linotype"/>
          <w:b/>
          <w:bCs/>
        </w:rPr>
        <w:t>XXXX</w:t>
      </w:r>
      <w:r w:rsidRPr="00580FBF">
        <w:rPr>
          <w:rFonts w:ascii="Palatino Linotype" w:eastAsia="Palatino Linotype" w:hAnsi="Palatino Linotype" w:cs="Palatino Linotype"/>
        </w:rPr>
        <w:t xml:space="preserve">, </w:t>
      </w:r>
      <w:r w:rsidR="00580FBF">
        <w:rPr>
          <w:rFonts w:ascii="Palatino Linotype" w:eastAsia="Palatino Linotype" w:hAnsi="Palatino Linotype" w:cs="Palatino Linotype"/>
        </w:rPr>
        <w:t xml:space="preserve">a </w:t>
      </w:r>
      <w:r w:rsidRPr="00580FBF">
        <w:rPr>
          <w:rFonts w:ascii="Palatino Linotype" w:eastAsia="Palatino Linotype" w:hAnsi="Palatino Linotype" w:cs="Palatino Linotype"/>
        </w:rPr>
        <w:t xml:space="preserve">quien en lo sucesivo se identificará como </w:t>
      </w:r>
      <w:r w:rsidRPr="00580FBF">
        <w:rPr>
          <w:rFonts w:ascii="Palatino Linotype" w:eastAsia="Palatino Linotype" w:hAnsi="Palatino Linotype" w:cs="Palatino Linotype"/>
          <w:b/>
          <w:bCs/>
        </w:rPr>
        <w:t>EL RECURRENTE</w:t>
      </w:r>
      <w:r w:rsidRPr="00580FBF">
        <w:rPr>
          <w:rFonts w:ascii="Palatino Linotype" w:eastAsia="Palatino Linotype" w:hAnsi="Palatino Linotype" w:cs="Palatino Linotype"/>
        </w:rPr>
        <w:t xml:space="preserve">, en contra de la respuesta del </w:t>
      </w:r>
      <w:r w:rsidR="003775C0" w:rsidRPr="00580FBF">
        <w:rPr>
          <w:rFonts w:ascii="Palatino Linotype" w:eastAsia="Palatino Linotype" w:hAnsi="Palatino Linotype" w:cs="Palatino Linotype"/>
          <w:b/>
          <w:bCs/>
        </w:rPr>
        <w:t>Ayuntamiento de Ozumba</w:t>
      </w:r>
      <w:r w:rsidRPr="00580FBF">
        <w:rPr>
          <w:rFonts w:ascii="Palatino Linotype" w:eastAsia="Palatino Linotype" w:hAnsi="Palatino Linotype" w:cs="Palatino Linotype"/>
          <w:b/>
          <w:bCs/>
        </w:rPr>
        <w:t xml:space="preserve">, </w:t>
      </w:r>
      <w:r w:rsidRPr="00580FBF">
        <w:rPr>
          <w:rFonts w:ascii="Palatino Linotype" w:eastAsia="Palatino Linotype" w:hAnsi="Palatino Linotype" w:cs="Palatino Linotype"/>
        </w:rPr>
        <w:t>en adelante el</w:t>
      </w:r>
      <w:r w:rsidRPr="00580FBF">
        <w:rPr>
          <w:rFonts w:ascii="Palatino Linotype" w:eastAsia="Palatino Linotype" w:hAnsi="Palatino Linotype" w:cs="Palatino Linotype"/>
          <w:b/>
          <w:bCs/>
        </w:rPr>
        <w:t xml:space="preserve"> SUJETO OBLIGADO</w:t>
      </w:r>
      <w:r w:rsidRPr="00580FBF">
        <w:rPr>
          <w:rFonts w:ascii="Palatino Linotype" w:eastAsia="Palatino Linotype" w:hAnsi="Palatino Linotype" w:cs="Palatino Linotype"/>
        </w:rPr>
        <w:t>, por lo que se procede a dictar la presente resolución, con base en los siguientes:</w:t>
      </w:r>
    </w:p>
    <w:p w14:paraId="324218E0" w14:textId="77777777" w:rsidR="00893048" w:rsidRPr="00580FBF" w:rsidRDefault="00893048" w:rsidP="00893048">
      <w:pPr>
        <w:spacing w:line="360" w:lineRule="auto"/>
        <w:jc w:val="both"/>
        <w:rPr>
          <w:rFonts w:ascii="Palatino Linotype" w:eastAsia="Palatino Linotype" w:hAnsi="Palatino Linotype" w:cs="Palatino Linotype"/>
          <w:b/>
          <w:bCs/>
        </w:rPr>
      </w:pPr>
    </w:p>
    <w:p w14:paraId="2CC12277" w14:textId="77777777" w:rsidR="00893048" w:rsidRPr="00580FBF" w:rsidRDefault="00893048" w:rsidP="00893048">
      <w:pPr>
        <w:keepNext/>
        <w:keepLines/>
        <w:spacing w:line="360" w:lineRule="auto"/>
        <w:jc w:val="center"/>
        <w:rPr>
          <w:rFonts w:ascii="Palatino Linotype" w:eastAsia="Palatino Linotype" w:hAnsi="Palatino Linotype" w:cs="Palatino Linotype"/>
          <w:b/>
          <w:bCs/>
        </w:rPr>
      </w:pPr>
      <w:bookmarkStart w:id="0" w:name="_heading=h.gjdgxs" w:colFirst="0" w:colLast="0"/>
      <w:bookmarkEnd w:id="0"/>
      <w:r w:rsidRPr="00580FBF">
        <w:rPr>
          <w:rFonts w:ascii="Palatino Linotype" w:eastAsia="Palatino Linotype" w:hAnsi="Palatino Linotype" w:cs="Palatino Linotype"/>
          <w:b/>
          <w:bCs/>
        </w:rPr>
        <w:t>A N T E C E D E N T E S</w:t>
      </w:r>
    </w:p>
    <w:p w14:paraId="085407F3" w14:textId="77777777" w:rsidR="00893048" w:rsidRPr="00580FBF" w:rsidRDefault="00893048" w:rsidP="00893048">
      <w:pPr>
        <w:spacing w:line="360" w:lineRule="auto"/>
        <w:rPr>
          <w:rFonts w:ascii="Palatino Linotype" w:eastAsia="Palatino Linotype" w:hAnsi="Palatino Linotype" w:cs="Palatino Linotype"/>
        </w:rPr>
      </w:pPr>
    </w:p>
    <w:p w14:paraId="1AC1AB27"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w:t>
      </w:r>
      <w:r w:rsidR="003775C0" w:rsidRPr="00580FBF">
        <w:rPr>
          <w:rFonts w:ascii="Palatino Linotype" w:eastAsia="Palatino Linotype" w:hAnsi="Palatino Linotype" w:cs="Palatino Linotype"/>
          <w:b/>
          <w:bCs/>
        </w:rPr>
        <w:t>doce de enero de dos milo veintiséis</w:t>
      </w:r>
      <w:r w:rsidRPr="00580FBF">
        <w:rPr>
          <w:rFonts w:ascii="Palatino Linotype" w:eastAsia="Palatino Linotype" w:hAnsi="Palatino Linotype" w:cs="Palatino Linotype"/>
        </w:rPr>
        <w:t xml:space="preserve">, </w:t>
      </w:r>
      <w:r w:rsidRPr="00580FBF">
        <w:rPr>
          <w:rFonts w:ascii="Palatino Linotype" w:eastAsia="Palatino Linotype" w:hAnsi="Palatino Linotype" w:cs="Palatino Linotype"/>
          <w:b/>
          <w:bCs/>
        </w:rPr>
        <w:t>EL RECURRENTE,</w:t>
      </w:r>
      <w:r w:rsidRPr="00580FBF">
        <w:rPr>
          <w:rFonts w:ascii="Palatino Linotype" w:eastAsia="Palatino Linotype" w:hAnsi="Palatino Linotype" w:cs="Palatino Linotype"/>
        </w:rPr>
        <w:t xml:space="preserve"> ante el </w:t>
      </w:r>
      <w:r w:rsidRPr="00580FBF">
        <w:rPr>
          <w:rFonts w:ascii="Palatino Linotype" w:eastAsia="Palatino Linotype" w:hAnsi="Palatino Linotype" w:cs="Palatino Linotype"/>
          <w:b/>
          <w:bCs/>
        </w:rPr>
        <w:t>SUJETO OBLIGADO</w:t>
      </w:r>
      <w:r w:rsidRPr="00580FBF">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003775C0" w:rsidRPr="00580FBF">
        <w:rPr>
          <w:rFonts w:ascii="Palatino Linotype" w:eastAsia="Palatino Linotype" w:hAnsi="Palatino Linotype" w:cs="Palatino Linotype"/>
          <w:b/>
          <w:bCs/>
        </w:rPr>
        <w:t>00002</w:t>
      </w:r>
      <w:r w:rsidRPr="00580FBF">
        <w:rPr>
          <w:rFonts w:ascii="Palatino Linotype" w:eastAsia="Palatino Linotype" w:hAnsi="Palatino Linotype" w:cs="Palatino Linotype"/>
          <w:b/>
          <w:bCs/>
        </w:rPr>
        <w:t>/</w:t>
      </w:r>
      <w:r w:rsidR="003775C0" w:rsidRPr="00580FBF">
        <w:rPr>
          <w:rFonts w:ascii="Palatino Linotype" w:eastAsia="Palatino Linotype" w:hAnsi="Palatino Linotype" w:cs="Palatino Linotype"/>
          <w:b/>
          <w:bCs/>
        </w:rPr>
        <w:t>OZUMBA</w:t>
      </w:r>
      <w:r w:rsidRPr="00580FBF">
        <w:rPr>
          <w:rFonts w:ascii="Palatino Linotype" w:eastAsia="Palatino Linotype" w:hAnsi="Palatino Linotype" w:cs="Palatino Linotype"/>
          <w:b/>
          <w:bCs/>
        </w:rPr>
        <w:t>/IP/202</w:t>
      </w:r>
      <w:r w:rsidR="003775C0" w:rsidRPr="00580FBF">
        <w:rPr>
          <w:rFonts w:ascii="Palatino Linotype" w:eastAsia="Palatino Linotype" w:hAnsi="Palatino Linotype" w:cs="Palatino Linotype"/>
          <w:b/>
          <w:bCs/>
        </w:rPr>
        <w:t>6</w:t>
      </w:r>
      <w:r w:rsidRPr="00580FBF">
        <w:rPr>
          <w:rFonts w:ascii="Palatino Linotype" w:eastAsia="Palatino Linotype" w:hAnsi="Palatino Linotype" w:cs="Palatino Linotype"/>
          <w:b/>
          <w:bCs/>
        </w:rPr>
        <w:t xml:space="preserve">, </w:t>
      </w:r>
      <w:r w:rsidRPr="00580FBF">
        <w:rPr>
          <w:rFonts w:ascii="Palatino Linotype" w:eastAsia="Palatino Linotype" w:hAnsi="Palatino Linotype" w:cs="Palatino Linotype"/>
        </w:rPr>
        <w:t>en la que se solicitó lo siguiente:</w:t>
      </w:r>
    </w:p>
    <w:p w14:paraId="12CFC1A6" w14:textId="77777777" w:rsidR="00893048" w:rsidRPr="00580FBF" w:rsidRDefault="00893048" w:rsidP="00973A50">
      <w:pPr>
        <w:pBdr>
          <w:top w:val="nil"/>
          <w:left w:val="nil"/>
          <w:bottom w:val="nil"/>
          <w:right w:val="nil"/>
          <w:between w:val="nil"/>
        </w:pBdr>
        <w:jc w:val="both"/>
        <w:rPr>
          <w:rFonts w:ascii="Palatino Linotype" w:eastAsia="Palatino Linotype" w:hAnsi="Palatino Linotype" w:cs="Palatino Linotype"/>
        </w:rPr>
      </w:pPr>
    </w:p>
    <w:p w14:paraId="4744C5E9" w14:textId="77777777" w:rsidR="00893048" w:rsidRPr="00580FBF" w:rsidRDefault="00893048" w:rsidP="00973A50">
      <w:pPr>
        <w:pBdr>
          <w:top w:val="nil"/>
          <w:left w:val="nil"/>
          <w:bottom w:val="nil"/>
          <w:right w:val="nil"/>
          <w:between w:val="nil"/>
        </w:pBdr>
        <w:ind w:left="567" w:right="822"/>
        <w:jc w:val="both"/>
        <w:rPr>
          <w:rFonts w:ascii="Palatino Linotype" w:eastAsia="Palatino Linotype" w:hAnsi="Palatino Linotype" w:cs="Palatino Linotype"/>
          <w:i/>
          <w:iCs/>
        </w:rPr>
      </w:pPr>
      <w:r w:rsidRPr="00580FBF">
        <w:rPr>
          <w:rFonts w:ascii="Palatino Linotype" w:eastAsia="Palatino Linotype" w:hAnsi="Palatino Linotype" w:cs="Palatino Linotype"/>
          <w:i/>
          <w:iCs/>
        </w:rPr>
        <w:t>“</w:t>
      </w:r>
      <w:r w:rsidR="003775C0" w:rsidRPr="00580FBF">
        <w:rPr>
          <w:rFonts w:ascii="Palatino Linotype" w:eastAsia="Palatino Linotype" w:hAnsi="Palatino Linotype" w:cs="Palatino Linotype"/>
          <w:i/>
          <w:iCs/>
        </w:rPr>
        <w:t>Solicito copia simple digitalizada a través del sistema electrónico saimex de todas las facturas con fecha del 1 de enero al 31 de diciembre de 2025 correspondientes a la partida presupuestal 3611</w:t>
      </w:r>
      <w:r w:rsidRPr="00580FBF">
        <w:rPr>
          <w:rFonts w:ascii="Palatino Linotype" w:eastAsia="Palatino Linotype" w:hAnsi="Palatino Linotype" w:cs="Palatino Linotype"/>
          <w:i/>
          <w:iCs/>
        </w:rPr>
        <w:t xml:space="preserve">.” (Sic) </w:t>
      </w:r>
      <w:bookmarkStart w:id="1" w:name="_GoBack"/>
      <w:bookmarkEnd w:id="1"/>
    </w:p>
    <w:p w14:paraId="346955DC" w14:textId="77777777" w:rsidR="00893048" w:rsidRPr="00580FBF" w:rsidRDefault="00893048" w:rsidP="00893048">
      <w:pPr>
        <w:pBdr>
          <w:top w:val="nil"/>
          <w:left w:val="nil"/>
          <w:bottom w:val="nil"/>
          <w:right w:val="nil"/>
          <w:between w:val="nil"/>
        </w:pBdr>
        <w:spacing w:line="360" w:lineRule="auto"/>
        <w:jc w:val="both"/>
        <w:rPr>
          <w:rFonts w:ascii="Palatino Linotype" w:eastAsia="Palatino Linotype" w:hAnsi="Palatino Linotype" w:cs="Palatino Linotype"/>
        </w:rPr>
      </w:pPr>
    </w:p>
    <w:p w14:paraId="480FA712"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580FBF">
        <w:rPr>
          <w:rFonts w:ascii="Palatino Linotype" w:eastAsia="Palatino Linotype" w:hAnsi="Palatino Linotype" w:cs="Palatino Linotype"/>
          <w:b/>
        </w:rPr>
        <w:t xml:space="preserve">Se señaló como modalidad de entrega a través de SAIMEX.  </w:t>
      </w:r>
    </w:p>
    <w:p w14:paraId="1B8948B0" w14:textId="77777777" w:rsidR="00893048" w:rsidRPr="00580FBF" w:rsidRDefault="00893048" w:rsidP="00893048">
      <w:pPr>
        <w:pBdr>
          <w:top w:val="nil"/>
          <w:left w:val="nil"/>
          <w:bottom w:val="nil"/>
          <w:right w:val="nil"/>
          <w:between w:val="nil"/>
        </w:pBdr>
        <w:spacing w:line="360" w:lineRule="auto"/>
        <w:jc w:val="both"/>
        <w:rPr>
          <w:rFonts w:ascii="Palatino Linotype" w:eastAsia="Palatino Linotype" w:hAnsi="Palatino Linotype" w:cs="Palatino Linotype"/>
        </w:rPr>
      </w:pPr>
    </w:p>
    <w:p w14:paraId="7CB65808"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w:t>
      </w:r>
      <w:r w:rsidR="003775C0" w:rsidRPr="00580FBF">
        <w:rPr>
          <w:rFonts w:ascii="Palatino Linotype" w:eastAsia="Palatino Linotype" w:hAnsi="Palatino Linotype" w:cs="Palatino Linotype"/>
          <w:b/>
          <w:bCs/>
        </w:rPr>
        <w:t>veinte de enero de dos mil veintiséis</w:t>
      </w:r>
      <w:r w:rsidRPr="00580FBF">
        <w:rPr>
          <w:rFonts w:ascii="Palatino Linotype" w:eastAsia="Palatino Linotype" w:hAnsi="Palatino Linotype" w:cs="Palatino Linotype"/>
        </w:rPr>
        <w:t>, el Sujeto Obligado dio respuesta a la solicitud de información en los siguientes términos:</w:t>
      </w:r>
    </w:p>
    <w:p w14:paraId="7A5C31C6" w14:textId="77777777" w:rsidR="003775C0" w:rsidRPr="00580FBF" w:rsidRDefault="003775C0" w:rsidP="00973A50">
      <w:pPr>
        <w:ind w:left="567" w:right="822"/>
        <w:jc w:val="both"/>
        <w:rPr>
          <w:rFonts w:ascii="Palatino Linotype" w:hAnsi="Palatino Linotype"/>
          <w:i/>
          <w:color w:val="000000"/>
        </w:rPr>
      </w:pPr>
      <w:r w:rsidRPr="00580FBF">
        <w:rPr>
          <w:rFonts w:ascii="Palatino Linotype" w:eastAsia="Palatino Linotype" w:hAnsi="Palatino Linotype" w:cs="Palatino Linotype"/>
          <w:i/>
        </w:rPr>
        <w:lastRenderedPageBreak/>
        <w:t>“E</w:t>
      </w:r>
      <w:r w:rsidRPr="00580FBF">
        <w:rPr>
          <w:rFonts w:ascii="Palatino Linotype" w:hAnsi="Palatino Linotype"/>
          <w:i/>
          <w:color w:val="000000"/>
        </w:rPr>
        <w:t>n respuesta a la solicitud recibida, nos permitimos hacer de su conocimiento que con fundamento en el artículo 53, Fracciones: II, V y VI de la Ley de Transparencia y Acceso a la Información Pública del Estado de México y Municipios, le contestamos que:</w:t>
      </w:r>
    </w:p>
    <w:p w14:paraId="3DEE7756" w14:textId="77777777" w:rsidR="003775C0" w:rsidRPr="00580FBF" w:rsidRDefault="003775C0" w:rsidP="00973A50">
      <w:pPr>
        <w:ind w:left="567" w:right="822"/>
        <w:jc w:val="both"/>
        <w:rPr>
          <w:rFonts w:ascii="Palatino Linotype" w:hAnsi="Palatino Linotype"/>
          <w:i/>
          <w:color w:val="000000"/>
        </w:rPr>
      </w:pPr>
    </w:p>
    <w:p w14:paraId="0064E235" w14:textId="77777777" w:rsidR="00893048" w:rsidRPr="00580FBF" w:rsidRDefault="003775C0" w:rsidP="00973A50">
      <w:pPr>
        <w:ind w:left="567" w:right="822"/>
        <w:jc w:val="both"/>
        <w:rPr>
          <w:rFonts w:ascii="Palatino Linotype" w:eastAsia="Palatino Linotype" w:hAnsi="Palatino Linotype" w:cs="Palatino Linotype"/>
          <w:i/>
        </w:rPr>
      </w:pPr>
      <w:r w:rsidRPr="00580FBF">
        <w:rPr>
          <w:rFonts w:ascii="Palatino Linotype" w:hAnsi="Palatino Linotype"/>
          <w:i/>
          <w:color w:val="000000"/>
        </w:rPr>
        <w:t xml:space="preserve">estimado solicitante reciba con el presente uncordial saludo al mismo tiempo adjunto respuesta por parte del SPH designado para dar contestación al mismo en formato pdf así mismo SIC. sin mas por el momento me despido de usted quedando atenta a cualquier duda o aclaración. </w:t>
      </w:r>
      <w:r w:rsidRPr="00580FBF">
        <w:rPr>
          <w:rFonts w:ascii="Palatino Linotype" w:eastAsia="Palatino Linotype" w:hAnsi="Palatino Linotype" w:cs="Palatino Linotype"/>
          <w:i/>
        </w:rPr>
        <w:t>” (Sic.)</w:t>
      </w:r>
    </w:p>
    <w:p w14:paraId="3946B511" w14:textId="77777777" w:rsidR="003775C0" w:rsidRPr="00580FBF" w:rsidRDefault="003775C0" w:rsidP="00893048">
      <w:pPr>
        <w:spacing w:line="360" w:lineRule="auto"/>
        <w:jc w:val="both"/>
        <w:rPr>
          <w:rFonts w:ascii="Palatino Linotype" w:eastAsia="Palatino Linotype" w:hAnsi="Palatino Linotype" w:cs="Palatino Linotype"/>
        </w:rPr>
      </w:pPr>
    </w:p>
    <w:p w14:paraId="689D0E4A" w14:textId="77777777" w:rsidR="00893048" w:rsidRPr="00580FBF" w:rsidRDefault="00893048" w:rsidP="00893048">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A la respuesta se adjuntó el archivo </w:t>
      </w:r>
      <w:hyperlink r:id="rId7" w:tgtFrame="_blank" w:history="1">
        <w:r w:rsidR="003C68D5" w:rsidRPr="00580FBF">
          <w:rPr>
            <w:rStyle w:val="Hipervnculo"/>
            <w:rFonts w:ascii="Palatino Linotype" w:eastAsia="Palatino Linotype" w:hAnsi="Palatino Linotype" w:cs="Palatino Linotype"/>
            <w:b/>
            <w:bCs/>
          </w:rPr>
          <w:t>000226.pdf</w:t>
        </w:r>
      </w:hyperlink>
      <w:r w:rsidRPr="00580FBF">
        <w:rPr>
          <w:rFonts w:ascii="Palatino Linotype" w:eastAsia="Palatino Linotype" w:hAnsi="Palatino Linotype" w:cs="Palatino Linotype"/>
        </w:rPr>
        <w:t xml:space="preserve">, en el que se advierte documento suscrito por el </w:t>
      </w:r>
      <w:r w:rsidR="003C68D5" w:rsidRPr="00580FBF">
        <w:rPr>
          <w:rFonts w:ascii="Palatino Linotype" w:eastAsia="Palatino Linotype" w:hAnsi="Palatino Linotype" w:cs="Palatino Linotype"/>
        </w:rPr>
        <w:t>Tesorero Municipal</w:t>
      </w:r>
      <w:r w:rsidRPr="00580FBF">
        <w:rPr>
          <w:rFonts w:ascii="Palatino Linotype" w:eastAsia="Palatino Linotype" w:hAnsi="Palatino Linotype" w:cs="Palatino Linotype"/>
        </w:rPr>
        <w:t>, quien señaló:</w:t>
      </w:r>
    </w:p>
    <w:p w14:paraId="6C3A0F30" w14:textId="77777777" w:rsidR="00893048" w:rsidRPr="00580FBF" w:rsidRDefault="00893048" w:rsidP="00893048">
      <w:pPr>
        <w:pBdr>
          <w:top w:val="nil"/>
          <w:left w:val="nil"/>
          <w:bottom w:val="nil"/>
          <w:right w:val="nil"/>
          <w:between w:val="nil"/>
        </w:pBdr>
        <w:spacing w:line="360" w:lineRule="auto"/>
        <w:ind w:left="720"/>
        <w:jc w:val="both"/>
        <w:rPr>
          <w:rFonts w:ascii="Palatino Linotype" w:eastAsia="Palatino Linotype" w:hAnsi="Palatino Linotype" w:cs="Palatino Linotype"/>
        </w:rPr>
      </w:pPr>
    </w:p>
    <w:p w14:paraId="0A658A45" w14:textId="77777777" w:rsidR="003C68D5" w:rsidRPr="00580FBF" w:rsidRDefault="00893048" w:rsidP="00973A50">
      <w:pPr>
        <w:ind w:left="567" w:right="822"/>
        <w:jc w:val="both"/>
        <w:rPr>
          <w:rFonts w:ascii="Palatino Linotype" w:eastAsia="Palatino Linotype" w:hAnsi="Palatino Linotype" w:cs="Palatino Linotype"/>
          <w:bCs/>
          <w:i/>
          <w:iCs/>
          <w:color w:val="000000"/>
        </w:rPr>
      </w:pPr>
      <w:r w:rsidRPr="00580FBF">
        <w:rPr>
          <w:rFonts w:ascii="Palatino Linotype" w:eastAsia="Palatino Linotype" w:hAnsi="Palatino Linotype" w:cs="Palatino Linotype"/>
          <w:bCs/>
          <w:i/>
          <w:iCs/>
          <w:color w:val="000000"/>
        </w:rPr>
        <w:t>“</w:t>
      </w:r>
      <w:r w:rsidR="003C68D5" w:rsidRPr="00580FBF">
        <w:rPr>
          <w:rFonts w:ascii="Palatino Linotype" w:eastAsia="Palatino Linotype" w:hAnsi="Palatino Linotype" w:cs="Palatino Linotype"/>
          <w:bCs/>
          <w:i/>
          <w:iCs/>
          <w:color w:val="000000"/>
        </w:rPr>
        <w:t>… informo que para remitir las copias simples tendrá que presentarse a la oficina de ingresos para realizar el pago de derechos de acuerdo con el Art. 73 del código financiero…” (Sic.)</w:t>
      </w:r>
    </w:p>
    <w:p w14:paraId="747626D8" w14:textId="77777777" w:rsidR="00893048" w:rsidRPr="00580FBF" w:rsidRDefault="00893048" w:rsidP="00893048">
      <w:pPr>
        <w:pBdr>
          <w:top w:val="nil"/>
          <w:left w:val="nil"/>
          <w:bottom w:val="nil"/>
          <w:right w:val="nil"/>
          <w:between w:val="nil"/>
        </w:pBdr>
        <w:spacing w:line="360" w:lineRule="auto"/>
        <w:jc w:val="both"/>
        <w:rPr>
          <w:rFonts w:ascii="Palatino Linotype" w:eastAsia="Palatino Linotype" w:hAnsi="Palatino Linotype" w:cs="Palatino Linotype"/>
        </w:rPr>
      </w:pPr>
    </w:p>
    <w:p w14:paraId="73BD2BFE"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w:t>
      </w:r>
      <w:r w:rsidR="003C68D5" w:rsidRPr="00580FBF">
        <w:rPr>
          <w:rFonts w:ascii="Palatino Linotype" w:eastAsia="Palatino Linotype" w:hAnsi="Palatino Linotype" w:cs="Palatino Linotype"/>
          <w:b/>
          <w:bCs/>
        </w:rPr>
        <w:t>veintisiete de enero de dos mil veintiséis</w:t>
      </w:r>
      <w:r w:rsidRPr="00580FBF">
        <w:rPr>
          <w:rFonts w:ascii="Palatino Linotype" w:eastAsia="Palatino Linotype" w:hAnsi="Palatino Linotype" w:cs="Palatino Linotype"/>
        </w:rPr>
        <w:t xml:space="preserve">, </w:t>
      </w:r>
      <w:r w:rsidRPr="00580FBF">
        <w:rPr>
          <w:rFonts w:ascii="Palatino Linotype" w:eastAsia="Palatino Linotype" w:hAnsi="Palatino Linotype" w:cs="Palatino Linotype"/>
          <w:b/>
          <w:bCs/>
        </w:rPr>
        <w:t>El Recurrente</w:t>
      </w:r>
      <w:r w:rsidRPr="00580FBF">
        <w:rPr>
          <w:rFonts w:ascii="Palatino Linotype" w:eastAsia="Palatino Linotype" w:hAnsi="Palatino Linotype" w:cs="Palatino Linotype"/>
        </w:rPr>
        <w:t xml:space="preserve"> interpuso el recurso de revisión, en contra de la respuesta, señalando como:</w:t>
      </w:r>
    </w:p>
    <w:p w14:paraId="3B4DB578" w14:textId="77777777" w:rsidR="00893048" w:rsidRPr="00580FBF" w:rsidRDefault="00893048" w:rsidP="00893048">
      <w:pPr>
        <w:pBdr>
          <w:top w:val="nil"/>
          <w:left w:val="nil"/>
          <w:bottom w:val="nil"/>
          <w:right w:val="nil"/>
          <w:between w:val="nil"/>
        </w:pBdr>
        <w:spacing w:line="360" w:lineRule="auto"/>
        <w:jc w:val="both"/>
        <w:rPr>
          <w:rFonts w:ascii="Palatino Linotype" w:eastAsia="Palatino Linotype" w:hAnsi="Palatino Linotype" w:cs="Palatino Linotype"/>
        </w:rPr>
      </w:pPr>
    </w:p>
    <w:p w14:paraId="2F37A2B9" w14:textId="77777777" w:rsidR="003C68D5" w:rsidRPr="00580FBF" w:rsidRDefault="00893048" w:rsidP="00893048">
      <w:pPr>
        <w:numPr>
          <w:ilvl w:val="0"/>
          <w:numId w:val="1"/>
        </w:numPr>
        <w:spacing w:line="360" w:lineRule="auto"/>
        <w:ind w:left="851" w:right="822" w:firstLine="0"/>
        <w:jc w:val="both"/>
        <w:rPr>
          <w:rFonts w:ascii="Palatino Linotype" w:hAnsi="Palatino Linotype"/>
        </w:rPr>
      </w:pPr>
      <w:r w:rsidRPr="00580FBF">
        <w:rPr>
          <w:rFonts w:ascii="Palatino Linotype" w:eastAsia="Palatino Linotype" w:hAnsi="Palatino Linotype" w:cs="Palatino Linotype"/>
          <w:b/>
          <w:bCs/>
        </w:rPr>
        <w:t>Acto impugnado</w:t>
      </w:r>
      <w:r w:rsidRPr="00580FBF">
        <w:rPr>
          <w:rFonts w:ascii="Palatino Linotype" w:eastAsia="Palatino Linotype" w:hAnsi="Palatino Linotype" w:cs="Palatino Linotype"/>
          <w:b/>
          <w:bCs/>
          <w:i/>
          <w:iCs/>
        </w:rPr>
        <w:t>:</w:t>
      </w:r>
      <w:r w:rsidRPr="00580FBF">
        <w:rPr>
          <w:rFonts w:ascii="Palatino Linotype" w:eastAsia="Palatino Linotype" w:hAnsi="Palatino Linotype" w:cs="Palatino Linotype"/>
          <w:i/>
          <w:iCs/>
        </w:rPr>
        <w:t xml:space="preserve"> </w:t>
      </w:r>
    </w:p>
    <w:p w14:paraId="7F767317" w14:textId="77777777" w:rsidR="00893048" w:rsidRPr="00580FBF" w:rsidRDefault="00893048" w:rsidP="003C68D5">
      <w:pPr>
        <w:spacing w:line="360" w:lineRule="auto"/>
        <w:ind w:left="851" w:right="822"/>
        <w:jc w:val="both"/>
        <w:rPr>
          <w:rFonts w:ascii="Palatino Linotype" w:hAnsi="Palatino Linotype"/>
        </w:rPr>
      </w:pPr>
      <w:r w:rsidRPr="00580FBF">
        <w:rPr>
          <w:rFonts w:ascii="Palatino Linotype" w:eastAsia="Palatino Linotype" w:hAnsi="Palatino Linotype" w:cs="Palatino Linotype"/>
          <w:i/>
          <w:iCs/>
        </w:rPr>
        <w:t>"</w:t>
      </w:r>
      <w:r w:rsidR="003C68D5" w:rsidRPr="00580FBF">
        <w:rPr>
          <w:rFonts w:ascii="Palatino Linotype" w:eastAsia="Palatino Linotype" w:hAnsi="Palatino Linotype" w:cs="Palatino Linotype"/>
          <w:i/>
          <w:iCs/>
        </w:rPr>
        <w:t>RESPUESTA A LA SOLICITUD 00002/OZUMBA/IP/2026</w:t>
      </w:r>
      <w:r w:rsidRPr="00580FBF">
        <w:rPr>
          <w:rFonts w:ascii="Palatino Linotype" w:eastAsia="Palatino Linotype" w:hAnsi="Palatino Linotype" w:cs="Palatino Linotype"/>
          <w:i/>
          <w:iCs/>
        </w:rPr>
        <w:t>." (Sic)</w:t>
      </w:r>
    </w:p>
    <w:p w14:paraId="7E2A4505" w14:textId="77777777" w:rsidR="00893048" w:rsidRPr="00580FBF" w:rsidRDefault="00893048" w:rsidP="00893048">
      <w:pPr>
        <w:spacing w:line="360" w:lineRule="auto"/>
        <w:ind w:left="851" w:right="822"/>
        <w:jc w:val="both"/>
        <w:rPr>
          <w:rFonts w:ascii="Palatino Linotype" w:hAnsi="Palatino Linotype"/>
        </w:rPr>
      </w:pPr>
    </w:p>
    <w:p w14:paraId="36A6C0D6" w14:textId="77777777" w:rsidR="003C68D5" w:rsidRPr="00580FBF" w:rsidRDefault="00893048" w:rsidP="00893048">
      <w:pPr>
        <w:numPr>
          <w:ilvl w:val="0"/>
          <w:numId w:val="1"/>
        </w:numPr>
        <w:spacing w:line="360" w:lineRule="auto"/>
        <w:ind w:left="851" w:right="822" w:firstLine="0"/>
        <w:jc w:val="both"/>
        <w:rPr>
          <w:rFonts w:ascii="Palatino Linotype" w:eastAsia="Palatino Linotype" w:hAnsi="Palatino Linotype" w:cs="Palatino Linotype"/>
        </w:rPr>
      </w:pPr>
      <w:r w:rsidRPr="00580FBF">
        <w:rPr>
          <w:rFonts w:ascii="Palatino Linotype" w:eastAsia="Palatino Linotype" w:hAnsi="Palatino Linotype" w:cs="Palatino Linotype"/>
          <w:b/>
          <w:bCs/>
        </w:rPr>
        <w:t xml:space="preserve">Razones o Motivos de inconformidad: </w:t>
      </w:r>
    </w:p>
    <w:p w14:paraId="6773E249" w14:textId="77777777" w:rsidR="00893048" w:rsidRPr="00580FBF" w:rsidRDefault="00893048" w:rsidP="00973A50">
      <w:pPr>
        <w:ind w:left="567" w:right="822"/>
        <w:jc w:val="both"/>
        <w:rPr>
          <w:rFonts w:ascii="Palatino Linotype" w:eastAsia="Palatino Linotype" w:hAnsi="Palatino Linotype" w:cs="Palatino Linotype"/>
          <w:i/>
          <w:iCs/>
        </w:rPr>
      </w:pPr>
      <w:r w:rsidRPr="00580FBF">
        <w:rPr>
          <w:rFonts w:ascii="Palatino Linotype" w:eastAsia="Palatino Linotype" w:hAnsi="Palatino Linotype" w:cs="Palatino Linotype"/>
          <w:i/>
          <w:iCs/>
        </w:rPr>
        <w:t>"</w:t>
      </w:r>
      <w:r w:rsidR="003C68D5" w:rsidRPr="00580FBF">
        <w:rPr>
          <w:rFonts w:ascii="Palatino Linotype" w:eastAsia="Palatino Linotype" w:hAnsi="Palatino Linotype" w:cs="Palatino Linotype"/>
          <w:i/>
          <w:iCs/>
        </w:rPr>
        <w:t xml:space="preserve">EL  SUJETO OBLIGADO DESATIENDE LA SOLICITUD PRESENTADA PARA HACER ENTREGA DE LA INFORMACION SOLICITADA A TRAVÉS DEL SISTEMA ELECTRÓNICO SAIMEX, CON LO CUAL INCURRE EN UNA NEGATIVA A CUMPLIR LA LEY EN MATERIA DE TRANSPARENCIA. CON SU RESPUESTA EN SUJETO OBLIGADO VIOLA LOS PRINCIPIOS DE GRATUIDAD Y MAXIMA ACCESIBILIDAD DE LA INFORMACIÓN PÚBLICA, POR LO QUE DEBE REVOCARSE DICHA RESPUESTA Y ORDENAR LA </w:t>
      </w:r>
      <w:r w:rsidR="003C68D5" w:rsidRPr="00580FBF">
        <w:rPr>
          <w:rFonts w:ascii="Palatino Linotype" w:eastAsia="Palatino Linotype" w:hAnsi="Palatino Linotype" w:cs="Palatino Linotype"/>
          <w:i/>
          <w:iCs/>
        </w:rPr>
        <w:lastRenderedPageBreak/>
        <w:t>ENTREGA DE LA INFORMACION A TRAVÉS DEL SISTEMA ELECTRÓNICO SAIMEX.</w:t>
      </w:r>
      <w:r w:rsidRPr="00580FBF">
        <w:rPr>
          <w:rFonts w:ascii="Palatino Linotype" w:eastAsia="Palatino Linotype" w:hAnsi="Palatino Linotype" w:cs="Palatino Linotype"/>
          <w:i/>
          <w:iCs/>
        </w:rPr>
        <w:t>." (Sic)</w:t>
      </w:r>
    </w:p>
    <w:p w14:paraId="63BCF6CA" w14:textId="77777777" w:rsidR="00893048" w:rsidRPr="00580FBF" w:rsidRDefault="00893048" w:rsidP="00893048">
      <w:pPr>
        <w:spacing w:line="360" w:lineRule="auto"/>
        <w:jc w:val="both"/>
        <w:rPr>
          <w:rFonts w:ascii="Palatino Linotype" w:eastAsia="Palatino Linotype" w:hAnsi="Palatino Linotype" w:cs="Palatino Linotype"/>
        </w:rPr>
      </w:pPr>
    </w:p>
    <w:p w14:paraId="63548F47"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580FBF">
        <w:rPr>
          <w:rFonts w:ascii="Palatino Linotype" w:eastAsia="Palatino Linotype" w:hAnsi="Palatino Linotype" w:cs="Palatino Linotype"/>
          <w:b/>
          <w:bCs/>
        </w:rPr>
        <w:t xml:space="preserve">Ley de Transparencia y Acceso a la Información Pública del Estado de México y Municipios </w:t>
      </w:r>
      <w:r w:rsidRPr="00580FBF">
        <w:rPr>
          <w:rFonts w:ascii="Palatino Linotype" w:eastAsia="Palatino Linotype" w:hAnsi="Palatino Linotype" w:cs="Palatino Linotype"/>
        </w:rPr>
        <w:t xml:space="preserve">se turna a la </w:t>
      </w:r>
      <w:r w:rsidRPr="00580FBF">
        <w:rPr>
          <w:rFonts w:ascii="Palatino Linotype" w:eastAsia="Palatino Linotype" w:hAnsi="Palatino Linotype" w:cs="Palatino Linotype"/>
          <w:b/>
          <w:bCs/>
        </w:rPr>
        <w:t xml:space="preserve">Comisionada María del Rosario Mejía Ayala, </w:t>
      </w:r>
      <w:r w:rsidRPr="00580FBF">
        <w:rPr>
          <w:rFonts w:ascii="Palatino Linotype" w:eastAsia="Palatino Linotype" w:hAnsi="Palatino Linotype" w:cs="Palatino Linotype"/>
        </w:rPr>
        <w:t xml:space="preserve">para su análisis. </w:t>
      </w:r>
    </w:p>
    <w:p w14:paraId="3E098636" w14:textId="77777777" w:rsidR="00893048" w:rsidRPr="00580FBF" w:rsidRDefault="00893048" w:rsidP="00893048">
      <w:pPr>
        <w:pBdr>
          <w:top w:val="nil"/>
          <w:left w:val="nil"/>
          <w:bottom w:val="nil"/>
          <w:right w:val="nil"/>
          <w:between w:val="nil"/>
        </w:pBdr>
        <w:spacing w:line="360" w:lineRule="auto"/>
        <w:jc w:val="both"/>
        <w:rPr>
          <w:rFonts w:ascii="Palatino Linotype" w:eastAsia="Palatino Linotype" w:hAnsi="Palatino Linotype" w:cs="Palatino Linotype"/>
        </w:rPr>
      </w:pPr>
    </w:p>
    <w:p w14:paraId="0E6EA348"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3C68D5" w:rsidRPr="00580FBF">
        <w:rPr>
          <w:rFonts w:ascii="Palatino Linotype" w:eastAsia="Palatino Linotype" w:hAnsi="Palatino Linotype" w:cs="Palatino Linotype"/>
          <w:b/>
          <w:bCs/>
        </w:rPr>
        <w:t>veintiocho de enero de dos mil veintiséis</w:t>
      </w:r>
      <w:r w:rsidRPr="00580FBF">
        <w:rPr>
          <w:rFonts w:ascii="Palatino Linotype" w:eastAsia="Palatino Linotype" w:hAnsi="Palatino Linotype" w:cs="Palatino Linotype"/>
        </w:rPr>
        <w:t xml:space="preserve">, puso a disposición de las partes el expediente electrónico vía </w:t>
      </w:r>
      <w:r w:rsidRPr="00580FBF">
        <w:rPr>
          <w:rFonts w:ascii="Palatino Linotype" w:eastAsia="Palatino Linotype" w:hAnsi="Palatino Linotype" w:cs="Palatino Linotype"/>
          <w:b/>
          <w:bCs/>
        </w:rPr>
        <w:t xml:space="preserve">SAIMEX </w:t>
      </w:r>
      <w:r w:rsidRPr="00580FBF">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580FBF">
        <w:rPr>
          <w:rFonts w:ascii="Palatino Linotype" w:eastAsia="Palatino Linotype" w:hAnsi="Palatino Linotype" w:cs="Palatino Linotype"/>
          <w:b/>
          <w:bCs/>
        </w:rPr>
        <w:t>SUJETO OBLIGADO</w:t>
      </w:r>
      <w:r w:rsidRPr="00580FBF">
        <w:rPr>
          <w:rFonts w:ascii="Palatino Linotype" w:eastAsia="Palatino Linotype" w:hAnsi="Palatino Linotype" w:cs="Palatino Linotype"/>
        </w:rPr>
        <w:t xml:space="preserve"> presentará el informe justificado procedente. </w:t>
      </w:r>
    </w:p>
    <w:p w14:paraId="457AB695" w14:textId="77777777" w:rsidR="00893048" w:rsidRPr="00580FBF" w:rsidRDefault="00893048" w:rsidP="00893048">
      <w:pPr>
        <w:pBdr>
          <w:top w:val="nil"/>
          <w:left w:val="nil"/>
          <w:bottom w:val="nil"/>
          <w:right w:val="nil"/>
          <w:between w:val="nil"/>
        </w:pBdr>
        <w:ind w:left="720"/>
        <w:rPr>
          <w:rFonts w:ascii="Palatino Linotype" w:eastAsia="Palatino Linotype" w:hAnsi="Palatino Linotype" w:cs="Palatino Linotype"/>
        </w:rPr>
      </w:pPr>
    </w:p>
    <w:p w14:paraId="0FBB392A" w14:textId="77777777" w:rsidR="003C68D5" w:rsidRPr="00580FBF" w:rsidRDefault="003C68D5" w:rsidP="003C68D5">
      <w:pPr>
        <w:numPr>
          <w:ilvl w:val="0"/>
          <w:numId w:val="3"/>
        </w:numPr>
        <w:spacing w:line="360"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rPr>
        <w:t xml:space="preserve">De lo anterior el </w:t>
      </w:r>
      <w:r w:rsidRPr="00580FBF">
        <w:rPr>
          <w:rFonts w:ascii="Palatino Linotype" w:eastAsia="Palatino Linotype" w:hAnsi="Palatino Linotype" w:cs="Palatino Linotype"/>
          <w:b/>
        </w:rPr>
        <w:t xml:space="preserve">SUJETO OBLIGADO y el RECURRENTE </w:t>
      </w:r>
      <w:r w:rsidRPr="00580FBF">
        <w:rPr>
          <w:rFonts w:ascii="Palatino Linotype" w:eastAsia="Palatino Linotype" w:hAnsi="Palatino Linotype" w:cs="Palatino Linotype"/>
        </w:rPr>
        <w:t xml:space="preserve">dejaron de realizar manifestaciones que a su derecho conviniera y asistiera. </w:t>
      </w:r>
    </w:p>
    <w:p w14:paraId="1C8CBB3B" w14:textId="77777777" w:rsidR="00893048" w:rsidRPr="00580FBF" w:rsidRDefault="00893048" w:rsidP="00CD0F4D">
      <w:pPr>
        <w:pBdr>
          <w:top w:val="nil"/>
          <w:left w:val="nil"/>
          <w:bottom w:val="nil"/>
          <w:right w:val="nil"/>
          <w:between w:val="nil"/>
        </w:pBdr>
        <w:rPr>
          <w:rFonts w:ascii="Palatino Linotype" w:eastAsia="Palatino Linotype" w:hAnsi="Palatino Linotype" w:cs="Palatino Linotype"/>
          <w:color w:val="000000"/>
        </w:rPr>
      </w:pPr>
    </w:p>
    <w:p w14:paraId="5DF77809"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w:t>
      </w:r>
      <w:r w:rsidR="003C68D5" w:rsidRPr="00580FBF">
        <w:rPr>
          <w:rFonts w:ascii="Palatino Linotype" w:eastAsia="Palatino Linotype" w:hAnsi="Palatino Linotype" w:cs="Palatino Linotype"/>
          <w:b/>
          <w:bCs/>
        </w:rPr>
        <w:t xml:space="preserve">veintiuno de abril </w:t>
      </w:r>
      <w:r w:rsidRPr="00580FBF">
        <w:rPr>
          <w:rFonts w:ascii="Palatino Linotype" w:eastAsia="Palatino Linotype" w:hAnsi="Palatino Linotype" w:cs="Palatino Linotype"/>
          <w:b/>
          <w:bCs/>
        </w:rPr>
        <w:t>de dos mil veintiséis</w:t>
      </w:r>
      <w:r w:rsidRPr="00580FBF">
        <w:rPr>
          <w:rFonts w:ascii="Palatino Linotype" w:eastAsia="Palatino Linotype" w:hAnsi="Palatino Linotype" w:cs="Palatino Linotype"/>
        </w:rPr>
        <w:t xml:space="preserve">, se notificó el acuerdo mediante el cual se aprobó la ampliación de plazo para emitir resolución. </w:t>
      </w:r>
    </w:p>
    <w:p w14:paraId="79C4D48C" w14:textId="77777777" w:rsidR="00CD0F4D" w:rsidRPr="00580FBF" w:rsidRDefault="00CD0F4D" w:rsidP="00CD0F4D">
      <w:pPr>
        <w:pBdr>
          <w:top w:val="nil"/>
          <w:left w:val="nil"/>
          <w:bottom w:val="nil"/>
          <w:right w:val="nil"/>
          <w:between w:val="nil"/>
        </w:pBdr>
        <w:spacing w:line="360" w:lineRule="auto"/>
        <w:jc w:val="both"/>
        <w:rPr>
          <w:rFonts w:ascii="Palatino Linotype" w:eastAsia="Palatino Linotype" w:hAnsi="Palatino Linotype" w:cs="Palatino Linotype"/>
        </w:rPr>
      </w:pPr>
    </w:p>
    <w:p w14:paraId="0F1AF28D" w14:textId="1D30C76E" w:rsidR="00CD0F4D" w:rsidRDefault="00CD0F4D" w:rsidP="00CD0F4D">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w:t>
      </w:r>
      <w:r w:rsidR="003C68D5" w:rsidRPr="00580FBF">
        <w:rPr>
          <w:rFonts w:ascii="Palatino Linotype" w:eastAsia="Palatino Linotype" w:hAnsi="Palatino Linotype" w:cs="Palatino Linotype"/>
          <w:b/>
          <w:bCs/>
        </w:rPr>
        <w:t>veinticuatro de abril</w:t>
      </w:r>
      <w:r w:rsidRPr="00580FBF">
        <w:rPr>
          <w:rFonts w:ascii="Palatino Linotype" w:eastAsia="Palatino Linotype" w:hAnsi="Palatino Linotype" w:cs="Palatino Linotype"/>
          <w:b/>
          <w:bCs/>
        </w:rPr>
        <w:t xml:space="preserve"> de dos mil veintiséis</w:t>
      </w:r>
      <w:r w:rsidRPr="00580FBF">
        <w:rPr>
          <w:rFonts w:ascii="Palatino Linotype" w:eastAsia="Palatino Linotype" w:hAnsi="Palatino Linotype" w:cs="Palatino Linotype"/>
        </w:rPr>
        <w:t xml:space="preserve">, se notificó el acuerdo mediante el cual se decretó el cierre de instrucción. </w:t>
      </w:r>
      <w:r w:rsidR="00580FBF">
        <w:rPr>
          <w:rFonts w:ascii="Palatino Linotype" w:eastAsia="Palatino Linotype" w:hAnsi="Palatino Linotype" w:cs="Palatino Linotype"/>
        </w:rPr>
        <w:t>----------------------------------------------------------------------------</w:t>
      </w:r>
    </w:p>
    <w:p w14:paraId="735F8838" w14:textId="77777777" w:rsidR="00580FBF" w:rsidRDefault="00580FBF" w:rsidP="00580FBF">
      <w:pPr>
        <w:pBdr>
          <w:top w:val="nil"/>
          <w:left w:val="nil"/>
          <w:bottom w:val="nil"/>
          <w:right w:val="nil"/>
          <w:between w:val="nil"/>
        </w:pBdr>
        <w:spacing w:line="360" w:lineRule="auto"/>
        <w:jc w:val="both"/>
        <w:rPr>
          <w:rFonts w:ascii="Palatino Linotype" w:eastAsia="Palatino Linotype" w:hAnsi="Palatino Linotype" w:cs="Palatino Linotype"/>
        </w:rPr>
      </w:pPr>
    </w:p>
    <w:p w14:paraId="355C7AD8" w14:textId="77777777" w:rsidR="00580FBF" w:rsidRPr="00580FBF" w:rsidRDefault="00580FBF" w:rsidP="00580FBF">
      <w:pPr>
        <w:pBdr>
          <w:top w:val="nil"/>
          <w:left w:val="nil"/>
          <w:bottom w:val="nil"/>
          <w:right w:val="nil"/>
          <w:between w:val="nil"/>
        </w:pBdr>
        <w:spacing w:line="360" w:lineRule="auto"/>
        <w:jc w:val="both"/>
        <w:rPr>
          <w:rFonts w:ascii="Palatino Linotype" w:eastAsia="Palatino Linotype" w:hAnsi="Palatino Linotype" w:cs="Palatino Linotype"/>
        </w:rPr>
      </w:pPr>
    </w:p>
    <w:p w14:paraId="17D7D016" w14:textId="77777777" w:rsidR="00893048" w:rsidRPr="00580FBF" w:rsidRDefault="00893048" w:rsidP="00893048">
      <w:pPr>
        <w:spacing w:line="360" w:lineRule="auto"/>
        <w:rPr>
          <w:rFonts w:ascii="Palatino Linotype" w:eastAsia="Palatino Linotype" w:hAnsi="Palatino Linotype" w:cs="Palatino Linotype"/>
        </w:rPr>
      </w:pPr>
    </w:p>
    <w:p w14:paraId="4D568CB2" w14:textId="77777777" w:rsidR="00893048" w:rsidRPr="00580FBF" w:rsidRDefault="00893048" w:rsidP="00893048">
      <w:pPr>
        <w:spacing w:line="360" w:lineRule="auto"/>
        <w:jc w:val="center"/>
        <w:rPr>
          <w:rFonts w:ascii="Palatino Linotype" w:eastAsia="Palatino Linotype" w:hAnsi="Palatino Linotype" w:cs="Palatino Linotype"/>
        </w:rPr>
      </w:pPr>
      <w:bookmarkStart w:id="2" w:name="_heading=h.1fob9te" w:colFirst="0" w:colLast="0"/>
      <w:bookmarkEnd w:id="2"/>
      <w:r w:rsidRPr="00580FBF">
        <w:rPr>
          <w:rFonts w:ascii="Palatino Linotype" w:eastAsia="Palatino Linotype" w:hAnsi="Palatino Linotype" w:cs="Palatino Linotype"/>
          <w:b/>
          <w:bCs/>
        </w:rPr>
        <w:lastRenderedPageBreak/>
        <w:t>C O N S I D E R A N D O</w:t>
      </w:r>
    </w:p>
    <w:p w14:paraId="0C60650E" w14:textId="77777777" w:rsidR="00893048" w:rsidRPr="00580FBF" w:rsidRDefault="00893048" w:rsidP="00893048">
      <w:pPr>
        <w:spacing w:line="360" w:lineRule="auto"/>
        <w:jc w:val="center"/>
        <w:rPr>
          <w:rFonts w:ascii="Palatino Linotype" w:eastAsia="Palatino Linotype" w:hAnsi="Palatino Linotype" w:cs="Palatino Linotype"/>
        </w:rPr>
      </w:pPr>
    </w:p>
    <w:p w14:paraId="69117C23" w14:textId="77777777" w:rsidR="00893048" w:rsidRPr="00580FBF" w:rsidRDefault="00893048" w:rsidP="00893048">
      <w:pPr>
        <w:spacing w:line="360" w:lineRule="auto"/>
        <w:jc w:val="both"/>
        <w:rPr>
          <w:rFonts w:ascii="Palatino Linotype" w:eastAsia="Palatino Linotype" w:hAnsi="Palatino Linotype" w:cs="Palatino Linotype"/>
          <w:b/>
          <w:bCs/>
        </w:rPr>
      </w:pPr>
      <w:bookmarkStart w:id="3" w:name="_heading=h.3znysh7" w:colFirst="0" w:colLast="0"/>
      <w:bookmarkEnd w:id="3"/>
      <w:r w:rsidRPr="00580FBF">
        <w:rPr>
          <w:rFonts w:ascii="Palatino Linotype" w:eastAsia="Palatino Linotype" w:hAnsi="Palatino Linotype" w:cs="Palatino Linotype"/>
          <w:b/>
          <w:bCs/>
        </w:rPr>
        <w:t>PRIMERO. De la competencia</w:t>
      </w:r>
    </w:p>
    <w:p w14:paraId="5ED43171" w14:textId="77777777" w:rsidR="00893048" w:rsidRPr="00580FBF" w:rsidRDefault="00893048" w:rsidP="00893048">
      <w:pPr>
        <w:numPr>
          <w:ilvl w:val="0"/>
          <w:numId w:val="3"/>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14:paraId="0D799704" w14:textId="77777777" w:rsidR="00893048" w:rsidRPr="00580FBF" w:rsidRDefault="00893048" w:rsidP="00893048">
      <w:pPr>
        <w:keepNext/>
        <w:keepLines/>
        <w:spacing w:line="360" w:lineRule="auto"/>
        <w:rPr>
          <w:rFonts w:ascii="Palatino Linotype" w:eastAsia="Palatino Linotype" w:hAnsi="Palatino Linotype" w:cs="Palatino Linotype"/>
        </w:rPr>
      </w:pPr>
      <w:bookmarkStart w:id="4" w:name="_heading=h.2et92p0" w:colFirst="0" w:colLast="0"/>
      <w:bookmarkEnd w:id="4"/>
    </w:p>
    <w:p w14:paraId="0CA33B90" w14:textId="77777777" w:rsidR="00893048" w:rsidRPr="00580FBF" w:rsidRDefault="00893048" w:rsidP="00893048">
      <w:pPr>
        <w:keepNext/>
        <w:keepLines/>
        <w:spacing w:line="360" w:lineRule="auto"/>
        <w:rPr>
          <w:rFonts w:ascii="Palatino Linotype" w:eastAsia="Palatino Linotype" w:hAnsi="Palatino Linotype" w:cs="Palatino Linotype"/>
          <w:b/>
          <w:bCs/>
        </w:rPr>
      </w:pPr>
      <w:r w:rsidRPr="00580FBF">
        <w:rPr>
          <w:rFonts w:ascii="Palatino Linotype" w:eastAsia="Palatino Linotype" w:hAnsi="Palatino Linotype" w:cs="Palatino Linotype"/>
          <w:b/>
          <w:bCs/>
        </w:rPr>
        <w:t>SEGUNDO. De la oportunidad y procedencia.</w:t>
      </w:r>
    </w:p>
    <w:p w14:paraId="030BFC19"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medio de impugnación fue presentado a través del </w:t>
      </w:r>
      <w:r w:rsidRPr="00580FBF">
        <w:rPr>
          <w:rFonts w:ascii="Palatino Linotype" w:eastAsia="Palatino Linotype" w:hAnsi="Palatino Linotype" w:cs="Palatino Linotype"/>
          <w:b/>
          <w:bCs/>
        </w:rPr>
        <w:t>SAIMEX,</w:t>
      </w:r>
      <w:r w:rsidRPr="00580FBF">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580FBF">
        <w:rPr>
          <w:rFonts w:ascii="Palatino Linotype" w:eastAsia="Palatino Linotype" w:hAnsi="Palatino Linotype" w:cs="Palatino Linotype"/>
          <w:b/>
          <w:bCs/>
        </w:rPr>
        <w:t>SUJETO OBLIGADO</w:t>
      </w:r>
      <w:r w:rsidRPr="00580FBF">
        <w:rPr>
          <w:rFonts w:ascii="Palatino Linotype" w:eastAsia="Palatino Linotype" w:hAnsi="Palatino Linotype" w:cs="Palatino Linotype"/>
        </w:rPr>
        <w:t xml:space="preserve"> entregó respuesta a la solicitud el día </w:t>
      </w:r>
      <w:r w:rsidR="003C68D5" w:rsidRPr="00580FBF">
        <w:rPr>
          <w:rFonts w:ascii="Palatino Linotype" w:eastAsia="Palatino Linotype" w:hAnsi="Palatino Linotype" w:cs="Palatino Linotype"/>
          <w:b/>
          <w:bCs/>
        </w:rPr>
        <w:t>veinte de enero de dos mil veintiséis</w:t>
      </w:r>
      <w:r w:rsidRPr="00580FBF">
        <w:rPr>
          <w:rFonts w:ascii="Palatino Linotype" w:eastAsia="Palatino Linotype" w:hAnsi="Palatino Linotype" w:cs="Palatino Linotype"/>
        </w:rPr>
        <w:t>, de tal forma que el plazo para interponer el recurso de revisión transcurrió del</w:t>
      </w:r>
      <w:r w:rsidRPr="00580FBF">
        <w:rPr>
          <w:rFonts w:ascii="Palatino Linotype" w:eastAsia="Palatino Linotype" w:hAnsi="Palatino Linotype" w:cs="Palatino Linotype"/>
          <w:b/>
          <w:bCs/>
        </w:rPr>
        <w:t xml:space="preserve"> </w:t>
      </w:r>
      <w:r w:rsidR="003C68D5" w:rsidRPr="00580FBF">
        <w:rPr>
          <w:rFonts w:ascii="Palatino Linotype" w:eastAsia="Palatino Linotype" w:hAnsi="Palatino Linotype" w:cs="Palatino Linotype"/>
          <w:b/>
          <w:bCs/>
        </w:rPr>
        <w:t xml:space="preserve">veintiuno de enero </w:t>
      </w:r>
      <w:r w:rsidR="005D7B2E" w:rsidRPr="00580FBF">
        <w:rPr>
          <w:rFonts w:ascii="Palatino Linotype" w:eastAsia="Palatino Linotype" w:hAnsi="Palatino Linotype" w:cs="Palatino Linotype"/>
          <w:b/>
          <w:bCs/>
        </w:rPr>
        <w:t xml:space="preserve">al </w:t>
      </w:r>
      <w:r w:rsidR="003C68D5" w:rsidRPr="00580FBF">
        <w:rPr>
          <w:rFonts w:ascii="Palatino Linotype" w:eastAsia="Palatino Linotype" w:hAnsi="Palatino Linotype" w:cs="Palatino Linotype"/>
          <w:b/>
          <w:bCs/>
        </w:rPr>
        <w:t>once de febrero de dos mil veintiséis</w:t>
      </w:r>
      <w:r w:rsidRPr="00580FBF">
        <w:rPr>
          <w:rFonts w:ascii="Palatino Linotype" w:eastAsia="Palatino Linotype" w:hAnsi="Palatino Linotype" w:cs="Palatino Linotype"/>
        </w:rPr>
        <w:t xml:space="preserve">; en consecuencia, presentó su inconformidad el día </w:t>
      </w:r>
      <w:r w:rsidR="003C68D5" w:rsidRPr="00580FBF">
        <w:rPr>
          <w:rFonts w:ascii="Palatino Linotype" w:eastAsia="Palatino Linotype" w:hAnsi="Palatino Linotype" w:cs="Palatino Linotype"/>
          <w:b/>
          <w:bCs/>
        </w:rPr>
        <w:t>veintisiete de enero de dos mil veintiséis</w:t>
      </w:r>
      <w:r w:rsidRPr="00580FBF">
        <w:rPr>
          <w:rFonts w:ascii="Palatino Linotype" w:eastAsia="Palatino Linotype" w:hAnsi="Palatino Linotype" w:cs="Palatino Linotype"/>
        </w:rPr>
        <w:t xml:space="preserve">, por lo que se encuentra dentro de los márgenes temporales previstos en el artículo 178 de la </w:t>
      </w:r>
      <w:r w:rsidRPr="00580FBF">
        <w:rPr>
          <w:rFonts w:ascii="Palatino Linotype" w:eastAsia="Palatino Linotype" w:hAnsi="Palatino Linotype" w:cs="Palatino Linotype"/>
          <w:b/>
          <w:bCs/>
        </w:rPr>
        <w:t xml:space="preserve">Ley de Transparencia y Acceso a la Información Pública del Estado de México y Municipios </w:t>
      </w:r>
      <w:r w:rsidRPr="00580FBF">
        <w:rPr>
          <w:rFonts w:ascii="Palatino Linotype" w:eastAsia="Palatino Linotype" w:hAnsi="Palatino Linotype" w:cs="Palatino Linotype"/>
        </w:rPr>
        <w:t>vigente.</w:t>
      </w:r>
    </w:p>
    <w:p w14:paraId="23F7F48E"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7A6DAECB" w14:textId="77777777" w:rsidR="00893048" w:rsidRPr="00580FBF" w:rsidRDefault="00893048" w:rsidP="00893048">
      <w:pPr>
        <w:pBdr>
          <w:top w:val="nil"/>
          <w:left w:val="nil"/>
          <w:bottom w:val="nil"/>
          <w:right w:val="nil"/>
          <w:between w:val="nil"/>
        </w:pBdr>
        <w:ind w:left="720"/>
        <w:rPr>
          <w:rFonts w:ascii="Palatino Linotype" w:eastAsia="Palatino Linotype" w:hAnsi="Palatino Linotype" w:cs="Palatino Linotype"/>
        </w:rPr>
      </w:pPr>
    </w:p>
    <w:p w14:paraId="5CD79F53" w14:textId="77777777" w:rsidR="00893048" w:rsidRPr="00580FBF" w:rsidRDefault="00893048" w:rsidP="00893048">
      <w:pPr>
        <w:pStyle w:val="Ttulo1"/>
        <w:rPr>
          <w:rFonts w:ascii="Palatino Linotype" w:eastAsia="Palatino Linotype" w:hAnsi="Palatino Linotype" w:cs="Palatino Linotype"/>
          <w:b/>
          <w:bCs/>
          <w:color w:val="000000"/>
          <w:sz w:val="24"/>
          <w:szCs w:val="24"/>
        </w:rPr>
      </w:pPr>
      <w:r w:rsidRPr="00580FBF">
        <w:rPr>
          <w:rFonts w:ascii="Palatino Linotype" w:eastAsia="Palatino Linotype" w:hAnsi="Palatino Linotype" w:cs="Palatino Linotype"/>
          <w:b/>
          <w:bCs/>
          <w:color w:val="000000"/>
          <w:sz w:val="24"/>
          <w:szCs w:val="24"/>
        </w:rPr>
        <w:t xml:space="preserve">TERCERO. Planteamiento de la Litis </w:t>
      </w:r>
    </w:p>
    <w:p w14:paraId="57081D79" w14:textId="77777777" w:rsidR="00893048" w:rsidRPr="00580FBF" w:rsidRDefault="00893048" w:rsidP="00893048">
      <w:pPr>
        <w:numPr>
          <w:ilvl w:val="0"/>
          <w:numId w:val="3"/>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color w:val="000000"/>
        </w:rPr>
        <w:t>El recurrente solicitó</w:t>
      </w:r>
      <w:r w:rsidR="003C68D5" w:rsidRPr="00580FBF">
        <w:rPr>
          <w:rFonts w:ascii="Palatino Linotype" w:eastAsia="Palatino Linotype" w:hAnsi="Palatino Linotype" w:cs="Palatino Linotype"/>
          <w:color w:val="000000"/>
        </w:rPr>
        <w:t xml:space="preserve"> </w:t>
      </w:r>
      <w:r w:rsidR="003C68D5" w:rsidRPr="00580FBF">
        <w:rPr>
          <w:rFonts w:ascii="Palatino Linotype" w:eastAsia="Palatino Linotype" w:hAnsi="Palatino Linotype" w:cs="Palatino Linotype"/>
          <w:b/>
          <w:color w:val="000000"/>
        </w:rPr>
        <w:t>del 01 de enero al 31 de diciembre de 2025</w:t>
      </w:r>
      <w:r w:rsidR="00EB3933" w:rsidRPr="00580FBF">
        <w:rPr>
          <w:rFonts w:ascii="Palatino Linotype" w:eastAsia="Palatino Linotype" w:hAnsi="Palatino Linotype" w:cs="Palatino Linotype"/>
          <w:b/>
          <w:color w:val="000000"/>
        </w:rPr>
        <w:t>, todas las facturas correspondientes a la Partida Presupuestal 3611</w:t>
      </w:r>
      <w:r w:rsidR="005D7B2E" w:rsidRPr="00580FBF">
        <w:rPr>
          <w:rFonts w:ascii="Palatino Linotype" w:eastAsia="Palatino Linotype" w:hAnsi="Palatino Linotype" w:cs="Palatino Linotype"/>
          <w:color w:val="000000"/>
        </w:rPr>
        <w:t xml:space="preserve">. </w:t>
      </w:r>
      <w:r w:rsidRPr="00580FBF">
        <w:rPr>
          <w:rFonts w:ascii="Palatino Linotype" w:eastAsia="Palatino Linotype" w:hAnsi="Palatino Linotype" w:cs="Palatino Linotype"/>
          <w:color w:val="000000"/>
        </w:rPr>
        <w:t xml:space="preserve"> </w:t>
      </w:r>
    </w:p>
    <w:p w14:paraId="6D5FA17E" w14:textId="77777777" w:rsidR="00893048" w:rsidRPr="00580FBF" w:rsidRDefault="00893048" w:rsidP="00893048">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14:paraId="08C34641" w14:textId="77777777" w:rsidR="005D7B2E" w:rsidRPr="00580FBF" w:rsidRDefault="00893048" w:rsidP="005D7B2E">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color w:val="000000"/>
        </w:rPr>
        <w:t>En respuesta, el Sujeto Obligado señ</w:t>
      </w:r>
      <w:r w:rsidR="005D7B2E" w:rsidRPr="00580FBF">
        <w:rPr>
          <w:rFonts w:ascii="Palatino Linotype" w:eastAsia="Palatino Linotype" w:hAnsi="Palatino Linotype" w:cs="Palatino Linotype"/>
          <w:color w:val="000000"/>
        </w:rPr>
        <w:t xml:space="preserve">aló que </w:t>
      </w:r>
      <w:r w:rsidR="00EB3933" w:rsidRPr="00580FBF">
        <w:rPr>
          <w:rFonts w:ascii="Palatino Linotype" w:eastAsia="Palatino Linotype" w:hAnsi="Palatino Linotype" w:cs="Palatino Linotype"/>
          <w:color w:val="000000"/>
        </w:rPr>
        <w:t>a fin de que le puedan remitir la información en copias simples tendrá que presentarse a la oficina de ingresos de ese Ayuntamiento a realizar el pago de derechos, ello de acuerdo a lo establecido en el artículo 73 del Código Financiero del Estado de México.</w:t>
      </w:r>
    </w:p>
    <w:p w14:paraId="466AD93F" w14:textId="77777777" w:rsidR="00EB3933" w:rsidRPr="00580FBF" w:rsidRDefault="00EB3933" w:rsidP="00EB3933">
      <w:pPr>
        <w:pStyle w:val="Prrafodelista"/>
        <w:rPr>
          <w:rFonts w:ascii="Palatino Linotype" w:eastAsia="Palatino Linotype" w:hAnsi="Palatino Linotype" w:cs="Palatino Linotype"/>
          <w:i/>
          <w:iCs/>
          <w:color w:val="000000"/>
        </w:rPr>
      </w:pPr>
    </w:p>
    <w:p w14:paraId="0C1D111E" w14:textId="77777777" w:rsidR="00893048" w:rsidRPr="00580FBF" w:rsidRDefault="00893048" w:rsidP="00EB3933">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color w:val="000000"/>
        </w:rPr>
        <w:t>Por lo tanto, el presente recurso de revisión se circunscribe en determinar si se actualiza la causal de procedencia</w:t>
      </w:r>
      <w:r w:rsidRPr="00580FBF">
        <w:rPr>
          <w:rFonts w:ascii="Palatino Linotype" w:eastAsia="Palatino Linotype" w:hAnsi="Palatino Linotype" w:cs="Palatino Linotype"/>
          <w:b/>
          <w:bCs/>
          <w:color w:val="000000"/>
        </w:rPr>
        <w:t xml:space="preserve"> </w:t>
      </w:r>
      <w:r w:rsidRPr="00580FBF">
        <w:rPr>
          <w:rFonts w:ascii="Palatino Linotype" w:eastAsia="Palatino Linotype" w:hAnsi="Palatino Linotype" w:cs="Palatino Linotype"/>
          <w:color w:val="000000"/>
        </w:rPr>
        <w:t xml:space="preserve">contenida en el artículo 179 fracción </w:t>
      </w:r>
      <w:r w:rsidR="005D7B2E" w:rsidRPr="00580FBF">
        <w:rPr>
          <w:rFonts w:ascii="Palatino Linotype" w:eastAsia="Palatino Linotype" w:hAnsi="Palatino Linotype" w:cs="Palatino Linotype"/>
          <w:color w:val="000000"/>
        </w:rPr>
        <w:t xml:space="preserve">VIII y </w:t>
      </w:r>
      <w:r w:rsidRPr="00580FBF">
        <w:rPr>
          <w:rFonts w:ascii="Palatino Linotype" w:eastAsia="Palatino Linotype" w:hAnsi="Palatino Linotype" w:cs="Palatino Linotype"/>
          <w:color w:val="000000"/>
        </w:rPr>
        <w:t xml:space="preserve">X, de la </w:t>
      </w:r>
      <w:r w:rsidRPr="00580FBF">
        <w:rPr>
          <w:rFonts w:ascii="Palatino Linotype" w:eastAsia="Palatino Linotype" w:hAnsi="Palatino Linotype" w:cs="Palatino Linotype"/>
          <w:b/>
          <w:bCs/>
          <w:color w:val="000000"/>
        </w:rPr>
        <w:t>Ley de Transparencia y Acceso a la Información Pública del Estado de México y Municipios</w:t>
      </w:r>
      <w:r w:rsidRPr="00580FBF">
        <w:rPr>
          <w:rFonts w:ascii="Palatino Linotype" w:eastAsia="Palatino Linotype" w:hAnsi="Palatino Linotype" w:cs="Palatino Linotype"/>
          <w:color w:val="000000"/>
        </w:rPr>
        <w:t>, relativo a</w:t>
      </w:r>
      <w:r w:rsidR="005D7B2E" w:rsidRPr="00580FBF">
        <w:rPr>
          <w:rFonts w:ascii="Palatino Linotype" w:hAnsi="Palatino Linotype"/>
        </w:rPr>
        <w:t xml:space="preserve"> </w:t>
      </w:r>
      <w:r w:rsidR="00EB3933" w:rsidRPr="00580FBF">
        <w:rPr>
          <w:rFonts w:ascii="Palatino Linotype" w:eastAsia="Palatino Linotype" w:hAnsi="Palatino Linotype" w:cs="Palatino Linotype"/>
          <w:b/>
          <w:color w:val="000000"/>
        </w:rPr>
        <w:t>l</w:t>
      </w:r>
      <w:r w:rsidR="005D7B2E" w:rsidRPr="00580FBF">
        <w:rPr>
          <w:rFonts w:ascii="Palatino Linotype" w:eastAsia="Palatino Linotype" w:hAnsi="Palatino Linotype" w:cs="Palatino Linotype"/>
          <w:b/>
          <w:color w:val="000000"/>
        </w:rPr>
        <w:t>a notificación, entrega o puesta a disposición de información en una modalidad o formato distinto y</w:t>
      </w:r>
      <w:r w:rsidRPr="00580FBF">
        <w:rPr>
          <w:rFonts w:ascii="Palatino Linotype" w:eastAsia="Palatino Linotype" w:hAnsi="Palatino Linotype" w:cs="Palatino Linotype"/>
          <w:b/>
          <w:color w:val="000000"/>
        </w:rPr>
        <w:t xml:space="preserve"> los costos o tiempos de entrega de la información. </w:t>
      </w:r>
    </w:p>
    <w:p w14:paraId="52266D76" w14:textId="77777777" w:rsidR="005D7B2E" w:rsidRPr="00580FBF" w:rsidRDefault="005D7B2E" w:rsidP="005D7B2E">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14:paraId="27421F3C" w14:textId="77777777" w:rsidR="00893048" w:rsidRPr="00580FBF" w:rsidRDefault="00893048" w:rsidP="00893048">
      <w:pPr>
        <w:pStyle w:val="Ttulo2"/>
        <w:tabs>
          <w:tab w:val="left" w:pos="426"/>
        </w:tabs>
        <w:rPr>
          <w:rFonts w:ascii="Palatino Linotype" w:eastAsia="Palatino Linotype" w:hAnsi="Palatino Linotype" w:cs="Palatino Linotype"/>
          <w:b/>
          <w:bCs/>
          <w:color w:val="000000"/>
          <w:sz w:val="24"/>
          <w:szCs w:val="24"/>
        </w:rPr>
      </w:pPr>
      <w:bookmarkStart w:id="5" w:name="_heading=h.6ktr63nmw93t" w:colFirst="0" w:colLast="0"/>
      <w:bookmarkEnd w:id="5"/>
      <w:r w:rsidRPr="00580FBF">
        <w:rPr>
          <w:rFonts w:ascii="Palatino Linotype" w:eastAsia="Palatino Linotype" w:hAnsi="Palatino Linotype" w:cs="Palatino Linotype"/>
          <w:b/>
          <w:bCs/>
          <w:color w:val="000000"/>
          <w:sz w:val="24"/>
          <w:szCs w:val="24"/>
        </w:rPr>
        <w:t>CUARTO. Estudio y Resolución del asunto.</w:t>
      </w:r>
    </w:p>
    <w:p w14:paraId="739AFE98" w14:textId="77777777" w:rsidR="00893048"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 xml:space="preserve">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w:t>
      </w:r>
      <w:r w:rsidRPr="00580FBF">
        <w:rPr>
          <w:rFonts w:ascii="Palatino Linotype" w:eastAsia="Palatino Linotype" w:hAnsi="Palatino Linotype" w:cs="Palatino Linotype"/>
          <w:color w:val="000000"/>
        </w:rPr>
        <w:lastRenderedPageBreak/>
        <w:t>establecido en el artículo 8 de la Ley de Transparencia y Acceso a la Información Pública del Estado de México y Municipios.</w:t>
      </w:r>
    </w:p>
    <w:p w14:paraId="37E184D7" w14:textId="77777777" w:rsidR="00580FBF" w:rsidRPr="00580FBF" w:rsidRDefault="00580FBF" w:rsidP="00580FB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C25F572" w14:textId="77777777" w:rsidR="00893048" w:rsidRPr="00580FBF" w:rsidRDefault="00893048" w:rsidP="00893048">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580FBF">
        <w:rPr>
          <w:rFonts w:ascii="Palatino Linotype" w:eastAsia="Palatino Linotype" w:hAnsi="Palatino Linotype" w:cs="Palatino Linotype"/>
          <w:b/>
          <w:bCs/>
          <w:color w:val="000000"/>
        </w:rPr>
        <w:t xml:space="preserve">De la naturaleza de la información solicitada. </w:t>
      </w:r>
    </w:p>
    <w:p w14:paraId="4F305587"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 xml:space="preserve">Primeramente, se precisa que se obvia el análisis de la competencia por parte del </w:t>
      </w:r>
      <w:r w:rsidRPr="00580FBF">
        <w:rPr>
          <w:rFonts w:ascii="Palatino Linotype" w:eastAsia="Palatino Linotype" w:hAnsi="Palatino Linotype" w:cs="Palatino Linotype"/>
          <w:b/>
          <w:bCs/>
          <w:color w:val="000000"/>
        </w:rPr>
        <w:t>SUJETO OBLIGADO</w:t>
      </w:r>
      <w:r w:rsidRPr="00580FBF">
        <w:rPr>
          <w:rFonts w:ascii="Palatino Linotype" w:eastAsia="Palatino Linotype" w:hAnsi="Palatino Linotype" w:cs="Palatino Linotype"/>
          <w:color w:val="000000"/>
        </w:rPr>
        <w:t>, para generar, administrar o poseer la información solicitada, dado que éste ha asumido la misma, en razón de que en su respuesta admitió contar con dicha información.</w:t>
      </w:r>
    </w:p>
    <w:p w14:paraId="0C4E07DE" w14:textId="77777777" w:rsidR="00893048" w:rsidRPr="00580FBF" w:rsidRDefault="00893048" w:rsidP="00893048">
      <w:pPr>
        <w:pBdr>
          <w:top w:val="nil"/>
          <w:left w:val="nil"/>
          <w:bottom w:val="nil"/>
          <w:right w:val="nil"/>
          <w:between w:val="nil"/>
        </w:pBdr>
        <w:ind w:left="720"/>
        <w:rPr>
          <w:rFonts w:ascii="Palatino Linotype" w:eastAsia="Palatino Linotype" w:hAnsi="Palatino Linotype" w:cs="Palatino Linotype"/>
          <w:color w:val="000000"/>
        </w:rPr>
      </w:pPr>
    </w:p>
    <w:p w14:paraId="289091BD"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6" w:name="_heading=h.g7zcieg0cvp6" w:colFirst="0" w:colLast="0"/>
      <w:bookmarkEnd w:id="6"/>
      <w:r w:rsidRPr="00580FBF">
        <w:rPr>
          <w:rFonts w:ascii="Palatino Linotype" w:eastAsia="Palatino Linotype" w:hAnsi="Palatino Linotype" w:cs="Palatino Linotype"/>
          <w:color w:val="000000"/>
        </w:rPr>
        <w:t xml:space="preserve">En efecto, el hecho de que </w:t>
      </w:r>
      <w:r w:rsidRPr="00580FBF">
        <w:rPr>
          <w:rFonts w:ascii="Palatino Linotype" w:eastAsia="Palatino Linotype" w:hAnsi="Palatino Linotype" w:cs="Palatino Linotype"/>
          <w:b/>
          <w:bCs/>
          <w:color w:val="000000"/>
        </w:rPr>
        <w:t>EL SUJETO OBLIGADO</w:t>
      </w:r>
      <w:r w:rsidRPr="00580FBF">
        <w:rPr>
          <w:rFonts w:ascii="Palatino Linotype" w:eastAsia="Palatino Linotype" w:hAnsi="Palatino Linotype" w:cs="Palatino Linotype"/>
          <w:color w:val="000000"/>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549CC9AD" w14:textId="77777777" w:rsidR="00893048" w:rsidRPr="00580FBF" w:rsidRDefault="00893048" w:rsidP="00973A50">
      <w:pPr>
        <w:pBdr>
          <w:top w:val="nil"/>
          <w:left w:val="nil"/>
          <w:bottom w:val="nil"/>
          <w:right w:val="nil"/>
          <w:between w:val="nil"/>
        </w:pBdr>
        <w:tabs>
          <w:tab w:val="left" w:pos="7655"/>
        </w:tabs>
        <w:ind w:left="567" w:right="822"/>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i/>
          <w:iCs/>
          <w:color w:val="000000"/>
        </w:rPr>
        <w:t>“</w:t>
      </w:r>
      <w:r w:rsidRPr="00580FBF">
        <w:rPr>
          <w:rFonts w:ascii="Palatino Linotype" w:eastAsia="Palatino Linotype" w:hAnsi="Palatino Linotype" w:cs="Palatino Linotype"/>
          <w:b/>
          <w:bCs/>
          <w:i/>
          <w:iCs/>
          <w:color w:val="000000"/>
        </w:rPr>
        <w:t>Artículo 12.</w:t>
      </w:r>
      <w:r w:rsidRPr="00580FBF">
        <w:rPr>
          <w:rFonts w:ascii="Palatino Linotype" w:eastAsia="Palatino Linotype" w:hAnsi="Palatino Linotype" w:cs="Palatino Linotype"/>
          <w:i/>
          <w:iCs/>
          <w:color w:val="000000"/>
        </w:rPr>
        <w:t> Quienes generen, recopilen, administren, manejen, procesen, archiven o conserven información pública serán responsables de la misma en los términos de las disposiciones jurídicas aplicables.</w:t>
      </w:r>
    </w:p>
    <w:p w14:paraId="1DF1E2C4" w14:textId="77777777" w:rsidR="00893048" w:rsidRPr="00580FBF" w:rsidRDefault="00893048" w:rsidP="00973A50">
      <w:pPr>
        <w:pBdr>
          <w:top w:val="nil"/>
          <w:left w:val="nil"/>
          <w:bottom w:val="nil"/>
          <w:right w:val="nil"/>
          <w:between w:val="nil"/>
        </w:pBdr>
        <w:tabs>
          <w:tab w:val="left" w:pos="7655"/>
        </w:tabs>
        <w:ind w:left="567" w:right="822"/>
        <w:jc w:val="both"/>
        <w:rPr>
          <w:rFonts w:ascii="Palatino Linotype" w:eastAsia="Palatino Linotype" w:hAnsi="Palatino Linotype" w:cs="Palatino Linotype"/>
          <w:i/>
          <w:iCs/>
          <w:color w:val="000000"/>
        </w:rPr>
      </w:pPr>
    </w:p>
    <w:p w14:paraId="639548C6" w14:textId="77777777" w:rsidR="00893048" w:rsidRPr="00580FBF" w:rsidRDefault="00893048" w:rsidP="00973A50">
      <w:pPr>
        <w:pBdr>
          <w:top w:val="nil"/>
          <w:left w:val="nil"/>
          <w:bottom w:val="nil"/>
          <w:right w:val="nil"/>
          <w:between w:val="nil"/>
        </w:pBdr>
        <w:tabs>
          <w:tab w:val="left" w:pos="7655"/>
        </w:tabs>
        <w:ind w:left="567" w:right="822"/>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115D062" w14:textId="77777777" w:rsidR="00893048" w:rsidRPr="00580FBF" w:rsidRDefault="00893048" w:rsidP="00893048">
      <w:pPr>
        <w:pBdr>
          <w:top w:val="nil"/>
          <w:left w:val="nil"/>
          <w:bottom w:val="nil"/>
          <w:right w:val="nil"/>
          <w:between w:val="nil"/>
        </w:pBdr>
        <w:ind w:left="360" w:right="902"/>
        <w:jc w:val="both"/>
        <w:rPr>
          <w:rFonts w:ascii="Palatino Linotype" w:eastAsia="Palatino Linotype" w:hAnsi="Palatino Linotype" w:cs="Palatino Linotype"/>
          <w:color w:val="000000"/>
        </w:rPr>
      </w:pPr>
    </w:p>
    <w:p w14:paraId="6CE8347D"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Así, el estudio de la naturaleza jurídica de la información pública solicitada, tiene por objeto determinar si ésta la genera, posee o administra </w:t>
      </w:r>
      <w:r w:rsidRPr="00580FBF">
        <w:rPr>
          <w:rFonts w:ascii="Palatino Linotype" w:eastAsia="Palatino Linotype" w:hAnsi="Palatino Linotype" w:cs="Palatino Linotype"/>
          <w:b/>
          <w:bCs/>
          <w:color w:val="000000"/>
        </w:rPr>
        <w:t>EL SUJETO OBLIGADO</w:t>
      </w:r>
      <w:r w:rsidRPr="00580FBF">
        <w:rPr>
          <w:rFonts w:ascii="Palatino Linotype" w:eastAsia="Palatino Linotype" w:hAnsi="Palatino Linotype" w:cs="Palatino Linotype"/>
          <w:color w:val="000000"/>
        </w:rPr>
        <w:t xml:space="preserve">; sin embargo, en aquellos casos en que éste la asume, a nada práctico nos conduciría su estudio, ya que se insiste, dicha información, fue admitida por el mismo; por lo que, la genera, posee </w:t>
      </w:r>
      <w:r w:rsidRPr="00580FBF">
        <w:rPr>
          <w:rFonts w:ascii="Palatino Linotype" w:eastAsia="Palatino Linotype" w:hAnsi="Palatino Linotype" w:cs="Palatino Linotype"/>
          <w:color w:val="000000"/>
        </w:rPr>
        <w:lastRenderedPageBreak/>
        <w:t>y administra, en ejercicio de sus funciones de derecho público, motivo por el cual, se actualiza el supuesto jurídico, previsto en el artículo 12 de la Ley de la materia, anteriormente referido.</w:t>
      </w:r>
    </w:p>
    <w:p w14:paraId="2332870A" w14:textId="77777777" w:rsidR="00EB3933" w:rsidRPr="00580FBF" w:rsidRDefault="00EB3933" w:rsidP="00EB39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4734633" w14:textId="77777777" w:rsidR="00EB3933" w:rsidRPr="00580FBF" w:rsidRDefault="00EB3933" w:rsidP="00EB3933">
      <w:pPr>
        <w:pStyle w:val="Prrafodelista"/>
        <w:numPr>
          <w:ilvl w:val="0"/>
          <w:numId w:val="10"/>
        </w:num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b/>
          <w:color w:val="000000"/>
        </w:rPr>
      </w:pPr>
      <w:r w:rsidRPr="00580FBF">
        <w:rPr>
          <w:rFonts w:ascii="Palatino Linotype" w:eastAsia="Palatino Linotype" w:hAnsi="Palatino Linotype" w:cs="Palatino Linotype"/>
          <w:b/>
          <w:color w:val="000000"/>
        </w:rPr>
        <w:t xml:space="preserve">De la búsqueda exhaustiva </w:t>
      </w:r>
    </w:p>
    <w:p w14:paraId="31C3A90D" w14:textId="77777777" w:rsidR="00EB3933" w:rsidRPr="00580FBF" w:rsidRDefault="00FE2679" w:rsidP="00FE2679">
      <w:pPr>
        <w:pStyle w:val="Prrafodelista"/>
        <w:numPr>
          <w:ilvl w:val="0"/>
          <w:numId w:val="3"/>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580FBF">
        <w:rPr>
          <w:rFonts w:ascii="Palatino Linotype" w:eastAsia="Palatino Linotype" w:hAnsi="Palatino Linotype" w:cs="Palatino Linotype"/>
          <w:color w:val="000000"/>
        </w:rPr>
        <w:t xml:space="preserve">Así las cosas, cabe </w:t>
      </w:r>
      <w:r w:rsidR="00EB3933" w:rsidRPr="00580FBF">
        <w:rPr>
          <w:rFonts w:ascii="Palatino Linotype" w:eastAsia="Palatino Linotype" w:hAnsi="Palatino Linotype" w:cs="Palatino Linotype"/>
          <w:color w:val="000000"/>
        </w:rPr>
        <w:t>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3A39280C" w14:textId="77777777" w:rsidR="00EB3933" w:rsidRPr="00580FBF" w:rsidRDefault="00EB3933" w:rsidP="00FE2679">
      <w:pPr>
        <w:pBdr>
          <w:top w:val="nil"/>
          <w:left w:val="nil"/>
          <w:bottom w:val="nil"/>
          <w:right w:val="nil"/>
          <w:between w:val="nil"/>
        </w:pBdr>
        <w:tabs>
          <w:tab w:val="left" w:pos="2475"/>
        </w:tabs>
        <w:spacing w:line="360" w:lineRule="auto"/>
        <w:ind w:right="-28"/>
        <w:jc w:val="both"/>
        <w:rPr>
          <w:rFonts w:ascii="Palatino Linotype" w:eastAsia="Palatino Linotype" w:hAnsi="Palatino Linotype" w:cs="Palatino Linotype"/>
          <w:color w:val="000000"/>
        </w:rPr>
      </w:pPr>
    </w:p>
    <w:p w14:paraId="3DC22369" w14:textId="77777777" w:rsidR="00EB3933" w:rsidRPr="00580FBF" w:rsidRDefault="00EB3933" w:rsidP="00FE2679">
      <w:pPr>
        <w:numPr>
          <w:ilvl w:val="0"/>
          <w:numId w:val="3"/>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580FBF">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580FBF">
        <w:rPr>
          <w:rFonts w:ascii="Palatino Linotype" w:eastAsia="Palatino Linotype" w:hAnsi="Palatino Linotype" w:cs="Palatino Linotype"/>
          <w:color w:val="000000"/>
          <w:vertAlign w:val="superscript"/>
        </w:rPr>
        <w:footnoteReference w:id="1"/>
      </w:r>
      <w:r w:rsidRPr="00580FBF">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580FBF">
        <w:rPr>
          <w:rFonts w:ascii="Palatino Linotype" w:eastAsia="Palatino Linotype" w:hAnsi="Palatino Linotype" w:cs="Palatino Linotype"/>
          <w:b/>
          <w:color w:val="000000"/>
        </w:rPr>
        <w:t xml:space="preserve"> </w:t>
      </w:r>
      <w:r w:rsidRPr="00580FBF">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580FBF">
        <w:rPr>
          <w:rFonts w:ascii="Palatino Linotype" w:eastAsia="Palatino Linotype" w:hAnsi="Palatino Linotype" w:cs="Palatino Linotype"/>
          <w:color w:val="000000"/>
          <w:vertAlign w:val="superscript"/>
        </w:rPr>
        <w:footnoteReference w:id="2"/>
      </w:r>
      <w:r w:rsidRPr="00580FBF">
        <w:rPr>
          <w:rFonts w:ascii="Palatino Linotype" w:eastAsia="Palatino Linotype" w:hAnsi="Palatino Linotype" w:cs="Palatino Linotype"/>
          <w:color w:val="000000"/>
        </w:rPr>
        <w:t>.</w:t>
      </w:r>
    </w:p>
    <w:p w14:paraId="5BD53ED2" w14:textId="77777777" w:rsidR="00EB3933" w:rsidRPr="00580FBF" w:rsidRDefault="00EB3933" w:rsidP="00FE2679">
      <w:pPr>
        <w:ind w:right="-28"/>
        <w:rPr>
          <w:rFonts w:ascii="Palatino Linotype" w:eastAsia="Palatino Linotype" w:hAnsi="Palatino Linotype" w:cs="Palatino Linotype"/>
          <w:color w:val="000000"/>
        </w:rPr>
      </w:pPr>
    </w:p>
    <w:p w14:paraId="1ED7E9AA" w14:textId="77777777" w:rsidR="00EB3933" w:rsidRPr="00580FBF" w:rsidRDefault="00EB3933" w:rsidP="00FE2679">
      <w:pPr>
        <w:numPr>
          <w:ilvl w:val="0"/>
          <w:numId w:val="3"/>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580FBF">
        <w:rPr>
          <w:rFonts w:ascii="Palatino Linotype" w:eastAsia="Palatino Linotype" w:hAnsi="Palatino Linotype" w:cs="Palatino Linotype"/>
          <w:color w:val="000000"/>
        </w:rPr>
        <w:lastRenderedPageBreak/>
        <w:t>De conformidad con lo dispuesto en la Ley de Transparencia y Acceso a la Información Pública del Estado de México y Municipios, las Unidades de Transparencia tendrán, entre sus atribuciones, las siguientes:</w:t>
      </w:r>
    </w:p>
    <w:p w14:paraId="19D96634" w14:textId="77777777" w:rsidR="00EB3933" w:rsidRPr="00580FBF" w:rsidRDefault="00EB3933" w:rsidP="00FE2679">
      <w:pPr>
        <w:numPr>
          <w:ilvl w:val="1"/>
          <w:numId w:val="13"/>
        </w:numPr>
        <w:pBdr>
          <w:top w:val="nil"/>
          <w:left w:val="nil"/>
          <w:bottom w:val="nil"/>
          <w:right w:val="nil"/>
          <w:between w:val="nil"/>
        </w:pBdr>
        <w:ind w:left="709" w:right="539" w:hanging="142"/>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Recibir, tramitar y dar respuesta a las solicitudes de acceso a la información;</w:t>
      </w:r>
    </w:p>
    <w:p w14:paraId="44328BB1" w14:textId="77777777" w:rsidR="00EB3933" w:rsidRPr="00580FBF" w:rsidRDefault="00EB3933" w:rsidP="00FE2679">
      <w:pPr>
        <w:numPr>
          <w:ilvl w:val="1"/>
          <w:numId w:val="13"/>
        </w:numPr>
        <w:pBdr>
          <w:top w:val="nil"/>
          <w:left w:val="nil"/>
          <w:bottom w:val="nil"/>
          <w:right w:val="nil"/>
          <w:between w:val="nil"/>
        </w:pBdr>
        <w:ind w:left="709" w:right="539" w:hanging="142"/>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6225E4FC" w14:textId="77777777" w:rsidR="00EB3933" w:rsidRPr="00580FBF" w:rsidRDefault="00EB3933" w:rsidP="00FE2679">
      <w:pPr>
        <w:numPr>
          <w:ilvl w:val="1"/>
          <w:numId w:val="13"/>
        </w:numPr>
        <w:pBdr>
          <w:top w:val="nil"/>
          <w:left w:val="nil"/>
          <w:bottom w:val="nil"/>
          <w:right w:val="nil"/>
          <w:between w:val="nil"/>
        </w:pBdr>
        <w:ind w:left="709" w:right="539" w:hanging="142"/>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 xml:space="preserve">Entregar, en su caso, a los particulares la información solicitada; y </w:t>
      </w:r>
    </w:p>
    <w:p w14:paraId="62CE6FA9" w14:textId="77777777" w:rsidR="00EB3933" w:rsidRPr="00580FBF" w:rsidRDefault="00EB3933" w:rsidP="00FE2679">
      <w:pPr>
        <w:numPr>
          <w:ilvl w:val="1"/>
          <w:numId w:val="13"/>
        </w:numPr>
        <w:pBdr>
          <w:top w:val="nil"/>
          <w:left w:val="nil"/>
          <w:bottom w:val="nil"/>
          <w:right w:val="nil"/>
          <w:between w:val="nil"/>
        </w:pBdr>
        <w:spacing w:after="240"/>
        <w:ind w:left="709" w:right="539" w:hanging="142"/>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Efectuar las notificaciones a los solicitantes.</w:t>
      </w:r>
    </w:p>
    <w:p w14:paraId="249E979D" w14:textId="77777777" w:rsidR="00EB3933" w:rsidRPr="00580FBF" w:rsidRDefault="00EB3933" w:rsidP="00FE2679">
      <w:pPr>
        <w:spacing w:before="240" w:after="240"/>
        <w:ind w:right="-28"/>
        <w:jc w:val="both"/>
        <w:rPr>
          <w:rFonts w:ascii="Palatino Linotype" w:eastAsia="Palatino Linotype" w:hAnsi="Palatino Linotype" w:cs="Palatino Linotype"/>
          <w:color w:val="000000"/>
        </w:rPr>
      </w:pPr>
    </w:p>
    <w:p w14:paraId="732B271E" w14:textId="77777777" w:rsidR="00EB3933" w:rsidRPr="00580FBF" w:rsidRDefault="00EB3933" w:rsidP="00FE2679">
      <w:pPr>
        <w:numPr>
          <w:ilvl w:val="0"/>
          <w:numId w:val="3"/>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580FBF">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580FBF">
        <w:rPr>
          <w:rFonts w:ascii="Palatino Linotype" w:eastAsia="Palatino Linotype" w:hAnsi="Palatino Linotype" w:cs="Palatino Linotype"/>
          <w:b/>
          <w:color w:val="000000"/>
        </w:rPr>
        <w:t xml:space="preserve">SUJETO OBLIGADO </w:t>
      </w:r>
      <w:r w:rsidRPr="00580FBF">
        <w:rPr>
          <w:rFonts w:ascii="Palatino Linotype" w:eastAsia="Palatino Linotype" w:hAnsi="Palatino Linotype" w:cs="Palatino Linotype"/>
          <w:color w:val="000000"/>
        </w:rPr>
        <w:t>a propuesta del responsable de la Unidad de Transparencia</w:t>
      </w:r>
      <w:r w:rsidRPr="00580FBF">
        <w:rPr>
          <w:rFonts w:ascii="Palatino Linotype" w:eastAsia="Palatino Linotype" w:hAnsi="Palatino Linotype" w:cs="Palatino Linotype"/>
          <w:color w:val="000000"/>
          <w:vertAlign w:val="superscript"/>
        </w:rPr>
        <w:footnoteReference w:id="3"/>
      </w:r>
      <w:r w:rsidRPr="00580FBF">
        <w:rPr>
          <w:rFonts w:ascii="Palatino Linotype" w:eastAsia="Palatino Linotype" w:hAnsi="Palatino Linotype" w:cs="Palatino Linotype"/>
          <w:color w:val="000000"/>
        </w:rPr>
        <w:t xml:space="preserve"> y tendrán, entre sus atribuciones, las siguientes</w:t>
      </w:r>
      <w:r w:rsidRPr="00580FBF">
        <w:rPr>
          <w:rFonts w:ascii="Palatino Linotype" w:eastAsia="Palatino Linotype" w:hAnsi="Palatino Linotype" w:cs="Palatino Linotype"/>
          <w:color w:val="000000"/>
          <w:vertAlign w:val="superscript"/>
        </w:rPr>
        <w:footnoteReference w:id="4"/>
      </w:r>
      <w:r w:rsidRPr="00580FBF">
        <w:rPr>
          <w:rFonts w:ascii="Palatino Linotype" w:eastAsia="Palatino Linotype" w:hAnsi="Palatino Linotype" w:cs="Palatino Linotype"/>
          <w:color w:val="000000"/>
        </w:rPr>
        <w:t>:</w:t>
      </w:r>
    </w:p>
    <w:p w14:paraId="598895DE" w14:textId="77777777" w:rsidR="00EB3933" w:rsidRPr="00580FBF" w:rsidRDefault="00EB3933" w:rsidP="00FE2679">
      <w:pPr>
        <w:numPr>
          <w:ilvl w:val="1"/>
          <w:numId w:val="14"/>
        </w:numPr>
        <w:pBdr>
          <w:top w:val="nil"/>
          <w:left w:val="nil"/>
          <w:bottom w:val="nil"/>
          <w:right w:val="nil"/>
          <w:between w:val="nil"/>
        </w:pBdr>
        <w:spacing w:before="240"/>
        <w:ind w:left="709" w:right="539" w:hanging="142"/>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Localizar la información que le solicite la Unidad de Transparencia; y</w:t>
      </w:r>
    </w:p>
    <w:p w14:paraId="67EA5C1C" w14:textId="77777777" w:rsidR="00EB3933" w:rsidRPr="00580FBF" w:rsidRDefault="00EB3933" w:rsidP="00FE2679">
      <w:pPr>
        <w:numPr>
          <w:ilvl w:val="1"/>
          <w:numId w:val="14"/>
        </w:numPr>
        <w:pBdr>
          <w:top w:val="nil"/>
          <w:left w:val="nil"/>
          <w:bottom w:val="nil"/>
          <w:right w:val="nil"/>
          <w:between w:val="nil"/>
        </w:pBdr>
        <w:spacing w:after="240"/>
        <w:ind w:left="709" w:right="539" w:hanging="142"/>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Proporcionar la información que obre en los archivos y que le sea solicitada por la Unidad de Transparencia.</w:t>
      </w:r>
    </w:p>
    <w:p w14:paraId="24DC7EAE" w14:textId="77777777" w:rsidR="00EB3933" w:rsidRPr="00580FBF" w:rsidRDefault="00EB3933" w:rsidP="00FE2679">
      <w:pPr>
        <w:tabs>
          <w:tab w:val="left" w:pos="426"/>
          <w:tab w:val="left" w:pos="567"/>
        </w:tabs>
        <w:ind w:right="-28"/>
        <w:jc w:val="both"/>
        <w:rPr>
          <w:rFonts w:ascii="Palatino Linotype" w:eastAsia="Palatino Linotype" w:hAnsi="Palatino Linotype" w:cs="Palatino Linotype"/>
          <w:color w:val="000000"/>
        </w:rPr>
      </w:pPr>
    </w:p>
    <w:p w14:paraId="39F4B141" w14:textId="77777777" w:rsidR="00EB3933" w:rsidRPr="00580FBF" w:rsidRDefault="00EB3933" w:rsidP="00FE2679">
      <w:pPr>
        <w:numPr>
          <w:ilvl w:val="0"/>
          <w:numId w:val="3"/>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580FBF">
        <w:rPr>
          <w:rFonts w:ascii="Palatino Linotype" w:eastAsia="Palatino Linotype" w:hAnsi="Palatino Linotype" w:cs="Palatino Linotype"/>
          <w:color w:val="000000"/>
        </w:rPr>
        <w:t xml:space="preserve">De tal manera que cada una de las áreas administrativas del </w:t>
      </w:r>
      <w:r w:rsidRPr="00580FBF">
        <w:rPr>
          <w:rFonts w:ascii="Palatino Linotype" w:eastAsia="Palatino Linotype" w:hAnsi="Palatino Linotype" w:cs="Palatino Linotype"/>
          <w:b/>
          <w:color w:val="000000"/>
        </w:rPr>
        <w:t>SUJETO OBLIGADO</w:t>
      </w:r>
      <w:r w:rsidRPr="00580FBF">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7B40CE7F" w14:textId="77777777" w:rsidR="00EB3933" w:rsidRPr="00580FBF" w:rsidRDefault="00EB3933" w:rsidP="00FE2679">
      <w:pPr>
        <w:ind w:right="-28"/>
        <w:rPr>
          <w:rFonts w:ascii="Palatino Linotype" w:eastAsia="Palatino Linotype" w:hAnsi="Palatino Linotype" w:cs="Palatino Linotype"/>
          <w:color w:val="000000"/>
        </w:rPr>
      </w:pPr>
    </w:p>
    <w:p w14:paraId="003ECDB6" w14:textId="77777777" w:rsidR="00EB3933" w:rsidRPr="00580FBF" w:rsidRDefault="00EB3933" w:rsidP="00FE2679">
      <w:pPr>
        <w:numPr>
          <w:ilvl w:val="0"/>
          <w:numId w:val="3"/>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580FBF">
        <w:rPr>
          <w:rFonts w:ascii="Palatino Linotype" w:eastAsia="Palatino Linotype" w:hAnsi="Palatino Linotype" w:cs="Palatino Linotype"/>
          <w:color w:val="000000"/>
        </w:rPr>
        <w:lastRenderedPageBreak/>
        <w:t>Aunado a lo anterior, la Ley de Transparencia y Acceso a la Información Pública del Estado de México y Municipios, en su artículo 53, establece las funciones correspondientes a esta Unidad; mismas que se inserta a continuación:</w:t>
      </w:r>
    </w:p>
    <w:p w14:paraId="66336653"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b/>
          <w:i/>
          <w:color w:val="000000"/>
        </w:rPr>
        <w:t>“Artículo 53</w:t>
      </w:r>
      <w:r w:rsidRPr="00580FBF">
        <w:rPr>
          <w:rFonts w:ascii="Palatino Linotype" w:eastAsia="Palatino Linotype" w:hAnsi="Palatino Linotype" w:cs="Palatino Linotype"/>
          <w:i/>
          <w:color w:val="000000"/>
        </w:rPr>
        <w:t xml:space="preserve">. Las Unidades de Transparencia tendrán las siguientes funciones: </w:t>
      </w:r>
    </w:p>
    <w:p w14:paraId="5CE9768C"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p>
    <w:p w14:paraId="0375BE3E"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570FFAC8"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b/>
          <w:i/>
          <w:color w:val="000000"/>
        </w:rPr>
      </w:pPr>
      <w:r w:rsidRPr="00580FBF">
        <w:rPr>
          <w:rFonts w:ascii="Palatino Linotype" w:eastAsia="Palatino Linotype" w:hAnsi="Palatino Linotype" w:cs="Palatino Linotype"/>
          <w:b/>
          <w:i/>
          <w:color w:val="000000"/>
        </w:rPr>
        <w:t xml:space="preserve">II. Recibir, tramitar y dar respuesta a las solicitudes de acceso a la información; </w:t>
      </w:r>
    </w:p>
    <w:p w14:paraId="1B14B595"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III. Auxiliar a los particulares en la elaboración de solicitudes de acceso a la información y, en su caso, orientarlos sobre los sujetos obligados competentes conforme a la normatividad aplicable; </w:t>
      </w:r>
    </w:p>
    <w:p w14:paraId="0486D054"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b/>
          <w:i/>
          <w:color w:val="000000"/>
        </w:rPr>
      </w:pPr>
      <w:r w:rsidRPr="00580FBF">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14:paraId="42F2C6A9"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V. Entregar, en su caso, a los particulares la información solicitada; </w:t>
      </w:r>
    </w:p>
    <w:p w14:paraId="76BC184F"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VI. Efectuar las notificaciones a los solicitantes; </w:t>
      </w:r>
    </w:p>
    <w:p w14:paraId="28FD8384"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VII. Proponer al Comité de Transparencia, los procedimientos internos que aseguren la mayor eficiencia en la gestión de las solicitudes de acceso a la información, conforme a la normatividad aplicable; </w:t>
      </w:r>
    </w:p>
    <w:p w14:paraId="20AB1953"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14:paraId="5EF74BBC"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b/>
          <w:i/>
          <w:color w:val="000000"/>
        </w:rPr>
      </w:pPr>
      <w:r w:rsidRPr="00580FBF">
        <w:rPr>
          <w:rFonts w:ascii="Palatino Linotype" w:eastAsia="Palatino Linotype" w:hAnsi="Palatino Linotype" w:cs="Palatino Linotype"/>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5021492E"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X. Presentar ante el Comité, el proyecto de clasificación de información; </w:t>
      </w:r>
    </w:p>
    <w:p w14:paraId="28015A68"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XI. Promover e implementar políticas de transparencia proactiva procurando su accesibilidad; </w:t>
      </w:r>
    </w:p>
    <w:p w14:paraId="56F60273"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XII. Fomentar la transparencia y accesibilidad al interior del sujeto obligado; </w:t>
      </w:r>
    </w:p>
    <w:p w14:paraId="36C8D83C"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14:paraId="521C4332" w14:textId="77777777" w:rsidR="00EB3933" w:rsidRPr="00580FBF" w:rsidRDefault="00EB3933" w:rsidP="00973A50">
      <w:pPr>
        <w:pBdr>
          <w:top w:val="nil"/>
          <w:left w:val="nil"/>
          <w:bottom w:val="nil"/>
          <w:right w:val="nil"/>
          <w:between w:val="nil"/>
        </w:pBdr>
        <w:tabs>
          <w:tab w:val="left" w:pos="426"/>
        </w:tabs>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14:paraId="214AC75B" w14:textId="77777777" w:rsidR="00EB3933" w:rsidRPr="00580FBF" w:rsidRDefault="00EB3933" w:rsidP="00973A50">
      <w:pPr>
        <w:pBdr>
          <w:top w:val="nil"/>
          <w:left w:val="nil"/>
          <w:bottom w:val="nil"/>
          <w:right w:val="nil"/>
          <w:between w:val="nil"/>
        </w:pBdr>
        <w:tabs>
          <w:tab w:val="left" w:pos="426"/>
        </w:tabs>
        <w:spacing w:after="240"/>
        <w:ind w:left="567" w:right="822"/>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lastRenderedPageBreak/>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4CCEC101" w14:textId="77777777" w:rsidR="00EB3933" w:rsidRPr="00580FBF" w:rsidRDefault="00EB3933" w:rsidP="00FE2679">
      <w:pPr>
        <w:tabs>
          <w:tab w:val="left" w:pos="426"/>
        </w:tabs>
        <w:spacing w:before="240" w:after="240"/>
        <w:ind w:right="-28"/>
        <w:jc w:val="both"/>
        <w:rPr>
          <w:rFonts w:ascii="Palatino Linotype" w:eastAsia="Palatino Linotype" w:hAnsi="Palatino Linotype" w:cs="Palatino Linotype"/>
          <w:i/>
        </w:rPr>
      </w:pPr>
    </w:p>
    <w:p w14:paraId="32CF2020" w14:textId="77777777" w:rsidR="00EB3933" w:rsidRPr="00580FBF" w:rsidRDefault="00EB3933" w:rsidP="00FE2679">
      <w:pPr>
        <w:numPr>
          <w:ilvl w:val="0"/>
          <w:numId w:val="3"/>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rPr>
      </w:pPr>
      <w:r w:rsidRPr="00580FBF">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14:paraId="4F104085" w14:textId="77777777" w:rsidR="00EB3933" w:rsidRPr="00580FBF" w:rsidRDefault="00EB3933" w:rsidP="00FE2679">
      <w:pPr>
        <w:pBdr>
          <w:top w:val="nil"/>
          <w:left w:val="nil"/>
          <w:bottom w:val="nil"/>
          <w:right w:val="nil"/>
          <w:between w:val="nil"/>
        </w:pBdr>
        <w:tabs>
          <w:tab w:val="left" w:pos="426"/>
          <w:tab w:val="left" w:pos="567"/>
        </w:tabs>
        <w:spacing w:line="360" w:lineRule="auto"/>
        <w:ind w:right="-28"/>
        <w:jc w:val="both"/>
        <w:rPr>
          <w:rFonts w:ascii="Palatino Linotype" w:eastAsia="Palatino Linotype" w:hAnsi="Palatino Linotype" w:cs="Palatino Linotype"/>
          <w:color w:val="000000"/>
        </w:rPr>
      </w:pPr>
    </w:p>
    <w:p w14:paraId="3D880070" w14:textId="77777777" w:rsidR="00EB3933" w:rsidRPr="00580FBF" w:rsidRDefault="00EB3933" w:rsidP="00FE2679">
      <w:pPr>
        <w:numPr>
          <w:ilvl w:val="0"/>
          <w:numId w:val="3"/>
        </w:numPr>
        <w:pBdr>
          <w:top w:val="nil"/>
          <w:left w:val="nil"/>
          <w:bottom w:val="nil"/>
          <w:right w:val="nil"/>
          <w:between w:val="nil"/>
        </w:pBdr>
        <w:tabs>
          <w:tab w:val="left" w:pos="426"/>
          <w:tab w:val="left" w:pos="567"/>
        </w:tabs>
        <w:spacing w:line="360" w:lineRule="auto"/>
        <w:ind w:left="0" w:right="-28" w:firstLine="0"/>
        <w:jc w:val="both"/>
        <w:rPr>
          <w:rFonts w:ascii="Palatino Linotype" w:eastAsia="Palatino Linotype" w:hAnsi="Palatino Linotype" w:cs="Palatino Linotype"/>
          <w:b/>
        </w:rPr>
      </w:pPr>
      <w:r w:rsidRPr="00580FBF">
        <w:rPr>
          <w:rFonts w:ascii="Palatino Linotype" w:eastAsia="Palatino Linotype" w:hAnsi="Palatino Linotype" w:cs="Palatino Linotype"/>
          <w:color w:val="000000"/>
        </w:rPr>
        <w:t xml:space="preserve">En este sentido, se advierte que, el </w:t>
      </w:r>
      <w:r w:rsidRPr="00580FBF">
        <w:rPr>
          <w:rFonts w:ascii="Palatino Linotype" w:eastAsia="Palatino Linotype" w:hAnsi="Palatino Linotype" w:cs="Palatino Linotype"/>
          <w:b/>
          <w:color w:val="000000"/>
        </w:rPr>
        <w:t>SUJETO OBLIGADO</w:t>
      </w:r>
      <w:r w:rsidRPr="00580FBF">
        <w:rPr>
          <w:rFonts w:ascii="Palatino Linotype" w:eastAsia="Palatino Linotype" w:hAnsi="Palatino Linotype" w:cs="Palatino Linotype"/>
          <w:color w:val="000000"/>
        </w:rPr>
        <w:t xml:space="preserve"> cumplió con el procedimiento de búsqueda exhaustiva y razonable, pues gestionó la solicitud de información en la unidad en donde </w:t>
      </w:r>
      <w:r w:rsidRPr="00580FBF">
        <w:rPr>
          <w:rFonts w:ascii="Palatino Linotype" w:eastAsia="Palatino Linotype" w:hAnsi="Palatino Linotype" w:cs="Palatino Linotype"/>
          <w:color w:val="000000"/>
          <w:u w:val="single"/>
        </w:rPr>
        <w:t>pudiera</w:t>
      </w:r>
      <w:r w:rsidRPr="00580FBF">
        <w:rPr>
          <w:rFonts w:ascii="Palatino Linotype" w:eastAsia="Palatino Linotype" w:hAnsi="Palatino Linotype" w:cs="Palatino Linotype"/>
          <w:color w:val="000000"/>
        </w:rPr>
        <w:t xml:space="preserve"> obrar la citada información, siendo esta </w:t>
      </w:r>
      <w:r w:rsidRPr="00580FBF">
        <w:rPr>
          <w:rFonts w:ascii="Palatino Linotype" w:eastAsia="Palatino Linotype" w:hAnsi="Palatino Linotype" w:cs="Palatino Linotype"/>
          <w:b/>
          <w:color w:val="000000"/>
        </w:rPr>
        <w:t xml:space="preserve">la </w:t>
      </w:r>
      <w:r w:rsidR="00FE2679" w:rsidRPr="00580FBF">
        <w:rPr>
          <w:rFonts w:ascii="Palatino Linotype" w:eastAsia="Palatino Linotype" w:hAnsi="Palatino Linotype" w:cs="Palatino Linotype"/>
          <w:b/>
          <w:color w:val="000000"/>
        </w:rPr>
        <w:t xml:space="preserve">Tesorería Municipal, </w:t>
      </w:r>
      <w:r w:rsidR="00FE2679" w:rsidRPr="00580FBF">
        <w:rPr>
          <w:rFonts w:ascii="Palatino Linotype" w:eastAsia="Palatino Linotype" w:hAnsi="Palatino Linotype" w:cs="Palatino Linotype"/>
          <w:color w:val="000000"/>
        </w:rPr>
        <w:t>que de acuerdo al artículo 26 del Ba</w:t>
      </w:r>
      <w:r w:rsidR="00A129C6" w:rsidRPr="00580FBF">
        <w:rPr>
          <w:rFonts w:ascii="Palatino Linotype" w:eastAsia="Palatino Linotype" w:hAnsi="Palatino Linotype" w:cs="Palatino Linotype"/>
          <w:color w:val="000000"/>
        </w:rPr>
        <w:t>n</w:t>
      </w:r>
      <w:r w:rsidR="00FE2679" w:rsidRPr="00580FBF">
        <w:rPr>
          <w:rFonts w:ascii="Palatino Linotype" w:eastAsia="Palatino Linotype" w:hAnsi="Palatino Linotype" w:cs="Palatino Linotype"/>
          <w:color w:val="000000"/>
        </w:rPr>
        <w:t>do Municipal de Ozumba, cuenta con las siguientes funciones y atribuciones:</w:t>
      </w:r>
    </w:p>
    <w:p w14:paraId="132BE18B" w14:textId="77777777" w:rsidR="00FE2679" w:rsidRPr="00580FBF" w:rsidRDefault="00FE2679" w:rsidP="00973A50">
      <w:pPr>
        <w:pStyle w:val="Prrafodelista"/>
        <w:ind w:left="567" w:right="822"/>
        <w:jc w:val="center"/>
        <w:rPr>
          <w:rFonts w:ascii="Palatino Linotype" w:hAnsi="Palatino Linotype"/>
          <w:b/>
          <w:i/>
        </w:rPr>
      </w:pPr>
      <w:r w:rsidRPr="00580FBF">
        <w:rPr>
          <w:rFonts w:ascii="Palatino Linotype" w:hAnsi="Palatino Linotype"/>
          <w:b/>
          <w:i/>
        </w:rPr>
        <w:t>Capitulo Segundo</w:t>
      </w:r>
    </w:p>
    <w:p w14:paraId="15785F80" w14:textId="77777777" w:rsidR="00FE2679" w:rsidRPr="00580FBF" w:rsidRDefault="00FE2679" w:rsidP="00973A50">
      <w:pPr>
        <w:pStyle w:val="Prrafodelista"/>
        <w:ind w:left="567" w:right="822"/>
        <w:jc w:val="center"/>
        <w:rPr>
          <w:rFonts w:ascii="Palatino Linotype" w:eastAsia="Palatino Linotype" w:hAnsi="Palatino Linotype" w:cs="Palatino Linotype"/>
          <w:b/>
          <w:i/>
          <w:highlight w:val="green"/>
        </w:rPr>
      </w:pPr>
      <w:r w:rsidRPr="00580FBF">
        <w:rPr>
          <w:rFonts w:ascii="Palatino Linotype" w:hAnsi="Palatino Linotype"/>
          <w:b/>
          <w:i/>
        </w:rPr>
        <w:t>Del Tesorero</w:t>
      </w:r>
    </w:p>
    <w:p w14:paraId="45F46859" w14:textId="77777777" w:rsidR="00FE2679" w:rsidRPr="00580FBF" w:rsidRDefault="00FE2679" w:rsidP="00973A50">
      <w:pPr>
        <w:pStyle w:val="Prrafodelista"/>
        <w:ind w:left="567" w:right="822"/>
        <w:jc w:val="both"/>
        <w:rPr>
          <w:rFonts w:ascii="Palatino Linotype" w:eastAsia="Palatino Linotype" w:hAnsi="Palatino Linotype" w:cs="Palatino Linotype"/>
          <w:b/>
          <w:i/>
          <w:highlight w:val="green"/>
        </w:rPr>
      </w:pPr>
    </w:p>
    <w:p w14:paraId="4C53F6AC" w14:textId="77777777" w:rsidR="00FE2679" w:rsidRPr="00580FBF" w:rsidRDefault="00FE2679" w:rsidP="00973A50">
      <w:pPr>
        <w:pStyle w:val="Prrafodelista"/>
        <w:ind w:left="567" w:right="822"/>
        <w:jc w:val="both"/>
        <w:rPr>
          <w:rFonts w:ascii="Palatino Linotype" w:hAnsi="Palatino Linotype"/>
          <w:b/>
          <w:i/>
        </w:rPr>
      </w:pPr>
      <w:r w:rsidRPr="00580FBF">
        <w:rPr>
          <w:rFonts w:ascii="Palatino Linotype" w:hAnsi="Palatino Linotype"/>
          <w:b/>
          <w:i/>
        </w:rPr>
        <w:t xml:space="preserve">Artículo 26.- </w:t>
      </w:r>
      <w:r w:rsidRPr="00580FBF">
        <w:rPr>
          <w:rFonts w:ascii="Palatino Linotype" w:hAnsi="Palatino Linotype"/>
          <w:b/>
          <w:i/>
          <w:u w:val="single"/>
        </w:rPr>
        <w:t>El Tesorero municipal es el órgano encargado de la recaudación de los ingresos municipales y responsable de realizar las erogaciones que haga el ayuntamiento</w:t>
      </w:r>
      <w:r w:rsidRPr="00580FBF">
        <w:rPr>
          <w:rFonts w:ascii="Palatino Linotype" w:hAnsi="Palatino Linotype"/>
          <w:b/>
          <w:i/>
        </w:rPr>
        <w:t xml:space="preserve"> </w:t>
      </w:r>
      <w:r w:rsidRPr="00580FBF">
        <w:rPr>
          <w:rFonts w:ascii="Palatino Linotype" w:hAnsi="Palatino Linotype"/>
          <w:i/>
        </w:rPr>
        <w:t>y tiene las siguientes atribuciones en términos de lo dispuesto en el artículo 95 de la Ley Orgánica Municipal del Estado de México:</w:t>
      </w:r>
    </w:p>
    <w:p w14:paraId="4C2B043E" w14:textId="77777777" w:rsidR="00FE2679" w:rsidRPr="00580FBF" w:rsidRDefault="00FE2679" w:rsidP="00973A50">
      <w:pPr>
        <w:pStyle w:val="Prrafodelista"/>
        <w:ind w:left="567" w:right="822"/>
        <w:jc w:val="both"/>
        <w:rPr>
          <w:rFonts w:ascii="Palatino Linotype" w:hAnsi="Palatino Linotype"/>
          <w:i/>
        </w:rPr>
      </w:pPr>
    </w:p>
    <w:p w14:paraId="294E9D9C" w14:textId="77777777" w:rsidR="00FE2679" w:rsidRPr="00580FBF" w:rsidRDefault="00FE2679" w:rsidP="00973A50">
      <w:pPr>
        <w:pStyle w:val="Prrafodelista"/>
        <w:ind w:left="567" w:right="822"/>
        <w:jc w:val="both"/>
        <w:rPr>
          <w:rFonts w:ascii="Palatino Linotype" w:hAnsi="Palatino Linotype"/>
          <w:i/>
        </w:rPr>
      </w:pPr>
    </w:p>
    <w:p w14:paraId="48013067" w14:textId="77777777" w:rsidR="00FE2679"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 xml:space="preserve">I. Administrar la hacienda pública municipal, de conformidad con las disposiciones legales aplicables; </w:t>
      </w:r>
    </w:p>
    <w:p w14:paraId="70AACB3D" w14:textId="77777777" w:rsidR="00FE2679"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 xml:space="preserve">II. Determinar, liquidar, recaudar, fiscalizar y administrar las contribuciones en los términos de los ordenamientos jurídicos aplicables y, en su caso, aplicar el procedimiento administrativo de ejecución en términos de las disposiciones aplicables; </w:t>
      </w:r>
    </w:p>
    <w:p w14:paraId="6343CB9C" w14:textId="77777777" w:rsidR="00FE2679" w:rsidRPr="00580FBF" w:rsidRDefault="0053189E" w:rsidP="00973A50">
      <w:pPr>
        <w:pStyle w:val="Prrafodelista"/>
        <w:ind w:left="567" w:right="822"/>
        <w:jc w:val="both"/>
        <w:rPr>
          <w:rFonts w:ascii="Palatino Linotype" w:hAnsi="Palatino Linotype"/>
          <w:i/>
        </w:rPr>
      </w:pPr>
      <w:r w:rsidRPr="00580FBF">
        <w:rPr>
          <w:rFonts w:ascii="Palatino Linotype" w:hAnsi="Palatino Linotype"/>
          <w:i/>
        </w:rPr>
        <w:lastRenderedPageBreak/>
        <w:t>(…)</w:t>
      </w:r>
    </w:p>
    <w:p w14:paraId="3AE7019B" w14:textId="77777777" w:rsidR="00FE2679"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 xml:space="preserve">IV. Llevar los registros contables, financieros y administrativos de los ingresos, egresos, e inventarios; </w:t>
      </w:r>
    </w:p>
    <w:p w14:paraId="4B355A4B" w14:textId="77777777" w:rsidR="00FE2679"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 xml:space="preserve">V. Proporcionar oportunamente al ayuntamiento todos los datos o informes que sean necesarios para la formulación del Presupuesto de Egresos Municipales, vigilando que se ajuste a las disposiciones de esta Ley y otros ordenamientos aplicables; </w:t>
      </w:r>
    </w:p>
    <w:p w14:paraId="58D5D7EB" w14:textId="77777777" w:rsidR="0053189E" w:rsidRPr="00580FBF" w:rsidRDefault="0053189E" w:rsidP="00973A50">
      <w:pPr>
        <w:pStyle w:val="Prrafodelista"/>
        <w:ind w:left="567" w:right="822"/>
        <w:jc w:val="both"/>
        <w:rPr>
          <w:rFonts w:ascii="Palatino Linotype" w:hAnsi="Palatino Linotype"/>
          <w:i/>
        </w:rPr>
      </w:pPr>
      <w:r w:rsidRPr="00580FBF">
        <w:rPr>
          <w:rFonts w:ascii="Palatino Linotype" w:hAnsi="Palatino Linotype"/>
          <w:i/>
        </w:rPr>
        <w:t>(…)</w:t>
      </w:r>
    </w:p>
    <w:p w14:paraId="1EC9490F" w14:textId="77777777" w:rsidR="0053189E"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 xml:space="preserve">XIII. Ministrar a su inmediato antecesor todos los datos oficiales que le solicitare, para contestar los pliegos de observaciones y alcances que formule y deduzca el Órgano Superior de Fiscalización del Estado de México; </w:t>
      </w:r>
    </w:p>
    <w:p w14:paraId="2B049380" w14:textId="77777777" w:rsidR="0053189E" w:rsidRPr="00580FBF" w:rsidRDefault="0053189E" w:rsidP="00973A50">
      <w:pPr>
        <w:pStyle w:val="Prrafodelista"/>
        <w:ind w:left="567" w:right="822"/>
        <w:jc w:val="both"/>
        <w:rPr>
          <w:rFonts w:ascii="Palatino Linotype" w:hAnsi="Palatino Linotype"/>
          <w:i/>
        </w:rPr>
      </w:pPr>
      <w:r w:rsidRPr="00580FBF">
        <w:rPr>
          <w:rFonts w:ascii="Palatino Linotype" w:hAnsi="Palatino Linotype"/>
          <w:i/>
        </w:rPr>
        <w:t>(…)</w:t>
      </w:r>
    </w:p>
    <w:p w14:paraId="699B612D" w14:textId="77777777" w:rsidR="0053189E"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 xml:space="preserve">XV. Glosar oportunamente las cuentas del ayuntamiento; </w:t>
      </w:r>
    </w:p>
    <w:p w14:paraId="08EBE6B9" w14:textId="77777777" w:rsidR="0053189E"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 xml:space="preserve">XVI. Contestar oportunamente los pliegos de observaciones y responsabilidad que haga el Órgano Superior de Fiscalización del Estado de México, así como atender en tiempo y forma las solicitudes de información que éste requiera, informando al Ayuntamiento y/o a las Unidades Administrativas de competencia; </w:t>
      </w:r>
    </w:p>
    <w:p w14:paraId="5CFF05D8" w14:textId="77777777" w:rsidR="0053189E"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 xml:space="preserve">XVII. Expedir copias certificadas de los documentos a su cuidado, por acuerdo expreso del Ayuntamiento y cuando se trate de documentación presentada ante el Órgano Superior de Fiscalización del Estado de México; </w:t>
      </w:r>
    </w:p>
    <w:p w14:paraId="3E9029FA" w14:textId="77777777" w:rsidR="0053189E"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 xml:space="preserve">XVIII. Recaudar y administrar los ingresos que se deriven de la suscripción de convenios, acuerdos o la emisión de declaratorias de coordinación; los relativos a las transferencias otorgadas a favor del Municipio en el marco del Sistema Nacional o Estatal de Coordinación Fiscal, o los que reciba por cualquier otro concepto; así como el importe de las sanciones por infracciones impuestas por las autoridades competentes, por la inobservancia de las diversas disposiciones y ordenamientos legales, constituyendo los créditos fiscales correspondientes; </w:t>
      </w:r>
    </w:p>
    <w:p w14:paraId="3BA734FC" w14:textId="77777777" w:rsidR="0053189E"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 xml:space="preserve">XIX. Dar cumplimiento a las leyes, convenios de coordinación fiscal y demás que en materia hacendaria celebre el Ayuntamiento con el Estado; </w:t>
      </w:r>
    </w:p>
    <w:p w14:paraId="18A8873C" w14:textId="77777777" w:rsidR="0053189E" w:rsidRPr="00580FBF" w:rsidRDefault="00FE2679" w:rsidP="00973A50">
      <w:pPr>
        <w:pStyle w:val="Prrafodelista"/>
        <w:ind w:left="567" w:right="822"/>
        <w:jc w:val="both"/>
        <w:rPr>
          <w:rFonts w:ascii="Palatino Linotype" w:hAnsi="Palatino Linotype"/>
          <w:i/>
        </w:rPr>
      </w:pPr>
      <w:r w:rsidRPr="00580FBF">
        <w:rPr>
          <w:rFonts w:ascii="Palatino Linotype" w:hAnsi="Palatino Linotype"/>
          <w:i/>
        </w:rPr>
        <w:t>XX. Entregar oportunamente a la Síndico, según sea el caso, el informe mensual, trimestral y cuenta pública que corresponda, a fin de que se revise, y de ser necesario, para que se formulen las observaciones respectivas.</w:t>
      </w:r>
    </w:p>
    <w:p w14:paraId="1458BA8D" w14:textId="77777777" w:rsidR="00FE2679" w:rsidRPr="00580FBF" w:rsidRDefault="0053189E" w:rsidP="00973A50">
      <w:pPr>
        <w:pStyle w:val="Prrafodelista"/>
        <w:ind w:left="567" w:right="822"/>
        <w:jc w:val="both"/>
        <w:rPr>
          <w:rFonts w:ascii="Palatino Linotype" w:hAnsi="Palatino Linotype"/>
          <w:i/>
        </w:rPr>
      </w:pPr>
      <w:r w:rsidRPr="00580FBF">
        <w:rPr>
          <w:rFonts w:ascii="Palatino Linotype" w:hAnsi="Palatino Linotype"/>
          <w:i/>
        </w:rPr>
        <w:t>(…)</w:t>
      </w:r>
    </w:p>
    <w:p w14:paraId="2AF97E14" w14:textId="77777777" w:rsidR="00FE2679" w:rsidRPr="00580FBF" w:rsidRDefault="00FE2679" w:rsidP="00FE2679">
      <w:pPr>
        <w:pStyle w:val="Prrafodelista"/>
        <w:rPr>
          <w:rFonts w:ascii="Palatino Linotype" w:hAnsi="Palatino Linotype"/>
        </w:rPr>
      </w:pPr>
    </w:p>
    <w:p w14:paraId="40668A5A" w14:textId="77777777" w:rsidR="00A25784" w:rsidRPr="00580FBF" w:rsidRDefault="00563177" w:rsidP="002E0477">
      <w:pPr>
        <w:numPr>
          <w:ilvl w:val="0"/>
          <w:numId w:val="3"/>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De lo anterior, se advierte que la Unidad Administrativa encargada de los ingresos y egresos del Ayuntamiento es la Tesorería Municipal, lo que vislumbra que es el área competente que genera, posee y administra la información requerida por el particular, por </w:t>
      </w:r>
      <w:r w:rsidRPr="00580FBF">
        <w:rPr>
          <w:rFonts w:ascii="Palatino Linotype" w:eastAsia="Palatino Linotype" w:hAnsi="Palatino Linotype" w:cs="Palatino Linotype"/>
        </w:rPr>
        <w:lastRenderedPageBreak/>
        <w:t xml:space="preserve">tanto el </w:t>
      </w:r>
      <w:r w:rsidRPr="00580FBF">
        <w:rPr>
          <w:rFonts w:ascii="Palatino Linotype" w:eastAsia="Palatino Linotype" w:hAnsi="Palatino Linotype" w:cs="Palatino Linotype"/>
          <w:b/>
        </w:rPr>
        <w:t xml:space="preserve">SUJETO OBLIGADO, </w:t>
      </w:r>
      <w:r w:rsidRPr="00580FBF">
        <w:rPr>
          <w:rFonts w:ascii="Palatino Linotype" w:eastAsia="Palatino Linotype" w:hAnsi="Palatino Linotype" w:cs="Palatino Linotype"/>
        </w:rPr>
        <w:t>dio cumplimiento a la búsqueda exhaustiva exigida por la ley de la materia, no obstante no garantizó el derecho de acceso a la información del particular, ya que pretende realizar un cobro por la entrega de la información, lo que conlleva a realizar el análisis de la gratuidad de la información.</w:t>
      </w:r>
    </w:p>
    <w:p w14:paraId="38D6644E" w14:textId="77777777" w:rsidR="00A25784" w:rsidRPr="00580FBF" w:rsidRDefault="00A25784" w:rsidP="00A25784">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rPr>
      </w:pPr>
    </w:p>
    <w:p w14:paraId="13D2D45D" w14:textId="77777777" w:rsidR="00A25784" w:rsidRPr="00580FBF" w:rsidRDefault="00A25784" w:rsidP="00A25784">
      <w:pPr>
        <w:pStyle w:val="Prrafodelista"/>
        <w:numPr>
          <w:ilvl w:val="0"/>
          <w:numId w:val="10"/>
        </w:num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b/>
        </w:rPr>
      </w:pPr>
      <w:r w:rsidRPr="00580FBF">
        <w:rPr>
          <w:rFonts w:ascii="Palatino Linotype" w:eastAsia="Palatino Linotype" w:hAnsi="Palatino Linotype" w:cs="Palatino Linotype"/>
          <w:b/>
        </w:rPr>
        <w:t>Facturas</w:t>
      </w:r>
    </w:p>
    <w:p w14:paraId="4AF70787" w14:textId="77777777" w:rsidR="00325C94" w:rsidRPr="00580FBF" w:rsidRDefault="00325C94" w:rsidP="00325C94">
      <w:pPr>
        <w:numPr>
          <w:ilvl w:val="0"/>
          <w:numId w:val="3"/>
        </w:numPr>
        <w:pBdr>
          <w:top w:val="nil"/>
          <w:left w:val="nil"/>
          <w:bottom w:val="nil"/>
          <w:right w:val="nil"/>
          <w:between w:val="nil"/>
        </w:pBdr>
        <w:spacing w:line="360" w:lineRule="auto"/>
        <w:ind w:left="0" w:firstLine="0"/>
        <w:jc w:val="both"/>
        <w:rPr>
          <w:rFonts w:ascii="Palatino Linotype" w:eastAsia="Calibri" w:hAnsi="Palatino Linotype" w:cs="Arial"/>
          <w:i/>
        </w:rPr>
      </w:pPr>
      <w:r w:rsidRPr="00580FBF">
        <w:rPr>
          <w:rFonts w:ascii="Palatino Linotype" w:eastAsia="Palatino Linotype" w:hAnsi="Palatino Linotype" w:cs="Palatino Linotype"/>
        </w:rPr>
        <w:t>Asimismo, es de referir que se tiene como obligación de transparencia común la de poner a disposición la información relativa la información sobre los procesos y resultados sobre procedimientos de adjudicación directa, invitación restringida y licitación de cualquier naturaleza, incluyendo la versión pública del expediente respectivo, tal como lo señala el artículo 92, de la Ley de Transparencia y Acceso a la Información Pública del Estado de México y Municipios:</w:t>
      </w:r>
    </w:p>
    <w:p w14:paraId="56B19719" w14:textId="77777777" w:rsidR="00325C94" w:rsidRPr="00580FBF" w:rsidRDefault="00325C94" w:rsidP="00325C94">
      <w:pPr>
        <w:ind w:left="567" w:right="964"/>
        <w:jc w:val="both"/>
        <w:rPr>
          <w:rFonts w:ascii="Palatino Linotype" w:hAnsi="Palatino Linotype" w:cs="Tahoma"/>
          <w:b/>
          <w:i/>
        </w:rPr>
      </w:pPr>
      <w:r w:rsidRPr="00580FBF">
        <w:rPr>
          <w:rFonts w:ascii="Palatino Linotype" w:hAnsi="Palatino Linotype" w:cs="Tahoma"/>
          <w:b/>
          <w:i/>
        </w:rPr>
        <w:t>De las Obligaciones de Transparencia Comunes</w:t>
      </w:r>
    </w:p>
    <w:p w14:paraId="75FE73EC" w14:textId="77777777" w:rsidR="00325C94" w:rsidRPr="00580FBF" w:rsidRDefault="00325C94" w:rsidP="00325C94">
      <w:pPr>
        <w:ind w:left="567" w:right="964"/>
        <w:jc w:val="both"/>
        <w:rPr>
          <w:rFonts w:ascii="Palatino Linotype" w:hAnsi="Palatino Linotype" w:cs="Tahoma"/>
          <w:i/>
        </w:rPr>
      </w:pPr>
    </w:p>
    <w:p w14:paraId="3DB20D69"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b/>
          <w:i/>
        </w:rPr>
        <w:t>Artículo 92</w:t>
      </w:r>
      <w:r w:rsidRPr="00580FBF">
        <w:rPr>
          <w:rFonts w:ascii="Palatino Linotype" w:hAnsi="Palatino Linotype" w:cs="Tahoma"/>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2B9458A"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w:t>
      </w:r>
    </w:p>
    <w:p w14:paraId="48ADBB83"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b/>
          <w:i/>
        </w:rPr>
        <w:t>XXIX</w:t>
      </w:r>
      <w:r w:rsidRPr="00580FBF">
        <w:rPr>
          <w:rFonts w:ascii="Palatino Linotype" w:hAnsi="Palatino Linotype" w:cs="Tahoma"/>
          <w:i/>
        </w:rPr>
        <w:t xml:space="preserve">. </w:t>
      </w:r>
      <w:r w:rsidRPr="00580FBF">
        <w:rPr>
          <w:rFonts w:ascii="Palatino Linotype" w:hAnsi="Palatino Linotype" w:cs="Tahoma"/>
          <w:b/>
          <w:i/>
        </w:rPr>
        <w:t xml:space="preserve">La información sobre los procesos y resultados sobre procedimientos de adjudicación directa, invitación restringida y licitación de cualquier naturaleza, </w:t>
      </w:r>
      <w:r w:rsidRPr="00580FBF">
        <w:rPr>
          <w:rFonts w:ascii="Palatino Linotype" w:hAnsi="Palatino Linotype" w:cs="Tahoma"/>
          <w:b/>
          <w:i/>
          <w:u w:val="single"/>
        </w:rPr>
        <w:t>incluyendo la versión pública del expediente respectivo y de los contratos celebrados</w:t>
      </w:r>
      <w:r w:rsidRPr="00580FBF">
        <w:rPr>
          <w:rFonts w:ascii="Palatino Linotype" w:hAnsi="Palatino Linotype" w:cs="Tahoma"/>
          <w:i/>
        </w:rPr>
        <w:t xml:space="preserve">, que deberán contener, por los menos, lo siguiente: </w:t>
      </w:r>
    </w:p>
    <w:p w14:paraId="4BFF7E82" w14:textId="77777777" w:rsidR="00325C94" w:rsidRPr="00580FBF" w:rsidRDefault="00325C94" w:rsidP="00325C94">
      <w:pPr>
        <w:ind w:left="567" w:right="964"/>
        <w:jc w:val="both"/>
        <w:rPr>
          <w:rFonts w:ascii="Palatino Linotype" w:hAnsi="Palatino Linotype" w:cs="Tahoma"/>
          <w:i/>
        </w:rPr>
      </w:pPr>
    </w:p>
    <w:p w14:paraId="23A52CFA" w14:textId="77777777" w:rsidR="00325C94" w:rsidRPr="00580FBF" w:rsidRDefault="00325C94" w:rsidP="00325C94">
      <w:pPr>
        <w:ind w:left="567" w:right="964"/>
        <w:jc w:val="both"/>
        <w:rPr>
          <w:rFonts w:ascii="Palatino Linotype" w:hAnsi="Palatino Linotype" w:cs="Tahoma"/>
          <w:b/>
          <w:i/>
        </w:rPr>
      </w:pPr>
      <w:r w:rsidRPr="00580FBF">
        <w:rPr>
          <w:rFonts w:ascii="Palatino Linotype" w:hAnsi="Palatino Linotype" w:cs="Tahoma"/>
          <w:b/>
          <w:i/>
        </w:rPr>
        <w:t xml:space="preserve">a) De licitaciones públicas o procedimientos de invitación restringida: </w:t>
      </w:r>
    </w:p>
    <w:p w14:paraId="12BB2DF1" w14:textId="77777777" w:rsidR="00325C94" w:rsidRPr="00580FBF" w:rsidRDefault="00325C94" w:rsidP="00325C94">
      <w:pPr>
        <w:ind w:left="567" w:right="964"/>
        <w:jc w:val="both"/>
        <w:rPr>
          <w:rFonts w:ascii="Palatino Linotype" w:hAnsi="Palatino Linotype" w:cs="Tahoma"/>
          <w:i/>
        </w:rPr>
      </w:pPr>
    </w:p>
    <w:p w14:paraId="31DE3617"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1) La convocatoria o invitación emitida, así como los fundamentos legales aplicados para llevarla a cabo; </w:t>
      </w:r>
    </w:p>
    <w:p w14:paraId="34CDEB65"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2) Los nombres de los participantes o invitados; </w:t>
      </w:r>
    </w:p>
    <w:p w14:paraId="5ACC4FC4"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3) El nombre del ganador y las razones que lo justifican; </w:t>
      </w:r>
    </w:p>
    <w:p w14:paraId="6B1CF661"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lastRenderedPageBreak/>
        <w:t xml:space="preserve">4) El área solicitante y la responsable de su ejecución; </w:t>
      </w:r>
    </w:p>
    <w:p w14:paraId="5124E1D2"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5) Las convocatorias e invitaciones emitidas; </w:t>
      </w:r>
    </w:p>
    <w:p w14:paraId="0EF8156D"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6) Los dictámenes y fallo de adjudicación;</w:t>
      </w:r>
    </w:p>
    <w:p w14:paraId="5E5AABCC"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7) El contrato y, en su caso, sus anexos; </w:t>
      </w:r>
    </w:p>
    <w:p w14:paraId="577D8999"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8) Los mecanismos de vigilancia y supervisión, incluyendo en su caso, los estudios de impacto urbano y ambiental, según corresponda; </w:t>
      </w:r>
    </w:p>
    <w:p w14:paraId="0614A048"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9) La partida presupuestal, de conformidad con el clasificador por objeto del gasto, en el caso de ser aplicable; </w:t>
      </w:r>
    </w:p>
    <w:p w14:paraId="60559AA2"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10) Origen de los recursos especificando si son federales, estatales o municipales, así como el tipo de fondo de participación o aportación respectiva; </w:t>
      </w:r>
    </w:p>
    <w:p w14:paraId="4F1A26B2"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11) Los convenios modificatorios que, en su caso, sean firmados, precisando el objeto y la fecha de celebración; </w:t>
      </w:r>
    </w:p>
    <w:p w14:paraId="394B5F71"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12) Los informes de avance físico y financiero sobre las obras o servicios contratados; </w:t>
      </w:r>
    </w:p>
    <w:p w14:paraId="1B9957A8"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13) El convenio de terminación; y </w:t>
      </w:r>
    </w:p>
    <w:p w14:paraId="64C48732"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14) El finiquito. </w:t>
      </w:r>
    </w:p>
    <w:p w14:paraId="628367B9" w14:textId="77777777" w:rsidR="00325C94" w:rsidRPr="00580FBF" w:rsidRDefault="00325C94" w:rsidP="00325C94">
      <w:pPr>
        <w:ind w:left="567" w:right="964"/>
        <w:jc w:val="both"/>
        <w:rPr>
          <w:rFonts w:ascii="Palatino Linotype" w:hAnsi="Palatino Linotype" w:cs="Tahoma"/>
          <w:i/>
        </w:rPr>
      </w:pPr>
    </w:p>
    <w:p w14:paraId="662F06E3" w14:textId="77777777" w:rsidR="00325C94" w:rsidRPr="00580FBF" w:rsidRDefault="00325C94" w:rsidP="00325C94">
      <w:pPr>
        <w:ind w:left="567" w:right="964"/>
        <w:jc w:val="both"/>
        <w:rPr>
          <w:rFonts w:ascii="Palatino Linotype" w:hAnsi="Palatino Linotype" w:cs="Tahoma"/>
          <w:b/>
          <w:i/>
        </w:rPr>
      </w:pPr>
      <w:r w:rsidRPr="00580FBF">
        <w:rPr>
          <w:rFonts w:ascii="Palatino Linotype" w:hAnsi="Palatino Linotype" w:cs="Tahoma"/>
          <w:b/>
          <w:i/>
        </w:rPr>
        <w:t xml:space="preserve">b) De las adjudicaciones directas: </w:t>
      </w:r>
    </w:p>
    <w:p w14:paraId="352814C6" w14:textId="77777777" w:rsidR="00325C94" w:rsidRPr="00580FBF" w:rsidRDefault="00325C94" w:rsidP="00325C94">
      <w:pPr>
        <w:ind w:left="567" w:right="964"/>
        <w:jc w:val="both"/>
        <w:rPr>
          <w:rFonts w:ascii="Palatino Linotype" w:hAnsi="Palatino Linotype" w:cs="Tahoma"/>
          <w:i/>
        </w:rPr>
      </w:pPr>
    </w:p>
    <w:p w14:paraId="5DB1AF64"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1) La propuesta enviada por el participante; </w:t>
      </w:r>
    </w:p>
    <w:p w14:paraId="04A289C4"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2) Los motivos y fundamentos legales aplicados para llevarla a cabo; </w:t>
      </w:r>
    </w:p>
    <w:p w14:paraId="6A8BD009"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3) La autorización del ejercicio de la opción; </w:t>
      </w:r>
    </w:p>
    <w:p w14:paraId="10B8CD14"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4) En su caso, las cotizaciones consideradas, especificando los nombres de los proveedores y sus montos; </w:t>
      </w:r>
    </w:p>
    <w:p w14:paraId="1CA029A5"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5) El nombre de la persona física o jurídica colectiva adjudicada; </w:t>
      </w:r>
    </w:p>
    <w:p w14:paraId="476A6D51"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6) La unidad administrativa solicitante y la responsable de su ejecución; </w:t>
      </w:r>
    </w:p>
    <w:p w14:paraId="58F0961D"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7) El número, fecha, el monto del contrato y el plazo de entrega o de ejecución de los servicios u obra; </w:t>
      </w:r>
    </w:p>
    <w:p w14:paraId="20BBC0A3"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8) Los mecanismos de vigilancia y supervisión, incluyendo, en su caso, los estudios de impacto urbano y ambiental, según corresponda; </w:t>
      </w:r>
    </w:p>
    <w:p w14:paraId="5DD9E87B"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9) Los informes de avance sobre las obras o servicios contratados; </w:t>
      </w:r>
    </w:p>
    <w:p w14:paraId="0BB8AA87"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 xml:space="preserve">10) El convenio de terminación; y </w:t>
      </w:r>
    </w:p>
    <w:p w14:paraId="4672A97A" w14:textId="77777777" w:rsidR="00325C94" w:rsidRPr="00580FBF" w:rsidRDefault="00325C94" w:rsidP="00325C94">
      <w:pPr>
        <w:ind w:left="567" w:right="964"/>
        <w:jc w:val="both"/>
        <w:rPr>
          <w:rFonts w:ascii="Palatino Linotype" w:hAnsi="Palatino Linotype" w:cs="Tahoma"/>
          <w:i/>
        </w:rPr>
      </w:pPr>
      <w:r w:rsidRPr="00580FBF">
        <w:rPr>
          <w:rFonts w:ascii="Palatino Linotype" w:hAnsi="Palatino Linotype" w:cs="Tahoma"/>
          <w:i/>
        </w:rPr>
        <w:t>11) El finiquito.</w:t>
      </w:r>
    </w:p>
    <w:p w14:paraId="37DC7C25" w14:textId="77777777" w:rsidR="00325C94" w:rsidRPr="00580FBF" w:rsidRDefault="00325C94" w:rsidP="00325C94">
      <w:pPr>
        <w:ind w:left="567" w:right="567"/>
        <w:jc w:val="both"/>
        <w:rPr>
          <w:rFonts w:ascii="Palatino Linotype" w:hAnsi="Palatino Linotype" w:cs="Tahoma"/>
          <w:i/>
        </w:rPr>
      </w:pPr>
    </w:p>
    <w:p w14:paraId="20937494" w14:textId="77777777" w:rsidR="00325C94" w:rsidRPr="00580FBF" w:rsidRDefault="00325C94" w:rsidP="00325C94">
      <w:pPr>
        <w:ind w:left="1134" w:right="-574"/>
        <w:jc w:val="both"/>
        <w:rPr>
          <w:rFonts w:ascii="Palatino Linotype" w:hAnsi="Palatino Linotype" w:cs="Tahoma"/>
          <w:i/>
        </w:rPr>
      </w:pPr>
      <w:r w:rsidRPr="00580FBF">
        <w:rPr>
          <w:rFonts w:ascii="Palatino Linotype" w:hAnsi="Palatino Linotype" w:cs="Tahoma"/>
          <w:i/>
        </w:rPr>
        <w:t>…</w:t>
      </w:r>
    </w:p>
    <w:p w14:paraId="53EC2323" w14:textId="77777777" w:rsidR="00325C94" w:rsidRPr="00580FBF" w:rsidRDefault="00325C94" w:rsidP="00325C9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 xml:space="preserve">En este mismo </w:t>
      </w:r>
      <w:r w:rsidRPr="00580FBF">
        <w:rPr>
          <w:rFonts w:ascii="Palatino Linotype" w:eastAsia="Palatino Linotype" w:hAnsi="Palatino Linotype" w:cs="Palatino Linotype"/>
        </w:rPr>
        <w:t>sentido</w:t>
      </w:r>
      <w:r w:rsidRPr="00580FBF">
        <w:rPr>
          <w:rFonts w:ascii="Palatino Linotype" w:eastAsia="Palatino Linotype" w:hAnsi="Palatino Linotype" w:cs="Palatino Linotype"/>
          <w:color w:val="000000"/>
        </w:rPr>
        <w:t xml:space="preserve"> los Lineamientos Técnicos Generales para la publicación, homologación y estandarización de la información de las obligaciones establecidas en el </w:t>
      </w:r>
      <w:r w:rsidRPr="00580FBF">
        <w:rPr>
          <w:rFonts w:ascii="Palatino Linotype" w:eastAsia="Palatino Linotype" w:hAnsi="Palatino Linotype" w:cs="Palatino Linotype"/>
          <w:color w:val="000000"/>
        </w:rPr>
        <w:lastRenderedPageBreak/>
        <w:t xml:space="preserve">Título Quinto y en la fracción IV del artículo 31 de la Ley General de Transparencia y Acceso a la Información Pública, que deben de difundir los sujetos obligados en los portales de Internet y en la Plataforma Nacional de Transparencia, establecen en la fracción </w:t>
      </w:r>
      <w:r w:rsidRPr="00580FBF">
        <w:rPr>
          <w:rFonts w:ascii="Palatino Linotype" w:eastAsia="Palatino Linotype" w:hAnsi="Palatino Linotype" w:cs="Palatino Linotype"/>
          <w:color w:val="000000"/>
          <w:u w:val="single"/>
        </w:rPr>
        <w:t>XXVIII. La información sobre los resultados sobre procedimientos de adjudicación directa, invitación restringida y licitación de cualquier naturaleza, incluyendo la Versión Pública del Expediente respectivo y de los contratos celebrados, que deberá contener por lo menos lo siguiente:…</w:t>
      </w:r>
      <w:r w:rsidRPr="00580FBF">
        <w:rPr>
          <w:rFonts w:ascii="Palatino Linotype" w:eastAsia="Palatino Linotype" w:hAnsi="Palatino Linotype" w:cs="Palatino Linotype"/>
          <w:color w:val="000000"/>
        </w:rPr>
        <w:t xml:space="preserve"> establece como criterios sustantivos de contenido los siguientes:</w:t>
      </w:r>
    </w:p>
    <w:p w14:paraId="79047AED"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b/>
          <w:i/>
        </w:rPr>
        <w:t>Criterios sustantivos de contenido</w:t>
      </w:r>
      <w:r w:rsidRPr="00580FBF">
        <w:rPr>
          <w:rFonts w:ascii="Palatino Linotype" w:hAnsi="Palatino Linotype" w:cs="Tahoma"/>
          <w:i/>
        </w:rPr>
        <w:t xml:space="preserve"> </w:t>
      </w:r>
    </w:p>
    <w:p w14:paraId="3BECC6B7"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t xml:space="preserve">Respecto de cada una de las etapas del procedimiento de contratación </w:t>
      </w:r>
      <w:r w:rsidRPr="00580FBF">
        <w:rPr>
          <w:rFonts w:ascii="Palatino Linotype" w:hAnsi="Palatino Linotype" w:cs="Tahoma"/>
          <w:b/>
          <w:i/>
        </w:rPr>
        <w:t xml:space="preserve">de licitación pública, invitación a cuando menos tres personas y adjudicación directa </w:t>
      </w:r>
      <w:r w:rsidRPr="00580FBF">
        <w:rPr>
          <w:rFonts w:ascii="Palatino Linotype" w:hAnsi="Palatino Linotype" w:cs="Tahoma"/>
          <w:i/>
        </w:rPr>
        <w:t>se publicarán los siguientes datos:</w:t>
      </w:r>
    </w:p>
    <w:p w14:paraId="059034A0" w14:textId="77777777" w:rsidR="00325C94" w:rsidRPr="00580FBF" w:rsidRDefault="00325C94" w:rsidP="00325C94">
      <w:pPr>
        <w:tabs>
          <w:tab w:val="left" w:pos="8505"/>
        </w:tabs>
        <w:ind w:left="567" w:right="822"/>
        <w:jc w:val="both"/>
        <w:rPr>
          <w:rFonts w:ascii="Palatino Linotype" w:hAnsi="Palatino Linotype" w:cs="Tahoma"/>
          <w:i/>
        </w:rPr>
      </w:pPr>
    </w:p>
    <w:p w14:paraId="083F7EF3"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t>…</w:t>
      </w:r>
    </w:p>
    <w:p w14:paraId="06F5D2D3"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b/>
          <w:i/>
        </w:rPr>
        <w:t>Criterio 3</w:t>
      </w:r>
      <w:r w:rsidRPr="00580FBF">
        <w:rPr>
          <w:rFonts w:ascii="Palatino Linotype" w:hAnsi="Palatino Linotype" w:cs="Tahoma"/>
          <w:i/>
        </w:rPr>
        <w:t xml:space="preserve"> Tipo de procedimiento (catálogo): Licitación pública/Invitación a cuando menos tres personas/ Adjudicación directa/ Otra (especificar). En caso de que no se haya llevado a cabo alguno de los tres procedimientos en el periodo que se informa, se deberá incluir un registro con el periodo respectivo, el procedimiento y señalar mediante una nota fundamentada, motivada y actualizada al periodo correspondiente, que no se llevó a cabo ningún procedimiento de ese tipo.</w:t>
      </w:r>
    </w:p>
    <w:p w14:paraId="1FA59204" w14:textId="77777777" w:rsidR="00325C94" w:rsidRPr="00580FBF" w:rsidRDefault="00325C94" w:rsidP="00325C94">
      <w:pPr>
        <w:tabs>
          <w:tab w:val="left" w:pos="8505"/>
        </w:tabs>
        <w:ind w:left="567" w:right="822"/>
        <w:jc w:val="both"/>
        <w:rPr>
          <w:rFonts w:ascii="Palatino Linotype" w:hAnsi="Palatino Linotype" w:cs="Tahoma"/>
          <w:i/>
        </w:rPr>
      </w:pPr>
    </w:p>
    <w:p w14:paraId="2DDF611F"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b/>
          <w:i/>
        </w:rPr>
        <w:t>Criterio 4</w:t>
      </w:r>
      <w:r w:rsidRPr="00580FBF">
        <w:rPr>
          <w:rFonts w:ascii="Palatino Linotype" w:hAnsi="Palatino Linotype" w:cs="Tahoma"/>
          <w:i/>
        </w:rPr>
        <w:t xml:space="preserve"> Materia o tipo de contratación (catálogo): Obra pública/Servicios relacionados con obra pública/Adquisiciones/Arrendamientos/Servicios.</w:t>
      </w:r>
    </w:p>
    <w:p w14:paraId="6D9DA88B" w14:textId="77777777" w:rsidR="00325C94" w:rsidRPr="00580FBF" w:rsidRDefault="00325C94" w:rsidP="00325C94">
      <w:pPr>
        <w:tabs>
          <w:tab w:val="left" w:pos="8505"/>
        </w:tabs>
        <w:ind w:left="567" w:right="822"/>
        <w:jc w:val="both"/>
        <w:rPr>
          <w:rFonts w:ascii="Palatino Linotype" w:hAnsi="Palatino Linotype" w:cs="Tahoma"/>
          <w:i/>
        </w:rPr>
      </w:pPr>
    </w:p>
    <w:p w14:paraId="5457C4DF"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t>…</w:t>
      </w:r>
    </w:p>
    <w:p w14:paraId="462879E6" w14:textId="77777777" w:rsidR="00325C94" w:rsidRPr="00580FBF" w:rsidRDefault="00325C94" w:rsidP="00325C94">
      <w:pPr>
        <w:tabs>
          <w:tab w:val="left" w:pos="8505"/>
        </w:tabs>
        <w:ind w:left="567" w:right="822"/>
        <w:jc w:val="both"/>
        <w:rPr>
          <w:rFonts w:ascii="Palatino Linotype" w:hAnsi="Palatino Linotype" w:cs="Tahoma"/>
          <w:i/>
        </w:rPr>
      </w:pPr>
    </w:p>
    <w:p w14:paraId="19D9530F"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t>En cuanto al contrato se publicarán los siguientes datos:</w:t>
      </w:r>
    </w:p>
    <w:p w14:paraId="41542C82"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t>…</w:t>
      </w:r>
    </w:p>
    <w:p w14:paraId="553C4AB2"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b/>
          <w:i/>
        </w:rPr>
        <w:t>Criterio 46</w:t>
      </w:r>
      <w:r w:rsidRPr="00580FBF">
        <w:rPr>
          <w:rFonts w:ascii="Palatino Linotype" w:hAnsi="Palatino Linotype" w:cs="Tahoma"/>
          <w:i/>
        </w:rPr>
        <w:t xml:space="preserve"> Monto del contrato sin impuestos incluidos (expresados en pesos mexicanos).</w:t>
      </w:r>
    </w:p>
    <w:p w14:paraId="050A75D8" w14:textId="77777777" w:rsidR="00325C94" w:rsidRPr="00580FBF" w:rsidRDefault="00325C94" w:rsidP="00325C94">
      <w:pPr>
        <w:tabs>
          <w:tab w:val="left" w:pos="8505"/>
        </w:tabs>
        <w:ind w:left="567" w:right="822"/>
        <w:jc w:val="both"/>
        <w:rPr>
          <w:rFonts w:ascii="Palatino Linotype" w:hAnsi="Palatino Linotype" w:cs="Tahoma"/>
          <w:i/>
        </w:rPr>
      </w:pPr>
    </w:p>
    <w:p w14:paraId="7D579783"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b/>
          <w:i/>
        </w:rPr>
        <w:t>Criterio 47</w:t>
      </w:r>
      <w:r w:rsidRPr="00580FBF">
        <w:rPr>
          <w:rFonts w:ascii="Palatino Linotype" w:hAnsi="Palatino Linotype" w:cs="Tahoma"/>
          <w:i/>
        </w:rPr>
        <w:t xml:space="preserve"> Monto total del contrato con impuestos incluidos (expresados en pesos mexicanos).</w:t>
      </w:r>
    </w:p>
    <w:p w14:paraId="245C77B3"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t>…</w:t>
      </w:r>
    </w:p>
    <w:p w14:paraId="72582690"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lastRenderedPageBreak/>
        <w:t>Si se trata de obra pública y/o servicios relacionados con la misma se deberán incluir los siguientes datos:</w:t>
      </w:r>
    </w:p>
    <w:p w14:paraId="3ACC5FAB" w14:textId="77777777" w:rsidR="00325C94" w:rsidRPr="00580FBF" w:rsidRDefault="00325C94" w:rsidP="00325C94">
      <w:pPr>
        <w:tabs>
          <w:tab w:val="left" w:pos="8505"/>
        </w:tabs>
        <w:ind w:left="567" w:right="822"/>
        <w:jc w:val="both"/>
        <w:rPr>
          <w:rFonts w:ascii="Palatino Linotype" w:hAnsi="Palatino Linotype" w:cs="Tahoma"/>
          <w:i/>
        </w:rPr>
      </w:pPr>
    </w:p>
    <w:p w14:paraId="4D7EF89D"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b/>
          <w:i/>
        </w:rPr>
        <w:t>Criterio 63</w:t>
      </w:r>
      <w:r w:rsidRPr="00580FBF">
        <w:rPr>
          <w:rFonts w:ascii="Palatino Linotype" w:hAnsi="Palatino Linotype" w:cs="Tahoma"/>
          <w:i/>
        </w:rPr>
        <w:t xml:space="preserve"> Lugar donde se realizará la obra pública y/o servicio relacionado con la misma. </w:t>
      </w:r>
    </w:p>
    <w:p w14:paraId="1B14828B" w14:textId="77777777" w:rsidR="00325C94" w:rsidRPr="00580FBF" w:rsidRDefault="00325C94" w:rsidP="00325C94">
      <w:pPr>
        <w:tabs>
          <w:tab w:val="left" w:pos="8505"/>
        </w:tabs>
        <w:ind w:left="567" w:right="822"/>
        <w:jc w:val="both"/>
        <w:rPr>
          <w:rFonts w:ascii="Palatino Linotype" w:hAnsi="Palatino Linotype" w:cs="Tahoma"/>
          <w:i/>
        </w:rPr>
      </w:pPr>
    </w:p>
    <w:p w14:paraId="7CE0CA5C"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b/>
          <w:i/>
        </w:rPr>
        <w:t>Criterio 64</w:t>
      </w:r>
      <w:r w:rsidRPr="00580FBF">
        <w:rPr>
          <w:rFonts w:ascii="Palatino Linotype" w:hAnsi="Palatino Linotype" w:cs="Tahoma"/>
          <w:i/>
        </w:rPr>
        <w:t xml:space="preserve"> Breve descripción de la obra pública.</w:t>
      </w:r>
    </w:p>
    <w:p w14:paraId="56C030A5"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t>…</w:t>
      </w:r>
    </w:p>
    <w:p w14:paraId="26170249"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b/>
          <w:i/>
        </w:rPr>
        <w:t>Criterio 67</w:t>
      </w:r>
      <w:r w:rsidRPr="00580FBF">
        <w:rPr>
          <w:rFonts w:ascii="Palatino Linotype" w:hAnsi="Palatino Linotype" w:cs="Tahoma"/>
          <w:i/>
        </w:rPr>
        <w:t xml:space="preserve"> Etapa de la obra pública y/o servicio de la misma (catálogo): En planeación/ En progreso/ Finiquito.</w:t>
      </w:r>
    </w:p>
    <w:p w14:paraId="5BBF63EA"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t>…</w:t>
      </w:r>
    </w:p>
    <w:p w14:paraId="5868E717" w14:textId="77777777" w:rsidR="00325C94" w:rsidRPr="00580FBF" w:rsidRDefault="00325C94" w:rsidP="00325C94">
      <w:pPr>
        <w:tabs>
          <w:tab w:val="left" w:pos="8505"/>
        </w:tabs>
        <w:ind w:left="567" w:right="822"/>
        <w:jc w:val="both"/>
        <w:rPr>
          <w:rFonts w:ascii="Palatino Linotype" w:hAnsi="Palatino Linotype" w:cs="Tahoma"/>
          <w:i/>
        </w:rPr>
      </w:pPr>
    </w:p>
    <w:p w14:paraId="4B764A73"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t>Asimismo, se deberán publicar los siguientes documentos:</w:t>
      </w:r>
    </w:p>
    <w:p w14:paraId="1413099A" w14:textId="77777777" w:rsidR="00325C94" w:rsidRPr="00580FBF" w:rsidRDefault="00325C94" w:rsidP="00325C94">
      <w:pPr>
        <w:tabs>
          <w:tab w:val="left" w:pos="8505"/>
        </w:tabs>
        <w:ind w:left="567" w:right="822"/>
        <w:jc w:val="both"/>
        <w:rPr>
          <w:rFonts w:ascii="Palatino Linotype" w:hAnsi="Palatino Linotype" w:cs="Tahoma"/>
          <w:i/>
        </w:rPr>
      </w:pPr>
    </w:p>
    <w:p w14:paraId="39641B08"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b/>
          <w:i/>
        </w:rPr>
        <w:t>Criterio 74</w:t>
      </w:r>
      <w:r w:rsidRPr="00580FBF">
        <w:rPr>
          <w:rFonts w:ascii="Palatino Linotype" w:hAnsi="Palatino Linotype" w:cs="Tahoma"/>
          <w:i/>
        </w:rPr>
        <w:t xml:space="preserve"> Hipervínculo, en su caso, al (los) informe(s) de avance físicos en versión pública si así corresponde.</w:t>
      </w:r>
    </w:p>
    <w:p w14:paraId="506DE3B0"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i/>
        </w:rPr>
        <w:t>…</w:t>
      </w:r>
    </w:p>
    <w:p w14:paraId="22C4B25A" w14:textId="77777777" w:rsidR="00325C94" w:rsidRPr="00580FBF" w:rsidRDefault="00325C94" w:rsidP="00325C94">
      <w:pPr>
        <w:tabs>
          <w:tab w:val="left" w:pos="8505"/>
        </w:tabs>
        <w:ind w:left="567" w:right="822"/>
        <w:jc w:val="both"/>
        <w:rPr>
          <w:rFonts w:ascii="Palatino Linotype" w:hAnsi="Palatino Linotype" w:cs="Tahoma"/>
          <w:i/>
        </w:rPr>
      </w:pPr>
      <w:r w:rsidRPr="00580FBF">
        <w:rPr>
          <w:rFonts w:ascii="Palatino Linotype" w:hAnsi="Palatino Linotype" w:cs="Tahoma"/>
          <w:b/>
          <w:i/>
        </w:rPr>
        <w:t>Criterio 78</w:t>
      </w:r>
      <w:r w:rsidRPr="00580FBF">
        <w:rPr>
          <w:rFonts w:ascii="Palatino Linotype" w:hAnsi="Palatino Linotype" w:cs="Tahoma"/>
          <w:i/>
        </w:rPr>
        <w:t xml:space="preserve"> Hipervínculo a la factura o documento que cumpla con requisitos fiscales.</w:t>
      </w:r>
    </w:p>
    <w:p w14:paraId="6EFAF13F" w14:textId="77777777" w:rsidR="00325C94" w:rsidRPr="00580FBF" w:rsidRDefault="00325C94" w:rsidP="00325C94">
      <w:pPr>
        <w:tabs>
          <w:tab w:val="left" w:pos="8505"/>
        </w:tabs>
        <w:spacing w:line="360" w:lineRule="auto"/>
        <w:ind w:left="567" w:right="822"/>
        <w:jc w:val="both"/>
        <w:rPr>
          <w:rFonts w:ascii="Palatino Linotype" w:eastAsia="Palatino Linotype" w:hAnsi="Palatino Linotype" w:cs="Palatino Linotype"/>
          <w:color w:val="000000"/>
        </w:rPr>
      </w:pPr>
    </w:p>
    <w:p w14:paraId="2C05F3D3" w14:textId="77777777" w:rsidR="00325C94" w:rsidRPr="00580FBF" w:rsidRDefault="00325C94" w:rsidP="00325C9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B67BBE4" w14:textId="77777777" w:rsidR="00325C94" w:rsidRPr="00580FBF" w:rsidRDefault="00325C94" w:rsidP="00325C9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Luego entonces, dentro del procedimiento de licitación la Ley de Contratación Pública del Estado de México y Municipios, establece lo siguiente en relación a las propuestas técnicas.</w:t>
      </w:r>
    </w:p>
    <w:p w14:paraId="7A781233" w14:textId="77777777" w:rsidR="00325C94" w:rsidRPr="00580FBF" w:rsidRDefault="00325C94" w:rsidP="002E0477">
      <w:pPr>
        <w:ind w:left="567" w:right="822"/>
        <w:jc w:val="both"/>
        <w:rPr>
          <w:rFonts w:ascii="Palatino Linotype" w:hAnsi="Palatino Linotype" w:cs="Tahoma"/>
          <w:i/>
        </w:rPr>
      </w:pPr>
      <w:r w:rsidRPr="00580FBF">
        <w:rPr>
          <w:rFonts w:ascii="Palatino Linotype" w:hAnsi="Palatino Linotype" w:cs="Tahoma"/>
          <w:b/>
          <w:i/>
        </w:rPr>
        <w:t>Artículo 35</w:t>
      </w:r>
      <w:r w:rsidRPr="00580FBF">
        <w:rPr>
          <w:rFonts w:ascii="Palatino Linotype" w:hAnsi="Palatino Linotype" w:cs="Tahoma"/>
          <w:i/>
        </w:rPr>
        <w:t xml:space="preserve">.- En los procedimientos de licitación pública se observará lo siguiente: </w:t>
      </w:r>
    </w:p>
    <w:p w14:paraId="6B5F1F11" w14:textId="77777777" w:rsidR="00325C94" w:rsidRPr="00580FBF" w:rsidRDefault="00325C94" w:rsidP="002E0477">
      <w:pPr>
        <w:ind w:left="567" w:right="822"/>
        <w:jc w:val="both"/>
        <w:rPr>
          <w:rFonts w:ascii="Palatino Linotype" w:hAnsi="Palatino Linotype" w:cs="Tahoma"/>
          <w:i/>
        </w:rPr>
      </w:pPr>
    </w:p>
    <w:p w14:paraId="3B37C8C9" w14:textId="77777777" w:rsidR="00325C94" w:rsidRPr="00580FBF" w:rsidRDefault="00325C94" w:rsidP="002E0477">
      <w:pPr>
        <w:ind w:left="567" w:right="822"/>
        <w:jc w:val="both"/>
        <w:rPr>
          <w:rFonts w:ascii="Palatino Linotype" w:hAnsi="Palatino Linotype" w:cs="Tahoma"/>
          <w:i/>
        </w:rPr>
      </w:pPr>
      <w:r w:rsidRPr="00580FBF">
        <w:rPr>
          <w:rFonts w:ascii="Palatino Linotype" w:hAnsi="Palatino Linotype" w:cs="Tahoma"/>
          <w:i/>
        </w:rPr>
        <w:t>I. El acto de presentación y apertura de propuestas se llevará a cabo por el servidor público que designe la convocante, conforme al procedimiento que se establezca en el reglamento de esta Ley.</w:t>
      </w:r>
    </w:p>
    <w:p w14:paraId="661E995D" w14:textId="77777777" w:rsidR="00325C94" w:rsidRPr="00580FBF" w:rsidRDefault="00325C94" w:rsidP="002E0477">
      <w:pPr>
        <w:ind w:left="567" w:right="822"/>
        <w:jc w:val="both"/>
        <w:rPr>
          <w:rFonts w:ascii="Palatino Linotype" w:hAnsi="Palatino Linotype" w:cs="Tahoma"/>
          <w:i/>
        </w:rPr>
      </w:pPr>
      <w:r w:rsidRPr="00580FBF">
        <w:rPr>
          <w:rFonts w:ascii="Palatino Linotype" w:hAnsi="Palatino Linotype" w:cs="Tahoma"/>
          <w:i/>
        </w:rPr>
        <w:t>…</w:t>
      </w:r>
    </w:p>
    <w:p w14:paraId="3EEE7687" w14:textId="77777777" w:rsidR="00325C94" w:rsidRPr="00580FBF" w:rsidRDefault="00325C94" w:rsidP="002E0477">
      <w:pPr>
        <w:ind w:left="567" w:right="822"/>
        <w:jc w:val="both"/>
        <w:rPr>
          <w:rFonts w:ascii="Palatino Linotype" w:hAnsi="Palatino Linotype" w:cs="Tahoma"/>
          <w:i/>
        </w:rPr>
      </w:pPr>
    </w:p>
    <w:p w14:paraId="5D45E88A" w14:textId="77777777" w:rsidR="00325C94" w:rsidRPr="00580FBF" w:rsidRDefault="00325C94" w:rsidP="002E0477">
      <w:pPr>
        <w:ind w:left="567" w:right="822"/>
        <w:jc w:val="both"/>
        <w:rPr>
          <w:rFonts w:ascii="Palatino Linotype" w:hAnsi="Palatino Linotype" w:cs="Tahoma"/>
          <w:i/>
        </w:rPr>
      </w:pPr>
      <w:r w:rsidRPr="00580FBF">
        <w:rPr>
          <w:rFonts w:ascii="Palatino Linotype" w:hAnsi="Palatino Linotype" w:cs="Tahoma"/>
          <w:b/>
          <w:i/>
        </w:rPr>
        <w:t>Artículo 36</w:t>
      </w:r>
      <w:r w:rsidRPr="00580FBF">
        <w:rPr>
          <w:rFonts w:ascii="Palatino Linotype" w:hAnsi="Palatino Linotype" w:cs="Tahoma"/>
          <w:i/>
        </w:rPr>
        <w:t xml:space="preserve">.- El </w:t>
      </w:r>
      <w:r w:rsidRPr="00580FBF">
        <w:rPr>
          <w:rFonts w:ascii="Palatino Linotype" w:hAnsi="Palatino Linotype" w:cs="Tahoma"/>
          <w:b/>
          <w:i/>
        </w:rPr>
        <w:t>acto de presentación y apertura de propuestas</w:t>
      </w:r>
      <w:r w:rsidRPr="00580FBF">
        <w:rPr>
          <w:rFonts w:ascii="Palatino Linotype" w:hAnsi="Palatino Linotype" w:cs="Tahoma"/>
          <w:i/>
        </w:rPr>
        <w:t xml:space="preserve"> se celebrará de manera pública y en presencia de todos los oferentes, en la forma siguiente: </w:t>
      </w:r>
    </w:p>
    <w:p w14:paraId="5DF6EB9E" w14:textId="77777777" w:rsidR="00325C94" w:rsidRPr="00580FBF" w:rsidRDefault="00325C94" w:rsidP="002E0477">
      <w:pPr>
        <w:ind w:left="567" w:right="822"/>
        <w:jc w:val="both"/>
        <w:rPr>
          <w:rFonts w:ascii="Palatino Linotype" w:hAnsi="Palatino Linotype" w:cs="Tahoma"/>
          <w:i/>
        </w:rPr>
      </w:pPr>
    </w:p>
    <w:p w14:paraId="64BA0568" w14:textId="77777777" w:rsidR="00325C94" w:rsidRPr="00580FBF" w:rsidRDefault="00325C94" w:rsidP="002E0477">
      <w:pPr>
        <w:ind w:left="567" w:right="822"/>
        <w:jc w:val="both"/>
        <w:rPr>
          <w:rFonts w:ascii="Palatino Linotype" w:hAnsi="Palatino Linotype" w:cs="Tahoma"/>
          <w:i/>
        </w:rPr>
      </w:pPr>
      <w:r w:rsidRPr="00580FBF">
        <w:rPr>
          <w:rFonts w:ascii="Palatino Linotype" w:hAnsi="Palatino Linotype" w:cs="Tahoma"/>
          <w:i/>
        </w:rPr>
        <w:lastRenderedPageBreak/>
        <w:t xml:space="preserve">I. Los licitantes presentarán, por escrito y en sobre cerrado por separado, sus propuestas técnica y económica, así como los demás documentos requeridos en las bases de la licitación. </w:t>
      </w:r>
    </w:p>
    <w:p w14:paraId="4F6E4E08" w14:textId="77777777" w:rsidR="00325C94" w:rsidRPr="00580FBF" w:rsidRDefault="00325C94" w:rsidP="002E0477">
      <w:pPr>
        <w:ind w:left="567" w:right="822"/>
        <w:jc w:val="both"/>
        <w:rPr>
          <w:rFonts w:ascii="Palatino Linotype" w:hAnsi="Palatino Linotype" w:cs="Tahoma"/>
          <w:i/>
        </w:rPr>
      </w:pPr>
      <w:r w:rsidRPr="00580FBF">
        <w:rPr>
          <w:rFonts w:ascii="Palatino Linotype" w:hAnsi="Palatino Linotype" w:cs="Tahoma"/>
          <w:i/>
        </w:rPr>
        <w:t xml:space="preserve">II. La apertura de propuestas podrá efectuarse cuando se haya presentado una propuesta cuando menos. </w:t>
      </w:r>
    </w:p>
    <w:p w14:paraId="55B46E49" w14:textId="77777777" w:rsidR="00325C94" w:rsidRPr="00580FBF" w:rsidRDefault="00325C94" w:rsidP="002E0477">
      <w:pPr>
        <w:ind w:left="567" w:right="822"/>
        <w:jc w:val="both"/>
        <w:rPr>
          <w:rFonts w:ascii="Palatino Linotype" w:hAnsi="Palatino Linotype" w:cs="Tahoma"/>
          <w:i/>
        </w:rPr>
      </w:pPr>
      <w:r w:rsidRPr="00580FBF">
        <w:rPr>
          <w:rFonts w:ascii="Palatino Linotype" w:hAnsi="Palatino Linotype" w:cs="Tahoma"/>
          <w:i/>
        </w:rPr>
        <w:t xml:space="preserve">III. Se abrirán las propuestas técnicas, desechándose las que cuantitativamente no cumplan con cualquiera de los requisitos establecidos en las bases de licitación, poniéndolas a disposición del interesado conjuntamente con el sobre que contenga la propuesta económica. </w:t>
      </w:r>
    </w:p>
    <w:p w14:paraId="05F7B725" w14:textId="77777777" w:rsidR="00325C94" w:rsidRPr="00580FBF" w:rsidRDefault="00325C94" w:rsidP="002E0477">
      <w:pPr>
        <w:ind w:left="567" w:right="822"/>
        <w:jc w:val="both"/>
        <w:rPr>
          <w:rFonts w:ascii="Palatino Linotype" w:hAnsi="Palatino Linotype" w:cs="Tahoma"/>
          <w:i/>
        </w:rPr>
      </w:pPr>
      <w:r w:rsidRPr="00580FBF">
        <w:rPr>
          <w:rFonts w:ascii="Palatino Linotype" w:hAnsi="Palatino Linotype" w:cs="Tahoma"/>
          <w:i/>
        </w:rPr>
        <w:t>IV. Se procederá a la apertura de las propuestas económicas de los licitantes cuyas propuestas técnicas fueron aceptadas cuantitativamente.</w:t>
      </w:r>
    </w:p>
    <w:p w14:paraId="0B39CB01" w14:textId="77777777" w:rsidR="00325C94" w:rsidRPr="00580FBF" w:rsidRDefault="00325C94" w:rsidP="002E0477">
      <w:pPr>
        <w:ind w:left="567" w:right="822"/>
        <w:jc w:val="both"/>
        <w:rPr>
          <w:rFonts w:ascii="Palatino Linotype" w:hAnsi="Palatino Linotype" w:cs="Tahoma"/>
          <w:i/>
        </w:rPr>
      </w:pPr>
      <w:r w:rsidRPr="00580FBF">
        <w:rPr>
          <w:rFonts w:ascii="Palatino Linotype" w:hAnsi="Palatino Linotype" w:cs="Tahoma"/>
          <w:i/>
        </w:rPr>
        <w:t>…</w:t>
      </w:r>
    </w:p>
    <w:p w14:paraId="432DA08F" w14:textId="77777777" w:rsidR="00325C94" w:rsidRPr="00580FBF" w:rsidRDefault="00325C94" w:rsidP="002E0477">
      <w:pPr>
        <w:ind w:left="567" w:right="822"/>
        <w:jc w:val="both"/>
        <w:rPr>
          <w:rFonts w:ascii="Palatino Linotype" w:hAnsi="Palatino Linotype" w:cs="Tahoma"/>
          <w:i/>
        </w:rPr>
      </w:pPr>
    </w:p>
    <w:p w14:paraId="48755475" w14:textId="77777777" w:rsidR="00325C94" w:rsidRPr="00580FBF" w:rsidRDefault="00325C94" w:rsidP="002E0477">
      <w:pPr>
        <w:ind w:left="567" w:right="822"/>
        <w:jc w:val="both"/>
        <w:rPr>
          <w:rFonts w:ascii="Palatino Linotype" w:hAnsi="Palatino Linotype" w:cs="Tahoma"/>
          <w:i/>
        </w:rPr>
      </w:pPr>
      <w:r w:rsidRPr="00580FBF">
        <w:rPr>
          <w:rFonts w:ascii="Palatino Linotype" w:hAnsi="Palatino Linotype" w:cs="Tahoma"/>
          <w:b/>
          <w:i/>
        </w:rPr>
        <w:t>Artículo 37.-</w:t>
      </w:r>
      <w:r w:rsidRPr="00580FBF">
        <w:rPr>
          <w:rFonts w:ascii="Palatino Linotype" w:hAnsi="Palatino Linotype" w:cs="Tahoma"/>
          <w:i/>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w:t>
      </w:r>
    </w:p>
    <w:p w14:paraId="5835E36B" w14:textId="77777777" w:rsidR="00325C94" w:rsidRPr="00580FBF" w:rsidRDefault="00325C94" w:rsidP="002E0477">
      <w:pPr>
        <w:pBdr>
          <w:top w:val="nil"/>
          <w:left w:val="nil"/>
          <w:bottom w:val="nil"/>
          <w:right w:val="nil"/>
          <w:between w:val="nil"/>
        </w:pBdr>
        <w:spacing w:line="360" w:lineRule="auto"/>
        <w:ind w:right="822"/>
        <w:jc w:val="both"/>
        <w:rPr>
          <w:rFonts w:ascii="Palatino Linotype" w:eastAsia="Palatino Linotype" w:hAnsi="Palatino Linotype" w:cs="Palatino Linotype"/>
          <w:color w:val="000000"/>
        </w:rPr>
      </w:pPr>
    </w:p>
    <w:p w14:paraId="266274B0" w14:textId="77777777" w:rsidR="00325C94" w:rsidRPr="00580FBF" w:rsidRDefault="00325C94" w:rsidP="002E047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De lo anterior se advierte que la propuesta técnica y económica, o en el caso concreto, el expediente técnico de obra pública, es un documento indispensable en los procedimientos de adquisición.</w:t>
      </w:r>
    </w:p>
    <w:p w14:paraId="2A233E3C" w14:textId="77777777" w:rsidR="00325C94" w:rsidRPr="00580FBF" w:rsidRDefault="00325C94" w:rsidP="00325C9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2517436A" w14:textId="77777777" w:rsidR="00325C94" w:rsidRPr="00580FBF" w:rsidRDefault="00325C94" w:rsidP="002E047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 xml:space="preserve">Es así que existe la obligación de publicitar la información que involucra recursos públicos, como lo son los expedientes de procedimientos de adquisiciones y servicios; los contratos celebrados derivados de un procedimiento de adquisición y servicios, así como,  el documento que ampara las erogaciones realizadas con erario público, al ser información que resulta relevante y beneficiosa para la sociedad y no simplemente de interés individual, cuya </w:t>
      </w:r>
      <w:r w:rsidRPr="00580FBF">
        <w:rPr>
          <w:rFonts w:ascii="Palatino Linotype" w:eastAsia="Palatino Linotype" w:hAnsi="Palatino Linotype" w:cs="Palatino Linotype"/>
          <w:color w:val="000000"/>
        </w:rPr>
        <w:lastRenderedPageBreak/>
        <w:t>divulgación resulta útil para que el público comprenda las actividades que llevan a cabo los sujetos obligados.</w:t>
      </w:r>
    </w:p>
    <w:p w14:paraId="0881F528" w14:textId="77777777" w:rsidR="00325C94" w:rsidRPr="00580FBF" w:rsidRDefault="00325C94" w:rsidP="00325C94">
      <w:pPr>
        <w:spacing w:line="360" w:lineRule="auto"/>
        <w:ind w:right="-787"/>
        <w:jc w:val="both"/>
        <w:rPr>
          <w:rFonts w:ascii="Palatino Linotype" w:eastAsia="Palatino Linotype" w:hAnsi="Palatino Linotype" w:cs="Palatino Linotype"/>
          <w:color w:val="000000"/>
        </w:rPr>
      </w:pPr>
    </w:p>
    <w:p w14:paraId="1FCCC0D1" w14:textId="77777777" w:rsidR="00325C94" w:rsidRPr="00580FBF" w:rsidRDefault="00325C94" w:rsidP="002E047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color w:val="000000"/>
        </w:rPr>
        <w:t xml:space="preserve">Por lo anterior, se considera viable analizar la naturaleza jurídica de </w:t>
      </w:r>
      <w:r w:rsidRPr="00580FBF">
        <w:rPr>
          <w:rFonts w:ascii="Palatino Linotype" w:eastAsia="Palatino Linotype" w:hAnsi="Palatino Linotype" w:cs="Palatino Linotype"/>
          <w:b/>
        </w:rPr>
        <w:t>los documentos que acrediten la erogación de un gasto</w:t>
      </w:r>
      <w:r w:rsidRPr="00580FBF">
        <w:rPr>
          <w:rFonts w:ascii="Palatino Linotype" w:eastAsia="Palatino Linotype" w:hAnsi="Palatino Linotype" w:cs="Palatino Linotype"/>
        </w:rPr>
        <w:t xml:space="preserve">, resulta necesario traer a </w:t>
      </w:r>
      <w:r w:rsidRPr="00580FBF">
        <w:rPr>
          <w:rFonts w:ascii="Palatino Linotype" w:eastAsia="Palatino Linotype" w:hAnsi="Palatino Linotype" w:cs="Palatino Linotype"/>
          <w:color w:val="000000"/>
        </w:rPr>
        <w:t>contexto</w:t>
      </w:r>
      <w:r w:rsidRPr="00580FBF">
        <w:rPr>
          <w:rFonts w:ascii="Palatino Linotype" w:eastAsia="Palatino Linotype" w:hAnsi="Palatino Linotype" w:cs="Palatino Linotype"/>
        </w:rPr>
        <w:t xml:space="preserve">, la Resolución Miscelánea Fiscal, establece que la </w:t>
      </w:r>
      <w:r w:rsidRPr="00580FBF">
        <w:rPr>
          <w:rFonts w:ascii="Palatino Linotype" w:eastAsia="Palatino Linotype" w:hAnsi="Palatino Linotype" w:cs="Palatino Linotype"/>
          <w:b/>
        </w:rPr>
        <w:t>factura</w:t>
      </w:r>
      <w:r w:rsidRPr="00580FBF">
        <w:rPr>
          <w:rFonts w:ascii="Palatino Linotype" w:eastAsia="Palatino Linotype" w:hAnsi="Palatino Linotype" w:cs="Palatino Linotype"/>
        </w:rPr>
        <w:t xml:space="preserve"> es lo mismo, que un Comprobante Fiscal Digital por Internet, por lo que, se puede considerar como el documento que comprueba la realización de una transacción</w:t>
      </w:r>
      <w:r w:rsidRPr="00580FBF">
        <w:rPr>
          <w:rFonts w:ascii="Palatino Linotype" w:eastAsia="Palatino Linotype" w:hAnsi="Palatino Linotype" w:cs="Palatino Linotype"/>
          <w:b/>
        </w:rPr>
        <w:t xml:space="preserve"> </w:t>
      </w:r>
      <w:r w:rsidRPr="00580FBF">
        <w:rPr>
          <w:rFonts w:ascii="Palatino Linotype" w:eastAsia="Palatino Linotype" w:hAnsi="Palatino Linotype" w:cs="Palatino Linotype"/>
        </w:rPr>
        <w:t>comercial, entre un comprador y un vendedor, mediante el cual, el primero queda obligado a realizar un pago, mientras que el segundo, a entregar o brindar un producto o servicio.</w:t>
      </w:r>
    </w:p>
    <w:p w14:paraId="0D0DE2C7" w14:textId="77777777" w:rsidR="00325C94" w:rsidRPr="00580FBF" w:rsidRDefault="00325C94" w:rsidP="00325C94">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68C19F64" w14:textId="77777777" w:rsidR="00325C94" w:rsidRPr="00580FBF" w:rsidRDefault="00325C94" w:rsidP="002E047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Resulta </w:t>
      </w:r>
      <w:r w:rsidRPr="00580FBF">
        <w:rPr>
          <w:rFonts w:ascii="Palatino Linotype" w:eastAsia="Palatino Linotype" w:hAnsi="Palatino Linotype" w:cs="Palatino Linotype"/>
          <w:color w:val="000000"/>
        </w:rPr>
        <w:t>importante</w:t>
      </w:r>
      <w:r w:rsidRPr="00580FBF">
        <w:rPr>
          <w:rFonts w:ascii="Palatino Linotype" w:eastAsia="Palatino Linotype" w:hAnsi="Palatino Linotype" w:cs="Palatino Linotype"/>
        </w:rPr>
        <w:t xml:space="preserve"> señalar que este término se encuentra definido en el Glosario de Términos Hacendarios que emite el Instituto Hacendario del Estado de México, el cual expresa lo siguiente:</w:t>
      </w:r>
    </w:p>
    <w:p w14:paraId="6E6A5E18" w14:textId="77777777" w:rsidR="00325C94" w:rsidRPr="00580FBF" w:rsidRDefault="00325C94" w:rsidP="00325C94">
      <w:pPr>
        <w:ind w:left="567" w:right="851"/>
        <w:jc w:val="both"/>
        <w:rPr>
          <w:rFonts w:ascii="Palatino Linotype" w:eastAsia="Palatino Linotype" w:hAnsi="Palatino Linotype" w:cs="Palatino Linotype"/>
          <w:b/>
          <w:i/>
        </w:rPr>
      </w:pPr>
      <w:r w:rsidRPr="00580FBF">
        <w:rPr>
          <w:rFonts w:ascii="Palatino Linotype" w:eastAsia="Palatino Linotype" w:hAnsi="Palatino Linotype" w:cs="Palatino Linotype"/>
          <w:i/>
        </w:rPr>
        <w:t>“</w:t>
      </w:r>
      <w:r w:rsidRPr="00580FBF">
        <w:rPr>
          <w:rFonts w:ascii="Palatino Linotype" w:eastAsia="Palatino Linotype" w:hAnsi="Palatino Linotype" w:cs="Palatino Linotype"/>
          <w:b/>
          <w:i/>
        </w:rPr>
        <w:t>FACTURA</w:t>
      </w:r>
    </w:p>
    <w:p w14:paraId="01A8B170" w14:textId="77777777" w:rsidR="00325C94" w:rsidRPr="00580FBF" w:rsidRDefault="00325C94" w:rsidP="00325C94">
      <w:pPr>
        <w:ind w:left="567" w:right="567"/>
        <w:jc w:val="both"/>
        <w:rPr>
          <w:rFonts w:ascii="Palatino Linotype" w:eastAsia="Palatino Linotype" w:hAnsi="Palatino Linotype" w:cs="Palatino Linotype"/>
          <w:i/>
        </w:rPr>
      </w:pPr>
      <w:r w:rsidRPr="00580FBF">
        <w:rPr>
          <w:rFonts w:ascii="Palatino Linotype" w:eastAsia="Palatino Linotype" w:hAnsi="Palatino Linotype" w:cs="Palatino Linotype"/>
          <w:i/>
        </w:rPr>
        <w:t xml:space="preserve">Es el documento fiscal que emite la persona física o moral para </w:t>
      </w:r>
      <w:r w:rsidRPr="00580FBF">
        <w:rPr>
          <w:rFonts w:ascii="Palatino Linotype" w:eastAsia="Palatino Linotype" w:hAnsi="Palatino Linotype" w:cs="Palatino Linotype"/>
          <w:b/>
          <w:i/>
          <w:u w:val="single"/>
        </w:rPr>
        <w:t>comprobar la venta o adquisición de un bien y/o servicio</w:t>
      </w:r>
      <w:r w:rsidRPr="00580FBF">
        <w:rPr>
          <w:rFonts w:ascii="Palatino Linotype" w:eastAsia="Palatino Linotype" w:hAnsi="Palatino Linotype" w:cs="Palatino Linotype"/>
          <w:i/>
        </w:rPr>
        <w:t>.” (Sic)</w:t>
      </w:r>
    </w:p>
    <w:p w14:paraId="3FABCCC3" w14:textId="77777777" w:rsidR="00325C94" w:rsidRPr="00580FBF" w:rsidRDefault="00325C94" w:rsidP="00325C94">
      <w:pPr>
        <w:spacing w:line="360" w:lineRule="auto"/>
        <w:ind w:left="851" w:right="851"/>
        <w:jc w:val="both"/>
        <w:rPr>
          <w:rFonts w:ascii="Palatino Linotype" w:eastAsia="Palatino Linotype" w:hAnsi="Palatino Linotype" w:cs="Palatino Linotype"/>
          <w:i/>
        </w:rPr>
      </w:pPr>
    </w:p>
    <w:p w14:paraId="3CDB1BB9" w14:textId="77777777" w:rsidR="00325C94" w:rsidRPr="00580FBF" w:rsidRDefault="00325C94" w:rsidP="002E047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Es de señalarse que </w:t>
      </w:r>
      <w:r w:rsidRPr="00580FBF">
        <w:rPr>
          <w:rFonts w:ascii="Palatino Linotype" w:eastAsia="Palatino Linotype" w:hAnsi="Palatino Linotype" w:cs="Palatino Linotype"/>
          <w:b/>
        </w:rPr>
        <w:t>las facturas o comprobantes que amparan las erogaciones que se realizan con erario público tienen naturaleza pública</w:t>
      </w:r>
      <w:r w:rsidRPr="00580FBF">
        <w:rPr>
          <w:rFonts w:ascii="Palatino Linotype" w:eastAsia="Palatino Linotype" w:hAnsi="Palatino Linotype" w:cs="Palatino Linotype"/>
        </w:rPr>
        <w:t xml:space="preserve"> pues, constituyen los medios idóneos de evidencia del gasto realizado con recursos públicos, de ahí que convenga precisar que la Constitución Política del Estado Libre y Soberano de México en su artículo 129 señala que l</w:t>
      </w:r>
      <w:r w:rsidRPr="00580FBF">
        <w:rPr>
          <w:rFonts w:ascii="Palatino Linotype" w:eastAsia="Palatino Linotype" w:hAnsi="Palatino Linotype" w:cs="Palatino Linotype"/>
          <w:color w:val="000000"/>
        </w:rPr>
        <w:t xml:space="preserve">os recursos económicos del Estado, de los Municipios, así como de los Organismos Autónomos, se administrarán con eficiencia, eficacia y honradez, para cumplir con los objetivos y programas a los que estén destinados. </w:t>
      </w:r>
    </w:p>
    <w:p w14:paraId="3CC36711" w14:textId="77777777" w:rsidR="00325C94" w:rsidRPr="00580FBF" w:rsidRDefault="00325C94" w:rsidP="00325C94">
      <w:pPr>
        <w:spacing w:line="360" w:lineRule="auto"/>
        <w:ind w:right="-787"/>
        <w:jc w:val="both"/>
        <w:rPr>
          <w:rFonts w:ascii="Palatino Linotype" w:hAnsi="Palatino Linotype" w:cs="Tahoma"/>
        </w:rPr>
      </w:pPr>
    </w:p>
    <w:p w14:paraId="2F55CF5E" w14:textId="77777777" w:rsidR="00325C94" w:rsidRPr="00580FBF" w:rsidRDefault="00325C94" w:rsidP="002E0477">
      <w:pPr>
        <w:numPr>
          <w:ilvl w:val="0"/>
          <w:numId w:val="3"/>
        </w:numPr>
        <w:pBdr>
          <w:top w:val="nil"/>
          <w:left w:val="nil"/>
          <w:bottom w:val="nil"/>
          <w:right w:val="nil"/>
          <w:between w:val="nil"/>
        </w:pBdr>
        <w:spacing w:line="360" w:lineRule="auto"/>
        <w:ind w:left="0" w:firstLine="0"/>
        <w:jc w:val="both"/>
        <w:rPr>
          <w:rFonts w:ascii="Palatino Linotype" w:hAnsi="Palatino Linotype" w:cs="Tahoma"/>
        </w:rPr>
      </w:pPr>
      <w:r w:rsidRPr="00580FBF">
        <w:rPr>
          <w:rFonts w:ascii="Palatino Linotype" w:hAnsi="Palatino Linotype" w:cs="Tahoma"/>
        </w:rPr>
        <w:lastRenderedPageBreak/>
        <w:t xml:space="preserve">En ese </w:t>
      </w:r>
      <w:r w:rsidRPr="00580FBF">
        <w:rPr>
          <w:rFonts w:ascii="Palatino Linotype" w:eastAsia="Palatino Linotype" w:hAnsi="Palatino Linotype" w:cs="Palatino Linotype"/>
          <w:color w:val="000000"/>
        </w:rPr>
        <w:t>contexto</w:t>
      </w:r>
      <w:r w:rsidRPr="00580FBF">
        <w:rPr>
          <w:rFonts w:ascii="Palatino Linotype" w:hAnsi="Palatino Linotype" w:cs="Tahoma"/>
        </w:rPr>
        <w:t xml:space="preserve">, es de </w:t>
      </w:r>
      <w:r w:rsidRPr="00580FBF">
        <w:rPr>
          <w:rFonts w:ascii="Palatino Linotype" w:eastAsia="Palatino Linotype" w:hAnsi="Palatino Linotype" w:cs="Palatino Linotype"/>
        </w:rPr>
        <w:t>referir</w:t>
      </w:r>
      <w:r w:rsidRPr="00580FBF">
        <w:rPr>
          <w:rFonts w:ascii="Palatino Linotype" w:hAnsi="Palatino Linotype" w:cs="Tahoma"/>
        </w:rPr>
        <w:t xml:space="preserve"> que de conformidad con  los artículos 342, 343, 344 y 345 del Código </w:t>
      </w:r>
      <w:r w:rsidRPr="00580FBF">
        <w:rPr>
          <w:rFonts w:ascii="Palatino Linotype" w:eastAsia="Palatino Linotype" w:hAnsi="Palatino Linotype" w:cs="Palatino Linotype"/>
          <w:color w:val="000000"/>
        </w:rPr>
        <w:t>Financiero</w:t>
      </w:r>
      <w:r w:rsidRPr="00580FBF">
        <w:rPr>
          <w:rFonts w:ascii="Palatino Linotype" w:hAnsi="Palatino Linotype" w:cs="Tahoma"/>
        </w:rPr>
        <w:t xml:space="preserve"> del Estado de México y Municipios, disponen el sistema y las políticas que deben seguirse para llevar el </w:t>
      </w:r>
      <w:r w:rsidRPr="00580FBF">
        <w:rPr>
          <w:rFonts w:ascii="Palatino Linotype" w:hAnsi="Palatino Linotype" w:cs="Tahoma"/>
          <w:b/>
        </w:rPr>
        <w:t>registro contable y presupuestal de las operaciones financieras</w:t>
      </w:r>
      <w:r w:rsidRPr="00580FBF">
        <w:rPr>
          <w:rFonts w:ascii="Palatino Linotype" w:hAnsi="Palatino Linotype" w:cs="Tahoma"/>
        </w:rPr>
        <w:t>, en los siguientes términos:</w:t>
      </w:r>
    </w:p>
    <w:p w14:paraId="6774836B"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b/>
          <w:i/>
        </w:rPr>
        <w:t>Artículo 342.-</w:t>
      </w:r>
      <w:r w:rsidRPr="00580FBF">
        <w:rPr>
          <w:rFonts w:ascii="Palatino Linotype" w:hAnsi="Palatino Linotype" w:cs="Tahoma"/>
          <w:i/>
        </w:rPr>
        <w:t xml:space="preserve"> -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7BE28C37" w14:textId="77777777" w:rsidR="00325C94" w:rsidRPr="00580FBF" w:rsidRDefault="00325C94" w:rsidP="00325C94">
      <w:pPr>
        <w:ind w:left="567" w:right="-858"/>
        <w:jc w:val="both"/>
        <w:rPr>
          <w:rFonts w:ascii="Palatino Linotype" w:hAnsi="Palatino Linotype" w:cs="Tahoma"/>
          <w:i/>
        </w:rPr>
      </w:pPr>
    </w:p>
    <w:p w14:paraId="3D2A0CD9"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b/>
          <w:i/>
        </w:rPr>
        <w:t>En el caso de los municipios</w:t>
      </w:r>
      <w:r w:rsidRPr="00580FBF">
        <w:rPr>
          <w:rFonts w:ascii="Palatino Linotype" w:hAnsi="Palatino Linotype" w:cs="Tahoma"/>
          <w:i/>
        </w:rPr>
        <w:t>,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w:t>
      </w:r>
    </w:p>
    <w:p w14:paraId="113BA5D8" w14:textId="77777777" w:rsidR="00325C94" w:rsidRPr="00580FBF" w:rsidRDefault="00325C94" w:rsidP="00325C94">
      <w:pPr>
        <w:ind w:left="567" w:right="-858"/>
        <w:jc w:val="both"/>
        <w:rPr>
          <w:rFonts w:ascii="Palatino Linotype" w:hAnsi="Palatino Linotype" w:cs="Tahoma"/>
          <w:i/>
        </w:rPr>
      </w:pPr>
    </w:p>
    <w:p w14:paraId="38560E1C"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b/>
          <w:i/>
        </w:rPr>
        <w:t>Artículo 343.-</w:t>
      </w:r>
      <w:r w:rsidRPr="00580FBF">
        <w:rPr>
          <w:rFonts w:ascii="Palatino Linotype" w:hAnsi="Palatino Linotype" w:cs="Tahoma"/>
          <w:i/>
        </w:rPr>
        <w:t xml:space="preserve"> -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58681C51"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i/>
        </w:rPr>
        <w:t>El sistema de contabilidad sobre base acumulativa total, se sustentará en las normas emitidas por el Consejo Nacional de Armonización Contable.</w:t>
      </w:r>
    </w:p>
    <w:p w14:paraId="2D132898" w14:textId="77777777" w:rsidR="00325C94" w:rsidRPr="00580FBF" w:rsidRDefault="00325C94" w:rsidP="00325C94">
      <w:pPr>
        <w:ind w:left="567" w:right="-858"/>
        <w:jc w:val="both"/>
        <w:rPr>
          <w:rFonts w:ascii="Palatino Linotype" w:hAnsi="Palatino Linotype" w:cs="Tahoma"/>
          <w:b/>
          <w:i/>
        </w:rPr>
      </w:pPr>
    </w:p>
    <w:p w14:paraId="5309088A" w14:textId="77777777" w:rsidR="00325C94" w:rsidRPr="00580FBF" w:rsidRDefault="00325C94" w:rsidP="00325C94">
      <w:pPr>
        <w:ind w:left="567" w:right="567"/>
        <w:jc w:val="both"/>
        <w:rPr>
          <w:rFonts w:ascii="Palatino Linotype" w:hAnsi="Palatino Linotype" w:cs="Tahoma"/>
          <w:b/>
          <w:i/>
        </w:rPr>
      </w:pPr>
      <w:r w:rsidRPr="00580FBF">
        <w:rPr>
          <w:rFonts w:ascii="Palatino Linotype" w:hAnsi="Palatino Linotype" w:cs="Tahoma"/>
          <w:b/>
          <w:i/>
        </w:rPr>
        <w:t>Artículo 344.- Los Entes Públicos, a través de cualquiera de sus unidades administrativas, de acuerdo con su naturaleza jurídica y según corresponda, registrarán contablemente el efecto patrimonial y presupuestal de las operaciones financieras que realicen</w:t>
      </w:r>
      <w:r w:rsidRPr="00580FBF">
        <w:rPr>
          <w:rFonts w:ascii="Palatino Linotype" w:hAnsi="Palatino Linotype" w:cs="Tahoma"/>
          <w:i/>
        </w:rPr>
        <w:t>, en el momento en que ocurran, con base en el sistema y políticas de registro establecidas, en el caso de los Municipios, se hará por la Tesorería.</w:t>
      </w:r>
    </w:p>
    <w:p w14:paraId="1C996E40" w14:textId="77777777" w:rsidR="00325C94" w:rsidRPr="00580FBF" w:rsidRDefault="00325C94" w:rsidP="00325C94">
      <w:pPr>
        <w:ind w:left="567" w:right="-858"/>
        <w:jc w:val="both"/>
        <w:rPr>
          <w:rFonts w:ascii="Palatino Linotype" w:hAnsi="Palatino Linotype" w:cs="Tahoma"/>
          <w:b/>
          <w:i/>
        </w:rPr>
      </w:pPr>
    </w:p>
    <w:p w14:paraId="4527581A" w14:textId="77777777" w:rsidR="00325C94" w:rsidRPr="00580FBF" w:rsidRDefault="00325C94" w:rsidP="00325C94">
      <w:pPr>
        <w:ind w:left="567" w:right="567"/>
        <w:jc w:val="both"/>
        <w:rPr>
          <w:rFonts w:ascii="Palatino Linotype" w:hAnsi="Palatino Linotype" w:cs="Tahoma"/>
          <w:b/>
          <w:i/>
        </w:rPr>
      </w:pPr>
      <w:r w:rsidRPr="00580FBF">
        <w:rPr>
          <w:rFonts w:ascii="Palatino Linotype" w:hAnsi="Palatino Linotype" w:cs="Tahoma"/>
          <w:b/>
          <w:i/>
        </w:rPr>
        <w:t xml:space="preserve">Todo registro contable y presupuestal deberá estar soportado con los documentos de registro, justificativos y comprobatorios originales, </w:t>
      </w:r>
      <w:r w:rsidRPr="00580FBF">
        <w:rPr>
          <w:rFonts w:ascii="Palatino Linotype" w:hAnsi="Palatino Linotype" w:cs="Tahoma"/>
          <w:i/>
        </w:rPr>
        <w:t xml:space="preserve">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w:t>
      </w:r>
      <w:r w:rsidRPr="00580FBF">
        <w:rPr>
          <w:rFonts w:ascii="Palatino Linotype" w:hAnsi="Palatino Linotype" w:cs="Tahoma"/>
          <w:i/>
        </w:rPr>
        <w:lastRenderedPageBreak/>
        <w:t xml:space="preserve">del ejercicio presupuestal siguiente al que corresponda. En el caso de los Municipios, dicha obligación corresponderá a la Tesorería. </w:t>
      </w:r>
    </w:p>
    <w:p w14:paraId="116BC8E5" w14:textId="77777777" w:rsidR="00325C94" w:rsidRPr="00580FBF" w:rsidRDefault="00325C94" w:rsidP="00325C94">
      <w:pPr>
        <w:ind w:left="567" w:right="-858"/>
        <w:jc w:val="both"/>
        <w:rPr>
          <w:rFonts w:ascii="Palatino Linotype" w:hAnsi="Palatino Linotype" w:cs="Tahoma"/>
          <w:i/>
        </w:rPr>
      </w:pPr>
      <w:r w:rsidRPr="00580FBF">
        <w:rPr>
          <w:rFonts w:ascii="Palatino Linotype" w:hAnsi="Palatino Linotype" w:cs="Tahoma"/>
          <w:i/>
        </w:rPr>
        <w:t>…</w:t>
      </w:r>
    </w:p>
    <w:p w14:paraId="6F06BECC" w14:textId="77777777" w:rsidR="00325C94" w:rsidRPr="00580FBF" w:rsidRDefault="00325C94" w:rsidP="00325C94">
      <w:pPr>
        <w:ind w:left="567" w:right="-858"/>
        <w:jc w:val="both"/>
        <w:rPr>
          <w:rFonts w:ascii="Palatino Linotype" w:hAnsi="Palatino Linotype" w:cs="Tahoma"/>
          <w:b/>
          <w:i/>
        </w:rPr>
      </w:pPr>
    </w:p>
    <w:p w14:paraId="70D28E7E"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b/>
          <w:i/>
        </w:rPr>
        <w:t>Artículo 345.-</w:t>
      </w:r>
      <w:r w:rsidRPr="00580FBF">
        <w:rPr>
          <w:rFonts w:ascii="Palatino Linotype" w:hAnsi="Palatino Linotype" w:cs="Tahoma"/>
          <w:i/>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w:t>
      </w:r>
    </w:p>
    <w:p w14:paraId="58B177AD" w14:textId="77777777" w:rsidR="00325C94" w:rsidRPr="00580FBF" w:rsidRDefault="00325C94" w:rsidP="00325C94">
      <w:pPr>
        <w:ind w:left="567" w:right="-858"/>
        <w:jc w:val="both"/>
        <w:rPr>
          <w:rFonts w:ascii="Palatino Linotype" w:hAnsi="Palatino Linotype" w:cs="Tahoma"/>
          <w:i/>
        </w:rPr>
      </w:pPr>
    </w:p>
    <w:p w14:paraId="2B490416"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b/>
          <w:i/>
        </w:rPr>
        <w:t>Los poderes Legislativo y Judicial, los Organismos Autónomos y las Entidades Públicas, de acuerdo con su naturaleza jurídica y según corresponda, deberán conservar la documentación contable del año en curso y la de ejercicios anteriores</w:t>
      </w:r>
      <w:r w:rsidRPr="00580FBF">
        <w:rPr>
          <w:rFonts w:ascii="Palatino Linotype" w:hAnsi="Palatino Linotype" w:cs="Tahoma"/>
          <w:i/>
        </w:rPr>
        <w:t>, cuyas cuentas públicas hayan sido revisadas y fiscalizadas, en sus propios Archivos Contables. Tratándose de los comprobantes fiscales digitales, estos deberán estar agregados en forma electrónica a cada póliza de registro contable.</w:t>
      </w:r>
    </w:p>
    <w:p w14:paraId="2B2E8A79" w14:textId="77777777" w:rsidR="00325C94" w:rsidRPr="00580FBF" w:rsidRDefault="00325C94" w:rsidP="00325C94">
      <w:pPr>
        <w:ind w:left="567" w:right="-858"/>
        <w:jc w:val="both"/>
        <w:rPr>
          <w:rFonts w:ascii="Palatino Linotype" w:hAnsi="Palatino Linotype" w:cs="Tahoma"/>
          <w:i/>
        </w:rPr>
      </w:pPr>
    </w:p>
    <w:p w14:paraId="33830C90"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i/>
        </w:rPr>
        <w:t>El plazo señalado en este artículo empezará a contar a partir de la publicación en el Periódico Oficial, del decreto correspondiente</w:t>
      </w:r>
      <w:r w:rsidRPr="00580FBF">
        <w:rPr>
          <w:rFonts w:ascii="Palatino Linotype" w:hAnsi="Palatino Linotype" w:cs="Tahoma"/>
          <w:b/>
          <w:i/>
        </w:rPr>
        <w:t xml:space="preserve"> </w:t>
      </w:r>
    </w:p>
    <w:p w14:paraId="4585CA87" w14:textId="77777777" w:rsidR="00325C94" w:rsidRPr="00580FBF" w:rsidRDefault="00325C94" w:rsidP="00325C94">
      <w:pPr>
        <w:spacing w:line="360" w:lineRule="auto"/>
        <w:ind w:right="-93"/>
        <w:jc w:val="both"/>
        <w:rPr>
          <w:rFonts w:ascii="Palatino Linotype" w:hAnsi="Palatino Linotype" w:cs="Tahoma"/>
          <w:i/>
        </w:rPr>
      </w:pPr>
    </w:p>
    <w:p w14:paraId="38B76B32" w14:textId="77777777" w:rsidR="00325C94" w:rsidRPr="00580FBF" w:rsidRDefault="00325C94" w:rsidP="002E0477">
      <w:pPr>
        <w:numPr>
          <w:ilvl w:val="0"/>
          <w:numId w:val="3"/>
        </w:numPr>
        <w:pBdr>
          <w:top w:val="nil"/>
          <w:left w:val="nil"/>
          <w:bottom w:val="nil"/>
          <w:right w:val="nil"/>
          <w:between w:val="nil"/>
        </w:pBdr>
        <w:spacing w:line="360" w:lineRule="auto"/>
        <w:ind w:left="0" w:firstLine="0"/>
        <w:jc w:val="both"/>
        <w:rPr>
          <w:rFonts w:ascii="Palatino Linotype" w:hAnsi="Palatino Linotype" w:cs="Tahoma"/>
        </w:rPr>
      </w:pPr>
      <w:r w:rsidRPr="00580FBF">
        <w:rPr>
          <w:rFonts w:ascii="Palatino Linotype" w:hAnsi="Palatino Linotype" w:cs="Tahoma"/>
        </w:rPr>
        <w:t xml:space="preserve">De una </w:t>
      </w:r>
      <w:r w:rsidRPr="00580FBF">
        <w:rPr>
          <w:rFonts w:ascii="Palatino Linotype" w:eastAsia="Palatino Linotype" w:hAnsi="Palatino Linotype" w:cs="Palatino Linotype"/>
        </w:rPr>
        <w:t>interpretación</w:t>
      </w:r>
      <w:r w:rsidRPr="00580FBF">
        <w:rPr>
          <w:rFonts w:ascii="Palatino Linotype" w:hAnsi="Palatino Linotype" w:cs="Tahoma"/>
        </w:rPr>
        <w:t xml:space="preserve">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6F9821F2" w14:textId="77777777" w:rsidR="00325C94" w:rsidRPr="00580FBF" w:rsidRDefault="00325C94" w:rsidP="00325C94">
      <w:pPr>
        <w:spacing w:line="360" w:lineRule="auto"/>
        <w:ind w:right="-93"/>
        <w:jc w:val="both"/>
        <w:rPr>
          <w:rFonts w:ascii="Palatino Linotype" w:hAnsi="Palatino Linotype" w:cs="Tahoma"/>
        </w:rPr>
      </w:pPr>
    </w:p>
    <w:p w14:paraId="3A5B3760" w14:textId="77777777" w:rsidR="00325C94" w:rsidRPr="00580FBF" w:rsidRDefault="00325C94" w:rsidP="002E0477">
      <w:pPr>
        <w:numPr>
          <w:ilvl w:val="0"/>
          <w:numId w:val="3"/>
        </w:numPr>
        <w:pBdr>
          <w:top w:val="nil"/>
          <w:left w:val="nil"/>
          <w:bottom w:val="nil"/>
          <w:right w:val="nil"/>
          <w:between w:val="nil"/>
        </w:pBdr>
        <w:spacing w:line="360" w:lineRule="auto"/>
        <w:ind w:left="0" w:firstLine="0"/>
        <w:jc w:val="both"/>
        <w:rPr>
          <w:rFonts w:ascii="Palatino Linotype" w:hAnsi="Palatino Linotype" w:cs="Tahoma"/>
        </w:rPr>
      </w:pPr>
      <w:r w:rsidRPr="00580FBF">
        <w:rPr>
          <w:rFonts w:ascii="Palatino Linotype" w:eastAsia="Palatino Linotype" w:hAnsi="Palatino Linotype" w:cs="Palatino Linotype"/>
        </w:rPr>
        <w:t>Al</w:t>
      </w:r>
      <w:r w:rsidRPr="00580FBF">
        <w:rPr>
          <w:rFonts w:ascii="Palatino Linotype" w:hAnsi="Palatino Linotype" w:cs="Tahoma"/>
        </w:rPr>
        <w:t xml:space="preserve"> respecto, si bien es cierto que el Código Financiero del Estado de México y Municipios establece la </w:t>
      </w:r>
      <w:r w:rsidRPr="00580FBF">
        <w:rPr>
          <w:rFonts w:ascii="Palatino Linotype" w:eastAsia="Palatino Linotype" w:hAnsi="Palatino Linotype" w:cs="Palatino Linotype"/>
          <w:color w:val="000000"/>
        </w:rPr>
        <w:t>obligación</w:t>
      </w:r>
      <w:r w:rsidRPr="00580FBF">
        <w:rPr>
          <w:rFonts w:ascii="Palatino Linotype" w:hAnsi="Palatino Linotype" w:cs="Tahoma"/>
        </w:rPr>
        <w:t xml:space="preserve"> a los Municipios para llevar los registros contables y presupuestales; también lo es que, dicho ordenamiento jurídico no establece que debemos entender por registro contable y presupuestal; sin embargo, el “</w:t>
      </w:r>
      <w:r w:rsidRPr="00580FBF">
        <w:rPr>
          <w:rFonts w:ascii="Palatino Linotype" w:hAnsi="Palatino Linotype" w:cs="Tahoma"/>
          <w:i/>
        </w:rPr>
        <w:t xml:space="preserve">Glosario de Términos para el </w:t>
      </w:r>
      <w:r w:rsidRPr="00580FBF">
        <w:rPr>
          <w:rFonts w:ascii="Palatino Linotype" w:hAnsi="Palatino Linotype" w:cs="Tahoma"/>
          <w:i/>
        </w:rPr>
        <w:lastRenderedPageBreak/>
        <w:t>Proceso de Planeación, Programación, Presupuestación y Evaluación en la Administración Pública”</w:t>
      </w:r>
      <w:r w:rsidRPr="00580FBF">
        <w:rPr>
          <w:rFonts w:ascii="Palatino Linotype" w:hAnsi="Palatino Linotype" w:cs="Tahoma"/>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3230ED84" w14:textId="77777777" w:rsidR="00325C94" w:rsidRPr="00580FBF" w:rsidRDefault="00325C94" w:rsidP="00325C94">
      <w:pPr>
        <w:ind w:left="567" w:right="567"/>
        <w:jc w:val="both"/>
        <w:rPr>
          <w:rFonts w:ascii="Palatino Linotype" w:hAnsi="Palatino Linotype" w:cs="Tahoma"/>
          <w:b/>
          <w:i/>
        </w:rPr>
      </w:pPr>
      <w:r w:rsidRPr="00580FBF">
        <w:rPr>
          <w:rFonts w:ascii="Palatino Linotype" w:hAnsi="Palatino Linotype" w:cs="Tahoma"/>
          <w:b/>
          <w:i/>
        </w:rPr>
        <w:t xml:space="preserve">REGISTRO CONTABLE. </w:t>
      </w:r>
      <w:r w:rsidRPr="00580FBF">
        <w:rPr>
          <w:rFonts w:ascii="Palatino Linotype" w:hAnsi="Palatino Linotype" w:cs="Tahoma"/>
          <w:i/>
        </w:rPr>
        <w:t>Asiento que se realiza en los libros de contabilidad de las actividades relacionadas con el ingreso y egresos de un ente económico.</w:t>
      </w:r>
    </w:p>
    <w:p w14:paraId="1A14A0B8" w14:textId="77777777" w:rsidR="00325C94" w:rsidRPr="00580FBF" w:rsidRDefault="00325C94" w:rsidP="00325C94">
      <w:pPr>
        <w:ind w:left="1134" w:right="900"/>
        <w:jc w:val="both"/>
        <w:rPr>
          <w:rFonts w:ascii="Palatino Linotype" w:hAnsi="Palatino Linotype" w:cs="Tahoma"/>
          <w:i/>
        </w:rPr>
      </w:pPr>
    </w:p>
    <w:p w14:paraId="24667C6D"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b/>
          <w:i/>
        </w:rPr>
        <w:t xml:space="preserve">REGISTRO PRESUPUESTARIO. </w:t>
      </w:r>
      <w:r w:rsidRPr="00580FBF">
        <w:rPr>
          <w:rFonts w:ascii="Palatino Linotype" w:hAnsi="Palatino Linotype" w:cs="Tahoma"/>
          <w:i/>
        </w:rPr>
        <w:t>Asiento contable de las erogaciones realizadas por las dependencias y entidades con relación a la asignación, modificación y ejercicio de los recursos presupuestarios que se les hayan autorizado.</w:t>
      </w:r>
    </w:p>
    <w:p w14:paraId="0AC02350" w14:textId="77777777" w:rsidR="00325C94" w:rsidRPr="00580FBF" w:rsidRDefault="00325C94" w:rsidP="00325C94">
      <w:pPr>
        <w:spacing w:line="360" w:lineRule="auto"/>
        <w:jc w:val="both"/>
        <w:rPr>
          <w:rFonts w:ascii="Palatino Linotype" w:hAnsi="Palatino Linotype" w:cs="Tahoma"/>
        </w:rPr>
      </w:pPr>
    </w:p>
    <w:p w14:paraId="08177302" w14:textId="77777777" w:rsidR="00325C94" w:rsidRPr="00580FBF" w:rsidRDefault="00325C94" w:rsidP="002E0477">
      <w:pPr>
        <w:numPr>
          <w:ilvl w:val="0"/>
          <w:numId w:val="3"/>
        </w:numPr>
        <w:pBdr>
          <w:top w:val="nil"/>
          <w:left w:val="nil"/>
          <w:bottom w:val="nil"/>
          <w:right w:val="nil"/>
          <w:between w:val="nil"/>
        </w:pBdr>
        <w:spacing w:line="360" w:lineRule="auto"/>
        <w:ind w:left="0" w:firstLine="0"/>
        <w:jc w:val="both"/>
        <w:rPr>
          <w:rFonts w:ascii="Palatino Linotype" w:hAnsi="Palatino Linotype" w:cs="Tahoma"/>
        </w:rPr>
      </w:pPr>
      <w:r w:rsidRPr="00580FBF">
        <w:rPr>
          <w:rFonts w:ascii="Palatino Linotype" w:hAnsi="Palatino Linotype" w:cs="Tahoma"/>
        </w:rPr>
        <w:t xml:space="preserve">En este sentido, </w:t>
      </w:r>
      <w:r w:rsidRPr="00580FBF">
        <w:rPr>
          <w:rFonts w:ascii="Palatino Linotype" w:eastAsia="Palatino Linotype" w:hAnsi="Palatino Linotype" w:cs="Palatino Linotype"/>
          <w:color w:val="000000"/>
        </w:rPr>
        <w:t>cabe</w:t>
      </w:r>
      <w:r w:rsidRPr="00580FBF">
        <w:rPr>
          <w:rFonts w:ascii="Palatino Linotype" w:hAnsi="Palatino Linotype" w:cs="Tahoma"/>
        </w:rPr>
        <w:t xml:space="preserve"> referir que la Ley de Fiscalización Superior del Estado de México prevé en su artículo 4 </w:t>
      </w:r>
      <w:r w:rsidRPr="00580FBF">
        <w:rPr>
          <w:rFonts w:ascii="Palatino Linotype" w:eastAsia="Palatino Linotype" w:hAnsi="Palatino Linotype" w:cs="Palatino Linotype"/>
        </w:rPr>
        <w:t>que</w:t>
      </w:r>
      <w:r w:rsidRPr="00580FBF">
        <w:rPr>
          <w:rFonts w:ascii="Palatino Linotype" w:hAnsi="Palatino Linotype" w:cs="Tahoma"/>
        </w:rPr>
        <w:t xml:space="preserve"> los Poderes Públicos del Estado son considerados entes fiscalizables, tal como se observa a continuación:</w:t>
      </w:r>
    </w:p>
    <w:p w14:paraId="51B1037F"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b/>
          <w:i/>
        </w:rPr>
        <w:t>Artículo 4.</w:t>
      </w:r>
      <w:r w:rsidRPr="00580FBF">
        <w:rPr>
          <w:rFonts w:ascii="Palatino Linotype" w:hAnsi="Palatino Linotype" w:cs="Tahoma"/>
          <w:i/>
        </w:rPr>
        <w:t xml:space="preserve"> Son sujetos de fiscalización:</w:t>
      </w:r>
    </w:p>
    <w:p w14:paraId="0EE00052"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i/>
        </w:rPr>
        <w:t>I. Los Poderes Públicos del Estado;</w:t>
      </w:r>
    </w:p>
    <w:p w14:paraId="427913D2" w14:textId="77777777" w:rsidR="00325C94" w:rsidRPr="00580FBF" w:rsidRDefault="00325C94" w:rsidP="00325C94">
      <w:pPr>
        <w:ind w:left="567" w:right="567"/>
        <w:jc w:val="both"/>
        <w:rPr>
          <w:rFonts w:ascii="Palatino Linotype" w:hAnsi="Palatino Linotype" w:cs="Tahoma"/>
          <w:b/>
          <w:i/>
        </w:rPr>
      </w:pPr>
      <w:r w:rsidRPr="00580FBF">
        <w:rPr>
          <w:rFonts w:ascii="Palatino Linotype" w:hAnsi="Palatino Linotype" w:cs="Tahoma"/>
          <w:b/>
          <w:i/>
        </w:rPr>
        <w:t>II. Los municipios del Estado de México;</w:t>
      </w:r>
    </w:p>
    <w:p w14:paraId="39FA2473" w14:textId="77777777" w:rsidR="00325C94" w:rsidRPr="00580FBF" w:rsidRDefault="00325C94" w:rsidP="00325C94">
      <w:pPr>
        <w:ind w:left="567" w:right="567"/>
        <w:jc w:val="both"/>
        <w:rPr>
          <w:rFonts w:ascii="Palatino Linotype" w:hAnsi="Palatino Linotype" w:cs="Tahoma"/>
        </w:rPr>
      </w:pPr>
      <w:r w:rsidRPr="00580FBF">
        <w:rPr>
          <w:rFonts w:ascii="Palatino Linotype" w:hAnsi="Palatino Linotype" w:cs="Tahoma"/>
        </w:rPr>
        <w:t xml:space="preserve">Asimismo, el ordenamiento legal referido señala en su artículo 8, fracción XI lo siguiente: </w:t>
      </w:r>
    </w:p>
    <w:p w14:paraId="4C551C5B" w14:textId="77777777" w:rsidR="00325C94" w:rsidRPr="00580FBF" w:rsidRDefault="00325C94" w:rsidP="00325C94">
      <w:pPr>
        <w:ind w:left="567" w:right="567"/>
        <w:jc w:val="both"/>
        <w:rPr>
          <w:rFonts w:ascii="Palatino Linotype" w:hAnsi="Palatino Linotype" w:cs="Tahoma"/>
        </w:rPr>
      </w:pPr>
    </w:p>
    <w:p w14:paraId="782D9AF5"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i/>
        </w:rPr>
        <w:t>Artículo 8. El Órgano Superior tendrá las siguientes atribuciones:</w:t>
      </w:r>
    </w:p>
    <w:p w14:paraId="089EA949"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i/>
        </w:rPr>
        <w:t>…</w:t>
      </w:r>
    </w:p>
    <w:p w14:paraId="49D107CC" w14:textId="77777777" w:rsidR="00325C94" w:rsidRPr="00580FBF" w:rsidRDefault="00325C94" w:rsidP="00325C94">
      <w:pPr>
        <w:ind w:left="567" w:right="567"/>
        <w:jc w:val="both"/>
        <w:rPr>
          <w:rFonts w:ascii="Palatino Linotype" w:hAnsi="Palatino Linotype" w:cs="Tahoma"/>
          <w:i/>
        </w:rPr>
      </w:pPr>
      <w:r w:rsidRPr="00580FBF">
        <w:rPr>
          <w:rFonts w:ascii="Palatino Linotype" w:hAnsi="Palatino Linotype" w:cs="Tahoma"/>
          <w:i/>
        </w:rPr>
        <w:t xml:space="preserve">XI. </w:t>
      </w:r>
      <w:r w:rsidRPr="00580FBF">
        <w:rPr>
          <w:rFonts w:ascii="Palatino Linotype" w:hAnsi="Palatino Linotype" w:cs="Tahoma"/>
          <w:b/>
          <w:i/>
        </w:rPr>
        <w:t>Establecer los lineamientos, criterios, procedimientos, métodos y sistemas para las acciones de control y evaluación, necesarios para la fiscalización de las cuentas públicas y los informes trimestrales</w:t>
      </w:r>
      <w:r w:rsidRPr="00580FBF">
        <w:rPr>
          <w:rFonts w:ascii="Palatino Linotype" w:hAnsi="Palatino Linotype" w:cs="Tahoma"/>
          <w:i/>
        </w:rPr>
        <w:t xml:space="preserve">…” </w:t>
      </w:r>
    </w:p>
    <w:p w14:paraId="7324F260" w14:textId="77777777" w:rsidR="00325C94" w:rsidRPr="00580FBF" w:rsidRDefault="00325C94" w:rsidP="00325C94">
      <w:pPr>
        <w:tabs>
          <w:tab w:val="left" w:pos="284"/>
        </w:tabs>
        <w:spacing w:before="240" w:after="240" w:line="360" w:lineRule="auto"/>
        <w:contextualSpacing/>
        <w:jc w:val="both"/>
        <w:rPr>
          <w:rFonts w:ascii="Palatino Linotype" w:hAnsi="Palatino Linotype"/>
          <w:bCs/>
          <w:lang w:val="es-ES"/>
        </w:rPr>
      </w:pPr>
    </w:p>
    <w:p w14:paraId="6B7341D6" w14:textId="77777777" w:rsidR="00325C94" w:rsidRPr="00580FBF" w:rsidRDefault="00325C94" w:rsidP="002E0477">
      <w:pPr>
        <w:numPr>
          <w:ilvl w:val="0"/>
          <w:numId w:val="3"/>
        </w:numPr>
        <w:pBdr>
          <w:top w:val="nil"/>
          <w:left w:val="nil"/>
          <w:bottom w:val="nil"/>
          <w:right w:val="nil"/>
          <w:between w:val="nil"/>
        </w:pBdr>
        <w:spacing w:line="360" w:lineRule="auto"/>
        <w:ind w:left="0" w:firstLine="0"/>
        <w:jc w:val="both"/>
        <w:rPr>
          <w:rFonts w:ascii="Palatino Linotype" w:hAnsi="Palatino Linotype"/>
          <w:bCs/>
          <w:lang w:val="es-ES"/>
        </w:rPr>
      </w:pPr>
      <w:r w:rsidRPr="00580FBF">
        <w:rPr>
          <w:rFonts w:ascii="Palatino Linotype" w:hAnsi="Palatino Linotype" w:cs="Tahoma"/>
        </w:rPr>
        <w:t>De</w:t>
      </w:r>
      <w:r w:rsidRPr="00580FBF">
        <w:rPr>
          <w:rFonts w:ascii="Palatino Linotype" w:hAnsi="Palatino Linotype"/>
          <w:lang w:val="es-ES"/>
        </w:rPr>
        <w:t xml:space="preserve"> la normatividad </w:t>
      </w:r>
      <w:r w:rsidRPr="00580FBF">
        <w:rPr>
          <w:rFonts w:ascii="Palatino Linotype" w:hAnsi="Palatino Linotype" w:cs="Tahoma"/>
        </w:rPr>
        <w:t>previamente</w:t>
      </w:r>
      <w:r w:rsidRPr="00580FBF">
        <w:rPr>
          <w:rFonts w:ascii="Palatino Linotype" w:hAnsi="Palatino Linotype"/>
          <w:lang w:val="es-ES"/>
        </w:rPr>
        <w:t xml:space="preserve"> plasmada, se desprende primeramente que el</w:t>
      </w:r>
      <w:r w:rsidRPr="00580FBF">
        <w:rPr>
          <w:rFonts w:ascii="Palatino Linotype" w:hAnsi="Palatino Linotype"/>
          <w:bCs/>
          <w:lang w:val="es-ES"/>
        </w:rPr>
        <w:t xml:space="preserve"> registro contable del efecto patrimonial y presupuestal de las operaciones financieras se </w:t>
      </w:r>
      <w:r w:rsidRPr="00580FBF">
        <w:rPr>
          <w:rFonts w:ascii="Palatino Linotype" w:hAnsi="Palatino Linotype"/>
          <w:bCs/>
          <w:lang w:val="es-ES"/>
        </w:rPr>
        <w:lastRenderedPageBreak/>
        <w:t xml:space="preserve">realizará conforme al sistema y a las disposiciones que se aprueben en materia de planeación, programación, </w:t>
      </w:r>
      <w:r w:rsidRPr="00580FBF">
        <w:rPr>
          <w:rFonts w:ascii="Palatino Linotype" w:eastAsia="Palatino Linotype" w:hAnsi="Palatino Linotype" w:cs="Palatino Linotype"/>
        </w:rPr>
        <w:t>presupuestación</w:t>
      </w:r>
      <w:r w:rsidRPr="00580FBF">
        <w:rPr>
          <w:rFonts w:ascii="Palatino Linotype" w:hAnsi="Palatino Linotype"/>
          <w:bCs/>
          <w:lang w:val="es-ES"/>
        </w:rPr>
        <w:t>, evaluación y contabilidad gubernamental.</w:t>
      </w:r>
    </w:p>
    <w:p w14:paraId="3FB19D69" w14:textId="77777777" w:rsidR="00325C94" w:rsidRPr="00580FBF" w:rsidRDefault="00325C94" w:rsidP="00325C94">
      <w:pPr>
        <w:pBdr>
          <w:top w:val="nil"/>
          <w:left w:val="nil"/>
          <w:bottom w:val="nil"/>
          <w:right w:val="nil"/>
          <w:between w:val="nil"/>
        </w:pBdr>
        <w:rPr>
          <w:rFonts w:ascii="Palatino Linotype" w:eastAsia="Palatino Linotype" w:hAnsi="Palatino Linotype" w:cs="Palatino Linotype"/>
        </w:rPr>
      </w:pPr>
    </w:p>
    <w:p w14:paraId="1BF0A9ED" w14:textId="77777777" w:rsidR="00DC3829" w:rsidRPr="00580FBF" w:rsidRDefault="00325C94" w:rsidP="00DC3829">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En razón de lo </w:t>
      </w:r>
      <w:r w:rsidRPr="00580FBF">
        <w:rPr>
          <w:rFonts w:ascii="Palatino Linotype" w:hAnsi="Palatino Linotype"/>
          <w:bCs/>
          <w:lang w:val="es-ES"/>
        </w:rPr>
        <w:t>expuesto</w:t>
      </w:r>
      <w:r w:rsidRPr="00580FBF">
        <w:rPr>
          <w:rFonts w:ascii="Palatino Linotype" w:eastAsia="Palatino Linotype" w:hAnsi="Palatino Linotype" w:cs="Palatino Linotype"/>
        </w:rPr>
        <w:t xml:space="preserve">, los sujetos obligados deberán hacer pública toda aquella información relativa a los montos y las personas a quienes entreguen, por cualquier motivo, recursos públicos y en consecuencia, los servidores públicos deberán transparentar sus acciones así como garantizar y respetar el derecho de </w:t>
      </w:r>
      <w:r w:rsidR="002E0477" w:rsidRPr="00580FBF">
        <w:rPr>
          <w:rFonts w:ascii="Palatino Linotype" w:eastAsia="Palatino Linotype" w:hAnsi="Palatino Linotype" w:cs="Palatino Linotype"/>
        </w:rPr>
        <w:t>acceso a la información pública.</w:t>
      </w:r>
    </w:p>
    <w:p w14:paraId="7AB3A855" w14:textId="77777777" w:rsidR="00DC3829" w:rsidRPr="00580FBF" w:rsidRDefault="00DC3829" w:rsidP="00DC3829">
      <w:pPr>
        <w:pStyle w:val="Prrafodelista"/>
        <w:rPr>
          <w:rFonts w:ascii="Palatino Linotype" w:eastAsia="Palatino Linotype" w:hAnsi="Palatino Linotype" w:cs="Palatino Linotype"/>
          <w:color w:val="000000"/>
        </w:rPr>
      </w:pPr>
    </w:p>
    <w:p w14:paraId="594DD0C5" w14:textId="77777777" w:rsidR="00DC3829" w:rsidRPr="00580FBF" w:rsidRDefault="00DC3829" w:rsidP="00DC3829">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color w:val="000000"/>
        </w:rPr>
        <w:t xml:space="preserve">Una vez teniendo claro lo anterior, se procede a realizar el estudio del requerimiento, por lo que resulta necesario traer a colación lo establecido en el artículo 292 del Código financiero del Estado de México y Municipios, que a la letra establece: </w:t>
      </w:r>
    </w:p>
    <w:p w14:paraId="04FB322E" w14:textId="77777777" w:rsidR="00DC3829" w:rsidRPr="00580FBF" w:rsidRDefault="00DC3829" w:rsidP="00DC3829">
      <w:pPr>
        <w:spacing w:after="120"/>
        <w:ind w:left="567" w:right="567"/>
        <w:jc w:val="center"/>
        <w:rPr>
          <w:rFonts w:ascii="Palatino Linotype" w:eastAsia="Palatino Linotype" w:hAnsi="Palatino Linotype" w:cs="Palatino Linotype"/>
          <w:b/>
          <w:i/>
        </w:rPr>
      </w:pPr>
      <w:r w:rsidRPr="00580FBF">
        <w:rPr>
          <w:rFonts w:ascii="Palatino Linotype" w:eastAsia="Palatino Linotype" w:hAnsi="Palatino Linotype" w:cs="Palatino Linotype"/>
          <w:b/>
          <w:i/>
        </w:rPr>
        <w:t>Código Financiero del Estado de México y Municipios</w:t>
      </w:r>
    </w:p>
    <w:p w14:paraId="33C0C689" w14:textId="77777777" w:rsidR="00DC3829" w:rsidRPr="00580FBF" w:rsidRDefault="00DC3829" w:rsidP="00DC3829">
      <w:pPr>
        <w:spacing w:after="120"/>
        <w:ind w:left="567" w:right="567"/>
        <w:jc w:val="both"/>
        <w:rPr>
          <w:rFonts w:ascii="Palatino Linotype" w:eastAsia="Palatino Linotype" w:hAnsi="Palatino Linotype" w:cs="Palatino Linotype"/>
          <w:i/>
        </w:rPr>
      </w:pPr>
      <w:r w:rsidRPr="00580FBF">
        <w:rPr>
          <w:rFonts w:ascii="Palatino Linotype" w:eastAsia="Palatino Linotype" w:hAnsi="Palatino Linotype" w:cs="Palatino Linotype"/>
          <w:b/>
          <w:i/>
        </w:rPr>
        <w:t>“Artículo 292</w:t>
      </w:r>
      <w:r w:rsidRPr="00580FBF">
        <w:rPr>
          <w:rFonts w:ascii="Palatino Linotype" w:eastAsia="Palatino Linotype" w:hAnsi="Palatino Linotype" w:cs="Palatino Linotype"/>
          <w:i/>
        </w:rPr>
        <w:t xml:space="preserve">.- El Proyecto de Presupuesto de Egresos del Gobierno del Estado de México deberá contribuir a un balance presupuestario sostenible en términos de la legislación en la materia, será elaborado atendiendo el modelo de Presupuesto Basado en Resultados y sujeto a la evaluación del desempeño de sus programas presupuestarios, y se integrará con los recursos que se destinen a los poderes Ejecutivo, Legislativo y Judicial, a los organismos autónomos y a los municipios. </w:t>
      </w:r>
    </w:p>
    <w:p w14:paraId="058D359D" w14:textId="77777777" w:rsidR="00DC3829" w:rsidRPr="00580FBF" w:rsidRDefault="00DC3829" w:rsidP="00DC3829">
      <w:pPr>
        <w:spacing w:after="120"/>
        <w:ind w:left="567" w:right="567"/>
        <w:jc w:val="both"/>
        <w:rPr>
          <w:rFonts w:ascii="Palatino Linotype" w:eastAsia="Palatino Linotype" w:hAnsi="Palatino Linotype" w:cs="Palatino Linotype"/>
          <w:b/>
          <w:i/>
        </w:rPr>
      </w:pPr>
      <w:r w:rsidRPr="00580FBF">
        <w:rPr>
          <w:rFonts w:ascii="Palatino Linotype" w:eastAsia="Palatino Linotype" w:hAnsi="Palatino Linotype" w:cs="Palatino Linotype"/>
          <w:b/>
          <w:i/>
        </w:rPr>
        <w:t xml:space="preserve">Para el caso de los Municipios, el Proyecto de Presupuesto se integrará con los recursos que se destinen al Ayuntamiento y a los organismos municipales. </w:t>
      </w:r>
    </w:p>
    <w:p w14:paraId="154E7239" w14:textId="77777777" w:rsidR="00DC3829" w:rsidRPr="00580FBF" w:rsidRDefault="00DC3829" w:rsidP="00DC3829">
      <w:pPr>
        <w:spacing w:after="120"/>
        <w:ind w:left="567" w:right="567"/>
        <w:jc w:val="both"/>
        <w:rPr>
          <w:rFonts w:ascii="Palatino Linotype" w:eastAsia="Palatino Linotype" w:hAnsi="Palatino Linotype" w:cs="Palatino Linotype"/>
          <w:b/>
          <w:i/>
        </w:rPr>
      </w:pPr>
      <w:r w:rsidRPr="00580FBF">
        <w:rPr>
          <w:rFonts w:ascii="Palatino Linotype" w:eastAsia="Palatino Linotype" w:hAnsi="Palatino Linotype" w:cs="Palatino Linotype"/>
          <w:i/>
        </w:rPr>
        <w:t>La distribución será conforme a lo siguiente:</w:t>
      </w:r>
    </w:p>
    <w:p w14:paraId="7D80B24B" w14:textId="77777777" w:rsidR="00DC3829" w:rsidRPr="00580FBF" w:rsidRDefault="00DC3829" w:rsidP="00DC3829">
      <w:pPr>
        <w:spacing w:after="120"/>
        <w:ind w:left="567" w:right="567"/>
        <w:jc w:val="both"/>
        <w:rPr>
          <w:rFonts w:ascii="Palatino Linotype" w:eastAsia="Palatino Linotype" w:hAnsi="Palatino Linotype" w:cs="Palatino Linotype"/>
        </w:rPr>
      </w:pPr>
      <w:r w:rsidRPr="00580FBF">
        <w:rPr>
          <w:rFonts w:ascii="Palatino Linotype" w:eastAsia="Palatino Linotype" w:hAnsi="Palatino Linotype" w:cs="Palatino Linotype"/>
          <w:b/>
        </w:rPr>
        <w:t>I.</w:t>
      </w:r>
      <w:r w:rsidRPr="00580FBF">
        <w:rPr>
          <w:rFonts w:ascii="Palatino Linotype" w:eastAsia="Palatino Linotype" w:hAnsi="Palatino Linotype" w:cs="Palatino Linotype"/>
        </w:rPr>
        <w:t xml:space="preserve"> El gasto programable comprende los siguientes capítulos: </w:t>
      </w:r>
    </w:p>
    <w:p w14:paraId="4D44F349" w14:textId="77777777" w:rsidR="00DC3829" w:rsidRPr="00580FBF" w:rsidRDefault="00DC3829" w:rsidP="00DC3829">
      <w:pPr>
        <w:spacing w:after="120"/>
        <w:ind w:left="567" w:right="567"/>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a). 1000 Servicios Personales. </w:t>
      </w:r>
    </w:p>
    <w:p w14:paraId="69362417" w14:textId="77777777" w:rsidR="00DC3829" w:rsidRPr="00580FBF" w:rsidRDefault="00DC3829" w:rsidP="00DC3829">
      <w:pPr>
        <w:spacing w:after="120"/>
        <w:ind w:left="567" w:right="567"/>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b). 2000 Materiales y Suministros. </w:t>
      </w:r>
    </w:p>
    <w:p w14:paraId="5D1367C3" w14:textId="77777777" w:rsidR="00DC3829" w:rsidRPr="00580FBF" w:rsidRDefault="00DC3829" w:rsidP="00DC3829">
      <w:pPr>
        <w:spacing w:after="120"/>
        <w:ind w:left="567" w:right="567"/>
        <w:jc w:val="both"/>
        <w:rPr>
          <w:rFonts w:ascii="Palatino Linotype" w:eastAsia="Palatino Linotype" w:hAnsi="Palatino Linotype" w:cs="Palatino Linotype"/>
        </w:rPr>
      </w:pPr>
      <w:r w:rsidRPr="00580FBF">
        <w:rPr>
          <w:rFonts w:ascii="Palatino Linotype" w:eastAsia="Palatino Linotype" w:hAnsi="Palatino Linotype" w:cs="Palatino Linotype"/>
          <w:b/>
        </w:rPr>
        <w:t>c). 3000 Servicios Generales</w:t>
      </w:r>
      <w:r w:rsidRPr="00580FBF">
        <w:rPr>
          <w:rFonts w:ascii="Palatino Linotype" w:eastAsia="Palatino Linotype" w:hAnsi="Palatino Linotype" w:cs="Palatino Linotype"/>
        </w:rPr>
        <w:t xml:space="preserve">. </w:t>
      </w:r>
    </w:p>
    <w:p w14:paraId="4C8082C6" w14:textId="77777777" w:rsidR="00DC3829" w:rsidRPr="00580FBF" w:rsidRDefault="00DC3829" w:rsidP="00DC3829">
      <w:pPr>
        <w:spacing w:after="120"/>
        <w:ind w:left="567" w:right="567"/>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d). 4000 Transferencias, Asignaciones, Subsidios y otras ayudas. </w:t>
      </w:r>
    </w:p>
    <w:p w14:paraId="7925C516" w14:textId="77777777" w:rsidR="00DC3829" w:rsidRPr="00580FBF" w:rsidRDefault="00DC3829" w:rsidP="00DC3829">
      <w:pPr>
        <w:spacing w:after="120"/>
        <w:ind w:left="567" w:right="567"/>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 5000 Bienes Muebles, Inmuebles e Intangibles. </w:t>
      </w:r>
    </w:p>
    <w:p w14:paraId="3906D10F" w14:textId="77777777" w:rsidR="00DC3829" w:rsidRPr="00580FBF" w:rsidRDefault="00DC3829" w:rsidP="00DC3829">
      <w:pPr>
        <w:spacing w:after="120"/>
        <w:ind w:left="567" w:right="567"/>
        <w:jc w:val="both"/>
        <w:rPr>
          <w:rFonts w:ascii="Palatino Linotype" w:eastAsia="Palatino Linotype" w:hAnsi="Palatino Linotype" w:cs="Palatino Linotype"/>
          <w:b/>
        </w:rPr>
      </w:pPr>
      <w:r w:rsidRPr="00580FBF">
        <w:rPr>
          <w:rFonts w:ascii="Palatino Linotype" w:eastAsia="Palatino Linotype" w:hAnsi="Palatino Linotype" w:cs="Palatino Linotype"/>
        </w:rPr>
        <w:t xml:space="preserve">f). 6000 Inversión Pública. </w:t>
      </w:r>
    </w:p>
    <w:p w14:paraId="558EEDDC" w14:textId="77777777" w:rsidR="00DC3829" w:rsidRPr="00580FBF" w:rsidRDefault="00DC3829" w:rsidP="00DC3829">
      <w:pPr>
        <w:spacing w:after="120"/>
        <w:ind w:left="567" w:right="567"/>
        <w:jc w:val="both"/>
        <w:rPr>
          <w:rFonts w:ascii="Palatino Linotype" w:eastAsia="Palatino Linotype" w:hAnsi="Palatino Linotype" w:cs="Palatino Linotype"/>
        </w:rPr>
      </w:pPr>
      <w:r w:rsidRPr="00580FBF">
        <w:rPr>
          <w:rFonts w:ascii="Palatino Linotype" w:eastAsia="Palatino Linotype" w:hAnsi="Palatino Linotype" w:cs="Palatino Linotype"/>
        </w:rPr>
        <w:lastRenderedPageBreak/>
        <w:t xml:space="preserve">g). 7000 Inversiones Financieras y otras provisiones. </w:t>
      </w:r>
    </w:p>
    <w:p w14:paraId="674800B6" w14:textId="77777777" w:rsidR="00DC3829" w:rsidRPr="00580FBF" w:rsidRDefault="00DC3829" w:rsidP="00DC3829">
      <w:pPr>
        <w:spacing w:after="120"/>
        <w:ind w:left="567" w:right="567"/>
        <w:jc w:val="both"/>
        <w:rPr>
          <w:rFonts w:ascii="Palatino Linotype" w:eastAsia="Palatino Linotype" w:hAnsi="Palatino Linotype" w:cs="Palatino Linotype"/>
        </w:rPr>
      </w:pPr>
      <w:r w:rsidRPr="00580FBF">
        <w:rPr>
          <w:rFonts w:ascii="Palatino Linotype" w:eastAsia="Palatino Linotype" w:hAnsi="Palatino Linotype" w:cs="Palatino Linotype"/>
          <w:b/>
        </w:rPr>
        <w:t>II</w:t>
      </w:r>
      <w:r w:rsidRPr="00580FBF">
        <w:rPr>
          <w:rFonts w:ascii="Palatino Linotype" w:eastAsia="Palatino Linotype" w:hAnsi="Palatino Linotype" w:cs="Palatino Linotype"/>
        </w:rPr>
        <w:t xml:space="preserve">. El gasto no programable comprende los siguientes capítulos: </w:t>
      </w:r>
    </w:p>
    <w:p w14:paraId="5050469E" w14:textId="77777777" w:rsidR="00DC3829" w:rsidRPr="00580FBF" w:rsidRDefault="00DC3829" w:rsidP="00DC3829">
      <w:pPr>
        <w:spacing w:after="120"/>
        <w:ind w:left="567" w:right="567"/>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a). 8000 Participaciones y Aportaciones. </w:t>
      </w:r>
    </w:p>
    <w:p w14:paraId="32B208F2" w14:textId="77777777" w:rsidR="00DC3829" w:rsidRPr="00580FBF" w:rsidRDefault="00DC3829" w:rsidP="00DC3829">
      <w:pPr>
        <w:pBdr>
          <w:top w:val="nil"/>
          <w:left w:val="nil"/>
          <w:bottom w:val="nil"/>
          <w:right w:val="nil"/>
          <w:between w:val="nil"/>
        </w:pBdr>
        <w:spacing w:after="120"/>
        <w:ind w:left="567" w:right="567"/>
        <w:jc w:val="both"/>
        <w:rPr>
          <w:rFonts w:ascii="Palatino Linotype" w:eastAsia="Palatino Linotype" w:hAnsi="Palatino Linotype" w:cs="Palatino Linotype"/>
        </w:rPr>
      </w:pPr>
      <w:r w:rsidRPr="00580FBF">
        <w:rPr>
          <w:rFonts w:ascii="Palatino Linotype" w:eastAsia="Palatino Linotype" w:hAnsi="Palatino Linotype" w:cs="Palatino Linotype"/>
        </w:rPr>
        <w:t>b). 9000 Deuda Pública.</w:t>
      </w:r>
    </w:p>
    <w:p w14:paraId="730DF4D1"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De acuerdo con el Manual para la Planeación, Programación y Presupuesto de Egresos Municipal, para el Ejercicio Fiscal 2025, la definición de los Capítulos de gasto es la siguiente:</w:t>
      </w:r>
    </w:p>
    <w:p w14:paraId="7975EC02" w14:textId="77777777" w:rsidR="00DC3829" w:rsidRPr="00580FBF" w:rsidRDefault="00DC3829" w:rsidP="00DC3829">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80FBF">
        <w:rPr>
          <w:rFonts w:ascii="Palatino Linotype" w:eastAsia="Palatino Linotype" w:hAnsi="Palatino Linotype" w:cs="Palatino Linotype"/>
          <w:b/>
        </w:rPr>
        <w:t>1000 SERVICIOS PERSONALES</w:t>
      </w:r>
      <w:r w:rsidRPr="00580FBF">
        <w:rPr>
          <w:rFonts w:ascii="Palatino Linotype" w:eastAsia="Palatino Linotype" w:hAnsi="Palatino Linotype" w:cs="Palatino Linotype"/>
        </w:rPr>
        <w:t xml:space="preserve">. Agrupa las remuneraciones del personal al servicio de los entes públicos, tales como: sueldos, salarios, dietas, honorarios asimilables al salario, prestaciones y gastos de seguridad social, obligaciones laborables y otras prestaciones derivadas de una relación laboral; pudiendo ser de carácter permanente o transitorio. </w:t>
      </w:r>
    </w:p>
    <w:p w14:paraId="3BEC131F" w14:textId="77777777" w:rsidR="00DC3829" w:rsidRPr="00580FBF" w:rsidRDefault="00DC3829" w:rsidP="00DC3829">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80FBF">
        <w:rPr>
          <w:rFonts w:ascii="Palatino Linotype" w:eastAsia="Palatino Linotype" w:hAnsi="Palatino Linotype" w:cs="Palatino Linotype"/>
          <w:b/>
        </w:rPr>
        <w:t>2000 MATERIALES Y SUMINISTROS</w:t>
      </w:r>
      <w:r w:rsidRPr="00580FBF">
        <w:rPr>
          <w:rFonts w:ascii="Palatino Linotype" w:eastAsia="Palatino Linotype" w:hAnsi="Palatino Linotype" w:cs="Palatino Linotype"/>
        </w:rPr>
        <w:t xml:space="preserve">. Agrupa las asignaciones destinadas a la adquisición de toda clase de insumos y suministros requeridos para la prestación de bienes y servicios públicos y para el desempeño de las actividades administrativas. </w:t>
      </w:r>
    </w:p>
    <w:p w14:paraId="6AA6529E" w14:textId="77777777" w:rsidR="00DC3829" w:rsidRPr="00580FBF" w:rsidRDefault="00DC3829" w:rsidP="00DC3829">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80FBF">
        <w:rPr>
          <w:rFonts w:ascii="Palatino Linotype" w:eastAsia="Palatino Linotype" w:hAnsi="Palatino Linotype" w:cs="Palatino Linotype"/>
          <w:b/>
        </w:rPr>
        <w:t>3000 SERVICIOS GENERALES</w:t>
      </w:r>
      <w:r w:rsidRPr="00580FBF">
        <w:rPr>
          <w:rFonts w:ascii="Palatino Linotype" w:eastAsia="Palatino Linotype" w:hAnsi="Palatino Linotype" w:cs="Palatino Linotype"/>
        </w:rPr>
        <w:t xml:space="preserve">. Asignaciones destinadas a cubrir el costo de todo tipo de servicios que se contraten con particulares o instituciones del propio sector público; así como los servicios oficiales requeridos para el desempeño de actividades vinculadas con la función pública. </w:t>
      </w:r>
    </w:p>
    <w:p w14:paraId="09BC66BF" w14:textId="77777777" w:rsidR="00DC3829" w:rsidRPr="00580FBF" w:rsidRDefault="00DC3829" w:rsidP="00DC3829">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80FBF">
        <w:rPr>
          <w:rFonts w:ascii="Palatino Linotype" w:eastAsia="Palatino Linotype" w:hAnsi="Palatino Linotype" w:cs="Palatino Linotype"/>
          <w:b/>
        </w:rPr>
        <w:t xml:space="preserve">4000 TRANSFERENCIAS, ASIGNACIONES, SUBSIDIOS Y OTRAS AYUDAS. </w:t>
      </w:r>
      <w:r w:rsidRPr="00580FBF">
        <w:rPr>
          <w:rFonts w:ascii="Palatino Linotype" w:eastAsia="Palatino Linotype" w:hAnsi="Palatino Linotype" w:cs="Palatino Linotype"/>
        </w:rPr>
        <w:t xml:space="preserve">Asignaciones destinadas en forma directa o indirecta a los sectores público, privado y externo, organismos y empresas paraestatales y apoyos como parte de su política económica y social, de acuerdo a las estrategias y prioridades de desarrollo para el sostenimiento y desempeño de sus actividades. </w:t>
      </w:r>
    </w:p>
    <w:p w14:paraId="1BBE5DB8" w14:textId="77777777" w:rsidR="00DC3829" w:rsidRPr="00580FBF" w:rsidRDefault="00DC3829" w:rsidP="00DC3829">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80FBF">
        <w:rPr>
          <w:rFonts w:ascii="Palatino Linotype" w:eastAsia="Palatino Linotype" w:hAnsi="Palatino Linotype" w:cs="Palatino Linotype"/>
          <w:b/>
        </w:rPr>
        <w:t>5000 BIENES MUEBLES, INMUEBLES E INTANGIBLES</w:t>
      </w:r>
      <w:r w:rsidRPr="00580FBF">
        <w:rPr>
          <w:rFonts w:ascii="Palatino Linotype" w:eastAsia="Palatino Linotype" w:hAnsi="Palatino Linotype" w:cs="Palatino Linotype"/>
        </w:rPr>
        <w:t xml:space="preserve">. Agrupa las asignaciones destinadas a la adquisición de toda clase de bienes muebles e inmuebles requeridos en el desempeño de las actividades de los entes públicos. Incluye los pagos por adjudicación, expropiación e indemnización de bienes muebles e inmuebles a favor del Gobierno. </w:t>
      </w:r>
    </w:p>
    <w:p w14:paraId="711E1563" w14:textId="77777777" w:rsidR="00DC3829" w:rsidRPr="00580FBF" w:rsidRDefault="00DC3829" w:rsidP="00DC3829">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80FBF">
        <w:rPr>
          <w:rFonts w:ascii="Palatino Linotype" w:eastAsia="Palatino Linotype" w:hAnsi="Palatino Linotype" w:cs="Palatino Linotype"/>
          <w:b/>
        </w:rPr>
        <w:lastRenderedPageBreak/>
        <w:t>6000 INVERSIÓN PÚBLICA</w:t>
      </w:r>
      <w:r w:rsidRPr="00580FBF">
        <w:rPr>
          <w:rFonts w:ascii="Palatino Linotype" w:eastAsia="Palatino Linotype" w:hAnsi="Palatino Linotype" w:cs="Palatino Linotype"/>
        </w:rPr>
        <w:t xml:space="preserve">. </w:t>
      </w:r>
      <w:r w:rsidRPr="00580FBF">
        <w:rPr>
          <w:rFonts w:ascii="Palatino Linotype" w:eastAsia="Palatino Linotype" w:hAnsi="Palatino Linotype" w:cs="Palatino Linotype"/>
          <w:b/>
        </w:rPr>
        <w:t>Asignaciones destinadas a obras por contrato</w:t>
      </w:r>
      <w:r w:rsidRPr="00580FBF">
        <w:rPr>
          <w:rFonts w:ascii="Palatino Linotype" w:eastAsia="Palatino Linotype" w:hAnsi="Palatino Linotype" w:cs="Palatino Linotype"/>
        </w:rPr>
        <w:t xml:space="preserve"> y proyectos productivos y acciones de fomento. Incluye los gastos en estudios de pre‐inversión y preparación del proyecto.</w:t>
      </w:r>
    </w:p>
    <w:p w14:paraId="2A2763FD" w14:textId="77777777" w:rsidR="00DC3829" w:rsidRPr="00580FBF" w:rsidRDefault="00DC3829" w:rsidP="00DC3829">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80FBF">
        <w:rPr>
          <w:rFonts w:ascii="Palatino Linotype" w:eastAsia="Palatino Linotype" w:hAnsi="Palatino Linotype" w:cs="Palatino Linotype"/>
          <w:b/>
        </w:rPr>
        <w:t>7000 INVERSIONES FINANCIERAS Y OTRAS PROVISIONES</w:t>
      </w:r>
      <w:r w:rsidRPr="00580FBF">
        <w:rPr>
          <w:rFonts w:ascii="Palatino Linotype" w:eastAsia="Palatino Linotype" w:hAnsi="Palatino Linotype" w:cs="Palatino Linotype"/>
        </w:rPr>
        <w:t>. Erogaciones que realiza la administración pública en la adquisición de acciones, bonos y otros títulos y valores; así como en préstamos otorgados a diversos agentes económicos. Se incluyen las aportaciones de capital a las entidades públicas; así como las erogaciones contingentes e imprevistas para el cumplimiento de obligaciones del Gobierno.</w:t>
      </w:r>
    </w:p>
    <w:p w14:paraId="44339F7A" w14:textId="77777777" w:rsidR="00DC3829" w:rsidRPr="00580FBF" w:rsidRDefault="00DC3829" w:rsidP="00DC3829">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580FBF">
        <w:rPr>
          <w:rFonts w:ascii="Palatino Linotype" w:eastAsia="Palatino Linotype" w:hAnsi="Palatino Linotype" w:cs="Palatino Linotype"/>
          <w:b/>
        </w:rPr>
        <w:t>8000 PARTICIPACIONES Y APORTACIONES.</w:t>
      </w:r>
      <w:r w:rsidRPr="00580FBF">
        <w:rPr>
          <w:rFonts w:ascii="Palatino Linotype" w:eastAsia="Palatino Linotype" w:hAnsi="Palatino Linotype" w:cs="Palatino Linotype"/>
        </w:rPr>
        <w:t xml:space="preserve"> Agrupa el importe de los recursos federales y estatales para cubrir las participaciones en ingresos federales a Municipios provenientes de la recaudación federal, así como las asignaciones destinadas a los Municipios de acuerdo a los convenios de coordinación fiscal que celebre el Gobierno Federal con el Estado. Incluye las asignaciones a cubrir las aportaciones federales provenientes del Ramo General 33 Aportaciones Federales para Entidades Federativas y Municipios a favor de los Municipios. </w:t>
      </w:r>
    </w:p>
    <w:p w14:paraId="0B79D880" w14:textId="77777777" w:rsidR="00DC3829" w:rsidRPr="00580FBF" w:rsidRDefault="00DC3829" w:rsidP="00DC3829">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b/>
        </w:rPr>
      </w:pPr>
      <w:r w:rsidRPr="00580FBF">
        <w:rPr>
          <w:rFonts w:ascii="Palatino Linotype" w:eastAsia="Palatino Linotype" w:hAnsi="Palatino Linotype" w:cs="Palatino Linotype"/>
          <w:b/>
        </w:rPr>
        <w:t>9000 DEUDA PÚBLICA</w:t>
      </w:r>
      <w:r w:rsidRPr="00580FBF">
        <w:rPr>
          <w:rFonts w:ascii="Palatino Linotype" w:eastAsia="Palatino Linotype" w:hAnsi="Palatino Linotype" w:cs="Palatino Linotype"/>
        </w:rPr>
        <w:t>. Asignaciones destinadas a cubrir obligaciones por concepto de deuda pública interna y externa derivada de la contratación de empréstitos; incluye la amortización, los intereses, gastos y comisiones de la deuda pública, así como las erogaciones relacionadas con la emisión y/o contratación de deuda. Asimismo, incluye los adeudos de ejercicios fiscales anteriores (ADEFAS).</w:t>
      </w:r>
    </w:p>
    <w:p w14:paraId="5C735D6C"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Por su parte, el Código Financiero del Estado de México, en su artículo 285, señala que el presupuesto de egresos constituye el instrumento jurídico, de política económica y de política de gasto, que aprueba la Legislatura conforme a la iniciativa que presenta el Gobernador, en el cual se establece el ejercicio, control del gasto público y evaluación del desempeño de los Entes Públicos, de acuerdo con su naturaleza jurídica y según corresponda, con base en los objetivos, parámetros e indicadores de desempeño y programas </w:t>
      </w:r>
      <w:r w:rsidRPr="00580FBF">
        <w:rPr>
          <w:rFonts w:ascii="Palatino Linotype" w:eastAsia="Palatino Linotype" w:hAnsi="Palatino Linotype" w:cs="Palatino Linotype"/>
        </w:rPr>
        <w:lastRenderedPageBreak/>
        <w:t>derivados del Plan de Desarrollo del Estado de México, durante el ejercicio fiscal correspondiente y en apego a lo establecido en la legislación aplicable.}</w:t>
      </w:r>
    </w:p>
    <w:p w14:paraId="50D3D78B"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En el mismo sentido, el Manual para la Planeación, Programación y Presupuesto de Egresos Municipal para el ejercicio fiscal 2025, en el marco conceptual, numeral 1.2, define al presupuesto de la siguiente forma:</w:t>
      </w:r>
    </w:p>
    <w:p w14:paraId="6A00CB22" w14:textId="77777777" w:rsidR="00DC3829" w:rsidRPr="00580FBF" w:rsidRDefault="00DC3829" w:rsidP="00DC3829">
      <w:pPr>
        <w:spacing w:before="120" w:after="120"/>
        <w:ind w:left="567" w:right="709"/>
        <w:jc w:val="both"/>
        <w:rPr>
          <w:rFonts w:ascii="Palatino Linotype" w:eastAsia="Palatino Linotype" w:hAnsi="Palatino Linotype" w:cs="Palatino Linotype"/>
          <w:b/>
          <w:i/>
        </w:rPr>
      </w:pPr>
      <w:r w:rsidRPr="00580FBF">
        <w:rPr>
          <w:rFonts w:ascii="Palatino Linotype" w:eastAsia="Palatino Linotype" w:hAnsi="Palatino Linotype" w:cs="Palatino Linotype"/>
          <w:i/>
        </w:rPr>
        <w:t xml:space="preserve">“Con base en lo que establece el artículo 285 del Código Financiero del Estado de México y Municipios, el </w:t>
      </w:r>
      <w:r w:rsidRPr="00580FBF">
        <w:rPr>
          <w:rFonts w:ascii="Palatino Linotype" w:eastAsia="Palatino Linotype" w:hAnsi="Palatino Linotype" w:cs="Palatino Linotype"/>
          <w:b/>
          <w:i/>
        </w:rPr>
        <w:t>Presupuesto de Egresos Municipal</w:t>
      </w:r>
      <w:r w:rsidRPr="00580FBF">
        <w:rPr>
          <w:rFonts w:ascii="Palatino Linotype" w:eastAsia="Palatino Linotype" w:hAnsi="Palatino Linotype" w:cs="Palatino Linotype"/>
          <w:i/>
        </w:rPr>
        <w:t xml:space="preserve"> se conceptualiza como </w:t>
      </w:r>
      <w:r w:rsidRPr="00580FBF">
        <w:rPr>
          <w:rFonts w:ascii="Palatino Linotype" w:eastAsia="Palatino Linotype" w:hAnsi="Palatino Linotype" w:cs="Palatino Linotype"/>
          <w:b/>
          <w:i/>
        </w:rPr>
        <w:t>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(PDM),</w:t>
      </w:r>
      <w:r w:rsidRPr="00580FBF">
        <w:rPr>
          <w:rFonts w:ascii="Palatino Linotype" w:eastAsia="Palatino Linotype" w:hAnsi="Palatino Linotype" w:cs="Palatino Linotype"/>
          <w:i/>
        </w:rPr>
        <w:t xml:space="preserve"> </w:t>
      </w:r>
      <w:r w:rsidRPr="00580FBF">
        <w:rPr>
          <w:rFonts w:ascii="Palatino Linotype" w:eastAsia="Palatino Linotype" w:hAnsi="Palatino Linotype" w:cs="Palatino Linotype"/>
          <w:b/>
          <w:i/>
        </w:rPr>
        <w:t xml:space="preserve">durante el ejercicio fiscal correspondiente. </w:t>
      </w:r>
    </w:p>
    <w:p w14:paraId="3B7DB6D0" w14:textId="77777777" w:rsidR="00DC3829" w:rsidRPr="00580FBF" w:rsidRDefault="00DC3829" w:rsidP="00DC3829">
      <w:pPr>
        <w:spacing w:before="120" w:after="120"/>
        <w:ind w:left="567" w:right="709"/>
        <w:jc w:val="both"/>
        <w:rPr>
          <w:rFonts w:ascii="Palatino Linotype" w:eastAsia="Palatino Linotype" w:hAnsi="Palatino Linotype" w:cs="Palatino Linotype"/>
          <w:i/>
        </w:rPr>
      </w:pPr>
      <w:r w:rsidRPr="00580FBF">
        <w:rPr>
          <w:rFonts w:ascii="Palatino Linotype" w:eastAsia="Palatino Linotype" w:hAnsi="Palatino Linotype" w:cs="Palatino Linotype"/>
          <w:i/>
        </w:rPr>
        <w:t xml:space="preserve">Para efecto de este Manual, </w:t>
      </w:r>
      <w:r w:rsidRPr="00580FBF">
        <w:rPr>
          <w:rFonts w:ascii="Palatino Linotype" w:eastAsia="Palatino Linotype" w:hAnsi="Palatino Linotype" w:cs="Palatino Linotype"/>
          <w:b/>
          <w:i/>
        </w:rPr>
        <w:t xml:space="preserve">el presupuesto es la estimación financiera anticipada, generalmente anual, de los ingresos y egresos del gobierno, necesarios para cumplir con los objetivos establecidos en los planes, programas y proyectos determinados. </w:t>
      </w:r>
      <w:r w:rsidRPr="00580FBF">
        <w:rPr>
          <w:rFonts w:ascii="Palatino Linotype" w:eastAsia="Palatino Linotype" w:hAnsi="Palatino Linotype" w:cs="Palatino Linotype"/>
          <w:i/>
        </w:rPr>
        <w:t xml:space="preserve">Asimismo, constituye el instrumento operativo básico para la ejecución de las decisiones de política económica y de planeación. </w:t>
      </w:r>
      <w:r w:rsidRPr="00580FBF">
        <w:rPr>
          <w:rFonts w:ascii="Palatino Linotype" w:eastAsia="Palatino Linotype" w:hAnsi="Palatino Linotype" w:cs="Palatino Linotype"/>
          <w:b/>
          <w:i/>
        </w:rPr>
        <w:t>El presupuesto público involucra los planes, políticas, programas, proyectos, estrategias y objetivos del municipio, como medio efectivo de control del gasto público y en ellos se fundamentan las diferentes alternativas de asignación de recursos para gastos e inversiones</w:t>
      </w:r>
      <w:r w:rsidRPr="00580FBF">
        <w:rPr>
          <w:rFonts w:ascii="Palatino Linotype" w:eastAsia="Palatino Linotype" w:hAnsi="Palatino Linotype" w:cs="Palatino Linotype"/>
          <w:i/>
        </w:rPr>
        <w:t>.”</w:t>
      </w:r>
    </w:p>
    <w:p w14:paraId="60DB0CC6"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Asimismo, resulta pertinente señalar que, de conformidad con el Manual para la Planeación, Programación y Presupuesto de Egresos Municipal, los formatos que integran el presupuesto de egresos municipal son los siguientes: </w:t>
      </w:r>
    </w:p>
    <w:p w14:paraId="4E85DF25" w14:textId="77777777" w:rsidR="00DC3829" w:rsidRDefault="00DC3829" w:rsidP="00DC3829">
      <w:pPr>
        <w:pBdr>
          <w:top w:val="nil"/>
          <w:left w:val="nil"/>
          <w:bottom w:val="nil"/>
          <w:right w:val="nil"/>
          <w:between w:val="nil"/>
        </w:pBdr>
        <w:spacing w:before="240" w:after="240" w:line="360" w:lineRule="auto"/>
        <w:ind w:right="27"/>
        <w:jc w:val="center"/>
        <w:rPr>
          <w:rFonts w:ascii="Palatino Linotype" w:eastAsia="Palatino Linotype" w:hAnsi="Palatino Linotype" w:cs="Palatino Linotype"/>
        </w:rPr>
      </w:pPr>
      <w:r w:rsidRPr="00580FBF">
        <w:rPr>
          <w:rFonts w:ascii="Palatino Linotype" w:hAnsi="Palatino Linotype"/>
          <w:noProof/>
        </w:rPr>
        <w:lastRenderedPageBreak/>
        <w:drawing>
          <wp:inline distT="0" distB="0" distL="0" distR="0" wp14:anchorId="55613ECD" wp14:editId="0EB3195D">
            <wp:extent cx="4320000" cy="3503743"/>
            <wp:effectExtent l="0" t="0" r="4445" b="1905"/>
            <wp:docPr id="20548258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25869" name=""/>
                    <pic:cNvPicPr/>
                  </pic:nvPicPr>
                  <pic:blipFill>
                    <a:blip r:embed="rId8"/>
                    <a:stretch>
                      <a:fillRect/>
                    </a:stretch>
                  </pic:blipFill>
                  <pic:spPr>
                    <a:xfrm>
                      <a:off x="0" y="0"/>
                      <a:ext cx="4320000" cy="3503743"/>
                    </a:xfrm>
                    <a:prstGeom prst="rect">
                      <a:avLst/>
                    </a:prstGeom>
                  </pic:spPr>
                </pic:pic>
              </a:graphicData>
            </a:graphic>
          </wp:inline>
        </w:drawing>
      </w:r>
    </w:p>
    <w:p w14:paraId="61B1F3CF" w14:textId="77777777" w:rsidR="00580FBF" w:rsidRPr="00580FBF" w:rsidRDefault="00580FBF" w:rsidP="00DC3829">
      <w:pPr>
        <w:pBdr>
          <w:top w:val="nil"/>
          <w:left w:val="nil"/>
          <w:bottom w:val="nil"/>
          <w:right w:val="nil"/>
          <w:between w:val="nil"/>
        </w:pBdr>
        <w:spacing w:before="240" w:after="240" w:line="360" w:lineRule="auto"/>
        <w:ind w:right="27"/>
        <w:jc w:val="center"/>
        <w:rPr>
          <w:rFonts w:ascii="Palatino Linotype" w:eastAsia="Palatino Linotype" w:hAnsi="Palatino Linotype" w:cs="Palatino Linotype"/>
        </w:rPr>
      </w:pPr>
    </w:p>
    <w:p w14:paraId="00CE78C5"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Para iniciar con el llenado de los formatos que integran el Programa Anual se deberá llenar el formato </w:t>
      </w:r>
      <w:r w:rsidRPr="00580FBF">
        <w:rPr>
          <w:rFonts w:ascii="Palatino Linotype" w:eastAsia="Palatino Linotype" w:hAnsi="Palatino Linotype" w:cs="Palatino Linotype"/>
          <w:b/>
          <w:bCs/>
        </w:rPr>
        <w:t>PbRM-01a “Dimensión Administrativa del Gasto”,</w:t>
      </w:r>
      <w:r w:rsidRPr="00580FBF">
        <w:rPr>
          <w:rFonts w:ascii="Palatino Linotype" w:eastAsia="Palatino Linotype" w:hAnsi="Palatino Linotype" w:cs="Palatino Linotype"/>
        </w:rPr>
        <w:t xml:space="preserve"> el cual tiene como propósito identificar a nivel de estructura administrativa los programas y proyectos de los cuales se responsabiliza cada una de las Dependencias y Organismos municipales, se continua con el llenado del formato </w:t>
      </w:r>
      <w:r w:rsidRPr="00580FBF">
        <w:rPr>
          <w:rFonts w:ascii="Palatino Linotype" w:eastAsia="Palatino Linotype" w:hAnsi="Palatino Linotype" w:cs="Palatino Linotype"/>
          <w:b/>
          <w:bCs/>
        </w:rPr>
        <w:t>PbRM-01b “Descripción del Programa presupuestario”</w:t>
      </w:r>
      <w:r w:rsidRPr="00580FBF">
        <w:rPr>
          <w:rFonts w:ascii="Palatino Linotype" w:eastAsia="Palatino Linotype" w:hAnsi="Palatino Linotype" w:cs="Palatino Linotype"/>
        </w:rPr>
        <w:t>, mismo que tiene como propósito, identificar el diagnóstico del entorno de responsabilidad del programa respectivo para sustentar y justificar la asignación del presupuesto del ejercicio fiscal 2025, definir los objetivos que se pretenden alcanzar y establecer las estrategias que serán aplicadas para dar viabilidad al logro de dichos objetivos.</w:t>
      </w:r>
    </w:p>
    <w:p w14:paraId="0BFBC761"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lastRenderedPageBreak/>
        <w:t xml:space="preserve">El formato </w:t>
      </w:r>
      <w:r w:rsidRPr="00580FBF">
        <w:rPr>
          <w:rFonts w:ascii="Palatino Linotype" w:eastAsia="Palatino Linotype" w:hAnsi="Palatino Linotype" w:cs="Palatino Linotype"/>
          <w:b/>
          <w:bCs/>
        </w:rPr>
        <w:t>PbRM-01c “Programa Anual de Metas de actividad por Proyecto”,</w:t>
      </w:r>
      <w:r w:rsidRPr="00580FBF">
        <w:rPr>
          <w:rFonts w:ascii="Palatino Linotype" w:eastAsia="Palatino Linotype" w:hAnsi="Palatino Linotype" w:cs="Palatino Linotype"/>
        </w:rPr>
        <w:t xml:space="preserve"> tiene como propósito establecer las acciones sustantivas para cada proyecto, mismas que deberán reflejar la diferencia entre el cumplimiento alcanzado durante el ejercicio fiscal 2024 y las cifras programadas que se estimen alcanzar en el ejercicio 2025.</w:t>
      </w:r>
    </w:p>
    <w:p w14:paraId="551C955A"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formato </w:t>
      </w:r>
      <w:r w:rsidRPr="00580FBF">
        <w:rPr>
          <w:rFonts w:ascii="Palatino Linotype" w:eastAsia="Palatino Linotype" w:hAnsi="Palatino Linotype" w:cs="Palatino Linotype"/>
          <w:b/>
          <w:bCs/>
        </w:rPr>
        <w:t>PbRM-01d “Ficha técnica de diseño de indicadores estratégicos o de gestión 2025”</w:t>
      </w:r>
      <w:r w:rsidRPr="00580FBF">
        <w:rPr>
          <w:rFonts w:ascii="Palatino Linotype" w:eastAsia="Palatino Linotype" w:hAnsi="Palatino Linotype" w:cs="Palatino Linotype"/>
        </w:rPr>
        <w:t xml:space="preserve">, tiene como finalidad el registro de los indicadores de gestión que se manejan en el SEGEMUN, mismos que deberán estar vinculados directamente a las metas programadas en el formato </w:t>
      </w:r>
      <w:r w:rsidRPr="00580FBF">
        <w:rPr>
          <w:rFonts w:ascii="Palatino Linotype" w:eastAsia="Palatino Linotype" w:hAnsi="Palatino Linotype" w:cs="Palatino Linotype"/>
          <w:b/>
          <w:bCs/>
        </w:rPr>
        <w:t>PbRM-01e “Matriz de Indicadores para Resultados por Programa presupuestario y Dependencia General”.</w:t>
      </w:r>
      <w:r w:rsidRPr="00580FBF">
        <w:rPr>
          <w:rFonts w:ascii="Palatino Linotype" w:eastAsia="Palatino Linotype" w:hAnsi="Palatino Linotype" w:cs="Palatino Linotype"/>
        </w:rPr>
        <w:t xml:space="preserve"> Estos indicadores están alineados a nivel estratégico o de gestión. El formato PbRM-01e tiene relación con el formato PbRM-01d, ya que su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 2025.</w:t>
      </w:r>
    </w:p>
    <w:p w14:paraId="449A7D1E"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formato </w:t>
      </w:r>
      <w:r w:rsidRPr="00580FBF">
        <w:rPr>
          <w:rFonts w:ascii="Palatino Linotype" w:eastAsia="Palatino Linotype" w:hAnsi="Palatino Linotype" w:cs="Palatino Linotype"/>
          <w:b/>
          <w:bCs/>
        </w:rPr>
        <w:t>PbRM-02a “Calendarización de metas de actividad”,</w:t>
      </w:r>
      <w:r w:rsidRPr="00580FBF">
        <w:rPr>
          <w:rFonts w:ascii="Palatino Linotype" w:eastAsia="Palatino Linotype" w:hAnsi="Palatino Linotype" w:cs="Palatino Linotype"/>
        </w:rPr>
        <w:t xml:space="preserve"> tiene por objeto identificar trimestralmente la ejecución de la meta anual, la cual proviene del formato PbRM-01c, con el propósito de dar seguimiento a lo programado y tomar en su caso las medidas correctivas para evitar su desviación.</w:t>
      </w:r>
    </w:p>
    <w:p w14:paraId="75BEBAC4"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En el formato </w:t>
      </w:r>
      <w:r w:rsidRPr="00580FBF">
        <w:rPr>
          <w:rFonts w:ascii="Palatino Linotype" w:eastAsia="Palatino Linotype" w:hAnsi="Palatino Linotype" w:cs="Palatino Linotype"/>
          <w:b/>
          <w:bCs/>
        </w:rPr>
        <w:t xml:space="preserve">PbRM-03a“Presupuesto de Ingresos Detallado”, </w:t>
      </w:r>
      <w:r w:rsidRPr="00580FBF">
        <w:rPr>
          <w:rFonts w:ascii="Palatino Linotype" w:eastAsia="Palatino Linotype" w:hAnsi="Palatino Linotype" w:cs="Palatino Linotype"/>
        </w:rPr>
        <w:t>se deben</w:t>
      </w:r>
      <w:r w:rsidRPr="00580FBF">
        <w:rPr>
          <w:rFonts w:ascii="Palatino Linotype" w:eastAsia="Palatino Linotype" w:hAnsi="Palatino Linotype" w:cs="Palatino Linotype"/>
          <w:b/>
          <w:bCs/>
        </w:rPr>
        <w:t xml:space="preserve"> </w:t>
      </w:r>
      <w:r w:rsidRPr="00580FBF">
        <w:rPr>
          <w:rFonts w:ascii="Palatino Linotype" w:eastAsia="Palatino Linotype" w:hAnsi="Palatino Linotype" w:cs="Palatino Linotype"/>
        </w:rPr>
        <w:t>registrar los ingresos que se estiman recaudar para el siguiente ejercicio, antes de la publicación de la Ley de Ingresos, Participaciones Federales y Programas Federales y Estatales, el cual servirá como base para comunicar los techos financieros a cada una de las Dependencias Generales.</w:t>
      </w:r>
    </w:p>
    <w:p w14:paraId="310FED5C"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lastRenderedPageBreak/>
        <w:t xml:space="preserve">El formato </w:t>
      </w:r>
      <w:r w:rsidRPr="00580FBF">
        <w:rPr>
          <w:rFonts w:ascii="Palatino Linotype" w:eastAsia="Palatino Linotype" w:hAnsi="Palatino Linotype" w:cs="Palatino Linotype"/>
          <w:b/>
          <w:bCs/>
        </w:rPr>
        <w:t>PbRM-03b “Carátula de Presupuesto de Ingresos”</w:t>
      </w:r>
      <w:r w:rsidRPr="00580FBF">
        <w:rPr>
          <w:rFonts w:ascii="Palatino Linotype" w:eastAsia="Palatino Linotype" w:hAnsi="Palatino Linotype" w:cs="Palatino Linotype"/>
        </w:rPr>
        <w:t xml:space="preserve"> tiene por objeto presentar a nivel capítulo el total del Presupuesto Autorizado de Ingresos del Municipio para el ejercicio presupuestal. El cual se integra con los datos globales del formato PbRM 03a Ingreso detallado.</w:t>
      </w:r>
    </w:p>
    <w:p w14:paraId="4B11BB83"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En el formato</w:t>
      </w:r>
      <w:r w:rsidRPr="00580FBF">
        <w:rPr>
          <w:rFonts w:ascii="Palatino Linotype" w:eastAsia="Palatino Linotype" w:hAnsi="Palatino Linotype" w:cs="Palatino Linotype"/>
          <w:b/>
          <w:bCs/>
        </w:rPr>
        <w:t xml:space="preserve"> PbRM-04a “Presupuesto de Egresos Detallado" </w:t>
      </w:r>
      <w:r w:rsidRPr="00580FBF">
        <w:rPr>
          <w:rFonts w:ascii="Palatino Linotype" w:eastAsia="Palatino Linotype" w:hAnsi="Palatino Linotype" w:cs="Palatino Linotype"/>
        </w:rPr>
        <w:t>se identificar el gasto total según el clasificador por objeto del gasto y su programación durante el ejercicio presupuestal correspondiente.</w:t>
      </w:r>
    </w:p>
    <w:p w14:paraId="0253694F"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Formato </w:t>
      </w:r>
      <w:r w:rsidRPr="00580FBF">
        <w:rPr>
          <w:rFonts w:ascii="Palatino Linotype" w:eastAsia="Palatino Linotype" w:hAnsi="Palatino Linotype" w:cs="Palatino Linotype"/>
          <w:b/>
          <w:bCs/>
        </w:rPr>
        <w:t>PbRM-04b “Presupuesto de Egresos por Objeto del Gasto y Dependencia General”</w:t>
      </w:r>
      <w:r w:rsidRPr="00580FBF">
        <w:rPr>
          <w:rFonts w:ascii="Palatino Linotype" w:eastAsia="Palatino Linotype" w:hAnsi="Palatino Linotype" w:cs="Palatino Linotype"/>
        </w:rPr>
        <w:t xml:space="preserve"> identifica del gasto a nivel de dependencia general por partida del gasto, con calendarización mensual y total anual.</w:t>
      </w:r>
    </w:p>
    <w:p w14:paraId="54FBB192"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En el formato </w:t>
      </w:r>
      <w:r w:rsidRPr="00580FBF">
        <w:rPr>
          <w:rFonts w:ascii="Palatino Linotype" w:eastAsia="Palatino Linotype" w:hAnsi="Palatino Linotype" w:cs="Palatino Linotype"/>
          <w:b/>
          <w:bCs/>
        </w:rPr>
        <w:t>PbRM-04c Presupuesto de Egresos Global Calendarizado</w:t>
      </w:r>
      <w:r w:rsidRPr="00580FBF">
        <w:rPr>
          <w:rFonts w:ascii="Palatino Linotype" w:eastAsia="Palatino Linotype" w:hAnsi="Palatino Linotype" w:cs="Palatino Linotype"/>
        </w:rPr>
        <w:t xml:space="preserve"> se identifica el gasto total según el clasificador por objeto del gasto y su programación durante todo el ejercicio presupuestal.</w:t>
      </w:r>
    </w:p>
    <w:p w14:paraId="56D81EE2"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En el </w:t>
      </w:r>
      <w:r w:rsidRPr="00580FBF">
        <w:rPr>
          <w:rFonts w:ascii="Palatino Linotype" w:eastAsia="Palatino Linotype" w:hAnsi="Palatino Linotype" w:cs="Palatino Linotype"/>
          <w:b/>
          <w:bCs/>
        </w:rPr>
        <w:t xml:space="preserve">formato PbRM-04d “Carátula de presupuesto de egresos” </w:t>
      </w:r>
      <w:r w:rsidRPr="00580FBF">
        <w:rPr>
          <w:rFonts w:ascii="Palatino Linotype" w:eastAsia="Palatino Linotype" w:hAnsi="Palatino Linotype" w:cs="Palatino Linotype"/>
        </w:rPr>
        <w:t>se</w:t>
      </w:r>
      <w:r w:rsidRPr="00580FBF">
        <w:rPr>
          <w:rFonts w:ascii="Palatino Linotype" w:eastAsia="Palatino Linotype" w:hAnsi="Palatino Linotype" w:cs="Palatino Linotype"/>
          <w:b/>
          <w:bCs/>
        </w:rPr>
        <w:t xml:space="preserve"> </w:t>
      </w:r>
      <w:r w:rsidRPr="00580FBF">
        <w:rPr>
          <w:rFonts w:ascii="Palatino Linotype" w:eastAsia="Palatino Linotype" w:hAnsi="Palatino Linotype" w:cs="Palatino Linotype"/>
        </w:rPr>
        <w:t>presenta a nivel capítulo, el total del Presupuesto Autorizado de Egresos del Municipio para el ejercicio presupuestal que se proyectará tomando como antecedente los dos ejercicios anteriores.</w:t>
      </w:r>
    </w:p>
    <w:p w14:paraId="3C25A3B6"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formato </w:t>
      </w:r>
      <w:r w:rsidRPr="00580FBF">
        <w:rPr>
          <w:rFonts w:ascii="Palatino Linotype" w:eastAsia="Palatino Linotype" w:hAnsi="Palatino Linotype" w:cs="Palatino Linotype"/>
          <w:b/>
          <w:bCs/>
        </w:rPr>
        <w:t>PbRM-05 “Tabulador de Sueldos Formato</w:t>
      </w:r>
      <w:r w:rsidRPr="00580FBF">
        <w:rPr>
          <w:rFonts w:ascii="Palatino Linotype" w:eastAsia="Palatino Linotype" w:hAnsi="Palatino Linotype" w:cs="Palatino Linotype"/>
        </w:rPr>
        <w:t>” registrar las remuneraciones que se perciben por el empleo, cargo o comisión de cualquier naturaleza por los servidores públicos municipales.</w:t>
      </w:r>
    </w:p>
    <w:p w14:paraId="0B064E45"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El formato</w:t>
      </w:r>
      <w:r w:rsidRPr="00580FBF">
        <w:rPr>
          <w:rFonts w:ascii="Palatino Linotype" w:eastAsia="Palatino Linotype" w:hAnsi="Palatino Linotype" w:cs="Palatino Linotype"/>
          <w:b/>
          <w:bCs/>
        </w:rPr>
        <w:t xml:space="preserve"> PbRM-06 “Programa Anual de Adquisiciones”, </w:t>
      </w:r>
      <w:r w:rsidRPr="00580FBF">
        <w:rPr>
          <w:rFonts w:ascii="Palatino Linotype" w:eastAsia="Palatino Linotype" w:hAnsi="Palatino Linotype" w:cs="Palatino Linotype"/>
        </w:rPr>
        <w:t xml:space="preserve">describe de manera precisa a nivel de capítulo, concepto, partida genérica y partida específica presupuestal, el gasto que el ayuntamiento realice por concepto de adquisiciones directas a nivel de proyecto, </w:t>
      </w:r>
      <w:r w:rsidRPr="00580FBF">
        <w:rPr>
          <w:rFonts w:ascii="Palatino Linotype" w:eastAsia="Palatino Linotype" w:hAnsi="Palatino Linotype" w:cs="Palatino Linotype"/>
        </w:rPr>
        <w:lastRenderedPageBreak/>
        <w:t>los capítulos que básicamente se plasmarán en este formato son los referidos a Materiales y Suministros, Servicios Generales y Bienes Muebles, Inmuebles e Intangibles.</w:t>
      </w:r>
    </w:p>
    <w:p w14:paraId="0BF555AE"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El formato </w:t>
      </w:r>
      <w:r w:rsidRPr="00580FBF">
        <w:rPr>
          <w:rFonts w:ascii="Palatino Linotype" w:eastAsia="Palatino Linotype" w:hAnsi="Palatino Linotype" w:cs="Palatino Linotype"/>
          <w:b/>
          <w:bCs/>
        </w:rPr>
        <w:t>PbRM-07a</w:t>
      </w:r>
      <w:r w:rsidRPr="00580FBF">
        <w:rPr>
          <w:rFonts w:ascii="Palatino Linotype" w:eastAsia="Palatino Linotype" w:hAnsi="Palatino Linotype" w:cs="Palatino Linotype"/>
        </w:rPr>
        <w:t xml:space="preserve"> “</w:t>
      </w:r>
      <w:r w:rsidRPr="00580FBF">
        <w:rPr>
          <w:rFonts w:ascii="Palatino Linotype" w:eastAsia="Palatino Linotype" w:hAnsi="Palatino Linotype" w:cs="Palatino Linotype"/>
          <w:b/>
          <w:bCs/>
        </w:rPr>
        <w:t xml:space="preserve">Programa Anual de Obra” </w:t>
      </w:r>
      <w:r w:rsidRPr="00580FBF">
        <w:rPr>
          <w:rFonts w:ascii="Palatino Linotype" w:eastAsia="Palatino Linotype" w:hAnsi="Palatino Linotype" w:cs="Palatino Linotype"/>
        </w:rPr>
        <w:t>especifica de manera precisa el período de ejecución y presupuesto ejercido de la obra pública de que se trate; así como la fuente de financiamiento con la que ésta se llevará a cabo.</w:t>
      </w:r>
    </w:p>
    <w:p w14:paraId="5DE4B8EB"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El formato</w:t>
      </w:r>
      <w:r w:rsidRPr="00580FBF">
        <w:rPr>
          <w:rFonts w:ascii="Palatino Linotype" w:eastAsia="Palatino Linotype" w:hAnsi="Palatino Linotype" w:cs="Palatino Linotype"/>
          <w:b/>
          <w:bCs/>
        </w:rPr>
        <w:t xml:space="preserve"> </w:t>
      </w:r>
      <w:r w:rsidRPr="00580FBF">
        <w:rPr>
          <w:rFonts w:ascii="Palatino Linotype" w:eastAsia="Palatino Linotype" w:hAnsi="Palatino Linotype" w:cs="Palatino Linotype"/>
        </w:rPr>
        <w:t>especifica de manera precisa el periodo de ejecución y el presupuesto que destina el ayuntamiento por concepto de Reparaciones y Mantenimiento; así como la fuente de financiamiento con la que ésta se llevará a cabo.</w:t>
      </w:r>
    </w:p>
    <w:p w14:paraId="2A96FEDE"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Además de lo anterior, es oportuno mencionar que el “Clasificador por objeto del gasto” contenido en el Manual para la Planeación, Programación y Presupuesto de Egresos Municipal, constituye un elemento fundamental del sistema general de cuentas donde cada componente destaca aspectos concretos del presupuesto y suministra información que atiende a necesidades diferentes pero enlazadas, permitiendo el vínculo con la contabilidad, es decir, que se trata de un instrumento que permite la obtención de información para el análisis y seguimiento de la gestión financiera gubernamental, por lo cual permite conocer en qué se gasta y cuantificar la demanda de bienes o servicios.</w:t>
      </w:r>
    </w:p>
    <w:p w14:paraId="7DBC48E9" w14:textId="77777777" w:rsidR="00DC3829" w:rsidRPr="00580FBF" w:rsidRDefault="00DC3829" w:rsidP="00DC3829">
      <w:pPr>
        <w:pStyle w:val="Prrafodelista"/>
        <w:numPr>
          <w:ilvl w:val="0"/>
          <w:numId w:val="3"/>
        </w:numPr>
        <w:pBdr>
          <w:top w:val="nil"/>
          <w:left w:val="nil"/>
          <w:bottom w:val="nil"/>
          <w:right w:val="nil"/>
          <w:between w:val="nil"/>
        </w:pBdr>
        <w:spacing w:before="240" w:after="24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La estructura del Clasificador, según lo previsto en el anexo del Manual, fue diseñada con un nivel de desagregación que permite que sus cuentas faciliten el registro único de todas las transacciones con incidencia económica – financiera, es por ello que la armonización se realiza a tercer digito que corresponde a la partida genérica, dejando en poder de las entidades federativas la desagregación e identificación de la partida específica, dando origen a la siguiente estructura de codificación:</w:t>
      </w:r>
    </w:p>
    <w:p w14:paraId="3B4610AD" w14:textId="77777777" w:rsidR="00DC3829" w:rsidRPr="00580FBF" w:rsidRDefault="00DC3829" w:rsidP="00DC3829">
      <w:pPr>
        <w:spacing w:before="280" w:after="280" w:line="360" w:lineRule="auto"/>
        <w:ind w:right="27"/>
        <w:jc w:val="both"/>
        <w:rPr>
          <w:rFonts w:ascii="Palatino Linotype" w:eastAsia="Palatino Linotype" w:hAnsi="Palatino Linotype" w:cs="Palatino Linotype"/>
        </w:rPr>
      </w:pPr>
      <w:r w:rsidRPr="00580FBF">
        <w:rPr>
          <w:rFonts w:ascii="Palatino Linotype" w:hAnsi="Palatino Linotype"/>
          <w:noProof/>
        </w:rPr>
        <w:lastRenderedPageBreak/>
        <w:drawing>
          <wp:inline distT="0" distB="0" distL="0" distR="0" wp14:anchorId="07E0C4ED" wp14:editId="54EF7E28">
            <wp:extent cx="5612130" cy="1223010"/>
            <wp:effectExtent l="0" t="0" r="7620" b="0"/>
            <wp:docPr id="304975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75734" name=""/>
                    <pic:cNvPicPr/>
                  </pic:nvPicPr>
                  <pic:blipFill>
                    <a:blip r:embed="rId9"/>
                    <a:stretch>
                      <a:fillRect/>
                    </a:stretch>
                  </pic:blipFill>
                  <pic:spPr>
                    <a:xfrm>
                      <a:off x="0" y="0"/>
                      <a:ext cx="5612130" cy="1223010"/>
                    </a:xfrm>
                    <a:prstGeom prst="rect">
                      <a:avLst/>
                    </a:prstGeom>
                  </pic:spPr>
                </pic:pic>
              </a:graphicData>
            </a:graphic>
          </wp:inline>
        </w:drawing>
      </w:r>
    </w:p>
    <w:p w14:paraId="09FA8468" w14:textId="77777777" w:rsidR="00DC3829" w:rsidRPr="00580FBF" w:rsidRDefault="00DC3829" w:rsidP="00DC3829">
      <w:pPr>
        <w:pStyle w:val="Prrafodelista"/>
        <w:numPr>
          <w:ilvl w:val="0"/>
          <w:numId w:val="3"/>
        </w:numPr>
        <w:spacing w:before="280" w:after="28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Debiendo definir cada una de las partes que lo integran como sigue:</w:t>
      </w:r>
    </w:p>
    <w:p w14:paraId="6AB64F2A" w14:textId="77777777" w:rsidR="00DC3829" w:rsidRPr="00580FBF" w:rsidRDefault="00DC3829" w:rsidP="00DC3829">
      <w:pPr>
        <w:numPr>
          <w:ilvl w:val="0"/>
          <w:numId w:val="19"/>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580FBF">
        <w:rPr>
          <w:rFonts w:ascii="Palatino Linotype" w:eastAsia="Palatino Linotype" w:hAnsi="Palatino Linotype" w:cs="Palatino Linotype"/>
          <w:b/>
        </w:rPr>
        <w:t>Capítulo:</w:t>
      </w:r>
      <w:r w:rsidRPr="00580FBF">
        <w:rPr>
          <w:rFonts w:ascii="Palatino Linotype" w:eastAsia="Palatino Linotype" w:hAnsi="Palatino Linotype" w:cs="Palatino Linotype"/>
        </w:rPr>
        <w:t xml:space="preserve"> Es el mayor nivel de agregación que identifica el conjunto homogéneo y ordenado de los bienes y servicios requeridos por los entes públicos. </w:t>
      </w:r>
    </w:p>
    <w:p w14:paraId="6F07DFBD" w14:textId="77777777" w:rsidR="00DC3829" w:rsidRPr="00580FBF" w:rsidRDefault="00DC3829" w:rsidP="00DC3829">
      <w:pPr>
        <w:numPr>
          <w:ilvl w:val="0"/>
          <w:numId w:val="19"/>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580FBF">
        <w:rPr>
          <w:rFonts w:ascii="Palatino Linotype" w:eastAsia="Palatino Linotype" w:hAnsi="Palatino Linotype" w:cs="Palatino Linotype"/>
          <w:b/>
        </w:rPr>
        <w:t>Concepto:</w:t>
      </w:r>
      <w:r w:rsidRPr="00580FBF">
        <w:rPr>
          <w:rFonts w:ascii="Palatino Linotype" w:eastAsia="Palatino Linotype" w:hAnsi="Palatino Linotype" w:cs="Palatino Linotype"/>
        </w:rPr>
        <w:t xml:space="preserve"> Son subconjuntos homogéneos y ordenados en forma específica, producto de la desagregación de los bienes y servicios, incluidos en cada capítulo. </w:t>
      </w:r>
    </w:p>
    <w:p w14:paraId="1C1F3B91" w14:textId="77777777" w:rsidR="00DC3829" w:rsidRPr="00580FBF" w:rsidRDefault="00DC3829" w:rsidP="00DC3829">
      <w:pPr>
        <w:numPr>
          <w:ilvl w:val="0"/>
          <w:numId w:val="19"/>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580FBF">
        <w:rPr>
          <w:rFonts w:ascii="Palatino Linotype" w:eastAsia="Palatino Linotype" w:hAnsi="Palatino Linotype" w:cs="Palatino Linotype"/>
          <w:b/>
        </w:rPr>
        <w:t>Partida:</w:t>
      </w:r>
      <w:r w:rsidRPr="00580FBF">
        <w:rPr>
          <w:rFonts w:ascii="Palatino Linotype" w:eastAsia="Palatino Linotype" w:hAnsi="Palatino Linotype" w:cs="Palatino Linotype"/>
        </w:rPr>
        <w:t xml:space="preserve"> Es el nivel de agregación más específico en el cual se describen las expresiones concretas y detalladas de los bienes y servicios que se adquieren y se compone de: </w:t>
      </w:r>
    </w:p>
    <w:p w14:paraId="753CDE59" w14:textId="77777777" w:rsidR="00DC3829" w:rsidRPr="00580FBF" w:rsidRDefault="00DC3829" w:rsidP="00DC3829">
      <w:pPr>
        <w:numPr>
          <w:ilvl w:val="0"/>
          <w:numId w:val="20"/>
        </w:numPr>
        <w:pBdr>
          <w:top w:val="nil"/>
          <w:left w:val="nil"/>
          <w:bottom w:val="nil"/>
          <w:right w:val="nil"/>
          <w:between w:val="nil"/>
        </w:pBdr>
        <w:tabs>
          <w:tab w:val="left" w:pos="851"/>
        </w:tabs>
        <w:spacing w:before="120" w:line="360" w:lineRule="auto"/>
        <w:ind w:left="567" w:right="27" w:firstLine="0"/>
        <w:jc w:val="both"/>
        <w:rPr>
          <w:rFonts w:ascii="Palatino Linotype" w:eastAsia="Palatino Linotype" w:hAnsi="Palatino Linotype" w:cs="Palatino Linotype"/>
        </w:rPr>
      </w:pPr>
      <w:r w:rsidRPr="00580FBF">
        <w:rPr>
          <w:rFonts w:ascii="Palatino Linotype" w:eastAsia="Palatino Linotype" w:hAnsi="Palatino Linotype" w:cs="Palatino Linotype"/>
          <w:b/>
        </w:rPr>
        <w:t>La Partida Genérica</w:t>
      </w:r>
      <w:r w:rsidRPr="00580FBF">
        <w:rPr>
          <w:rFonts w:ascii="Palatino Linotype" w:eastAsia="Palatino Linotype" w:hAnsi="Palatino Linotype" w:cs="Palatino Linotype"/>
        </w:rPr>
        <w:t xml:space="preserve"> se refiere al tercer dígito, el cual logrará la armonización a todos los niveles de gobierno.</w:t>
      </w:r>
    </w:p>
    <w:p w14:paraId="3B2AF0C5" w14:textId="77777777" w:rsidR="00DC3829" w:rsidRPr="00580FBF" w:rsidRDefault="00DC3829" w:rsidP="00DC3829">
      <w:pPr>
        <w:numPr>
          <w:ilvl w:val="0"/>
          <w:numId w:val="20"/>
        </w:numPr>
        <w:pBdr>
          <w:top w:val="nil"/>
          <w:left w:val="nil"/>
          <w:bottom w:val="nil"/>
          <w:right w:val="nil"/>
          <w:between w:val="nil"/>
        </w:pBdr>
        <w:tabs>
          <w:tab w:val="left" w:pos="851"/>
        </w:tabs>
        <w:spacing w:after="120" w:line="360" w:lineRule="auto"/>
        <w:ind w:left="567" w:right="27" w:firstLine="0"/>
        <w:jc w:val="both"/>
        <w:rPr>
          <w:rFonts w:ascii="Palatino Linotype" w:eastAsia="Palatino Linotype" w:hAnsi="Palatino Linotype" w:cs="Palatino Linotype"/>
        </w:rPr>
      </w:pPr>
      <w:r w:rsidRPr="00580FBF">
        <w:rPr>
          <w:rFonts w:ascii="Palatino Linotype" w:eastAsia="Palatino Linotype" w:hAnsi="Palatino Linotype" w:cs="Palatino Linotype"/>
          <w:b/>
        </w:rPr>
        <w:t>La Partida Específica</w:t>
      </w:r>
      <w:r w:rsidRPr="00580FBF">
        <w:rPr>
          <w:rFonts w:ascii="Palatino Linotype" w:eastAsia="Palatino Linotype" w:hAnsi="Palatino Linotype" w:cs="Palatino Linotype"/>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concepto y partida genérica), con el fin de mantener la armonización con el Plan de Cuenta.</w:t>
      </w:r>
    </w:p>
    <w:p w14:paraId="796399E4" w14:textId="77777777" w:rsidR="006F7E14" w:rsidRPr="00580FBF" w:rsidRDefault="006F7E14" w:rsidP="006F7E14">
      <w:pPr>
        <w:pStyle w:val="Prrafodelista"/>
        <w:numPr>
          <w:ilvl w:val="0"/>
          <w:numId w:val="3"/>
        </w:numPr>
        <w:spacing w:before="280" w:after="28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Es así que del Manual de referencia del Capítulo 3000 denominado Servicios Generales, se deriva el subcapítulo 36000 denominado </w:t>
      </w:r>
      <w:r w:rsidR="00E551A4" w:rsidRPr="00580FBF">
        <w:rPr>
          <w:rFonts w:ascii="Palatino Linotype" w:eastAsia="Palatino Linotype" w:hAnsi="Palatino Linotype" w:cs="Palatino Linotype"/>
        </w:rPr>
        <w:t>Servicios</w:t>
      </w:r>
      <w:r w:rsidRPr="00580FBF">
        <w:rPr>
          <w:rFonts w:ascii="Palatino Linotype" w:eastAsia="Palatino Linotype" w:hAnsi="Palatino Linotype" w:cs="Palatino Linotype"/>
        </w:rPr>
        <w:t xml:space="preserve"> de Co</w:t>
      </w:r>
      <w:r w:rsidR="00E551A4" w:rsidRPr="00580FBF">
        <w:rPr>
          <w:rFonts w:ascii="Palatino Linotype" w:eastAsia="Palatino Linotype" w:hAnsi="Palatino Linotype" w:cs="Palatino Linotype"/>
        </w:rPr>
        <w:t>municación Social y Publicidad</w:t>
      </w:r>
      <w:r w:rsidRPr="00580FBF">
        <w:rPr>
          <w:rFonts w:ascii="Palatino Linotype" w:eastAsia="Palatino Linotype" w:hAnsi="Palatino Linotype" w:cs="Palatino Linotype"/>
        </w:rPr>
        <w:t>,</w:t>
      </w:r>
      <w:r w:rsidR="00E551A4" w:rsidRPr="00580FBF">
        <w:rPr>
          <w:rFonts w:ascii="Palatino Linotype" w:eastAsia="Palatino Linotype" w:hAnsi="Palatino Linotype" w:cs="Palatino Linotype"/>
        </w:rPr>
        <w:t xml:space="preserve"> el cual se refiere a las asignaciones destinadas a cubrir los gastos de realización y difusión de mensajes y campañas para informar a la población de los programas, servicios </w:t>
      </w:r>
      <w:r w:rsidR="00E551A4" w:rsidRPr="00580FBF">
        <w:rPr>
          <w:rFonts w:ascii="Palatino Linotype" w:eastAsia="Palatino Linotype" w:hAnsi="Palatino Linotype" w:cs="Palatino Linotype"/>
        </w:rPr>
        <w:lastRenderedPageBreak/>
        <w:t xml:space="preserve">públicos y el quehacer gubernamental en general; así como la publicidad comercial de los productos y servicios que generan ingresos para los entes públicos, el cual incluye la contratación de servicios de impresión y publicación de información; así como al montaje de espectáculos culturales y celebraciones que demanden los entes públicos; al cual el corresponde la </w:t>
      </w:r>
      <w:r w:rsidRPr="00580FBF">
        <w:rPr>
          <w:rFonts w:ascii="Palatino Linotype" w:eastAsia="Palatino Linotype" w:hAnsi="Palatino Linotype" w:cs="Palatino Linotype"/>
        </w:rPr>
        <w:t xml:space="preserve">partida genérica </w:t>
      </w:r>
      <w:r w:rsidR="00E551A4" w:rsidRPr="00580FBF">
        <w:rPr>
          <w:rFonts w:ascii="Palatino Linotype" w:eastAsia="Palatino Linotype" w:hAnsi="Palatino Linotype" w:cs="Palatino Linotype"/>
          <w:b/>
        </w:rPr>
        <w:t xml:space="preserve">3611, </w:t>
      </w:r>
      <w:r w:rsidR="00E551A4" w:rsidRPr="00580FBF">
        <w:rPr>
          <w:rFonts w:ascii="Palatino Linotype" w:eastAsia="Palatino Linotype" w:hAnsi="Palatino Linotype" w:cs="Palatino Linotype"/>
        </w:rPr>
        <w:t xml:space="preserve">alusivo </w:t>
      </w:r>
      <w:r w:rsidR="00E551A4" w:rsidRPr="00580FBF">
        <w:rPr>
          <w:rFonts w:ascii="Palatino Linotype" w:eastAsia="Palatino Linotype" w:hAnsi="Palatino Linotype" w:cs="Palatino Linotype"/>
          <w:b/>
        </w:rPr>
        <w:t xml:space="preserve">a los Gastos de Públicas y Propaganda, </w:t>
      </w:r>
      <w:r w:rsidR="00E551A4" w:rsidRPr="00580FBF">
        <w:rPr>
          <w:rFonts w:ascii="Palatino Linotype" w:eastAsia="Palatino Linotype" w:hAnsi="Palatino Linotype" w:cs="Palatino Linotype"/>
        </w:rPr>
        <w:t>tal como se muestra con la siguiente captura de pantalla:</w:t>
      </w:r>
      <w:r w:rsidR="00E551A4" w:rsidRPr="00580FBF">
        <w:rPr>
          <w:rFonts w:ascii="Palatino Linotype" w:eastAsia="Palatino Linotype" w:hAnsi="Palatino Linotype" w:cs="Palatino Linotype"/>
          <w:b/>
        </w:rPr>
        <w:t xml:space="preserve"> </w:t>
      </w:r>
    </w:p>
    <w:p w14:paraId="7D13C858" w14:textId="77777777" w:rsidR="00E551A4" w:rsidRPr="00580FBF" w:rsidRDefault="00E551A4" w:rsidP="00E551A4">
      <w:pPr>
        <w:spacing w:before="280" w:after="280" w:line="360" w:lineRule="auto"/>
        <w:ind w:right="27"/>
        <w:jc w:val="center"/>
        <w:rPr>
          <w:rFonts w:ascii="Palatino Linotype" w:eastAsia="Palatino Linotype" w:hAnsi="Palatino Linotype" w:cs="Palatino Linotype"/>
        </w:rPr>
      </w:pPr>
      <w:r w:rsidRPr="00580FBF">
        <w:rPr>
          <w:rFonts w:ascii="Palatino Linotype" w:eastAsia="Palatino Linotype" w:hAnsi="Palatino Linotype" w:cs="Palatino Linotype"/>
          <w:noProof/>
        </w:rPr>
        <mc:AlternateContent>
          <mc:Choice Requires="wps">
            <w:drawing>
              <wp:anchor distT="0" distB="0" distL="114300" distR="114300" simplePos="0" relativeHeight="251659264" behindDoc="0" locked="0" layoutInCell="1" allowOverlap="1" wp14:anchorId="02C79801" wp14:editId="3E1F1F2D">
                <wp:simplePos x="0" y="0"/>
                <wp:positionH relativeFrom="column">
                  <wp:posOffset>106044</wp:posOffset>
                </wp:positionH>
                <wp:positionV relativeFrom="paragraph">
                  <wp:posOffset>1688465</wp:posOffset>
                </wp:positionV>
                <wp:extent cx="5638165" cy="552450"/>
                <wp:effectExtent l="19050" t="19050" r="19685" b="19050"/>
                <wp:wrapNone/>
                <wp:docPr id="2" name="Rectángulo 2"/>
                <wp:cNvGraphicFramePr/>
                <a:graphic xmlns:a="http://schemas.openxmlformats.org/drawingml/2006/main">
                  <a:graphicData uri="http://schemas.microsoft.com/office/word/2010/wordprocessingShape">
                    <wps:wsp>
                      <wps:cNvSpPr/>
                      <wps:spPr>
                        <a:xfrm>
                          <a:off x="0" y="0"/>
                          <a:ext cx="5638165" cy="5524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65F1944" id="Rectángulo 2" o:spid="_x0000_s1026" style="position:absolute;margin-left:8.35pt;margin-top:132.95pt;width:443.9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m3ogIAAJEFAAAOAAAAZHJzL2Uyb0RvYy54bWysVM1u2zAMvg/YOwi6r3a8uOuCOEWQIsOA&#10;og3aDj0rshQbkEVNUuJkb7Nn2YuNkn8adMUOw3yQRZH8KH4iOb8+NoochHU16IJOLlJKhOZQ1npX&#10;0G9P6w9XlDjPdMkUaFHQk3D0evH+3bw1M5FBBaoUliCIdrPWFLTy3sySxPFKNMxdgBEalRJswzyK&#10;dpeUlrWI3qgkS9PLpAVbGgtcOIenN52SLiK+lIL7eymd8EQVFO/m42rjug1rspiz2c4yU9W8vwb7&#10;h1s0rNYYdIS6YZ6Rva3/gGpqbsGB9BccmgSkrLmIOWA2k/RVNo8VMyLmguQ4M9Lk/h8svztsLKnL&#10;gmaUaNbgEz0gab9+6t1eAckCQa1xM7R7NBvbSw63IdujtE34Yx7kGEk9jaSKoyccD/PLj1eTy5wS&#10;jro8z6Z5ZD158TbW+S8CGhI2BbUYP3LJDrfOY0Q0HUxCMA3rWqn4cEqTtqCIn6bRw4Gqy6ANds7u&#10;titlyYHh26/XKX4hG0Q7M0NJaTwMOXZZxZ0/KREwlH4QEunBPLIuQihMMcIyzoX2k05VsVJ00fLz&#10;YINHDB0BA7LEW47YPcBg2YEM2N2de/vgKmJdj8596n9zHj1iZNB+dG5qDfatzBRm1Ufu7AeSOmoC&#10;S1soT1g8Frqucoava3zBW+b8hllsI2w4HA3+HhepAF8K+h0lFdgfb50He6xu1FLSYlsW1H3fMyso&#10;UV811v3nyXQa+jgK0/xThoI912zPNXrfrABff4JDyPC4DfZeDVtpoXnGCbIMUVHFNMfYBeXeDsLK&#10;d+MCZxAXy2U0w941zN/qR8MDeGA1VOjT8ZlZ05exxwa4g6GF2exVNXe2wVPDcu9B1rHUX3jt+ca+&#10;j4XTz6gwWM7laPUySRe/AQAA//8DAFBLAwQUAAYACAAAACEAYEf2p94AAAAKAQAADwAAAGRycy9k&#10;b3ducmV2LnhtbEyPTU+DQBCG7yb+h82YeLNLsaWCLI0xUaM3UeN1yo5A2A/Cbgv+e8eTHt/Mk/d9&#10;ptwv1ogTTaH3TsF6lYAg13jdu1bB+9vD1Q2IENFpNN6Rgm8KsK/Oz0ostJ/dK53q2AoucaFABV2M&#10;YyFlaDqyGFZ+JMe3Lz9ZjBynVuoJZy63RqZJkkmLveOFDke676gZ6qNV8Dynpv9s8eWpHuqPwW8e&#10;17vcKnV5sdzdgoi0xD8YfvVZHSp2Ovij00EYztmOSQVpts1BMJAnmwzEQcH1Ns1BVqX8/0L1AwAA&#10;//8DAFBLAQItABQABgAIAAAAIQC2gziS/gAAAOEBAAATAAAAAAAAAAAAAAAAAAAAAABbQ29udGVu&#10;dF9UeXBlc10ueG1sUEsBAi0AFAAGAAgAAAAhADj9If/WAAAAlAEAAAsAAAAAAAAAAAAAAAAALwEA&#10;AF9yZWxzLy5yZWxzUEsBAi0AFAAGAAgAAAAhAFk6ubeiAgAAkQUAAA4AAAAAAAAAAAAAAAAALgIA&#10;AGRycy9lMm9Eb2MueG1sUEsBAi0AFAAGAAgAAAAhAGBH9qfeAAAACgEAAA8AAAAAAAAAAAAAAAAA&#10;/AQAAGRycy9kb3ducmV2LnhtbFBLBQYAAAAABAAEAPMAAAAHBgAAAAA=&#10;" filled="f" strokecolor="red" strokeweight="3pt"/>
            </w:pict>
          </mc:Fallback>
        </mc:AlternateContent>
      </w:r>
      <w:r w:rsidRPr="00580FBF">
        <w:rPr>
          <w:rFonts w:ascii="Palatino Linotype" w:eastAsia="Palatino Linotype" w:hAnsi="Palatino Linotype" w:cs="Palatino Linotype"/>
          <w:noProof/>
        </w:rPr>
        <w:drawing>
          <wp:inline distT="0" distB="0" distL="0" distR="0" wp14:anchorId="4AFBDFC2" wp14:editId="3BC40139">
            <wp:extent cx="5742940" cy="22955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2940" cy="2295525"/>
                    </a:xfrm>
                    <a:prstGeom prst="rect">
                      <a:avLst/>
                    </a:prstGeom>
                  </pic:spPr>
                </pic:pic>
              </a:graphicData>
            </a:graphic>
          </wp:inline>
        </w:drawing>
      </w:r>
    </w:p>
    <w:p w14:paraId="7AF9D65F" w14:textId="77777777" w:rsidR="00DC3829" w:rsidRPr="00580FBF" w:rsidRDefault="00DC3829" w:rsidP="00045550">
      <w:pPr>
        <w:pStyle w:val="Prrafodelista"/>
        <w:numPr>
          <w:ilvl w:val="0"/>
          <w:numId w:val="3"/>
        </w:numPr>
        <w:spacing w:before="280" w:after="280" w:line="360" w:lineRule="auto"/>
        <w:ind w:left="0" w:right="27" w:firstLine="0"/>
        <w:contextualSpacing w:val="0"/>
        <w:jc w:val="both"/>
        <w:rPr>
          <w:rFonts w:ascii="Palatino Linotype" w:eastAsia="Palatino Linotype" w:hAnsi="Palatino Linotype" w:cs="Palatino Linotype"/>
        </w:rPr>
      </w:pPr>
      <w:r w:rsidRPr="00580FBF">
        <w:rPr>
          <w:rFonts w:ascii="Palatino Linotype" w:eastAsia="Palatino Linotype" w:hAnsi="Palatino Linotype" w:cs="Palatino Linotype"/>
        </w:rPr>
        <w:t>En este tenor,</w:t>
      </w:r>
      <w:r w:rsidR="00045550" w:rsidRPr="00580FBF">
        <w:rPr>
          <w:rFonts w:ascii="Palatino Linotype" w:eastAsia="Palatino Linotype" w:hAnsi="Palatino Linotype" w:cs="Palatino Linotype"/>
        </w:rPr>
        <w:t xml:space="preserve"> </w:t>
      </w:r>
      <w:r w:rsidR="00045550" w:rsidRPr="00580FBF">
        <w:rPr>
          <w:rFonts w:ascii="Palatino Linotype" w:hAnsi="Palatino Linotype"/>
        </w:rPr>
        <w:t xml:space="preserve">podemos advertir que </w:t>
      </w:r>
      <w:r w:rsidR="00045550" w:rsidRPr="00580FBF">
        <w:rPr>
          <w:rFonts w:ascii="Palatino Linotype" w:hAnsi="Palatino Linotype"/>
          <w:b/>
        </w:rPr>
        <w:t xml:space="preserve">EL SUJETO OBLIGADO </w:t>
      </w:r>
      <w:r w:rsidR="00045550" w:rsidRPr="00580FBF">
        <w:rPr>
          <w:rFonts w:ascii="Palatino Linotype" w:hAnsi="Palatino Linotype"/>
        </w:rPr>
        <w:t xml:space="preserve">se encuentra en posibilidad de hacer entrega de la información requerida por el particular. </w:t>
      </w:r>
    </w:p>
    <w:p w14:paraId="5DA1E4D5" w14:textId="77777777" w:rsidR="00563177" w:rsidRPr="00580FBF" w:rsidRDefault="00563177" w:rsidP="00563177">
      <w:pPr>
        <w:numPr>
          <w:ilvl w:val="0"/>
          <w:numId w:val="5"/>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580FBF">
        <w:rPr>
          <w:rFonts w:ascii="Palatino Linotype" w:eastAsia="Palatino Linotype" w:hAnsi="Palatino Linotype" w:cs="Palatino Linotype"/>
          <w:b/>
          <w:bCs/>
          <w:color w:val="000000"/>
        </w:rPr>
        <w:t>De la gratuidad de la información solicitada a través del derecho de acceso a la información pública.</w:t>
      </w:r>
    </w:p>
    <w:p w14:paraId="4956995B" w14:textId="77777777" w:rsidR="0053189E" w:rsidRPr="00580FBF" w:rsidRDefault="0053189E" w:rsidP="00893048">
      <w:pPr>
        <w:numPr>
          <w:ilvl w:val="0"/>
          <w:numId w:val="3"/>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Ahora bien, tomando en consideración que el </w:t>
      </w:r>
      <w:r w:rsidRPr="00580FBF">
        <w:rPr>
          <w:rFonts w:ascii="Palatino Linotype" w:eastAsia="Palatino Linotype" w:hAnsi="Palatino Linotype" w:cs="Palatino Linotype"/>
          <w:b/>
        </w:rPr>
        <w:t xml:space="preserve">SUJETO OBLIGADO, </w:t>
      </w:r>
      <w:r w:rsidRPr="00580FBF">
        <w:rPr>
          <w:rFonts w:ascii="Palatino Linotype" w:eastAsia="Palatino Linotype" w:hAnsi="Palatino Linotype" w:cs="Palatino Linotype"/>
        </w:rPr>
        <w:t xml:space="preserve">refirió que a fin de hacer entrega de la información el particular debería presentarse a la oficina de ingresos para realizar el pago de derechos, ello en cumplimiento a lo establecido en el artículo 73 del Código Financiero del Estado de México. </w:t>
      </w:r>
    </w:p>
    <w:p w14:paraId="1A4607DC" w14:textId="77777777" w:rsidR="0053189E" w:rsidRPr="00580FBF" w:rsidRDefault="0053189E" w:rsidP="0053189E">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rPr>
      </w:pPr>
    </w:p>
    <w:p w14:paraId="0BA8478F" w14:textId="77777777" w:rsidR="00893048" w:rsidRPr="00580FBF" w:rsidRDefault="0053189E" w:rsidP="00893048">
      <w:pPr>
        <w:numPr>
          <w:ilvl w:val="0"/>
          <w:numId w:val="3"/>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lastRenderedPageBreak/>
        <w:t>Es así que d</w:t>
      </w:r>
      <w:r w:rsidR="00893048" w:rsidRPr="00580FBF">
        <w:rPr>
          <w:rFonts w:ascii="Palatino Linotype" w:eastAsia="Palatino Linotype" w:hAnsi="Palatino Linotype" w:cs="Palatino Linotype"/>
        </w:rPr>
        <w:t>e acuerdo a la fracción II, artículo 2 de la Ley de Transparencia Local, uno</w:t>
      </w:r>
      <w:r w:rsidR="00FE2679" w:rsidRPr="00580FBF">
        <w:rPr>
          <w:rFonts w:ascii="Palatino Linotype" w:eastAsia="Palatino Linotype" w:hAnsi="Palatino Linotype" w:cs="Palatino Linotype"/>
        </w:rPr>
        <w:t xml:space="preserve"> de</w:t>
      </w:r>
      <w:r w:rsidR="00893048" w:rsidRPr="00580FBF">
        <w:rPr>
          <w:rFonts w:ascii="Palatino Linotype" w:eastAsia="Palatino Linotype" w:hAnsi="Palatino Linotype" w:cs="Palatino Linotype"/>
        </w:rPr>
        <w:t xml:space="preserve"> sus objetivos, es proveer lo necesario para garantizar a toda persona el derecho de acceso a la información pública, a través de procedimientos sencillos, expeditos, oportunos y</w:t>
      </w:r>
      <w:r w:rsidR="00893048" w:rsidRPr="00580FBF">
        <w:rPr>
          <w:rFonts w:ascii="Palatino Linotype" w:eastAsia="Palatino Linotype" w:hAnsi="Palatino Linotype" w:cs="Palatino Linotype"/>
          <w:b/>
          <w:bCs/>
        </w:rPr>
        <w:t xml:space="preserve"> gratuitos</w:t>
      </w:r>
      <w:r w:rsidR="00893048" w:rsidRPr="00580FBF">
        <w:rPr>
          <w:rFonts w:ascii="Palatino Linotype" w:eastAsia="Palatino Linotype" w:hAnsi="Palatino Linotype" w:cs="Palatino Linotype"/>
        </w:rPr>
        <w:t>, determinando las bases mínimas sobre las cuales se regirán los mismos; así, con ello contribuir a la mejora de procedimientos y mecanismos que permitan transparentar la gestión pública, a través de la difusión de la información que obra en poder de los Sujetos Obligados, ya que, el Derecho de Acceso a la información pública por disposición del artículo 4 de la Ley en la materia, es la prerrogativa de las personas para buscar, difundir, investigar, recabar, recibir y solicitar información pública.</w:t>
      </w:r>
    </w:p>
    <w:p w14:paraId="51CDFB1C" w14:textId="77777777" w:rsidR="00893048" w:rsidRPr="00580FBF" w:rsidRDefault="00893048" w:rsidP="00893048">
      <w:pPr>
        <w:pBdr>
          <w:top w:val="nil"/>
          <w:left w:val="nil"/>
          <w:bottom w:val="nil"/>
          <w:right w:val="nil"/>
          <w:between w:val="nil"/>
        </w:pBdr>
        <w:tabs>
          <w:tab w:val="left" w:pos="284"/>
          <w:tab w:val="left" w:pos="567"/>
        </w:tabs>
        <w:spacing w:line="360" w:lineRule="auto"/>
        <w:ind w:left="360"/>
        <w:jc w:val="both"/>
        <w:rPr>
          <w:rFonts w:ascii="Palatino Linotype" w:eastAsia="Palatino Linotype" w:hAnsi="Palatino Linotype" w:cs="Palatino Linotype"/>
        </w:rPr>
      </w:pPr>
    </w:p>
    <w:p w14:paraId="662749EB" w14:textId="77777777" w:rsidR="00893048" w:rsidRPr="00580FBF" w:rsidRDefault="00893048" w:rsidP="00893048">
      <w:pPr>
        <w:numPr>
          <w:ilvl w:val="0"/>
          <w:numId w:val="3"/>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Así, es importante analizar si el contenido de la información remitida en respuesta, para determinar si garantiza que la entrega de la información garantiza que sea oportuna, como lo establece el artículo 11 de la Ley de Transparencia Local:</w:t>
      </w:r>
    </w:p>
    <w:p w14:paraId="502C6978" w14:textId="77777777" w:rsidR="00893048" w:rsidRPr="00580FBF" w:rsidRDefault="00893048" w:rsidP="00973A50">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i/>
          <w:iCs/>
          <w:color w:val="000000"/>
        </w:rPr>
        <w:t>“</w:t>
      </w:r>
      <w:r w:rsidRPr="00580FBF">
        <w:rPr>
          <w:rFonts w:ascii="Palatino Linotype" w:eastAsia="Palatino Linotype" w:hAnsi="Palatino Linotype" w:cs="Palatino Linotype"/>
          <w:b/>
          <w:bCs/>
          <w:i/>
          <w:iCs/>
          <w:color w:val="000000"/>
        </w:rPr>
        <w:t>Artículo 11.</w:t>
      </w:r>
      <w:r w:rsidRPr="00580FBF">
        <w:rPr>
          <w:rFonts w:ascii="Palatino Linotype" w:eastAsia="Palatino Linotype" w:hAnsi="Palatino Linotype" w:cs="Palatino Linotype"/>
          <w:i/>
          <w:iCs/>
          <w:color w:val="000000"/>
        </w:rPr>
        <w:t xml:space="preserve">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52D71302" w14:textId="77777777" w:rsidR="00893048" w:rsidRPr="00580FBF" w:rsidRDefault="00893048" w:rsidP="00973A50">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i/>
          <w:iCs/>
          <w:color w:val="000000"/>
        </w:rPr>
        <w:t>…” (Sic)</w:t>
      </w:r>
    </w:p>
    <w:p w14:paraId="20011B94" w14:textId="77777777" w:rsidR="00893048" w:rsidRPr="00580FBF" w:rsidRDefault="00893048" w:rsidP="00893048">
      <w:pPr>
        <w:pBdr>
          <w:top w:val="nil"/>
          <w:left w:val="nil"/>
          <w:bottom w:val="nil"/>
          <w:right w:val="nil"/>
          <w:between w:val="nil"/>
        </w:pBdr>
        <w:tabs>
          <w:tab w:val="left" w:pos="0"/>
        </w:tabs>
        <w:spacing w:line="360" w:lineRule="auto"/>
        <w:ind w:left="360" w:right="48"/>
        <w:jc w:val="both"/>
        <w:rPr>
          <w:rFonts w:ascii="Palatino Linotype" w:eastAsia="Palatino Linotype" w:hAnsi="Palatino Linotype" w:cs="Palatino Linotype"/>
          <w:color w:val="000000"/>
        </w:rPr>
      </w:pPr>
    </w:p>
    <w:p w14:paraId="658BCD29" w14:textId="77777777" w:rsidR="00893048" w:rsidRPr="00580FBF" w:rsidRDefault="00893048" w:rsidP="00893048">
      <w:pPr>
        <w:numPr>
          <w:ilvl w:val="0"/>
          <w:numId w:val="3"/>
        </w:numPr>
        <w:pBdr>
          <w:top w:val="nil"/>
          <w:left w:val="nil"/>
          <w:bottom w:val="nil"/>
          <w:right w:val="nil"/>
          <w:between w:val="nil"/>
        </w:pBdr>
        <w:tabs>
          <w:tab w:val="left" w:pos="0"/>
        </w:tabs>
        <w:spacing w:line="360" w:lineRule="auto"/>
        <w:ind w:left="0" w:right="48"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Ley de Transparencia y Acceso a la Información Pública del Estado de México y Municipios, establece que uno de los principios por lo que se rige el acceso a la información pública consiste en la gratuidad del procedimiento:</w:t>
      </w:r>
    </w:p>
    <w:p w14:paraId="2C0D5D5A" w14:textId="77777777" w:rsidR="00893048" w:rsidRPr="00580FBF" w:rsidRDefault="00893048" w:rsidP="00973A50">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i/>
          <w:iCs/>
          <w:color w:val="000000"/>
        </w:rPr>
        <w:t>“</w:t>
      </w:r>
      <w:r w:rsidRPr="00580FBF">
        <w:rPr>
          <w:rFonts w:ascii="Palatino Linotype" w:eastAsia="Palatino Linotype" w:hAnsi="Palatino Linotype" w:cs="Palatino Linotype"/>
          <w:b/>
          <w:bCs/>
          <w:i/>
          <w:iCs/>
          <w:color w:val="000000"/>
        </w:rPr>
        <w:t>Artículo 173.</w:t>
      </w:r>
      <w:r w:rsidRPr="00580FBF">
        <w:rPr>
          <w:rFonts w:ascii="Palatino Linotype" w:eastAsia="Palatino Linotype" w:hAnsi="Palatino Linotype" w:cs="Palatino Linotype"/>
          <w:i/>
          <w:iCs/>
          <w:color w:val="000000"/>
        </w:rPr>
        <w:t xml:space="preserve"> Sin perjuicio de lo anteriormente establecido, el procedimiento de acceso a la información se rige por los siguientes principios: </w:t>
      </w:r>
    </w:p>
    <w:p w14:paraId="17C30B15" w14:textId="77777777" w:rsidR="00893048" w:rsidRPr="00580FBF" w:rsidRDefault="00893048" w:rsidP="00973A50">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i/>
          <w:iCs/>
          <w:color w:val="000000"/>
        </w:rPr>
        <w:t xml:space="preserve">I. Simplicidad y rapidez; </w:t>
      </w:r>
    </w:p>
    <w:p w14:paraId="308CDFC0" w14:textId="77777777" w:rsidR="00893048" w:rsidRPr="00580FBF" w:rsidRDefault="00893048" w:rsidP="00973A50">
      <w:pPr>
        <w:pBdr>
          <w:top w:val="nil"/>
          <w:left w:val="nil"/>
          <w:bottom w:val="nil"/>
          <w:right w:val="nil"/>
          <w:between w:val="nil"/>
        </w:pBdr>
        <w:tabs>
          <w:tab w:val="left" w:pos="567"/>
        </w:tabs>
        <w:ind w:left="567" w:right="822"/>
        <w:jc w:val="both"/>
        <w:rPr>
          <w:rFonts w:ascii="Palatino Linotype" w:eastAsia="Palatino Linotype" w:hAnsi="Palatino Linotype" w:cs="Palatino Linotype"/>
          <w:b/>
          <w:bCs/>
          <w:i/>
          <w:iCs/>
          <w:color w:val="000000"/>
        </w:rPr>
      </w:pPr>
      <w:r w:rsidRPr="00580FBF">
        <w:rPr>
          <w:rFonts w:ascii="Palatino Linotype" w:eastAsia="Palatino Linotype" w:hAnsi="Palatino Linotype" w:cs="Palatino Linotype"/>
          <w:b/>
          <w:bCs/>
          <w:i/>
          <w:iCs/>
          <w:color w:val="000000"/>
        </w:rPr>
        <w:t xml:space="preserve">II. Gratuidad del procedimiento; y </w:t>
      </w:r>
    </w:p>
    <w:p w14:paraId="2770884B" w14:textId="77777777" w:rsidR="00893048" w:rsidRPr="00580FBF" w:rsidRDefault="00893048" w:rsidP="00973A50">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i/>
          <w:iCs/>
          <w:color w:val="000000"/>
        </w:rPr>
        <w:lastRenderedPageBreak/>
        <w:t>III. Auxilio y orientación a los particulares.”</w:t>
      </w:r>
    </w:p>
    <w:p w14:paraId="232959EC" w14:textId="77777777" w:rsidR="00893048" w:rsidRPr="00580FBF" w:rsidRDefault="00893048" w:rsidP="00973A50">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i/>
          <w:iCs/>
          <w:color w:val="000000"/>
        </w:rPr>
        <w:t>Énfasis añadido</w:t>
      </w:r>
    </w:p>
    <w:p w14:paraId="046B80D0" w14:textId="77777777" w:rsidR="00893048" w:rsidRPr="00580FBF" w:rsidRDefault="00893048" w:rsidP="00893048">
      <w:pPr>
        <w:pBdr>
          <w:top w:val="nil"/>
          <w:left w:val="nil"/>
          <w:bottom w:val="nil"/>
          <w:right w:val="nil"/>
          <w:between w:val="nil"/>
        </w:pBdr>
        <w:tabs>
          <w:tab w:val="left" w:pos="851"/>
        </w:tabs>
        <w:spacing w:line="360" w:lineRule="auto"/>
        <w:ind w:left="360" w:right="615"/>
        <w:jc w:val="both"/>
        <w:rPr>
          <w:rFonts w:ascii="Palatino Linotype" w:eastAsia="Palatino Linotype" w:hAnsi="Palatino Linotype" w:cs="Palatino Linotype"/>
          <w:i/>
          <w:iCs/>
          <w:color w:val="000000"/>
        </w:rPr>
      </w:pPr>
    </w:p>
    <w:p w14:paraId="2B396961" w14:textId="77777777" w:rsidR="00893048" w:rsidRPr="00580FBF" w:rsidRDefault="00893048" w:rsidP="00893048">
      <w:pPr>
        <w:numPr>
          <w:ilvl w:val="0"/>
          <w:numId w:val="3"/>
        </w:numPr>
        <w:pBdr>
          <w:top w:val="nil"/>
          <w:left w:val="nil"/>
          <w:bottom w:val="nil"/>
          <w:right w:val="nil"/>
          <w:between w:val="nil"/>
        </w:pBdr>
        <w:tabs>
          <w:tab w:val="left" w:pos="0"/>
        </w:tabs>
        <w:spacing w:line="360" w:lineRule="auto"/>
        <w:ind w:left="0" w:right="48"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Asimismo, el artículo 17 y 150  de  la Ley de Transparencia Local establece que la búsqueda y el acceso a la información pública deberá ser gratuita:</w:t>
      </w:r>
    </w:p>
    <w:p w14:paraId="2D75A2A3" w14:textId="77777777" w:rsidR="00893048" w:rsidRPr="00580FBF" w:rsidRDefault="00893048" w:rsidP="00973A50">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i/>
          <w:iCs/>
          <w:color w:val="000000"/>
        </w:rPr>
        <w:t>“</w:t>
      </w:r>
      <w:r w:rsidRPr="00580FBF">
        <w:rPr>
          <w:rFonts w:ascii="Palatino Linotype" w:eastAsia="Palatino Linotype" w:hAnsi="Palatino Linotype" w:cs="Palatino Linotype"/>
          <w:b/>
          <w:bCs/>
          <w:i/>
          <w:iCs/>
          <w:color w:val="000000"/>
        </w:rPr>
        <w:t>Artículo 17</w:t>
      </w:r>
      <w:r w:rsidRPr="00580FBF">
        <w:rPr>
          <w:rFonts w:ascii="Palatino Linotype" w:eastAsia="Palatino Linotype" w:hAnsi="Palatino Linotype" w:cs="Palatino Linotype"/>
          <w:i/>
          <w:iCs/>
          <w:color w:val="000000"/>
        </w:rPr>
        <w:t>. La búsqueda y acceso a la información es gratuita y solo se cubrirán los gastos de reproducción, o por la modalidad de entrega solicitada, así como por el envío, que en su caso se genere, de conformidad con los derechos, productos y aprovechamientos establecidos en la legislación aplicable, sin que exceda de los límites establecidos en la presente Ley.”</w:t>
      </w:r>
    </w:p>
    <w:p w14:paraId="14ED22C8" w14:textId="77777777" w:rsidR="00893048" w:rsidRPr="00580FBF" w:rsidRDefault="00893048" w:rsidP="00973A50">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p>
    <w:p w14:paraId="685C04C8" w14:textId="77777777" w:rsidR="00893048" w:rsidRPr="00580FBF" w:rsidRDefault="00893048" w:rsidP="00973A50">
      <w:pPr>
        <w:pBdr>
          <w:top w:val="nil"/>
          <w:left w:val="nil"/>
          <w:bottom w:val="nil"/>
          <w:right w:val="nil"/>
          <w:between w:val="nil"/>
        </w:pBdr>
        <w:tabs>
          <w:tab w:val="left" w:pos="567"/>
        </w:tabs>
        <w:ind w:left="567" w:right="822"/>
        <w:jc w:val="both"/>
        <w:rPr>
          <w:rFonts w:ascii="Palatino Linotype" w:eastAsia="Palatino Linotype" w:hAnsi="Palatino Linotype" w:cs="Palatino Linotype"/>
          <w:i/>
          <w:iCs/>
          <w:color w:val="000000"/>
        </w:rPr>
      </w:pPr>
      <w:r w:rsidRPr="00580FBF">
        <w:rPr>
          <w:rFonts w:ascii="Palatino Linotype" w:eastAsia="Palatino Linotype" w:hAnsi="Palatino Linotype" w:cs="Palatino Linotype"/>
          <w:b/>
          <w:bCs/>
          <w:i/>
          <w:iCs/>
          <w:color w:val="000000"/>
        </w:rPr>
        <w:t>“Artículo 150</w:t>
      </w:r>
      <w:r w:rsidRPr="00580FBF">
        <w:rPr>
          <w:rFonts w:ascii="Palatino Linotype" w:eastAsia="Palatino Linotype" w:hAnsi="Palatino Linotype" w:cs="Palatino Linotype"/>
          <w:i/>
          <w:iCs/>
          <w:color w:val="000000"/>
        </w:rPr>
        <w:t xml:space="preserve"> (LTAIPEMyM):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2D305A5A" w14:textId="77777777" w:rsidR="00893048" w:rsidRPr="00580FBF" w:rsidRDefault="00893048" w:rsidP="00893048">
      <w:pPr>
        <w:pBdr>
          <w:top w:val="nil"/>
          <w:left w:val="nil"/>
          <w:bottom w:val="nil"/>
          <w:right w:val="nil"/>
          <w:between w:val="nil"/>
        </w:pBdr>
        <w:rPr>
          <w:rFonts w:ascii="Palatino Linotype" w:eastAsia="Palatino Linotype" w:hAnsi="Palatino Linotype" w:cs="Palatino Linotype"/>
          <w:color w:val="000000"/>
        </w:rPr>
      </w:pPr>
    </w:p>
    <w:p w14:paraId="3307058A" w14:textId="77777777" w:rsidR="00893048" w:rsidRPr="00580FBF" w:rsidRDefault="00893048" w:rsidP="00893048">
      <w:pPr>
        <w:numPr>
          <w:ilvl w:val="0"/>
          <w:numId w:val="3"/>
        </w:numPr>
        <w:pBdr>
          <w:top w:val="nil"/>
          <w:left w:val="nil"/>
          <w:bottom w:val="nil"/>
          <w:right w:val="nil"/>
          <w:between w:val="nil"/>
        </w:pBdr>
        <w:tabs>
          <w:tab w:val="left" w:pos="0"/>
        </w:tabs>
        <w:spacing w:line="360" w:lineRule="auto"/>
        <w:ind w:left="0" w:right="48"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Con fundamento en los preceptos legales señalados, la gratuidad es un principio bajo el cual se rige el derecho de acceso a la información, razón por la cual, la información solicitada por el particular, debe ser entregada vía SAIMEX, sin que esto le genere algún costo.</w:t>
      </w:r>
    </w:p>
    <w:p w14:paraId="2F6C469E" w14:textId="77777777" w:rsidR="00893048" w:rsidRPr="00580FBF" w:rsidRDefault="00893048" w:rsidP="00893048">
      <w:pPr>
        <w:pBdr>
          <w:top w:val="nil"/>
          <w:left w:val="nil"/>
          <w:bottom w:val="nil"/>
          <w:right w:val="nil"/>
          <w:between w:val="nil"/>
        </w:pBdr>
        <w:tabs>
          <w:tab w:val="left" w:pos="0"/>
        </w:tabs>
        <w:spacing w:line="360" w:lineRule="auto"/>
        <w:ind w:right="48"/>
        <w:jc w:val="both"/>
        <w:rPr>
          <w:rFonts w:ascii="Palatino Linotype" w:eastAsia="Palatino Linotype" w:hAnsi="Palatino Linotype" w:cs="Palatino Linotype"/>
          <w:color w:val="000000"/>
        </w:rPr>
      </w:pPr>
    </w:p>
    <w:p w14:paraId="67DDD9D0" w14:textId="77777777" w:rsidR="00620356" w:rsidRPr="00580FBF" w:rsidRDefault="00893048" w:rsidP="00893048">
      <w:pPr>
        <w:numPr>
          <w:ilvl w:val="0"/>
          <w:numId w:val="3"/>
        </w:numPr>
        <w:pBdr>
          <w:top w:val="nil"/>
          <w:left w:val="nil"/>
          <w:bottom w:val="nil"/>
          <w:right w:val="nil"/>
          <w:between w:val="nil"/>
        </w:pBdr>
        <w:tabs>
          <w:tab w:val="left" w:pos="0"/>
        </w:tabs>
        <w:spacing w:line="360" w:lineRule="auto"/>
        <w:ind w:left="0" w:right="48"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Es importante destacar, que el artículo 174 y 175 establecen el cobr</w:t>
      </w:r>
      <w:r w:rsidRPr="00580FBF">
        <w:rPr>
          <w:rFonts w:ascii="Palatino Linotype" w:eastAsia="Palatino Linotype" w:hAnsi="Palatino Linotype" w:cs="Palatino Linotype"/>
        </w:rPr>
        <w:t>o</w:t>
      </w:r>
      <w:r w:rsidRPr="00580FBF">
        <w:rPr>
          <w:rFonts w:ascii="Palatino Linotype" w:eastAsia="Palatino Linotype" w:hAnsi="Palatino Linotype" w:cs="Palatino Linotype"/>
          <w:color w:val="000000"/>
        </w:rPr>
        <w:t xml:space="preserve"> de derechos para la entrega de la información con el objeto de que se cubran los costos de los materiales utilizados en la reproducción de la información, el costo por él envió de la misma o el pago por la certificación; sin embargo, en el caso particular que se comenta no se estima que se actualice ninguno de esos supuestos y no debe perderse de vista que la parte solicitante requirió la información a través del SAIMEX, por lo que ello únicamente implica la digitalización o escaneo de la información a entregar, lo cual no conlleva la utilización de </w:t>
      </w:r>
      <w:r w:rsidRPr="00580FBF">
        <w:rPr>
          <w:rFonts w:ascii="Palatino Linotype" w:eastAsia="Palatino Linotype" w:hAnsi="Palatino Linotype" w:cs="Palatino Linotype"/>
          <w:color w:val="000000"/>
        </w:rPr>
        <w:lastRenderedPageBreak/>
        <w:t>materiales que generen un costo para el Sujeto Obligado,</w:t>
      </w:r>
      <w:r w:rsidRPr="00580FBF">
        <w:rPr>
          <w:rFonts w:ascii="Palatino Linotype" w:eastAsia="Palatino Linotype" w:hAnsi="Palatino Linotype" w:cs="Palatino Linotype"/>
          <w:b/>
          <w:bCs/>
          <w:color w:val="000000"/>
        </w:rPr>
        <w:t xml:space="preserve"> </w:t>
      </w:r>
      <w:r w:rsidRPr="00580FBF">
        <w:rPr>
          <w:rFonts w:ascii="Palatino Linotype" w:eastAsia="Palatino Linotype" w:hAnsi="Palatino Linotype" w:cs="Palatino Linotype"/>
          <w:color w:val="000000"/>
        </w:rPr>
        <w:t xml:space="preserve">como es el caso por ejemplo de la emisión de copias; así tampoco se genera un gasto por él envió de la información, ya que una de las finalidades de la utilización del Sistema de Acceso a la Información Pública Mexiquense, es evitar la generación de gastos tanto para los solicitantes como para los Sujetos Obligados, pues se trata de un sistema electrónico que para acceder al mismo no necesita recurso alguno, más que un equipo de cómputo con acceso a internet y un digitalizador de documentos. </w:t>
      </w:r>
    </w:p>
    <w:p w14:paraId="44F9E62A" w14:textId="77777777" w:rsidR="00620356" w:rsidRPr="00580FBF" w:rsidRDefault="00B15CB2" w:rsidP="00620356">
      <w:pPr>
        <w:pBdr>
          <w:top w:val="nil"/>
          <w:left w:val="nil"/>
          <w:bottom w:val="nil"/>
          <w:right w:val="nil"/>
          <w:between w:val="nil"/>
        </w:pBdr>
        <w:tabs>
          <w:tab w:val="left" w:pos="0"/>
        </w:tabs>
        <w:spacing w:line="360" w:lineRule="auto"/>
        <w:ind w:right="48"/>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 xml:space="preserve"> </w:t>
      </w:r>
    </w:p>
    <w:p w14:paraId="41FFBEC9" w14:textId="77777777" w:rsidR="00893048" w:rsidRPr="00580FBF" w:rsidRDefault="00893048" w:rsidP="00893048">
      <w:pPr>
        <w:numPr>
          <w:ilvl w:val="0"/>
          <w:numId w:val="3"/>
        </w:numPr>
        <w:pBdr>
          <w:top w:val="nil"/>
          <w:left w:val="nil"/>
          <w:bottom w:val="nil"/>
          <w:right w:val="nil"/>
          <w:between w:val="nil"/>
        </w:pBdr>
        <w:tabs>
          <w:tab w:val="left" w:pos="0"/>
        </w:tabs>
        <w:spacing w:line="360" w:lineRule="auto"/>
        <w:ind w:left="0" w:right="48"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 xml:space="preserve">Por lo anteriormente expuesto, este Órgano Garante determina que la entrega de la información no generará costo alguno por lo que resulta procedente ordenar la entrega de la información en versión publica, en la modalidad elegida por el solicitante vía SAIMEX, prevaleciendo el principio de gratuidad. </w:t>
      </w:r>
    </w:p>
    <w:p w14:paraId="0B470395" w14:textId="77777777" w:rsidR="00893048" w:rsidRPr="00580FBF" w:rsidRDefault="00893048" w:rsidP="00893048">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color w:val="000000"/>
        </w:rPr>
      </w:pPr>
    </w:p>
    <w:p w14:paraId="3E612772" w14:textId="77777777" w:rsidR="002656C0" w:rsidRPr="00580FBF" w:rsidRDefault="002656C0" w:rsidP="002656C0">
      <w:pPr>
        <w:pStyle w:val="Prrafodelista"/>
        <w:numPr>
          <w:ilvl w:val="0"/>
          <w:numId w:val="3"/>
        </w:numPr>
        <w:spacing w:line="360" w:lineRule="auto"/>
        <w:ind w:left="0"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Asimismo, es importante señalar que si bien el particular indicó que deseaba recibir la información en copia, también es que eligió como modalidad de entrega vía SAIMEX, la cual se homologa a las copias simples; ya que de la impresión del archivo digital que se remita en cumplimiento de la resolución comparte la misma naturaleza de una copia simple, adicionalmente, la entrega de información vía SAIMEX otorga el beneficio de disponer inmediata y gratuitamente de la información solicitada.</w:t>
      </w:r>
    </w:p>
    <w:p w14:paraId="303322B9" w14:textId="77777777" w:rsidR="002656C0" w:rsidRPr="00580FBF" w:rsidRDefault="002656C0" w:rsidP="002656C0">
      <w:pPr>
        <w:pStyle w:val="Prrafodelista"/>
        <w:rPr>
          <w:rFonts w:ascii="Palatino Linotype" w:eastAsia="Palatino Linotype" w:hAnsi="Palatino Linotype" w:cs="Palatino Linotype"/>
          <w:color w:val="000000"/>
        </w:rPr>
      </w:pPr>
    </w:p>
    <w:p w14:paraId="34C7D2AC" w14:textId="77777777" w:rsidR="00893048" w:rsidRPr="00580FBF" w:rsidRDefault="00893048" w:rsidP="0089304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580FBF">
        <w:rPr>
          <w:rFonts w:ascii="Palatino Linotype" w:eastAsia="Palatino Linotype" w:hAnsi="Palatino Linotype" w:cs="Palatino Linotype"/>
          <w:color w:val="000000"/>
        </w:rPr>
        <w:t xml:space="preserve">Por lo tanto, con lo expuesto en líneas anteriores y con fundamento en el artículo 186, fracción III, de la Ley de Transparencia y Acceso a la Información Pública del Estado de México y Municipios, este Instituto considera procedente </w:t>
      </w:r>
      <w:r w:rsidR="00B15CB2" w:rsidRPr="00580FBF">
        <w:rPr>
          <w:rFonts w:ascii="Palatino Linotype" w:eastAsia="Palatino Linotype" w:hAnsi="Palatino Linotype" w:cs="Palatino Linotype"/>
          <w:b/>
          <w:bCs/>
          <w:color w:val="000000"/>
        </w:rPr>
        <w:t>REVOCAR</w:t>
      </w:r>
      <w:r w:rsidRPr="00580FBF">
        <w:rPr>
          <w:rFonts w:ascii="Palatino Linotype" w:eastAsia="Palatino Linotype" w:hAnsi="Palatino Linotype" w:cs="Palatino Linotype"/>
          <w:b/>
          <w:bCs/>
          <w:color w:val="000000"/>
        </w:rPr>
        <w:t xml:space="preserve"> </w:t>
      </w:r>
      <w:r w:rsidRPr="00580FBF">
        <w:rPr>
          <w:rFonts w:ascii="Palatino Linotype" w:eastAsia="Palatino Linotype" w:hAnsi="Palatino Linotype" w:cs="Palatino Linotype"/>
          <w:color w:val="000000"/>
        </w:rPr>
        <w:t xml:space="preserve">la respuesta otorgada por el Sujeto Obligado, y determina que es dable </w:t>
      </w:r>
      <w:r w:rsidRPr="00580FBF">
        <w:rPr>
          <w:rFonts w:ascii="Palatino Linotype" w:eastAsia="Palatino Linotype" w:hAnsi="Palatino Linotype" w:cs="Palatino Linotype"/>
          <w:b/>
          <w:bCs/>
          <w:color w:val="000000"/>
        </w:rPr>
        <w:t>ORDENAR</w:t>
      </w:r>
      <w:r w:rsidRPr="00580FBF">
        <w:rPr>
          <w:rFonts w:ascii="Palatino Linotype" w:eastAsia="Palatino Linotype" w:hAnsi="Palatino Linotype" w:cs="Palatino Linotype"/>
          <w:color w:val="000000"/>
        </w:rPr>
        <w:t>, de ser procedente en versión pública, la siguiente información:</w:t>
      </w:r>
      <w:r w:rsidRPr="00580FBF">
        <w:rPr>
          <w:rFonts w:ascii="Palatino Linotype" w:eastAsia="Palatino Linotype" w:hAnsi="Palatino Linotype" w:cs="Palatino Linotype"/>
          <w:b/>
          <w:bCs/>
          <w:color w:val="000000"/>
        </w:rPr>
        <w:t xml:space="preserve"> </w:t>
      </w:r>
    </w:p>
    <w:p w14:paraId="70E9E48D" w14:textId="77777777" w:rsidR="00893048" w:rsidRPr="00580FBF" w:rsidRDefault="00893048" w:rsidP="00893048">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14:paraId="57F1EDC8" w14:textId="77777777" w:rsidR="00B93934" w:rsidRPr="00580FBF" w:rsidRDefault="00B93934" w:rsidP="00B93934">
      <w:pPr>
        <w:numPr>
          <w:ilvl w:val="0"/>
          <w:numId w:val="2"/>
        </w:numPr>
        <w:pBdr>
          <w:top w:val="nil"/>
          <w:left w:val="nil"/>
          <w:bottom w:val="nil"/>
          <w:right w:val="nil"/>
          <w:between w:val="nil"/>
        </w:pBdr>
        <w:spacing w:line="360" w:lineRule="auto"/>
        <w:ind w:right="822"/>
        <w:jc w:val="both"/>
        <w:rPr>
          <w:rFonts w:ascii="Palatino Linotype" w:eastAsia="Palatino Linotype" w:hAnsi="Palatino Linotype" w:cs="Palatino Linotype"/>
          <w:b/>
          <w:bCs/>
          <w:color w:val="000000"/>
        </w:rPr>
      </w:pPr>
      <w:bookmarkStart w:id="7" w:name="_heading=h.mh3q47ksvucp" w:colFirst="0" w:colLast="0"/>
      <w:bookmarkEnd w:id="7"/>
      <w:r w:rsidRPr="00580FBF">
        <w:rPr>
          <w:rFonts w:ascii="Palatino Linotype" w:eastAsia="Palatino Linotype" w:hAnsi="Palatino Linotype" w:cs="Palatino Linotype"/>
          <w:b/>
          <w:bCs/>
          <w:color w:val="000000"/>
        </w:rPr>
        <w:t xml:space="preserve">Facturas relativas a la partida presupuestal 3611, correspondientes del 01 de enero al 31 de diciembre de 2025. </w:t>
      </w:r>
    </w:p>
    <w:p w14:paraId="773BF588" w14:textId="77777777" w:rsidR="00893048" w:rsidRPr="00580FBF" w:rsidRDefault="00893048" w:rsidP="00893048">
      <w:pPr>
        <w:spacing w:line="360" w:lineRule="auto"/>
        <w:ind w:left="851" w:right="822"/>
        <w:jc w:val="both"/>
        <w:rPr>
          <w:rFonts w:ascii="Palatino Linotype" w:eastAsia="Palatino Linotype" w:hAnsi="Palatino Linotype" w:cs="Palatino Linotype"/>
          <w:b/>
          <w:bCs/>
        </w:rPr>
      </w:pPr>
    </w:p>
    <w:p w14:paraId="5247677A" w14:textId="77777777" w:rsidR="00893048" w:rsidRPr="00580FBF" w:rsidRDefault="00893048" w:rsidP="00893048">
      <w:pPr>
        <w:spacing w:line="360" w:lineRule="auto"/>
        <w:ind w:right="822"/>
        <w:rPr>
          <w:rFonts w:ascii="Palatino Linotype" w:eastAsia="Palatino Linotype" w:hAnsi="Palatino Linotype" w:cs="Palatino Linotype"/>
          <w:b/>
          <w:bCs/>
        </w:rPr>
      </w:pPr>
      <w:r w:rsidRPr="00580FBF">
        <w:rPr>
          <w:rFonts w:ascii="Palatino Linotype" w:eastAsia="Palatino Linotype" w:hAnsi="Palatino Linotype" w:cs="Palatino Linotype"/>
          <w:b/>
          <w:bCs/>
        </w:rPr>
        <w:t>QUINTO. De la versión pública.</w:t>
      </w:r>
    </w:p>
    <w:p w14:paraId="239065D4" w14:textId="77777777" w:rsidR="00893048" w:rsidRPr="00580FBF" w:rsidRDefault="00893048" w:rsidP="00893048">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color w:val="000000"/>
        </w:rPr>
        <w:t>Debe destacarse que, debido a la naturaleza de la información solicitada</w:t>
      </w:r>
      <w:r w:rsidRPr="00580FBF">
        <w:rPr>
          <w:rFonts w:ascii="Palatino Linotype" w:eastAsia="Palatino Linotype" w:hAnsi="Palatino Linotype" w:cs="Palatino Linotype"/>
          <w:b/>
          <w:bCs/>
          <w:color w:val="000000"/>
        </w:rPr>
        <w:t xml:space="preserve">, </w:t>
      </w:r>
      <w:r w:rsidRPr="00580FBF">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580FBF">
        <w:rPr>
          <w:rFonts w:ascii="Palatino Linotype" w:eastAsia="Palatino Linotype" w:hAnsi="Palatino Linotype" w:cs="Palatino Linotype"/>
          <w:b/>
          <w:bCs/>
          <w:color w:val="000000"/>
        </w:rPr>
        <w:t xml:space="preserve">Sujeto Obligado </w:t>
      </w:r>
      <w:r w:rsidRPr="00580FBF">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759F430A" w14:textId="77777777" w:rsidR="00893048" w:rsidRPr="00580FBF" w:rsidRDefault="00893048" w:rsidP="00893048">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14:paraId="79DBCC58" w14:textId="77777777" w:rsidR="00893048" w:rsidRPr="00580FBF" w:rsidRDefault="00893048" w:rsidP="00893048">
      <w:pPr>
        <w:numPr>
          <w:ilvl w:val="0"/>
          <w:numId w:val="3"/>
        </w:numPr>
        <w:tabs>
          <w:tab w:val="left" w:pos="284"/>
        </w:tabs>
        <w:spacing w:line="360" w:lineRule="auto"/>
        <w:ind w:left="0" w:right="49"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No pasa desapercibido para este Órgano Garante que los </w:t>
      </w:r>
      <w:r w:rsidRPr="00580FBF">
        <w:rPr>
          <w:rFonts w:ascii="Palatino Linotype" w:eastAsia="Palatino Linotype" w:hAnsi="Palatino Linotype" w:cs="Palatino Linotype"/>
          <w:b/>
          <w:bCs/>
        </w:rPr>
        <w:t xml:space="preserve">Sujetos Obligados </w:t>
      </w:r>
      <w:r w:rsidRPr="00580FBF">
        <w:rPr>
          <w:rFonts w:ascii="Palatino Linotype" w:eastAsia="Palatino Linotype" w:hAnsi="Palatino Linotype" w:cs="Palatino Linotype"/>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003B3399" w14:textId="77777777" w:rsidR="00893048" w:rsidRPr="00580FBF" w:rsidRDefault="00893048" w:rsidP="00893048">
      <w:pPr>
        <w:tabs>
          <w:tab w:val="left" w:pos="284"/>
        </w:tabs>
        <w:spacing w:line="360" w:lineRule="auto"/>
        <w:ind w:right="49"/>
        <w:jc w:val="both"/>
        <w:rPr>
          <w:rFonts w:ascii="Palatino Linotype" w:eastAsia="Palatino Linotype" w:hAnsi="Palatino Linotype" w:cs="Palatino Linotype"/>
        </w:rPr>
      </w:pPr>
    </w:p>
    <w:tbl>
      <w:tblPr>
        <w:tblW w:w="978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2"/>
        <w:gridCol w:w="6810"/>
      </w:tblGrid>
      <w:tr w:rsidR="00B15CB2" w:rsidRPr="00580FBF" w14:paraId="11696FCC" w14:textId="77777777" w:rsidTr="00580FBF">
        <w:tc>
          <w:tcPr>
            <w:tcW w:w="2972" w:type="dxa"/>
          </w:tcPr>
          <w:p w14:paraId="7A373026" w14:textId="77777777" w:rsidR="00B15CB2" w:rsidRPr="00580FBF" w:rsidRDefault="00B15CB2" w:rsidP="00EB3933">
            <w:pPr>
              <w:tabs>
                <w:tab w:val="left" w:pos="284"/>
              </w:tabs>
              <w:spacing w:line="360" w:lineRule="auto"/>
              <w:rPr>
                <w:rFonts w:ascii="Palatino Linotype" w:eastAsia="Palatino Linotype" w:hAnsi="Palatino Linotype" w:cs="Palatino Linotype"/>
                <w:b/>
              </w:rPr>
            </w:pPr>
            <w:r w:rsidRPr="00580FBF">
              <w:rPr>
                <w:rFonts w:ascii="Palatino Linotype" w:eastAsia="Palatino Linotype" w:hAnsi="Palatino Linotype" w:cs="Palatino Linotype"/>
                <w:color w:val="000000"/>
              </w:rPr>
              <w:tab/>
            </w:r>
            <w:r w:rsidRPr="00580FBF">
              <w:rPr>
                <w:rFonts w:ascii="Palatino Linotype" w:eastAsia="Palatino Linotype" w:hAnsi="Palatino Linotype" w:cs="Palatino Linotype"/>
                <w:b/>
              </w:rPr>
              <w:t>a) Requisitos previos.</w:t>
            </w:r>
          </w:p>
        </w:tc>
        <w:tc>
          <w:tcPr>
            <w:tcW w:w="6810" w:type="dxa"/>
          </w:tcPr>
          <w:p w14:paraId="323F0B28"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14:paraId="379BCE3B"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Al hacerlo tienen que precisar de qué información se trata, señalando el supuesto de clasificación (confidencialidad o reserva).</w:t>
            </w:r>
          </w:p>
          <w:p w14:paraId="6F4378F5"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Además, se debe señalar el procedimiento, de los tres que establecen el artículo 132 de la Ley Estatal.</w:t>
            </w:r>
          </w:p>
          <w:p w14:paraId="0A8452CE"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rPr>
            </w:pPr>
            <w:r w:rsidRPr="00580FBF">
              <w:rPr>
                <w:rFonts w:ascii="Palatino Linotype" w:eastAsia="Palatino Linotype" w:hAnsi="Palatino Linotype" w:cs="Palatino Linotype"/>
                <w:i/>
                <w:color w:val="000000"/>
              </w:rPr>
              <w:lastRenderedPageBreak/>
              <w:t xml:space="preserve">El último de estos requisitos previos consiste en que no se pueden emitir acuerdos de carácter general ni particular, esto es, </w:t>
            </w:r>
            <w:r w:rsidRPr="00580FBF">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580FBF">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tc>
      </w:tr>
      <w:tr w:rsidR="00B15CB2" w:rsidRPr="00580FBF" w14:paraId="71ED1EBD" w14:textId="77777777" w:rsidTr="00580FBF">
        <w:tc>
          <w:tcPr>
            <w:tcW w:w="2972" w:type="dxa"/>
            <w:shd w:val="clear" w:color="auto" w:fill="D9D9D9" w:themeFill="background1" w:themeFillShade="D9"/>
          </w:tcPr>
          <w:p w14:paraId="14F2991D" w14:textId="77777777" w:rsidR="00B15CB2" w:rsidRPr="00580FBF" w:rsidRDefault="00B15CB2" w:rsidP="00EB3933">
            <w:pPr>
              <w:tabs>
                <w:tab w:val="left" w:pos="284"/>
              </w:tabs>
              <w:spacing w:line="360" w:lineRule="auto"/>
              <w:rPr>
                <w:rFonts w:ascii="Palatino Linotype" w:eastAsia="Palatino Linotype" w:hAnsi="Palatino Linotype" w:cs="Palatino Linotype"/>
                <w:b/>
              </w:rPr>
            </w:pPr>
            <w:r w:rsidRPr="00580FBF">
              <w:rPr>
                <w:rFonts w:ascii="Palatino Linotype" w:eastAsia="Palatino Linotype" w:hAnsi="Palatino Linotype" w:cs="Palatino Linotype"/>
                <w:b/>
              </w:rPr>
              <w:lastRenderedPageBreak/>
              <w:t>b) Supuestos de clasificación.</w:t>
            </w:r>
          </w:p>
        </w:tc>
        <w:tc>
          <w:tcPr>
            <w:tcW w:w="6810" w:type="dxa"/>
            <w:shd w:val="clear" w:color="auto" w:fill="D9D9D9" w:themeFill="background1" w:themeFillShade="D9"/>
          </w:tcPr>
          <w:p w14:paraId="39E8A342"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14:paraId="2CCBFDE2"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8D797F3"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rPr>
            </w:pPr>
            <w:r w:rsidRPr="00580FBF">
              <w:rPr>
                <w:rFonts w:ascii="Palatino Linotype" w:eastAsia="Palatino Linotype" w:hAnsi="Palatino Linotype" w:cs="Palatino Linotype"/>
                <w:i/>
                <w:color w:val="000000"/>
              </w:rPr>
              <w:t xml:space="preserve">El </w:t>
            </w:r>
            <w:r w:rsidRPr="00580FBF">
              <w:rPr>
                <w:rFonts w:ascii="Palatino Linotype" w:eastAsia="Palatino Linotype" w:hAnsi="Palatino Linotype" w:cs="Palatino Linotype"/>
                <w:b/>
                <w:i/>
                <w:color w:val="000000"/>
              </w:rPr>
              <w:t>Sujeto Obligado</w:t>
            </w:r>
            <w:r w:rsidRPr="00580FBF">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15CB2" w:rsidRPr="00580FBF" w14:paraId="566CCD73" w14:textId="77777777" w:rsidTr="00580FBF">
        <w:tc>
          <w:tcPr>
            <w:tcW w:w="2972" w:type="dxa"/>
          </w:tcPr>
          <w:p w14:paraId="30C13438" w14:textId="77777777" w:rsidR="00B15CB2" w:rsidRPr="00580FBF" w:rsidRDefault="00B15CB2" w:rsidP="00EB3933">
            <w:pPr>
              <w:tabs>
                <w:tab w:val="left" w:pos="284"/>
              </w:tabs>
              <w:spacing w:line="360" w:lineRule="auto"/>
              <w:rPr>
                <w:rFonts w:ascii="Palatino Linotype" w:eastAsia="Palatino Linotype" w:hAnsi="Palatino Linotype" w:cs="Palatino Linotype"/>
                <w:b/>
              </w:rPr>
            </w:pPr>
            <w:r w:rsidRPr="00580FBF">
              <w:rPr>
                <w:rFonts w:ascii="Palatino Linotype" w:eastAsia="Palatino Linotype" w:hAnsi="Palatino Linotype" w:cs="Palatino Linotype"/>
                <w:b/>
              </w:rPr>
              <w:t>c) Formalidades para emitir el acuerdo de clasificación.</w:t>
            </w:r>
          </w:p>
        </w:tc>
        <w:tc>
          <w:tcPr>
            <w:tcW w:w="6810" w:type="dxa"/>
          </w:tcPr>
          <w:p w14:paraId="7EFD100C"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14:paraId="4D5D960B"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Es necesario que </w:t>
            </w:r>
            <w:r w:rsidRPr="00580FBF">
              <w:rPr>
                <w:rFonts w:ascii="Palatino Linotype" w:eastAsia="Palatino Linotype" w:hAnsi="Palatino Linotype" w:cs="Palatino Linotype"/>
                <w:b/>
                <w:i/>
                <w:color w:val="000000"/>
                <w:u w:val="single"/>
              </w:rPr>
              <w:t>el acto reúna con los requisitos elementales</w:t>
            </w:r>
            <w:r w:rsidRPr="00580FBF">
              <w:rPr>
                <w:rFonts w:ascii="Palatino Linotype" w:eastAsia="Palatino Linotype" w:hAnsi="Palatino Linotype" w:cs="Palatino Linotype"/>
                <w:i/>
                <w:color w:val="000000"/>
              </w:rPr>
              <w:t>, entre ellos, que la autoridad que va a emitir el acto de autoridad sea la legalmente facultada para ello.</w:t>
            </w:r>
          </w:p>
          <w:p w14:paraId="1A51FD3D"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rPr>
            </w:pPr>
            <w:r w:rsidRPr="00580FBF">
              <w:rPr>
                <w:rFonts w:ascii="Palatino Linotype" w:eastAsia="Palatino Linotype" w:hAnsi="Palatino Linotype" w:cs="Palatino Linotype"/>
                <w:i/>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580FBF">
              <w:rPr>
                <w:rFonts w:ascii="Palatino Linotype" w:eastAsia="Palatino Linotype" w:hAnsi="Palatino Linotype" w:cs="Palatino Linotype"/>
                <w:i/>
              </w:rPr>
              <w:t>El área</w:t>
            </w:r>
            <w:r w:rsidRPr="00580FBF">
              <w:rPr>
                <w:rFonts w:ascii="Palatino Linotype" w:eastAsia="Palatino Linotype" w:hAnsi="Palatino Linotype" w:cs="Palatino Linotype"/>
                <w:i/>
                <w:color w:val="000000"/>
              </w:rPr>
              <w:t xml:space="preserve"> que administra la información, cuyo análisis </w:t>
            </w:r>
            <w:r w:rsidRPr="00580FBF">
              <w:rPr>
                <w:rFonts w:ascii="Palatino Linotype" w:eastAsia="Palatino Linotype" w:hAnsi="Palatino Linotype" w:cs="Palatino Linotype"/>
                <w:i/>
                <w:color w:val="000000"/>
              </w:rPr>
              <w:lastRenderedPageBreak/>
              <w:t>debe integrarse en la agenda de los asuntos a tratar en las sesiones, se insiste, a partir de las decisiones adoptadas previamente por los titulares de áreas y que son sujetas a control, en primera instancia, por el Comité de Transparencia.</w:t>
            </w:r>
          </w:p>
        </w:tc>
      </w:tr>
      <w:tr w:rsidR="00B15CB2" w:rsidRPr="00580FBF" w14:paraId="06B1F25E" w14:textId="77777777" w:rsidTr="00580FBF">
        <w:tc>
          <w:tcPr>
            <w:tcW w:w="2972" w:type="dxa"/>
            <w:shd w:val="clear" w:color="auto" w:fill="D9D9D9" w:themeFill="background1" w:themeFillShade="D9"/>
          </w:tcPr>
          <w:p w14:paraId="271288C6" w14:textId="77777777" w:rsidR="00B15CB2" w:rsidRPr="00580FBF" w:rsidRDefault="00B15CB2" w:rsidP="00EB3933">
            <w:pPr>
              <w:tabs>
                <w:tab w:val="left" w:pos="284"/>
              </w:tabs>
              <w:spacing w:line="360" w:lineRule="auto"/>
              <w:rPr>
                <w:rFonts w:ascii="Palatino Linotype" w:eastAsia="Palatino Linotype" w:hAnsi="Palatino Linotype" w:cs="Palatino Linotype"/>
                <w:b/>
              </w:rPr>
            </w:pPr>
          </w:p>
          <w:p w14:paraId="0D15DF29" w14:textId="77777777" w:rsidR="00B15CB2" w:rsidRPr="00580FBF" w:rsidRDefault="00B15CB2" w:rsidP="00EB3933">
            <w:pPr>
              <w:tabs>
                <w:tab w:val="left" w:pos="284"/>
              </w:tabs>
              <w:spacing w:line="360" w:lineRule="auto"/>
              <w:jc w:val="both"/>
              <w:rPr>
                <w:rFonts w:ascii="Palatino Linotype" w:eastAsia="Palatino Linotype" w:hAnsi="Palatino Linotype" w:cs="Palatino Linotype"/>
                <w:b/>
              </w:rPr>
            </w:pPr>
            <w:r w:rsidRPr="00580FBF">
              <w:rPr>
                <w:rFonts w:ascii="Palatino Linotype" w:eastAsia="Palatino Linotype" w:hAnsi="Palatino Linotype" w:cs="Palatino Linotype"/>
                <w:b/>
                <w:color w:val="000000"/>
              </w:rPr>
              <w:t xml:space="preserve">d) Requisitos de fondo del acuerdo de clasificación. </w:t>
            </w:r>
          </w:p>
        </w:tc>
        <w:tc>
          <w:tcPr>
            <w:tcW w:w="6810" w:type="dxa"/>
            <w:shd w:val="clear" w:color="auto" w:fill="D9D9D9" w:themeFill="background1" w:themeFillShade="D9"/>
          </w:tcPr>
          <w:p w14:paraId="1B1EE976"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80FBF">
              <w:rPr>
                <w:rFonts w:ascii="Palatino Linotype" w:eastAsia="Palatino Linotype" w:hAnsi="Palatino Linotype" w:cs="Palatino Linotype"/>
                <w:b/>
                <w:i/>
                <w:color w:val="000000"/>
              </w:rPr>
              <w:t>Sujetos Obligados</w:t>
            </w:r>
            <w:r w:rsidRPr="00580FBF">
              <w:rPr>
                <w:rFonts w:ascii="Palatino Linotype" w:eastAsia="Palatino Linotype" w:hAnsi="Palatino Linotype" w:cs="Palatino Linotype"/>
                <w:i/>
                <w:color w:val="000000"/>
              </w:rPr>
              <w:t xml:space="preserve">, por lo que deberán fundar y motivar debidamente la clasificación. </w:t>
            </w:r>
          </w:p>
          <w:p w14:paraId="0BEF04E0"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De lo anterior, se desprende que para una correcta </w:t>
            </w:r>
            <w:r w:rsidRPr="00580FBF">
              <w:rPr>
                <w:rFonts w:ascii="Palatino Linotype" w:eastAsia="Palatino Linotype" w:hAnsi="Palatino Linotype" w:cs="Palatino Linotype"/>
                <w:b/>
                <w:i/>
                <w:color w:val="000000"/>
              </w:rPr>
              <w:t>clasificación total o parcial</w:t>
            </w:r>
            <w:r w:rsidRPr="00580FBF">
              <w:rPr>
                <w:rFonts w:ascii="Palatino Linotype" w:eastAsia="Palatino Linotype" w:hAnsi="Palatino Linotype" w:cs="Palatino Linotype"/>
                <w:i/>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6B9AB0E8"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2881A294"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14:paraId="1046C9A1"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Ahora bien, </w:t>
            </w:r>
            <w:r w:rsidRPr="00580FBF">
              <w:rPr>
                <w:rFonts w:ascii="Palatino Linotype" w:eastAsia="Palatino Linotype" w:hAnsi="Palatino Linotype" w:cs="Palatino Linotype"/>
                <w:b/>
                <w:i/>
                <w:color w:val="000000"/>
                <w:u w:val="single"/>
              </w:rPr>
              <w:t>para cada caso además de fundar y motivar</w:t>
            </w:r>
            <w:r w:rsidRPr="00580FBF">
              <w:rPr>
                <w:rFonts w:ascii="Palatino Linotype" w:eastAsia="Palatino Linotype" w:hAnsi="Palatino Linotype" w:cs="Palatino Linotype"/>
                <w:i/>
                <w:color w:val="000000"/>
              </w:rPr>
              <w:t xml:space="preserve">, se debe identificar con claridad </w:t>
            </w:r>
            <w:r w:rsidRPr="00580FBF">
              <w:rPr>
                <w:rFonts w:ascii="Palatino Linotype" w:eastAsia="Palatino Linotype" w:hAnsi="Palatino Linotype" w:cs="Palatino Linotype"/>
                <w:i/>
              </w:rPr>
              <w:t>qué</w:t>
            </w:r>
            <w:r w:rsidRPr="00580FBF">
              <w:rPr>
                <w:rFonts w:ascii="Palatino Linotype" w:eastAsia="Palatino Linotype" w:hAnsi="Palatino Linotype" w:cs="Palatino Linotype"/>
                <w:i/>
                <w:color w:val="000000"/>
              </w:rPr>
              <w:t xml:space="preserve"> datos contenidos en las documentales que son susceptibles de suprimirse, por ejemplo; Clave Única de Registro de Población (CURP), Registro Federal de Contribuyentes (R.F.C.), </w:t>
            </w:r>
            <w:r w:rsidRPr="00580FBF">
              <w:rPr>
                <w:rFonts w:ascii="Palatino Linotype" w:eastAsia="Palatino Linotype" w:hAnsi="Palatino Linotype" w:cs="Palatino Linotype"/>
                <w:i/>
                <w:color w:val="000000"/>
              </w:rPr>
              <w:lastRenderedPageBreak/>
              <w:t>claves de seguros, préstamos o descuentos personales, secretos bancario, fiduciario, industrial, comercial, fiscal, bursátil y postal, cuya titularidad corresponda a particulares, entre otros.</w:t>
            </w:r>
          </w:p>
        </w:tc>
      </w:tr>
      <w:tr w:rsidR="00B15CB2" w:rsidRPr="00580FBF" w14:paraId="39A3CEF5" w14:textId="77777777" w:rsidTr="00580FBF">
        <w:tc>
          <w:tcPr>
            <w:tcW w:w="2972" w:type="dxa"/>
          </w:tcPr>
          <w:p w14:paraId="73ABC18F" w14:textId="77777777" w:rsidR="00B15CB2" w:rsidRPr="00580FBF" w:rsidRDefault="00B15CB2" w:rsidP="00EB3933">
            <w:pPr>
              <w:tabs>
                <w:tab w:val="left" w:pos="284"/>
              </w:tabs>
              <w:spacing w:line="360" w:lineRule="auto"/>
              <w:jc w:val="both"/>
              <w:rPr>
                <w:rFonts w:ascii="Palatino Linotype" w:eastAsia="Palatino Linotype" w:hAnsi="Palatino Linotype" w:cs="Palatino Linotype"/>
                <w:b/>
              </w:rPr>
            </w:pPr>
            <w:r w:rsidRPr="00580FBF">
              <w:rPr>
                <w:rFonts w:ascii="Palatino Linotype" w:eastAsia="Palatino Linotype" w:hAnsi="Palatino Linotype" w:cs="Palatino Linotype"/>
                <w:b/>
              </w:rPr>
              <w:lastRenderedPageBreak/>
              <w:t xml:space="preserve">e) Condiciones especiales de la clasificación de la información como confidencial. </w:t>
            </w:r>
          </w:p>
        </w:tc>
        <w:tc>
          <w:tcPr>
            <w:tcW w:w="6810" w:type="dxa"/>
          </w:tcPr>
          <w:p w14:paraId="1F2D7ABF"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Los artículos 148 de la Ley Estatal establece que aun tratándose de datos personales, se podrán proporcionar, incluso sin solicitar el consentimiento de su titular. </w:t>
            </w:r>
          </w:p>
          <w:p w14:paraId="2ECAA52A" w14:textId="77777777" w:rsidR="00B15CB2" w:rsidRPr="00580FBF" w:rsidRDefault="00B15CB2" w:rsidP="00EB3933">
            <w:pPr>
              <w:tabs>
                <w:tab w:val="left" w:pos="284"/>
              </w:tabs>
              <w:spacing w:line="276" w:lineRule="auto"/>
              <w:jc w:val="both"/>
              <w:rPr>
                <w:rFonts w:ascii="Palatino Linotype" w:eastAsia="Palatino Linotype" w:hAnsi="Palatino Linotype" w:cs="Palatino Linotype"/>
                <w:i/>
                <w:color w:val="000000"/>
              </w:rPr>
            </w:pPr>
            <w:r w:rsidRPr="00580FBF">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2F2F0371" w14:textId="77777777" w:rsidR="00B15CB2" w:rsidRPr="00580FBF" w:rsidRDefault="00B15CB2" w:rsidP="00EB3933">
            <w:pPr>
              <w:tabs>
                <w:tab w:val="left" w:pos="284"/>
              </w:tabs>
              <w:spacing w:line="276" w:lineRule="auto"/>
              <w:rPr>
                <w:rFonts w:ascii="Palatino Linotype" w:eastAsia="Palatino Linotype" w:hAnsi="Palatino Linotype" w:cs="Palatino Linotype"/>
                <w:i/>
              </w:rPr>
            </w:pPr>
            <w:r w:rsidRPr="00580FBF">
              <w:rPr>
                <w:rFonts w:ascii="Palatino Linotype" w:eastAsia="Palatino Linotype" w:hAnsi="Palatino Linotype" w:cs="Palatino Linotype"/>
                <w:i/>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5C475CBA" w14:textId="77777777" w:rsidR="00B15CB2" w:rsidRPr="00580FBF" w:rsidRDefault="00B15CB2" w:rsidP="00B15CB2">
      <w:pPr>
        <w:rPr>
          <w:rFonts w:ascii="Palatino Linotype" w:hAnsi="Palatino Linotype"/>
        </w:rPr>
      </w:pPr>
    </w:p>
    <w:p w14:paraId="38BD2F9A" w14:textId="77777777" w:rsidR="00682B87" w:rsidRPr="00580FBF" w:rsidRDefault="00682B87" w:rsidP="00682B87">
      <w:pPr>
        <w:numPr>
          <w:ilvl w:val="0"/>
          <w:numId w:val="3"/>
        </w:numPr>
        <w:spacing w:line="360" w:lineRule="auto"/>
        <w:ind w:left="0" w:right="-28" w:firstLine="0"/>
        <w:jc w:val="both"/>
      </w:pPr>
      <w:r w:rsidRPr="00580FBF">
        <w:rPr>
          <w:rFonts w:ascii="Palatino Linotype" w:eastAsia="Palatino Linotype" w:hAnsi="Palatino Linotype" w:cs="Palatino Linotype"/>
        </w:rPr>
        <w:t xml:space="preserve">Resulta importante señalar que </w:t>
      </w:r>
      <w:r w:rsidRPr="00580FBF">
        <w:rPr>
          <w:rFonts w:ascii="Palatino Linotype" w:hAnsi="Palatino Linotype"/>
          <w:color w:val="000000"/>
        </w:rPr>
        <w:t>tratándose de las cuentas bancarias o claves interbancarias de los Sujetos Obligados ya que su publicidad cede a la rendición de cuentas al transparentar la forma en que son administrados los recursos públicos.</w:t>
      </w:r>
    </w:p>
    <w:p w14:paraId="4CD7ED3A" w14:textId="77777777" w:rsidR="00682B87" w:rsidRPr="00580FBF" w:rsidRDefault="00682B87" w:rsidP="00682B87">
      <w:pPr>
        <w:spacing w:line="360" w:lineRule="auto"/>
        <w:ind w:right="-28"/>
        <w:jc w:val="both"/>
      </w:pPr>
    </w:p>
    <w:p w14:paraId="12B4B273" w14:textId="77777777" w:rsidR="00682B87" w:rsidRPr="00580FBF" w:rsidRDefault="00682B87" w:rsidP="00682B87">
      <w:pPr>
        <w:numPr>
          <w:ilvl w:val="0"/>
          <w:numId w:val="3"/>
        </w:numPr>
        <w:spacing w:line="360" w:lineRule="auto"/>
        <w:ind w:left="0" w:right="-28" w:firstLine="0"/>
        <w:jc w:val="both"/>
      </w:pPr>
      <w:r w:rsidRPr="00580FBF">
        <w:rPr>
          <w:rFonts w:ascii="Palatino Linotype" w:hAnsi="Palatino Linotype"/>
          <w:color w:val="000000"/>
        </w:rPr>
        <w:t>Lo argumentado encuentra sustento en los criterios orientadores 10/17 y 11/17 emitidos por el Instituto Nacional de Transparencia, Acceso a la Información y Protección de Datos Personales, INAI, que llevan por rubro y texto los siguientes:</w:t>
      </w:r>
    </w:p>
    <w:p w14:paraId="392E9A3A" w14:textId="77777777" w:rsidR="00682B87" w:rsidRPr="00580FBF" w:rsidRDefault="00682B87" w:rsidP="00682B87">
      <w:pPr>
        <w:pStyle w:val="NormalWeb"/>
        <w:spacing w:before="240" w:beforeAutospacing="0" w:after="240" w:afterAutospacing="0"/>
        <w:ind w:left="567" w:right="539"/>
        <w:jc w:val="both"/>
      </w:pPr>
      <w:r w:rsidRPr="00580FBF">
        <w:rPr>
          <w:rFonts w:ascii="Palatino Linotype" w:hAnsi="Palatino Linotype"/>
          <w:b/>
          <w:bCs/>
          <w:i/>
          <w:iCs/>
          <w:color w:val="000000"/>
        </w:rPr>
        <w:t>“Cuentas bancarias y/o CLABE interbancaria de personas físicas y morales privadas.</w:t>
      </w:r>
      <w:r w:rsidRPr="00580FBF">
        <w:rPr>
          <w:rFonts w:ascii="Palatino Linotype" w:hAnsi="Palatino Linotype"/>
          <w:i/>
          <w:iCs/>
          <w:color w:val="000000"/>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w:t>
      </w:r>
      <w:r w:rsidRPr="00580FBF">
        <w:rPr>
          <w:rFonts w:ascii="Palatino Linotype" w:hAnsi="Palatino Linotype"/>
          <w:i/>
          <w:iCs/>
          <w:color w:val="000000"/>
        </w:rPr>
        <w:lastRenderedPageBreak/>
        <w:t>artículos 116 de la Ley General de Transparencia y Acceso a la Información Pública y 113 de la Ley Federal de Transparencia y Acceso a la Información Pública.</w:t>
      </w:r>
    </w:p>
    <w:p w14:paraId="4BDF829A" w14:textId="77777777" w:rsidR="00682B87" w:rsidRPr="00580FBF" w:rsidRDefault="00682B87" w:rsidP="00682B87">
      <w:pPr>
        <w:pStyle w:val="NormalWeb"/>
        <w:spacing w:before="240" w:beforeAutospacing="0" w:after="240" w:afterAutospacing="0"/>
        <w:ind w:left="567" w:right="539"/>
        <w:jc w:val="both"/>
        <w:rPr>
          <w:rFonts w:ascii="Palatino Linotype" w:hAnsi="Palatino Linotype"/>
          <w:i/>
          <w:iCs/>
          <w:color w:val="000000"/>
        </w:rPr>
      </w:pPr>
      <w:r w:rsidRPr="00580FBF">
        <w:rPr>
          <w:rFonts w:ascii="Palatino Linotype" w:hAnsi="Palatino Linotype"/>
          <w:b/>
          <w:bCs/>
          <w:i/>
          <w:iCs/>
          <w:color w:val="000000"/>
        </w:rPr>
        <w:t>Cuentas bancarias y/o CLABE interbancaria de sujetos obligados que reciben y/o transfieren recursos públicos, son información pública</w:t>
      </w:r>
      <w:r w:rsidRPr="00580FBF">
        <w:rPr>
          <w:rFonts w:ascii="Palatino Linotype" w:hAnsi="Palatino Linotype"/>
          <w:i/>
          <w:iCs/>
          <w:color w:val="000000"/>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58A23E7D" w14:textId="77777777" w:rsidR="00682B87" w:rsidRPr="00580FBF" w:rsidRDefault="00682B87" w:rsidP="00682B87">
      <w:pPr>
        <w:pStyle w:val="NormalWeb"/>
        <w:spacing w:before="0" w:beforeAutospacing="0" w:after="0" w:afterAutospacing="0"/>
        <w:ind w:right="-28"/>
        <w:jc w:val="both"/>
      </w:pPr>
    </w:p>
    <w:p w14:paraId="63441481" w14:textId="77777777" w:rsidR="00682B87" w:rsidRPr="00580FBF" w:rsidRDefault="00682B87" w:rsidP="00682B87">
      <w:pPr>
        <w:numPr>
          <w:ilvl w:val="0"/>
          <w:numId w:val="3"/>
        </w:numPr>
        <w:spacing w:line="360" w:lineRule="auto"/>
        <w:ind w:left="0" w:right="-28" w:firstLine="0"/>
        <w:jc w:val="both"/>
      </w:pPr>
      <w:r w:rsidRPr="00580FBF">
        <w:rPr>
          <w:rFonts w:ascii="Palatino Linotype" w:hAnsi="Palatino Linotype"/>
          <w:color w:val="000000"/>
        </w:rPr>
        <w:t xml:space="preserve">Por cuanto hace al </w:t>
      </w:r>
      <w:r w:rsidRPr="00580FBF">
        <w:rPr>
          <w:rFonts w:ascii="Palatino Linotype" w:hAnsi="Palatino Linotype"/>
          <w:b/>
          <w:bCs/>
          <w:color w:val="000000"/>
        </w:rPr>
        <w:t xml:space="preserve">Registro Federal de Contribuyentes (RFC), </w:t>
      </w:r>
      <w:r w:rsidRPr="00580FBF">
        <w:rPr>
          <w:rFonts w:ascii="Palatino Linotype" w:hAnsi="Palatino Linotype"/>
          <w:color w:val="000000"/>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45D38390" w14:textId="77777777" w:rsidR="00682B87" w:rsidRPr="00580FBF" w:rsidRDefault="00682B87" w:rsidP="00682B87">
      <w:pPr>
        <w:spacing w:line="360" w:lineRule="auto"/>
        <w:ind w:right="-28"/>
        <w:jc w:val="both"/>
      </w:pPr>
    </w:p>
    <w:p w14:paraId="5E6AF7F6" w14:textId="77777777" w:rsidR="00682B87" w:rsidRPr="00580FBF" w:rsidRDefault="00682B87" w:rsidP="00682B87">
      <w:pPr>
        <w:numPr>
          <w:ilvl w:val="0"/>
          <w:numId w:val="3"/>
        </w:numPr>
        <w:spacing w:line="360" w:lineRule="auto"/>
        <w:ind w:left="0" w:right="-28" w:firstLine="0"/>
        <w:jc w:val="both"/>
      </w:pPr>
      <w:r w:rsidRPr="00580FBF">
        <w:rPr>
          <w:rFonts w:ascii="Palatino Linotype" w:hAnsi="Palatino Linotype"/>
          <w:color w:val="000000"/>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48B7919A" w14:textId="77777777" w:rsidR="00682B87" w:rsidRPr="00580FBF" w:rsidRDefault="00682B87" w:rsidP="00682B87">
      <w:pPr>
        <w:spacing w:line="360" w:lineRule="auto"/>
        <w:ind w:right="-28"/>
        <w:jc w:val="both"/>
      </w:pPr>
    </w:p>
    <w:p w14:paraId="455996BD" w14:textId="77777777" w:rsidR="00682B87" w:rsidRPr="00580FBF" w:rsidRDefault="00682B87" w:rsidP="00682B87">
      <w:pPr>
        <w:numPr>
          <w:ilvl w:val="0"/>
          <w:numId w:val="3"/>
        </w:numPr>
        <w:spacing w:line="360" w:lineRule="auto"/>
        <w:ind w:left="0" w:right="-28" w:firstLine="0"/>
        <w:jc w:val="both"/>
      </w:pPr>
      <w:r w:rsidRPr="00580FBF">
        <w:rPr>
          <w:rFonts w:ascii="Palatino Linotype" w:hAnsi="Palatino Linotype"/>
          <w:color w:val="000000"/>
        </w:rPr>
        <w:t xml:space="preserve">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w:t>
      </w:r>
      <w:r w:rsidRPr="00580FBF">
        <w:rPr>
          <w:rFonts w:ascii="Palatino Linotype" w:hAnsi="Palatino Linotype"/>
          <w:color w:val="000000"/>
        </w:rPr>
        <w:lastRenderedPageBreak/>
        <w:t>contribuyentes y domicilio fiscal, atento a que dicha información es la que puede generar certeza en los gobernados en que se está ejerciendo debidamente el presupuesto.</w:t>
      </w:r>
    </w:p>
    <w:p w14:paraId="18F8A9AD" w14:textId="77777777" w:rsidR="00682B87" w:rsidRPr="00580FBF" w:rsidRDefault="00682B87" w:rsidP="00682B87">
      <w:pPr>
        <w:spacing w:line="360" w:lineRule="auto"/>
        <w:ind w:right="-28"/>
        <w:jc w:val="both"/>
      </w:pPr>
    </w:p>
    <w:p w14:paraId="16922399" w14:textId="77777777" w:rsidR="00682B87" w:rsidRPr="00580FBF" w:rsidRDefault="00682B87" w:rsidP="00682B87">
      <w:pPr>
        <w:numPr>
          <w:ilvl w:val="0"/>
          <w:numId w:val="3"/>
        </w:numPr>
        <w:spacing w:line="360" w:lineRule="auto"/>
        <w:ind w:left="0" w:right="-28" w:firstLine="0"/>
        <w:jc w:val="both"/>
      </w:pPr>
      <w:r w:rsidRPr="00580FBF">
        <w:rPr>
          <w:rFonts w:ascii="Palatino Linotype" w:hAnsi="Palatino Linotype"/>
          <w:color w:val="000000"/>
        </w:rPr>
        <w:t>Robustece lo anterior el criterio orientador orientador 04/21 emitido por el Instituto Nacional de Transparencia, Acceso a la Información y Protección de Datos Personales, INAI, el cual refiere:</w:t>
      </w:r>
    </w:p>
    <w:p w14:paraId="7F6C5E93" w14:textId="77777777" w:rsidR="00682B87" w:rsidRPr="00580FBF" w:rsidRDefault="00682B87" w:rsidP="00682B87">
      <w:pPr>
        <w:pStyle w:val="NormalWeb"/>
        <w:tabs>
          <w:tab w:val="left" w:pos="7938"/>
        </w:tabs>
        <w:spacing w:before="120" w:beforeAutospacing="0" w:after="120" w:afterAutospacing="0"/>
        <w:ind w:left="567" w:right="539"/>
        <w:jc w:val="both"/>
        <w:rPr>
          <w:rFonts w:ascii="Palatino Linotype" w:hAnsi="Palatino Linotype"/>
          <w:i/>
          <w:iCs/>
          <w:color w:val="000000"/>
        </w:rPr>
      </w:pPr>
      <w:r w:rsidRPr="00580FBF">
        <w:rPr>
          <w:rFonts w:ascii="Palatino Linotype" w:hAnsi="Palatino Linotype"/>
          <w:b/>
          <w:bCs/>
          <w:i/>
          <w:iCs/>
          <w:color w:val="000000"/>
        </w:rPr>
        <w:t xml:space="preserve">“Registro Federal de Contribuyentes (RFC) de personas físicas proveedoras o contratistas. </w:t>
      </w:r>
      <w:r w:rsidRPr="00580FBF">
        <w:rPr>
          <w:rFonts w:ascii="Palatino Linotype" w:hAnsi="Palatino Linotype"/>
          <w:i/>
          <w:iCs/>
          <w:color w:val="000000"/>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7B751DDE" w14:textId="77777777" w:rsidR="00682B87" w:rsidRPr="00580FBF" w:rsidRDefault="00682B87" w:rsidP="00682B87">
      <w:pPr>
        <w:pStyle w:val="NormalWeb"/>
        <w:tabs>
          <w:tab w:val="left" w:pos="7938"/>
        </w:tabs>
        <w:spacing w:before="120" w:beforeAutospacing="0" w:after="120" w:afterAutospacing="0"/>
        <w:ind w:right="-28"/>
        <w:jc w:val="both"/>
      </w:pPr>
    </w:p>
    <w:p w14:paraId="5707C036" w14:textId="77777777" w:rsidR="00682B87" w:rsidRPr="00580FBF" w:rsidRDefault="00682B87" w:rsidP="00682B87">
      <w:pPr>
        <w:numPr>
          <w:ilvl w:val="0"/>
          <w:numId w:val="3"/>
        </w:numPr>
        <w:spacing w:line="360" w:lineRule="auto"/>
        <w:ind w:left="0" w:right="-28" w:firstLine="0"/>
        <w:jc w:val="both"/>
      </w:pPr>
      <w:r w:rsidRPr="00580FBF">
        <w:rPr>
          <w:rFonts w:ascii="Palatino Linotype" w:hAnsi="Palatino Linotype"/>
          <w:color w:val="000000"/>
        </w:rPr>
        <w:t>Relacionado con lo anterior, el nombre de las personas físicas o los representantes legales de las personas morales,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5F65CD7A" w14:textId="77777777" w:rsidR="00682B87" w:rsidRPr="00580FBF" w:rsidRDefault="00682B87" w:rsidP="00682B87">
      <w:pPr>
        <w:spacing w:line="360" w:lineRule="auto"/>
        <w:ind w:right="-28"/>
        <w:jc w:val="both"/>
      </w:pPr>
    </w:p>
    <w:p w14:paraId="5F88B6CE" w14:textId="77777777" w:rsidR="00682B87" w:rsidRPr="00580FBF" w:rsidRDefault="00682B87" w:rsidP="00682B87">
      <w:pPr>
        <w:numPr>
          <w:ilvl w:val="0"/>
          <w:numId w:val="3"/>
        </w:numPr>
        <w:spacing w:line="360" w:lineRule="auto"/>
        <w:ind w:left="0" w:right="-28" w:firstLine="0"/>
        <w:jc w:val="both"/>
      </w:pPr>
      <w:r w:rsidRPr="00580FBF">
        <w:rPr>
          <w:rFonts w:ascii="Palatino Linotype" w:hAnsi="Palatino Linotype"/>
          <w:color w:val="000000"/>
        </w:rPr>
        <w:lastRenderedPageBreak/>
        <w:t>Argumentación que guarda sustento en lo estipulado por el artículo 23 de la Ley de Transparencia y Acceso a la Información Pública del Estado de México y Municipios en su penúltimo párrafo, mismo que es del tenor literal siguiente:</w:t>
      </w:r>
    </w:p>
    <w:p w14:paraId="1AD9F5D9" w14:textId="77777777" w:rsidR="00682B87" w:rsidRPr="00580FBF" w:rsidRDefault="00682B87" w:rsidP="00682B87">
      <w:pPr>
        <w:pStyle w:val="NormalWeb"/>
        <w:spacing w:before="120" w:beforeAutospacing="0" w:after="120" w:afterAutospacing="0"/>
        <w:ind w:left="567" w:right="539"/>
        <w:jc w:val="both"/>
      </w:pPr>
      <w:r w:rsidRPr="00580FBF">
        <w:rPr>
          <w:rFonts w:ascii="Palatino Linotype" w:hAnsi="Palatino Linotype"/>
          <w:i/>
          <w:iCs/>
          <w:color w:val="000000"/>
        </w:rPr>
        <w:t>“</w:t>
      </w:r>
      <w:r w:rsidRPr="00580FBF">
        <w:rPr>
          <w:rFonts w:ascii="Palatino Linotype" w:hAnsi="Palatino Linotype"/>
          <w:b/>
          <w:bCs/>
          <w:i/>
          <w:iCs/>
          <w:color w:val="000000"/>
        </w:rPr>
        <w:t>Artículo 23.</w:t>
      </w:r>
      <w:r w:rsidRPr="00580FBF">
        <w:rPr>
          <w:rFonts w:ascii="Palatino Linotype" w:hAnsi="Palatino Linotype"/>
          <w:i/>
          <w:iCs/>
          <w:color w:val="000000"/>
        </w:rPr>
        <w:t xml:space="preserve"> (…)</w:t>
      </w:r>
    </w:p>
    <w:p w14:paraId="36B946B9" w14:textId="77777777" w:rsidR="00682B87" w:rsidRPr="00580FBF" w:rsidRDefault="00682B87" w:rsidP="00682B87">
      <w:pPr>
        <w:pStyle w:val="NormalWeb"/>
        <w:spacing w:before="120" w:beforeAutospacing="0" w:after="120" w:afterAutospacing="0"/>
        <w:ind w:left="567" w:right="539"/>
        <w:jc w:val="both"/>
        <w:rPr>
          <w:rFonts w:ascii="Palatino Linotype" w:hAnsi="Palatino Linotype"/>
          <w:i/>
          <w:iCs/>
          <w:color w:val="000000"/>
        </w:rPr>
      </w:pPr>
      <w:r w:rsidRPr="00580FBF">
        <w:rPr>
          <w:rFonts w:ascii="Palatino Linotype" w:hAnsi="Palatino Linotype"/>
          <w:i/>
          <w:iCs/>
          <w:color w:val="000000"/>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7CDAE638" w14:textId="77777777" w:rsidR="00682B87" w:rsidRPr="00580FBF" w:rsidRDefault="00682B87" w:rsidP="00682B87">
      <w:pPr>
        <w:pStyle w:val="NormalWeb"/>
        <w:tabs>
          <w:tab w:val="left" w:pos="7938"/>
        </w:tabs>
        <w:spacing w:before="120" w:beforeAutospacing="0" w:after="120" w:afterAutospacing="0"/>
        <w:ind w:right="-28"/>
        <w:jc w:val="both"/>
      </w:pPr>
    </w:p>
    <w:p w14:paraId="74BEE954" w14:textId="77777777" w:rsidR="00682B87" w:rsidRPr="00580FBF" w:rsidRDefault="00682B87" w:rsidP="00682B87">
      <w:pPr>
        <w:numPr>
          <w:ilvl w:val="0"/>
          <w:numId w:val="3"/>
        </w:numPr>
        <w:spacing w:line="360" w:lineRule="auto"/>
        <w:ind w:left="0" w:right="-28" w:firstLine="0"/>
        <w:jc w:val="both"/>
      </w:pPr>
      <w:r w:rsidRPr="00580FBF">
        <w:rPr>
          <w:rFonts w:ascii="Palatino Linotype" w:hAnsi="Palatino Linotype"/>
          <w:color w:val="000000"/>
        </w:rPr>
        <w:t>Asimismo, resulta aplicable el contenido del criterio de interpretación 01/19 emitido por el Instituto Nacional de Transparencia, Acceso a la Información, y Protección de Datos Personales, INAI, que lleva por rubro y texto los siguientes:</w:t>
      </w:r>
    </w:p>
    <w:p w14:paraId="5B0A2670" w14:textId="77777777" w:rsidR="00682B87" w:rsidRPr="00580FBF" w:rsidRDefault="00682B87" w:rsidP="00682B87">
      <w:pPr>
        <w:spacing w:line="360" w:lineRule="auto"/>
        <w:ind w:right="-28"/>
        <w:jc w:val="both"/>
      </w:pPr>
    </w:p>
    <w:p w14:paraId="2F717852" w14:textId="77777777" w:rsidR="00682B87" w:rsidRPr="00580FBF" w:rsidRDefault="00682B87" w:rsidP="00682B87">
      <w:pPr>
        <w:pStyle w:val="NormalWeb"/>
        <w:spacing w:before="0" w:beforeAutospacing="0" w:after="0" w:afterAutospacing="0"/>
        <w:ind w:left="567" w:right="539"/>
        <w:jc w:val="both"/>
        <w:rPr>
          <w:rFonts w:ascii="Palatino Linotype" w:hAnsi="Palatino Linotype"/>
          <w:i/>
          <w:iCs/>
          <w:color w:val="000000"/>
        </w:rPr>
      </w:pPr>
      <w:r w:rsidRPr="00580FBF">
        <w:rPr>
          <w:rFonts w:ascii="Palatino Linotype" w:hAnsi="Palatino Linotype"/>
          <w:b/>
          <w:bCs/>
          <w:i/>
          <w:iCs/>
          <w:color w:val="000000"/>
        </w:rPr>
        <w:t>“Datos de identificación del representante o apoderado legal.</w:t>
      </w:r>
      <w:r w:rsidRPr="00580FBF">
        <w:rPr>
          <w:rFonts w:ascii="Palatino Linotype" w:hAnsi="Palatino Linotype"/>
          <w:i/>
          <w:iCs/>
          <w:color w:val="000000"/>
        </w:rPr>
        <w:t xml:space="preserve"> </w:t>
      </w:r>
      <w:r w:rsidRPr="00580FBF">
        <w:rPr>
          <w:rFonts w:ascii="Palatino Linotype" w:hAnsi="Palatino Linotype"/>
          <w:b/>
          <w:bCs/>
          <w:i/>
          <w:iCs/>
          <w:color w:val="000000"/>
        </w:rPr>
        <w:t xml:space="preserve">Naturaleza jurídica. </w:t>
      </w:r>
      <w:r w:rsidRPr="00580FBF">
        <w:rPr>
          <w:rFonts w:ascii="Palatino Linotype" w:hAnsi="Palatino Linotype"/>
          <w:i/>
          <w:iCs/>
          <w:color w:val="000000"/>
        </w:rPr>
        <w:t xml:space="preserve">El nombre, la firma y la rúbrica de una persona física, que actúe como representante o apoderado legal de un tercero que haya celebrado un acto jurídico, con algún sujeto obligado, </w:t>
      </w:r>
      <w:r w:rsidRPr="00580FBF">
        <w:rPr>
          <w:rFonts w:ascii="Palatino Linotype" w:hAnsi="Palatino Linotype"/>
          <w:b/>
          <w:bCs/>
          <w:i/>
          <w:iCs/>
          <w:color w:val="000000"/>
        </w:rPr>
        <w:t>es información pública, en razón de que tales datos fueron proporcionados con el objeto de expresar el consentimiento obligacional del tercero y otorgar validez a dicho instrumento jurídico</w:t>
      </w:r>
      <w:r w:rsidRPr="00580FBF">
        <w:rPr>
          <w:rFonts w:ascii="Palatino Linotype" w:hAnsi="Palatino Linotype"/>
          <w:i/>
          <w:iCs/>
          <w:color w:val="000000"/>
        </w:rPr>
        <w:t>.”</w:t>
      </w:r>
    </w:p>
    <w:p w14:paraId="2F21AF44" w14:textId="77777777" w:rsidR="00682B87" w:rsidRPr="00580FBF" w:rsidRDefault="00682B87" w:rsidP="00682B87">
      <w:pPr>
        <w:pStyle w:val="NormalWeb"/>
        <w:spacing w:before="0" w:beforeAutospacing="0" w:after="0" w:afterAutospacing="0"/>
        <w:ind w:right="-28"/>
        <w:jc w:val="both"/>
      </w:pPr>
    </w:p>
    <w:p w14:paraId="3A4D9680" w14:textId="77777777" w:rsidR="00682B87" w:rsidRPr="00580FBF" w:rsidRDefault="00682B87" w:rsidP="00682B87">
      <w:pPr>
        <w:spacing w:line="360" w:lineRule="auto"/>
        <w:ind w:right="-28"/>
        <w:jc w:val="both"/>
        <w:rPr>
          <w:rFonts w:ascii="Palatino Linotype" w:eastAsia="Palatino Linotype" w:hAnsi="Palatino Linotype" w:cs="Palatino Linotype"/>
        </w:rPr>
      </w:pPr>
    </w:p>
    <w:p w14:paraId="4D937B53" w14:textId="77777777" w:rsidR="00682B87" w:rsidRPr="00580FBF" w:rsidRDefault="00682B87" w:rsidP="00682B87">
      <w:pPr>
        <w:numPr>
          <w:ilvl w:val="0"/>
          <w:numId w:val="3"/>
        </w:numPr>
        <w:spacing w:line="360" w:lineRule="auto"/>
        <w:ind w:left="0" w:right="-28"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En ese sentido, el </w:t>
      </w:r>
      <w:r w:rsidRPr="00580FBF">
        <w:rPr>
          <w:rFonts w:ascii="Palatino Linotype" w:eastAsia="Palatino Linotype" w:hAnsi="Palatino Linotype" w:cs="Palatino Linotype"/>
          <w:b/>
        </w:rPr>
        <w:t>SUJETO OBLIGADO</w:t>
      </w:r>
      <w:r w:rsidRPr="00580FBF">
        <w:rPr>
          <w:rFonts w:ascii="Palatino Linotype" w:eastAsia="Palatino Linotype" w:hAnsi="Palatino Linotype" w:cs="Palatino Linotype"/>
        </w:rPr>
        <w:t xml:space="preserve"> deberá de emitir el Acuerdo del Comité de Transparencia, mediante el cual de manera fundada y motivada establezca las razones que llevaron al Sujeto Obligado a testar, suprimir o eliminar datos de dicho soporte </w:t>
      </w:r>
      <w:r w:rsidRPr="00580FBF">
        <w:rPr>
          <w:rFonts w:ascii="Palatino Linotype" w:hAnsi="Palatino Linotype"/>
          <w:color w:val="000000"/>
        </w:rPr>
        <w:t>documental</w:t>
      </w:r>
      <w:r w:rsidRPr="00580FBF">
        <w:rPr>
          <w:rFonts w:ascii="Palatino Linotype" w:eastAsia="Palatino Linotype" w:hAnsi="Palatino Linotype" w:cs="Palatino Linotype"/>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44517441" w14:textId="77777777" w:rsidR="00682B87" w:rsidRPr="00580FBF" w:rsidRDefault="00682B87" w:rsidP="00682B87">
      <w:pPr>
        <w:numPr>
          <w:ilvl w:val="0"/>
          <w:numId w:val="3"/>
        </w:numPr>
        <w:spacing w:line="360" w:lineRule="auto"/>
        <w:ind w:left="0" w:right="-28" w:firstLine="0"/>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rPr>
        <w:lastRenderedPageBreak/>
        <w:t xml:space="preserve">Derivado de lo establecido en párrafos anteriores, si el </w:t>
      </w:r>
      <w:r w:rsidRPr="00580FBF">
        <w:rPr>
          <w:rFonts w:ascii="Palatino Linotype" w:eastAsia="Palatino Linotype" w:hAnsi="Palatino Linotype" w:cs="Palatino Linotype"/>
          <w:b/>
        </w:rPr>
        <w:t>SUJETO OBLIGADO</w:t>
      </w:r>
      <w:r w:rsidRPr="00580FBF">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14:paraId="03E5C57F" w14:textId="77777777" w:rsidR="00682B87" w:rsidRPr="00580FBF" w:rsidRDefault="00682B87" w:rsidP="00682B87">
      <w:pPr>
        <w:spacing w:line="360" w:lineRule="auto"/>
        <w:ind w:right="-28"/>
        <w:jc w:val="both"/>
        <w:rPr>
          <w:color w:val="000000"/>
        </w:rPr>
      </w:pPr>
    </w:p>
    <w:p w14:paraId="20D6517C" w14:textId="77777777" w:rsidR="00682B87" w:rsidRPr="00580FBF" w:rsidRDefault="00682B87" w:rsidP="00682B87">
      <w:pPr>
        <w:numPr>
          <w:ilvl w:val="0"/>
          <w:numId w:val="3"/>
        </w:numPr>
        <w:spacing w:line="360" w:lineRule="auto"/>
        <w:ind w:left="0" w:right="-28" w:firstLine="0"/>
        <w:jc w:val="both"/>
        <w:rPr>
          <w:rFonts w:ascii="Palatino Linotype" w:eastAsia="Palatino Linotype" w:hAnsi="Palatino Linotype" w:cs="Palatino Linotype"/>
        </w:rPr>
      </w:pPr>
      <w:r w:rsidRPr="00580FBF">
        <w:rPr>
          <w:rFonts w:ascii="Palatino Linotype" w:eastAsia="Palatino Linotype" w:hAnsi="Palatino Linotype" w:cs="Palatino Linotype"/>
        </w:rPr>
        <w:t xml:space="preserve">Con fundamento en lo prescrito en los artículos </w:t>
      </w:r>
      <w:r w:rsidRPr="00580FBF">
        <w:rPr>
          <w:rFonts w:ascii="Palatino Linotype" w:eastAsia="Palatino Linotype" w:hAnsi="Palatino Linotype" w:cs="Palatino Linotype"/>
          <w:color w:val="000000"/>
        </w:rPr>
        <w:t>5°, párrafos trigésimo séptimo, trigésimo octavo y trigésimo noveno fracciones IV y V, de la Constitución Política del Estado Libre y Soberano de México</w:t>
      </w:r>
      <w:r w:rsidRPr="00580FBF">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14:paraId="5900CC4D" w14:textId="77777777" w:rsidR="00682B87" w:rsidRPr="00580FBF" w:rsidRDefault="00682B87" w:rsidP="00682B87">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14:paraId="0EAA800A" w14:textId="77777777" w:rsidR="00682B87" w:rsidRPr="00580FBF" w:rsidRDefault="00682B87" w:rsidP="00682B87">
      <w:pPr>
        <w:spacing w:line="360" w:lineRule="auto"/>
        <w:ind w:right="276"/>
        <w:jc w:val="center"/>
        <w:rPr>
          <w:rFonts w:ascii="Palatino Linotype" w:eastAsia="Palatino Linotype" w:hAnsi="Palatino Linotype" w:cs="Palatino Linotype"/>
          <w:b/>
        </w:rPr>
      </w:pPr>
      <w:bookmarkStart w:id="8" w:name="_heading=h.jszhvncxdys9" w:colFirst="0" w:colLast="0"/>
      <w:bookmarkEnd w:id="8"/>
      <w:r w:rsidRPr="00580FBF">
        <w:rPr>
          <w:rFonts w:ascii="Palatino Linotype" w:eastAsia="Palatino Linotype" w:hAnsi="Palatino Linotype" w:cs="Palatino Linotype"/>
          <w:b/>
        </w:rPr>
        <w:t>R E S U E L V E</w:t>
      </w:r>
    </w:p>
    <w:p w14:paraId="3DFEBFD9" w14:textId="77777777" w:rsidR="00893048" w:rsidRPr="00580FBF" w:rsidRDefault="00893048" w:rsidP="00893048">
      <w:pPr>
        <w:keepNext/>
        <w:keepLines/>
        <w:spacing w:line="360" w:lineRule="auto"/>
        <w:jc w:val="center"/>
        <w:rPr>
          <w:rFonts w:ascii="Palatino Linotype" w:eastAsia="Palatino Linotype" w:hAnsi="Palatino Linotype" w:cs="Palatino Linotype"/>
          <w:b/>
          <w:bCs/>
        </w:rPr>
      </w:pPr>
    </w:p>
    <w:p w14:paraId="7112B4DB" w14:textId="77777777" w:rsidR="00893048" w:rsidRPr="00580FBF" w:rsidRDefault="00893048" w:rsidP="00893048">
      <w:pPr>
        <w:spacing w:line="360" w:lineRule="auto"/>
        <w:jc w:val="both"/>
        <w:rPr>
          <w:rFonts w:ascii="Palatino Linotype" w:eastAsia="Palatino Linotype" w:hAnsi="Palatino Linotype" w:cs="Palatino Linotype"/>
        </w:rPr>
      </w:pPr>
      <w:r w:rsidRPr="00580FBF">
        <w:rPr>
          <w:rFonts w:ascii="Palatino Linotype" w:eastAsia="Palatino Linotype" w:hAnsi="Palatino Linotype" w:cs="Palatino Linotype"/>
          <w:b/>
          <w:bCs/>
        </w:rPr>
        <w:t xml:space="preserve">PRIMERO. </w:t>
      </w:r>
      <w:r w:rsidRPr="00580FBF">
        <w:rPr>
          <w:rFonts w:ascii="Palatino Linotype" w:eastAsia="Palatino Linotype" w:hAnsi="Palatino Linotype" w:cs="Palatino Linotype"/>
        </w:rPr>
        <w:t>Resultan fundadas las</w:t>
      </w:r>
      <w:r w:rsidRPr="00580FBF">
        <w:rPr>
          <w:rFonts w:ascii="Palatino Linotype" w:eastAsia="Palatino Linotype" w:hAnsi="Palatino Linotype" w:cs="Palatino Linotype"/>
          <w:b/>
          <w:bCs/>
        </w:rPr>
        <w:t xml:space="preserve"> </w:t>
      </w:r>
      <w:r w:rsidRPr="00580FBF">
        <w:rPr>
          <w:rFonts w:ascii="Palatino Linotype" w:eastAsia="Palatino Linotype" w:hAnsi="Palatino Linotype" w:cs="Palatino Linotype"/>
        </w:rPr>
        <w:t xml:space="preserve">razones o motivos de inconformidad hechos valer en el recurso de revisión </w:t>
      </w:r>
      <w:r w:rsidR="00B93934" w:rsidRPr="00580FBF">
        <w:rPr>
          <w:rFonts w:ascii="Palatino Linotype" w:eastAsia="Palatino Linotype" w:hAnsi="Palatino Linotype" w:cs="Palatino Linotype"/>
          <w:b/>
          <w:bCs/>
        </w:rPr>
        <w:t>1118</w:t>
      </w:r>
      <w:r w:rsidRPr="00580FBF">
        <w:rPr>
          <w:rFonts w:ascii="Palatino Linotype" w:eastAsia="Palatino Linotype" w:hAnsi="Palatino Linotype" w:cs="Palatino Linotype"/>
          <w:b/>
          <w:bCs/>
        </w:rPr>
        <w:t>/INFOEM/IP/RR/202</w:t>
      </w:r>
      <w:r w:rsidR="00B93934" w:rsidRPr="00580FBF">
        <w:rPr>
          <w:rFonts w:ascii="Palatino Linotype" w:eastAsia="Palatino Linotype" w:hAnsi="Palatino Linotype" w:cs="Palatino Linotype"/>
          <w:b/>
          <w:bCs/>
        </w:rPr>
        <w:t>6</w:t>
      </w:r>
      <w:r w:rsidRPr="00580FBF">
        <w:rPr>
          <w:rFonts w:ascii="Palatino Linotype" w:eastAsia="Palatino Linotype" w:hAnsi="Palatino Linotype" w:cs="Palatino Linotype"/>
          <w:b/>
          <w:bCs/>
        </w:rPr>
        <w:t xml:space="preserve"> </w:t>
      </w:r>
      <w:r w:rsidRPr="00580FBF">
        <w:rPr>
          <w:rFonts w:ascii="Palatino Linotype" w:eastAsia="Palatino Linotype" w:hAnsi="Palatino Linotype" w:cs="Palatino Linotype"/>
        </w:rPr>
        <w:t>en términos de los</w:t>
      </w:r>
      <w:r w:rsidRPr="00580FBF">
        <w:rPr>
          <w:rFonts w:ascii="Palatino Linotype" w:eastAsia="Palatino Linotype" w:hAnsi="Palatino Linotype" w:cs="Palatino Linotype"/>
          <w:b/>
          <w:bCs/>
        </w:rPr>
        <w:t xml:space="preserve"> Considerandos</w:t>
      </w:r>
      <w:r w:rsidRPr="00580FBF">
        <w:rPr>
          <w:rFonts w:ascii="Palatino Linotype" w:eastAsia="Palatino Linotype" w:hAnsi="Palatino Linotype" w:cs="Palatino Linotype"/>
        </w:rPr>
        <w:t xml:space="preserve"> </w:t>
      </w:r>
      <w:r w:rsidRPr="00580FBF">
        <w:rPr>
          <w:rFonts w:ascii="Palatino Linotype" w:eastAsia="Palatino Linotype" w:hAnsi="Palatino Linotype" w:cs="Palatino Linotype"/>
          <w:b/>
          <w:bCs/>
        </w:rPr>
        <w:t>CUARTO y QUINTO</w:t>
      </w:r>
      <w:r w:rsidRPr="00580FBF">
        <w:rPr>
          <w:rFonts w:ascii="Palatino Linotype" w:eastAsia="Palatino Linotype" w:hAnsi="Palatino Linotype" w:cs="Palatino Linotype"/>
        </w:rPr>
        <w:t xml:space="preserve"> de la presente resolución.</w:t>
      </w:r>
    </w:p>
    <w:p w14:paraId="75B12B45" w14:textId="77777777" w:rsidR="00893048" w:rsidRPr="00580FBF" w:rsidRDefault="00893048" w:rsidP="00893048">
      <w:pPr>
        <w:spacing w:line="360" w:lineRule="auto"/>
        <w:jc w:val="both"/>
        <w:rPr>
          <w:rFonts w:ascii="Palatino Linotype" w:eastAsia="Palatino Linotype" w:hAnsi="Palatino Linotype" w:cs="Palatino Linotype"/>
          <w:b/>
          <w:bCs/>
        </w:rPr>
      </w:pPr>
    </w:p>
    <w:p w14:paraId="28D5DDB2" w14:textId="77777777" w:rsidR="00893048" w:rsidRPr="00580FBF" w:rsidRDefault="00893048" w:rsidP="0089304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80FBF">
        <w:rPr>
          <w:rFonts w:ascii="Palatino Linotype" w:eastAsia="Palatino Linotype" w:hAnsi="Palatino Linotype" w:cs="Palatino Linotype"/>
          <w:b/>
          <w:bCs/>
          <w:color w:val="000000"/>
        </w:rPr>
        <w:t xml:space="preserve">SEGUNDO. </w:t>
      </w:r>
      <w:r w:rsidRPr="00580FBF">
        <w:rPr>
          <w:rFonts w:ascii="Palatino Linotype" w:eastAsia="Palatino Linotype" w:hAnsi="Palatino Linotype" w:cs="Palatino Linotype"/>
          <w:color w:val="000000"/>
        </w:rPr>
        <w:t xml:space="preserve">Se </w:t>
      </w:r>
      <w:r w:rsidR="00B15CB2" w:rsidRPr="00580FBF">
        <w:rPr>
          <w:rFonts w:ascii="Palatino Linotype" w:eastAsia="Palatino Linotype" w:hAnsi="Palatino Linotype" w:cs="Palatino Linotype"/>
          <w:b/>
          <w:bCs/>
          <w:color w:val="000000"/>
        </w:rPr>
        <w:t>REVOCA</w:t>
      </w:r>
      <w:r w:rsidRPr="00580FBF">
        <w:rPr>
          <w:rFonts w:ascii="Palatino Linotype" w:eastAsia="Palatino Linotype" w:hAnsi="Palatino Linotype" w:cs="Palatino Linotype"/>
          <w:color w:val="000000"/>
        </w:rPr>
        <w:t xml:space="preserve"> la respuesta y se </w:t>
      </w:r>
      <w:r w:rsidRPr="00580FBF">
        <w:rPr>
          <w:rFonts w:ascii="Palatino Linotype" w:eastAsia="Palatino Linotype" w:hAnsi="Palatino Linotype" w:cs="Palatino Linotype"/>
          <w:b/>
          <w:bCs/>
          <w:color w:val="000000"/>
        </w:rPr>
        <w:t xml:space="preserve">ORDENA </w:t>
      </w:r>
      <w:r w:rsidRPr="00580FBF">
        <w:rPr>
          <w:rFonts w:ascii="Palatino Linotype" w:eastAsia="Palatino Linotype" w:hAnsi="Palatino Linotype" w:cs="Palatino Linotype"/>
          <w:color w:val="000000"/>
        </w:rPr>
        <w:t xml:space="preserve">al </w:t>
      </w:r>
      <w:r w:rsidR="00B93934" w:rsidRPr="00580FBF">
        <w:rPr>
          <w:rFonts w:ascii="Palatino Linotype" w:eastAsia="Palatino Linotype" w:hAnsi="Palatino Linotype" w:cs="Palatino Linotype"/>
          <w:b/>
          <w:bCs/>
          <w:color w:val="000000"/>
        </w:rPr>
        <w:t>Ayuntamiento de Ozumba</w:t>
      </w:r>
      <w:r w:rsidRPr="00580FBF">
        <w:rPr>
          <w:rFonts w:ascii="Palatino Linotype" w:eastAsia="Palatino Linotype" w:hAnsi="Palatino Linotype" w:cs="Palatino Linotype"/>
          <w:b/>
          <w:bCs/>
          <w:color w:val="000000"/>
        </w:rPr>
        <w:t xml:space="preserve">, </w:t>
      </w:r>
      <w:r w:rsidRPr="00580FBF">
        <w:rPr>
          <w:rFonts w:ascii="Palatino Linotype" w:eastAsia="Palatino Linotype" w:hAnsi="Palatino Linotype" w:cs="Palatino Linotype"/>
          <w:color w:val="000000"/>
        </w:rPr>
        <w:t>entregar vía Sistema de Acceso a la Información Mexiquense (SAIMEX),</w:t>
      </w:r>
      <w:r w:rsidR="00AE190A" w:rsidRPr="00580FBF">
        <w:rPr>
          <w:rFonts w:ascii="Palatino Linotype" w:eastAsia="Palatino Linotype" w:hAnsi="Palatino Linotype" w:cs="Palatino Linotype"/>
          <w:color w:val="000000"/>
        </w:rPr>
        <w:t xml:space="preserve"> de ser procedente</w:t>
      </w:r>
      <w:r w:rsidRPr="00580FBF">
        <w:rPr>
          <w:rFonts w:ascii="Palatino Linotype" w:eastAsia="Palatino Linotype" w:hAnsi="Palatino Linotype" w:cs="Palatino Linotype"/>
          <w:color w:val="000000"/>
        </w:rPr>
        <w:t xml:space="preserve"> en versión pública</w:t>
      </w:r>
      <w:r w:rsidRPr="00580FBF">
        <w:rPr>
          <w:rFonts w:ascii="Palatino Linotype" w:eastAsia="Palatino Linotype" w:hAnsi="Palatino Linotype" w:cs="Palatino Linotype"/>
          <w:b/>
          <w:bCs/>
          <w:color w:val="000000"/>
        </w:rPr>
        <w:t>,</w:t>
      </w:r>
      <w:r w:rsidRPr="00580FBF">
        <w:rPr>
          <w:rFonts w:ascii="Palatino Linotype" w:eastAsia="Palatino Linotype" w:hAnsi="Palatino Linotype" w:cs="Palatino Linotype"/>
          <w:color w:val="000000"/>
        </w:rPr>
        <w:t xml:space="preserve"> la siguiente información:</w:t>
      </w:r>
    </w:p>
    <w:p w14:paraId="2FA6B13C" w14:textId="77777777" w:rsidR="00893048" w:rsidRPr="00580FBF" w:rsidRDefault="00893048" w:rsidP="0089304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8EA0DC9" w14:textId="77777777" w:rsidR="00B93934" w:rsidRPr="00580FBF" w:rsidRDefault="00682B87" w:rsidP="00682B87">
      <w:pPr>
        <w:pBdr>
          <w:top w:val="nil"/>
          <w:left w:val="nil"/>
          <w:bottom w:val="nil"/>
          <w:right w:val="nil"/>
          <w:between w:val="nil"/>
        </w:pBdr>
        <w:spacing w:line="360" w:lineRule="auto"/>
        <w:ind w:left="720" w:right="822"/>
        <w:jc w:val="both"/>
        <w:rPr>
          <w:rFonts w:ascii="Palatino Linotype" w:eastAsia="Palatino Linotype" w:hAnsi="Palatino Linotype" w:cs="Palatino Linotype"/>
          <w:b/>
          <w:bCs/>
          <w:color w:val="000000"/>
        </w:rPr>
      </w:pPr>
      <w:r w:rsidRPr="00580FBF">
        <w:rPr>
          <w:rFonts w:ascii="Palatino Linotype" w:eastAsia="Palatino Linotype" w:hAnsi="Palatino Linotype" w:cs="Palatino Linotype"/>
          <w:b/>
          <w:bCs/>
          <w:color w:val="000000"/>
        </w:rPr>
        <w:t xml:space="preserve">A). </w:t>
      </w:r>
      <w:r w:rsidR="00B93934" w:rsidRPr="00580FBF">
        <w:rPr>
          <w:rFonts w:ascii="Palatino Linotype" w:eastAsia="Palatino Linotype" w:hAnsi="Palatino Linotype" w:cs="Palatino Linotype"/>
          <w:b/>
          <w:bCs/>
          <w:color w:val="000000"/>
        </w:rPr>
        <w:t xml:space="preserve">Facturas relativas a la partida presupuestal 3611, correspondientes del 01 de enero al 31 de diciembre de 2025. </w:t>
      </w:r>
    </w:p>
    <w:p w14:paraId="361F9A55" w14:textId="77777777" w:rsidR="00893048" w:rsidRPr="00580FBF" w:rsidRDefault="00893048" w:rsidP="00893048">
      <w:pPr>
        <w:pBdr>
          <w:top w:val="nil"/>
          <w:left w:val="nil"/>
          <w:bottom w:val="nil"/>
          <w:right w:val="nil"/>
          <w:between w:val="nil"/>
        </w:pBdr>
        <w:spacing w:line="360" w:lineRule="auto"/>
        <w:ind w:left="720" w:right="822"/>
        <w:jc w:val="both"/>
        <w:rPr>
          <w:rFonts w:ascii="Palatino Linotype" w:eastAsia="Palatino Linotype" w:hAnsi="Palatino Linotype" w:cs="Palatino Linotype"/>
          <w:b/>
          <w:bCs/>
          <w:color w:val="000000"/>
        </w:rPr>
      </w:pPr>
    </w:p>
    <w:p w14:paraId="75707F33" w14:textId="77777777" w:rsidR="00893048" w:rsidRPr="00580FBF" w:rsidRDefault="00893048" w:rsidP="00893048">
      <w:pPr>
        <w:spacing w:after="160" w:line="360" w:lineRule="auto"/>
        <w:ind w:right="115"/>
        <w:jc w:val="both"/>
        <w:rPr>
          <w:rFonts w:ascii="Palatino Linotype" w:eastAsia="Palatino Linotype" w:hAnsi="Palatino Linotype" w:cs="Palatino Linotype"/>
        </w:rPr>
      </w:pPr>
      <w:r w:rsidRPr="00580FBF">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14:paraId="4D130D2E" w14:textId="77777777" w:rsidR="007B02FB" w:rsidRPr="00580FBF" w:rsidRDefault="007B02FB" w:rsidP="00893048">
      <w:pPr>
        <w:spacing w:after="160" w:line="360" w:lineRule="auto"/>
        <w:ind w:right="115"/>
        <w:jc w:val="both"/>
        <w:rPr>
          <w:rFonts w:ascii="Palatino Linotype" w:eastAsia="Palatino Linotype" w:hAnsi="Palatino Linotype" w:cs="Palatino Linotype"/>
        </w:rPr>
      </w:pPr>
    </w:p>
    <w:p w14:paraId="77CCBCF0" w14:textId="77777777" w:rsidR="00893048" w:rsidRPr="00580FBF" w:rsidRDefault="00893048" w:rsidP="00893048">
      <w:pPr>
        <w:tabs>
          <w:tab w:val="left" w:pos="284"/>
          <w:tab w:val="left" w:pos="8080"/>
        </w:tabs>
        <w:spacing w:line="360" w:lineRule="auto"/>
        <w:ind w:right="49"/>
        <w:jc w:val="both"/>
        <w:rPr>
          <w:rFonts w:ascii="Palatino Linotype" w:eastAsia="Palatino Linotype" w:hAnsi="Palatino Linotype" w:cs="Palatino Linotype"/>
          <w:highlight w:val="white"/>
        </w:rPr>
      </w:pPr>
      <w:r w:rsidRPr="00580FBF">
        <w:rPr>
          <w:rFonts w:ascii="Palatino Linotype" w:eastAsia="Palatino Linotype" w:hAnsi="Palatino Linotype" w:cs="Palatino Linotype"/>
          <w:b/>
          <w:bCs/>
        </w:rPr>
        <w:t xml:space="preserve">TERCERO. </w:t>
      </w:r>
      <w:r w:rsidRPr="00580FBF">
        <w:rPr>
          <w:rFonts w:ascii="Palatino Linotype" w:eastAsia="Palatino Linotype" w:hAnsi="Palatino Linotype" w:cs="Palatino Linotype"/>
          <w:b/>
          <w:bCs/>
          <w:highlight w:val="white"/>
        </w:rPr>
        <w:t>NOTIFÍQUESE</w:t>
      </w:r>
      <w:r w:rsidRPr="00580FBF">
        <w:rPr>
          <w:rFonts w:ascii="Palatino Linotype" w:eastAsia="Palatino Linotype" w:hAnsi="Palatino Linotype" w:cs="Palatino Linotype"/>
          <w:highlight w:val="white"/>
        </w:rPr>
        <w:t xml:space="preserve"> la presente resolución al Titular de la Unidad de Transparencia del Sujeto Obligado </w:t>
      </w:r>
      <w:r w:rsidRPr="00580FBF">
        <w:rPr>
          <w:rFonts w:ascii="Palatino Linotype" w:eastAsia="Palatino Linotype" w:hAnsi="Palatino Linotype" w:cs="Palatino Linotype"/>
          <w:b/>
          <w:bCs/>
          <w:highlight w:val="white"/>
        </w:rPr>
        <w:t>vía SAIMEX</w:t>
      </w:r>
      <w:r w:rsidRPr="00580FBF">
        <w:rPr>
          <w:rFonts w:ascii="Palatino Linotype" w:eastAsia="Palatino Linotype" w:hAnsi="Palatino Linotype" w:cs="Palatino Linotype"/>
          <w:highlight w:val="white"/>
        </w:rPr>
        <w:t xml:space="preserve">, para que conforme al artículo 186 último párrafo, 189 segundo párrafo y 194 de la Ley de Transparencia y Acceso a la Información Pública del Estado de México y Municipios; </w:t>
      </w:r>
      <w:r w:rsidRPr="00580FBF">
        <w:rPr>
          <w:rFonts w:ascii="Palatino Linotype" w:eastAsia="Palatino Linotype" w:hAnsi="Palatino Linotype" w:cs="Palatino Linotype"/>
          <w:b/>
          <w:highlight w:val="white"/>
        </w:rPr>
        <w:t>dé cumplimiento a lo ordenado dentro del plazo de diez días hábiles</w:t>
      </w:r>
      <w:r w:rsidRPr="00580FBF">
        <w:rPr>
          <w:rFonts w:ascii="Palatino Linotype" w:eastAsia="Palatino Linotype" w:hAnsi="Palatino Linotype" w:cs="Palatino Linotype"/>
          <w:highlight w:val="whit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79354F" w14:textId="77777777" w:rsidR="00893048" w:rsidRPr="00580FBF" w:rsidRDefault="00893048" w:rsidP="00893048">
      <w:pPr>
        <w:tabs>
          <w:tab w:val="left" w:pos="284"/>
          <w:tab w:val="left" w:pos="8080"/>
        </w:tabs>
        <w:spacing w:line="360" w:lineRule="auto"/>
        <w:ind w:right="49"/>
        <w:jc w:val="both"/>
        <w:rPr>
          <w:rFonts w:ascii="Palatino Linotype" w:eastAsia="Palatino Linotype" w:hAnsi="Palatino Linotype" w:cs="Palatino Linotype"/>
          <w:highlight w:val="white"/>
        </w:rPr>
      </w:pPr>
    </w:p>
    <w:p w14:paraId="38FEBD64" w14:textId="77777777" w:rsidR="00893048" w:rsidRPr="00580FBF" w:rsidRDefault="00893048" w:rsidP="00893048">
      <w:pPr>
        <w:tabs>
          <w:tab w:val="left" w:pos="284"/>
        </w:tabs>
        <w:spacing w:line="360" w:lineRule="auto"/>
        <w:jc w:val="both"/>
        <w:rPr>
          <w:rFonts w:ascii="Palatino Linotype" w:eastAsia="Palatino Linotype" w:hAnsi="Palatino Linotype" w:cs="Palatino Linotype"/>
        </w:rPr>
      </w:pPr>
      <w:r w:rsidRPr="00580FBF">
        <w:rPr>
          <w:rFonts w:ascii="Palatino Linotype" w:eastAsia="Palatino Linotype" w:hAnsi="Palatino Linotype" w:cs="Palatino Linotype"/>
          <w:b/>
          <w:bCs/>
        </w:rPr>
        <w:t xml:space="preserve">CUARTO. Notifíquese </w:t>
      </w:r>
      <w:r w:rsidRPr="00580FBF">
        <w:rPr>
          <w:rFonts w:ascii="Palatino Linotype" w:eastAsia="Palatino Linotype" w:hAnsi="Palatino Linotype" w:cs="Palatino Linotype"/>
        </w:rPr>
        <w:t xml:space="preserve">al </w:t>
      </w:r>
      <w:r w:rsidRPr="00580FBF">
        <w:rPr>
          <w:rFonts w:ascii="Palatino Linotype" w:eastAsia="Palatino Linotype" w:hAnsi="Palatino Linotype" w:cs="Palatino Linotype"/>
          <w:b/>
          <w:bCs/>
        </w:rPr>
        <w:t xml:space="preserve">RECURRENTE </w:t>
      </w:r>
      <w:r w:rsidRPr="00580FBF">
        <w:rPr>
          <w:rFonts w:ascii="Palatino Linotype" w:eastAsia="Palatino Linotype" w:hAnsi="Palatino Linotype" w:cs="Palatino Linotype"/>
        </w:rPr>
        <w:t>la presente resolución a través del Sistema de Acceso a la Información Mexiquense (SAIMEX).</w:t>
      </w:r>
    </w:p>
    <w:p w14:paraId="1FB466D1" w14:textId="77777777" w:rsidR="00893048" w:rsidRPr="00580FBF" w:rsidRDefault="00893048" w:rsidP="00893048">
      <w:pPr>
        <w:tabs>
          <w:tab w:val="left" w:pos="284"/>
        </w:tabs>
        <w:spacing w:line="360" w:lineRule="auto"/>
        <w:jc w:val="both"/>
        <w:rPr>
          <w:rFonts w:ascii="Palatino Linotype" w:eastAsia="Palatino Linotype" w:hAnsi="Palatino Linotype" w:cs="Palatino Linotype"/>
        </w:rPr>
      </w:pPr>
    </w:p>
    <w:p w14:paraId="66D93052" w14:textId="77777777" w:rsidR="00893048" w:rsidRPr="00580FBF" w:rsidRDefault="00893048" w:rsidP="00893048">
      <w:pPr>
        <w:spacing w:line="360" w:lineRule="auto"/>
        <w:jc w:val="both"/>
        <w:rPr>
          <w:rFonts w:ascii="Palatino Linotype" w:eastAsia="Palatino Linotype" w:hAnsi="Palatino Linotype" w:cs="Palatino Linotype"/>
        </w:rPr>
      </w:pPr>
      <w:r w:rsidRPr="00580FBF">
        <w:rPr>
          <w:rFonts w:ascii="Palatino Linotype" w:eastAsia="Palatino Linotype" w:hAnsi="Palatino Linotype" w:cs="Palatino Linotype"/>
          <w:b/>
          <w:bCs/>
        </w:rPr>
        <w:t xml:space="preserve">QUINTO. </w:t>
      </w:r>
      <w:r w:rsidRPr="00580FBF">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351FB62C" w14:textId="77777777" w:rsidR="00893048" w:rsidRPr="00580FBF" w:rsidRDefault="00893048" w:rsidP="00893048">
      <w:pPr>
        <w:spacing w:before="240" w:after="360" w:line="360" w:lineRule="auto"/>
        <w:jc w:val="both"/>
        <w:rPr>
          <w:rFonts w:ascii="Palatino Linotype" w:eastAsia="Palatino Linotype" w:hAnsi="Palatino Linotype" w:cs="Palatino Linotype"/>
        </w:rPr>
      </w:pPr>
      <w:r w:rsidRPr="00580FBF">
        <w:rPr>
          <w:rFonts w:ascii="Palatino Linotype" w:eastAsia="Palatino Linotype" w:hAnsi="Palatino Linotype" w:cs="Palatino Linotype"/>
          <w:b/>
          <w:bCs/>
        </w:rPr>
        <w:lastRenderedPageBreak/>
        <w:t>SEXTO.</w:t>
      </w:r>
      <w:r w:rsidRPr="00580FBF">
        <w:rPr>
          <w:rFonts w:ascii="Palatino Linotype" w:eastAsia="Palatino Linotype" w:hAnsi="Palatino Linotype" w:cs="Palatino Linotype"/>
        </w:rPr>
        <w:t xml:space="preserve"> Se hace del conocimiento del </w:t>
      </w:r>
      <w:r w:rsidRPr="00580FBF">
        <w:rPr>
          <w:rFonts w:ascii="Palatino Linotype" w:eastAsia="Palatino Linotype" w:hAnsi="Palatino Linotype" w:cs="Palatino Linotype"/>
          <w:b/>
          <w:bCs/>
        </w:rPr>
        <w:t xml:space="preserve">Recurrente </w:t>
      </w:r>
      <w:r w:rsidRPr="00580FBF">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69CBBE59" w14:textId="77777777" w:rsidR="007557A7" w:rsidRPr="00580FBF" w:rsidRDefault="007557A7" w:rsidP="007557A7">
      <w:pPr>
        <w:spacing w:before="240" w:after="240" w:line="360" w:lineRule="auto"/>
        <w:ind w:firstLine="1"/>
        <w:jc w:val="both"/>
        <w:rPr>
          <w:rFonts w:ascii="Palatino Linotype" w:hAnsi="Palatino Linotype"/>
        </w:rPr>
      </w:pPr>
      <w:bookmarkStart w:id="9" w:name="_Hlk99014733"/>
      <w:r w:rsidRPr="00580FB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580FBF">
        <w:rPr>
          <w:rFonts w:ascii="Palatino Linotype" w:hAnsi="Palatino Linotype" w:cs="Palatino Linotype"/>
          <w:color w:val="000000" w:themeColor="text1"/>
        </w:rPr>
        <w:t>ALEXIS TAPIA RAMÍREZ.</w:t>
      </w:r>
    </w:p>
    <w:bookmarkEnd w:id="9"/>
    <w:p w14:paraId="7C68CA12" w14:textId="77777777" w:rsidR="00893048" w:rsidRPr="00580FBF" w:rsidRDefault="00893048" w:rsidP="00893048">
      <w:pPr>
        <w:pBdr>
          <w:top w:val="nil"/>
          <w:left w:val="nil"/>
          <w:bottom w:val="nil"/>
          <w:right w:val="nil"/>
          <w:between w:val="nil"/>
        </w:pBdr>
        <w:spacing w:line="360" w:lineRule="auto"/>
        <w:jc w:val="both"/>
        <w:rPr>
          <w:rFonts w:ascii="Palatino Linotype" w:eastAsia="Palatino Linotype" w:hAnsi="Palatino Linotype" w:cs="Palatino Linotype"/>
        </w:rPr>
      </w:pPr>
    </w:p>
    <w:p w14:paraId="5B1CFEC9" w14:textId="77777777" w:rsidR="00893048" w:rsidRPr="00580FBF" w:rsidRDefault="00893048" w:rsidP="00893048">
      <w:pPr>
        <w:pBdr>
          <w:top w:val="nil"/>
          <w:left w:val="nil"/>
          <w:bottom w:val="nil"/>
          <w:right w:val="nil"/>
          <w:between w:val="nil"/>
        </w:pBdr>
        <w:ind w:left="720"/>
        <w:rPr>
          <w:rFonts w:ascii="Palatino Linotype" w:eastAsia="Palatino Linotype" w:hAnsi="Palatino Linotype" w:cs="Palatino Linotype"/>
        </w:rPr>
      </w:pPr>
    </w:p>
    <w:p w14:paraId="026754BE" w14:textId="77777777" w:rsidR="00893048" w:rsidRPr="00580FBF" w:rsidRDefault="00893048" w:rsidP="00893048">
      <w:pPr>
        <w:pBdr>
          <w:top w:val="nil"/>
          <w:left w:val="nil"/>
          <w:bottom w:val="nil"/>
          <w:right w:val="nil"/>
          <w:between w:val="nil"/>
        </w:pBdr>
        <w:spacing w:line="360" w:lineRule="auto"/>
        <w:jc w:val="both"/>
        <w:rPr>
          <w:rFonts w:ascii="Palatino Linotype" w:eastAsia="Palatino Linotype" w:hAnsi="Palatino Linotype" w:cs="Palatino Linotype"/>
        </w:rPr>
      </w:pPr>
    </w:p>
    <w:p w14:paraId="512AA9D4" w14:textId="77777777" w:rsidR="00893048" w:rsidRPr="00580FBF" w:rsidRDefault="00893048" w:rsidP="00893048">
      <w:pPr>
        <w:rPr>
          <w:rFonts w:ascii="Palatino Linotype" w:hAnsi="Palatino Linotype"/>
        </w:rPr>
      </w:pPr>
    </w:p>
    <w:p w14:paraId="6CC21BAF" w14:textId="77777777" w:rsidR="00893048" w:rsidRPr="00580FBF" w:rsidRDefault="00893048" w:rsidP="00893048">
      <w:pPr>
        <w:rPr>
          <w:rFonts w:ascii="Palatino Linotype" w:hAnsi="Palatino Linotype"/>
        </w:rPr>
      </w:pPr>
    </w:p>
    <w:p w14:paraId="6DACE81B" w14:textId="77777777" w:rsidR="00893048" w:rsidRPr="00580FBF" w:rsidRDefault="00893048" w:rsidP="00893048">
      <w:pPr>
        <w:rPr>
          <w:rFonts w:ascii="Palatino Linotype" w:hAnsi="Palatino Linotype"/>
        </w:rPr>
      </w:pPr>
    </w:p>
    <w:p w14:paraId="1D51446E" w14:textId="77777777" w:rsidR="00893048" w:rsidRPr="00580FBF" w:rsidRDefault="00893048" w:rsidP="00893048">
      <w:pPr>
        <w:rPr>
          <w:rFonts w:ascii="Palatino Linotype" w:hAnsi="Palatino Linotype"/>
        </w:rPr>
      </w:pPr>
    </w:p>
    <w:p w14:paraId="51BAE3BC" w14:textId="77777777" w:rsidR="00893048" w:rsidRPr="00580FBF" w:rsidRDefault="00893048" w:rsidP="00893048">
      <w:pPr>
        <w:rPr>
          <w:rFonts w:ascii="Palatino Linotype" w:hAnsi="Palatino Linotype"/>
        </w:rPr>
      </w:pPr>
    </w:p>
    <w:p w14:paraId="09BF90D8" w14:textId="77777777" w:rsidR="00893048" w:rsidRPr="00580FBF" w:rsidRDefault="00893048" w:rsidP="00893048">
      <w:pPr>
        <w:rPr>
          <w:rFonts w:ascii="Palatino Linotype" w:hAnsi="Palatino Linotype"/>
        </w:rPr>
      </w:pPr>
    </w:p>
    <w:p w14:paraId="15247760" w14:textId="77777777" w:rsidR="00893048" w:rsidRPr="00580FBF" w:rsidRDefault="00893048" w:rsidP="00893048">
      <w:pPr>
        <w:rPr>
          <w:rFonts w:ascii="Palatino Linotype" w:hAnsi="Palatino Linotype"/>
        </w:rPr>
      </w:pPr>
    </w:p>
    <w:p w14:paraId="33046D9A" w14:textId="77777777" w:rsidR="00893048" w:rsidRPr="00580FBF" w:rsidRDefault="00893048" w:rsidP="00893048">
      <w:pPr>
        <w:rPr>
          <w:rFonts w:ascii="Palatino Linotype" w:hAnsi="Palatino Linotype"/>
        </w:rPr>
      </w:pPr>
    </w:p>
    <w:p w14:paraId="4BED6A9C" w14:textId="77777777" w:rsidR="00893048" w:rsidRPr="00580FBF" w:rsidRDefault="00893048" w:rsidP="00893048">
      <w:pPr>
        <w:rPr>
          <w:rFonts w:ascii="Palatino Linotype" w:hAnsi="Palatino Linotype"/>
        </w:rPr>
      </w:pPr>
    </w:p>
    <w:p w14:paraId="6E1FCF51" w14:textId="77777777" w:rsidR="00D05102" w:rsidRPr="00580FBF" w:rsidRDefault="00D05102">
      <w:pPr>
        <w:rPr>
          <w:rFonts w:ascii="Palatino Linotype" w:hAnsi="Palatino Linotype"/>
        </w:rPr>
      </w:pPr>
    </w:p>
    <w:p w14:paraId="1DE026A2" w14:textId="77777777" w:rsidR="00F804F8" w:rsidRPr="00580FBF" w:rsidRDefault="00F804F8">
      <w:pPr>
        <w:rPr>
          <w:rFonts w:ascii="Palatino Linotype" w:hAnsi="Palatino Linotype"/>
        </w:rPr>
      </w:pPr>
    </w:p>
    <w:p w14:paraId="3B36E1CE" w14:textId="77777777" w:rsidR="00F804F8" w:rsidRPr="00580FBF" w:rsidRDefault="00F804F8">
      <w:pPr>
        <w:rPr>
          <w:rFonts w:ascii="Palatino Linotype" w:hAnsi="Palatino Linotype"/>
        </w:rPr>
      </w:pPr>
    </w:p>
    <w:p w14:paraId="43816437" w14:textId="77777777" w:rsidR="00F804F8" w:rsidRPr="00580FBF" w:rsidRDefault="00F804F8">
      <w:pPr>
        <w:rPr>
          <w:rFonts w:ascii="Palatino Linotype" w:hAnsi="Palatino Linotype"/>
        </w:rPr>
      </w:pPr>
    </w:p>
    <w:p w14:paraId="55EE7DA7" w14:textId="77777777" w:rsidR="00F804F8" w:rsidRPr="00580FBF" w:rsidRDefault="00F804F8">
      <w:pPr>
        <w:rPr>
          <w:rFonts w:ascii="Palatino Linotype" w:hAnsi="Palatino Linotype"/>
        </w:rPr>
      </w:pPr>
    </w:p>
    <w:p w14:paraId="39574A2F" w14:textId="77777777" w:rsidR="00F804F8" w:rsidRPr="00580FBF" w:rsidRDefault="00F804F8">
      <w:pPr>
        <w:rPr>
          <w:rFonts w:ascii="Palatino Linotype" w:hAnsi="Palatino Linotype"/>
        </w:rPr>
      </w:pPr>
    </w:p>
    <w:p w14:paraId="64C5B0BC" w14:textId="77777777" w:rsidR="00F804F8" w:rsidRPr="00580FBF" w:rsidRDefault="00F804F8">
      <w:pPr>
        <w:rPr>
          <w:rFonts w:ascii="Palatino Linotype" w:hAnsi="Palatino Linotype"/>
        </w:rPr>
      </w:pPr>
    </w:p>
    <w:p w14:paraId="0F19F6F7" w14:textId="77777777" w:rsidR="00F804F8" w:rsidRPr="00580FBF" w:rsidRDefault="00F804F8">
      <w:pPr>
        <w:rPr>
          <w:rFonts w:ascii="Palatino Linotype" w:hAnsi="Palatino Linotype"/>
        </w:rPr>
      </w:pPr>
    </w:p>
    <w:p w14:paraId="72240CF6" w14:textId="77777777" w:rsidR="00F804F8" w:rsidRPr="00580FBF" w:rsidRDefault="00F804F8">
      <w:pPr>
        <w:rPr>
          <w:rFonts w:ascii="Palatino Linotype" w:hAnsi="Palatino Linotype"/>
        </w:rPr>
      </w:pPr>
    </w:p>
    <w:p w14:paraId="6C123226" w14:textId="77777777" w:rsidR="00F804F8" w:rsidRPr="00580FBF" w:rsidRDefault="00F804F8">
      <w:pPr>
        <w:rPr>
          <w:rFonts w:ascii="Palatino Linotype" w:hAnsi="Palatino Linotype"/>
        </w:rPr>
      </w:pPr>
    </w:p>
    <w:p w14:paraId="111AD484" w14:textId="77777777" w:rsidR="00F804F8" w:rsidRPr="00580FBF" w:rsidRDefault="00F804F8">
      <w:pPr>
        <w:rPr>
          <w:rFonts w:ascii="Palatino Linotype" w:hAnsi="Palatino Linotype"/>
        </w:rPr>
      </w:pPr>
    </w:p>
    <w:p w14:paraId="4D579768" w14:textId="77777777" w:rsidR="00F804F8" w:rsidRPr="00580FBF" w:rsidRDefault="00F804F8">
      <w:pPr>
        <w:rPr>
          <w:rFonts w:ascii="Palatino Linotype" w:hAnsi="Palatino Linotype"/>
        </w:rPr>
      </w:pPr>
    </w:p>
    <w:p w14:paraId="34584740" w14:textId="77777777" w:rsidR="00F804F8" w:rsidRPr="00580FBF" w:rsidRDefault="00F804F8">
      <w:pPr>
        <w:rPr>
          <w:rFonts w:ascii="Palatino Linotype" w:hAnsi="Palatino Linotype"/>
        </w:rPr>
      </w:pPr>
    </w:p>
    <w:p w14:paraId="39B22D41" w14:textId="77777777" w:rsidR="00F804F8" w:rsidRPr="00580FBF" w:rsidRDefault="00F804F8">
      <w:pPr>
        <w:rPr>
          <w:rFonts w:ascii="Palatino Linotype" w:hAnsi="Palatino Linotype"/>
        </w:rPr>
      </w:pPr>
    </w:p>
    <w:p w14:paraId="037EE9A3" w14:textId="77777777" w:rsidR="00F804F8" w:rsidRPr="00580FBF" w:rsidRDefault="00F804F8">
      <w:pPr>
        <w:rPr>
          <w:rFonts w:ascii="Palatino Linotype" w:hAnsi="Palatino Linotype"/>
        </w:rPr>
      </w:pPr>
    </w:p>
    <w:p w14:paraId="36D5CF95" w14:textId="77777777" w:rsidR="00F804F8" w:rsidRPr="00580FBF" w:rsidRDefault="00F804F8">
      <w:pPr>
        <w:rPr>
          <w:rFonts w:ascii="Palatino Linotype" w:hAnsi="Palatino Linotype"/>
        </w:rPr>
      </w:pPr>
    </w:p>
    <w:sectPr w:rsidR="00F804F8" w:rsidRPr="00580FBF" w:rsidSect="00580FBF">
      <w:headerReference w:type="even" r:id="rId11"/>
      <w:headerReference w:type="default" r:id="rId12"/>
      <w:footerReference w:type="default" r:id="rId13"/>
      <w:headerReference w:type="first" r:id="rId14"/>
      <w:footerReference w:type="first" r:id="rId15"/>
      <w:pgSz w:w="12240" w:h="15840"/>
      <w:pgMar w:top="80" w:right="900"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AC3CD" w14:textId="77777777" w:rsidR="0075774B" w:rsidRDefault="0075774B" w:rsidP="00893048">
      <w:r>
        <w:separator/>
      </w:r>
    </w:p>
  </w:endnote>
  <w:endnote w:type="continuationSeparator" w:id="0">
    <w:p w14:paraId="1194AF57" w14:textId="77777777" w:rsidR="0075774B" w:rsidRDefault="0075774B" w:rsidP="0089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A2005" w14:textId="77777777" w:rsidR="002E0477" w:rsidRPr="00580FBF" w:rsidRDefault="002E0477">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580FBF">
      <w:rPr>
        <w:rFonts w:ascii="Palatino Linotype" w:hAnsi="Palatino Linotype"/>
        <w:color w:val="000000"/>
        <w:sz w:val="22"/>
      </w:rPr>
      <w:t xml:space="preserve">Página </w:t>
    </w:r>
    <w:r w:rsidRPr="00580FBF">
      <w:rPr>
        <w:rFonts w:ascii="Palatino Linotype" w:hAnsi="Palatino Linotype"/>
        <w:b/>
        <w:bCs/>
        <w:color w:val="000000"/>
        <w:sz w:val="22"/>
      </w:rPr>
      <w:fldChar w:fldCharType="begin"/>
    </w:r>
    <w:r w:rsidRPr="00580FBF">
      <w:rPr>
        <w:rFonts w:ascii="Palatino Linotype" w:hAnsi="Palatino Linotype"/>
        <w:b/>
        <w:bCs/>
        <w:color w:val="000000"/>
        <w:sz w:val="22"/>
      </w:rPr>
      <w:instrText>PAGE</w:instrText>
    </w:r>
    <w:r w:rsidRPr="00580FBF">
      <w:rPr>
        <w:rFonts w:ascii="Palatino Linotype" w:hAnsi="Palatino Linotype"/>
        <w:b/>
        <w:bCs/>
        <w:color w:val="000000"/>
        <w:sz w:val="22"/>
      </w:rPr>
      <w:fldChar w:fldCharType="separate"/>
    </w:r>
    <w:r w:rsidR="00386EAE">
      <w:rPr>
        <w:rFonts w:ascii="Palatino Linotype" w:hAnsi="Palatino Linotype"/>
        <w:b/>
        <w:bCs/>
        <w:noProof/>
        <w:color w:val="000000"/>
        <w:sz w:val="22"/>
      </w:rPr>
      <w:t>3</w:t>
    </w:r>
    <w:r w:rsidRPr="00580FBF">
      <w:rPr>
        <w:rFonts w:ascii="Palatino Linotype" w:hAnsi="Palatino Linotype"/>
        <w:b/>
        <w:bCs/>
        <w:color w:val="000000"/>
        <w:sz w:val="22"/>
      </w:rPr>
      <w:fldChar w:fldCharType="end"/>
    </w:r>
    <w:r w:rsidRPr="00580FBF">
      <w:rPr>
        <w:rFonts w:ascii="Palatino Linotype" w:hAnsi="Palatino Linotype"/>
        <w:color w:val="000000"/>
        <w:sz w:val="22"/>
      </w:rPr>
      <w:t xml:space="preserve"> de </w:t>
    </w:r>
    <w:r w:rsidRPr="00580FBF">
      <w:rPr>
        <w:rFonts w:ascii="Palatino Linotype" w:hAnsi="Palatino Linotype"/>
        <w:b/>
        <w:bCs/>
        <w:color w:val="000000"/>
        <w:sz w:val="22"/>
      </w:rPr>
      <w:fldChar w:fldCharType="begin"/>
    </w:r>
    <w:r w:rsidRPr="00580FBF">
      <w:rPr>
        <w:rFonts w:ascii="Palatino Linotype" w:hAnsi="Palatino Linotype"/>
        <w:b/>
        <w:bCs/>
        <w:color w:val="000000"/>
        <w:sz w:val="22"/>
      </w:rPr>
      <w:instrText>NUMPAGES</w:instrText>
    </w:r>
    <w:r w:rsidRPr="00580FBF">
      <w:rPr>
        <w:rFonts w:ascii="Palatino Linotype" w:hAnsi="Palatino Linotype"/>
        <w:b/>
        <w:bCs/>
        <w:color w:val="000000"/>
        <w:sz w:val="22"/>
      </w:rPr>
      <w:fldChar w:fldCharType="separate"/>
    </w:r>
    <w:r w:rsidR="00386EAE">
      <w:rPr>
        <w:rFonts w:ascii="Palatino Linotype" w:hAnsi="Palatino Linotype"/>
        <w:b/>
        <w:bCs/>
        <w:noProof/>
        <w:color w:val="000000"/>
        <w:sz w:val="22"/>
      </w:rPr>
      <w:t>44</w:t>
    </w:r>
    <w:r w:rsidRPr="00580FBF">
      <w:rPr>
        <w:rFonts w:ascii="Palatino Linotype" w:hAnsi="Palatino Linotype"/>
        <w:b/>
        <w:bCs/>
        <w:color w:val="000000"/>
        <w:sz w:val="22"/>
      </w:rPr>
      <w:fldChar w:fldCharType="end"/>
    </w:r>
  </w:p>
  <w:p w14:paraId="2C2B1A30" w14:textId="77777777" w:rsidR="002E0477" w:rsidRDefault="002E047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3FF94" w14:textId="77777777" w:rsidR="002E0477" w:rsidRPr="00580FBF" w:rsidRDefault="002E0477">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580FBF">
      <w:rPr>
        <w:rFonts w:ascii="Palatino Linotype" w:hAnsi="Palatino Linotype"/>
        <w:color w:val="000000"/>
        <w:sz w:val="22"/>
      </w:rPr>
      <w:t xml:space="preserve">Página </w:t>
    </w:r>
    <w:r w:rsidRPr="00580FBF">
      <w:rPr>
        <w:rFonts w:ascii="Palatino Linotype" w:hAnsi="Palatino Linotype"/>
        <w:b/>
        <w:bCs/>
        <w:color w:val="000000"/>
        <w:sz w:val="22"/>
      </w:rPr>
      <w:fldChar w:fldCharType="begin"/>
    </w:r>
    <w:r w:rsidRPr="00580FBF">
      <w:rPr>
        <w:rFonts w:ascii="Palatino Linotype" w:hAnsi="Palatino Linotype"/>
        <w:b/>
        <w:bCs/>
        <w:color w:val="000000"/>
        <w:sz w:val="22"/>
      </w:rPr>
      <w:instrText>PAGE</w:instrText>
    </w:r>
    <w:r w:rsidRPr="00580FBF">
      <w:rPr>
        <w:rFonts w:ascii="Palatino Linotype" w:hAnsi="Palatino Linotype"/>
        <w:b/>
        <w:bCs/>
        <w:color w:val="000000"/>
        <w:sz w:val="22"/>
      </w:rPr>
      <w:fldChar w:fldCharType="separate"/>
    </w:r>
    <w:r w:rsidR="00386EAE">
      <w:rPr>
        <w:rFonts w:ascii="Palatino Linotype" w:hAnsi="Palatino Linotype"/>
        <w:b/>
        <w:bCs/>
        <w:noProof/>
        <w:color w:val="000000"/>
        <w:sz w:val="22"/>
      </w:rPr>
      <w:t>1</w:t>
    </w:r>
    <w:r w:rsidRPr="00580FBF">
      <w:rPr>
        <w:rFonts w:ascii="Palatino Linotype" w:hAnsi="Palatino Linotype"/>
        <w:b/>
        <w:bCs/>
        <w:color w:val="000000"/>
        <w:sz w:val="22"/>
      </w:rPr>
      <w:fldChar w:fldCharType="end"/>
    </w:r>
    <w:r w:rsidRPr="00580FBF">
      <w:rPr>
        <w:rFonts w:ascii="Palatino Linotype" w:hAnsi="Palatino Linotype"/>
        <w:color w:val="000000"/>
        <w:sz w:val="22"/>
      </w:rPr>
      <w:t xml:space="preserve"> de </w:t>
    </w:r>
    <w:r w:rsidRPr="00580FBF">
      <w:rPr>
        <w:rFonts w:ascii="Palatino Linotype" w:hAnsi="Palatino Linotype"/>
        <w:b/>
        <w:bCs/>
        <w:color w:val="000000"/>
        <w:sz w:val="22"/>
      </w:rPr>
      <w:fldChar w:fldCharType="begin"/>
    </w:r>
    <w:r w:rsidRPr="00580FBF">
      <w:rPr>
        <w:rFonts w:ascii="Palatino Linotype" w:hAnsi="Palatino Linotype"/>
        <w:b/>
        <w:bCs/>
        <w:color w:val="000000"/>
        <w:sz w:val="22"/>
      </w:rPr>
      <w:instrText>NUMPAGES</w:instrText>
    </w:r>
    <w:r w:rsidRPr="00580FBF">
      <w:rPr>
        <w:rFonts w:ascii="Palatino Linotype" w:hAnsi="Palatino Linotype"/>
        <w:b/>
        <w:bCs/>
        <w:color w:val="000000"/>
        <w:sz w:val="22"/>
      </w:rPr>
      <w:fldChar w:fldCharType="separate"/>
    </w:r>
    <w:r w:rsidR="00386EAE">
      <w:rPr>
        <w:rFonts w:ascii="Palatino Linotype" w:hAnsi="Palatino Linotype"/>
        <w:b/>
        <w:bCs/>
        <w:noProof/>
        <w:color w:val="000000"/>
        <w:sz w:val="22"/>
      </w:rPr>
      <w:t>44</w:t>
    </w:r>
    <w:r w:rsidRPr="00580FBF">
      <w:rPr>
        <w:rFonts w:ascii="Palatino Linotype" w:hAnsi="Palatino Linotype"/>
        <w:b/>
        <w:bCs/>
        <w:color w:val="000000"/>
        <w:sz w:val="22"/>
      </w:rPr>
      <w:fldChar w:fldCharType="end"/>
    </w:r>
  </w:p>
  <w:p w14:paraId="7DC09506" w14:textId="77777777" w:rsidR="002E0477" w:rsidRDefault="002E047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F7447" w14:textId="77777777" w:rsidR="0075774B" w:rsidRDefault="0075774B" w:rsidP="00893048">
      <w:r>
        <w:separator/>
      </w:r>
    </w:p>
  </w:footnote>
  <w:footnote w:type="continuationSeparator" w:id="0">
    <w:p w14:paraId="2003E250" w14:textId="77777777" w:rsidR="0075774B" w:rsidRDefault="0075774B" w:rsidP="00893048">
      <w:r>
        <w:continuationSeparator/>
      </w:r>
    </w:p>
  </w:footnote>
  <w:footnote w:id="1">
    <w:p w14:paraId="3AB50382" w14:textId="77777777" w:rsidR="002E0477" w:rsidRDefault="002E0477" w:rsidP="00EB393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2">
    <w:p w14:paraId="4D5466F8" w14:textId="77777777" w:rsidR="002E0477" w:rsidRDefault="002E0477" w:rsidP="00EB393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3">
    <w:p w14:paraId="39FF22A4" w14:textId="77777777" w:rsidR="002E0477" w:rsidRDefault="002E0477" w:rsidP="00EB393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4">
    <w:p w14:paraId="0BE0D2A9" w14:textId="77777777" w:rsidR="002E0477" w:rsidRDefault="002E0477" w:rsidP="00EB393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D6491" w14:textId="77777777" w:rsidR="002E0477" w:rsidRDefault="0075774B">
    <w:pPr>
      <w:pBdr>
        <w:top w:val="nil"/>
        <w:left w:val="nil"/>
        <w:bottom w:val="nil"/>
        <w:right w:val="nil"/>
        <w:between w:val="nil"/>
      </w:pBdr>
      <w:tabs>
        <w:tab w:val="center" w:pos="4419"/>
        <w:tab w:val="right" w:pos="8838"/>
      </w:tabs>
      <w:rPr>
        <w:color w:val="000000"/>
      </w:rPr>
    </w:pPr>
    <w:r>
      <w:rPr>
        <w:color w:val="000000"/>
      </w:rPr>
      <w:pict w14:anchorId="7C262D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89.8pt;height:768pt;z-index:-25165516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8"/>
      <w:gridCol w:w="8222"/>
    </w:tblGrid>
    <w:tr w:rsidR="002E0477" w14:paraId="72A81792" w14:textId="77777777" w:rsidTr="00580FBF">
      <w:trPr>
        <w:trHeight w:val="1435"/>
      </w:trPr>
      <w:tc>
        <w:tcPr>
          <w:tcW w:w="2268" w:type="dxa"/>
          <w:shd w:val="clear" w:color="auto" w:fill="auto"/>
        </w:tcPr>
        <w:p w14:paraId="05EBD096" w14:textId="77777777" w:rsidR="002E0477" w:rsidRDefault="002E0477">
          <w:pPr>
            <w:tabs>
              <w:tab w:val="right" w:pos="4273"/>
            </w:tabs>
            <w:rPr>
              <w:rFonts w:ascii="Garamond" w:eastAsia="Garamond" w:hAnsi="Garamond" w:cs="Garamond"/>
              <w:sz w:val="16"/>
              <w:szCs w:val="16"/>
            </w:rPr>
          </w:pPr>
        </w:p>
      </w:tc>
      <w:tc>
        <w:tcPr>
          <w:tcW w:w="8222" w:type="dxa"/>
          <w:shd w:val="clear" w:color="auto" w:fill="auto"/>
        </w:tcPr>
        <w:tbl>
          <w:tblPr>
            <w:tblW w:w="6946" w:type="dxa"/>
            <w:tblInd w:w="1310" w:type="dxa"/>
            <w:tblLayout w:type="fixed"/>
            <w:tblLook w:val="0400" w:firstRow="0" w:lastRow="0" w:firstColumn="0" w:lastColumn="0" w:noHBand="0" w:noVBand="1"/>
          </w:tblPr>
          <w:tblGrid>
            <w:gridCol w:w="2835"/>
            <w:gridCol w:w="4111"/>
          </w:tblGrid>
          <w:tr w:rsidR="002E0477" w14:paraId="272D92AA" w14:textId="77777777" w:rsidTr="00580FBF">
            <w:trPr>
              <w:trHeight w:val="150"/>
            </w:trPr>
            <w:tc>
              <w:tcPr>
                <w:tcW w:w="2835" w:type="dxa"/>
                <w:shd w:val="clear" w:color="auto" w:fill="auto"/>
              </w:tcPr>
              <w:p w14:paraId="1E6EE3FE" w14:textId="77777777" w:rsidR="002E0477" w:rsidRPr="00580FBF" w:rsidRDefault="002E0477" w:rsidP="007B02FB">
                <w:pPr>
                  <w:tabs>
                    <w:tab w:val="right" w:pos="8838"/>
                  </w:tabs>
                  <w:ind w:right="-105"/>
                  <w:rPr>
                    <w:rFonts w:ascii="Palatino Linotype" w:eastAsia="Palatino Linotype" w:hAnsi="Palatino Linotype" w:cs="Palatino Linotype"/>
                    <w:b/>
                    <w:bCs/>
                    <w:szCs w:val="22"/>
                  </w:rPr>
                </w:pPr>
                <w:r w:rsidRPr="00580FBF">
                  <w:rPr>
                    <w:rFonts w:ascii="Palatino Linotype" w:eastAsia="Palatino Linotype" w:hAnsi="Palatino Linotype" w:cs="Palatino Linotype"/>
                    <w:b/>
                    <w:bCs/>
                    <w:szCs w:val="22"/>
                  </w:rPr>
                  <w:t>Recurso de Revisión:</w:t>
                </w:r>
              </w:p>
            </w:tc>
            <w:tc>
              <w:tcPr>
                <w:tcW w:w="4111" w:type="dxa"/>
                <w:shd w:val="clear" w:color="auto" w:fill="auto"/>
              </w:tcPr>
              <w:p w14:paraId="1F2D47F0" w14:textId="77777777" w:rsidR="002E0477" w:rsidRPr="00580FBF" w:rsidRDefault="002E0477" w:rsidP="007B02FB">
                <w:pPr>
                  <w:tabs>
                    <w:tab w:val="right" w:pos="8838"/>
                  </w:tabs>
                  <w:ind w:left="-108" w:right="-1090"/>
                  <w:jc w:val="both"/>
                  <w:rPr>
                    <w:rFonts w:ascii="Palatino Linotype" w:eastAsia="Palatino Linotype" w:hAnsi="Palatino Linotype" w:cs="Palatino Linotype"/>
                    <w:szCs w:val="22"/>
                  </w:rPr>
                </w:pPr>
                <w:r w:rsidRPr="00580FBF">
                  <w:rPr>
                    <w:rFonts w:ascii="Palatino Linotype" w:eastAsia="Palatino Linotype" w:hAnsi="Palatino Linotype" w:cs="Palatino Linotype"/>
                    <w:szCs w:val="22"/>
                  </w:rPr>
                  <w:t>01118/INFOEM/IP/RR/2026</w:t>
                </w:r>
                <w:r w:rsidRPr="00580FBF">
                  <w:rPr>
                    <w:rFonts w:ascii="Palatino Linotype" w:eastAsia="Palatino Linotype" w:hAnsi="Palatino Linotype" w:cs="Palatino Linotype"/>
                    <w:b/>
                    <w:bCs/>
                    <w:szCs w:val="22"/>
                  </w:rPr>
                  <w:t xml:space="preserve"> </w:t>
                </w:r>
              </w:p>
            </w:tc>
          </w:tr>
          <w:tr w:rsidR="002E0477" w14:paraId="0D789665" w14:textId="77777777" w:rsidTr="00580FBF">
            <w:trPr>
              <w:trHeight w:val="295"/>
            </w:trPr>
            <w:tc>
              <w:tcPr>
                <w:tcW w:w="2835" w:type="dxa"/>
                <w:shd w:val="clear" w:color="auto" w:fill="auto"/>
              </w:tcPr>
              <w:p w14:paraId="1A603A62" w14:textId="77777777" w:rsidR="002E0477" w:rsidRPr="00580FBF" w:rsidRDefault="002E0477" w:rsidP="007B02FB">
                <w:pPr>
                  <w:tabs>
                    <w:tab w:val="right" w:pos="8838"/>
                  </w:tabs>
                  <w:ind w:right="-105"/>
                  <w:rPr>
                    <w:rFonts w:ascii="Palatino Linotype" w:eastAsia="Palatino Linotype" w:hAnsi="Palatino Linotype" w:cs="Palatino Linotype"/>
                    <w:b/>
                    <w:bCs/>
                    <w:szCs w:val="22"/>
                  </w:rPr>
                </w:pPr>
                <w:r w:rsidRPr="00580FBF">
                  <w:rPr>
                    <w:rFonts w:ascii="Palatino Linotype" w:eastAsia="Palatino Linotype" w:hAnsi="Palatino Linotype" w:cs="Palatino Linotype"/>
                    <w:b/>
                    <w:bCs/>
                    <w:szCs w:val="22"/>
                  </w:rPr>
                  <w:t>Sujeto Obligado:</w:t>
                </w:r>
              </w:p>
            </w:tc>
            <w:tc>
              <w:tcPr>
                <w:tcW w:w="4111" w:type="dxa"/>
                <w:shd w:val="clear" w:color="auto" w:fill="auto"/>
              </w:tcPr>
              <w:p w14:paraId="78AC8509" w14:textId="77777777" w:rsidR="002E0477" w:rsidRPr="00580FBF" w:rsidRDefault="002E0477" w:rsidP="007B02FB">
                <w:pPr>
                  <w:tabs>
                    <w:tab w:val="left" w:pos="2834"/>
                    <w:tab w:val="right" w:pos="8838"/>
                  </w:tabs>
                  <w:ind w:left="-108" w:right="-1090"/>
                  <w:jc w:val="both"/>
                  <w:rPr>
                    <w:rFonts w:ascii="Palatino Linotype" w:eastAsia="Palatino Linotype" w:hAnsi="Palatino Linotype" w:cs="Palatino Linotype"/>
                    <w:szCs w:val="22"/>
                  </w:rPr>
                </w:pPr>
                <w:r w:rsidRPr="00580FBF">
                  <w:rPr>
                    <w:rFonts w:ascii="Palatino Linotype" w:eastAsia="Palatino Linotype" w:hAnsi="Palatino Linotype" w:cs="Palatino Linotype"/>
                    <w:szCs w:val="22"/>
                  </w:rPr>
                  <w:t>Ayuntamiento de Ozumba</w:t>
                </w:r>
              </w:p>
            </w:tc>
          </w:tr>
          <w:tr w:rsidR="002E0477" w14:paraId="22F903CC" w14:textId="77777777" w:rsidTr="00580FBF">
            <w:trPr>
              <w:trHeight w:val="295"/>
            </w:trPr>
            <w:tc>
              <w:tcPr>
                <w:tcW w:w="2835" w:type="dxa"/>
                <w:shd w:val="clear" w:color="auto" w:fill="auto"/>
              </w:tcPr>
              <w:p w14:paraId="662E585C" w14:textId="77777777" w:rsidR="002E0477" w:rsidRPr="00580FBF" w:rsidRDefault="002E0477" w:rsidP="007B02FB">
                <w:pPr>
                  <w:tabs>
                    <w:tab w:val="right" w:pos="8838"/>
                  </w:tabs>
                  <w:ind w:right="-105"/>
                  <w:rPr>
                    <w:rFonts w:ascii="Palatino Linotype" w:eastAsia="Palatino Linotype" w:hAnsi="Palatino Linotype" w:cs="Palatino Linotype"/>
                    <w:b/>
                    <w:bCs/>
                    <w:szCs w:val="22"/>
                  </w:rPr>
                </w:pPr>
                <w:r w:rsidRPr="00580FBF">
                  <w:rPr>
                    <w:rFonts w:ascii="Palatino Linotype" w:eastAsia="Palatino Linotype" w:hAnsi="Palatino Linotype" w:cs="Palatino Linotype"/>
                    <w:b/>
                    <w:bCs/>
                    <w:szCs w:val="22"/>
                  </w:rPr>
                  <w:t>Comisionado ponente:</w:t>
                </w:r>
              </w:p>
            </w:tc>
            <w:tc>
              <w:tcPr>
                <w:tcW w:w="4111" w:type="dxa"/>
                <w:shd w:val="clear" w:color="auto" w:fill="auto"/>
              </w:tcPr>
              <w:p w14:paraId="1B00C00E" w14:textId="77777777" w:rsidR="002E0477" w:rsidRPr="00580FBF" w:rsidRDefault="002E0477" w:rsidP="007B02FB">
                <w:pPr>
                  <w:tabs>
                    <w:tab w:val="right" w:pos="8838"/>
                  </w:tabs>
                  <w:ind w:left="-108" w:right="-1090"/>
                  <w:jc w:val="both"/>
                  <w:rPr>
                    <w:rFonts w:ascii="Palatino Linotype" w:eastAsia="Palatino Linotype" w:hAnsi="Palatino Linotype" w:cs="Palatino Linotype"/>
                    <w:szCs w:val="22"/>
                  </w:rPr>
                </w:pPr>
                <w:r w:rsidRPr="00580FBF">
                  <w:rPr>
                    <w:rFonts w:ascii="Palatino Linotype" w:eastAsia="Palatino Linotype" w:hAnsi="Palatino Linotype" w:cs="Palatino Linotype"/>
                    <w:szCs w:val="22"/>
                  </w:rPr>
                  <w:t>María del Rosario Mejía Ayala</w:t>
                </w:r>
              </w:p>
              <w:p w14:paraId="06D48B84" w14:textId="77777777" w:rsidR="002E0477" w:rsidRPr="00580FBF" w:rsidRDefault="002E0477" w:rsidP="007B02FB">
                <w:pPr>
                  <w:tabs>
                    <w:tab w:val="right" w:pos="8838"/>
                  </w:tabs>
                  <w:ind w:left="-108" w:right="-1090"/>
                  <w:jc w:val="both"/>
                  <w:rPr>
                    <w:rFonts w:ascii="Palatino Linotype" w:eastAsia="Palatino Linotype" w:hAnsi="Palatino Linotype" w:cs="Palatino Linotype"/>
                    <w:b/>
                    <w:bCs/>
                    <w:szCs w:val="22"/>
                  </w:rPr>
                </w:pPr>
              </w:p>
            </w:tc>
          </w:tr>
        </w:tbl>
        <w:p w14:paraId="46136F78" w14:textId="77777777" w:rsidR="002E0477" w:rsidRDefault="002E0477">
          <w:pPr>
            <w:tabs>
              <w:tab w:val="right" w:pos="8838"/>
            </w:tabs>
            <w:ind w:left="-28"/>
            <w:jc w:val="both"/>
            <w:rPr>
              <w:rFonts w:ascii="Arial" w:eastAsia="Arial" w:hAnsi="Arial" w:cs="Arial"/>
              <w:b/>
              <w:bCs/>
              <w:sz w:val="22"/>
              <w:szCs w:val="22"/>
            </w:rPr>
          </w:pPr>
        </w:p>
      </w:tc>
    </w:tr>
  </w:tbl>
  <w:p w14:paraId="359D3918" w14:textId="77777777" w:rsidR="002E0477" w:rsidRDefault="0075774B">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5FBE7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8.8pt;margin-top:-120.5pt;width:589.8pt;height:768pt;z-index:-25165721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2E0477" w14:paraId="6E9B5B1E" w14:textId="77777777">
      <w:trPr>
        <w:trHeight w:val="1435"/>
      </w:trPr>
      <w:tc>
        <w:tcPr>
          <w:tcW w:w="2265" w:type="dxa"/>
          <w:shd w:val="clear" w:color="auto" w:fill="auto"/>
        </w:tcPr>
        <w:p w14:paraId="745506B7" w14:textId="77777777" w:rsidR="002E0477" w:rsidRDefault="002E0477">
          <w:pPr>
            <w:tabs>
              <w:tab w:val="right" w:pos="4273"/>
            </w:tabs>
            <w:rPr>
              <w:rFonts w:ascii="Garamond" w:eastAsia="Garamond" w:hAnsi="Garamond" w:cs="Garamond"/>
              <w:sz w:val="22"/>
              <w:szCs w:val="22"/>
            </w:rPr>
          </w:pPr>
        </w:p>
      </w:tc>
      <w:tc>
        <w:tcPr>
          <w:tcW w:w="7755" w:type="dxa"/>
          <w:shd w:val="clear" w:color="auto" w:fill="auto"/>
        </w:tcPr>
        <w:tbl>
          <w:tblPr>
            <w:tblW w:w="7797" w:type="dxa"/>
            <w:tblInd w:w="1171" w:type="dxa"/>
            <w:tblLayout w:type="fixed"/>
            <w:tblLook w:val="0400" w:firstRow="0" w:lastRow="0" w:firstColumn="0" w:lastColumn="0" w:noHBand="0" w:noVBand="1"/>
          </w:tblPr>
          <w:tblGrid>
            <w:gridCol w:w="2832"/>
            <w:gridCol w:w="4965"/>
          </w:tblGrid>
          <w:tr w:rsidR="002E0477" w14:paraId="54D8563E" w14:textId="77777777" w:rsidTr="00580FBF">
            <w:trPr>
              <w:trHeight w:val="144"/>
            </w:trPr>
            <w:tc>
              <w:tcPr>
                <w:tcW w:w="2832" w:type="dxa"/>
                <w:shd w:val="clear" w:color="auto" w:fill="auto"/>
              </w:tcPr>
              <w:p w14:paraId="1021F0E9" w14:textId="77777777" w:rsidR="002E0477" w:rsidRPr="00580FBF" w:rsidRDefault="002E0477">
                <w:pPr>
                  <w:tabs>
                    <w:tab w:val="right" w:pos="8838"/>
                  </w:tabs>
                  <w:ind w:left="-264" w:right="-105" w:firstLine="195"/>
                  <w:rPr>
                    <w:rFonts w:ascii="Palatino Linotype" w:eastAsia="Palatino Linotype" w:hAnsi="Palatino Linotype" w:cs="Palatino Linotype"/>
                    <w:b/>
                    <w:bCs/>
                    <w:szCs w:val="22"/>
                  </w:rPr>
                </w:pPr>
                <w:r w:rsidRPr="00580FBF">
                  <w:rPr>
                    <w:rFonts w:ascii="Palatino Linotype" w:eastAsia="Palatino Linotype" w:hAnsi="Palatino Linotype" w:cs="Palatino Linotype"/>
                    <w:b/>
                    <w:bCs/>
                    <w:szCs w:val="22"/>
                  </w:rPr>
                  <w:t>Recurso de Revisión:</w:t>
                </w:r>
              </w:p>
            </w:tc>
            <w:tc>
              <w:tcPr>
                <w:tcW w:w="4965" w:type="dxa"/>
                <w:shd w:val="clear" w:color="auto" w:fill="auto"/>
              </w:tcPr>
              <w:p w14:paraId="0123C8BB" w14:textId="77777777" w:rsidR="002E0477" w:rsidRPr="00580FBF" w:rsidRDefault="002E0477" w:rsidP="003775C0">
                <w:pPr>
                  <w:tabs>
                    <w:tab w:val="right" w:pos="8838"/>
                  </w:tabs>
                  <w:ind w:left="-74" w:right="-1269"/>
                  <w:rPr>
                    <w:rFonts w:ascii="Palatino Linotype" w:eastAsia="Palatino Linotype" w:hAnsi="Palatino Linotype" w:cs="Palatino Linotype"/>
                    <w:szCs w:val="22"/>
                  </w:rPr>
                </w:pPr>
                <w:r w:rsidRPr="00580FBF">
                  <w:rPr>
                    <w:rFonts w:ascii="Palatino Linotype" w:eastAsia="Palatino Linotype" w:hAnsi="Palatino Linotype" w:cs="Palatino Linotype"/>
                    <w:szCs w:val="22"/>
                  </w:rPr>
                  <w:t>01118/INFOEM/IP/RR/2026</w:t>
                </w:r>
              </w:p>
            </w:tc>
          </w:tr>
          <w:tr w:rsidR="002E0477" w14:paraId="565948A7" w14:textId="77777777" w:rsidTr="00580FBF">
            <w:trPr>
              <w:trHeight w:val="144"/>
            </w:trPr>
            <w:tc>
              <w:tcPr>
                <w:tcW w:w="2832" w:type="dxa"/>
                <w:shd w:val="clear" w:color="auto" w:fill="auto"/>
              </w:tcPr>
              <w:p w14:paraId="0A717E17" w14:textId="77777777" w:rsidR="002E0477" w:rsidRPr="00580FBF" w:rsidRDefault="002E0477">
                <w:pPr>
                  <w:tabs>
                    <w:tab w:val="right" w:pos="8838"/>
                  </w:tabs>
                  <w:ind w:left="-74" w:right="-105"/>
                  <w:rPr>
                    <w:rFonts w:ascii="Palatino Linotype" w:eastAsia="Palatino Linotype" w:hAnsi="Palatino Linotype" w:cs="Palatino Linotype"/>
                    <w:b/>
                    <w:bCs/>
                    <w:szCs w:val="22"/>
                  </w:rPr>
                </w:pPr>
                <w:r w:rsidRPr="00580FBF">
                  <w:rPr>
                    <w:rFonts w:ascii="Palatino Linotype" w:eastAsia="Palatino Linotype" w:hAnsi="Palatino Linotype" w:cs="Palatino Linotype"/>
                    <w:b/>
                    <w:bCs/>
                    <w:szCs w:val="22"/>
                  </w:rPr>
                  <w:t>Recurrente:</w:t>
                </w:r>
              </w:p>
            </w:tc>
            <w:tc>
              <w:tcPr>
                <w:tcW w:w="4965" w:type="dxa"/>
                <w:shd w:val="clear" w:color="auto" w:fill="auto"/>
              </w:tcPr>
              <w:p w14:paraId="3EFEF712" w14:textId="35CDD303" w:rsidR="002E0477" w:rsidRPr="00580FBF" w:rsidRDefault="00386EAE">
                <w:pPr>
                  <w:tabs>
                    <w:tab w:val="left" w:pos="3122"/>
                    <w:tab w:val="right" w:pos="8838"/>
                  </w:tabs>
                  <w:ind w:left="-74" w:right="-1269"/>
                  <w:rPr>
                    <w:rFonts w:ascii="Palatino Linotype" w:eastAsia="Palatino Linotype" w:hAnsi="Palatino Linotype" w:cs="Palatino Linotype"/>
                    <w:szCs w:val="22"/>
                  </w:rPr>
                </w:pPr>
                <w:r>
                  <w:rPr>
                    <w:rFonts w:ascii="Palatino Linotype" w:eastAsia="Palatino Linotype" w:hAnsi="Palatino Linotype" w:cs="Palatino Linotype"/>
                    <w:bCs/>
                    <w:szCs w:val="22"/>
                  </w:rPr>
                  <w:t>XXXX</w:t>
                </w:r>
                <w:r w:rsidR="002E0477" w:rsidRPr="00580FBF">
                  <w:rPr>
                    <w:rFonts w:ascii="Palatino Linotype" w:eastAsia="Palatino Linotype" w:hAnsi="Palatino Linotype" w:cs="Palatino Linotype"/>
                    <w:bCs/>
                    <w:szCs w:val="22"/>
                  </w:rPr>
                  <w:t xml:space="preserve"> </w:t>
                </w:r>
              </w:p>
            </w:tc>
          </w:tr>
          <w:tr w:rsidR="002E0477" w14:paraId="5EB3BBF1" w14:textId="77777777" w:rsidTr="00580FBF">
            <w:trPr>
              <w:trHeight w:val="283"/>
            </w:trPr>
            <w:tc>
              <w:tcPr>
                <w:tcW w:w="2832" w:type="dxa"/>
                <w:shd w:val="clear" w:color="auto" w:fill="auto"/>
              </w:tcPr>
              <w:p w14:paraId="3A4503B6" w14:textId="77777777" w:rsidR="002E0477" w:rsidRPr="00580FBF" w:rsidRDefault="002E0477">
                <w:pPr>
                  <w:tabs>
                    <w:tab w:val="right" w:pos="8838"/>
                  </w:tabs>
                  <w:ind w:left="-74" w:right="-105"/>
                  <w:rPr>
                    <w:rFonts w:ascii="Palatino Linotype" w:eastAsia="Palatino Linotype" w:hAnsi="Palatino Linotype" w:cs="Palatino Linotype"/>
                    <w:b/>
                    <w:bCs/>
                    <w:szCs w:val="22"/>
                  </w:rPr>
                </w:pPr>
                <w:r w:rsidRPr="00580FBF">
                  <w:rPr>
                    <w:rFonts w:ascii="Palatino Linotype" w:eastAsia="Palatino Linotype" w:hAnsi="Palatino Linotype" w:cs="Palatino Linotype"/>
                    <w:b/>
                    <w:bCs/>
                    <w:szCs w:val="22"/>
                  </w:rPr>
                  <w:t>Sujeto Obligado:</w:t>
                </w:r>
              </w:p>
            </w:tc>
            <w:tc>
              <w:tcPr>
                <w:tcW w:w="4965" w:type="dxa"/>
                <w:shd w:val="clear" w:color="auto" w:fill="auto"/>
              </w:tcPr>
              <w:p w14:paraId="04AC3D2E" w14:textId="77777777" w:rsidR="002E0477" w:rsidRPr="00580FBF" w:rsidRDefault="002E0477">
                <w:pPr>
                  <w:tabs>
                    <w:tab w:val="left" w:pos="2834"/>
                    <w:tab w:val="right" w:pos="8838"/>
                  </w:tabs>
                  <w:ind w:left="-74" w:right="-1269"/>
                  <w:rPr>
                    <w:rFonts w:ascii="Palatino Linotype" w:eastAsia="Palatino Linotype" w:hAnsi="Palatino Linotype" w:cs="Palatino Linotype"/>
                    <w:szCs w:val="22"/>
                  </w:rPr>
                </w:pPr>
                <w:r w:rsidRPr="00580FBF">
                  <w:rPr>
                    <w:rFonts w:ascii="Palatino Linotype" w:eastAsia="Palatino Linotype" w:hAnsi="Palatino Linotype" w:cs="Palatino Linotype"/>
                    <w:szCs w:val="22"/>
                  </w:rPr>
                  <w:t>Ayuntamiento de Ozumba</w:t>
                </w:r>
              </w:p>
            </w:tc>
          </w:tr>
          <w:tr w:rsidR="002E0477" w14:paraId="31D4730F" w14:textId="77777777" w:rsidTr="00580FBF">
            <w:trPr>
              <w:trHeight w:val="283"/>
            </w:trPr>
            <w:tc>
              <w:tcPr>
                <w:tcW w:w="2832" w:type="dxa"/>
                <w:shd w:val="clear" w:color="auto" w:fill="auto"/>
              </w:tcPr>
              <w:p w14:paraId="303DE92A" w14:textId="77777777" w:rsidR="002E0477" w:rsidRPr="00580FBF" w:rsidRDefault="002E0477">
                <w:pPr>
                  <w:tabs>
                    <w:tab w:val="right" w:pos="8838"/>
                  </w:tabs>
                  <w:ind w:left="-74" w:right="-105"/>
                  <w:rPr>
                    <w:rFonts w:ascii="Palatino Linotype" w:eastAsia="Palatino Linotype" w:hAnsi="Palatino Linotype" w:cs="Palatino Linotype"/>
                    <w:b/>
                    <w:bCs/>
                    <w:szCs w:val="22"/>
                  </w:rPr>
                </w:pPr>
                <w:r w:rsidRPr="00580FBF">
                  <w:rPr>
                    <w:rFonts w:ascii="Palatino Linotype" w:eastAsia="Palatino Linotype" w:hAnsi="Palatino Linotype" w:cs="Palatino Linotype"/>
                    <w:b/>
                    <w:bCs/>
                    <w:szCs w:val="22"/>
                  </w:rPr>
                  <w:t>Comisionado ponente:</w:t>
                </w:r>
              </w:p>
            </w:tc>
            <w:tc>
              <w:tcPr>
                <w:tcW w:w="4965" w:type="dxa"/>
                <w:shd w:val="clear" w:color="auto" w:fill="auto"/>
              </w:tcPr>
              <w:p w14:paraId="5226B737" w14:textId="77777777" w:rsidR="002E0477" w:rsidRPr="00580FBF" w:rsidRDefault="002E0477">
                <w:pPr>
                  <w:tabs>
                    <w:tab w:val="right" w:pos="8838"/>
                  </w:tabs>
                  <w:ind w:left="-74" w:right="-1269"/>
                  <w:rPr>
                    <w:rFonts w:ascii="Palatino Linotype" w:eastAsia="Palatino Linotype" w:hAnsi="Palatino Linotype" w:cs="Palatino Linotype"/>
                    <w:szCs w:val="22"/>
                  </w:rPr>
                </w:pPr>
                <w:r w:rsidRPr="00580FBF">
                  <w:rPr>
                    <w:rFonts w:ascii="Palatino Linotype" w:eastAsia="Palatino Linotype" w:hAnsi="Palatino Linotype" w:cs="Palatino Linotype"/>
                    <w:szCs w:val="22"/>
                  </w:rPr>
                  <w:t>María del Rosario Mejía Ayala</w:t>
                </w:r>
              </w:p>
              <w:p w14:paraId="324F9358" w14:textId="77777777" w:rsidR="002E0477" w:rsidRPr="00580FBF" w:rsidRDefault="002E0477">
                <w:pPr>
                  <w:tabs>
                    <w:tab w:val="right" w:pos="8838"/>
                  </w:tabs>
                  <w:ind w:left="-74" w:right="-1269"/>
                  <w:rPr>
                    <w:rFonts w:ascii="Palatino Linotype" w:eastAsia="Palatino Linotype" w:hAnsi="Palatino Linotype" w:cs="Palatino Linotype"/>
                    <w:b/>
                    <w:bCs/>
                    <w:szCs w:val="22"/>
                  </w:rPr>
                </w:pPr>
              </w:p>
            </w:tc>
          </w:tr>
        </w:tbl>
        <w:p w14:paraId="3E4EC2FE" w14:textId="77777777" w:rsidR="002E0477" w:rsidRDefault="002E0477">
          <w:pPr>
            <w:tabs>
              <w:tab w:val="right" w:pos="8838"/>
            </w:tabs>
            <w:ind w:left="-28"/>
            <w:jc w:val="both"/>
            <w:rPr>
              <w:rFonts w:ascii="Arial" w:eastAsia="Arial" w:hAnsi="Arial" w:cs="Arial"/>
              <w:b/>
              <w:bCs/>
              <w:sz w:val="22"/>
              <w:szCs w:val="22"/>
            </w:rPr>
          </w:pPr>
        </w:p>
      </w:tc>
    </w:tr>
  </w:tbl>
  <w:p w14:paraId="59038DBA" w14:textId="77777777" w:rsidR="002E0477" w:rsidRDefault="0075774B">
    <w:pPr>
      <w:pBdr>
        <w:top w:val="nil"/>
        <w:left w:val="nil"/>
        <w:bottom w:val="nil"/>
        <w:right w:val="nil"/>
        <w:between w:val="nil"/>
      </w:pBdr>
      <w:tabs>
        <w:tab w:val="center" w:pos="4419"/>
        <w:tab w:val="right" w:pos="8838"/>
      </w:tabs>
      <w:rPr>
        <w:color w:val="000000"/>
        <w:sz w:val="2"/>
        <w:szCs w:val="2"/>
      </w:rPr>
    </w:pPr>
    <w:r>
      <w:rPr>
        <w:color w:val="000000"/>
        <w:sz w:val="2"/>
        <w:szCs w:val="2"/>
      </w:rPr>
      <w:pict w14:anchorId="29EB1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619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977D9"/>
    <w:multiLevelType w:val="multilevel"/>
    <w:tmpl w:val="123C0A1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E446B1"/>
    <w:multiLevelType w:val="multilevel"/>
    <w:tmpl w:val="4EEE86D0"/>
    <w:lvl w:ilvl="0">
      <w:start w:val="1"/>
      <w:numFmt w:val="decimal"/>
      <w:lvlText w:val="%1."/>
      <w:lvlJc w:val="left"/>
      <w:pPr>
        <w:ind w:left="360"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CF5203"/>
    <w:multiLevelType w:val="hybridMultilevel"/>
    <w:tmpl w:val="F55EBD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03496D"/>
    <w:multiLevelType w:val="multilevel"/>
    <w:tmpl w:val="3E0CA868"/>
    <w:lvl w:ilvl="0">
      <w:start w:val="1"/>
      <w:numFmt w:val="lowerLetter"/>
      <w:lvlText w:val="%1)"/>
      <w:lvlJc w:val="left"/>
      <w:pPr>
        <w:ind w:left="1068" w:hanging="360"/>
      </w:pPr>
      <w:rPr>
        <w:rFonts w:ascii="Palatino Linotype" w:eastAsia="Palatino Linotype" w:hAnsi="Palatino Linotype" w:cs="Palatino Linotype"/>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242C6B97"/>
    <w:multiLevelType w:val="multilevel"/>
    <w:tmpl w:val="7F86AE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621B8A"/>
    <w:multiLevelType w:val="multilevel"/>
    <w:tmpl w:val="688C2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325D1E"/>
    <w:multiLevelType w:val="multilevel"/>
    <w:tmpl w:val="3F005E6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8F73FC"/>
    <w:multiLevelType w:val="multilevel"/>
    <w:tmpl w:val="CD38828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BE5019"/>
    <w:multiLevelType w:val="multilevel"/>
    <w:tmpl w:val="1728988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307CD6"/>
    <w:multiLevelType w:val="multilevel"/>
    <w:tmpl w:val="C518A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5A21EB5"/>
    <w:multiLevelType w:val="multilevel"/>
    <w:tmpl w:val="71AC2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88F5D60"/>
    <w:multiLevelType w:val="multilevel"/>
    <w:tmpl w:val="D910F65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7E82F11"/>
    <w:multiLevelType w:val="hybridMultilevel"/>
    <w:tmpl w:val="5BD4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E406718"/>
    <w:multiLevelType w:val="multilevel"/>
    <w:tmpl w:val="8D020E60"/>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2639CA"/>
    <w:multiLevelType w:val="hybridMultilevel"/>
    <w:tmpl w:val="892C019C"/>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73542B4B"/>
    <w:multiLevelType w:val="multilevel"/>
    <w:tmpl w:val="226499AE"/>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6C0896"/>
    <w:multiLevelType w:val="multilevel"/>
    <w:tmpl w:val="114CF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9D77E99"/>
    <w:multiLevelType w:val="multilevel"/>
    <w:tmpl w:val="26C81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9B5C4A"/>
    <w:multiLevelType w:val="hybridMultilevel"/>
    <w:tmpl w:val="ABC8B6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9"/>
  </w:num>
  <w:num w:numId="3">
    <w:abstractNumId w:val="0"/>
  </w:num>
  <w:num w:numId="4">
    <w:abstractNumId w:val="5"/>
  </w:num>
  <w:num w:numId="5">
    <w:abstractNumId w:val="10"/>
  </w:num>
  <w:num w:numId="6">
    <w:abstractNumId w:val="4"/>
  </w:num>
  <w:num w:numId="7">
    <w:abstractNumId w:val="11"/>
  </w:num>
  <w:num w:numId="8">
    <w:abstractNumId w:val="19"/>
  </w:num>
  <w:num w:numId="9">
    <w:abstractNumId w:val="16"/>
  </w:num>
  <w:num w:numId="10">
    <w:abstractNumId w:val="13"/>
  </w:num>
  <w:num w:numId="11">
    <w:abstractNumId w:val="2"/>
  </w:num>
  <w:num w:numId="12">
    <w:abstractNumId w:val="14"/>
  </w:num>
  <w:num w:numId="13">
    <w:abstractNumId w:val="8"/>
  </w:num>
  <w:num w:numId="14">
    <w:abstractNumId w:val="7"/>
  </w:num>
  <w:num w:numId="15">
    <w:abstractNumId w:val="20"/>
  </w:num>
  <w:num w:numId="16">
    <w:abstractNumId w:val="12"/>
  </w:num>
  <w:num w:numId="17">
    <w:abstractNumId w:val="15"/>
  </w:num>
  <w:num w:numId="18">
    <w:abstractNumId w:val="1"/>
  </w:num>
  <w:num w:numId="19">
    <w:abstractNumId w:val="1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048"/>
    <w:rsid w:val="00006F41"/>
    <w:rsid w:val="00045550"/>
    <w:rsid w:val="00107CE6"/>
    <w:rsid w:val="00116EEF"/>
    <w:rsid w:val="00120CF6"/>
    <w:rsid w:val="002656C0"/>
    <w:rsid w:val="002767B5"/>
    <w:rsid w:val="002E0477"/>
    <w:rsid w:val="00325C94"/>
    <w:rsid w:val="003775C0"/>
    <w:rsid w:val="00386EAE"/>
    <w:rsid w:val="003C68D5"/>
    <w:rsid w:val="00461474"/>
    <w:rsid w:val="004808C0"/>
    <w:rsid w:val="004A74E3"/>
    <w:rsid w:val="0053189E"/>
    <w:rsid w:val="00556869"/>
    <w:rsid w:val="00563177"/>
    <w:rsid w:val="00580FBF"/>
    <w:rsid w:val="005C64E0"/>
    <w:rsid w:val="005D7B2E"/>
    <w:rsid w:val="00620356"/>
    <w:rsid w:val="00682B87"/>
    <w:rsid w:val="006F7E14"/>
    <w:rsid w:val="007557A7"/>
    <w:rsid w:val="0075774B"/>
    <w:rsid w:val="00796EFA"/>
    <w:rsid w:val="007A0CEE"/>
    <w:rsid w:val="007B02FB"/>
    <w:rsid w:val="00840574"/>
    <w:rsid w:val="0084258C"/>
    <w:rsid w:val="00893048"/>
    <w:rsid w:val="008C6484"/>
    <w:rsid w:val="008F30B6"/>
    <w:rsid w:val="00973A50"/>
    <w:rsid w:val="009E4179"/>
    <w:rsid w:val="00A129C6"/>
    <w:rsid w:val="00A25784"/>
    <w:rsid w:val="00AE190A"/>
    <w:rsid w:val="00B15CB2"/>
    <w:rsid w:val="00B93934"/>
    <w:rsid w:val="00CD0F4D"/>
    <w:rsid w:val="00D05102"/>
    <w:rsid w:val="00DC3829"/>
    <w:rsid w:val="00E36A8E"/>
    <w:rsid w:val="00E551A4"/>
    <w:rsid w:val="00E653BF"/>
    <w:rsid w:val="00E821A7"/>
    <w:rsid w:val="00EB3933"/>
    <w:rsid w:val="00F65481"/>
    <w:rsid w:val="00F804F8"/>
    <w:rsid w:val="00FE2679"/>
    <w:rsid w:val="00FF41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44B71A"/>
  <w15:chartTrackingRefBased/>
  <w15:docId w15:val="{CD17F0D0-C393-4369-A3D0-740DC46B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93048"/>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893048"/>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893048"/>
    <w:pPr>
      <w:keepNext/>
      <w:keepLines/>
      <w:spacing w:before="40"/>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93048"/>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893048"/>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93048"/>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93048"/>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893048"/>
    <w:pPr>
      <w:tabs>
        <w:tab w:val="center" w:pos="4419"/>
        <w:tab w:val="right" w:pos="8838"/>
      </w:tabs>
    </w:pPr>
  </w:style>
  <w:style w:type="character" w:customStyle="1" w:styleId="PiedepginaCar">
    <w:name w:val="Pie de página Car"/>
    <w:basedOn w:val="Fuentedeprrafopredeter"/>
    <w:link w:val="Piedepgina"/>
    <w:uiPriority w:val="99"/>
    <w:rsid w:val="00893048"/>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93048"/>
    <w:rPr>
      <w:color w:val="0563C1" w:themeColor="hyperlink"/>
      <w:u w:val="single"/>
    </w:rPr>
  </w:style>
  <w:style w:type="paragraph" w:styleId="NormalWeb">
    <w:name w:val="Normal (Web)"/>
    <w:basedOn w:val="Normal"/>
    <w:uiPriority w:val="99"/>
    <w:rsid w:val="00682B87"/>
    <w:pPr>
      <w:spacing w:before="100" w:beforeAutospacing="1" w:after="100" w:afterAutospacing="1"/>
    </w:pPr>
    <w:rPr>
      <w:lang w:val="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E0477"/>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2E0477"/>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rsid w:val="002E04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0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aimex.org.mx/saimex/solicitud/downloadAttach/2579940.page"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44</Pages>
  <Words>11352</Words>
  <Characters>62440</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12</cp:revision>
  <cp:lastPrinted>2026-05-14T17:33:00Z</cp:lastPrinted>
  <dcterms:created xsi:type="dcterms:W3CDTF">2026-05-11T21:37:00Z</dcterms:created>
  <dcterms:modified xsi:type="dcterms:W3CDTF">2026-05-18T23:59:00Z</dcterms:modified>
</cp:coreProperties>
</file>