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4D05AA" w14:textId="535AF42D" w:rsidR="009E3316" w:rsidRPr="00086FB0"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r w:rsidRPr="00086FB0">
        <w:rPr>
          <w:rFonts w:ascii="Palatino Linotype" w:eastAsia="Palatino Linotype" w:hAnsi="Palatino Linotype" w:cs="Palatino Linotype"/>
          <w:color w:val="000000"/>
          <w:sz w:val="24"/>
          <w:szCs w:val="24"/>
        </w:rPr>
        <w:t xml:space="preserve">Resolución del Pleno del Instituto de Transparencia, Acceso a la Información Pública y Protección de Datos Personales del Estado de México y Municipios, con domicilio en Metepec, Estado de México, a </w:t>
      </w:r>
      <w:r w:rsidR="008B1EAE" w:rsidRPr="00086FB0">
        <w:rPr>
          <w:rFonts w:ascii="Palatino Linotype" w:eastAsia="Palatino Linotype" w:hAnsi="Palatino Linotype" w:cs="Palatino Linotype"/>
          <w:color w:val="000000"/>
          <w:sz w:val="24"/>
          <w:szCs w:val="24"/>
        </w:rPr>
        <w:t>diecinueve</w:t>
      </w:r>
      <w:r w:rsidR="00AE23C8" w:rsidRPr="00086FB0">
        <w:rPr>
          <w:rFonts w:ascii="Palatino Linotype" w:eastAsia="Palatino Linotype" w:hAnsi="Palatino Linotype" w:cs="Palatino Linotype"/>
          <w:color w:val="000000"/>
          <w:sz w:val="24"/>
          <w:szCs w:val="24"/>
        </w:rPr>
        <w:t xml:space="preserve"> de marzo</w:t>
      </w:r>
      <w:r w:rsidRPr="00086FB0">
        <w:rPr>
          <w:rFonts w:ascii="Palatino Linotype" w:eastAsia="Palatino Linotype" w:hAnsi="Palatino Linotype" w:cs="Palatino Linotype"/>
          <w:color w:val="000000"/>
          <w:sz w:val="24"/>
          <w:szCs w:val="24"/>
        </w:rPr>
        <w:t xml:space="preserve"> de dos mil </w:t>
      </w:r>
      <w:r w:rsidR="00884535" w:rsidRPr="00086FB0">
        <w:rPr>
          <w:rFonts w:ascii="Palatino Linotype" w:eastAsia="Palatino Linotype" w:hAnsi="Palatino Linotype" w:cs="Palatino Linotype"/>
          <w:color w:val="000000"/>
          <w:sz w:val="24"/>
          <w:szCs w:val="24"/>
        </w:rPr>
        <w:t>veintiséis</w:t>
      </w:r>
      <w:r w:rsidRPr="00086FB0">
        <w:rPr>
          <w:rFonts w:ascii="Palatino Linotype" w:eastAsia="Palatino Linotype" w:hAnsi="Palatino Linotype" w:cs="Palatino Linotype"/>
          <w:color w:val="000000"/>
          <w:sz w:val="24"/>
          <w:szCs w:val="24"/>
        </w:rPr>
        <w:t>.</w:t>
      </w:r>
    </w:p>
    <w:p w14:paraId="1BDF4917" w14:textId="77777777" w:rsidR="009E3316" w:rsidRPr="00086FB0" w:rsidRDefault="009E3316" w:rsidP="009E3316">
      <w:pPr>
        <w:shd w:val="clear" w:color="auto" w:fill="FFFFFF"/>
        <w:spacing w:after="0" w:line="360" w:lineRule="auto"/>
        <w:jc w:val="both"/>
        <w:rPr>
          <w:rFonts w:ascii="Palatino Linotype" w:eastAsia="Palatino Linotype" w:hAnsi="Palatino Linotype" w:cs="Palatino Linotype"/>
          <w:color w:val="000000"/>
          <w:sz w:val="24"/>
          <w:szCs w:val="24"/>
        </w:rPr>
      </w:pPr>
    </w:p>
    <w:p w14:paraId="6003B46C" w14:textId="2AE652D9" w:rsidR="009E3316" w:rsidRPr="00086FB0" w:rsidRDefault="009E3316" w:rsidP="009E3316">
      <w:pPr>
        <w:tabs>
          <w:tab w:val="left" w:pos="1701"/>
        </w:tabs>
        <w:spacing w:after="0" w:line="360" w:lineRule="auto"/>
        <w:jc w:val="both"/>
        <w:rPr>
          <w:rFonts w:ascii="Palatino Linotype" w:eastAsia="Palatino Linotype" w:hAnsi="Palatino Linotype" w:cs="Palatino Linotype"/>
          <w:b/>
          <w:sz w:val="24"/>
          <w:szCs w:val="24"/>
        </w:rPr>
      </w:pPr>
      <w:r w:rsidRPr="00086FB0">
        <w:rPr>
          <w:rFonts w:ascii="Palatino Linotype" w:eastAsia="Palatino Linotype" w:hAnsi="Palatino Linotype" w:cs="Palatino Linotype"/>
          <w:b/>
          <w:sz w:val="24"/>
          <w:szCs w:val="24"/>
        </w:rPr>
        <w:t>VISTO</w:t>
      </w:r>
      <w:r w:rsidRPr="00086FB0">
        <w:rPr>
          <w:rFonts w:ascii="Palatino Linotype" w:eastAsia="Palatino Linotype" w:hAnsi="Palatino Linotype" w:cs="Palatino Linotype"/>
          <w:sz w:val="24"/>
          <w:szCs w:val="24"/>
        </w:rPr>
        <w:t xml:space="preserve"> el expediente electrónico del recurso de revisión con número </w:t>
      </w:r>
      <w:bookmarkStart w:id="0" w:name="_GoBack"/>
      <w:r w:rsidRPr="00086FB0">
        <w:rPr>
          <w:rFonts w:ascii="Palatino Linotype" w:eastAsia="Palatino Linotype" w:hAnsi="Palatino Linotype" w:cs="Palatino Linotype"/>
          <w:b/>
          <w:sz w:val="24"/>
          <w:szCs w:val="24"/>
        </w:rPr>
        <w:t>0</w:t>
      </w:r>
      <w:r w:rsidR="00C45ECC" w:rsidRPr="00086FB0">
        <w:rPr>
          <w:rFonts w:ascii="Palatino Linotype" w:eastAsia="Palatino Linotype" w:hAnsi="Palatino Linotype" w:cs="Palatino Linotype"/>
          <w:b/>
          <w:sz w:val="24"/>
          <w:szCs w:val="24"/>
        </w:rPr>
        <w:t>1</w:t>
      </w:r>
      <w:r w:rsidR="008B1EAE" w:rsidRPr="00086FB0">
        <w:rPr>
          <w:rFonts w:ascii="Palatino Linotype" w:eastAsia="Palatino Linotype" w:hAnsi="Palatino Linotype" w:cs="Palatino Linotype"/>
          <w:b/>
          <w:sz w:val="24"/>
          <w:szCs w:val="24"/>
        </w:rPr>
        <w:t>905</w:t>
      </w:r>
      <w:r w:rsidRPr="00086FB0">
        <w:rPr>
          <w:rFonts w:ascii="Palatino Linotype" w:eastAsia="Palatino Linotype" w:hAnsi="Palatino Linotype" w:cs="Palatino Linotype"/>
          <w:b/>
          <w:sz w:val="24"/>
          <w:szCs w:val="24"/>
        </w:rPr>
        <w:t>/INFOEM/IP/RR/202</w:t>
      </w:r>
      <w:r w:rsidR="00771F70" w:rsidRPr="00086FB0">
        <w:rPr>
          <w:rFonts w:ascii="Palatino Linotype" w:eastAsia="Palatino Linotype" w:hAnsi="Palatino Linotype" w:cs="Palatino Linotype"/>
          <w:b/>
          <w:sz w:val="24"/>
          <w:szCs w:val="24"/>
        </w:rPr>
        <w:t>6</w:t>
      </w:r>
      <w:bookmarkEnd w:id="0"/>
      <w:r w:rsidRPr="00086FB0">
        <w:rPr>
          <w:rFonts w:ascii="Palatino Linotype" w:eastAsia="Palatino Linotype" w:hAnsi="Palatino Linotype" w:cs="Palatino Linotype"/>
          <w:b/>
          <w:sz w:val="24"/>
          <w:szCs w:val="24"/>
        </w:rPr>
        <w:t xml:space="preserve">, </w:t>
      </w:r>
      <w:r w:rsidRPr="00086FB0">
        <w:rPr>
          <w:rFonts w:ascii="Palatino Linotype" w:eastAsia="Palatino Linotype" w:hAnsi="Palatino Linotype" w:cs="Palatino Linotype"/>
          <w:color w:val="000000"/>
          <w:sz w:val="24"/>
          <w:szCs w:val="24"/>
        </w:rPr>
        <w:t xml:space="preserve">interpuesto </w:t>
      </w:r>
      <w:r w:rsidR="006A5601" w:rsidRPr="00086FB0">
        <w:rPr>
          <w:rFonts w:ascii="Palatino Linotype" w:eastAsia="Palatino Linotype" w:hAnsi="Palatino Linotype" w:cs="Palatino Linotype"/>
          <w:color w:val="000000"/>
          <w:sz w:val="24"/>
          <w:szCs w:val="24"/>
        </w:rPr>
        <w:t xml:space="preserve">por persona que manifiesta su nombre </w:t>
      </w:r>
      <w:r w:rsidR="006B7186" w:rsidRPr="00086FB0">
        <w:rPr>
          <w:rFonts w:ascii="Palatino Linotype" w:eastAsia="Palatino Linotype" w:hAnsi="Palatino Linotype" w:cs="Palatino Linotype"/>
          <w:color w:val="000000"/>
          <w:sz w:val="24"/>
          <w:szCs w:val="24"/>
        </w:rPr>
        <w:t>com</w:t>
      </w:r>
      <w:r w:rsidR="006A5601" w:rsidRPr="00086FB0">
        <w:rPr>
          <w:rFonts w:ascii="Palatino Linotype" w:eastAsia="Palatino Linotype" w:hAnsi="Palatino Linotype" w:cs="Palatino Linotype"/>
          <w:color w:val="000000"/>
          <w:sz w:val="24"/>
          <w:szCs w:val="24"/>
        </w:rPr>
        <w:t>o dato de identificación</w:t>
      </w:r>
      <w:r w:rsidRPr="00086FB0">
        <w:rPr>
          <w:rFonts w:ascii="Palatino Linotype" w:eastAsia="Palatino Linotype" w:hAnsi="Palatino Linotype" w:cs="Palatino Linotype"/>
          <w:color w:val="000000"/>
          <w:sz w:val="24"/>
          <w:szCs w:val="24"/>
        </w:rPr>
        <w:t xml:space="preserve">, a quien en lo sucesivo se le denominara como la parte </w:t>
      </w:r>
      <w:r w:rsidRPr="00086FB0">
        <w:rPr>
          <w:rFonts w:ascii="Palatino Linotype" w:eastAsia="Palatino Linotype" w:hAnsi="Palatino Linotype" w:cs="Palatino Linotype"/>
          <w:b/>
          <w:color w:val="000000"/>
          <w:sz w:val="24"/>
          <w:szCs w:val="24"/>
        </w:rPr>
        <w:t>Recurrente</w:t>
      </w:r>
      <w:r w:rsidRPr="00086FB0">
        <w:rPr>
          <w:rFonts w:ascii="Palatino Linotype" w:eastAsia="Palatino Linotype" w:hAnsi="Palatino Linotype" w:cs="Palatino Linotype"/>
          <w:color w:val="000000"/>
          <w:sz w:val="24"/>
          <w:szCs w:val="24"/>
        </w:rPr>
        <w:t xml:space="preserve">, </w:t>
      </w:r>
      <w:r w:rsidRPr="00086FB0">
        <w:rPr>
          <w:rFonts w:ascii="Palatino Linotype" w:eastAsia="Palatino Linotype" w:hAnsi="Palatino Linotype" w:cs="Palatino Linotype"/>
          <w:sz w:val="24"/>
          <w:szCs w:val="24"/>
        </w:rPr>
        <w:t xml:space="preserve">en contra de la falta de respuesta del </w:t>
      </w:r>
      <w:r w:rsidR="00884535" w:rsidRPr="00086FB0">
        <w:rPr>
          <w:rFonts w:ascii="Palatino Linotype" w:eastAsia="Palatino Linotype" w:hAnsi="Palatino Linotype" w:cs="Palatino Linotype"/>
          <w:b/>
          <w:color w:val="000000"/>
          <w:sz w:val="24"/>
          <w:szCs w:val="24"/>
        </w:rPr>
        <w:t>Ayuntamiento de Tepotzotlán</w:t>
      </w:r>
      <w:r w:rsidRPr="00086FB0">
        <w:rPr>
          <w:rFonts w:ascii="Palatino Linotype" w:eastAsia="Palatino Linotype" w:hAnsi="Palatino Linotype" w:cs="Palatino Linotype"/>
          <w:b/>
          <w:sz w:val="24"/>
          <w:szCs w:val="24"/>
        </w:rPr>
        <w:t xml:space="preserve">, </w:t>
      </w:r>
      <w:r w:rsidRPr="00086FB0">
        <w:rPr>
          <w:rFonts w:ascii="Palatino Linotype" w:eastAsia="Palatino Linotype" w:hAnsi="Palatino Linotype" w:cs="Palatino Linotype"/>
          <w:sz w:val="24"/>
          <w:szCs w:val="24"/>
        </w:rPr>
        <w:t>en lo subsecuente</w:t>
      </w:r>
      <w:r w:rsidRPr="00086FB0">
        <w:rPr>
          <w:rFonts w:ascii="Palatino Linotype" w:eastAsia="Palatino Linotype" w:hAnsi="Palatino Linotype" w:cs="Palatino Linotype"/>
          <w:b/>
          <w:sz w:val="24"/>
          <w:szCs w:val="24"/>
        </w:rPr>
        <w:t xml:space="preserve"> el Sujeto Obligado, </w:t>
      </w:r>
      <w:r w:rsidRPr="00086FB0">
        <w:rPr>
          <w:rFonts w:ascii="Palatino Linotype" w:eastAsia="Palatino Linotype" w:hAnsi="Palatino Linotype" w:cs="Palatino Linotype"/>
          <w:sz w:val="24"/>
          <w:szCs w:val="24"/>
        </w:rPr>
        <w:t>se procede a dictar la presente resolución.</w:t>
      </w:r>
    </w:p>
    <w:p w14:paraId="092D6E80" w14:textId="77777777" w:rsidR="009E3316" w:rsidRPr="00086FB0" w:rsidRDefault="009E3316" w:rsidP="009E3316">
      <w:pPr>
        <w:tabs>
          <w:tab w:val="left" w:pos="6960"/>
        </w:tabs>
        <w:spacing w:after="0" w:line="360" w:lineRule="auto"/>
        <w:jc w:val="both"/>
        <w:rPr>
          <w:rFonts w:ascii="Palatino Linotype" w:eastAsia="Palatino Linotype" w:hAnsi="Palatino Linotype" w:cs="Palatino Linotype"/>
          <w:sz w:val="24"/>
          <w:szCs w:val="24"/>
        </w:rPr>
      </w:pPr>
    </w:p>
    <w:p w14:paraId="2EF4E11E" w14:textId="77777777" w:rsidR="009E3316" w:rsidRPr="00086FB0" w:rsidRDefault="009E3316" w:rsidP="009E3316">
      <w:pPr>
        <w:spacing w:after="0" w:line="360" w:lineRule="auto"/>
        <w:jc w:val="center"/>
        <w:rPr>
          <w:rFonts w:ascii="Palatino Linotype" w:eastAsia="Palatino Linotype" w:hAnsi="Palatino Linotype" w:cs="Palatino Linotype"/>
          <w:b/>
          <w:sz w:val="28"/>
          <w:szCs w:val="28"/>
        </w:rPr>
      </w:pPr>
      <w:r w:rsidRPr="00086FB0">
        <w:rPr>
          <w:rFonts w:ascii="Palatino Linotype" w:eastAsia="Palatino Linotype" w:hAnsi="Palatino Linotype" w:cs="Palatino Linotype"/>
          <w:b/>
          <w:sz w:val="28"/>
          <w:szCs w:val="28"/>
        </w:rPr>
        <w:t>A N T E C E D E N T E S</w:t>
      </w:r>
    </w:p>
    <w:p w14:paraId="036D13B8" w14:textId="77777777" w:rsidR="009E3316" w:rsidRPr="00086FB0" w:rsidRDefault="009E3316" w:rsidP="009E3316">
      <w:pPr>
        <w:spacing w:after="0" w:line="360" w:lineRule="auto"/>
        <w:rPr>
          <w:rFonts w:ascii="Palatino Linotype" w:eastAsia="Palatino Linotype" w:hAnsi="Palatino Linotype" w:cs="Palatino Linotype"/>
          <w:b/>
          <w:sz w:val="24"/>
          <w:szCs w:val="24"/>
        </w:rPr>
      </w:pPr>
    </w:p>
    <w:p w14:paraId="0A9A28D4" w14:textId="77777777" w:rsidR="009E3316" w:rsidRPr="00086FB0" w:rsidRDefault="009E3316" w:rsidP="009E3316">
      <w:pPr>
        <w:spacing w:after="0" w:line="360" w:lineRule="auto"/>
        <w:jc w:val="both"/>
        <w:rPr>
          <w:rFonts w:ascii="Palatino Linotype" w:eastAsia="Palatino Linotype" w:hAnsi="Palatino Linotype" w:cs="Palatino Linotype"/>
          <w:b/>
          <w:sz w:val="28"/>
          <w:szCs w:val="24"/>
        </w:rPr>
      </w:pPr>
      <w:r w:rsidRPr="00086FB0">
        <w:rPr>
          <w:rFonts w:ascii="Palatino Linotype" w:eastAsia="Palatino Linotype" w:hAnsi="Palatino Linotype" w:cs="Palatino Linotype"/>
          <w:b/>
          <w:sz w:val="28"/>
          <w:szCs w:val="24"/>
        </w:rPr>
        <w:t xml:space="preserve">PRIMERO. </w:t>
      </w:r>
      <w:r w:rsidRPr="00086FB0">
        <w:rPr>
          <w:rFonts w:ascii="Palatino Linotype" w:eastAsia="Palatino Linotype" w:hAnsi="Palatino Linotype" w:cs="Palatino Linotype"/>
          <w:b/>
          <w:color w:val="000000"/>
          <w:sz w:val="28"/>
          <w:szCs w:val="24"/>
        </w:rPr>
        <w:t>De la solicitud de información.</w:t>
      </w:r>
    </w:p>
    <w:p w14:paraId="571CFC38" w14:textId="7FAE1F9D" w:rsidR="009E3316" w:rsidRPr="00086FB0" w:rsidRDefault="009E3316" w:rsidP="009E3316">
      <w:pPr>
        <w:spacing w:after="0" w:line="360" w:lineRule="auto"/>
        <w:jc w:val="both"/>
        <w:rPr>
          <w:rFonts w:ascii="Palatino Linotype" w:eastAsia="Palatino Linotype" w:hAnsi="Palatino Linotype" w:cs="Palatino Linotype"/>
          <w:b/>
          <w:sz w:val="24"/>
          <w:szCs w:val="24"/>
        </w:rPr>
      </w:pPr>
      <w:r w:rsidRPr="00086FB0">
        <w:rPr>
          <w:rFonts w:ascii="Palatino Linotype" w:eastAsia="Palatino Linotype" w:hAnsi="Palatino Linotype" w:cs="Palatino Linotype"/>
          <w:sz w:val="24"/>
          <w:szCs w:val="24"/>
        </w:rPr>
        <w:t xml:space="preserve">En fecha </w:t>
      </w:r>
      <w:r w:rsidR="003121D6" w:rsidRPr="00086FB0">
        <w:rPr>
          <w:rFonts w:ascii="Palatino Linotype" w:eastAsia="Palatino Linotype" w:hAnsi="Palatino Linotype" w:cs="Palatino Linotype"/>
          <w:b/>
          <w:sz w:val="24"/>
          <w:szCs w:val="24"/>
        </w:rPr>
        <w:t>veinti</w:t>
      </w:r>
      <w:r w:rsidR="008B1EAE" w:rsidRPr="00086FB0">
        <w:rPr>
          <w:rFonts w:ascii="Palatino Linotype" w:eastAsia="Palatino Linotype" w:hAnsi="Palatino Linotype" w:cs="Palatino Linotype"/>
          <w:b/>
          <w:sz w:val="24"/>
          <w:szCs w:val="24"/>
        </w:rPr>
        <w:t>uno</w:t>
      </w:r>
      <w:r w:rsidR="003121D6" w:rsidRPr="00086FB0">
        <w:rPr>
          <w:rFonts w:ascii="Palatino Linotype" w:eastAsia="Palatino Linotype" w:hAnsi="Palatino Linotype" w:cs="Palatino Linotype"/>
          <w:b/>
          <w:sz w:val="24"/>
          <w:szCs w:val="24"/>
        </w:rPr>
        <w:t xml:space="preserve"> de </w:t>
      </w:r>
      <w:r w:rsidR="008B1EAE" w:rsidRPr="00086FB0">
        <w:rPr>
          <w:rFonts w:ascii="Palatino Linotype" w:eastAsia="Palatino Linotype" w:hAnsi="Palatino Linotype" w:cs="Palatino Linotype"/>
          <w:b/>
          <w:sz w:val="24"/>
          <w:szCs w:val="24"/>
        </w:rPr>
        <w:t>enero de dos mil veintiséis</w:t>
      </w:r>
      <w:r w:rsidRPr="00086FB0">
        <w:rPr>
          <w:rFonts w:ascii="Palatino Linotype" w:eastAsia="Palatino Linotype" w:hAnsi="Palatino Linotype" w:cs="Palatino Linotype"/>
          <w:sz w:val="24"/>
          <w:szCs w:val="24"/>
        </w:rPr>
        <w:t>, la parte</w:t>
      </w:r>
      <w:r w:rsidRPr="00086FB0">
        <w:rPr>
          <w:rFonts w:ascii="Palatino Linotype" w:eastAsia="Palatino Linotype" w:hAnsi="Palatino Linotype" w:cs="Palatino Linotype"/>
          <w:b/>
          <w:sz w:val="24"/>
          <w:szCs w:val="24"/>
        </w:rPr>
        <w:t xml:space="preserve"> Recurrente</w:t>
      </w:r>
      <w:r w:rsidRPr="00086FB0">
        <w:rPr>
          <w:rFonts w:ascii="Palatino Linotype" w:eastAsia="Palatino Linotype" w:hAnsi="Palatino Linotype" w:cs="Palatino Linotype"/>
          <w:sz w:val="24"/>
          <w:szCs w:val="24"/>
        </w:rPr>
        <w:t xml:space="preserve"> presentó a través del Sistema de Acceso a la Información Mexiquense (</w:t>
      </w:r>
      <w:r w:rsidRPr="00086FB0">
        <w:rPr>
          <w:rFonts w:ascii="Palatino Linotype" w:eastAsia="Palatino Linotype" w:hAnsi="Palatino Linotype" w:cs="Palatino Linotype"/>
          <w:b/>
          <w:sz w:val="24"/>
          <w:szCs w:val="24"/>
        </w:rPr>
        <w:t>SAIMEX)</w:t>
      </w:r>
      <w:r w:rsidRPr="00086FB0">
        <w:rPr>
          <w:rFonts w:ascii="Palatino Linotype" w:eastAsia="Palatino Linotype" w:hAnsi="Palatino Linotype" w:cs="Palatino Linotype"/>
          <w:sz w:val="24"/>
          <w:szCs w:val="24"/>
        </w:rPr>
        <w:t>, la solicitud de acceso a la información pública, con número de folio</w:t>
      </w:r>
      <w:r w:rsidR="00AB1899" w:rsidRPr="00086FB0">
        <w:rPr>
          <w:rFonts w:ascii="Palatino Linotype" w:eastAsia="Palatino Linotype" w:hAnsi="Palatino Linotype" w:cs="Palatino Linotype"/>
          <w:b/>
          <w:bCs/>
          <w:sz w:val="24"/>
          <w:szCs w:val="24"/>
        </w:rPr>
        <w:t xml:space="preserve"> </w:t>
      </w:r>
      <w:r w:rsidR="008B1EAE" w:rsidRPr="00086FB0">
        <w:rPr>
          <w:rFonts w:ascii="Palatino Linotype" w:eastAsia="Palatino Linotype" w:hAnsi="Palatino Linotype" w:cs="Palatino Linotype"/>
          <w:b/>
          <w:bCs/>
          <w:sz w:val="24"/>
          <w:szCs w:val="24"/>
        </w:rPr>
        <w:t>00326/TEPOTZOT/IP/2026</w:t>
      </w:r>
      <w:r w:rsidR="00E73F1C" w:rsidRPr="00086FB0">
        <w:rPr>
          <w:rFonts w:ascii="Palatino Linotype" w:eastAsia="Palatino Linotype" w:hAnsi="Palatino Linotype" w:cs="Palatino Linotype"/>
          <w:sz w:val="24"/>
          <w:szCs w:val="24"/>
        </w:rPr>
        <w:t xml:space="preserve">, </w:t>
      </w:r>
      <w:r w:rsidRPr="00086FB0">
        <w:rPr>
          <w:rFonts w:ascii="Palatino Linotype" w:eastAsia="Palatino Linotype" w:hAnsi="Palatino Linotype" w:cs="Palatino Linotype"/>
          <w:sz w:val="24"/>
          <w:szCs w:val="24"/>
        </w:rPr>
        <w:t xml:space="preserve">de lo siguiente: </w:t>
      </w:r>
    </w:p>
    <w:p w14:paraId="0E04DAD2" w14:textId="01677199" w:rsidR="009E3316" w:rsidRPr="00086FB0" w:rsidRDefault="009E3316" w:rsidP="009E3316">
      <w:pPr>
        <w:pStyle w:val="INFOEM"/>
        <w:rPr>
          <w:lang w:val="es-ES_tradnl" w:eastAsia="es-ES"/>
        </w:rPr>
      </w:pPr>
      <w:r w:rsidRPr="00086FB0">
        <w:rPr>
          <w:lang w:val="es-ES_tradnl" w:eastAsia="es-ES"/>
        </w:rPr>
        <w:t>“</w:t>
      </w:r>
      <w:r w:rsidR="008B1EAE" w:rsidRPr="00086FB0">
        <w:rPr>
          <w:lang w:eastAsia="es-ES"/>
        </w:rPr>
        <w:t xml:space="preserve">Solicito copia íntegra, completa, legible y cronológicamente ordenada del expediente administrativo total que obre en poder del Ayuntamiento de Tepotzotlán relativo a las actuaciones, autorizaciones, tolerancias, gestiones, controles y omisiones relacionadas con el entorno, seguridad, comercio ambulante y apoyos al Jardín de Niños “Rosa </w:t>
      </w:r>
      <w:proofErr w:type="spellStart"/>
      <w:r w:rsidR="008B1EAE" w:rsidRPr="00086FB0">
        <w:rPr>
          <w:lang w:eastAsia="es-ES"/>
        </w:rPr>
        <w:t>Agazzi</w:t>
      </w:r>
      <w:proofErr w:type="spellEnd"/>
      <w:r w:rsidR="008B1EAE" w:rsidRPr="00086FB0">
        <w:rPr>
          <w:lang w:eastAsia="es-ES"/>
        </w:rPr>
        <w:t xml:space="preserve">”, con C.C.T. 15EJN0661P, durante los ejercicios 2025 y 2026, incluyendo de manera enunciativa más no limitativa: I. COMERCIO </w:t>
      </w:r>
      <w:r w:rsidR="008B1EAE" w:rsidRPr="00086FB0">
        <w:rPr>
          <w:lang w:eastAsia="es-ES"/>
        </w:rPr>
        <w:lastRenderedPageBreak/>
        <w:t xml:space="preserve">AMBULANTE EN INMEDIACIONES DEL PLANTEL a) Fundamento legal aplicable (Bando Municipal, reglamentos, acuerdos de Cabildo, permisos, licencias, tolerancias administrativas) que sustente la instalación de puestos ambulantes en el exterior de un plantel educativo. b) Relación de puestos instalados (número, ubicación exacta, giro, horarios, vigencia de permisos). c) Dictámenes, evaluaciones o análisis en materia de protección civil, seguridad vial, libre tránsito, salubridad y seguridad de la comunidad escolar. d) Acciones de verificación, sanción, retiro o regularización realizadas y sus resultados. II. POSIBLES INGRESOS, CUOTAS O BENEFICIOS ECONÓMICOS e) Registro de cobros, derechos, cuotas, donativos, aportaciones o cualquier beneficio económico directo o indirecto asociado a dichos puestos, indicando monto, periodicidad, destino de los recursos y fundamento legal. f) Intervención de Tesorería Municipal y evidencia de ingresos reportados o, en su caso, acciones por ingresos no reportados. III. SEGURIDAD, RIESGOS Y PROTECCIÓN CIVIL g) Dictámenes técnicos, inspecciones y oficios de Protección Civil relativos a riesgos en el entorno del plantel (árboles de gran tamaño, accesos, vialidad, aglomeraciones). h) Programas, protocolos y medidas preventivas adoptadas para proteger a la comunidad escolar, así como registros de incidentes. IV. COORDINACIÓN INSTITUCIONAL CON EL PLANTEL i) Oficios, solicitudes y comunicaciones recibidas del Jardín de Niños “Rosa </w:t>
      </w:r>
      <w:proofErr w:type="spellStart"/>
      <w:r w:rsidR="008B1EAE" w:rsidRPr="00086FB0">
        <w:rPr>
          <w:lang w:eastAsia="es-ES"/>
        </w:rPr>
        <w:t>Agazzi</w:t>
      </w:r>
      <w:proofErr w:type="spellEnd"/>
      <w:r w:rsidR="008B1EAE" w:rsidRPr="00086FB0">
        <w:rPr>
          <w:lang w:eastAsia="es-ES"/>
        </w:rPr>
        <w:t xml:space="preserve">”, de su Dirección o de la Asociación de Padres de Familia, y las respuestas emitidas por el Ayuntamiento. j) Convenios, acuerdos o tolerancias —expresas o tácitas— con la Dirección del plantel o la Asociación de Padres respecto al comercio ambulante o intervenciones en el entorno escolar. V. APOYOS, INTERVENCIONES Y MEJORAS k) Relación de apoyos, servicios, obras o intervenciones municipales realizadas en beneficio del plantel, indicando área responsable, recursos asignados y resultados. VI. RESPONSABILIDADES Y CONTROL ADMINISTRATIVO l) Áreas municipales responsables de autorizar, supervisar, regular o corregir las </w:t>
      </w:r>
      <w:r w:rsidR="008B1EAE" w:rsidRPr="00086FB0">
        <w:rPr>
          <w:lang w:eastAsia="es-ES"/>
        </w:rPr>
        <w:lastRenderedPageBreak/>
        <w:t>situaciones descritas. m) Nombre, cargo y área de los servidores públicos responsables de las decisiones u omisiones. n) Procedimientos administrativos, investigaciones, quejas o sanciones relacionadas y su estatus. En caso de inexistencia total o parcial de la información solicitada, indíquese de manera fundada y motivada: o) Qué autoridad municipal estaba obligada a generarla, desde cuándo y bajo qué fundamento no obra en los archivos; p) Quién es responsable de dicha omisión y qué medidas se han adoptado para corregirla.</w:t>
      </w:r>
      <w:r w:rsidRPr="00086FB0">
        <w:rPr>
          <w:lang w:val="es-ES_tradnl" w:eastAsia="es-ES"/>
        </w:rPr>
        <w:t>” (Sic)</w:t>
      </w:r>
      <w:r w:rsidR="00402F23" w:rsidRPr="00086FB0">
        <w:rPr>
          <w:lang w:val="es-ES_tradnl" w:eastAsia="es-ES"/>
        </w:rPr>
        <w:t xml:space="preserve"> </w:t>
      </w:r>
    </w:p>
    <w:p w14:paraId="6B4B6209" w14:textId="77777777" w:rsidR="009E3316" w:rsidRPr="00086FB0" w:rsidRDefault="009E3316" w:rsidP="009E3316">
      <w:pPr>
        <w:spacing w:before="240" w:line="360" w:lineRule="auto"/>
        <w:jc w:val="both"/>
        <w:rPr>
          <w:rFonts w:ascii="Palatino Linotype" w:hAnsi="Palatino Linotype"/>
          <w:lang w:val="es-ES_tradnl"/>
        </w:rPr>
      </w:pPr>
      <w:r w:rsidRPr="00086FB0">
        <w:rPr>
          <w:rFonts w:ascii="Palatino Linotype" w:hAnsi="Palatino Linotype"/>
          <w:b/>
          <w:lang w:val="es-ES_tradnl"/>
        </w:rPr>
        <w:t>Modalidad de entrega:</w:t>
      </w:r>
      <w:r w:rsidRPr="00086FB0">
        <w:rPr>
          <w:rFonts w:ascii="Palatino Linotype" w:hAnsi="Palatino Linotype"/>
          <w:lang w:val="es-ES_tradnl"/>
        </w:rPr>
        <w:t xml:space="preserve"> A través del SAIMEX.</w:t>
      </w:r>
    </w:p>
    <w:p w14:paraId="45FCD281" w14:textId="77777777" w:rsidR="009E3316" w:rsidRPr="00086FB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p>
    <w:p w14:paraId="0F24739C" w14:textId="7C2D8275" w:rsidR="009E3316" w:rsidRPr="00086FB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8"/>
          <w:szCs w:val="24"/>
        </w:rPr>
      </w:pPr>
      <w:r w:rsidRPr="00086FB0">
        <w:rPr>
          <w:rFonts w:ascii="Palatino Linotype" w:eastAsia="Palatino Linotype" w:hAnsi="Palatino Linotype" w:cs="Palatino Linotype"/>
          <w:b/>
          <w:color w:val="000000"/>
          <w:sz w:val="28"/>
          <w:szCs w:val="24"/>
        </w:rPr>
        <w:t xml:space="preserve">SEGUNDO. </w:t>
      </w:r>
      <w:r w:rsidR="00AB1899" w:rsidRPr="00086FB0">
        <w:rPr>
          <w:rFonts w:ascii="Palatino Linotype" w:eastAsia="Palatino Linotype" w:hAnsi="Palatino Linotype" w:cs="Palatino Linotype"/>
          <w:b/>
          <w:color w:val="000000"/>
          <w:sz w:val="28"/>
          <w:szCs w:val="24"/>
        </w:rPr>
        <w:t xml:space="preserve">De la </w:t>
      </w:r>
      <w:r w:rsidRPr="00086FB0">
        <w:rPr>
          <w:rFonts w:ascii="Palatino Linotype" w:eastAsia="Palatino Linotype" w:hAnsi="Palatino Linotype" w:cs="Palatino Linotype"/>
          <w:b/>
          <w:color w:val="000000"/>
          <w:sz w:val="28"/>
          <w:szCs w:val="24"/>
        </w:rPr>
        <w:t>falta de respuesta del Sujeto Obligado.</w:t>
      </w:r>
    </w:p>
    <w:p w14:paraId="0473EBDC" w14:textId="77777777" w:rsidR="009E3316" w:rsidRPr="00086FB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r w:rsidRPr="00086FB0">
        <w:rPr>
          <w:rFonts w:ascii="Palatino Linotype" w:eastAsia="Palatino Linotype" w:hAnsi="Palatino Linotype" w:cs="Palatino Linotype"/>
          <w:color w:val="000000"/>
          <w:sz w:val="24"/>
          <w:szCs w:val="24"/>
        </w:rPr>
        <w:t>E</w:t>
      </w:r>
      <w:r w:rsidRPr="00086FB0">
        <w:rPr>
          <w:rFonts w:ascii="Palatino Linotype" w:eastAsia="Palatino Linotype" w:hAnsi="Palatino Linotype" w:cs="Palatino Linotype"/>
          <w:sz w:val="24"/>
          <w:szCs w:val="24"/>
        </w:rPr>
        <w:t xml:space="preserve">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no proporcionó respuesta a la solicitud de información </w:t>
      </w:r>
      <w:r w:rsidRPr="00086FB0">
        <w:rPr>
          <w:rFonts w:ascii="Palatino Linotype" w:eastAsia="Palatino Linotype" w:hAnsi="Palatino Linotype" w:cs="Palatino Linotype"/>
          <w:color w:val="000000"/>
          <w:sz w:val="24"/>
          <w:szCs w:val="24"/>
        </w:rPr>
        <w:t>dentro del plazo de quince días establecido en el artículo 163 de la Ley de Transparencia y Acceso a la Información Pública del Estado de México y Municipios.</w:t>
      </w:r>
    </w:p>
    <w:p w14:paraId="6E2C15A2" w14:textId="77777777" w:rsidR="009E3316" w:rsidRPr="00086FB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sz w:val="28"/>
          <w:szCs w:val="24"/>
        </w:rPr>
      </w:pPr>
    </w:p>
    <w:p w14:paraId="2C46E954" w14:textId="77777777" w:rsidR="009E3316" w:rsidRPr="00086FB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8"/>
          <w:szCs w:val="24"/>
        </w:rPr>
      </w:pPr>
      <w:r w:rsidRPr="00086FB0">
        <w:rPr>
          <w:rFonts w:ascii="Palatino Linotype" w:eastAsia="Palatino Linotype" w:hAnsi="Palatino Linotype" w:cs="Palatino Linotype"/>
          <w:b/>
          <w:sz w:val="28"/>
          <w:szCs w:val="24"/>
        </w:rPr>
        <w:t xml:space="preserve">TERCERO. </w:t>
      </w:r>
      <w:r w:rsidRPr="00086FB0">
        <w:rPr>
          <w:rFonts w:ascii="Palatino Linotype" w:eastAsia="Palatino Linotype" w:hAnsi="Palatino Linotype" w:cs="Palatino Linotype"/>
          <w:b/>
          <w:color w:val="000000"/>
          <w:sz w:val="28"/>
          <w:szCs w:val="24"/>
        </w:rPr>
        <w:t>Del recurso de revisión.</w:t>
      </w:r>
    </w:p>
    <w:p w14:paraId="3772108F" w14:textId="0421CA3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Ante la falta de respuesta</w:t>
      </w:r>
      <w:r w:rsidRPr="00086FB0">
        <w:rPr>
          <w:rFonts w:ascii="Palatino Linotype" w:eastAsia="Palatino Linotype" w:hAnsi="Palatino Linotype" w:cs="Palatino Linotype"/>
          <w:b/>
          <w:sz w:val="24"/>
          <w:szCs w:val="24"/>
        </w:rPr>
        <w:t xml:space="preserve"> </w:t>
      </w:r>
      <w:r w:rsidRPr="00086FB0">
        <w:rPr>
          <w:rFonts w:ascii="Palatino Linotype" w:eastAsia="Palatino Linotype" w:hAnsi="Palatino Linotype" w:cs="Palatino Linotype"/>
          <w:sz w:val="24"/>
          <w:szCs w:val="24"/>
        </w:rPr>
        <w:t xml:space="preserve">del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la parte </w:t>
      </w:r>
      <w:r w:rsidRPr="00086FB0">
        <w:rPr>
          <w:rFonts w:ascii="Palatino Linotype" w:eastAsia="Palatino Linotype" w:hAnsi="Palatino Linotype" w:cs="Palatino Linotype"/>
          <w:b/>
          <w:sz w:val="24"/>
          <w:szCs w:val="24"/>
        </w:rPr>
        <w:t>Recurrente</w:t>
      </w:r>
      <w:r w:rsidRPr="00086FB0">
        <w:rPr>
          <w:rFonts w:ascii="Palatino Linotype" w:eastAsia="Palatino Linotype" w:hAnsi="Palatino Linotype" w:cs="Palatino Linotype"/>
          <w:sz w:val="24"/>
          <w:szCs w:val="24"/>
        </w:rPr>
        <w:t xml:space="preserve"> interpuso el recurso de revisión en fecha </w:t>
      </w:r>
      <w:r w:rsidR="002E5F82" w:rsidRPr="00086FB0">
        <w:rPr>
          <w:rFonts w:ascii="Palatino Linotype" w:eastAsia="Palatino Linotype" w:hAnsi="Palatino Linotype" w:cs="Palatino Linotype"/>
          <w:b/>
          <w:sz w:val="24"/>
          <w:szCs w:val="24"/>
        </w:rPr>
        <w:t>dieciséis</w:t>
      </w:r>
      <w:r w:rsidR="005A547D" w:rsidRPr="00086FB0">
        <w:rPr>
          <w:rFonts w:ascii="Palatino Linotype" w:eastAsia="Palatino Linotype" w:hAnsi="Palatino Linotype" w:cs="Palatino Linotype"/>
          <w:b/>
          <w:sz w:val="24"/>
          <w:szCs w:val="24"/>
        </w:rPr>
        <w:t xml:space="preserve"> de febrero</w:t>
      </w:r>
      <w:r w:rsidR="00256415" w:rsidRPr="00086FB0">
        <w:rPr>
          <w:rFonts w:ascii="Palatino Linotype" w:eastAsia="Palatino Linotype" w:hAnsi="Palatino Linotype" w:cs="Palatino Linotype"/>
          <w:b/>
          <w:sz w:val="24"/>
          <w:szCs w:val="24"/>
        </w:rPr>
        <w:t xml:space="preserve"> de dos mil veintiséis</w:t>
      </w:r>
      <w:r w:rsidRPr="00086FB0">
        <w:rPr>
          <w:rFonts w:ascii="Palatino Linotype" w:eastAsia="Palatino Linotype" w:hAnsi="Palatino Linotype" w:cs="Palatino Linotype"/>
          <w:sz w:val="24"/>
          <w:szCs w:val="24"/>
        </w:rPr>
        <w:t>, registrado</w:t>
      </w:r>
      <w:r w:rsidRPr="00086FB0">
        <w:rPr>
          <w:rFonts w:ascii="Palatino Linotype" w:eastAsia="Palatino Linotype" w:hAnsi="Palatino Linotype" w:cs="Palatino Linotype"/>
          <w:b/>
          <w:sz w:val="24"/>
          <w:szCs w:val="24"/>
        </w:rPr>
        <w:t xml:space="preserve"> </w:t>
      </w:r>
      <w:r w:rsidRPr="00086FB0">
        <w:rPr>
          <w:rFonts w:ascii="Palatino Linotype" w:eastAsia="Palatino Linotype" w:hAnsi="Palatino Linotype" w:cs="Palatino Linotype"/>
          <w:sz w:val="24"/>
          <w:szCs w:val="24"/>
        </w:rPr>
        <w:t xml:space="preserve">en el </w:t>
      </w:r>
      <w:r w:rsidRPr="00086FB0">
        <w:rPr>
          <w:rFonts w:ascii="Palatino Linotype" w:eastAsia="Palatino Linotype" w:hAnsi="Palatino Linotype" w:cs="Palatino Linotype"/>
          <w:b/>
          <w:sz w:val="24"/>
          <w:szCs w:val="24"/>
        </w:rPr>
        <w:t xml:space="preserve">SAIMEX </w:t>
      </w:r>
      <w:r w:rsidRPr="00086FB0">
        <w:rPr>
          <w:rFonts w:ascii="Palatino Linotype" w:eastAsia="Palatino Linotype" w:hAnsi="Palatino Linotype" w:cs="Palatino Linotype"/>
          <w:sz w:val="24"/>
          <w:szCs w:val="24"/>
        </w:rPr>
        <w:t xml:space="preserve">con el número de expediente </w:t>
      </w:r>
      <w:r w:rsidR="00256415" w:rsidRPr="00086FB0">
        <w:rPr>
          <w:rFonts w:ascii="Palatino Linotype" w:eastAsia="Palatino Linotype" w:hAnsi="Palatino Linotype" w:cs="Palatino Linotype"/>
          <w:b/>
          <w:sz w:val="24"/>
          <w:szCs w:val="24"/>
        </w:rPr>
        <w:t>0</w:t>
      </w:r>
      <w:r w:rsidR="00835187" w:rsidRPr="00086FB0">
        <w:rPr>
          <w:rFonts w:ascii="Palatino Linotype" w:eastAsia="Palatino Linotype" w:hAnsi="Palatino Linotype" w:cs="Palatino Linotype"/>
          <w:b/>
          <w:sz w:val="24"/>
          <w:szCs w:val="24"/>
        </w:rPr>
        <w:t>1</w:t>
      </w:r>
      <w:r w:rsidR="002E5F82" w:rsidRPr="00086FB0">
        <w:rPr>
          <w:rFonts w:ascii="Palatino Linotype" w:eastAsia="Palatino Linotype" w:hAnsi="Palatino Linotype" w:cs="Palatino Linotype"/>
          <w:b/>
          <w:sz w:val="24"/>
          <w:szCs w:val="24"/>
        </w:rPr>
        <w:t>905</w:t>
      </w:r>
      <w:r w:rsidR="00256415" w:rsidRPr="00086FB0">
        <w:rPr>
          <w:rFonts w:ascii="Palatino Linotype" w:eastAsia="Palatino Linotype" w:hAnsi="Palatino Linotype" w:cs="Palatino Linotype"/>
          <w:b/>
          <w:sz w:val="24"/>
          <w:szCs w:val="24"/>
        </w:rPr>
        <w:t>/INFOEM/IP/RR/2026</w:t>
      </w:r>
      <w:r w:rsidR="00286240" w:rsidRPr="00086FB0">
        <w:rPr>
          <w:rFonts w:ascii="Palatino Linotype" w:eastAsia="Palatino Linotype" w:hAnsi="Palatino Linotype" w:cs="Palatino Linotype"/>
          <w:sz w:val="24"/>
          <w:szCs w:val="24"/>
        </w:rPr>
        <w:t xml:space="preserve">, </w:t>
      </w:r>
      <w:r w:rsidRPr="00086FB0">
        <w:rPr>
          <w:rFonts w:ascii="Palatino Linotype" w:eastAsia="Palatino Linotype" w:hAnsi="Palatino Linotype" w:cs="Palatino Linotype"/>
          <w:sz w:val="24"/>
          <w:szCs w:val="24"/>
        </w:rPr>
        <w:t>y señaló como acto impugnado y razones o motivos de inconformidad, lo siguiente:</w:t>
      </w:r>
    </w:p>
    <w:p w14:paraId="2DF21E02" w14:textId="77777777" w:rsidR="009E3316" w:rsidRPr="00086FB0" w:rsidRDefault="009E3316" w:rsidP="009E3316">
      <w:pPr>
        <w:pBdr>
          <w:top w:val="nil"/>
          <w:left w:val="nil"/>
          <w:bottom w:val="nil"/>
          <w:right w:val="nil"/>
          <w:between w:val="nil"/>
        </w:pBdr>
        <w:spacing w:after="0" w:line="360" w:lineRule="auto"/>
        <w:jc w:val="both"/>
        <w:rPr>
          <w:rFonts w:ascii="Palatino Linotype" w:eastAsia="Palatino Linotype" w:hAnsi="Palatino Linotype" w:cs="Palatino Linotype"/>
          <w:b/>
          <w:sz w:val="24"/>
          <w:szCs w:val="24"/>
        </w:rPr>
      </w:pPr>
    </w:p>
    <w:p w14:paraId="3C760752" w14:textId="77777777" w:rsidR="009E3316" w:rsidRPr="00086FB0" w:rsidRDefault="009E3316" w:rsidP="009E3316">
      <w:pPr>
        <w:numPr>
          <w:ilvl w:val="0"/>
          <w:numId w:val="1"/>
        </w:numPr>
        <w:pBdr>
          <w:top w:val="nil"/>
          <w:left w:val="nil"/>
          <w:bottom w:val="nil"/>
          <w:right w:val="nil"/>
          <w:between w:val="nil"/>
        </w:pBdr>
        <w:spacing w:after="0" w:line="360" w:lineRule="auto"/>
        <w:jc w:val="both"/>
        <w:rPr>
          <w:i/>
        </w:rPr>
      </w:pPr>
      <w:r w:rsidRPr="00086FB0">
        <w:rPr>
          <w:rFonts w:ascii="Palatino Linotype" w:eastAsia="Palatino Linotype" w:hAnsi="Palatino Linotype" w:cs="Palatino Linotype"/>
          <w:b/>
          <w:i/>
          <w:color w:val="000000"/>
        </w:rPr>
        <w:t xml:space="preserve">Acto Impugnado: </w:t>
      </w:r>
    </w:p>
    <w:p w14:paraId="1703B167" w14:textId="083DFADC" w:rsidR="009E3316" w:rsidRPr="00086FB0" w:rsidRDefault="009E3316" w:rsidP="009E3316">
      <w:pPr>
        <w:pStyle w:val="INFOEM"/>
      </w:pPr>
      <w:r w:rsidRPr="00086FB0">
        <w:t>“</w:t>
      </w:r>
      <w:r w:rsidR="002E5F82" w:rsidRPr="00086FB0">
        <w:t xml:space="preserve">Solicito copia íntegra, completa, legible y cronológicamente ordenada del expediente administrativo total que obre en poder del Ayuntamiento de Tepotzotlán relativo a </w:t>
      </w:r>
      <w:r w:rsidR="002E5F82" w:rsidRPr="00086FB0">
        <w:lastRenderedPageBreak/>
        <w:t xml:space="preserve">las actuaciones, autorizaciones, tolerancias, gestiones, controles y omisiones relacionadas con el entorno, seguridad, comercio ambulante y apoyos al Jardín de Niños “Rosa </w:t>
      </w:r>
      <w:proofErr w:type="spellStart"/>
      <w:r w:rsidR="002E5F82" w:rsidRPr="00086FB0">
        <w:t>Agazzi</w:t>
      </w:r>
      <w:proofErr w:type="spellEnd"/>
      <w:r w:rsidR="002E5F82" w:rsidRPr="00086FB0">
        <w:t xml:space="preserve">”, con C.C.T. 15EJN0661P, durante los ejercicios 2025 y 2026, incluyendo de manera enunciativa más no limitativa: I. COMERCIO AMBULANTE EN INMEDIACIONES DEL PLANTEL a) Fundamento legal aplicable (Bando Municipal, reglamentos, acuerdos de Cabildo, permisos, licencias, tolerancias administrativas) que sustente la instalación de puestos ambulantes en el exterior de un plantel educativo. b) Relación de puestos instalados (número, ubicación exacta, giro, horarios, vigencia de permisos). c) Dictámenes, evaluaciones o análisis en materia de protección civil, seguridad vial, libre tránsito, salubridad y seguridad de la comunidad escolar. d) Acciones de verificación, sanción, retiro o regularización realizadas y sus resultados. II. POSIBLES INGRESOS, CUOTAS O BENEFICIOS ECONÓMICOS e) Registro de cobros, derechos, cuotas, donativos, aportaciones o cualquier beneficio económico directo o indirecto asociado a dichos puestos, indicando monto, periodicidad, destino de los recursos y fundamento legal. f) Intervención de Tesorería Municipal y evidencia de ingresos reportados o, en su caso, acciones por ingresos no reportados. III. SEGURIDAD, RIESGOS Y PROTECCIÓN CIVIL g) Dictámenes técnicos, inspecciones y oficios de Protección Civil relativos a riesgos en el entorno del plantel (árboles de gran tamaño, accesos, vialidad, aglomeraciones). h) Programas, protocolos y medidas preventivas adoptadas para proteger a la comunidad escolar, así como registros de incidentes. IV. COORDINACIÓN INSTITUCIONAL CON EL PLANTEL i) Oficios, solicitudes y comunicaciones recibidas del Jardín de Niños “Rosa </w:t>
      </w:r>
      <w:proofErr w:type="spellStart"/>
      <w:r w:rsidR="002E5F82" w:rsidRPr="00086FB0">
        <w:t>Agazzi</w:t>
      </w:r>
      <w:proofErr w:type="spellEnd"/>
      <w:r w:rsidR="002E5F82" w:rsidRPr="00086FB0">
        <w:t xml:space="preserve">”, de su Dirección o de la Asociación de Padres de Familia, y las respuestas emitidas por el Ayuntamiento. j) Convenios, acuerdos o tolerancias —expresas o tácitas— con la Dirección del plantel o la Asociación de Padres respecto al comercio ambulante o intervenciones en el entorno escolar. V. APOYOS, INTERVENCIONES Y </w:t>
      </w:r>
      <w:r w:rsidR="002E5F82" w:rsidRPr="00086FB0">
        <w:lastRenderedPageBreak/>
        <w:t>MEJORAS k) Relación de apoyos, servicios, obras o intervenciones municipales realizadas en beneficio del plantel, indicando área responsable, recursos asignados y resultados. VI. RESPONSABILIDADES Y CONTROL ADMINISTRATIVO l) Áreas municipales responsables de autorizar, supervisar, regular o corregir las situaciones descritas. m) Nombre, cargo y área de los servidores públicos responsables de las decisiones u omisiones. n) Procedimientos administrativos, investigaciones, quejas o sanciones relacionadas y su estatus. En caso de inexistencia total o parcial de la información solicitada, indíquese de manera fundada y motivada: o) Qué autoridad municipal estaba obligada a generarla, desde cuándo y bajo qué fundamento no obra en los archivos; p) Quién es responsable de dicha omisión y qué medidas se han adoptado para corregirla.</w:t>
      </w:r>
      <w:r w:rsidRPr="00086FB0">
        <w:t xml:space="preserve">" (Sic) </w:t>
      </w:r>
    </w:p>
    <w:p w14:paraId="03B98361" w14:textId="77777777" w:rsidR="009E3316" w:rsidRPr="00086FB0" w:rsidRDefault="009E3316" w:rsidP="009E3316">
      <w:pPr>
        <w:pBdr>
          <w:top w:val="nil"/>
          <w:left w:val="nil"/>
          <w:bottom w:val="nil"/>
          <w:right w:val="nil"/>
          <w:between w:val="nil"/>
        </w:pBdr>
        <w:spacing w:after="0" w:line="360" w:lineRule="auto"/>
        <w:ind w:left="720"/>
        <w:jc w:val="both"/>
        <w:rPr>
          <w:rFonts w:ascii="Palatino Linotype" w:eastAsia="Palatino Linotype" w:hAnsi="Palatino Linotype" w:cs="Palatino Linotype"/>
          <w:i/>
          <w:color w:val="000000"/>
        </w:rPr>
      </w:pPr>
    </w:p>
    <w:p w14:paraId="7EF1D43C" w14:textId="77777777" w:rsidR="009E3316" w:rsidRPr="00086FB0" w:rsidRDefault="009E3316" w:rsidP="009E3316">
      <w:pPr>
        <w:numPr>
          <w:ilvl w:val="0"/>
          <w:numId w:val="1"/>
        </w:numPr>
        <w:pBdr>
          <w:top w:val="nil"/>
          <w:left w:val="nil"/>
          <w:bottom w:val="nil"/>
          <w:right w:val="nil"/>
          <w:between w:val="nil"/>
        </w:pBdr>
        <w:spacing w:after="0" w:line="360" w:lineRule="auto"/>
        <w:jc w:val="both"/>
      </w:pPr>
      <w:r w:rsidRPr="00086FB0">
        <w:rPr>
          <w:rFonts w:ascii="Palatino Linotype" w:eastAsia="Palatino Linotype" w:hAnsi="Palatino Linotype" w:cs="Palatino Linotype"/>
          <w:b/>
          <w:i/>
          <w:color w:val="000000"/>
        </w:rPr>
        <w:t>Razones o Motivos de Inconformidad</w:t>
      </w:r>
      <w:r w:rsidRPr="00086FB0">
        <w:rPr>
          <w:rFonts w:ascii="Palatino Linotype" w:eastAsia="Palatino Linotype" w:hAnsi="Palatino Linotype" w:cs="Palatino Linotype"/>
          <w:i/>
          <w:color w:val="000000"/>
        </w:rPr>
        <w:t xml:space="preserve">: </w:t>
      </w:r>
    </w:p>
    <w:p w14:paraId="1E680440" w14:textId="201B0D05" w:rsidR="009E3316" w:rsidRPr="00086FB0" w:rsidRDefault="009E3316" w:rsidP="009E3316">
      <w:pPr>
        <w:pStyle w:val="INFOEM"/>
      </w:pPr>
      <w:r w:rsidRPr="00086FB0">
        <w:t>“</w:t>
      </w:r>
      <w:r w:rsidR="002E5F82" w:rsidRPr="00086FB0">
        <w:t xml:space="preserve">AGRAVIO POR OMISIÓN Y OBSTRUCCIÓN DEL DERECHO DE ACCESO A LA INFORMACIÓN El H. Ayuntamiento de Tepotzotlán vulneró mi derecho humano de acceso a la información pública, al incurrir en una omisión total de respuesta dentro del plazo legal, así como en una actuación contraria a los principios de legalidad, certeza jurídica, máxima publicidad y exhaustividad. El sujeto obligado incurrió específicamente en las siguientes conductas ilegales: No emitir respuesta en tiempo y forma a la solicitud de información pública. No fundar ni motivar una inexistencia, reserva o clasificación de la información solicitada. No proporcionar los documentos públicos requeridos. No orientar, turnar la solicitud ni emitir ampliación de plazo debidamente justificada. Dicha conducta constituye una obstrucción directa al derecho de acceso a la información, dejándome en un estado de incertidumbre jurídica, al no existir una resolución válida emitida por el sujeto obligado. VIOLACIÓN A DERECHOS CONSTITUCIONALES Y LEGALES En </w:t>
      </w:r>
      <w:r w:rsidR="002E5F82" w:rsidRPr="00086FB0">
        <w:lastRenderedPageBreak/>
        <w:t xml:space="preserve">términos de los artículos 6° y 8° de la Constitución Política de los Estados Unidos Mexicanos, tengo derecho a realizar peticiones de información y a recibir respuesta fundada y motivada por parte de las autoridades. Asimismo, conforme a los artículos 4, 11, 15, 92, 111, 112, 150, 151, 152, 160, 162, 176, 177, 178, 179 y 180 de la Ley de Transparencia y Acceso a la Información Pública del Estado de México y Municipios, el sujeto obligado tenía la obligación de: Tramitar la solicitud. Realizar una búsqueda exhaustiva. Emitir una respuesta dentro del plazo legal. No obstante, transcurrido el plazo legal, el Ayuntamiento hizo caso omiso y nunca respondió, configurándose así una omisión absoluta, la cual es expresamente sancionable por la ley. PETICIONES AL INFOEM Por lo expuesto, solicito respetuosamente a ese Órgano Garante: Se declare fundada la omisión del Sujeto Obligado, al no responder la solicitud de información dentro del plazo legal. Se ordene al H. Ayuntamiento de Tepotzotlán emitir respuesta inmediata, debidamente fundada y motivada, garantizando una búsqueda exhaustiva de los documentos solicitados. Se aperciba a la Unidad de Transparencia para que dé cumplimiento inmediato a la entrega de la información requerida, bajo el principio de máxima publicidad. Se otorgue vista al Órgano Interno de Control del Ayuntamiento, para que, con fundamento en los artículos 194, 195, 196, 200, 213, 214, 215, 222, 223 y 224 de la Ley de Transparencia del Estado de México y Municipios, así como en los artículos 49, 50, 57 y 76 a 81 de la Ley de Responsabilidades Administrativas del Estado de México y Municipios, inicie el procedimiento correspondiente y determine las sanciones aplicables al servidor público responsable de la omisión. Se impongan las sanciones correspondientes por el incumplimiento de los plazos de respuesta y la obstrucción del derecho de acceso a la información. SOBRE INEXISTENCIA, RESERVA O DATOS PERSONALES En caso de que el sujeto obligado alegue inexistencia, solicito que se requiera al Comité de Transparencia seguir el procedimiento legal de verificación, debidamente fundado y motivado. En caso de que la información </w:t>
      </w:r>
      <w:r w:rsidR="002E5F82" w:rsidRPr="00086FB0">
        <w:lastRenderedPageBreak/>
        <w:t>contenga datos personales, clasificados o confidenciales, solicito la elaboración y entrega de versión pública, aplicando un testado estricto, proporcional y debidamente justificado, acompañado del acta del Comité de Transparencia donde conste la determinación correspondiente.</w:t>
      </w:r>
      <w:r w:rsidRPr="00086FB0">
        <w:t>”</w:t>
      </w:r>
      <w:r w:rsidRPr="00086FB0">
        <w:rPr>
          <w:sz w:val="24"/>
          <w:szCs w:val="24"/>
        </w:rPr>
        <w:t xml:space="preserve"> (Sic)</w:t>
      </w:r>
      <w:r w:rsidRPr="00086FB0">
        <w:rPr>
          <w:rFonts w:ascii="Times New Roman" w:eastAsia="Times New Roman" w:hAnsi="Times New Roman" w:cs="Times New Roman"/>
          <w:sz w:val="24"/>
          <w:szCs w:val="24"/>
        </w:rPr>
        <w:t xml:space="preserve"> </w:t>
      </w:r>
    </w:p>
    <w:p w14:paraId="1777C7DF" w14:textId="77777777" w:rsidR="009E3316" w:rsidRPr="00086FB0" w:rsidRDefault="009E3316" w:rsidP="009E3316">
      <w:pPr>
        <w:spacing w:after="0" w:line="360" w:lineRule="auto"/>
        <w:jc w:val="both"/>
        <w:rPr>
          <w:rFonts w:ascii="Palatino Linotype" w:eastAsia="Palatino Linotype" w:hAnsi="Palatino Linotype" w:cs="Palatino Linotype"/>
          <w:b/>
          <w:sz w:val="28"/>
          <w:szCs w:val="28"/>
        </w:rPr>
      </w:pPr>
    </w:p>
    <w:p w14:paraId="693B6776" w14:textId="77777777" w:rsidR="009E3316" w:rsidRPr="00086FB0" w:rsidRDefault="009E3316" w:rsidP="009E3316">
      <w:pPr>
        <w:spacing w:before="240" w:line="360" w:lineRule="auto"/>
        <w:jc w:val="both"/>
        <w:rPr>
          <w:rFonts w:ascii="Palatino Linotype" w:hAnsi="Palatino Linotype" w:cs="Arial"/>
          <w:b/>
        </w:rPr>
      </w:pPr>
      <w:r w:rsidRPr="00086FB0">
        <w:rPr>
          <w:rFonts w:ascii="Palatino Linotype" w:hAnsi="Palatino Linotype" w:cs="Arial"/>
          <w:b/>
          <w:sz w:val="28"/>
        </w:rPr>
        <w:t>CUARTO</w:t>
      </w:r>
      <w:r w:rsidRPr="00086FB0">
        <w:rPr>
          <w:rFonts w:ascii="Palatino Linotype" w:hAnsi="Palatino Linotype" w:cs="Arial"/>
          <w:b/>
        </w:rPr>
        <w:t xml:space="preserve">. </w:t>
      </w:r>
      <w:r w:rsidRPr="00086FB0">
        <w:rPr>
          <w:rFonts w:ascii="Palatino Linotype" w:hAnsi="Palatino Linotype" w:cs="Arial"/>
          <w:b/>
          <w:sz w:val="28"/>
          <w:szCs w:val="28"/>
        </w:rPr>
        <w:t>Del turno y admisión del recurso de revisión.</w:t>
      </w:r>
    </w:p>
    <w:p w14:paraId="26FD1593" w14:textId="7406312D" w:rsidR="009E3316" w:rsidRPr="00086FB0" w:rsidRDefault="009E3316" w:rsidP="009E3316">
      <w:pPr>
        <w:spacing w:before="240" w:line="360" w:lineRule="auto"/>
        <w:jc w:val="both"/>
        <w:rPr>
          <w:rFonts w:ascii="Palatino Linotype" w:hAnsi="Palatino Linotype" w:cs="Arial"/>
          <w:sz w:val="32"/>
        </w:rPr>
      </w:pPr>
      <w:r w:rsidRPr="00086FB0">
        <w:rPr>
          <w:rFonts w:ascii="Palatino Linotype" w:hAnsi="Palatino Linotype"/>
          <w:sz w:val="24"/>
        </w:rPr>
        <w:t xml:space="preserve">El medio de impugnación fue turnado al Comisionado Presidente </w:t>
      </w:r>
      <w:r w:rsidRPr="00086FB0">
        <w:rPr>
          <w:rFonts w:ascii="Palatino Linotype" w:hAnsi="Palatino Linotype"/>
          <w:b/>
          <w:sz w:val="24"/>
        </w:rPr>
        <w:t>José Martínez Vilchis,</w:t>
      </w:r>
      <w:r w:rsidRPr="00086FB0">
        <w:rPr>
          <w:rFonts w:ascii="Palatino Linotype" w:hAnsi="Palatino Linotype"/>
          <w:sz w:val="24"/>
        </w:rPr>
        <w:t xml:space="preserve"> por medio del sistema electrónico SAIMEX, en términos del artículo 185, fracción I, de la Ley de Transparencia y Acceso a la información Pública del Estado de México y Municipios, del cual recayó acuerdo de </w:t>
      </w:r>
      <w:r w:rsidRPr="00086FB0">
        <w:rPr>
          <w:rFonts w:ascii="Palatino Linotype" w:hAnsi="Palatino Linotype"/>
          <w:b/>
          <w:sz w:val="24"/>
        </w:rPr>
        <w:t>admisión</w:t>
      </w:r>
      <w:r w:rsidRPr="00086FB0">
        <w:rPr>
          <w:rFonts w:ascii="Palatino Linotype" w:hAnsi="Palatino Linotype"/>
          <w:sz w:val="24"/>
        </w:rPr>
        <w:t xml:space="preserve"> en fecha </w:t>
      </w:r>
      <w:r w:rsidR="002E5F82" w:rsidRPr="00086FB0">
        <w:rPr>
          <w:rFonts w:ascii="Palatino Linotype" w:eastAsia="Palatino Linotype" w:hAnsi="Palatino Linotype" w:cs="Palatino Linotype"/>
          <w:b/>
          <w:sz w:val="24"/>
          <w:szCs w:val="24"/>
        </w:rPr>
        <w:t>diecisiete</w:t>
      </w:r>
      <w:r w:rsidR="007150D1" w:rsidRPr="00086FB0">
        <w:rPr>
          <w:rFonts w:ascii="Palatino Linotype" w:eastAsia="Palatino Linotype" w:hAnsi="Palatino Linotype" w:cs="Palatino Linotype"/>
          <w:b/>
          <w:sz w:val="24"/>
          <w:szCs w:val="24"/>
        </w:rPr>
        <w:t xml:space="preserve"> de febrero</w:t>
      </w:r>
      <w:r w:rsidR="00E21B34" w:rsidRPr="00086FB0">
        <w:rPr>
          <w:rFonts w:ascii="Palatino Linotype" w:eastAsia="Palatino Linotype" w:hAnsi="Palatino Linotype" w:cs="Palatino Linotype"/>
          <w:b/>
          <w:sz w:val="24"/>
          <w:szCs w:val="24"/>
        </w:rPr>
        <w:t xml:space="preserve"> de dos mil veintiséis</w:t>
      </w:r>
      <w:r w:rsidRPr="00086FB0">
        <w:rPr>
          <w:rFonts w:ascii="Palatino Linotype" w:hAnsi="Palatino Linotype"/>
          <w:sz w:val="24"/>
        </w:rPr>
        <w:t>, determinándose en ellos, un plazo de siete días para que las partes manifestaran lo que a su derecho corresponda en términos del numeral ya citado.</w:t>
      </w:r>
    </w:p>
    <w:p w14:paraId="56317DF8" w14:textId="77777777" w:rsidR="009E3316" w:rsidRPr="00086FB0" w:rsidRDefault="009E3316" w:rsidP="009E3316">
      <w:pPr>
        <w:spacing w:after="0" w:line="360" w:lineRule="auto"/>
        <w:jc w:val="both"/>
        <w:rPr>
          <w:rFonts w:ascii="Palatino Linotype" w:eastAsia="Palatino Linotype" w:hAnsi="Palatino Linotype" w:cs="Palatino Linotype"/>
          <w:b/>
          <w:sz w:val="28"/>
          <w:szCs w:val="28"/>
        </w:rPr>
      </w:pPr>
    </w:p>
    <w:p w14:paraId="43BA7D91" w14:textId="77777777" w:rsidR="009E3316" w:rsidRPr="00086FB0" w:rsidRDefault="009E3316" w:rsidP="009E3316">
      <w:pPr>
        <w:pStyle w:val="Prrafodelista"/>
        <w:spacing w:line="360" w:lineRule="auto"/>
        <w:ind w:left="0"/>
        <w:jc w:val="both"/>
        <w:rPr>
          <w:rFonts w:ascii="Palatino Linotype" w:hAnsi="Palatino Linotype" w:cs="Arial"/>
          <w:b/>
          <w:sz w:val="28"/>
          <w:szCs w:val="28"/>
        </w:rPr>
      </w:pPr>
      <w:r w:rsidRPr="00086FB0">
        <w:rPr>
          <w:rFonts w:ascii="Palatino Linotype" w:hAnsi="Palatino Linotype" w:cs="Arial"/>
          <w:b/>
          <w:sz w:val="28"/>
        </w:rPr>
        <w:t>QUINTO</w:t>
      </w:r>
      <w:r w:rsidRPr="00086FB0">
        <w:rPr>
          <w:rFonts w:ascii="Palatino Linotype" w:hAnsi="Palatino Linotype" w:cs="Arial"/>
          <w:b/>
        </w:rPr>
        <w:t>.</w:t>
      </w:r>
      <w:r w:rsidRPr="00086FB0">
        <w:rPr>
          <w:rFonts w:ascii="Palatino Linotype" w:hAnsi="Palatino Linotype" w:cs="Arial"/>
          <w:b/>
          <w:sz w:val="28"/>
          <w:szCs w:val="28"/>
        </w:rPr>
        <w:t xml:space="preserve"> De la etapa de instrucción.</w:t>
      </w:r>
    </w:p>
    <w:p w14:paraId="647001C9" w14:textId="77777777" w:rsidR="009E3316" w:rsidRPr="00086FB0" w:rsidRDefault="009E3316" w:rsidP="009E3316">
      <w:pPr>
        <w:spacing w:after="0" w:line="360" w:lineRule="auto"/>
        <w:jc w:val="both"/>
        <w:rPr>
          <w:rFonts w:ascii="Palatino Linotype" w:hAnsi="Palatino Linotype"/>
          <w:sz w:val="24"/>
          <w:szCs w:val="24"/>
        </w:rPr>
      </w:pPr>
      <w:r w:rsidRPr="00086FB0">
        <w:rPr>
          <w:rFonts w:ascii="Palatino Linotype" w:hAnsi="Palatino Linotype" w:cs="Arial"/>
          <w:sz w:val="24"/>
          <w:szCs w:val="24"/>
        </w:rPr>
        <w:t>De las constancias que obran en el expediente electrónico del SAIMEX, se advierte que el Sujeto Obligado fue omiso al rendir su informe justificado. De igual manera, se advierte que el Recurrente</w:t>
      </w:r>
      <w:r w:rsidRPr="00086FB0">
        <w:rPr>
          <w:rFonts w:ascii="Palatino Linotype" w:hAnsi="Palatino Linotype" w:cs="Arial"/>
          <w:b/>
          <w:sz w:val="24"/>
          <w:szCs w:val="24"/>
        </w:rPr>
        <w:t>,</w:t>
      </w:r>
      <w:r w:rsidRPr="00086FB0">
        <w:rPr>
          <w:rFonts w:ascii="Palatino Linotype" w:hAnsi="Palatino Linotype" w:cs="Arial"/>
          <w:sz w:val="24"/>
          <w:szCs w:val="24"/>
        </w:rPr>
        <w:t xml:space="preserve"> omitió rendir dentro del término de Ley, las manifestaciones que a sus intereses conviniera.</w:t>
      </w:r>
    </w:p>
    <w:p w14:paraId="38015B41" w14:textId="77777777" w:rsidR="009E3316" w:rsidRPr="00086FB0" w:rsidRDefault="009E3316" w:rsidP="009E3316">
      <w:pPr>
        <w:spacing w:after="0" w:line="360" w:lineRule="auto"/>
        <w:jc w:val="both"/>
        <w:rPr>
          <w:rFonts w:ascii="Palatino Linotype" w:hAnsi="Palatino Linotype" w:cs="Arial"/>
          <w:sz w:val="24"/>
          <w:szCs w:val="24"/>
        </w:rPr>
      </w:pPr>
    </w:p>
    <w:p w14:paraId="2716A149" w14:textId="77777777" w:rsidR="009E3316" w:rsidRPr="00086FB0" w:rsidRDefault="009E3316" w:rsidP="009E3316">
      <w:pPr>
        <w:spacing w:after="0" w:line="360" w:lineRule="auto"/>
        <w:jc w:val="both"/>
        <w:rPr>
          <w:rFonts w:ascii="Palatino Linotype" w:hAnsi="Palatino Linotype" w:cs="Arial"/>
          <w:sz w:val="24"/>
          <w:szCs w:val="24"/>
        </w:rPr>
      </w:pPr>
      <w:r w:rsidRPr="00086FB0">
        <w:rPr>
          <w:rFonts w:ascii="Palatino Linotype" w:hAnsi="Palatino Linotype" w:cs="Arial"/>
          <w:sz w:val="24"/>
          <w:szCs w:val="24"/>
        </w:rPr>
        <w:t xml:space="preserve">Por lo que al no existir prueba alguna o diligencia que desahogar en el expediente citado al rubro, el Comisionado Ponente acordó el cierre de instrucción, así como la </w:t>
      </w:r>
      <w:r w:rsidRPr="00086FB0">
        <w:rPr>
          <w:rFonts w:ascii="Palatino Linotype" w:hAnsi="Palatino Linotype" w:cs="Arial"/>
          <w:sz w:val="24"/>
          <w:szCs w:val="24"/>
        </w:rPr>
        <w:lastRenderedPageBreak/>
        <w:t>remisión del mismo a efecto de ser resuelto, de conformidad con lo establecido en el artículo 185 fracciones VI y VIII de la Ley de Transparencia y Acceso a la Información Pública del Estado de México y Municipios.</w:t>
      </w:r>
    </w:p>
    <w:p w14:paraId="2A362ABD" w14:textId="77777777" w:rsidR="009E3316" w:rsidRPr="00086FB0" w:rsidRDefault="009E3316" w:rsidP="009E3316">
      <w:pPr>
        <w:spacing w:after="0" w:line="360" w:lineRule="auto"/>
        <w:jc w:val="both"/>
        <w:rPr>
          <w:rFonts w:ascii="Palatino Linotype" w:hAnsi="Palatino Linotype" w:cs="Arial"/>
          <w:b/>
          <w:sz w:val="28"/>
          <w:szCs w:val="28"/>
        </w:rPr>
      </w:pPr>
    </w:p>
    <w:p w14:paraId="7B12577E" w14:textId="77777777" w:rsidR="009E3316" w:rsidRPr="00086FB0" w:rsidRDefault="009E3316" w:rsidP="009E3316">
      <w:pPr>
        <w:spacing w:after="0" w:line="360" w:lineRule="auto"/>
        <w:jc w:val="both"/>
        <w:rPr>
          <w:rFonts w:ascii="Palatino Linotype" w:hAnsi="Palatino Linotype" w:cs="Arial"/>
          <w:b/>
          <w:sz w:val="28"/>
          <w:szCs w:val="28"/>
        </w:rPr>
      </w:pPr>
      <w:r w:rsidRPr="00086FB0">
        <w:rPr>
          <w:rFonts w:ascii="Palatino Linotype" w:hAnsi="Palatino Linotype" w:cs="Arial"/>
          <w:b/>
          <w:sz w:val="28"/>
          <w:szCs w:val="28"/>
        </w:rPr>
        <w:t>SEXTO. Del Cierre de Instrucción.</w:t>
      </w:r>
    </w:p>
    <w:p w14:paraId="09B37DE1" w14:textId="5B8D8484" w:rsidR="009E3316" w:rsidRPr="00086FB0" w:rsidRDefault="009E3316" w:rsidP="009E3316">
      <w:pPr>
        <w:spacing w:after="0" w:line="360" w:lineRule="auto"/>
        <w:jc w:val="both"/>
        <w:rPr>
          <w:rFonts w:ascii="Palatino Linotype" w:hAnsi="Palatino Linotype" w:cs="Arial"/>
          <w:sz w:val="24"/>
          <w:szCs w:val="24"/>
        </w:rPr>
      </w:pPr>
      <w:r w:rsidRPr="00086FB0">
        <w:rPr>
          <w:rFonts w:ascii="Palatino Linotype" w:hAnsi="Palatino Linotype" w:cs="Arial"/>
          <w:sz w:val="24"/>
          <w:szCs w:val="24"/>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decretó el cierre de instrucción en fecha </w:t>
      </w:r>
      <w:r w:rsidR="00293CEC" w:rsidRPr="00086FB0">
        <w:rPr>
          <w:rFonts w:ascii="Palatino Linotype" w:hAnsi="Palatino Linotype" w:cs="Arial"/>
          <w:b/>
          <w:sz w:val="24"/>
          <w:szCs w:val="24"/>
        </w:rPr>
        <w:t>cinco de marzo</w:t>
      </w:r>
      <w:r w:rsidR="00BF7C2B" w:rsidRPr="00086FB0">
        <w:rPr>
          <w:rFonts w:ascii="Palatino Linotype" w:hAnsi="Palatino Linotype" w:cs="Arial"/>
          <w:b/>
          <w:sz w:val="24"/>
          <w:szCs w:val="24"/>
        </w:rPr>
        <w:t xml:space="preserve"> de dos mil veintiséis</w:t>
      </w:r>
      <w:r w:rsidRPr="00086FB0">
        <w:rPr>
          <w:rFonts w:ascii="Palatino Linotype" w:hAnsi="Palatino Linotype" w:cs="Arial"/>
          <w:sz w:val="24"/>
          <w:szCs w:val="24"/>
        </w:rPr>
        <w:t>, en términos del artículo 185 fracción VI de la Ley de Transparencia y Acceso a la Información Pública del Estado de México y Municipios, ordenándose turnar el expediente a la resolución que en derecho proceda.</w:t>
      </w:r>
    </w:p>
    <w:p w14:paraId="45F0D304"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42DC15B9" w14:textId="77777777" w:rsidR="009E3316" w:rsidRPr="00086FB0" w:rsidRDefault="009E3316" w:rsidP="009E3316">
      <w:pPr>
        <w:spacing w:after="0" w:line="360" w:lineRule="auto"/>
        <w:jc w:val="center"/>
        <w:rPr>
          <w:rFonts w:ascii="Palatino Linotype" w:eastAsia="Palatino Linotype" w:hAnsi="Palatino Linotype" w:cs="Palatino Linotype"/>
          <w:sz w:val="24"/>
          <w:szCs w:val="24"/>
        </w:rPr>
      </w:pPr>
      <w:r w:rsidRPr="00086FB0">
        <w:rPr>
          <w:rFonts w:ascii="Palatino Linotype" w:eastAsia="Palatino Linotype" w:hAnsi="Palatino Linotype" w:cs="Palatino Linotype"/>
          <w:b/>
          <w:sz w:val="28"/>
          <w:szCs w:val="28"/>
        </w:rPr>
        <w:t xml:space="preserve">C O N S I D E R A N D O </w:t>
      </w:r>
    </w:p>
    <w:p w14:paraId="103A28CF"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223C556F" w14:textId="77777777" w:rsidR="009E3316" w:rsidRPr="00086FB0" w:rsidRDefault="009E3316" w:rsidP="009E3316">
      <w:pPr>
        <w:spacing w:after="0" w:line="360" w:lineRule="auto"/>
        <w:jc w:val="both"/>
        <w:rPr>
          <w:rFonts w:ascii="Palatino Linotype" w:eastAsia="Palatino Linotype" w:hAnsi="Palatino Linotype" w:cs="Palatino Linotype"/>
          <w:sz w:val="28"/>
          <w:szCs w:val="24"/>
        </w:rPr>
      </w:pPr>
      <w:r w:rsidRPr="00086FB0">
        <w:rPr>
          <w:rFonts w:ascii="Palatino Linotype" w:eastAsia="Palatino Linotype" w:hAnsi="Palatino Linotype" w:cs="Palatino Linotype"/>
          <w:b/>
          <w:sz w:val="28"/>
          <w:szCs w:val="24"/>
        </w:rPr>
        <w:t>PRIMERO. De la competencia</w:t>
      </w:r>
      <w:r w:rsidRPr="00086FB0">
        <w:rPr>
          <w:rFonts w:ascii="Palatino Linotype" w:eastAsia="Palatino Linotype" w:hAnsi="Palatino Linotype" w:cs="Palatino Linotype"/>
          <w:sz w:val="28"/>
          <w:szCs w:val="24"/>
        </w:rPr>
        <w:t>.</w:t>
      </w:r>
    </w:p>
    <w:p w14:paraId="7FA63AB1" w14:textId="77777777" w:rsidR="009E3316" w:rsidRPr="00086FB0" w:rsidRDefault="009E3316" w:rsidP="009E3316">
      <w:pPr>
        <w:spacing w:after="0" w:line="360" w:lineRule="auto"/>
        <w:jc w:val="both"/>
        <w:rPr>
          <w:rFonts w:ascii="Palatino Linotype" w:hAnsi="Palatino Linotype"/>
          <w:sz w:val="24"/>
          <w:lang w:val="es-ES"/>
        </w:rPr>
      </w:pPr>
      <w:r w:rsidRPr="00086FB0">
        <w:rPr>
          <w:rFonts w:ascii="Palatino Linotype" w:hAnsi="Palatino Linotype"/>
          <w:sz w:val="24"/>
          <w:lang w:val="es-E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w:t>
      </w:r>
      <w:r w:rsidRPr="00086FB0">
        <w:rPr>
          <w:rFonts w:ascii="Palatino Linotype" w:hAnsi="Palatino Linotype"/>
          <w:sz w:val="24"/>
          <w:lang w:val="es-ES"/>
        </w:rPr>
        <w:lastRenderedPageBreak/>
        <w:t>Transparencia, Acceso a la Información Pública y Protección de Datos Personales del Estado de México y Municipios.</w:t>
      </w:r>
    </w:p>
    <w:p w14:paraId="2726A16C"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100B6F4C" w14:textId="77777777" w:rsidR="009E3316" w:rsidRPr="00086FB0" w:rsidRDefault="009E3316" w:rsidP="009E3316">
      <w:pPr>
        <w:spacing w:after="0" w:line="360" w:lineRule="auto"/>
        <w:jc w:val="both"/>
        <w:rPr>
          <w:rFonts w:ascii="Palatino Linotype" w:eastAsia="Palatino Linotype" w:hAnsi="Palatino Linotype" w:cs="Palatino Linotype"/>
          <w:sz w:val="28"/>
          <w:szCs w:val="24"/>
        </w:rPr>
      </w:pPr>
      <w:r w:rsidRPr="00086FB0">
        <w:rPr>
          <w:rFonts w:ascii="Palatino Linotype" w:eastAsia="Palatino Linotype" w:hAnsi="Palatino Linotype" w:cs="Palatino Linotype"/>
          <w:b/>
          <w:sz w:val="28"/>
          <w:szCs w:val="24"/>
        </w:rPr>
        <w:t>SEGUNDO. De la Oportunidad y Procedencia del Recurso de Revisión</w:t>
      </w:r>
      <w:r w:rsidRPr="00086FB0">
        <w:rPr>
          <w:rFonts w:ascii="Palatino Linotype" w:eastAsia="Palatino Linotype" w:hAnsi="Palatino Linotype" w:cs="Palatino Linotype"/>
          <w:sz w:val="28"/>
          <w:szCs w:val="24"/>
        </w:rPr>
        <w:t>.</w:t>
      </w:r>
    </w:p>
    <w:p w14:paraId="21B97FE4" w14:textId="77777777" w:rsidR="009E3316" w:rsidRPr="00086FB0" w:rsidRDefault="009E3316" w:rsidP="009E3316">
      <w:pPr>
        <w:spacing w:after="0" w:line="360" w:lineRule="auto"/>
        <w:jc w:val="both"/>
        <w:rPr>
          <w:rFonts w:ascii="Palatino Linotype" w:eastAsia="Palatino Linotype" w:hAnsi="Palatino Linotype" w:cs="Palatino Linotype"/>
          <w:b/>
          <w:sz w:val="24"/>
          <w:szCs w:val="24"/>
        </w:rPr>
      </w:pPr>
      <w:r w:rsidRPr="00086FB0">
        <w:rPr>
          <w:rFonts w:ascii="Palatino Linotype" w:eastAsia="Palatino Linotype" w:hAnsi="Palatino Linotype" w:cs="Palatino Linotype"/>
          <w:sz w:val="24"/>
          <w:szCs w:val="24"/>
        </w:rPr>
        <w:t>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 sujeto obligado, dentro de los plazos establecidos en la Ley de Transparencia Local, a una solicitud de acceso a la información pública, el recurso podrá ser interpuesto en cualquier momento, por lo que la interposición del presente recurso de revisión resulta oportuna.</w:t>
      </w:r>
    </w:p>
    <w:p w14:paraId="646C1A07"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222F7455"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El artículo 180 de la Ley de Transparencia y Acceso a la Información Pública del Estado de México y Municipios, señala los requisitos que deberán contener los recursos de revisión, como lo es, el nombre del solicitante que recurre; sin embargo, en su último párrafo establece que cuando el recurso se interponga de manera electrónica, no será indispensable que contenga determinados requisitos, entre ellos, el nombre de la parte </w:t>
      </w:r>
      <w:r w:rsidRPr="00086FB0">
        <w:rPr>
          <w:rFonts w:ascii="Palatino Linotype" w:eastAsia="Palatino Linotype" w:hAnsi="Palatino Linotype" w:cs="Palatino Linotype"/>
          <w:b/>
          <w:sz w:val="24"/>
          <w:szCs w:val="24"/>
        </w:rPr>
        <w:t>Recurrente</w:t>
      </w:r>
      <w:r w:rsidRPr="00086FB0">
        <w:rPr>
          <w:rFonts w:ascii="Palatino Linotype" w:eastAsia="Palatino Linotype" w:hAnsi="Palatino Linotype" w:cs="Palatino Linotype"/>
          <w:sz w:val="24"/>
          <w:szCs w:val="24"/>
        </w:rPr>
        <w:t xml:space="preserve">, por lo que, en el presente caso, al haber sido presentado el recurso de revisión vía </w:t>
      </w:r>
      <w:r w:rsidRPr="00086FB0">
        <w:rPr>
          <w:rFonts w:ascii="Palatino Linotype" w:eastAsia="Palatino Linotype" w:hAnsi="Palatino Linotype" w:cs="Palatino Linotype"/>
          <w:b/>
          <w:sz w:val="24"/>
          <w:szCs w:val="24"/>
        </w:rPr>
        <w:t>SAIMEX</w:t>
      </w:r>
      <w:r w:rsidRPr="00086FB0">
        <w:rPr>
          <w:rFonts w:ascii="Palatino Linotype" w:eastAsia="Palatino Linotype" w:hAnsi="Palatino Linotype" w:cs="Palatino Linotype"/>
          <w:sz w:val="24"/>
          <w:szCs w:val="24"/>
        </w:rPr>
        <w:t>, dicho requisito resulta innecesario.</w:t>
      </w:r>
    </w:p>
    <w:p w14:paraId="118EA90A"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28F7950A" w14:textId="77777777" w:rsidR="009E3316" w:rsidRPr="00086FB0" w:rsidRDefault="009E3316" w:rsidP="009E3316">
      <w:pPr>
        <w:spacing w:before="240" w:after="240" w:line="360" w:lineRule="auto"/>
        <w:jc w:val="both"/>
        <w:rPr>
          <w:rFonts w:ascii="Palatino Linotype" w:eastAsia="Palatino Linotype" w:hAnsi="Palatino Linotype" w:cs="Palatino Linotype"/>
          <w:i/>
          <w:sz w:val="24"/>
          <w:szCs w:val="24"/>
        </w:rPr>
      </w:pPr>
      <w:r w:rsidRPr="00086FB0">
        <w:rPr>
          <w:rFonts w:ascii="Palatino Linotype" w:eastAsia="Palatino Linotype" w:hAnsi="Palatino Linotype" w:cs="Palatino Linotype"/>
          <w:sz w:val="24"/>
          <w:szCs w:val="24"/>
        </w:rPr>
        <w:t xml:space="preserve">El artículo 179 fracción VII de la Ley de Transparencia y Acceso a la Información Pública del Estado de México y Municipios establece como supuesto de procedencia </w:t>
      </w:r>
      <w:r w:rsidRPr="00086FB0">
        <w:rPr>
          <w:rFonts w:ascii="Palatino Linotype" w:eastAsia="Palatino Linotype" w:hAnsi="Palatino Linotype" w:cs="Palatino Linotype"/>
          <w:sz w:val="24"/>
          <w:szCs w:val="24"/>
        </w:rPr>
        <w:lastRenderedPageBreak/>
        <w:t xml:space="preserve">del recurso de revisión, la falta de respuesta a una solicitud de información por el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hipótesis jurídica que se actualiza en este caso, aunado a que la parte </w:t>
      </w:r>
      <w:r w:rsidRPr="00086FB0">
        <w:rPr>
          <w:rFonts w:ascii="Palatino Linotype" w:eastAsia="Palatino Linotype" w:hAnsi="Palatino Linotype" w:cs="Palatino Linotype"/>
          <w:b/>
          <w:sz w:val="24"/>
          <w:szCs w:val="24"/>
        </w:rPr>
        <w:t>Recurrente</w:t>
      </w:r>
      <w:r w:rsidRPr="00086FB0">
        <w:rPr>
          <w:rFonts w:ascii="Palatino Linotype" w:eastAsia="Palatino Linotype" w:hAnsi="Palatino Linotype" w:cs="Palatino Linotype"/>
          <w:sz w:val="24"/>
          <w:szCs w:val="24"/>
        </w:rPr>
        <w:t xml:space="preserve"> combate falta de trámite por el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y expresa motivos de inconformidad en contra de dicha circunstancia.</w:t>
      </w:r>
    </w:p>
    <w:p w14:paraId="3D1D6126"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2B24B158"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Asimismo, no se actualiza ninguna causa de improcedencia de las referidas en el artículo 191 de la Ley de Transparencia y Acceso a la Información Pública del Estado de México y Municipios, ni mucho menos se hizo valer causa de improcedencia alguna por las partes, que resulte dable abordar, encontrándose actualizados todos los presupuestos procedimentales para atender el fondo del asunto, en los términos del considerando posterior.</w:t>
      </w:r>
    </w:p>
    <w:p w14:paraId="39B43BD6"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5268436D" w14:textId="77777777" w:rsidR="009E3316" w:rsidRPr="00086FB0" w:rsidRDefault="009E3316" w:rsidP="009E3316">
      <w:pPr>
        <w:widowControl w:val="0"/>
        <w:spacing w:after="0" w:line="360" w:lineRule="auto"/>
        <w:jc w:val="both"/>
        <w:rPr>
          <w:rFonts w:ascii="Palatino Linotype" w:eastAsia="Palatino Linotype" w:hAnsi="Palatino Linotype" w:cs="Palatino Linotype"/>
          <w:b/>
          <w:sz w:val="28"/>
          <w:szCs w:val="28"/>
        </w:rPr>
      </w:pPr>
      <w:r w:rsidRPr="00086FB0">
        <w:rPr>
          <w:rFonts w:ascii="Palatino Linotype" w:eastAsia="Palatino Linotype" w:hAnsi="Palatino Linotype" w:cs="Palatino Linotype"/>
          <w:b/>
          <w:sz w:val="28"/>
          <w:szCs w:val="28"/>
        </w:rPr>
        <w:t xml:space="preserve">TERCERO. Estudio y resolución del asunto. </w:t>
      </w:r>
    </w:p>
    <w:p w14:paraId="04EF9FC4" w14:textId="77777777" w:rsidR="009E3316" w:rsidRPr="00086FB0" w:rsidRDefault="009E3316" w:rsidP="009E3316">
      <w:pPr>
        <w:spacing w:after="0" w:line="360" w:lineRule="auto"/>
        <w:jc w:val="both"/>
        <w:rPr>
          <w:rFonts w:ascii="Palatino Linotype" w:eastAsia="Palatino Linotype" w:hAnsi="Palatino Linotype" w:cs="Palatino Linotype"/>
          <w:color w:val="000000"/>
          <w:sz w:val="24"/>
          <w:szCs w:val="24"/>
        </w:rPr>
      </w:pPr>
      <w:r w:rsidRPr="00086FB0">
        <w:rPr>
          <w:rFonts w:ascii="Palatino Linotype" w:eastAsia="Palatino Linotype" w:hAnsi="Palatino Linotype" w:cs="Palatino Linotype"/>
          <w:sz w:val="24"/>
          <w:szCs w:val="24"/>
        </w:rPr>
        <w:t xml:space="preserve">El derecho de acceso a la información pública es un </w:t>
      </w:r>
      <w:r w:rsidRPr="00086FB0">
        <w:rPr>
          <w:rFonts w:ascii="Palatino Linotype" w:eastAsia="Palatino Linotype" w:hAnsi="Palatino Linotype" w:cs="Palatino Linotype"/>
          <w:color w:val="000000"/>
          <w:sz w:val="24"/>
          <w:szCs w:val="24"/>
        </w:rPr>
        <w:t xml:space="preserve">derecho humano reconocido en el Pacto de Derechos Civiles y Políticos en su artículo 19.2; en la Convención Americana sobre Derechos Humanos en su artículo 13.1; en el artículo Sexto de la Constitución Política de los Estados Unidos Mexicanos y en el artículo Quinto de la Constitución Local, a través del cual se puede solicitar aquellos documentos que generen, administren o posean las autoridades en ejercicio de sus respectivas atribuciones y competencias. </w:t>
      </w:r>
    </w:p>
    <w:p w14:paraId="77D0DCA5"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22AD99DC" w14:textId="3C33232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Por lo que en cumplimiento a las obligaciones que establece nuestra Carta Magna, la Constitución Estatal y la Ley de la materia le imponen, el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está constreñido a dar atención a las solicitudes de información que a través del SAIMEX o </w:t>
      </w:r>
      <w:r w:rsidRPr="00086FB0">
        <w:rPr>
          <w:rFonts w:ascii="Palatino Linotype" w:eastAsia="Palatino Linotype" w:hAnsi="Palatino Linotype" w:cs="Palatino Linotype"/>
          <w:sz w:val="24"/>
          <w:szCs w:val="24"/>
        </w:rPr>
        <w:lastRenderedPageBreak/>
        <w:t xml:space="preserve">de vía directa le sean presentadas en ejercicio del derecho humano de acceso a la información pública, lo cual, en el caso no aconteció, pues tal y como se ha acreditado de la revisión del expediente electrónico formado de las constancias que obran en el sistema SAIMEX, el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fue omiso en dar respuesta a la solicitud de información dentro de los plazos establecidos en la Ley de Transparencia Loca</w:t>
      </w:r>
      <w:r w:rsidR="003121D6" w:rsidRPr="00086FB0">
        <w:rPr>
          <w:rFonts w:ascii="Palatino Linotype" w:eastAsia="Palatino Linotype" w:hAnsi="Palatino Linotype" w:cs="Palatino Linotype"/>
          <w:sz w:val="24"/>
          <w:szCs w:val="24"/>
        </w:rPr>
        <w:t>l</w:t>
      </w:r>
      <w:r w:rsidRPr="00086FB0">
        <w:rPr>
          <w:rFonts w:ascii="Palatino Linotype" w:eastAsia="Palatino Linotype" w:hAnsi="Palatino Linotype" w:cs="Palatino Linotype"/>
          <w:sz w:val="24"/>
          <w:szCs w:val="24"/>
        </w:rPr>
        <w:t>.</w:t>
      </w:r>
    </w:p>
    <w:p w14:paraId="78F44065"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4D575ABA"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Asimismo, los motivos o razones de inconformidad expuestos por la parte Recurrente, se adolece de la falta de respuesta a la solicitud de acceso a la información formulada, por lo que se actualiza la causal de procedencia establecida </w:t>
      </w:r>
      <w:r w:rsidRPr="00086FB0">
        <w:rPr>
          <w:rFonts w:ascii="Palatino Linotype" w:eastAsia="Palatino Linotype" w:hAnsi="Palatino Linotype" w:cs="Palatino Linotype"/>
          <w:color w:val="000000"/>
          <w:sz w:val="24"/>
          <w:szCs w:val="24"/>
        </w:rPr>
        <w:t>en la fracción VII del artículo 179 de la Ley de Transparencia y Acceso a la Información Pública del Estado de México y Municipios,</w:t>
      </w:r>
      <w:r w:rsidRPr="00086FB0">
        <w:rPr>
          <w:rFonts w:ascii="Palatino Linotype" w:eastAsia="Palatino Linotype" w:hAnsi="Palatino Linotype" w:cs="Palatino Linotype"/>
          <w:b/>
          <w:color w:val="000000"/>
          <w:sz w:val="24"/>
          <w:szCs w:val="24"/>
        </w:rPr>
        <w:t xml:space="preserve"> </w:t>
      </w:r>
      <w:r w:rsidRPr="00086FB0">
        <w:rPr>
          <w:rFonts w:ascii="Palatino Linotype" w:eastAsia="Palatino Linotype" w:hAnsi="Palatino Linotype" w:cs="Palatino Linotype"/>
          <w:color w:val="000000"/>
          <w:sz w:val="24"/>
          <w:szCs w:val="24"/>
        </w:rPr>
        <w:t>y</w:t>
      </w:r>
      <w:r w:rsidRPr="00086FB0">
        <w:rPr>
          <w:rFonts w:ascii="Palatino Linotype" w:eastAsia="Palatino Linotype" w:hAnsi="Palatino Linotype" w:cs="Palatino Linotype"/>
          <w:b/>
          <w:color w:val="000000"/>
          <w:sz w:val="24"/>
          <w:szCs w:val="24"/>
        </w:rPr>
        <w:t xml:space="preserve"> </w:t>
      </w:r>
      <w:r w:rsidRPr="00086FB0">
        <w:rPr>
          <w:rFonts w:ascii="Palatino Linotype" w:eastAsia="Palatino Linotype" w:hAnsi="Palatino Linotype" w:cs="Palatino Linotype"/>
          <w:sz w:val="24"/>
          <w:szCs w:val="24"/>
        </w:rPr>
        <w:t>por tanto, procedente la interposición del recurso de revisión.</w:t>
      </w:r>
    </w:p>
    <w:p w14:paraId="2B406B1C"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6159ED55"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En consecuencia, las razones o motivos de inconformidad hechos valer, resultan </w:t>
      </w:r>
      <w:r w:rsidRPr="00086FB0">
        <w:rPr>
          <w:rFonts w:ascii="Palatino Linotype" w:eastAsia="Palatino Linotype" w:hAnsi="Palatino Linotype" w:cs="Palatino Linotype"/>
          <w:b/>
          <w:sz w:val="24"/>
          <w:szCs w:val="24"/>
        </w:rPr>
        <w:t>fundadas y procedentes</w:t>
      </w:r>
      <w:r w:rsidRPr="00086FB0">
        <w:rPr>
          <w:rFonts w:ascii="Palatino Linotype" w:eastAsia="Palatino Linotype" w:hAnsi="Palatino Linotype" w:cs="Palatino Linotype"/>
          <w:sz w:val="24"/>
          <w:szCs w:val="24"/>
        </w:rPr>
        <w:t xml:space="preserve">, en virtud de las constancias que obran en el expediente electrónico SAIMEX, se acredita que el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fue omiso en responder la solicitud de información hecha por la parte </w:t>
      </w:r>
      <w:r w:rsidRPr="00086FB0">
        <w:rPr>
          <w:rFonts w:ascii="Palatino Linotype" w:eastAsia="Palatino Linotype" w:hAnsi="Palatino Linotype" w:cs="Palatino Linotype"/>
          <w:b/>
          <w:sz w:val="24"/>
          <w:szCs w:val="24"/>
        </w:rPr>
        <w:t>Recurrente</w:t>
      </w:r>
      <w:r w:rsidRPr="00086FB0">
        <w:rPr>
          <w:rFonts w:ascii="Palatino Linotype" w:eastAsia="Palatino Linotype" w:hAnsi="Palatino Linotype" w:cs="Palatino Linotype"/>
          <w:sz w:val="24"/>
          <w:szCs w:val="24"/>
        </w:rPr>
        <w:t xml:space="preserve">, es decir, incumplió las obligaciones que se le imponen como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de conformidad con lo establecido en los artículos 4, 12, 23 fracción IV, 24 último párrafo y 160 de la Ley de Transparencia y Acceso a la Información Pública del Estado de México y Municipios.</w:t>
      </w:r>
    </w:p>
    <w:p w14:paraId="51F2BFC0"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68B31BD6" w14:textId="77777777" w:rsidR="009E3316" w:rsidRPr="00086FB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De conformidad con lo establecido en los artículos 50 y 51 de la Ley de Transparencia y Acceso a la Información Pública del Estado de México y Municipios, los Sujetos Obligados deben contar con un área responsable para la atención de las solicitudes de </w:t>
      </w:r>
      <w:r w:rsidRPr="00086FB0">
        <w:rPr>
          <w:rFonts w:ascii="Palatino Linotype" w:eastAsia="Palatino Linotype" w:hAnsi="Palatino Linotype" w:cs="Palatino Linotype"/>
          <w:sz w:val="24"/>
          <w:szCs w:val="24"/>
        </w:rPr>
        <w:lastRenderedPageBreak/>
        <w:t xml:space="preserve">información, a la que se le denominará Unidad de Transparencia; asimismo, deben designar a un responsable para atender dicha Unidad, quien fungirá como enlace entre éstos y los solicitantes. Además, se establece que la Unidad de Transparencia es la encargada de tramitar internamente las solicitudes de información y tiene la responsabilidad de verificar, en cada caso, que la información no tenga el carácter de confidencial o reservada. </w:t>
      </w:r>
    </w:p>
    <w:p w14:paraId="3A3FE0F2" w14:textId="77777777" w:rsidR="009E3316" w:rsidRPr="00086FB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3FA57596" w14:textId="77777777" w:rsidR="009E3316" w:rsidRPr="00086FB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El artículo 53, fracciones II, IV y V de la Ley de Transparencia Local establece que las Unidades de Transparencia tienen, entre otras, las funciones de recibir, tramitar y dar respuesta a las solicitudes de acceso a la información; realizar, con efectividad, los trámites internos necesarios para la atención de las solicitudes de acceso a la información; así como, entregar, en su caso, a los particulares la información solicitada.</w:t>
      </w:r>
    </w:p>
    <w:p w14:paraId="499CD4E2" w14:textId="77777777" w:rsidR="009E3316" w:rsidRPr="00086FB0" w:rsidRDefault="009E3316" w:rsidP="009E3316">
      <w:pPr>
        <w:widowControl w:val="0"/>
        <w:tabs>
          <w:tab w:val="left" w:pos="1276"/>
        </w:tabs>
        <w:spacing w:line="360" w:lineRule="auto"/>
        <w:jc w:val="both"/>
        <w:rPr>
          <w:rFonts w:ascii="Palatino Linotype" w:eastAsia="Palatino Linotype" w:hAnsi="Palatino Linotype" w:cs="Palatino Linotype"/>
          <w:sz w:val="24"/>
          <w:szCs w:val="24"/>
        </w:rPr>
      </w:pPr>
    </w:p>
    <w:p w14:paraId="209FB054" w14:textId="77777777" w:rsidR="009E3316" w:rsidRPr="00086FB0" w:rsidRDefault="009E3316" w:rsidP="009E3316">
      <w:pPr>
        <w:spacing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El artículo 163 de la mencionada Ley, señala que la Unidad de Transparencia debe notificar la respuesta a las solicitudes de acceso a la información, en el menor tiempo posible, que no podrá exceder de quince días hábiles, teniendo como excepción al plazo referido, una prórroga de hasta siete días hábiles adicionales, siempre y cuando existan razones fundadas y motivadas, las cuales deberán ser aprobadas por el Comité de Transparencia, lo cual no aconteció en el presente asunto. De tal manera que la omisión del Titular de la Unidad de Transparencia, como primer responsable de atender la solicitud de información, se traduce en una conducta que ha vulnerado el derecho de acceso a la información consignado a favor del particular.</w:t>
      </w:r>
    </w:p>
    <w:p w14:paraId="293C5245"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0A2CED0C" w14:textId="77777777" w:rsidR="009E3316" w:rsidRPr="00086FB0" w:rsidRDefault="009E3316" w:rsidP="009E3316">
      <w:pPr>
        <w:spacing w:after="0" w:line="360" w:lineRule="auto"/>
        <w:jc w:val="both"/>
        <w:rPr>
          <w:rFonts w:ascii="Palatino Linotype" w:eastAsia="Palatino Linotype" w:hAnsi="Palatino Linotype" w:cs="Palatino Linotype"/>
          <w:i/>
          <w:sz w:val="24"/>
          <w:szCs w:val="24"/>
        </w:rPr>
      </w:pPr>
      <w:r w:rsidRPr="00086FB0">
        <w:rPr>
          <w:rFonts w:ascii="Palatino Linotype" w:eastAsia="Palatino Linotype" w:hAnsi="Palatino Linotype" w:cs="Palatino Linotype"/>
          <w:sz w:val="24"/>
          <w:szCs w:val="24"/>
        </w:rPr>
        <w:lastRenderedPageBreak/>
        <w:t xml:space="preserve">En consecuencia, según lo dispuesto por el artículo 150 de la Ley de Transparencia y Acceso a la Información Pública del Estado de México y Municipios, el </w:t>
      </w:r>
      <w:r w:rsidRPr="00086FB0">
        <w:rPr>
          <w:rFonts w:ascii="Palatino Linotype" w:eastAsia="Palatino Linotype" w:hAnsi="Palatino Linotype" w:cs="Palatino Linotype"/>
          <w:i/>
          <w:sz w:val="24"/>
          <w:szCs w:val="24"/>
        </w:rPr>
        <w:t xml:space="preserve">procedimiento de acceso a la información es la garantía primaria del derecho en cuestión, </w:t>
      </w:r>
      <w:r w:rsidRPr="00086FB0">
        <w:rPr>
          <w:rFonts w:ascii="Palatino Linotype" w:eastAsia="Palatino Linotype" w:hAnsi="Palatino Linotype" w:cs="Palatino Linotype"/>
          <w:sz w:val="24"/>
          <w:szCs w:val="24"/>
        </w:rPr>
        <w:t xml:space="preserve">por lo tanto, la falta de respuesta a una solicitud de acceso a la información constituye un incumplimiento del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a su deber de garantizar el derecho, lo que constituye una vulneración al mismo.</w:t>
      </w:r>
    </w:p>
    <w:p w14:paraId="788E9FE0"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12984F43"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Por lo que, en cumplimiento a esta resolución, el </w:t>
      </w:r>
      <w:r w:rsidRPr="00086FB0">
        <w:rPr>
          <w:rFonts w:ascii="Palatino Linotype" w:eastAsia="Palatino Linotype" w:hAnsi="Palatino Linotype" w:cs="Palatino Linotype"/>
          <w:b/>
          <w:sz w:val="24"/>
          <w:szCs w:val="24"/>
        </w:rPr>
        <w:t xml:space="preserve">Sujeto Obligado </w:t>
      </w:r>
      <w:r w:rsidRPr="00086FB0">
        <w:rPr>
          <w:rFonts w:ascii="Palatino Linotype" w:eastAsia="Palatino Linotype" w:hAnsi="Palatino Linotype" w:cs="Palatino Linotype"/>
          <w:sz w:val="24"/>
          <w:szCs w:val="24"/>
        </w:rPr>
        <w:t>deberá dar atención a la solicitud de información, puesto que el silencio administrativo que hizo patente al omitir dar respuesta trae como consecuencia que se le ordene dar atención a la solicitud entregando la información solicitada, lo cual deberá llevar a cabo en ejercicio de sus atribuciones y con arreglo a lo dispuesto por la ley de la materia.</w:t>
      </w:r>
    </w:p>
    <w:p w14:paraId="78256C9E"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4EC4DAD7"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710C443E" w14:textId="77777777" w:rsidR="009E3316" w:rsidRPr="00086FB0" w:rsidRDefault="009E3316" w:rsidP="009E3316">
      <w:pPr>
        <w:numPr>
          <w:ilvl w:val="0"/>
          <w:numId w:val="2"/>
        </w:numPr>
        <w:spacing w:after="0" w:line="360" w:lineRule="auto"/>
        <w:jc w:val="both"/>
        <w:rPr>
          <w:b/>
          <w:sz w:val="28"/>
          <w:szCs w:val="28"/>
        </w:rPr>
      </w:pPr>
      <w:r w:rsidRPr="00086FB0">
        <w:rPr>
          <w:rFonts w:ascii="Palatino Linotype" w:eastAsia="Palatino Linotype" w:hAnsi="Palatino Linotype" w:cs="Palatino Linotype"/>
          <w:b/>
          <w:sz w:val="28"/>
          <w:szCs w:val="28"/>
        </w:rPr>
        <w:t>De la clasificación de la información</w:t>
      </w:r>
    </w:p>
    <w:p w14:paraId="7EA2EC11"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De conformidad con el artículo 91 de la Ley de Transparencia y Acceso a la Información Pública el  acceso a la información pública será restringido excepcionalmente, cuando ésta sea clasificada como reservada o confidencial; la información reservada es aquella que se clasifica de manera temporal cuya divulgación pueda causar algún daño; la información confidencial es la relacionada con los secretos bancario, fiduciario, industrial, comercial, fiscal, bursátil y postal, cuya titularidad corresponde a particulares, sujetos de derecho internacional o a Sujetos Obligados cuando no involucren el ejercicio de recursos públicos, así como la </w:t>
      </w:r>
      <w:r w:rsidRPr="00086FB0">
        <w:rPr>
          <w:rFonts w:ascii="Palatino Linotype" w:eastAsia="Palatino Linotype" w:hAnsi="Palatino Linotype" w:cs="Palatino Linotype"/>
          <w:sz w:val="24"/>
          <w:szCs w:val="24"/>
        </w:rPr>
        <w:lastRenderedPageBreak/>
        <w:t xml:space="preserve">información privada contenida en documentos públicos o privados que refiera a la vida privada y/o los datos personales, que no son de acceso público. </w:t>
      </w:r>
    </w:p>
    <w:p w14:paraId="4B473798" w14:textId="77777777" w:rsidR="009E3316" w:rsidRPr="00086FB0" w:rsidRDefault="009E3316" w:rsidP="009E3316">
      <w:pPr>
        <w:spacing w:line="360" w:lineRule="auto"/>
        <w:jc w:val="both"/>
        <w:rPr>
          <w:rFonts w:ascii="Palatino Linotype" w:eastAsia="Palatino Linotype" w:hAnsi="Palatino Linotype" w:cs="Palatino Linotype"/>
          <w:sz w:val="24"/>
          <w:szCs w:val="24"/>
        </w:rPr>
      </w:pPr>
    </w:p>
    <w:p w14:paraId="062C9FF5"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La Ley de Transparencia y Acceso a la Información Pública del Estado de México y Municipios, en sus artículos 140 y 143 prevé los siguientes supuestos para clasificar la información como reservada o confidencial.</w:t>
      </w:r>
    </w:p>
    <w:p w14:paraId="79013665"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3E90A9F7" w14:textId="77777777" w:rsidR="009E3316" w:rsidRPr="00086FB0" w:rsidRDefault="009E3316" w:rsidP="009E3316">
      <w:pPr>
        <w:spacing w:line="360" w:lineRule="auto"/>
        <w:jc w:val="both"/>
        <w:rPr>
          <w:rFonts w:ascii="Palatino Linotype" w:eastAsia="Palatino Linotype" w:hAnsi="Palatino Linotype" w:cs="Palatino Linotype"/>
          <w:sz w:val="24"/>
          <w:szCs w:val="24"/>
        </w:rPr>
      </w:pPr>
      <w:bookmarkStart w:id="1" w:name="_gjdgxs" w:colFirst="0" w:colLast="0"/>
      <w:bookmarkEnd w:id="1"/>
      <w:r w:rsidRPr="00086FB0">
        <w:rPr>
          <w:rFonts w:ascii="Palatino Linotype" w:eastAsia="Palatino Linotype" w:hAnsi="Palatino Linotype" w:cs="Palatino Linotype"/>
          <w:sz w:val="24"/>
          <w:szCs w:val="24"/>
        </w:rPr>
        <w:t xml:space="preserve">Por lo que para dar atención a la solicitud de información, si el Sujeto Obligado advierte que la información solicitada contiene datos personales que sean susceptibles de ser clasificados como confidenciales, o bien si, por su propia y especial naturaleza, encuadra en alguno de los supuestos de reserva o de confidencialidad en su totalidad, deberá emitir, un Acuerdo de Clasificación debidamente fundado y motivado que sustente la clasificación parcial, a través de la versión pública que emita, o bien, la restricción total del derecho de acceso a la información.  </w:t>
      </w:r>
    </w:p>
    <w:p w14:paraId="4ED54A83"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7985F00"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w:t>
      </w:r>
    </w:p>
    <w:p w14:paraId="5B8173EA"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1048CDF3"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Para la clasificación de la información es necesario considerar lo establecido por los Lineamientos Generales en materia de Clasificación y Desclasificación de la información, emitidos por el Sistema Nacional de Transparencia, Acceso a la Información Pública y Protección de Datos Personales, ya que establecen los criterios </w:t>
      </w:r>
      <w:r w:rsidRPr="00086FB0">
        <w:rPr>
          <w:rFonts w:ascii="Palatino Linotype" w:eastAsia="Palatino Linotype" w:hAnsi="Palatino Linotype" w:cs="Palatino Linotype"/>
          <w:sz w:val="24"/>
          <w:szCs w:val="24"/>
        </w:rPr>
        <w:lastRenderedPageBreak/>
        <w:t>para la clasificación y desclasificación de la información, garantizan la confidencialidad, el uso adecuado de la información, entre otros.</w:t>
      </w:r>
    </w:p>
    <w:p w14:paraId="54119301"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1418240"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El derecho de acceso a la información pública puede ser restringido cuando se trate de información clasificada como reservada, por lo que para motivar la clasificación se deberán de señalar las razones, motivos o circunstancias especiales que llevaron al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a concluir que, el caso particular se ajusta al supuesto previsto por la norma legal invocada como fundamento; siendo que, además, en todo momento, se debe aplicar una prueba de daño, entendida esta como la responsabilidad de los Sujetos Obligados de demostrar, de manera fundada y motivada, que la divulgación de la información lesiona el interés debidamente protegido por la Ley y que el menoscabo o daño que puede producirse con la publicidad de la información, es mayor que el interés de conocerla; debiendo clasificarse como reservada.</w:t>
      </w:r>
    </w:p>
    <w:p w14:paraId="092EB8E1" w14:textId="77777777" w:rsidR="009E3316" w:rsidRPr="00086FB0" w:rsidRDefault="009E3316" w:rsidP="009E3316">
      <w:pPr>
        <w:spacing w:line="360" w:lineRule="auto"/>
        <w:ind w:right="51"/>
        <w:jc w:val="both"/>
        <w:rPr>
          <w:rFonts w:ascii="Palatino Linotype" w:eastAsia="Palatino Linotype" w:hAnsi="Palatino Linotype" w:cs="Palatino Linotype"/>
          <w:sz w:val="24"/>
          <w:szCs w:val="24"/>
        </w:rPr>
      </w:pPr>
    </w:p>
    <w:p w14:paraId="60774B3B" w14:textId="77777777" w:rsidR="009E3316" w:rsidRPr="00086FB0" w:rsidRDefault="009E3316" w:rsidP="009E3316">
      <w:pPr>
        <w:spacing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Para la clasificación de la información como reservada se deben establecer, de manera fundada y motivada, las hipótesis normativas aplicables al caso concreto y se analice la prueba de daño, misma que se encuentra prevista en el artículo 129 de la Ley de Transparencia y Acceso a la Información pública del Estado de México y Municipios.</w:t>
      </w:r>
    </w:p>
    <w:p w14:paraId="5B8DF8D0" w14:textId="77777777" w:rsidR="009E3316" w:rsidRPr="00086FB0" w:rsidRDefault="009E3316" w:rsidP="009E3316">
      <w:pPr>
        <w:spacing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De tal manera, las limitaciones al acceso a la información deben sustentarse en una adecuada clasificación que debe distinguir y tomar en cuenta qué información puede generar un daño desproporcionado o innecesario a valores jurídicamente protegidos. </w:t>
      </w:r>
    </w:p>
    <w:p w14:paraId="708F305B"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 xml:space="preserve">Por lo tanto, la entrega de documentos, en su versión pública, debe acompañarse necesariamente del Acuerdo del Comité de Transparencia que la sustente, en el que </w:t>
      </w:r>
      <w:r w:rsidRPr="00086FB0">
        <w:rPr>
          <w:rFonts w:ascii="Palatino Linotype" w:eastAsia="Palatino Linotype" w:hAnsi="Palatino Linotype" w:cs="Palatino Linotype"/>
          <w:sz w:val="24"/>
          <w:szCs w:val="24"/>
        </w:rPr>
        <w:lastRenderedPageBreak/>
        <w:t>se expongan los fundamentos y razonamientos que llevaron al Sujeto Obligado a testar, suprimir o eliminar datos de dicho soporte documental, ya que no hacerlo implica que lo entregado no es legal ni formalmente una versión pública, sino más bien una documentación ilegible, incompleta o tachada que deja al solicitante en estado de incertidumbre, al no conocer o comprender porque no aparecen en la documentación respectiva.</w:t>
      </w:r>
    </w:p>
    <w:p w14:paraId="403F095F"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D575428"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Por lo tanto, es necesario que el Comité de Transparencia emita un Acuerdo de Clasificación que cumpla con las formalidades previstas en los artículos 137, 143 y 149 de la Ley de Transparencia y Acceso a la Información Pública del Estado de México y Municipios</w:t>
      </w:r>
      <w:r w:rsidRPr="00086FB0">
        <w:rPr>
          <w:rFonts w:ascii="Palatino Linotype" w:eastAsia="Palatino Linotype" w:hAnsi="Palatino Linotype" w:cs="Palatino Linotype"/>
          <w:i/>
          <w:sz w:val="24"/>
          <w:szCs w:val="24"/>
        </w:rPr>
        <w:t>.</w:t>
      </w:r>
    </w:p>
    <w:p w14:paraId="2A4469C9"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1D9B0309" w14:textId="77777777" w:rsidR="009E3316" w:rsidRPr="00086FB0" w:rsidRDefault="009E3316" w:rsidP="009E3316">
      <w:pPr>
        <w:numPr>
          <w:ilvl w:val="0"/>
          <w:numId w:val="3"/>
        </w:numPr>
        <w:tabs>
          <w:tab w:val="left" w:pos="7938"/>
        </w:tabs>
        <w:spacing w:after="0" w:line="360" w:lineRule="auto"/>
        <w:ind w:left="426"/>
        <w:jc w:val="both"/>
        <w:rPr>
          <w:b/>
          <w:sz w:val="28"/>
          <w:szCs w:val="28"/>
        </w:rPr>
      </w:pPr>
      <w:r w:rsidRPr="00086FB0">
        <w:rPr>
          <w:rFonts w:ascii="Palatino Linotype" w:eastAsia="Palatino Linotype" w:hAnsi="Palatino Linotype" w:cs="Palatino Linotype"/>
          <w:b/>
          <w:sz w:val="28"/>
          <w:szCs w:val="28"/>
        </w:rPr>
        <w:t xml:space="preserve">De la vista a los órganos de control interno competentes </w:t>
      </w:r>
    </w:p>
    <w:p w14:paraId="5ED040E4" w14:textId="77777777" w:rsidR="009E3316" w:rsidRPr="00086FB0" w:rsidRDefault="009E3316" w:rsidP="009E3316">
      <w:pPr>
        <w:spacing w:line="360" w:lineRule="auto"/>
        <w:ind w:right="49"/>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Como ya se mencionó el</w:t>
      </w:r>
      <w:r w:rsidRPr="00086FB0">
        <w:rPr>
          <w:rFonts w:ascii="Palatino Linotype" w:eastAsia="Palatino Linotype" w:hAnsi="Palatino Linotype" w:cs="Palatino Linotype"/>
          <w:b/>
          <w:sz w:val="24"/>
          <w:szCs w:val="24"/>
        </w:rPr>
        <w:t xml:space="preserve"> Sujeto Obligado</w:t>
      </w:r>
      <w:r w:rsidRPr="00086FB0">
        <w:rPr>
          <w:rFonts w:ascii="Palatino Linotype" w:eastAsia="Palatino Linotype" w:hAnsi="Palatino Linotype" w:cs="Palatino Linotype"/>
          <w:sz w:val="24"/>
          <w:szCs w:val="24"/>
        </w:rPr>
        <w:t>, no proporcionó respuesta a la solicitud de acceso a la información pública, en el término previsto en el artículo 163 de la Ley de Transparencia y Acceso a la Información Pública por lo que ordena dar vista</w:t>
      </w:r>
      <w:r w:rsidRPr="00086FB0">
        <w:rPr>
          <w:rFonts w:ascii="Palatino Linotype" w:eastAsia="Palatino Linotype" w:hAnsi="Palatino Linotype" w:cs="Palatino Linotype"/>
          <w:b/>
          <w:sz w:val="24"/>
          <w:szCs w:val="24"/>
        </w:rPr>
        <w:t xml:space="preserve"> </w:t>
      </w:r>
      <w:r w:rsidRPr="00086FB0">
        <w:rPr>
          <w:rFonts w:ascii="Palatino Linotype" w:eastAsia="Palatino Linotype" w:hAnsi="Palatino Linotype" w:cs="Palatino Linotype"/>
          <w:sz w:val="24"/>
          <w:szCs w:val="24"/>
        </w:rPr>
        <w:t>a la Secretaría Técnica del Pleno de este Instituto para hacer del conocimiento del Órgano Interno de Control competente la presente resolución, a fin de que de conformidad con los artículos 190 y 222  de la Ley de Transparencia y Acceso a la Información Pública del Estado de México y Municipios y 19 fracción XXVII del Reglamento Interior del Instituto de Transparencia, Acceso a la Información y Protección de Datos Personales del Estado de México y Municipios, se determine lo conducente.</w:t>
      </w:r>
    </w:p>
    <w:p w14:paraId="765655BF" w14:textId="77777777" w:rsidR="009E3316" w:rsidRPr="00086FB0" w:rsidRDefault="009E3316" w:rsidP="009E3316">
      <w:pPr>
        <w:spacing w:line="360" w:lineRule="auto"/>
        <w:ind w:right="49"/>
        <w:jc w:val="both"/>
        <w:rPr>
          <w:rFonts w:ascii="Palatino Linotype" w:eastAsia="Palatino Linotype" w:hAnsi="Palatino Linotype" w:cs="Palatino Linotype"/>
          <w:sz w:val="24"/>
          <w:szCs w:val="24"/>
        </w:rPr>
      </w:pPr>
    </w:p>
    <w:p w14:paraId="6924884E" w14:textId="49821361"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lastRenderedPageBreak/>
        <w:t xml:space="preserve">Por lo tanto, de lo expuesto y con fundamento en la fracción IV del artículo 186, de la Ley de Transparencia y Acceso a la Información Pública del Estado de México y Municipios, se </w:t>
      </w:r>
      <w:r w:rsidRPr="00086FB0">
        <w:rPr>
          <w:rFonts w:ascii="Palatino Linotype" w:eastAsia="Palatino Linotype" w:hAnsi="Palatino Linotype" w:cs="Palatino Linotype"/>
          <w:b/>
          <w:sz w:val="24"/>
          <w:szCs w:val="24"/>
        </w:rPr>
        <w:t>ORDENA</w:t>
      </w:r>
      <w:r w:rsidRPr="00086FB0">
        <w:rPr>
          <w:rFonts w:ascii="Palatino Linotype" w:eastAsia="Palatino Linotype" w:hAnsi="Palatino Linotype" w:cs="Palatino Linotype"/>
          <w:sz w:val="24"/>
          <w:szCs w:val="24"/>
        </w:rPr>
        <w:t xml:space="preserve"> al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atienda la solicitud de información </w:t>
      </w:r>
      <w:r w:rsidR="00293CEC" w:rsidRPr="00086FB0">
        <w:rPr>
          <w:rFonts w:ascii="Palatino Linotype" w:eastAsia="Palatino Linotype" w:hAnsi="Palatino Linotype" w:cs="Palatino Linotype"/>
          <w:b/>
          <w:bCs/>
          <w:sz w:val="24"/>
          <w:szCs w:val="24"/>
        </w:rPr>
        <w:t>00326/TEPOTZOT/IP/2026</w:t>
      </w:r>
      <w:r w:rsidRPr="00086FB0">
        <w:rPr>
          <w:rFonts w:ascii="Palatino Linotype" w:eastAsia="Palatino Linotype" w:hAnsi="Palatino Linotype" w:cs="Palatino Linotype"/>
          <w:b/>
          <w:sz w:val="24"/>
          <w:szCs w:val="24"/>
        </w:rPr>
        <w:t>,</w:t>
      </w:r>
      <w:r w:rsidRPr="00086FB0">
        <w:rPr>
          <w:rFonts w:ascii="Palatino Linotype" w:eastAsia="Palatino Linotype" w:hAnsi="Palatino Linotype" w:cs="Palatino Linotype"/>
          <w:sz w:val="24"/>
          <w:szCs w:val="24"/>
        </w:rPr>
        <w:t xml:space="preserve"> que han sido materia del presente fallo</w:t>
      </w:r>
    </w:p>
    <w:p w14:paraId="398E055B"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t>Por lo antes expuesto y fundado es de resolverse y,</w:t>
      </w:r>
    </w:p>
    <w:p w14:paraId="187058EA"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290FCF38" w14:textId="77777777" w:rsidR="009E3316" w:rsidRPr="00086FB0" w:rsidRDefault="009E3316" w:rsidP="009E3316">
      <w:pPr>
        <w:spacing w:after="0" w:line="360" w:lineRule="auto"/>
        <w:ind w:left="426"/>
        <w:jc w:val="center"/>
        <w:rPr>
          <w:rFonts w:ascii="Palatino Linotype" w:eastAsia="Palatino Linotype" w:hAnsi="Palatino Linotype" w:cs="Palatino Linotype"/>
          <w:b/>
          <w:color w:val="000000"/>
          <w:sz w:val="28"/>
          <w:szCs w:val="28"/>
        </w:rPr>
      </w:pPr>
      <w:r w:rsidRPr="00086FB0">
        <w:rPr>
          <w:rFonts w:ascii="Palatino Linotype" w:eastAsia="Palatino Linotype" w:hAnsi="Palatino Linotype" w:cs="Palatino Linotype"/>
          <w:b/>
          <w:color w:val="000000"/>
          <w:sz w:val="28"/>
          <w:szCs w:val="28"/>
        </w:rPr>
        <w:t>SE    RESUELVE</w:t>
      </w:r>
    </w:p>
    <w:p w14:paraId="5E8D5263" w14:textId="77777777" w:rsidR="009E3316" w:rsidRPr="00086FB0" w:rsidRDefault="009E3316" w:rsidP="009E3316">
      <w:pPr>
        <w:spacing w:after="0" w:line="360" w:lineRule="auto"/>
        <w:ind w:left="426"/>
        <w:jc w:val="center"/>
        <w:rPr>
          <w:rFonts w:ascii="Palatino Linotype" w:eastAsia="Palatino Linotype" w:hAnsi="Palatino Linotype" w:cs="Palatino Linotype"/>
          <w:b/>
          <w:color w:val="000000"/>
          <w:sz w:val="28"/>
          <w:szCs w:val="28"/>
        </w:rPr>
      </w:pPr>
    </w:p>
    <w:p w14:paraId="6E9E7EE5"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b/>
          <w:sz w:val="28"/>
          <w:szCs w:val="28"/>
        </w:rPr>
        <w:t>PRIMERO.</w:t>
      </w:r>
      <w:r w:rsidRPr="00086FB0">
        <w:rPr>
          <w:rFonts w:ascii="Palatino Linotype" w:eastAsia="Palatino Linotype" w:hAnsi="Palatino Linotype" w:cs="Palatino Linotype"/>
          <w:sz w:val="24"/>
          <w:szCs w:val="24"/>
        </w:rPr>
        <w:t xml:space="preserve"> Resultan fundadas las razones o motivos de inconformidad hechos valer por la parte </w:t>
      </w:r>
      <w:r w:rsidRPr="00086FB0">
        <w:rPr>
          <w:rFonts w:ascii="Palatino Linotype" w:eastAsia="Palatino Linotype" w:hAnsi="Palatino Linotype" w:cs="Palatino Linotype"/>
          <w:b/>
          <w:sz w:val="24"/>
          <w:szCs w:val="24"/>
        </w:rPr>
        <w:t>Recurrente,</w:t>
      </w:r>
      <w:r w:rsidRPr="00086FB0">
        <w:rPr>
          <w:rFonts w:ascii="Palatino Linotype" w:eastAsia="Palatino Linotype" w:hAnsi="Palatino Linotype" w:cs="Palatino Linotype"/>
          <w:sz w:val="24"/>
          <w:szCs w:val="24"/>
        </w:rPr>
        <w:t xml:space="preserve"> en términos del considerando </w:t>
      </w:r>
      <w:r w:rsidRPr="00086FB0">
        <w:rPr>
          <w:rFonts w:ascii="Palatino Linotype" w:eastAsia="Palatino Linotype" w:hAnsi="Palatino Linotype" w:cs="Palatino Linotype"/>
          <w:b/>
          <w:sz w:val="24"/>
          <w:szCs w:val="24"/>
        </w:rPr>
        <w:t>TERCERO</w:t>
      </w:r>
      <w:r w:rsidRPr="00086FB0">
        <w:rPr>
          <w:rFonts w:ascii="Palatino Linotype" w:eastAsia="Palatino Linotype" w:hAnsi="Palatino Linotype" w:cs="Palatino Linotype"/>
          <w:sz w:val="24"/>
          <w:szCs w:val="24"/>
        </w:rPr>
        <w:t>, de la presente resolución.</w:t>
      </w:r>
    </w:p>
    <w:p w14:paraId="51771CB7"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61956654" w14:textId="2AA0CCB4"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b/>
          <w:sz w:val="28"/>
          <w:szCs w:val="28"/>
        </w:rPr>
        <w:t>SEGUNDO.</w:t>
      </w:r>
      <w:r w:rsidRPr="00086FB0">
        <w:rPr>
          <w:rFonts w:ascii="Palatino Linotype" w:eastAsia="Palatino Linotype" w:hAnsi="Palatino Linotype" w:cs="Palatino Linotype"/>
          <w:sz w:val="24"/>
          <w:szCs w:val="24"/>
        </w:rPr>
        <w:t xml:space="preserve"> Se </w:t>
      </w:r>
      <w:r w:rsidRPr="00086FB0">
        <w:rPr>
          <w:rFonts w:ascii="Palatino Linotype" w:eastAsia="Palatino Linotype" w:hAnsi="Palatino Linotype" w:cs="Palatino Linotype"/>
          <w:b/>
          <w:sz w:val="24"/>
          <w:szCs w:val="24"/>
        </w:rPr>
        <w:t>ORDENA</w:t>
      </w:r>
      <w:r w:rsidRPr="00086FB0">
        <w:rPr>
          <w:rFonts w:ascii="Palatino Linotype" w:eastAsia="Palatino Linotype" w:hAnsi="Palatino Linotype" w:cs="Palatino Linotype"/>
          <w:sz w:val="24"/>
          <w:szCs w:val="24"/>
        </w:rPr>
        <w:t xml:space="preserve"> al </w:t>
      </w:r>
      <w:r w:rsidRPr="00086FB0">
        <w:rPr>
          <w:rFonts w:ascii="Palatino Linotype" w:eastAsia="Palatino Linotype" w:hAnsi="Palatino Linotype" w:cs="Palatino Linotype"/>
          <w:b/>
          <w:sz w:val="24"/>
          <w:szCs w:val="24"/>
        </w:rPr>
        <w:t>Sujeto Obligado</w:t>
      </w:r>
      <w:r w:rsidRPr="00086FB0">
        <w:rPr>
          <w:rFonts w:ascii="Palatino Linotype" w:eastAsia="Palatino Linotype" w:hAnsi="Palatino Linotype" w:cs="Palatino Linotype"/>
          <w:sz w:val="24"/>
          <w:szCs w:val="24"/>
        </w:rPr>
        <w:t xml:space="preserve"> atienda la solicitud de información </w:t>
      </w:r>
      <w:r w:rsidR="00293CEC" w:rsidRPr="00086FB0">
        <w:rPr>
          <w:rFonts w:ascii="Palatino Linotype" w:eastAsia="Palatino Linotype" w:hAnsi="Palatino Linotype" w:cs="Palatino Linotype"/>
          <w:b/>
          <w:bCs/>
          <w:sz w:val="24"/>
          <w:szCs w:val="24"/>
        </w:rPr>
        <w:t>00326/TEPOTZOT/IP/2026</w:t>
      </w:r>
      <w:r w:rsidRPr="00086FB0">
        <w:rPr>
          <w:rFonts w:ascii="Palatino Linotype" w:eastAsia="Palatino Linotype" w:hAnsi="Palatino Linotype" w:cs="Palatino Linotype"/>
          <w:sz w:val="24"/>
          <w:szCs w:val="24"/>
        </w:rPr>
        <w:t xml:space="preserve">, vía Sistema de Acceso a la Información Mexiquense (SAIMEX), en términos del Considerando </w:t>
      </w:r>
      <w:r w:rsidRPr="00086FB0">
        <w:rPr>
          <w:rFonts w:ascii="Palatino Linotype" w:eastAsia="Palatino Linotype" w:hAnsi="Palatino Linotype" w:cs="Palatino Linotype"/>
          <w:b/>
          <w:sz w:val="24"/>
          <w:szCs w:val="24"/>
        </w:rPr>
        <w:t xml:space="preserve">TERCERO </w:t>
      </w:r>
      <w:r w:rsidRPr="00086FB0">
        <w:rPr>
          <w:rFonts w:ascii="Palatino Linotype" w:eastAsia="Palatino Linotype" w:hAnsi="Palatino Linotype" w:cs="Palatino Linotype"/>
          <w:sz w:val="24"/>
          <w:szCs w:val="24"/>
        </w:rPr>
        <w:t>de esta resolución</w:t>
      </w:r>
      <w:r w:rsidRPr="00086FB0">
        <w:rPr>
          <w:rFonts w:ascii="Palatino Linotype" w:eastAsia="Palatino Linotype" w:hAnsi="Palatino Linotype" w:cs="Palatino Linotype"/>
          <w:b/>
          <w:sz w:val="24"/>
          <w:szCs w:val="24"/>
        </w:rPr>
        <w:t>.</w:t>
      </w:r>
    </w:p>
    <w:p w14:paraId="3B839A27" w14:textId="77777777" w:rsidR="009E3316" w:rsidRPr="00086FB0" w:rsidRDefault="009E3316" w:rsidP="009E3316">
      <w:pPr>
        <w:tabs>
          <w:tab w:val="left" w:pos="8647"/>
        </w:tabs>
        <w:spacing w:after="0" w:line="360" w:lineRule="auto"/>
        <w:ind w:right="51"/>
        <w:jc w:val="both"/>
        <w:rPr>
          <w:rFonts w:ascii="Palatino Linotype" w:eastAsia="Palatino Linotype" w:hAnsi="Palatino Linotype" w:cs="Palatino Linotype"/>
          <w:sz w:val="24"/>
          <w:szCs w:val="24"/>
        </w:rPr>
      </w:pPr>
    </w:p>
    <w:p w14:paraId="42BDAAC0" w14:textId="77777777" w:rsidR="009E3316" w:rsidRPr="00086FB0" w:rsidRDefault="009E3316" w:rsidP="009E3316">
      <w:pPr>
        <w:tabs>
          <w:tab w:val="left" w:pos="8647"/>
        </w:tabs>
        <w:spacing w:after="0" w:line="360" w:lineRule="auto"/>
        <w:ind w:right="51"/>
        <w:jc w:val="both"/>
        <w:rPr>
          <w:rFonts w:ascii="Palatino Linotype" w:hAnsi="Palatino Linotype" w:cs="Arial"/>
          <w:sz w:val="24"/>
          <w:szCs w:val="24"/>
        </w:rPr>
      </w:pPr>
      <w:r w:rsidRPr="00086FB0">
        <w:rPr>
          <w:rFonts w:ascii="Palatino Linotype" w:hAnsi="Palatino Linotype" w:cs="Arial"/>
          <w:b/>
          <w:sz w:val="28"/>
          <w:szCs w:val="24"/>
        </w:rPr>
        <w:t>TERCERO</w:t>
      </w:r>
      <w:r w:rsidRPr="00086FB0">
        <w:rPr>
          <w:rFonts w:ascii="Palatino Linotype" w:hAnsi="Palatino Linotype" w:cs="Arial"/>
          <w:b/>
          <w:sz w:val="24"/>
          <w:szCs w:val="24"/>
        </w:rPr>
        <w:t>.</w:t>
      </w:r>
      <w:r w:rsidRPr="00086FB0">
        <w:rPr>
          <w:rFonts w:ascii="Palatino Linotype" w:hAnsi="Palatino Linotype" w:cs="Arial"/>
          <w:sz w:val="24"/>
          <w:szCs w:val="24"/>
        </w:rPr>
        <w:t xml:space="preserve"> </w:t>
      </w:r>
      <w:r w:rsidRPr="00086FB0">
        <w:rPr>
          <w:rFonts w:ascii="Palatino Linotype" w:hAnsi="Palatino Linotype" w:cs="Arial"/>
          <w:b/>
          <w:sz w:val="24"/>
          <w:szCs w:val="24"/>
        </w:rPr>
        <w:t>Notifíquese</w:t>
      </w:r>
      <w:r w:rsidRPr="00086FB0">
        <w:rPr>
          <w:rFonts w:ascii="Palatino Linotype" w:eastAsia="Times New Roman" w:hAnsi="Palatino Linotype" w:cs="Arial"/>
          <w:sz w:val="24"/>
          <w:szCs w:val="24"/>
          <w:lang w:val="es-ES" w:eastAsia="es-ES"/>
        </w:rPr>
        <w:t xml:space="preserve"> a través del SAIMEX,</w:t>
      </w:r>
      <w:r w:rsidRPr="00086FB0">
        <w:rPr>
          <w:rFonts w:ascii="Palatino Linotype" w:hAnsi="Palatino Linotype" w:cs="Arial"/>
          <w:b/>
          <w:i/>
          <w:sz w:val="24"/>
          <w:szCs w:val="24"/>
        </w:rPr>
        <w:t xml:space="preserve"> </w:t>
      </w:r>
      <w:r w:rsidRPr="00086FB0">
        <w:rPr>
          <w:rFonts w:ascii="Palatino Linotype" w:hAnsi="Palatino Linotype" w:cs="Arial"/>
          <w:sz w:val="24"/>
          <w:szCs w:val="24"/>
        </w:rPr>
        <w:t>al Titular de la Unidad de Transparencia del</w:t>
      </w:r>
      <w:r w:rsidRPr="00086FB0">
        <w:rPr>
          <w:rFonts w:ascii="Palatino Linotype" w:hAnsi="Palatino Linotype" w:cs="Arial"/>
          <w:b/>
          <w:sz w:val="24"/>
          <w:szCs w:val="24"/>
        </w:rPr>
        <w:t xml:space="preserve"> Sujeto Obligado</w:t>
      </w:r>
      <w:r w:rsidRPr="00086FB0">
        <w:rPr>
          <w:rFonts w:ascii="Palatino Linotype" w:hAnsi="Palatino Linotype" w:cs="Arial"/>
          <w:sz w:val="24"/>
          <w:szCs w:val="24"/>
        </w:rPr>
        <w:t xml:space="preserve"> la presente resolución, para que conforme al artículo 186 último párrafo y 189 segundo párrafo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w:t>
      </w:r>
      <w:r w:rsidRPr="00086FB0">
        <w:rPr>
          <w:rFonts w:ascii="Palatino Linotype" w:hAnsi="Palatino Linotype" w:cs="Arial"/>
          <w:b/>
          <w:sz w:val="24"/>
          <w:szCs w:val="32"/>
          <w:lang w:val="es-ES_tradnl"/>
        </w:rPr>
        <w:t>y</w:t>
      </w:r>
      <w:r w:rsidRPr="00086FB0">
        <w:rPr>
          <w:rFonts w:ascii="Palatino Linotype" w:hAnsi="Palatino Linotype" w:cs="Arial"/>
          <w:sz w:val="24"/>
          <w:szCs w:val="32"/>
          <w:lang w:val="es-ES_tradnl"/>
        </w:rPr>
        <w:t xml:space="preserve"> </w:t>
      </w:r>
      <w:r w:rsidRPr="00086FB0">
        <w:rPr>
          <w:rFonts w:ascii="Palatino Linotype" w:eastAsia="Palatino Linotype" w:hAnsi="Palatino Linotype" w:cs="Palatino Linotype"/>
          <w:b/>
          <w:color w:val="000000"/>
          <w:sz w:val="24"/>
          <w:lang w:val="es-ES_tradnl"/>
        </w:rPr>
        <w:t xml:space="preserve">se le apercibe que en caso de negarse a cumplir la presente resolución o hacerlo de </w:t>
      </w:r>
      <w:r w:rsidRPr="00086FB0">
        <w:rPr>
          <w:rFonts w:ascii="Palatino Linotype" w:eastAsia="Palatino Linotype" w:hAnsi="Palatino Linotype" w:cs="Palatino Linotype"/>
          <w:b/>
          <w:color w:val="000000"/>
          <w:sz w:val="24"/>
          <w:lang w:val="es-ES_tradnl"/>
        </w:rPr>
        <w:lastRenderedPageBreak/>
        <w:t>manera parcial, se le impondrá una medida de apremio de conformidad con lo previsto en los artículos 198, 200, fracción III; 214, 215 y 216 de la Ley  de Transparencia y Acceso a la Información Pública del Estado de México y Municipios.</w:t>
      </w:r>
    </w:p>
    <w:p w14:paraId="014C66C3" w14:textId="77777777" w:rsidR="009E3316" w:rsidRPr="00086FB0" w:rsidRDefault="009E3316" w:rsidP="009E3316">
      <w:pPr>
        <w:tabs>
          <w:tab w:val="left" w:pos="8647"/>
        </w:tabs>
        <w:spacing w:after="0" w:line="360" w:lineRule="auto"/>
        <w:ind w:right="51"/>
        <w:jc w:val="both"/>
        <w:rPr>
          <w:rFonts w:ascii="Palatino Linotype" w:hAnsi="Palatino Linotype" w:cs="Arial"/>
          <w:sz w:val="24"/>
          <w:szCs w:val="24"/>
        </w:rPr>
      </w:pPr>
    </w:p>
    <w:p w14:paraId="6B0F069A" w14:textId="77777777" w:rsidR="009E3316" w:rsidRPr="00086FB0" w:rsidRDefault="009E3316" w:rsidP="009E3316">
      <w:pPr>
        <w:spacing w:after="0" w:line="360" w:lineRule="auto"/>
        <w:jc w:val="both"/>
        <w:rPr>
          <w:rFonts w:ascii="Palatino Linotype" w:eastAsia="Times New Roman" w:hAnsi="Palatino Linotype" w:cs="Arial"/>
          <w:sz w:val="24"/>
          <w:szCs w:val="24"/>
          <w:lang w:val="es-ES" w:eastAsia="es-ES"/>
        </w:rPr>
      </w:pPr>
      <w:r w:rsidRPr="00086FB0">
        <w:rPr>
          <w:rFonts w:ascii="Palatino Linotype" w:eastAsia="Times New Roman" w:hAnsi="Palatino Linotype" w:cs="Arial"/>
          <w:b/>
          <w:sz w:val="28"/>
          <w:szCs w:val="24"/>
          <w:lang w:val="es-ES" w:eastAsia="es-ES"/>
        </w:rPr>
        <w:t>CUARTO</w:t>
      </w:r>
      <w:r w:rsidRPr="00086FB0">
        <w:rPr>
          <w:rFonts w:ascii="Palatino Linotype" w:eastAsia="Times New Roman" w:hAnsi="Palatino Linotype" w:cs="Arial"/>
          <w:b/>
          <w:sz w:val="24"/>
          <w:szCs w:val="24"/>
          <w:lang w:val="es-ES" w:eastAsia="es-ES"/>
        </w:rPr>
        <w:t>. Notifíquese</w:t>
      </w:r>
      <w:r w:rsidRPr="00086FB0">
        <w:rPr>
          <w:rFonts w:ascii="Palatino Linotype" w:eastAsia="Times New Roman" w:hAnsi="Palatino Linotype" w:cs="Arial"/>
          <w:sz w:val="24"/>
          <w:szCs w:val="24"/>
          <w:lang w:val="es-ES" w:eastAsia="es-ES"/>
        </w:rPr>
        <w:t xml:space="preserve"> </w:t>
      </w:r>
      <w:r w:rsidRPr="00086FB0">
        <w:rPr>
          <w:rFonts w:ascii="Palatino Linotype" w:eastAsia="Times New Roman" w:hAnsi="Palatino Linotype" w:cs="Arial"/>
          <w:b/>
          <w:sz w:val="24"/>
          <w:szCs w:val="24"/>
          <w:lang w:val="es-ES" w:eastAsia="es-ES"/>
        </w:rPr>
        <w:t>a l</w:t>
      </w:r>
      <w:r w:rsidR="00A52F6C" w:rsidRPr="00086FB0">
        <w:rPr>
          <w:rFonts w:ascii="Palatino Linotype" w:eastAsia="Times New Roman" w:hAnsi="Palatino Linotype" w:cs="Arial"/>
          <w:b/>
          <w:sz w:val="24"/>
          <w:szCs w:val="24"/>
          <w:lang w:val="es-ES" w:eastAsia="es-ES"/>
        </w:rPr>
        <w:t>a</w:t>
      </w:r>
      <w:r w:rsidRPr="00086FB0">
        <w:rPr>
          <w:rFonts w:ascii="Palatino Linotype" w:eastAsia="Times New Roman" w:hAnsi="Palatino Linotype" w:cs="Arial"/>
          <w:b/>
          <w:sz w:val="24"/>
          <w:szCs w:val="24"/>
          <w:lang w:val="es-ES" w:eastAsia="es-ES"/>
        </w:rPr>
        <w:t xml:space="preserve"> Recurrente</w:t>
      </w:r>
      <w:r w:rsidRPr="00086FB0">
        <w:rPr>
          <w:rFonts w:ascii="Palatino Linotype" w:eastAsia="Times New Roman" w:hAnsi="Palatino Linotype" w:cs="Arial"/>
          <w:sz w:val="24"/>
          <w:szCs w:val="24"/>
          <w:lang w:val="es-ES" w:eastAsia="es-ES"/>
        </w:rPr>
        <w:t xml:space="preserve"> a través del SAIMEX, la presente resolución, 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p>
    <w:p w14:paraId="3A7D31E4" w14:textId="77777777" w:rsidR="009E3316" w:rsidRPr="00086FB0" w:rsidRDefault="009E3316" w:rsidP="009E3316">
      <w:pPr>
        <w:spacing w:after="0" w:line="360" w:lineRule="auto"/>
        <w:jc w:val="both"/>
        <w:rPr>
          <w:rFonts w:ascii="Palatino Linotype" w:hAnsi="Palatino Linotype"/>
          <w:sz w:val="24"/>
          <w:szCs w:val="24"/>
          <w:lang w:eastAsia="es-ES_tradnl"/>
        </w:rPr>
      </w:pPr>
    </w:p>
    <w:p w14:paraId="6FEFC514" w14:textId="77777777" w:rsidR="009E3316" w:rsidRPr="00086FB0" w:rsidRDefault="009E3316" w:rsidP="009E3316">
      <w:pPr>
        <w:spacing w:after="0" w:line="360" w:lineRule="auto"/>
        <w:jc w:val="both"/>
        <w:rPr>
          <w:rFonts w:ascii="Palatino Linotype" w:hAnsi="Palatino Linotype" w:cs="Times New Roman"/>
          <w:sz w:val="24"/>
          <w:szCs w:val="24"/>
          <w:lang w:eastAsia="es-ES_tradnl"/>
        </w:rPr>
      </w:pPr>
      <w:r w:rsidRPr="00086FB0">
        <w:rPr>
          <w:rFonts w:ascii="Palatino Linotype" w:hAnsi="Palatino Linotype" w:cs="Times New Roman"/>
          <w:b/>
          <w:sz w:val="28"/>
          <w:szCs w:val="24"/>
          <w:lang w:eastAsia="es-ES_tradnl"/>
        </w:rPr>
        <w:t>QUINTO</w:t>
      </w:r>
      <w:r w:rsidRPr="00086FB0">
        <w:rPr>
          <w:rFonts w:ascii="Palatino Linotype" w:hAnsi="Palatino Linotype" w:cs="Times New Roman"/>
          <w:b/>
          <w:sz w:val="24"/>
          <w:szCs w:val="24"/>
          <w:lang w:eastAsia="es-ES_tradnl"/>
        </w:rPr>
        <w:t>.</w:t>
      </w:r>
      <w:r w:rsidRPr="00086FB0">
        <w:rPr>
          <w:rFonts w:ascii="Palatino Linotype" w:hAnsi="Palatino Linotype" w:cs="Times New Roman"/>
          <w:sz w:val="24"/>
          <w:szCs w:val="24"/>
          <w:lang w:eastAsia="es-ES_tradnl"/>
        </w:rPr>
        <w:t xml:space="preserve"> </w:t>
      </w:r>
      <w:r w:rsidRPr="00086FB0">
        <w:rPr>
          <w:rFonts w:ascii="Palatino Linotype" w:hAnsi="Palatino Linotype" w:cs="Times New Roman"/>
          <w:b/>
          <w:sz w:val="24"/>
          <w:szCs w:val="24"/>
          <w:lang w:eastAsia="es-ES_tradnl"/>
        </w:rPr>
        <w:t>Notifíquese</w:t>
      </w:r>
      <w:r w:rsidRPr="00086FB0">
        <w:rPr>
          <w:rFonts w:ascii="Palatino Linotype" w:hAnsi="Palatino Linotype" w:cs="Times New Roman"/>
          <w:sz w:val="24"/>
          <w:szCs w:val="24"/>
          <w:lang w:eastAsia="es-ES_tradnl"/>
        </w:rPr>
        <w:t xml:space="preserve"> al </w:t>
      </w:r>
      <w:r w:rsidRPr="00086FB0">
        <w:rPr>
          <w:rFonts w:ascii="Palatino Linotype" w:hAnsi="Palatino Linotype" w:cs="Times New Roman"/>
          <w:b/>
          <w:sz w:val="24"/>
          <w:szCs w:val="24"/>
          <w:lang w:eastAsia="es-ES_tradnl"/>
        </w:rPr>
        <w:t>Recurrente</w:t>
      </w:r>
      <w:r w:rsidRPr="00086FB0">
        <w:rPr>
          <w:rFonts w:ascii="Palatino Linotype" w:hAnsi="Palatino Linotype" w:cs="Times New Roman"/>
          <w:sz w:val="24"/>
          <w:szCs w:val="24"/>
          <w:lang w:eastAsia="es-ES_tradnl"/>
        </w:rPr>
        <w:t xml:space="preserve"> que, de conformidad con lo establecido en el artículo 179 párrafo segundo de la Ley de Transparencia y Acceso a la Información Pública del Estado de México y Municipios, tiene derecho a interponer nuevamente Recurso de Revisión ante este Instituto, por la respuesta que proporcione el </w:t>
      </w:r>
      <w:r w:rsidRPr="00086FB0">
        <w:rPr>
          <w:rFonts w:ascii="Palatino Linotype" w:hAnsi="Palatino Linotype" w:cs="Times New Roman"/>
          <w:b/>
          <w:sz w:val="24"/>
          <w:szCs w:val="24"/>
          <w:lang w:eastAsia="es-ES_tradnl"/>
        </w:rPr>
        <w:t>Sujeto Obligado</w:t>
      </w:r>
      <w:r w:rsidRPr="00086FB0">
        <w:rPr>
          <w:rFonts w:ascii="Palatino Linotype" w:hAnsi="Palatino Linotype" w:cs="Times New Roman"/>
          <w:sz w:val="24"/>
          <w:szCs w:val="24"/>
          <w:lang w:eastAsia="es-ES_tradnl"/>
        </w:rPr>
        <w:t>, en cumplimiento a esta Resolución.</w:t>
      </w:r>
    </w:p>
    <w:p w14:paraId="5C687485" w14:textId="77777777" w:rsidR="009E3316" w:rsidRPr="00086FB0" w:rsidRDefault="009E3316" w:rsidP="009E3316">
      <w:pPr>
        <w:spacing w:after="0" w:line="360" w:lineRule="auto"/>
        <w:jc w:val="both"/>
        <w:rPr>
          <w:rFonts w:ascii="Palatino Linotype" w:hAnsi="Palatino Linotype" w:cs="Times New Roman"/>
          <w:sz w:val="24"/>
          <w:szCs w:val="24"/>
          <w:lang w:eastAsia="es-ES_tradnl"/>
        </w:rPr>
      </w:pPr>
    </w:p>
    <w:p w14:paraId="2E4AEDA8" w14:textId="77777777" w:rsidR="009E3316" w:rsidRPr="00086FB0" w:rsidRDefault="009E3316" w:rsidP="009E3316">
      <w:pPr>
        <w:spacing w:after="0" w:line="360" w:lineRule="auto"/>
        <w:jc w:val="both"/>
        <w:rPr>
          <w:rFonts w:ascii="Palatino Linotype" w:hAnsi="Palatino Linotype"/>
          <w:sz w:val="24"/>
          <w:szCs w:val="24"/>
          <w:lang w:eastAsia="es-ES_tradnl"/>
        </w:rPr>
      </w:pPr>
      <w:r w:rsidRPr="00086FB0">
        <w:rPr>
          <w:rFonts w:ascii="Palatino Linotype" w:hAnsi="Palatino Linotype" w:cs="Times New Roman"/>
          <w:b/>
          <w:sz w:val="28"/>
          <w:szCs w:val="24"/>
          <w:lang w:eastAsia="es-ES_tradnl"/>
        </w:rPr>
        <w:t>SEXTO</w:t>
      </w:r>
      <w:r w:rsidRPr="00086FB0">
        <w:rPr>
          <w:rFonts w:ascii="Palatino Linotype" w:hAnsi="Palatino Linotype" w:cs="Times New Roman"/>
          <w:b/>
          <w:sz w:val="24"/>
          <w:szCs w:val="24"/>
          <w:lang w:eastAsia="es-ES_tradnl"/>
        </w:rPr>
        <w:t xml:space="preserve">. - </w:t>
      </w:r>
      <w:r w:rsidRPr="00086FB0">
        <w:rPr>
          <w:rFonts w:ascii="Palatino Linotype" w:hAnsi="Palatino Linotype"/>
          <w:b/>
          <w:sz w:val="24"/>
          <w:szCs w:val="24"/>
          <w:lang w:eastAsia="es-ES_tradnl"/>
        </w:rPr>
        <w:t xml:space="preserve">Gírese </w:t>
      </w:r>
      <w:r w:rsidRPr="00086FB0">
        <w:rPr>
          <w:rFonts w:ascii="Palatino Linotype" w:hAnsi="Palatino Linotype"/>
          <w:sz w:val="24"/>
          <w:szCs w:val="24"/>
          <w:lang w:eastAsia="es-ES_tradnl"/>
        </w:rPr>
        <w:t xml:space="preserve">oficio a la Secretaría Técnica del Pleno de este Instituto para hacer del conocimiento del Órgano de Control Interno competente la presente resolución, a fin de que de conformidad con el artículo 190 de la Ley de Transparencia y Acceso a la Información Pública del Estado de México y Municipios se determine lo conducente, en términos de lo señalado en el Considerando </w:t>
      </w:r>
      <w:r w:rsidRPr="00086FB0">
        <w:rPr>
          <w:rFonts w:ascii="Palatino Linotype" w:hAnsi="Palatino Linotype"/>
          <w:b/>
          <w:bCs/>
          <w:sz w:val="24"/>
          <w:szCs w:val="24"/>
          <w:lang w:eastAsia="es-ES_tradnl"/>
        </w:rPr>
        <w:t>TERCERO</w:t>
      </w:r>
      <w:r w:rsidRPr="00086FB0">
        <w:rPr>
          <w:rFonts w:ascii="Palatino Linotype" w:hAnsi="Palatino Linotype"/>
          <w:sz w:val="24"/>
          <w:szCs w:val="24"/>
          <w:lang w:eastAsia="es-ES_tradnl"/>
        </w:rPr>
        <w:t xml:space="preserve"> de la presente resolución.</w:t>
      </w:r>
    </w:p>
    <w:p w14:paraId="0B8C099F" w14:textId="77777777" w:rsidR="009E3316" w:rsidRPr="00086FB0" w:rsidRDefault="009E3316" w:rsidP="009E3316">
      <w:pPr>
        <w:spacing w:after="0" w:line="360" w:lineRule="auto"/>
        <w:jc w:val="both"/>
        <w:rPr>
          <w:rFonts w:ascii="Palatino Linotype" w:eastAsia="Palatino Linotype" w:hAnsi="Palatino Linotype" w:cs="Palatino Linotype"/>
          <w:sz w:val="24"/>
          <w:szCs w:val="24"/>
        </w:rPr>
      </w:pPr>
    </w:p>
    <w:p w14:paraId="1659C619" w14:textId="274BBCCE" w:rsidR="009E3316" w:rsidRDefault="00086FB0" w:rsidP="009E3316">
      <w:pPr>
        <w:spacing w:after="0" w:line="360" w:lineRule="auto"/>
        <w:jc w:val="both"/>
        <w:rPr>
          <w:rFonts w:ascii="Palatino Linotype" w:eastAsia="Palatino Linotype" w:hAnsi="Palatino Linotype" w:cs="Palatino Linotype"/>
          <w:sz w:val="24"/>
          <w:szCs w:val="24"/>
        </w:rPr>
      </w:pPr>
      <w:r w:rsidRPr="00086FB0">
        <w:rPr>
          <w:rFonts w:ascii="Palatino Linotype" w:eastAsia="Palatino Linotype" w:hAnsi="Palatino Linotype" w:cs="Palatino Linotype"/>
          <w:sz w:val="24"/>
          <w:szCs w:val="24"/>
        </w:rPr>
        <w:lastRenderedPageBreak/>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SESIÓN ORDINARIA CELEBRADA EL DIECINUEVE DE MARZO DE DOS MIL VEINTISÉIS, ANTE EL SECRETARIO TÉCNICO DEL PLENO, ALEXIS TAPIA RAMÍREZ</w:t>
      </w:r>
      <w:r w:rsidR="009E3316" w:rsidRPr="00086FB0">
        <w:rPr>
          <w:rFonts w:ascii="Palatino Linotype" w:eastAsia="Palatino Linotype" w:hAnsi="Palatino Linotype" w:cs="Palatino Linotype"/>
          <w:sz w:val="24"/>
          <w:szCs w:val="24"/>
        </w:rPr>
        <w:t>. -----------------------------------------------------------------------------------------------------------------------------------------------------------------------------------------------------------------------------------------------------------------------------------------------------------------------------------------------------------------------------------------------------------------------------------------------------------------------------------------------------------------------------------------------------------------------------------------------------------------------------</w:t>
      </w:r>
      <w:r w:rsidR="00324AED" w:rsidRPr="00086FB0">
        <w:rPr>
          <w:rFonts w:ascii="Palatino Linotype" w:eastAsia="Palatino Linotype" w:hAnsi="Palatino Linotype" w:cs="Palatino Linotype"/>
          <w:sz w:val="24"/>
          <w:szCs w:val="24"/>
        </w:rPr>
        <w:t>-------------------------------------------------------</w:t>
      </w:r>
      <w:r w:rsidR="009E3316" w:rsidRPr="00086FB0">
        <w:rPr>
          <w:rFonts w:ascii="Palatino Linotype" w:eastAsia="Palatino Linotype" w:hAnsi="Palatino Linotype" w:cs="Palatino Linotype"/>
          <w:sz w:val="24"/>
          <w:szCs w:val="24"/>
        </w:rPr>
        <w:t>---</w:t>
      </w:r>
    </w:p>
    <w:p w14:paraId="0D115C71"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48BE51F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B41499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2D0E657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49D1B8C4"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60F959F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FA4E48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29391EF"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66DE651"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459655EC"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2DFF580F"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7587A385"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5EE58C38"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BC95E62"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1121A25B"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04337587"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70C27580" w14:textId="77777777" w:rsidR="00515744" w:rsidRDefault="00515744" w:rsidP="009E3316">
      <w:pPr>
        <w:spacing w:after="0" w:line="360" w:lineRule="auto"/>
        <w:jc w:val="both"/>
        <w:rPr>
          <w:rFonts w:ascii="Palatino Linotype" w:eastAsia="Palatino Linotype" w:hAnsi="Palatino Linotype" w:cs="Palatino Linotype"/>
          <w:sz w:val="24"/>
          <w:szCs w:val="24"/>
        </w:rPr>
      </w:pPr>
    </w:p>
    <w:p w14:paraId="6E1406B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1153302B" w14:textId="77777777" w:rsidR="009E3316" w:rsidRDefault="009E3316" w:rsidP="009E3316">
      <w:pPr>
        <w:spacing w:after="0" w:line="360" w:lineRule="auto"/>
        <w:jc w:val="both"/>
        <w:rPr>
          <w:rFonts w:ascii="Palatino Linotype" w:eastAsia="Palatino Linotype" w:hAnsi="Palatino Linotype" w:cs="Palatino Linotype"/>
          <w:sz w:val="24"/>
          <w:szCs w:val="24"/>
        </w:rPr>
      </w:pPr>
    </w:p>
    <w:p w14:paraId="40FE418D" w14:textId="77777777" w:rsidR="009E3316" w:rsidRDefault="009E3316" w:rsidP="009E3316">
      <w:pPr>
        <w:spacing w:after="0"/>
      </w:pPr>
    </w:p>
    <w:p w14:paraId="7525A35F" w14:textId="77777777" w:rsidR="009E3316" w:rsidRDefault="009E3316" w:rsidP="009E3316"/>
    <w:p w14:paraId="3FF97BF5" w14:textId="77777777" w:rsidR="009E3316" w:rsidRDefault="009E3316" w:rsidP="009E3316"/>
    <w:p w14:paraId="61153700" w14:textId="77777777" w:rsidR="009E3316" w:rsidRDefault="009E3316" w:rsidP="009E3316"/>
    <w:p w14:paraId="05EBE268" w14:textId="77777777" w:rsidR="009E3316" w:rsidRDefault="009E3316" w:rsidP="009E3316"/>
    <w:p w14:paraId="3697D904" w14:textId="77777777" w:rsidR="009E3316" w:rsidRDefault="009E3316" w:rsidP="009E3316"/>
    <w:p w14:paraId="7A6D321C" w14:textId="77777777" w:rsidR="009E3316" w:rsidRDefault="009E3316" w:rsidP="009E3316"/>
    <w:p w14:paraId="4A285D33" w14:textId="77777777" w:rsidR="009E3316" w:rsidRDefault="009E3316" w:rsidP="009E3316"/>
    <w:p w14:paraId="098C3F47" w14:textId="77777777" w:rsidR="009E3316" w:rsidRDefault="009E3316" w:rsidP="009E3316"/>
    <w:p w14:paraId="646440C9" w14:textId="77777777" w:rsidR="009E3316" w:rsidRDefault="009E3316" w:rsidP="009E3316"/>
    <w:p w14:paraId="75164F7C" w14:textId="77777777" w:rsidR="009E3316" w:rsidRDefault="009E3316" w:rsidP="009E3316"/>
    <w:p w14:paraId="73F43A89" w14:textId="77777777" w:rsidR="009E3316" w:rsidRDefault="009E3316" w:rsidP="009E3316"/>
    <w:p w14:paraId="7B768896" w14:textId="77777777" w:rsidR="009E3316" w:rsidRDefault="009E3316" w:rsidP="009E3316"/>
    <w:p w14:paraId="0D62D536" w14:textId="77777777" w:rsidR="009E3316" w:rsidRDefault="009E3316" w:rsidP="009E3316"/>
    <w:p w14:paraId="239A2FB1" w14:textId="77777777" w:rsidR="009E3316" w:rsidRDefault="009E3316" w:rsidP="009E3316"/>
    <w:p w14:paraId="6D24602E" w14:textId="77777777" w:rsidR="00F424DB" w:rsidRDefault="00F424DB"/>
    <w:sectPr w:rsidR="00F424DB">
      <w:headerReference w:type="default" r:id="rId7"/>
      <w:footerReference w:type="default" r:id="rId8"/>
      <w:headerReference w:type="first" r:id="rId9"/>
      <w:footerReference w:type="first" r:id="rId10"/>
      <w:pgSz w:w="12240" w:h="15840"/>
      <w:pgMar w:top="1417" w:right="1467" w:bottom="1417"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7903C4" w14:textId="77777777" w:rsidR="00222F69" w:rsidRDefault="00222F69" w:rsidP="009E3316">
      <w:pPr>
        <w:spacing w:after="0" w:line="240" w:lineRule="auto"/>
      </w:pPr>
      <w:r>
        <w:separator/>
      </w:r>
    </w:p>
  </w:endnote>
  <w:endnote w:type="continuationSeparator" w:id="0">
    <w:p w14:paraId="7F385D22" w14:textId="77777777" w:rsidR="00222F69" w:rsidRDefault="00222F69" w:rsidP="009E3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B88F6"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06232">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06232">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p>
  <w:p w14:paraId="5DC22307"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B9B35" w14:textId="77777777" w:rsidR="00D53A8A" w:rsidRDefault="009E3316">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 w:val="20"/>
        <w:szCs w:val="20"/>
      </w:rPr>
    </w:pPr>
    <w:r>
      <w:rPr>
        <w:rFonts w:ascii="Palatino Linotype" w:eastAsia="Palatino Linotype" w:hAnsi="Palatino Linotype" w:cs="Palatino Linotype"/>
        <w:color w:val="000000"/>
        <w:sz w:val="20"/>
        <w:szCs w:val="20"/>
      </w:rPr>
      <w:t xml:space="preserve">Página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PAGE</w:instrText>
    </w:r>
    <w:r>
      <w:rPr>
        <w:rFonts w:ascii="Palatino Linotype" w:eastAsia="Palatino Linotype" w:hAnsi="Palatino Linotype" w:cs="Palatino Linotype"/>
        <w:color w:val="000000"/>
        <w:sz w:val="20"/>
        <w:szCs w:val="20"/>
      </w:rPr>
      <w:fldChar w:fldCharType="separate"/>
    </w:r>
    <w:r w:rsidR="00E06232">
      <w:rPr>
        <w:rFonts w:ascii="Palatino Linotype" w:eastAsia="Palatino Linotype" w:hAnsi="Palatino Linotype" w:cs="Palatino Linotype"/>
        <w:noProof/>
        <w:color w:val="000000"/>
        <w:sz w:val="20"/>
        <w:szCs w:val="20"/>
      </w:rPr>
      <w:t>1</w:t>
    </w:r>
    <w:r>
      <w:rPr>
        <w:rFonts w:ascii="Palatino Linotype" w:eastAsia="Palatino Linotype" w:hAnsi="Palatino Linotype" w:cs="Palatino Linotype"/>
        <w:color w:val="000000"/>
        <w:sz w:val="20"/>
        <w:szCs w:val="20"/>
      </w:rPr>
      <w:fldChar w:fldCharType="end"/>
    </w:r>
    <w:r>
      <w:rPr>
        <w:rFonts w:ascii="Palatino Linotype" w:eastAsia="Palatino Linotype" w:hAnsi="Palatino Linotype" w:cs="Palatino Linotype"/>
        <w:color w:val="000000"/>
        <w:sz w:val="20"/>
        <w:szCs w:val="20"/>
      </w:rPr>
      <w:t xml:space="preserve"> de </w:t>
    </w:r>
    <w:r>
      <w:rPr>
        <w:rFonts w:ascii="Palatino Linotype" w:eastAsia="Palatino Linotype" w:hAnsi="Palatino Linotype" w:cs="Palatino Linotype"/>
        <w:color w:val="000000"/>
        <w:sz w:val="20"/>
        <w:szCs w:val="20"/>
      </w:rPr>
      <w:fldChar w:fldCharType="begin"/>
    </w:r>
    <w:r>
      <w:rPr>
        <w:rFonts w:ascii="Palatino Linotype" w:eastAsia="Palatino Linotype" w:hAnsi="Palatino Linotype" w:cs="Palatino Linotype"/>
        <w:color w:val="000000"/>
        <w:sz w:val="20"/>
        <w:szCs w:val="20"/>
      </w:rPr>
      <w:instrText>NUMPAGES</w:instrText>
    </w:r>
    <w:r>
      <w:rPr>
        <w:rFonts w:ascii="Palatino Linotype" w:eastAsia="Palatino Linotype" w:hAnsi="Palatino Linotype" w:cs="Palatino Linotype"/>
        <w:color w:val="000000"/>
        <w:sz w:val="20"/>
        <w:szCs w:val="20"/>
      </w:rPr>
      <w:fldChar w:fldCharType="separate"/>
    </w:r>
    <w:r w:rsidR="00E06232">
      <w:rPr>
        <w:rFonts w:ascii="Palatino Linotype" w:eastAsia="Palatino Linotype" w:hAnsi="Palatino Linotype" w:cs="Palatino Linotype"/>
        <w:noProof/>
        <w:color w:val="000000"/>
        <w:sz w:val="20"/>
        <w:szCs w:val="20"/>
      </w:rPr>
      <w:t>20</w:t>
    </w:r>
    <w:r>
      <w:rPr>
        <w:rFonts w:ascii="Palatino Linotype" w:eastAsia="Palatino Linotype" w:hAnsi="Palatino Linotype" w:cs="Palatino Linotype"/>
        <w:color w:val="000000"/>
        <w:sz w:val="20"/>
        <w:szCs w:val="20"/>
      </w:rPr>
      <w:fldChar w:fldCharType="end"/>
    </w:r>
  </w:p>
  <w:p w14:paraId="7E6DFF91"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0DA8C5" w14:textId="77777777" w:rsidR="00222F69" w:rsidRDefault="00222F69" w:rsidP="009E3316">
      <w:pPr>
        <w:spacing w:after="0" w:line="240" w:lineRule="auto"/>
      </w:pPr>
      <w:r>
        <w:separator/>
      </w:r>
    </w:p>
  </w:footnote>
  <w:footnote w:type="continuationSeparator" w:id="0">
    <w:p w14:paraId="58374DAF" w14:textId="77777777" w:rsidR="00222F69" w:rsidRDefault="00222F69" w:rsidP="009E33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E27FB8" w14:textId="77777777" w:rsidR="00D53A8A" w:rsidRDefault="00D53A8A">
    <w:pPr>
      <w:widowControl w:val="0"/>
      <w:pBdr>
        <w:top w:val="nil"/>
        <w:left w:val="nil"/>
        <w:bottom w:val="nil"/>
        <w:right w:val="nil"/>
        <w:between w:val="nil"/>
      </w:pBdr>
      <w:spacing w:after="0" w:line="276" w:lineRule="auto"/>
    </w:pPr>
  </w:p>
  <w:tbl>
    <w:tblPr>
      <w:tblW w:w="10065" w:type="dxa"/>
      <w:tblInd w:w="-851" w:type="dxa"/>
      <w:tblLayout w:type="fixed"/>
      <w:tblLook w:val="0400" w:firstRow="0" w:lastRow="0" w:firstColumn="0" w:lastColumn="0" w:noHBand="0" w:noVBand="1"/>
    </w:tblPr>
    <w:tblGrid>
      <w:gridCol w:w="5246"/>
      <w:gridCol w:w="4819"/>
    </w:tblGrid>
    <w:tr w:rsidR="0069244D" w14:paraId="1E27800D" w14:textId="77777777">
      <w:trPr>
        <w:trHeight w:val="227"/>
      </w:trPr>
      <w:tc>
        <w:tcPr>
          <w:tcW w:w="5246" w:type="dxa"/>
        </w:tcPr>
        <w:p w14:paraId="654A7CA6"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b/>
              <w:noProof/>
              <w:color w:val="000000"/>
              <w:sz w:val="24"/>
              <w:szCs w:val="24"/>
            </w:rPr>
            <w:drawing>
              <wp:anchor distT="0" distB="0" distL="0" distR="0" simplePos="0" relativeHeight="251659264" behindDoc="1" locked="0" layoutInCell="1" hidden="0" allowOverlap="1" wp14:anchorId="64F7964A" wp14:editId="094D73AC">
                <wp:simplePos x="0" y="0"/>
                <wp:positionH relativeFrom="page">
                  <wp:posOffset>-715645</wp:posOffset>
                </wp:positionH>
                <wp:positionV relativeFrom="margin">
                  <wp:posOffset>-626745</wp:posOffset>
                </wp:positionV>
                <wp:extent cx="7705725" cy="10048875"/>
                <wp:effectExtent l="0" t="0" r="0" b="0"/>
                <wp:wrapNone/>
                <wp:docPr id="2"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r>
            <w:rPr>
              <w:rFonts w:ascii="Palatino Linotype" w:eastAsia="Palatino Linotype" w:hAnsi="Palatino Linotype" w:cs="Palatino Linotype"/>
            </w:rPr>
            <w:t>Recurso de Revisión N°:</w:t>
          </w:r>
        </w:p>
      </w:tc>
      <w:tc>
        <w:tcPr>
          <w:tcW w:w="4819" w:type="dxa"/>
        </w:tcPr>
        <w:p w14:paraId="759CDF18" w14:textId="6014F0CC" w:rsidR="00D53A8A" w:rsidRDefault="009E3316" w:rsidP="008B1EAE">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B17523">
            <w:rPr>
              <w:rFonts w:ascii="Palatino Linotype" w:eastAsia="Palatino Linotype" w:hAnsi="Palatino Linotype" w:cs="Palatino Linotype"/>
              <w:b/>
              <w:sz w:val="24"/>
              <w:szCs w:val="24"/>
            </w:rPr>
            <w:t>1</w:t>
          </w:r>
          <w:r w:rsidR="008B1EAE">
            <w:rPr>
              <w:rFonts w:ascii="Palatino Linotype" w:eastAsia="Palatino Linotype" w:hAnsi="Palatino Linotype" w:cs="Palatino Linotype"/>
              <w:b/>
              <w:sz w:val="24"/>
              <w:szCs w:val="24"/>
            </w:rPr>
            <w:t>905</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15A985D3" w14:textId="77777777">
      <w:trPr>
        <w:trHeight w:val="242"/>
      </w:trPr>
      <w:tc>
        <w:tcPr>
          <w:tcW w:w="5246" w:type="dxa"/>
        </w:tcPr>
        <w:p w14:paraId="6C682E97"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3D035B6" w14:textId="2667EFCD" w:rsidR="00D53A8A" w:rsidRDefault="008B47B7">
          <w:pPr>
            <w:spacing w:after="120" w:line="256" w:lineRule="auto"/>
            <w:ind w:left="-486" w:right="214" w:firstLine="284"/>
            <w:jc w:val="right"/>
            <w:rPr>
              <w:rFonts w:ascii="Palatino Linotype" w:eastAsia="Palatino Linotype" w:hAnsi="Palatino Linotype" w:cs="Palatino Linotype"/>
              <w:b/>
              <w:sz w:val="24"/>
              <w:szCs w:val="24"/>
            </w:rPr>
          </w:pPr>
          <w:r w:rsidRPr="008B47B7">
            <w:rPr>
              <w:rFonts w:ascii="Palatino Linotype" w:eastAsia="Palatino Linotype" w:hAnsi="Palatino Linotype" w:cs="Palatino Linotype"/>
              <w:b/>
              <w:color w:val="000000"/>
              <w:sz w:val="24"/>
              <w:szCs w:val="24"/>
            </w:rPr>
            <w:t>Ayuntamiento de Tepotzotlán</w:t>
          </w:r>
        </w:p>
      </w:tc>
    </w:tr>
    <w:tr w:rsidR="0069244D" w14:paraId="411B160A" w14:textId="77777777">
      <w:trPr>
        <w:trHeight w:val="342"/>
      </w:trPr>
      <w:tc>
        <w:tcPr>
          <w:tcW w:w="5246" w:type="dxa"/>
        </w:tcPr>
        <w:p w14:paraId="237FA920"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7387F050"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729438A" w14:textId="77777777" w:rsidR="00D53A8A" w:rsidRDefault="00D53A8A">
    <w:pPr>
      <w:pBdr>
        <w:top w:val="nil"/>
        <w:left w:val="nil"/>
        <w:bottom w:val="nil"/>
        <w:right w:val="nil"/>
        <w:between w:val="nil"/>
      </w:pBdr>
      <w:tabs>
        <w:tab w:val="center" w:pos="4419"/>
        <w:tab w:val="right" w:pos="8838"/>
        <w:tab w:val="left" w:pos="6005"/>
      </w:tabs>
      <w:spacing w:after="0" w:line="240" w:lineRule="auto"/>
      <w:rPr>
        <w:rFonts w:ascii="Times New Roman" w:eastAsia="Times New Roman" w:hAnsi="Times New Roman" w:cs="Times New Roman"/>
        <w:color w:val="000000"/>
        <w:sz w:val="14"/>
        <w:szCs w:val="1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DB46EA" w14:textId="77777777" w:rsidR="00D53A8A" w:rsidRDefault="009E3316">
    <w:pPr>
      <w:widowControl w:val="0"/>
      <w:pBdr>
        <w:top w:val="nil"/>
        <w:left w:val="nil"/>
        <w:bottom w:val="nil"/>
        <w:right w:val="nil"/>
        <w:between w:val="nil"/>
      </w:pBdr>
      <w:spacing w:after="0" w:line="276" w:lineRule="auto"/>
      <w:rPr>
        <w:rFonts w:ascii="Times New Roman" w:eastAsia="Times New Roman" w:hAnsi="Times New Roman" w:cs="Times New Roman"/>
        <w:color w:val="000000"/>
        <w:sz w:val="14"/>
        <w:szCs w:val="14"/>
      </w:rPr>
    </w:pPr>
    <w:r>
      <w:rPr>
        <w:noProof/>
      </w:rPr>
      <w:drawing>
        <wp:anchor distT="0" distB="0" distL="0" distR="0" simplePos="0" relativeHeight="251660288" behindDoc="1" locked="0" layoutInCell="1" hidden="0" allowOverlap="1" wp14:anchorId="7B5B3857" wp14:editId="758D5DE9">
          <wp:simplePos x="0" y="0"/>
          <wp:positionH relativeFrom="column">
            <wp:posOffset>-1190625</wp:posOffset>
          </wp:positionH>
          <wp:positionV relativeFrom="paragraph">
            <wp:posOffset>-453390</wp:posOffset>
          </wp:positionV>
          <wp:extent cx="7705725" cy="10048875"/>
          <wp:effectExtent l="0" t="0" r="0" b="0"/>
          <wp:wrapNone/>
          <wp:docPr id="1" name="image1.png" descr="logo infoem"/>
          <wp:cNvGraphicFramePr/>
          <a:graphic xmlns:a="http://schemas.openxmlformats.org/drawingml/2006/main">
            <a:graphicData uri="http://schemas.openxmlformats.org/drawingml/2006/picture">
              <pic:pic xmlns:pic="http://schemas.openxmlformats.org/drawingml/2006/picture">
                <pic:nvPicPr>
                  <pic:cNvPr id="0" name="image1.png" descr="logo infoem"/>
                  <pic:cNvPicPr preferRelativeResize="0"/>
                </pic:nvPicPr>
                <pic:blipFill>
                  <a:blip r:embed="rId1"/>
                  <a:srcRect/>
                  <a:stretch>
                    <a:fillRect/>
                  </a:stretch>
                </pic:blipFill>
                <pic:spPr>
                  <a:xfrm>
                    <a:off x="0" y="0"/>
                    <a:ext cx="7705725" cy="10048875"/>
                  </a:xfrm>
                  <a:prstGeom prst="rect">
                    <a:avLst/>
                  </a:prstGeom>
                  <a:ln/>
                </pic:spPr>
              </pic:pic>
            </a:graphicData>
          </a:graphic>
        </wp:anchor>
      </w:drawing>
    </w:r>
  </w:p>
  <w:tbl>
    <w:tblPr>
      <w:tblW w:w="9923" w:type="dxa"/>
      <w:tblInd w:w="-851" w:type="dxa"/>
      <w:tblLayout w:type="fixed"/>
      <w:tblLook w:val="0400" w:firstRow="0" w:lastRow="0" w:firstColumn="0" w:lastColumn="0" w:noHBand="0" w:noVBand="1"/>
    </w:tblPr>
    <w:tblGrid>
      <w:gridCol w:w="5104"/>
      <w:gridCol w:w="4819"/>
    </w:tblGrid>
    <w:tr w:rsidR="0069244D" w14:paraId="5063194D" w14:textId="77777777">
      <w:trPr>
        <w:trHeight w:val="227"/>
      </w:trPr>
      <w:tc>
        <w:tcPr>
          <w:tcW w:w="5104" w:type="dxa"/>
        </w:tcPr>
        <w:p w14:paraId="303C39FA" w14:textId="77777777" w:rsidR="00D53A8A" w:rsidRDefault="009E3316">
          <w:pPr>
            <w:spacing w:after="120" w:line="256" w:lineRule="auto"/>
            <w:ind w:right="204"/>
            <w:jc w:val="right"/>
            <w:rPr>
              <w:rFonts w:ascii="Palatino Linotype" w:eastAsia="Palatino Linotype" w:hAnsi="Palatino Linotype" w:cs="Palatino Linotype"/>
            </w:rPr>
          </w:pPr>
          <w:bookmarkStart w:id="2" w:name="_30j0zll" w:colFirst="0" w:colLast="0"/>
          <w:bookmarkEnd w:id="2"/>
          <w:r>
            <w:rPr>
              <w:rFonts w:ascii="Palatino Linotype" w:eastAsia="Palatino Linotype" w:hAnsi="Palatino Linotype" w:cs="Palatino Linotype"/>
            </w:rPr>
            <w:t>Recurso de Revisión N°:</w:t>
          </w:r>
        </w:p>
      </w:tc>
      <w:tc>
        <w:tcPr>
          <w:tcW w:w="4819" w:type="dxa"/>
        </w:tcPr>
        <w:p w14:paraId="118903CA" w14:textId="462D4ED3" w:rsidR="00D53A8A" w:rsidRDefault="009E3316" w:rsidP="008B1EAE">
          <w:pPr>
            <w:spacing w:after="120" w:line="256" w:lineRule="auto"/>
            <w:ind w:left="-486" w:right="214" w:firstLine="1585"/>
            <w:jc w:val="right"/>
            <w:rPr>
              <w:rFonts w:ascii="Palatino Linotype" w:eastAsia="Palatino Linotype" w:hAnsi="Palatino Linotype" w:cs="Palatino Linotype"/>
              <w:b/>
            </w:rPr>
          </w:pPr>
          <w:r>
            <w:rPr>
              <w:rFonts w:ascii="Palatino Linotype" w:eastAsia="Palatino Linotype" w:hAnsi="Palatino Linotype" w:cs="Palatino Linotype"/>
              <w:b/>
              <w:sz w:val="24"/>
              <w:szCs w:val="24"/>
            </w:rPr>
            <w:t>0</w:t>
          </w:r>
          <w:r w:rsidR="00AE23C8">
            <w:rPr>
              <w:rFonts w:ascii="Palatino Linotype" w:eastAsia="Palatino Linotype" w:hAnsi="Palatino Linotype" w:cs="Palatino Linotype"/>
              <w:b/>
              <w:sz w:val="24"/>
              <w:szCs w:val="24"/>
            </w:rPr>
            <w:t>1</w:t>
          </w:r>
          <w:r w:rsidR="008B1EAE">
            <w:rPr>
              <w:rFonts w:ascii="Palatino Linotype" w:eastAsia="Palatino Linotype" w:hAnsi="Palatino Linotype" w:cs="Palatino Linotype"/>
              <w:b/>
              <w:sz w:val="24"/>
              <w:szCs w:val="24"/>
            </w:rPr>
            <w:t>905</w:t>
          </w:r>
          <w:r>
            <w:rPr>
              <w:rFonts w:ascii="Palatino Linotype" w:eastAsia="Palatino Linotype" w:hAnsi="Palatino Linotype" w:cs="Palatino Linotype"/>
              <w:b/>
              <w:sz w:val="24"/>
              <w:szCs w:val="24"/>
            </w:rPr>
            <w:t>/INFOEM/IP/RR/202</w:t>
          </w:r>
          <w:r w:rsidR="00337946">
            <w:rPr>
              <w:rFonts w:ascii="Palatino Linotype" w:eastAsia="Palatino Linotype" w:hAnsi="Palatino Linotype" w:cs="Palatino Linotype"/>
              <w:b/>
              <w:sz w:val="24"/>
              <w:szCs w:val="24"/>
            </w:rPr>
            <w:t>6</w:t>
          </w:r>
        </w:p>
      </w:tc>
    </w:tr>
    <w:tr w:rsidR="0069244D" w14:paraId="4E63E472" w14:textId="77777777">
      <w:trPr>
        <w:trHeight w:val="242"/>
      </w:trPr>
      <w:tc>
        <w:tcPr>
          <w:tcW w:w="5104" w:type="dxa"/>
        </w:tcPr>
        <w:p w14:paraId="04CE6C4D" w14:textId="77777777" w:rsidR="00D53A8A" w:rsidRDefault="009E3316">
          <w:pPr>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Sujeto Obligado:</w:t>
          </w:r>
        </w:p>
      </w:tc>
      <w:tc>
        <w:tcPr>
          <w:tcW w:w="4819" w:type="dxa"/>
        </w:tcPr>
        <w:p w14:paraId="7E1D8AD4" w14:textId="486F8227" w:rsidR="00D53A8A" w:rsidRDefault="008B47B7">
          <w:pPr>
            <w:spacing w:after="120" w:line="256" w:lineRule="auto"/>
            <w:ind w:left="-486" w:right="214" w:firstLine="284"/>
            <w:jc w:val="right"/>
            <w:rPr>
              <w:rFonts w:ascii="Palatino Linotype" w:eastAsia="Palatino Linotype" w:hAnsi="Palatino Linotype" w:cs="Palatino Linotype"/>
              <w:b/>
            </w:rPr>
          </w:pPr>
          <w:r w:rsidRPr="008B47B7">
            <w:rPr>
              <w:rFonts w:ascii="Palatino Linotype" w:eastAsia="Palatino Linotype" w:hAnsi="Palatino Linotype" w:cs="Palatino Linotype"/>
              <w:b/>
              <w:color w:val="000000"/>
              <w:sz w:val="24"/>
              <w:szCs w:val="24"/>
            </w:rPr>
            <w:t>Ayuntamiento de Tepotzotlán</w:t>
          </w:r>
        </w:p>
      </w:tc>
    </w:tr>
    <w:tr w:rsidR="0069244D" w14:paraId="0071BBFA" w14:textId="77777777">
      <w:trPr>
        <w:trHeight w:val="342"/>
      </w:trPr>
      <w:tc>
        <w:tcPr>
          <w:tcW w:w="5104" w:type="dxa"/>
        </w:tcPr>
        <w:p w14:paraId="693FC5F3"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Recurrente:</w:t>
          </w:r>
        </w:p>
      </w:tc>
      <w:tc>
        <w:tcPr>
          <w:tcW w:w="4819" w:type="dxa"/>
        </w:tcPr>
        <w:p w14:paraId="4E99E1A1" w14:textId="41C77606" w:rsidR="00D53A8A" w:rsidRDefault="00E06232">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XXXXXXXXXXXXXXXXXXXXXX</w:t>
          </w:r>
        </w:p>
      </w:tc>
    </w:tr>
    <w:tr w:rsidR="0069244D" w14:paraId="0656E851" w14:textId="77777777">
      <w:trPr>
        <w:trHeight w:val="342"/>
      </w:trPr>
      <w:tc>
        <w:tcPr>
          <w:tcW w:w="5104" w:type="dxa"/>
        </w:tcPr>
        <w:p w14:paraId="26451B2C" w14:textId="77777777" w:rsidR="00D53A8A" w:rsidRDefault="009E3316">
          <w:pPr>
            <w:tabs>
              <w:tab w:val="left" w:pos="4892"/>
            </w:tabs>
            <w:spacing w:after="120" w:line="256" w:lineRule="auto"/>
            <w:ind w:right="204"/>
            <w:jc w:val="right"/>
            <w:rPr>
              <w:rFonts w:ascii="Palatino Linotype" w:eastAsia="Palatino Linotype" w:hAnsi="Palatino Linotype" w:cs="Palatino Linotype"/>
            </w:rPr>
          </w:pPr>
          <w:r>
            <w:rPr>
              <w:rFonts w:ascii="Palatino Linotype" w:eastAsia="Palatino Linotype" w:hAnsi="Palatino Linotype" w:cs="Palatino Linotype"/>
            </w:rPr>
            <w:t>Comisionado Ponente:</w:t>
          </w:r>
        </w:p>
      </w:tc>
      <w:tc>
        <w:tcPr>
          <w:tcW w:w="4819" w:type="dxa"/>
        </w:tcPr>
        <w:p w14:paraId="4430270D" w14:textId="77777777" w:rsidR="00D53A8A" w:rsidRDefault="009E3316">
          <w:pPr>
            <w:spacing w:after="120" w:line="256" w:lineRule="auto"/>
            <w:ind w:left="-486" w:right="214" w:firstLine="567"/>
            <w:jc w:val="right"/>
            <w:rPr>
              <w:rFonts w:ascii="Palatino Linotype" w:eastAsia="Palatino Linotype" w:hAnsi="Palatino Linotype" w:cs="Palatino Linotype"/>
              <w:b/>
            </w:rPr>
          </w:pPr>
          <w:r>
            <w:rPr>
              <w:rFonts w:ascii="Palatino Linotype" w:eastAsia="Palatino Linotype" w:hAnsi="Palatino Linotype" w:cs="Palatino Linotype"/>
              <w:b/>
            </w:rPr>
            <w:t>José Martínez Vilchis</w:t>
          </w:r>
        </w:p>
      </w:tc>
    </w:tr>
  </w:tbl>
  <w:p w14:paraId="4F1B2B44" w14:textId="77777777" w:rsidR="00D53A8A" w:rsidRDefault="00D53A8A">
    <w:pPr>
      <w:pBdr>
        <w:top w:val="nil"/>
        <w:left w:val="nil"/>
        <w:bottom w:val="nil"/>
        <w:right w:val="nil"/>
        <w:between w:val="nil"/>
      </w:pBdr>
      <w:tabs>
        <w:tab w:val="center" w:pos="4419"/>
        <w:tab w:val="right" w:pos="8838"/>
      </w:tabs>
      <w:spacing w:after="0" w:line="240" w:lineRule="auto"/>
      <w:rPr>
        <w:rFonts w:ascii="Times New Roman" w:eastAsia="Times New Roman" w:hAnsi="Times New Roman" w:cs="Times New Roman"/>
        <w:color w:val="000000"/>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08444A"/>
    <w:multiLevelType w:val="multilevel"/>
    <w:tmpl w:val="1FCE9FB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61FC39F2"/>
    <w:multiLevelType w:val="multilevel"/>
    <w:tmpl w:val="55588704"/>
    <w:lvl w:ilvl="0">
      <w:start w:val="1"/>
      <w:numFmt w:val="lowerLetter"/>
      <w:lvlText w:val="%1)"/>
      <w:lvlJc w:val="left"/>
      <w:pPr>
        <w:ind w:left="720" w:hanging="360"/>
      </w:pPr>
      <w:rPr>
        <w:rFonts w:ascii="Palatino Linotype" w:eastAsia="Palatino Linotype" w:hAnsi="Palatino Linotype" w:cs="Palatino Linotype"/>
        <w:b/>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735249F"/>
    <w:multiLevelType w:val="multilevel"/>
    <w:tmpl w:val="334C5F22"/>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3316"/>
    <w:rsid w:val="00013638"/>
    <w:rsid w:val="00037DD8"/>
    <w:rsid w:val="000742ED"/>
    <w:rsid w:val="00086FB0"/>
    <w:rsid w:val="000B1D91"/>
    <w:rsid w:val="000B2C97"/>
    <w:rsid w:val="000C298D"/>
    <w:rsid w:val="000C5862"/>
    <w:rsid w:val="000E32FB"/>
    <w:rsid w:val="00135A0D"/>
    <w:rsid w:val="00166BC0"/>
    <w:rsid w:val="00176422"/>
    <w:rsid w:val="001957C1"/>
    <w:rsid w:val="001B3FA8"/>
    <w:rsid w:val="001E661D"/>
    <w:rsid w:val="001F7C0B"/>
    <w:rsid w:val="00222F69"/>
    <w:rsid w:val="00227876"/>
    <w:rsid w:val="00256415"/>
    <w:rsid w:val="0028156D"/>
    <w:rsid w:val="00285367"/>
    <w:rsid w:val="00286240"/>
    <w:rsid w:val="00293CEC"/>
    <w:rsid w:val="002E5F82"/>
    <w:rsid w:val="002E78D0"/>
    <w:rsid w:val="003121D6"/>
    <w:rsid w:val="00324AED"/>
    <w:rsid w:val="00326AAC"/>
    <w:rsid w:val="00337946"/>
    <w:rsid w:val="00365BDD"/>
    <w:rsid w:val="00385493"/>
    <w:rsid w:val="00402F23"/>
    <w:rsid w:val="00403E8F"/>
    <w:rsid w:val="00405799"/>
    <w:rsid w:val="0042739B"/>
    <w:rsid w:val="00451211"/>
    <w:rsid w:val="00454597"/>
    <w:rsid w:val="004973D1"/>
    <w:rsid w:val="004B79F5"/>
    <w:rsid w:val="004C051E"/>
    <w:rsid w:val="004C7FCA"/>
    <w:rsid w:val="004D3372"/>
    <w:rsid w:val="004F3B70"/>
    <w:rsid w:val="00515744"/>
    <w:rsid w:val="005A547D"/>
    <w:rsid w:val="005B34B6"/>
    <w:rsid w:val="005C7D30"/>
    <w:rsid w:val="005D1BC7"/>
    <w:rsid w:val="00604949"/>
    <w:rsid w:val="00640ABD"/>
    <w:rsid w:val="00671697"/>
    <w:rsid w:val="006A5601"/>
    <w:rsid w:val="006A7B88"/>
    <w:rsid w:val="006B7186"/>
    <w:rsid w:val="006F5C1C"/>
    <w:rsid w:val="007042EB"/>
    <w:rsid w:val="0070704A"/>
    <w:rsid w:val="00712164"/>
    <w:rsid w:val="00714887"/>
    <w:rsid w:val="007150D1"/>
    <w:rsid w:val="007233DA"/>
    <w:rsid w:val="00751EC2"/>
    <w:rsid w:val="00771F70"/>
    <w:rsid w:val="0078149B"/>
    <w:rsid w:val="00792B69"/>
    <w:rsid w:val="007B0A03"/>
    <w:rsid w:val="007E0AAC"/>
    <w:rsid w:val="007E7D5B"/>
    <w:rsid w:val="00835187"/>
    <w:rsid w:val="00845EA7"/>
    <w:rsid w:val="00871A8C"/>
    <w:rsid w:val="00884535"/>
    <w:rsid w:val="00897C01"/>
    <w:rsid w:val="008B1EAE"/>
    <w:rsid w:val="008B47B7"/>
    <w:rsid w:val="008D5AEB"/>
    <w:rsid w:val="00905EB8"/>
    <w:rsid w:val="00927067"/>
    <w:rsid w:val="00951E8C"/>
    <w:rsid w:val="009520BB"/>
    <w:rsid w:val="009728AC"/>
    <w:rsid w:val="009B12A2"/>
    <w:rsid w:val="009B36C9"/>
    <w:rsid w:val="009B72B1"/>
    <w:rsid w:val="009E3316"/>
    <w:rsid w:val="00A00057"/>
    <w:rsid w:val="00A00CA9"/>
    <w:rsid w:val="00A52F6C"/>
    <w:rsid w:val="00A801C4"/>
    <w:rsid w:val="00AA15CD"/>
    <w:rsid w:val="00AB1899"/>
    <w:rsid w:val="00AC1E7C"/>
    <w:rsid w:val="00AE23C8"/>
    <w:rsid w:val="00B171BF"/>
    <w:rsid w:val="00B17523"/>
    <w:rsid w:val="00B22CF1"/>
    <w:rsid w:val="00B25F4B"/>
    <w:rsid w:val="00B676EB"/>
    <w:rsid w:val="00BF7C2B"/>
    <w:rsid w:val="00C13000"/>
    <w:rsid w:val="00C336A5"/>
    <w:rsid w:val="00C45ECC"/>
    <w:rsid w:val="00C611C7"/>
    <w:rsid w:val="00C83432"/>
    <w:rsid w:val="00C9156C"/>
    <w:rsid w:val="00D0571D"/>
    <w:rsid w:val="00D3493A"/>
    <w:rsid w:val="00D53A8A"/>
    <w:rsid w:val="00D6696B"/>
    <w:rsid w:val="00DA20B5"/>
    <w:rsid w:val="00E06232"/>
    <w:rsid w:val="00E21B34"/>
    <w:rsid w:val="00E2615D"/>
    <w:rsid w:val="00E73F1C"/>
    <w:rsid w:val="00E958D3"/>
    <w:rsid w:val="00EB0502"/>
    <w:rsid w:val="00EB5F5B"/>
    <w:rsid w:val="00F424DB"/>
    <w:rsid w:val="00FC16CE"/>
    <w:rsid w:val="00FE1A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328909"/>
  <w15:chartTrackingRefBased/>
  <w15:docId w15:val="{33367D83-780D-4519-801B-302E726737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9E3316"/>
    <w:rPr>
      <w:rFonts w:ascii="Calibri" w:eastAsia="Calibri" w:hAnsi="Calibri" w:cs="Calibri"/>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INFOEM">
    <w:name w:val="INFOEM"/>
    <w:basedOn w:val="Normal"/>
    <w:qFormat/>
    <w:rsid w:val="009E3316"/>
    <w:pPr>
      <w:spacing w:before="240" w:line="360" w:lineRule="auto"/>
      <w:ind w:left="851" w:right="851"/>
      <w:jc w:val="both"/>
    </w:pPr>
    <w:rPr>
      <w:rFonts w:ascii="Palatino Linotype" w:eastAsiaTheme="minorHAnsi" w:hAnsi="Palatino Linotype" w:cstheme="minorBidi"/>
      <w:i/>
      <w:szCs w:val="14"/>
      <w:lang w:eastAsia="en-U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1"/>
    <w:qFormat/>
    <w:rsid w:val="009E3316"/>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1"/>
    <w:qFormat/>
    <w:locked/>
    <w:rsid w:val="009E3316"/>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9E331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E3316"/>
    <w:rPr>
      <w:rFonts w:ascii="Calibri" w:eastAsia="Calibri" w:hAnsi="Calibri" w:cs="Calibri"/>
      <w:lang w:eastAsia="es-MX"/>
    </w:rPr>
  </w:style>
  <w:style w:type="paragraph" w:styleId="Piedepgina">
    <w:name w:val="footer"/>
    <w:basedOn w:val="Normal"/>
    <w:link w:val="PiedepginaCar"/>
    <w:uiPriority w:val="99"/>
    <w:unhideWhenUsed/>
    <w:rsid w:val="009E331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E3316"/>
    <w:rPr>
      <w:rFonts w:ascii="Calibri" w:eastAsia="Calibri" w:hAnsi="Calibri" w:cs="Calibri"/>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5797788">
      <w:bodyDiv w:val="1"/>
      <w:marLeft w:val="0"/>
      <w:marRight w:val="0"/>
      <w:marTop w:val="0"/>
      <w:marBottom w:val="0"/>
      <w:divBdr>
        <w:top w:val="none" w:sz="0" w:space="0" w:color="auto"/>
        <w:left w:val="none" w:sz="0" w:space="0" w:color="auto"/>
        <w:bottom w:val="none" w:sz="0" w:space="0" w:color="auto"/>
        <w:right w:val="none" w:sz="0" w:space="0" w:color="auto"/>
      </w:divBdr>
    </w:div>
    <w:div w:id="1330523288">
      <w:bodyDiv w:val="1"/>
      <w:marLeft w:val="0"/>
      <w:marRight w:val="0"/>
      <w:marTop w:val="0"/>
      <w:marBottom w:val="0"/>
      <w:divBdr>
        <w:top w:val="none" w:sz="0" w:space="0" w:color="auto"/>
        <w:left w:val="none" w:sz="0" w:space="0" w:color="auto"/>
        <w:bottom w:val="none" w:sz="0" w:space="0" w:color="auto"/>
        <w:right w:val="none" w:sz="0" w:space="0" w:color="auto"/>
      </w:divBdr>
    </w:div>
    <w:div w:id="1462992462">
      <w:bodyDiv w:val="1"/>
      <w:marLeft w:val="0"/>
      <w:marRight w:val="0"/>
      <w:marTop w:val="0"/>
      <w:marBottom w:val="0"/>
      <w:divBdr>
        <w:top w:val="none" w:sz="0" w:space="0" w:color="auto"/>
        <w:left w:val="none" w:sz="0" w:space="0" w:color="auto"/>
        <w:bottom w:val="none" w:sz="0" w:space="0" w:color="auto"/>
        <w:right w:val="none" w:sz="0" w:space="0" w:color="auto"/>
      </w:divBdr>
    </w:div>
    <w:div w:id="1600990526">
      <w:bodyDiv w:val="1"/>
      <w:marLeft w:val="0"/>
      <w:marRight w:val="0"/>
      <w:marTop w:val="0"/>
      <w:marBottom w:val="0"/>
      <w:divBdr>
        <w:top w:val="none" w:sz="0" w:space="0" w:color="auto"/>
        <w:left w:val="none" w:sz="0" w:space="0" w:color="auto"/>
        <w:bottom w:val="none" w:sz="0" w:space="0" w:color="auto"/>
        <w:right w:val="none" w:sz="0" w:space="0" w:color="auto"/>
      </w:divBdr>
    </w:div>
    <w:div w:id="1717048609">
      <w:bodyDiv w:val="1"/>
      <w:marLeft w:val="0"/>
      <w:marRight w:val="0"/>
      <w:marTop w:val="0"/>
      <w:marBottom w:val="0"/>
      <w:divBdr>
        <w:top w:val="none" w:sz="0" w:space="0" w:color="auto"/>
        <w:left w:val="none" w:sz="0" w:space="0" w:color="auto"/>
        <w:bottom w:val="none" w:sz="0" w:space="0" w:color="auto"/>
        <w:right w:val="none" w:sz="0" w:space="0" w:color="auto"/>
      </w:divBdr>
    </w:div>
    <w:div w:id="1818449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20</Pages>
  <Words>4729</Words>
  <Characters>26013</Characters>
  <Application>Microsoft Office Word</Application>
  <DocSecurity>0</DocSecurity>
  <Lines>216</Lines>
  <Paragraphs>61</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30681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INFOEM474</dc:creator>
  <cp:keywords/>
  <dc:description/>
  <cp:lastModifiedBy>INFOEM557</cp:lastModifiedBy>
  <cp:revision>6</cp:revision>
  <cp:lastPrinted>2026-03-20T16:19:00Z</cp:lastPrinted>
  <dcterms:created xsi:type="dcterms:W3CDTF">2026-03-05T17:59:00Z</dcterms:created>
  <dcterms:modified xsi:type="dcterms:W3CDTF">2026-04-10T15:08:00Z</dcterms:modified>
</cp:coreProperties>
</file>