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305" w:rsidRDefault="00EC6B6C">
      <w:pPr>
        <w:tabs>
          <w:tab w:val="left" w:pos="567"/>
        </w:tabs>
        <w:spacing w:line="360" w:lineRule="auto"/>
        <w:ind w:right="-1131"/>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diez (10)</w:t>
      </w:r>
      <w:r w:rsidR="0020260C">
        <w:rPr>
          <w:rFonts w:ascii="Palatino Linotype" w:eastAsia="Palatino Linotype" w:hAnsi="Palatino Linotype" w:cs="Palatino Linotype"/>
          <w:b/>
          <w:bCs/>
        </w:rPr>
        <w:t xml:space="preserve"> de junio de dos mil veintiséis</w:t>
      </w:r>
      <w:r>
        <w:rPr>
          <w:rFonts w:ascii="Palatino Linotype" w:eastAsia="Palatino Linotype" w:hAnsi="Palatino Linotype" w:cs="Palatino Linotype"/>
          <w:b/>
          <w:bCs/>
        </w:rPr>
        <w:t>.</w:t>
      </w:r>
    </w:p>
    <w:p w:rsidR="00065305" w:rsidRDefault="00065305">
      <w:pPr>
        <w:tabs>
          <w:tab w:val="left" w:pos="567"/>
        </w:tabs>
        <w:spacing w:line="360" w:lineRule="auto"/>
        <w:ind w:right="-1131"/>
        <w:jc w:val="both"/>
        <w:rPr>
          <w:rFonts w:ascii="Palatino Linotype" w:eastAsia="Palatino Linotype" w:hAnsi="Palatino Linotype" w:cs="Palatino Linotype"/>
        </w:rPr>
      </w:pPr>
    </w:p>
    <w:p w:rsidR="00065305" w:rsidRDefault="00EC6B6C">
      <w:pPr>
        <w:spacing w:line="360" w:lineRule="auto"/>
        <w:ind w:right="-1131"/>
        <w:jc w:val="both"/>
        <w:rPr>
          <w:rFonts w:ascii="Palatino Linotype" w:eastAsia="Palatino Linotype" w:hAnsi="Palatino Linotype" w:cs="Palatino Linotype"/>
          <w:b/>
          <w:bCs/>
        </w:rPr>
      </w:pPr>
      <w:bookmarkStart w:id="0" w:name="_heading=h.z5xrnfyce4wu" w:colFirst="0" w:colLast="0"/>
      <w:bookmarkEnd w:id="0"/>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03063/INFOEM/IP/RR/2026</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promovido por </w:t>
      </w:r>
      <w:r w:rsidR="00EE22C3">
        <w:rPr>
          <w:rFonts w:ascii="Palatino Linotype" w:eastAsia="Palatino Linotype" w:hAnsi="Palatino Linotype" w:cs="Palatino Linotype"/>
          <w:b/>
          <w:bCs/>
        </w:rPr>
        <w:t>XXXX</w:t>
      </w:r>
      <w:r>
        <w:rPr>
          <w:rFonts w:ascii="Palatino Linotype" w:eastAsia="Palatino Linotype" w:hAnsi="Palatino Linotype" w:cs="Palatino Linotype"/>
          <w:b/>
          <w:bCs/>
        </w:rPr>
        <w:t>,</w:t>
      </w:r>
      <w:r>
        <w:rPr>
          <w:rFonts w:ascii="Palatino Linotype" w:eastAsia="Palatino Linotype" w:hAnsi="Palatino Linotype" w:cs="Palatino Linotype"/>
        </w:rPr>
        <w:t xml:space="preserve"> a quien en lo sucesivo se le identificará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Ayuntamiento de Ixtapaluca,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se procede a dictar la presente resolución, con base en los siguientes:</w:t>
      </w:r>
    </w:p>
    <w:p w:rsidR="00065305" w:rsidRDefault="00065305">
      <w:pPr>
        <w:pBdr>
          <w:top w:val="nil"/>
          <w:left w:val="nil"/>
          <w:bottom w:val="nil"/>
          <w:right w:val="nil"/>
          <w:between w:val="nil"/>
        </w:pBdr>
        <w:tabs>
          <w:tab w:val="center" w:pos="4252"/>
          <w:tab w:val="right" w:pos="8504"/>
        </w:tabs>
        <w:spacing w:line="360" w:lineRule="auto"/>
        <w:ind w:right="-1131"/>
        <w:jc w:val="both"/>
        <w:rPr>
          <w:rFonts w:ascii="Palatino Linotype" w:eastAsia="Palatino Linotype" w:hAnsi="Palatino Linotype" w:cs="Palatino Linotype"/>
          <w:color w:val="000000"/>
        </w:rPr>
      </w:pPr>
    </w:p>
    <w:p w:rsidR="00065305" w:rsidRDefault="00EC6B6C">
      <w:pPr>
        <w:pStyle w:val="Ttulo1"/>
        <w:tabs>
          <w:tab w:val="left" w:pos="567"/>
        </w:tabs>
        <w:spacing w:before="0" w:line="360" w:lineRule="auto"/>
        <w:ind w:right="-1131"/>
        <w:jc w:val="center"/>
        <w:rPr>
          <w:b w:val="0"/>
          <w:bCs w:val="0"/>
        </w:rPr>
      </w:pPr>
      <w:bookmarkStart w:id="1" w:name="_heading=h.9o2iqrkisr5" w:colFirst="0" w:colLast="0"/>
      <w:bookmarkEnd w:id="1"/>
      <w:r>
        <w:t>A N T E C E D E N T E S</w:t>
      </w:r>
    </w:p>
    <w:p w:rsidR="00065305" w:rsidRDefault="00065305">
      <w:pPr>
        <w:tabs>
          <w:tab w:val="left" w:pos="567"/>
        </w:tabs>
        <w:spacing w:line="360" w:lineRule="auto"/>
        <w:ind w:right="-1131"/>
        <w:rPr>
          <w:rFonts w:ascii="Palatino Linotype" w:eastAsia="Palatino Linotype" w:hAnsi="Palatino Linotype" w:cs="Palatino Linotype"/>
        </w:rPr>
      </w:pPr>
    </w:p>
    <w:p w:rsidR="00065305" w:rsidRDefault="00EC6B6C">
      <w:pPr>
        <w:numPr>
          <w:ilvl w:val="0"/>
          <w:numId w:val="1"/>
        </w:num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dieciséis de febrero de dos mil veintiséis</w:t>
      </w:r>
      <w:r>
        <w:rPr>
          <w:rFonts w:ascii="Palatino Linotype" w:eastAsia="Palatino Linotype" w:hAnsi="Palatino Linotype" w:cs="Palatino Linotype"/>
          <w:color w:val="000000"/>
        </w:rPr>
        <w:t xml:space="preserve">, se presentaron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SAIMEX, la solicitud de información pública registrada con el número</w:t>
      </w:r>
      <w:r>
        <w:rPr>
          <w:rFonts w:ascii="Palatino Linotype" w:eastAsia="Palatino Linotype" w:hAnsi="Palatino Linotype" w:cs="Palatino Linotype"/>
          <w:b/>
          <w:bCs/>
          <w:color w:val="000000"/>
        </w:rPr>
        <w:t xml:space="preserve"> </w:t>
      </w:r>
      <w:r>
        <w:rPr>
          <w:b/>
          <w:bCs/>
          <w:color w:val="000000"/>
        </w:rPr>
        <w:t>00024/IXTAPALU/IP/2026</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en la que </w:t>
      </w:r>
      <w:r>
        <w:rPr>
          <w:rFonts w:ascii="Palatino Linotype" w:eastAsia="Palatino Linotype" w:hAnsi="Palatino Linotype" w:cs="Palatino Linotype"/>
          <w:color w:val="000000"/>
        </w:rPr>
        <w:t>se solicitó la siguiente información:</w:t>
      </w:r>
    </w:p>
    <w:p w:rsidR="00065305" w:rsidRDefault="00065305">
      <w:pPr>
        <w:spacing w:line="360" w:lineRule="auto"/>
        <w:ind w:right="-1131"/>
        <w:jc w:val="both"/>
        <w:rPr>
          <w:rFonts w:ascii="Palatino Linotype" w:eastAsia="Palatino Linotype" w:hAnsi="Palatino Linotype" w:cs="Palatino Linotype"/>
          <w:b/>
          <w:bCs/>
          <w:u w:val="single"/>
        </w:rPr>
      </w:pPr>
    </w:p>
    <w:p w:rsidR="00065305" w:rsidRDefault="00EC6B6C">
      <w:pPr>
        <w:pBdr>
          <w:top w:val="nil"/>
          <w:left w:val="nil"/>
          <w:bottom w:val="nil"/>
          <w:right w:val="nil"/>
          <w:between w:val="nil"/>
        </w:pBdr>
        <w:ind w:left="720" w:right="-1131"/>
        <w:jc w:val="both"/>
        <w:rPr>
          <w:rFonts w:ascii="Palatino Linotype" w:eastAsia="Palatino Linotype" w:hAnsi="Palatino Linotype" w:cs="Palatino Linotype"/>
          <w:color w:val="000000"/>
          <w:u w:val="single"/>
        </w:rPr>
      </w:pPr>
      <w:r>
        <w:rPr>
          <w:rFonts w:ascii="Palatino Linotype" w:eastAsia="Palatino Linotype" w:hAnsi="Palatino Linotype" w:cs="Palatino Linotype"/>
          <w:b/>
          <w:bCs/>
          <w:color w:val="000000"/>
        </w:rPr>
        <w:t>00024/IXTAPALU/IP/2026</w:t>
      </w:r>
    </w:p>
    <w:p w:rsidR="00065305" w:rsidRDefault="00EC6B6C">
      <w:pPr>
        <w:pBdr>
          <w:top w:val="nil"/>
          <w:left w:val="nil"/>
          <w:bottom w:val="nil"/>
          <w:right w:val="nil"/>
          <w:between w:val="nil"/>
        </w:pBdr>
        <w:ind w:left="426"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“Por medio del presente, solicito se remitan todos los oficios enviados y recibidos por la Dirección de Desarrollo Económico, correspondientes al periodo que obre en sus archivos en trámite, incluyendo en su caso los anexos respectivos.” </w:t>
      </w:r>
      <w:r>
        <w:rPr>
          <w:rFonts w:ascii="Palatino Linotype" w:eastAsia="Palatino Linotype" w:hAnsi="Palatino Linotype" w:cs="Palatino Linotype"/>
          <w:color w:val="000000"/>
        </w:rPr>
        <w:t>(Sic)</w:t>
      </w:r>
    </w:p>
    <w:p w:rsidR="00065305" w:rsidRDefault="00065305">
      <w:pPr>
        <w:ind w:right="-1131" w:firstLine="360"/>
        <w:jc w:val="both"/>
        <w:rPr>
          <w:rFonts w:ascii="Palatino Linotype" w:eastAsia="Palatino Linotype" w:hAnsi="Palatino Linotype" w:cs="Palatino Linotype"/>
        </w:rPr>
      </w:pPr>
    </w:p>
    <w:p w:rsidR="00065305" w:rsidRDefault="00EC6B6C">
      <w:pPr>
        <w:ind w:right="-1131" w:firstLine="426"/>
        <w:jc w:val="both"/>
        <w:rPr>
          <w:rFonts w:ascii="Palatino Linotype" w:eastAsia="Palatino Linotype" w:hAnsi="Palatino Linotype" w:cs="Palatino Linotype"/>
        </w:rPr>
      </w:pPr>
      <w:r>
        <w:rPr>
          <w:rFonts w:ascii="Palatino Linotype" w:eastAsia="Palatino Linotype" w:hAnsi="Palatino Linotype" w:cs="Palatino Linotype"/>
        </w:rPr>
        <w:t xml:space="preserve">Se eligió como modalidad de entrega de la información: A través del </w:t>
      </w:r>
      <w:r>
        <w:rPr>
          <w:rFonts w:ascii="Palatino Linotype" w:eastAsia="Palatino Linotype" w:hAnsi="Palatino Linotype" w:cs="Palatino Linotype"/>
          <w:b/>
          <w:bCs/>
        </w:rPr>
        <w:t>SAIMEX.</w:t>
      </w:r>
    </w:p>
    <w:p w:rsidR="00065305" w:rsidRDefault="00065305">
      <w:pPr>
        <w:ind w:right="-1131" w:firstLine="426"/>
        <w:jc w:val="both"/>
        <w:rPr>
          <w:rFonts w:ascii="Palatino Linotype" w:eastAsia="Palatino Linotype" w:hAnsi="Palatino Linotype" w:cs="Palatino Linotype"/>
        </w:rPr>
      </w:pPr>
    </w:p>
    <w:p w:rsidR="00065305" w:rsidRDefault="00065305">
      <w:pPr>
        <w:ind w:right="-1131" w:firstLine="426"/>
        <w:jc w:val="both"/>
        <w:rPr>
          <w:rFonts w:ascii="Palatino Linotype" w:eastAsia="Palatino Linotype" w:hAnsi="Palatino Linotype" w:cs="Palatino Linotype"/>
        </w:rPr>
      </w:pPr>
    </w:p>
    <w:p w:rsidR="00065305" w:rsidRDefault="00EC6B6C">
      <w:pPr>
        <w:numPr>
          <w:ilvl w:val="0"/>
          <w:numId w:val="1"/>
        </w:numPr>
        <w:pBdr>
          <w:top w:val="nil"/>
          <w:left w:val="nil"/>
          <w:bottom w:val="nil"/>
          <w:right w:val="nil"/>
          <w:between w:val="nil"/>
        </w:pBdr>
        <w:tabs>
          <w:tab w:val="left" w:pos="0"/>
        </w:tabs>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nueve de marzo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dio respuesta de la siguiente manera:</w:t>
      </w:r>
    </w:p>
    <w:p w:rsidR="00065305" w:rsidRDefault="00E92C31">
      <w:pPr>
        <w:numPr>
          <w:ilvl w:val="0"/>
          <w:numId w:val="2"/>
        </w:numPr>
        <w:pBdr>
          <w:top w:val="nil"/>
          <w:left w:val="nil"/>
          <w:bottom w:val="nil"/>
          <w:right w:val="nil"/>
          <w:between w:val="nil"/>
        </w:pBdr>
        <w:tabs>
          <w:tab w:val="left" w:pos="0"/>
        </w:tabs>
        <w:ind w:right="-1131"/>
        <w:jc w:val="both"/>
        <w:rPr>
          <w:rFonts w:ascii="Palatino Linotype" w:eastAsia="Palatino Linotype" w:hAnsi="Palatino Linotype" w:cs="Palatino Linotype"/>
          <w:color w:val="000000"/>
        </w:rPr>
      </w:pPr>
      <w:hyperlink r:id="rId8">
        <w:r w:rsidR="00EC6B6C">
          <w:rPr>
            <w:rFonts w:ascii="Palatino Linotype" w:eastAsia="Palatino Linotype" w:hAnsi="Palatino Linotype" w:cs="Palatino Linotype"/>
            <w:b/>
            <w:bCs/>
            <w:i/>
            <w:iCs/>
            <w:color w:val="000000"/>
          </w:rPr>
          <w:t>E-0025 RESPUESTA 0024-IXTAPALU-IP-2026 D.ECONOMICO.pdf</w:t>
        </w:r>
      </w:hyperlink>
      <w:r w:rsidR="00EC6B6C">
        <w:rPr>
          <w:rFonts w:ascii="Palatino Linotype" w:eastAsia="Palatino Linotype" w:hAnsi="Palatino Linotype" w:cs="Palatino Linotype"/>
          <w:i/>
          <w:iCs/>
          <w:color w:val="000000"/>
        </w:rPr>
        <w:t xml:space="preserve">: </w:t>
      </w:r>
      <w:r w:rsidR="00EC6B6C">
        <w:rPr>
          <w:rFonts w:ascii="Palatino Linotype" w:eastAsia="Palatino Linotype" w:hAnsi="Palatino Linotype" w:cs="Palatino Linotype"/>
          <w:color w:val="000000"/>
        </w:rPr>
        <w:t xml:space="preserve">Oficio firmado por la Directora de Desarrollo Económico, por el que pone a disposición la información a través de consulta directa, así como el turno de la solicitud de información que nos ocupa. </w:t>
      </w:r>
    </w:p>
    <w:p w:rsidR="00065305" w:rsidRDefault="00065305">
      <w:pPr>
        <w:ind w:right="-1131"/>
        <w:jc w:val="both"/>
        <w:rPr>
          <w:rFonts w:ascii="Palatino Linotype" w:eastAsia="Palatino Linotype" w:hAnsi="Palatino Linotype" w:cs="Palatino Linotype"/>
          <w:b/>
          <w:bCs/>
          <w:i/>
          <w:iCs/>
          <w:u w:val="single"/>
        </w:rPr>
      </w:pPr>
    </w:p>
    <w:p w:rsidR="00065305" w:rsidRDefault="00065305">
      <w:pPr>
        <w:ind w:right="-1131"/>
        <w:jc w:val="both"/>
        <w:rPr>
          <w:rFonts w:ascii="Palatino Linotype" w:eastAsia="Palatino Linotype" w:hAnsi="Palatino Linotype" w:cs="Palatino Linotype"/>
          <w:b/>
          <w:bCs/>
          <w:color w:val="000000"/>
          <w:u w:val="single"/>
        </w:rPr>
      </w:pPr>
    </w:p>
    <w:p w:rsidR="00065305" w:rsidRDefault="00EC6B6C">
      <w:pPr>
        <w:numPr>
          <w:ilvl w:val="0"/>
          <w:numId w:val="1"/>
        </w:numPr>
        <w:pBdr>
          <w:top w:val="nil"/>
          <w:left w:val="nil"/>
          <w:bottom w:val="nil"/>
          <w:right w:val="nil"/>
          <w:between w:val="nil"/>
        </w:pBdr>
        <w:tabs>
          <w:tab w:val="left" w:pos="0"/>
        </w:tabs>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diez de marzo de dos mil veintiséis, EL PARTICULAR</w:t>
      </w:r>
      <w:r>
        <w:rPr>
          <w:rFonts w:ascii="Palatino Linotype" w:eastAsia="Palatino Linotype" w:hAnsi="Palatino Linotype" w:cs="Palatino Linotype"/>
          <w:color w:val="000000"/>
        </w:rPr>
        <w:t xml:space="preserve"> interpuso el recurso el recurso de revisión </w:t>
      </w:r>
      <w:r>
        <w:rPr>
          <w:rFonts w:ascii="Palatino Linotype" w:eastAsia="Palatino Linotype" w:hAnsi="Palatino Linotype" w:cs="Palatino Linotype"/>
          <w:b/>
          <w:bCs/>
          <w:color w:val="000000"/>
        </w:rPr>
        <w:t xml:space="preserve">03063/INFOEM/IP/RR/2026, </w:t>
      </w:r>
      <w:r>
        <w:rPr>
          <w:rFonts w:ascii="Palatino Linotype" w:eastAsia="Palatino Linotype" w:hAnsi="Palatino Linotype" w:cs="Palatino Linotype"/>
          <w:color w:val="000000"/>
        </w:rPr>
        <w:t>arguyendo lo siguiente:</w:t>
      </w:r>
    </w:p>
    <w:p w:rsidR="00065305" w:rsidRDefault="00065305">
      <w:pPr>
        <w:tabs>
          <w:tab w:val="left" w:pos="0"/>
        </w:tabs>
        <w:spacing w:line="360" w:lineRule="auto"/>
        <w:ind w:right="-1131"/>
        <w:jc w:val="both"/>
        <w:rPr>
          <w:rFonts w:ascii="Palatino Linotype" w:eastAsia="Palatino Linotype" w:hAnsi="Palatino Linotype" w:cs="Palatino Linotype"/>
          <w:i/>
          <w:iCs/>
          <w:color w:val="000000"/>
        </w:rPr>
      </w:pPr>
    </w:p>
    <w:p w:rsidR="00065305" w:rsidRDefault="00EC6B6C">
      <w:pPr>
        <w:numPr>
          <w:ilvl w:val="0"/>
          <w:numId w:val="2"/>
        </w:numPr>
        <w:pBdr>
          <w:top w:val="nil"/>
          <w:left w:val="nil"/>
          <w:bottom w:val="nil"/>
          <w:right w:val="nil"/>
          <w:between w:val="nil"/>
        </w:pBdr>
        <w:tabs>
          <w:tab w:val="left" w:pos="0"/>
        </w:tabs>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Acto impugnado: </w:t>
      </w:r>
      <w:r>
        <w:rPr>
          <w:rFonts w:ascii="Palatino Linotype" w:eastAsia="Palatino Linotype" w:hAnsi="Palatino Linotype" w:cs="Palatino Linotype"/>
          <w:color w:val="000000"/>
        </w:rPr>
        <w:t>“</w:t>
      </w:r>
      <w:r>
        <w:rPr>
          <w:rFonts w:ascii="Palatino Linotype" w:eastAsia="Palatino Linotype" w:hAnsi="Palatino Linotype" w:cs="Palatino Linotype"/>
          <w:i/>
          <w:iCs/>
          <w:color w:val="000000"/>
        </w:rPr>
        <w:t>No se entrega la información solicitada.” (sic)</w:t>
      </w:r>
    </w:p>
    <w:p w:rsidR="00065305" w:rsidRDefault="00065305">
      <w:pPr>
        <w:pBdr>
          <w:top w:val="nil"/>
          <w:left w:val="nil"/>
          <w:bottom w:val="nil"/>
          <w:right w:val="nil"/>
          <w:between w:val="nil"/>
        </w:pBdr>
        <w:tabs>
          <w:tab w:val="left" w:pos="0"/>
        </w:tabs>
        <w:ind w:left="720" w:right="-1131"/>
        <w:jc w:val="both"/>
        <w:rPr>
          <w:rFonts w:ascii="Palatino Linotype" w:eastAsia="Palatino Linotype" w:hAnsi="Palatino Linotype" w:cs="Palatino Linotype"/>
          <w:color w:val="000000"/>
        </w:rPr>
      </w:pPr>
    </w:p>
    <w:p w:rsidR="00065305" w:rsidRDefault="00EC6B6C">
      <w:pPr>
        <w:numPr>
          <w:ilvl w:val="0"/>
          <w:numId w:val="2"/>
        </w:numPr>
        <w:pBdr>
          <w:top w:val="nil"/>
          <w:left w:val="nil"/>
          <w:bottom w:val="nil"/>
          <w:right w:val="nil"/>
          <w:between w:val="nil"/>
        </w:pBdr>
        <w:tabs>
          <w:tab w:val="left" w:pos="0"/>
        </w:tabs>
        <w:spacing w:line="276"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Razones o Motivos de inconformidad: </w:t>
      </w:r>
      <w:r>
        <w:rPr>
          <w:rFonts w:ascii="Palatino Linotype" w:eastAsia="Palatino Linotype" w:hAnsi="Palatino Linotype" w:cs="Palatino Linotype"/>
          <w:color w:val="000000"/>
        </w:rPr>
        <w:t>“</w:t>
      </w:r>
      <w:r>
        <w:rPr>
          <w:rFonts w:ascii="Palatino Linotype" w:eastAsia="Palatino Linotype" w:hAnsi="Palatino Linotype" w:cs="Palatino Linotype"/>
          <w:i/>
          <w:iCs/>
          <w:color w:val="000000"/>
        </w:rPr>
        <w:t>No se entrega la información solicitada.”(sic)</w:t>
      </w:r>
    </w:p>
    <w:p w:rsidR="00065305" w:rsidRDefault="00065305">
      <w:pPr>
        <w:spacing w:line="360" w:lineRule="auto"/>
        <w:ind w:right="-1131"/>
        <w:rPr>
          <w:rFonts w:ascii="Palatino Linotype" w:eastAsia="Palatino Linotype" w:hAnsi="Palatino Linotype" w:cs="Palatino Linotype"/>
          <w:i/>
          <w:iCs/>
          <w:color w:val="000000"/>
        </w:rPr>
      </w:pPr>
    </w:p>
    <w:p w:rsidR="00065305" w:rsidRDefault="00EC6B6C">
      <w:pPr>
        <w:numPr>
          <w:ilvl w:val="0"/>
          <w:numId w:val="1"/>
        </w:num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notificado el </w:t>
      </w:r>
      <w:r>
        <w:rPr>
          <w:rFonts w:ascii="Palatino Linotype" w:eastAsia="Palatino Linotype" w:hAnsi="Palatino Linotype" w:cs="Palatino Linotype"/>
          <w:b/>
          <w:bCs/>
          <w:color w:val="000000"/>
        </w:rPr>
        <w:t>trece de marzo de dos mil veintiséis</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 los casos concretos, y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presentará el Informe Justificado procedente.</w:t>
      </w:r>
    </w:p>
    <w:p w:rsidR="00065305" w:rsidRDefault="00065305">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rsidR="00065305" w:rsidRDefault="00EC6B6C">
      <w:pPr>
        <w:numPr>
          <w:ilvl w:val="0"/>
          <w:numId w:val="1"/>
        </w:numPr>
        <w:pBdr>
          <w:top w:val="nil"/>
          <w:left w:val="nil"/>
          <w:bottom w:val="nil"/>
          <w:right w:val="nil"/>
          <w:between w:val="nil"/>
        </w:pBdr>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rindió el Informe Justificado correspondiente a través del archivo </w:t>
      </w:r>
      <w:hyperlink r:id="rId9">
        <w:r>
          <w:rPr>
            <w:rFonts w:ascii="Palatino Linotype" w:eastAsia="Palatino Linotype" w:hAnsi="Palatino Linotype" w:cs="Palatino Linotype"/>
            <w:b/>
            <w:bCs/>
            <w:color w:val="000000"/>
          </w:rPr>
          <w:t>cambio de modalidad RR_03063_2026.pdf</w:t>
        </w:r>
      </w:hyperlink>
      <w:r>
        <w:rPr>
          <w:rFonts w:ascii="Palatino Linotype" w:eastAsia="Palatino Linotype" w:hAnsi="Palatino Linotype" w:cs="Palatino Linotype"/>
        </w:rPr>
        <w:t>, del que se desprende lo siguiente:</w:t>
      </w:r>
    </w:p>
    <w:p w:rsidR="00065305" w:rsidRDefault="00EC6B6C">
      <w:pPr>
        <w:numPr>
          <w:ilvl w:val="0"/>
          <w:numId w:val="4"/>
        </w:numPr>
        <w:pBdr>
          <w:top w:val="nil"/>
          <w:left w:val="nil"/>
          <w:bottom w:val="nil"/>
          <w:right w:val="nil"/>
          <w:between w:val="nil"/>
        </w:pBdr>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firmado por la Directora de Desarrollo Económico, por el que ofrece el acceso a la información a través de consulta directa, informando, </w:t>
      </w:r>
      <w:r>
        <w:rPr>
          <w:rFonts w:ascii="Palatino Linotype" w:eastAsia="Palatino Linotype" w:hAnsi="Palatino Linotype" w:cs="Palatino Linotype"/>
        </w:rPr>
        <w:t>cómo</w:t>
      </w:r>
      <w:r>
        <w:rPr>
          <w:rFonts w:ascii="Palatino Linotype" w:eastAsia="Palatino Linotype" w:hAnsi="Palatino Linotype" w:cs="Palatino Linotype"/>
          <w:color w:val="000000"/>
        </w:rPr>
        <w:t xml:space="preserve"> realizar la cita, dirección, se informó que en caso de concertar la cita, se </w:t>
      </w:r>
      <w:r>
        <w:rPr>
          <w:rFonts w:ascii="Palatino Linotype" w:eastAsia="Palatino Linotype" w:hAnsi="Palatino Linotype" w:cs="Palatino Linotype"/>
        </w:rPr>
        <w:t>indicará</w:t>
      </w:r>
      <w:r>
        <w:rPr>
          <w:rFonts w:ascii="Palatino Linotype" w:eastAsia="Palatino Linotype" w:hAnsi="Palatino Linotype" w:cs="Palatino Linotype"/>
          <w:color w:val="000000"/>
        </w:rPr>
        <w:t xml:space="preserve"> el nombre y cargo de la persona que deberá atenderle, prórroga para consulta de la misma.</w:t>
      </w:r>
    </w:p>
    <w:p w:rsidR="00065305" w:rsidRDefault="00065305">
      <w:pPr>
        <w:pBdr>
          <w:top w:val="nil"/>
          <w:left w:val="nil"/>
          <w:bottom w:val="nil"/>
          <w:right w:val="nil"/>
          <w:between w:val="nil"/>
        </w:pBdr>
        <w:spacing w:line="360" w:lineRule="auto"/>
        <w:ind w:right="-1131"/>
        <w:jc w:val="both"/>
        <w:rPr>
          <w:rFonts w:ascii="Palatino Linotype" w:eastAsia="Palatino Linotype" w:hAnsi="Palatino Linotype" w:cs="Palatino Linotype"/>
        </w:rPr>
      </w:pPr>
    </w:p>
    <w:p w:rsidR="00065305" w:rsidRDefault="00EC6B6C">
      <w:pPr>
        <w:numPr>
          <w:ilvl w:val="0"/>
          <w:numId w:val="4"/>
        </w:numPr>
        <w:pBdr>
          <w:top w:val="nil"/>
          <w:left w:val="nil"/>
          <w:bottom w:val="nil"/>
          <w:right w:val="nil"/>
          <w:between w:val="nil"/>
        </w:pBdr>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Asimismo, </w:t>
      </w:r>
      <w:r>
        <w:rPr>
          <w:rFonts w:ascii="Palatino Linotype" w:eastAsia="Palatino Linotype" w:hAnsi="Palatino Linotype" w:cs="Palatino Linotype"/>
        </w:rPr>
        <w:t>señaló</w:t>
      </w:r>
      <w:r>
        <w:rPr>
          <w:rFonts w:ascii="Palatino Linotype" w:eastAsia="Palatino Linotype" w:hAnsi="Palatino Linotype" w:cs="Palatino Linotype"/>
          <w:color w:val="000000"/>
        </w:rPr>
        <w:t xml:space="preserve"> que la información solicitada asciende a un total de 20, 000 (veinte mil) fojas por lo que el procesamiento para la ubicación de lo requerido, sobrepasa las capacidades técnicas y humanas de esta Dirección.</w:t>
      </w:r>
    </w:p>
    <w:p w:rsidR="00065305" w:rsidRDefault="00EC6B6C">
      <w:pPr>
        <w:numPr>
          <w:ilvl w:val="0"/>
          <w:numId w:val="4"/>
        </w:numPr>
        <w:pBdr>
          <w:top w:val="nil"/>
          <w:left w:val="nil"/>
          <w:bottom w:val="nil"/>
          <w:right w:val="nil"/>
          <w:between w:val="nil"/>
        </w:pBdr>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 firmado por el Contralor Municipal, por el que le solicitó a la Directora de Desarrollo Económico, atienda los motivos de inconformidad hechos valer dentro del recurso de revisión que nos ocupa en un plazo no mayor a tres días hábiles.</w:t>
      </w:r>
    </w:p>
    <w:p w:rsidR="00065305" w:rsidRDefault="00EC6B6C">
      <w:pPr>
        <w:numPr>
          <w:ilvl w:val="0"/>
          <w:numId w:val="4"/>
        </w:numPr>
        <w:pBdr>
          <w:top w:val="nil"/>
          <w:left w:val="nil"/>
          <w:bottom w:val="nil"/>
          <w:right w:val="nil"/>
          <w:between w:val="nil"/>
        </w:pBdr>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Formato de recurso de revisión.</w:t>
      </w:r>
    </w:p>
    <w:p w:rsidR="00065305" w:rsidRDefault="00EC6B6C">
      <w:pPr>
        <w:numPr>
          <w:ilvl w:val="0"/>
          <w:numId w:val="4"/>
        </w:numPr>
        <w:pBdr>
          <w:top w:val="nil"/>
          <w:left w:val="nil"/>
          <w:bottom w:val="nil"/>
          <w:right w:val="nil"/>
          <w:between w:val="nil"/>
        </w:pBdr>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 firmado por la Directora de Desarrollo Económico, correspondiente al remitido en respuesta.</w:t>
      </w:r>
    </w:p>
    <w:p w:rsidR="00065305" w:rsidRDefault="00EC6B6C">
      <w:pPr>
        <w:numPr>
          <w:ilvl w:val="0"/>
          <w:numId w:val="4"/>
        </w:numPr>
        <w:pBdr>
          <w:top w:val="nil"/>
          <w:left w:val="nil"/>
          <w:bottom w:val="nil"/>
          <w:right w:val="nil"/>
          <w:between w:val="nil"/>
        </w:pBdr>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Turno de la solicitud de información que nos ocupa. </w:t>
      </w:r>
    </w:p>
    <w:p w:rsidR="00065305" w:rsidRDefault="00EC6B6C">
      <w:pPr>
        <w:numPr>
          <w:ilvl w:val="0"/>
          <w:numId w:val="4"/>
        </w:numPr>
        <w:pBdr>
          <w:top w:val="nil"/>
          <w:left w:val="nil"/>
          <w:bottom w:val="nil"/>
          <w:right w:val="nil"/>
          <w:between w:val="nil"/>
        </w:pBdr>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firmado por el </w:t>
      </w:r>
      <w:r>
        <w:rPr>
          <w:rFonts w:ascii="Palatino Linotype" w:eastAsia="Palatino Linotype" w:hAnsi="Palatino Linotype" w:cs="Palatino Linotype"/>
        </w:rPr>
        <w:t>Contralor</w:t>
      </w:r>
      <w:r>
        <w:rPr>
          <w:rFonts w:ascii="Palatino Linotype" w:eastAsia="Palatino Linotype" w:hAnsi="Palatino Linotype" w:cs="Palatino Linotype"/>
          <w:color w:val="000000"/>
        </w:rPr>
        <w:t xml:space="preserve"> Municipal, por el que le solicitó a la Directora de Desarrollo Económico, atienda los motivos de inconformidad hechos valer dentro del recurso de revisión que nos ocupa en un plazo no mayor a tres días hábiles.</w:t>
      </w:r>
    </w:p>
    <w:p w:rsidR="00065305" w:rsidRDefault="00EC6B6C">
      <w:pPr>
        <w:numPr>
          <w:ilvl w:val="0"/>
          <w:numId w:val="4"/>
        </w:numPr>
        <w:pBdr>
          <w:top w:val="nil"/>
          <w:left w:val="nil"/>
          <w:bottom w:val="nil"/>
          <w:right w:val="nil"/>
          <w:between w:val="nil"/>
        </w:pBdr>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 firmado por la Encargada de Despacho de la Unidad de Transparencia, por el que derivado del número de fojas solicitó a la Dirección de Informática de este Instituto realizara el reporte de incidencia correspondiente.</w:t>
      </w:r>
    </w:p>
    <w:p w:rsidR="00065305" w:rsidRDefault="00EC6B6C">
      <w:pPr>
        <w:numPr>
          <w:ilvl w:val="0"/>
          <w:numId w:val="4"/>
        </w:numPr>
        <w:pBdr>
          <w:top w:val="nil"/>
          <w:left w:val="nil"/>
          <w:bottom w:val="nil"/>
          <w:right w:val="nil"/>
          <w:between w:val="nil"/>
        </w:pBdr>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Registro de incidencia, por el cual se establece lo siguiente:</w:t>
      </w:r>
    </w:p>
    <w:p w:rsidR="00065305" w:rsidRDefault="00065305">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rsidR="00065305" w:rsidRDefault="00EC6B6C">
      <w:pPr>
        <w:pBdr>
          <w:top w:val="nil"/>
          <w:left w:val="nil"/>
          <w:bottom w:val="nil"/>
          <w:right w:val="nil"/>
          <w:between w:val="nil"/>
        </w:pBdr>
        <w:ind w:left="709"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Es importante hacer mención que el </w:t>
      </w:r>
      <w:r>
        <w:rPr>
          <w:rFonts w:ascii="Palatino Linotype" w:eastAsia="Palatino Linotype" w:hAnsi="Palatino Linotype" w:cs="Palatino Linotype"/>
          <w:i/>
          <w:iCs/>
          <w:color w:val="000000"/>
          <w:u w:val="single"/>
        </w:rPr>
        <w:t xml:space="preserve">cúmulo de fojas referido </w:t>
      </w:r>
      <w:r>
        <w:rPr>
          <w:rFonts w:ascii="Palatino Linotype" w:eastAsia="Palatino Linotype" w:hAnsi="Palatino Linotype" w:cs="Palatino Linotype"/>
          <w:i/>
          <w:iCs/>
          <w:color w:val="000000"/>
        </w:rPr>
        <w:t>en el párrafo anterior, así como lo expresado en su solicitud para el cambio de modalidad, considerando los supuestos de su justificación con base en el artículo 164 de la Ley de Transparencia y Acceso a la Información Pública del Estado de México y Municipios, es responsabilidad del Sujeto Obligado.</w:t>
      </w:r>
    </w:p>
    <w:p w:rsidR="00065305" w:rsidRDefault="00065305">
      <w:pPr>
        <w:pBdr>
          <w:top w:val="nil"/>
          <w:left w:val="nil"/>
          <w:bottom w:val="nil"/>
          <w:right w:val="nil"/>
          <w:between w:val="nil"/>
        </w:pBdr>
        <w:ind w:left="709" w:right="-1131"/>
        <w:jc w:val="both"/>
        <w:rPr>
          <w:rFonts w:ascii="Palatino Linotype" w:eastAsia="Palatino Linotype" w:hAnsi="Palatino Linotype" w:cs="Palatino Linotype"/>
          <w:i/>
          <w:iCs/>
          <w:color w:val="000000"/>
        </w:rPr>
      </w:pPr>
    </w:p>
    <w:p w:rsidR="00065305" w:rsidRDefault="00EC6B6C">
      <w:pPr>
        <w:pBdr>
          <w:top w:val="nil"/>
          <w:left w:val="nil"/>
          <w:bottom w:val="nil"/>
          <w:right w:val="nil"/>
          <w:between w:val="nil"/>
        </w:pBdr>
        <w:ind w:left="709" w:right="-113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Por otro lado, para el escaneo de fojas le recomendamos utilizar una resolución alta de 150 Dpi's, en escala de grises y formato "PDF"; extraído directamente del escáner. De acuerdo con la recomendación, </w:t>
      </w:r>
      <w:r>
        <w:rPr>
          <w:rFonts w:ascii="Palatino Linotype" w:eastAsia="Palatino Linotype" w:hAnsi="Palatino Linotype" w:cs="Palatino Linotype"/>
          <w:b/>
          <w:bCs/>
          <w:i/>
          <w:iCs/>
          <w:color w:val="000000"/>
        </w:rPr>
        <w:t>el volumen de información referido puede llegar a un peso de 1,250MB aproximadamente, lo cual aun así supera las capacidades técnicas del sistema Saimex</w:t>
      </w:r>
    </w:p>
    <w:p w:rsidR="00065305" w:rsidRDefault="00065305">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rsidR="00065305" w:rsidRDefault="00EC6B6C">
      <w:pPr>
        <w:numPr>
          <w:ilvl w:val="0"/>
          <w:numId w:val="1"/>
        </w:numPr>
        <w:spacing w:line="360" w:lineRule="auto"/>
        <w:ind w:right="-1131"/>
        <w:jc w:val="both"/>
        <w:rPr>
          <w:rFonts w:ascii="Palatino Linotype" w:eastAsia="Palatino Linotype" w:hAnsi="Palatino Linotype" w:cs="Palatino Linotype"/>
        </w:rPr>
      </w:pPr>
      <w:bookmarkStart w:id="2" w:name="_heading=h.l3nz05pi9eu8" w:colFirst="0" w:colLast="0"/>
      <w:bookmarkEnd w:id="2"/>
      <w:r>
        <w:rPr>
          <w:rFonts w:ascii="Palatino Linotype" w:eastAsia="Palatino Linotype" w:hAnsi="Palatino Linotype" w:cs="Palatino Linotype"/>
          <w:b/>
          <w:bCs/>
          <w:color w:val="000000"/>
        </w:rPr>
        <w:t xml:space="preserve">EL PARTICULAR </w:t>
      </w:r>
      <w:r>
        <w:rPr>
          <w:rFonts w:ascii="Palatino Linotype" w:eastAsia="Palatino Linotype" w:hAnsi="Palatino Linotype" w:cs="Palatino Linotype"/>
          <w:color w:val="000000"/>
        </w:rPr>
        <w:t>no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realizó manifestaciones que a su derecho conviniera y asistiera dentro de los recursos que nos ocupan</w:t>
      </w:r>
    </w:p>
    <w:p w:rsidR="00065305" w:rsidRDefault="00065305">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rsidR="00065305" w:rsidRDefault="00EC6B6C">
      <w:pPr>
        <w:numPr>
          <w:ilvl w:val="0"/>
          <w:numId w:val="1"/>
        </w:numPr>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El </w:t>
      </w:r>
      <w:r>
        <w:rPr>
          <w:rFonts w:ascii="Palatino Linotype" w:eastAsia="Palatino Linotype" w:hAnsi="Palatino Linotype" w:cs="Palatino Linotype"/>
          <w:b/>
          <w:bCs/>
        </w:rPr>
        <w:t>cuatro de junio de dos mil veintiséis</w:t>
      </w:r>
      <w:r>
        <w:rPr>
          <w:rFonts w:ascii="Palatino Linotype" w:eastAsia="Palatino Linotype" w:hAnsi="Palatino Linotype" w:cs="Palatino Linotype"/>
        </w:rPr>
        <w:t xml:space="preserve">, se notificó el acuerdo mediante el cual se aprobó la ampliación de plazo para emitir resolución. </w:t>
      </w:r>
    </w:p>
    <w:p w:rsidR="00065305" w:rsidRDefault="00065305">
      <w:pPr>
        <w:spacing w:line="360" w:lineRule="auto"/>
        <w:ind w:right="-1131"/>
        <w:rPr>
          <w:rFonts w:ascii="Palatino Linotype" w:eastAsia="Palatino Linotype" w:hAnsi="Palatino Linotype" w:cs="Palatino Linotype"/>
        </w:rPr>
      </w:pPr>
    </w:p>
    <w:p w:rsidR="00065305" w:rsidRDefault="00EC6B6C">
      <w:pPr>
        <w:numPr>
          <w:ilvl w:val="0"/>
          <w:numId w:val="1"/>
        </w:numPr>
        <w:pBdr>
          <w:top w:val="nil"/>
          <w:left w:val="nil"/>
          <w:bottom w:val="nil"/>
          <w:right w:val="nil"/>
          <w:between w:val="nil"/>
        </w:pBdr>
        <w:spacing w:line="360" w:lineRule="auto"/>
        <w:ind w:right="-1131"/>
        <w:jc w:val="both"/>
        <w:rPr>
          <w:rFonts w:ascii="Palatino Linotype" w:eastAsia="Palatino Linotype" w:hAnsi="Palatino Linotype" w:cs="Palatino Linotype"/>
          <w:b/>
          <w:bCs/>
          <w:color w:val="000000"/>
        </w:rPr>
      </w:pPr>
      <w:bookmarkStart w:id="3" w:name="_heading=h.6t8adv7twv94" w:colFirst="0" w:colLast="0"/>
      <w:bookmarkEnd w:id="3"/>
      <w:r>
        <w:rPr>
          <w:rFonts w:ascii="Palatino Linotype" w:eastAsia="Palatino Linotype" w:hAnsi="Palatino Linotype" w:cs="Palatino Linotype"/>
          <w:color w:val="000000"/>
        </w:rPr>
        <w:t xml:space="preserve">Finalmente, mediante acuerdo de </w:t>
      </w:r>
      <w:r>
        <w:rPr>
          <w:rFonts w:ascii="Palatino Linotype" w:eastAsia="Palatino Linotype" w:hAnsi="Palatino Linotype" w:cs="Palatino Linotype"/>
          <w:b/>
          <w:bCs/>
          <w:color w:val="000000"/>
        </w:rPr>
        <w:t>diez de junio de dos mil veinticinco</w:t>
      </w:r>
      <w:r>
        <w:rPr>
          <w:rFonts w:ascii="Palatino Linotype" w:eastAsia="Palatino Linotype" w:hAnsi="Palatino Linotype" w:cs="Palatino Linotype"/>
          <w:color w:val="000000"/>
        </w:rPr>
        <w:t>, se  decretó el cierre de instrucción, por lo que no habiendo más que hacer constar, y</w:t>
      </w:r>
    </w:p>
    <w:p w:rsidR="00065305" w:rsidRDefault="00065305">
      <w:pPr>
        <w:pBdr>
          <w:top w:val="nil"/>
          <w:left w:val="nil"/>
          <w:bottom w:val="nil"/>
          <w:right w:val="nil"/>
          <w:between w:val="nil"/>
        </w:pBdr>
        <w:ind w:left="720" w:right="-1131"/>
        <w:rPr>
          <w:rFonts w:ascii="Palatino Linotype" w:eastAsia="Palatino Linotype" w:hAnsi="Palatino Linotype" w:cs="Palatino Linotype"/>
          <w:b/>
          <w:bCs/>
          <w:color w:val="000000"/>
        </w:rPr>
      </w:pPr>
    </w:p>
    <w:p w:rsidR="00065305" w:rsidRDefault="00EC6B6C">
      <w:pPr>
        <w:pStyle w:val="Ttulo1"/>
        <w:tabs>
          <w:tab w:val="left" w:pos="567"/>
        </w:tabs>
        <w:spacing w:before="0" w:line="360" w:lineRule="auto"/>
        <w:ind w:right="-1131"/>
        <w:jc w:val="center"/>
      </w:pPr>
      <w:bookmarkStart w:id="4" w:name="_heading=h.omy1n1yh4bsp" w:colFirst="0" w:colLast="0"/>
      <w:bookmarkEnd w:id="4"/>
      <w:r>
        <w:t>C O N S I D E R A N D O</w:t>
      </w:r>
    </w:p>
    <w:p w:rsidR="00065305" w:rsidRDefault="00065305">
      <w:pPr>
        <w:spacing w:line="360" w:lineRule="auto"/>
        <w:ind w:right="-1131"/>
        <w:rPr>
          <w:rFonts w:ascii="Palatino Linotype" w:eastAsia="Palatino Linotype" w:hAnsi="Palatino Linotype" w:cs="Palatino Linotype"/>
        </w:rPr>
      </w:pPr>
    </w:p>
    <w:p w:rsidR="00065305" w:rsidRDefault="00EC6B6C">
      <w:pPr>
        <w:pStyle w:val="Ttulo1"/>
        <w:tabs>
          <w:tab w:val="left" w:pos="567"/>
        </w:tabs>
        <w:spacing w:before="0" w:line="360" w:lineRule="auto"/>
        <w:ind w:right="-1131"/>
        <w:rPr>
          <w:b w:val="0"/>
          <w:bCs w:val="0"/>
        </w:rPr>
      </w:pPr>
      <w:bookmarkStart w:id="5" w:name="_heading=h.5rm92m16vsq5" w:colFirst="0" w:colLast="0"/>
      <w:bookmarkEnd w:id="5"/>
      <w:r>
        <w:t>PRIMERO. De la competencia</w:t>
      </w:r>
    </w:p>
    <w:p w:rsidR="00065305" w:rsidRDefault="00EC6B6C">
      <w:pPr>
        <w:numPr>
          <w:ilvl w:val="0"/>
          <w:numId w:val="1"/>
        </w:num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065305" w:rsidRDefault="000653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rsidR="00065305" w:rsidRDefault="00EC6B6C">
      <w:pPr>
        <w:pStyle w:val="Ttulo2"/>
        <w:spacing w:before="0" w:line="360" w:lineRule="auto"/>
        <w:ind w:right="-1131"/>
        <w:rPr>
          <w:b w:val="0"/>
          <w:bCs w:val="0"/>
        </w:rPr>
      </w:pPr>
      <w:bookmarkStart w:id="6" w:name="_heading=h.20lougjbobh9" w:colFirst="0" w:colLast="0"/>
      <w:bookmarkEnd w:id="6"/>
      <w:r>
        <w:t>SEGUNDO. De la oportunidad y procedencia.</w:t>
      </w:r>
    </w:p>
    <w:p w:rsidR="00065305" w:rsidRDefault="00EC6B6C">
      <w:pPr>
        <w:numPr>
          <w:ilvl w:val="0"/>
          <w:numId w:val="1"/>
        </w:num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medio de impugnación fue presentado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dio respuesta a la solicitud</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nueve de marzo de dos mil veintiséis</w:t>
      </w:r>
      <w:r>
        <w:rPr>
          <w:rFonts w:ascii="Palatino Linotype" w:eastAsia="Palatino Linotype" w:hAnsi="Palatino Linotype" w:cs="Palatino Linotype"/>
          <w:color w:val="000000"/>
        </w:rPr>
        <w:t xml:space="preserve">, de tal forma que el plazo para interponer </w:t>
      </w:r>
      <w:r>
        <w:rPr>
          <w:rFonts w:ascii="Palatino Linotype" w:eastAsia="Palatino Linotype" w:hAnsi="Palatino Linotype" w:cs="Palatino Linotype"/>
          <w:color w:val="000000"/>
        </w:rPr>
        <w:lastRenderedPageBreak/>
        <w:t xml:space="preserve">los recursos de revisión transcurrió del </w:t>
      </w:r>
      <w:r>
        <w:rPr>
          <w:rFonts w:ascii="Palatino Linotype" w:eastAsia="Palatino Linotype" w:hAnsi="Palatino Linotype" w:cs="Palatino Linotype"/>
          <w:b/>
          <w:bCs/>
          <w:color w:val="000000"/>
        </w:rPr>
        <w:t>diez de marzo al siete de abril de dos mil veintiséis</w:t>
      </w:r>
      <w:r>
        <w:rPr>
          <w:rFonts w:ascii="Palatino Linotype" w:eastAsia="Palatino Linotype" w:hAnsi="Palatino Linotype" w:cs="Palatino Linotype"/>
          <w:color w:val="000000"/>
        </w:rPr>
        <w:t xml:space="preserve">; en consecuencia, 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presentó su inconformidad el </w:t>
      </w:r>
      <w:r>
        <w:rPr>
          <w:rFonts w:ascii="Palatino Linotype" w:eastAsia="Palatino Linotype" w:hAnsi="Palatino Linotype" w:cs="Palatino Linotype"/>
          <w:b/>
          <w:bCs/>
          <w:color w:val="000000"/>
        </w:rPr>
        <w:t>diez de marzo de dos mil veintiséis</w:t>
      </w:r>
      <w:r>
        <w:rPr>
          <w:rFonts w:ascii="Palatino Linotype" w:eastAsia="Palatino Linotype" w:hAnsi="Palatino Linotype" w:cs="Palatino Linotype"/>
          <w:color w:val="000000"/>
        </w:rPr>
        <w:t>; por lo que se estima que la inconformidad se presentó dentro del lapso legalmente establecido para tal efecto.</w:t>
      </w:r>
    </w:p>
    <w:p w:rsidR="00065305" w:rsidRDefault="00065305">
      <w:pPr>
        <w:spacing w:line="360" w:lineRule="auto"/>
        <w:ind w:right="-1131"/>
        <w:rPr>
          <w:rFonts w:ascii="Palatino Linotype" w:eastAsia="Palatino Linotype" w:hAnsi="Palatino Linotype" w:cs="Palatino Linotype"/>
        </w:rPr>
      </w:pPr>
    </w:p>
    <w:p w:rsidR="00065305" w:rsidRDefault="00EC6B6C">
      <w:pPr>
        <w:pStyle w:val="Ttulo2"/>
        <w:spacing w:before="0" w:line="360" w:lineRule="auto"/>
        <w:ind w:right="-1131"/>
        <w:rPr>
          <w:b w:val="0"/>
          <w:bCs w:val="0"/>
        </w:rPr>
      </w:pPr>
      <w:bookmarkStart w:id="7" w:name="_heading=h.dvut7rwg13ea" w:colFirst="0" w:colLast="0"/>
      <w:bookmarkEnd w:id="7"/>
      <w:r>
        <w:t xml:space="preserve">TERCERO. Del planteamiento de la </w:t>
      </w:r>
      <w:r>
        <w:rPr>
          <w:i/>
          <w:iCs/>
        </w:rPr>
        <w:t>Litis</w:t>
      </w:r>
      <w:r>
        <w:t>.</w:t>
      </w:r>
    </w:p>
    <w:p w:rsidR="00065305" w:rsidRDefault="00EC6B6C">
      <w:pPr>
        <w:numPr>
          <w:ilvl w:val="0"/>
          <w:numId w:val="1"/>
        </w:num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solicitó tener acceso, a la información:</w:t>
      </w:r>
    </w:p>
    <w:p w:rsidR="00065305" w:rsidRDefault="00EC6B6C">
      <w:pPr>
        <w:numPr>
          <w:ilvl w:val="0"/>
          <w:numId w:val="3"/>
        </w:numPr>
        <w:pBdr>
          <w:top w:val="nil"/>
          <w:left w:val="nil"/>
          <w:bottom w:val="nil"/>
          <w:right w:val="nil"/>
          <w:between w:val="nil"/>
        </w:pBdr>
        <w:ind w:left="851"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medio del presente, solicito se remitan todos los oficios enviados y recibidos por la Dirección de Desarrollo Económico, correspondientes al periodo que obre en sus archivos en trámite, incluyendo en su caso los anexos respectivos.</w:t>
      </w:r>
    </w:p>
    <w:p w:rsidR="00065305" w:rsidRDefault="00065305">
      <w:pPr>
        <w:pBdr>
          <w:top w:val="nil"/>
          <w:left w:val="nil"/>
          <w:bottom w:val="nil"/>
          <w:right w:val="nil"/>
          <w:between w:val="nil"/>
        </w:pBdr>
        <w:ind w:left="720" w:right="-1131"/>
        <w:jc w:val="both"/>
        <w:rPr>
          <w:rFonts w:ascii="Palatino Linotype" w:eastAsia="Palatino Linotype" w:hAnsi="Palatino Linotype" w:cs="Palatino Linotype"/>
          <w:color w:val="000000"/>
        </w:rPr>
      </w:pPr>
    </w:p>
    <w:p w:rsidR="00065305" w:rsidRDefault="00065305">
      <w:pPr>
        <w:pBdr>
          <w:top w:val="nil"/>
          <w:left w:val="nil"/>
          <w:bottom w:val="nil"/>
          <w:right w:val="nil"/>
          <w:between w:val="nil"/>
        </w:pBdr>
        <w:ind w:left="720" w:right="-1131"/>
        <w:jc w:val="both"/>
        <w:rPr>
          <w:rFonts w:ascii="Palatino Linotype" w:eastAsia="Palatino Linotype" w:hAnsi="Palatino Linotype" w:cs="Palatino Linotype"/>
          <w:color w:val="000000"/>
        </w:rPr>
      </w:pPr>
    </w:p>
    <w:p w:rsidR="00065305" w:rsidRDefault="00EC6B6C">
      <w:pPr>
        <w:numPr>
          <w:ilvl w:val="0"/>
          <w:numId w:val="1"/>
        </w:numPr>
        <w:spacing w:line="360" w:lineRule="auto"/>
        <w:ind w:right="-1131"/>
        <w:jc w:val="both"/>
        <w:rPr>
          <w:rFonts w:ascii="Palatino Linotype" w:eastAsia="Palatino Linotype" w:hAnsi="Palatino Linotype" w:cs="Palatino Linotype"/>
          <w:b/>
          <w:bCs/>
          <w:u w:val="single"/>
        </w:rPr>
      </w:pPr>
      <w:r>
        <w:rPr>
          <w:rFonts w:ascii="Palatino Linotype" w:eastAsia="Palatino Linotype" w:hAnsi="Palatino Linotype" w:cs="Palatino Linotype"/>
        </w:rPr>
        <w:t xml:space="preserve">En respuesta,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informó</w:t>
      </w:r>
      <w:r>
        <w:rPr>
          <w:rFonts w:ascii="Palatino Linotype" w:eastAsia="Palatino Linotype" w:hAnsi="Palatino Linotype" w:cs="Palatino Linotype"/>
          <w:b/>
          <w:bCs/>
        </w:rPr>
        <w:t xml:space="preserve"> </w:t>
      </w:r>
      <w:r>
        <w:rPr>
          <w:rFonts w:ascii="Palatino Linotype" w:eastAsia="Palatino Linotype" w:hAnsi="Palatino Linotype" w:cs="Palatino Linotype"/>
          <w:color w:val="000000"/>
        </w:rPr>
        <w:t xml:space="preserve">que de acuerdo al </w:t>
      </w:r>
      <w:r>
        <w:rPr>
          <w:rFonts w:ascii="Palatino Linotype" w:eastAsia="Palatino Linotype" w:hAnsi="Palatino Linotype" w:cs="Palatino Linotype"/>
        </w:rPr>
        <w:t>cúmulo</w:t>
      </w:r>
      <w:r>
        <w:rPr>
          <w:rFonts w:ascii="Palatino Linotype" w:eastAsia="Palatino Linotype" w:hAnsi="Palatino Linotype" w:cs="Palatino Linotype"/>
          <w:color w:val="000000"/>
        </w:rPr>
        <w:t xml:space="preserve"> de la información solicitada, no es posible </w:t>
      </w:r>
      <w:r>
        <w:rPr>
          <w:rFonts w:ascii="Palatino Linotype" w:eastAsia="Palatino Linotype" w:hAnsi="Palatino Linotype" w:cs="Palatino Linotype"/>
        </w:rPr>
        <w:t>remitir en</w:t>
      </w:r>
      <w:r>
        <w:rPr>
          <w:rFonts w:ascii="Palatino Linotype" w:eastAsia="Palatino Linotype" w:hAnsi="Palatino Linotype" w:cs="Palatino Linotype"/>
          <w:color w:val="000000"/>
        </w:rPr>
        <w:t xml:space="preserve"> la modalidad solicitada, es decir, a través </w:t>
      </w:r>
      <w:r>
        <w:rPr>
          <w:rFonts w:ascii="Palatino Linotype" w:eastAsia="Palatino Linotype" w:hAnsi="Palatino Linotype" w:cs="Palatino Linotype"/>
        </w:rPr>
        <w:t>del SAIMEX</w:t>
      </w:r>
      <w:r>
        <w:rPr>
          <w:rFonts w:ascii="Palatino Linotype" w:eastAsia="Palatino Linotype" w:hAnsi="Palatino Linotype" w:cs="Palatino Linotype"/>
          <w:color w:val="000000"/>
        </w:rPr>
        <w:t xml:space="preserve">, por lo que puso a disposición la información en la modalidad en consulta directa. </w:t>
      </w:r>
    </w:p>
    <w:p w:rsidR="00065305" w:rsidRDefault="00065305">
      <w:pPr>
        <w:spacing w:line="360" w:lineRule="auto"/>
        <w:ind w:right="-1131"/>
        <w:jc w:val="both"/>
        <w:rPr>
          <w:rFonts w:ascii="Palatino Linotype" w:eastAsia="Palatino Linotype" w:hAnsi="Palatino Linotype" w:cs="Palatino Linotype"/>
          <w:b/>
          <w:bCs/>
          <w:u w:val="single"/>
        </w:rPr>
      </w:pPr>
    </w:p>
    <w:p w:rsidR="00065305" w:rsidRDefault="00EC6B6C">
      <w:pPr>
        <w:numPr>
          <w:ilvl w:val="0"/>
          <w:numId w:val="1"/>
        </w:numPr>
        <w:spacing w:line="360" w:lineRule="auto"/>
        <w:ind w:right="-1131"/>
        <w:jc w:val="both"/>
        <w:rPr>
          <w:rFonts w:ascii="Palatino Linotype" w:eastAsia="Palatino Linotype" w:hAnsi="Palatino Linotype" w:cs="Palatino Linotype"/>
          <w:b/>
          <w:bCs/>
          <w:color w:val="000000"/>
          <w:u w:val="single"/>
        </w:rPr>
      </w:pPr>
      <w:r>
        <w:rPr>
          <w:rFonts w:ascii="Palatino Linotype" w:eastAsia="Palatino Linotype" w:hAnsi="Palatino Linotype" w:cs="Palatino Linotype"/>
          <w:color w:val="000000"/>
        </w:rPr>
        <w:t xml:space="preserve">Inconforme con lo anterior, el </w:t>
      </w:r>
      <w:r>
        <w:rPr>
          <w:rFonts w:ascii="Palatino Linotype" w:eastAsia="Palatino Linotype" w:hAnsi="Palatino Linotype" w:cs="Palatino Linotype"/>
          <w:b/>
          <w:bCs/>
          <w:color w:val="000000"/>
        </w:rPr>
        <w:t xml:space="preserve">PARTICULAR, </w:t>
      </w:r>
      <w:r>
        <w:rPr>
          <w:rFonts w:ascii="Palatino Linotype" w:eastAsia="Palatino Linotype" w:hAnsi="Palatino Linotype" w:cs="Palatino Linotype"/>
          <w:color w:val="000000"/>
        </w:rPr>
        <w:t xml:space="preserve">interpuso los recursos de revisión que nos ocupan, arguyendo que no se le hizo entrega de la información solicitada. </w:t>
      </w:r>
    </w:p>
    <w:p w:rsidR="00065305" w:rsidRDefault="00065305">
      <w:pPr>
        <w:spacing w:line="360" w:lineRule="auto"/>
        <w:ind w:right="-1131"/>
        <w:jc w:val="both"/>
        <w:rPr>
          <w:rFonts w:ascii="Palatino Linotype" w:eastAsia="Palatino Linotype" w:hAnsi="Palatino Linotype" w:cs="Palatino Linotype"/>
        </w:rPr>
      </w:pPr>
    </w:p>
    <w:p w:rsidR="00065305" w:rsidRDefault="00EC6B6C">
      <w:pPr>
        <w:numPr>
          <w:ilvl w:val="0"/>
          <w:numId w:val="1"/>
        </w:numPr>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rPr>
        <w:t xml:space="preserve">En consecuencia de lo anterior que el ahora recurrente arguyó como acto impugnado que se le niega la información solicitada, por lo que,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a resolver en este recurso se circunscribe a determinar si se actualiza la causal de procedencia prevista en el artículo 179, </w:t>
      </w:r>
      <w:r>
        <w:rPr>
          <w:rFonts w:ascii="Palatino Linotype" w:eastAsia="Palatino Linotype" w:hAnsi="Palatino Linotype" w:cs="Palatino Linotype"/>
          <w:b/>
          <w:bCs/>
        </w:rPr>
        <w:t>fracción I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hipótesis jurídica relativa a la negativa a la información solicitada; </w:t>
      </w:r>
      <w:r>
        <w:rPr>
          <w:rFonts w:ascii="Palatino Linotype" w:eastAsia="Palatino Linotype" w:hAnsi="Palatino Linotype" w:cs="Palatino Linotype"/>
        </w:rPr>
        <w:t xml:space="preserve">contexto del cual se dolió </w:t>
      </w:r>
      <w:r>
        <w:rPr>
          <w:rFonts w:ascii="Palatino Linotype" w:eastAsia="Palatino Linotype" w:hAnsi="Palatino Linotype" w:cs="Palatino Linotype"/>
          <w:b/>
          <w:bCs/>
        </w:rPr>
        <w:t xml:space="preserve">EL RECURRENTE </w:t>
      </w:r>
      <w:r>
        <w:rPr>
          <w:rFonts w:ascii="Palatino Linotype" w:eastAsia="Palatino Linotype" w:hAnsi="Palatino Linotype" w:cs="Palatino Linotype"/>
        </w:rPr>
        <w:t>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w:t>
      </w:r>
      <w:r>
        <w:rPr>
          <w:rFonts w:ascii="Palatino Linotype" w:eastAsia="Palatino Linotype" w:hAnsi="Palatino Linotype" w:cs="Palatino Linotype"/>
          <w:color w:val="000000"/>
        </w:rPr>
        <w:lastRenderedPageBreak/>
        <w:t xml:space="preserve">si 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 xml:space="preserve"> con su respuesta ciertamente actualiza las causales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antes señaladas. </w:t>
      </w:r>
    </w:p>
    <w:p w:rsidR="00065305" w:rsidRDefault="00065305">
      <w:pPr>
        <w:spacing w:line="360" w:lineRule="auto"/>
        <w:ind w:right="-1131"/>
        <w:jc w:val="both"/>
        <w:rPr>
          <w:rFonts w:ascii="Palatino Linotype" w:eastAsia="Palatino Linotype" w:hAnsi="Palatino Linotype" w:cs="Palatino Linotype"/>
        </w:rPr>
      </w:pPr>
    </w:p>
    <w:p w:rsidR="00065305" w:rsidRDefault="00EC6B6C">
      <w:pPr>
        <w:pStyle w:val="Ttulo2"/>
        <w:tabs>
          <w:tab w:val="left" w:pos="426"/>
        </w:tabs>
        <w:ind w:right="-1131"/>
        <w:rPr>
          <w:b w:val="0"/>
          <w:bCs w:val="0"/>
        </w:rPr>
      </w:pPr>
      <w:r>
        <w:t>CUARTO. Estudio y Resolución del asunto.</w:t>
      </w:r>
    </w:p>
    <w:p w:rsidR="00065305" w:rsidRDefault="00EC6B6C">
      <w:pPr>
        <w:numPr>
          <w:ilvl w:val="0"/>
          <w:numId w:val="1"/>
        </w:numPr>
        <w:spacing w:line="360" w:lineRule="auto"/>
        <w:ind w:right="-1131"/>
        <w:jc w:val="both"/>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al respecto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ser cuidadoso del debido cumplimiento de las obligaciones constitucionales que se le imponen, en consecuencia, a todas las autoridades, en el ámbito de su competencia, según lo dispone el tercer párrafo del artículo primero de la </w:t>
      </w:r>
      <w:r>
        <w:rPr>
          <w:rFonts w:ascii="Palatino Linotype" w:eastAsia="Palatino Linotype" w:hAnsi="Palatino Linotype" w:cs="Palatino Linotype"/>
          <w:b/>
          <w:bCs/>
          <w:color w:val="000000"/>
        </w:rPr>
        <w:t xml:space="preserve">Constitución Política de los Estados Unidos Mexicanos </w:t>
      </w:r>
      <w:r>
        <w:rPr>
          <w:rFonts w:ascii="Palatino Linotype" w:eastAsia="Palatino Linotype" w:hAnsi="Palatino Linotype" w:cs="Palatino Linotype"/>
          <w:color w:val="000000"/>
        </w:rPr>
        <w:t xml:space="preserve">al señalar la obligación de “promover, </w:t>
      </w:r>
      <w:r>
        <w:rPr>
          <w:rFonts w:ascii="Palatino Linotype" w:eastAsia="Palatino Linotype" w:hAnsi="Palatino Linotype" w:cs="Palatino Linotype"/>
          <w:b/>
          <w:bCs/>
          <w:color w:val="000000"/>
        </w:rPr>
        <w:t>respetar</w:t>
      </w:r>
      <w:r>
        <w:rPr>
          <w:rFonts w:ascii="Palatino Linotype" w:eastAsia="Palatino Linotype" w:hAnsi="Palatino Linotype" w:cs="Palatino Linotype"/>
          <w:color w:val="000000"/>
        </w:rPr>
        <w:t xml:space="preserve">, proteger y </w:t>
      </w:r>
      <w:r>
        <w:rPr>
          <w:rFonts w:ascii="Palatino Linotype" w:eastAsia="Palatino Linotype" w:hAnsi="Palatino Linotype" w:cs="Palatino Linotype"/>
          <w:b/>
          <w:bCs/>
          <w:color w:val="000000"/>
        </w:rPr>
        <w:t>garantizar</w:t>
      </w:r>
      <w:r>
        <w:rPr>
          <w:rFonts w:ascii="Palatino Linotype" w:eastAsia="Palatino Linotype" w:hAnsi="Palatino Linotype" w:cs="Palatino Linotype"/>
          <w:color w:val="000000"/>
        </w:rPr>
        <w:t xml:space="preserve"> los derechos humanos”, entre los cuales se encuentra dicho derecho. </w:t>
      </w:r>
    </w:p>
    <w:p w:rsidR="00065305" w:rsidRDefault="00065305">
      <w:pPr>
        <w:tabs>
          <w:tab w:val="left" w:pos="284"/>
        </w:tabs>
        <w:spacing w:line="360" w:lineRule="auto"/>
        <w:ind w:right="-1131"/>
        <w:jc w:val="both"/>
        <w:rPr>
          <w:rFonts w:ascii="Palatino Linotype" w:eastAsia="Palatino Linotype" w:hAnsi="Palatino Linotype" w:cs="Palatino Linotype"/>
          <w:color w:val="000000"/>
        </w:rPr>
      </w:pPr>
    </w:p>
    <w:p w:rsidR="00065305" w:rsidRDefault="00EC6B6C">
      <w:pPr>
        <w:numPr>
          <w:ilvl w:val="0"/>
          <w:numId w:val="1"/>
        </w:numPr>
        <w:spacing w:line="360" w:lineRule="auto"/>
        <w:ind w:right="-1131"/>
        <w:jc w:val="both"/>
      </w:pPr>
      <w:r>
        <w:rPr>
          <w:rFonts w:ascii="Palatino Linotype" w:eastAsia="Palatino Linotype" w:hAnsi="Palatino Linotype" w:cs="Palatino Linotype"/>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color w:val="000000"/>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color w:val="000000"/>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w:t>
      </w:r>
      <w:r>
        <w:rPr>
          <w:rFonts w:ascii="Palatino Linotype" w:eastAsia="Palatino Linotype" w:hAnsi="Palatino Linotype" w:cs="Palatino Linotype"/>
          <w:i/>
          <w:iCs/>
          <w:color w:val="000000"/>
        </w:rPr>
        <w:lastRenderedPageBreak/>
        <w:t>adecuado cumplimiento a las funciones públicas,</w:t>
      </w:r>
      <w:r>
        <w:rPr>
          <w:rFonts w:ascii="Palatino Linotype" w:eastAsia="Palatino Linotype" w:hAnsi="Palatino Linotype" w:cs="Palatino Linotype"/>
          <w:i/>
          <w:iCs/>
          <w:color w:val="000000"/>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color w:val="000000"/>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065305" w:rsidRDefault="00065305">
      <w:pPr>
        <w:tabs>
          <w:tab w:val="left" w:pos="284"/>
        </w:tabs>
        <w:ind w:right="-1131"/>
        <w:rPr>
          <w:rFonts w:ascii="Palatino Linotype" w:eastAsia="Palatino Linotype" w:hAnsi="Palatino Linotype" w:cs="Palatino Linotype"/>
        </w:rPr>
      </w:pPr>
    </w:p>
    <w:p w:rsidR="00065305" w:rsidRDefault="00EC6B6C">
      <w:pPr>
        <w:numPr>
          <w:ilvl w:val="0"/>
          <w:numId w:val="1"/>
        </w:numPr>
        <w:spacing w:line="360" w:lineRule="auto"/>
        <w:ind w:right="-1131"/>
        <w:jc w:val="both"/>
      </w:pPr>
      <w:r>
        <w:rPr>
          <w:rFonts w:ascii="Palatino Linotype" w:eastAsia="Palatino Linotype" w:hAnsi="Palatino Linotype" w:cs="Palatino Linotype"/>
        </w:rPr>
        <w:t>Se deduce que el derecho de acceso a la información pública es un derecho humano constitucionalmente reconocido, en consecuencia, todas las autoridades en el ámbito de sus competencias, funciones y atribuciones tienen la obligación de respetarlo, protegerlo y garantizar.</w:t>
      </w:r>
    </w:p>
    <w:p w:rsidR="00065305" w:rsidRDefault="00065305">
      <w:pPr>
        <w:tabs>
          <w:tab w:val="left" w:pos="284"/>
        </w:tabs>
        <w:spacing w:line="360" w:lineRule="auto"/>
        <w:ind w:right="-1131"/>
        <w:jc w:val="both"/>
        <w:rPr>
          <w:rFonts w:ascii="Palatino Linotype" w:eastAsia="Palatino Linotype" w:hAnsi="Palatino Linotype" w:cs="Palatino Linotype"/>
          <w:i/>
          <w:iCs/>
          <w:color w:val="FF0000"/>
        </w:rPr>
      </w:pPr>
    </w:p>
    <w:p w:rsidR="008C58CA" w:rsidRPr="008C58CA" w:rsidRDefault="00EC6B6C">
      <w:pPr>
        <w:numPr>
          <w:ilvl w:val="0"/>
          <w:numId w:val="1"/>
        </w:numPr>
        <w:spacing w:line="360" w:lineRule="auto"/>
        <w:ind w:right="-1131"/>
        <w:jc w:val="both"/>
      </w:pPr>
      <w:r>
        <w:rPr>
          <w:rFonts w:ascii="Palatino Linotype" w:eastAsia="Palatino Linotype" w:hAnsi="Palatino Linotype" w:cs="Palatino Linotype"/>
        </w:rPr>
        <w:t xml:space="preserve">Es así que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cuyo objeto es establecer principios, bases generales y procedimientos para tutelar y garantizar la transparencia y el derecho humano de acceso a la información pública en posesión de los sujetos obligados; en su artículo 176</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establece que </w:t>
      </w:r>
      <w:r>
        <w:rPr>
          <w:rFonts w:ascii="Palatino Linotype" w:eastAsia="Palatino Linotype" w:hAnsi="Palatino Linotype" w:cs="Palatino Linotype"/>
          <w:b/>
          <w:bCs/>
          <w:i/>
          <w:iCs/>
          <w:u w:val="single"/>
        </w:rPr>
        <w:t>el recurso de revisión es la garantía secundaria</w:t>
      </w:r>
      <w:r>
        <w:rPr>
          <w:rFonts w:ascii="Palatino Linotype" w:eastAsia="Palatino Linotype" w:hAnsi="Palatino Linotype" w:cs="Palatino Linotype"/>
          <w:b/>
          <w:bCs/>
          <w:i/>
          <w:iCs/>
        </w:rPr>
        <w:t xml:space="preserve"> mediante la cual se pretende reparar cualquier posible afectación al derecho de acceso a la información pública</w:t>
      </w:r>
      <w:r>
        <w:rPr>
          <w:rFonts w:ascii="Palatino Linotype" w:eastAsia="Palatino Linotype" w:hAnsi="Palatino Linotype" w:cs="Palatino Linotype"/>
          <w:b/>
          <w:bCs/>
        </w:rPr>
        <w:t>, s</w:t>
      </w:r>
      <w:r>
        <w:rPr>
          <w:rFonts w:ascii="Palatino Linotype" w:eastAsia="Palatino Linotype" w:hAnsi="Palatino Linotype" w:cs="Palatino Linotype"/>
        </w:rPr>
        <w:t xml:space="preserve">iendo éste el medio a través del cual, este Órgano Garante después de realizar el análisis al procedimiento de acceso a la información, podrá determinar la posible afectación y de ser el caso ordenar la reparación a la violación del derecho en cuestión. </w:t>
      </w:r>
    </w:p>
    <w:p w:rsidR="00065305" w:rsidRDefault="00EC6B6C" w:rsidP="008C58CA">
      <w:pPr>
        <w:spacing w:line="360" w:lineRule="auto"/>
        <w:ind w:right="-1131"/>
        <w:jc w:val="both"/>
      </w:pPr>
      <w:r>
        <w:rPr>
          <w:rFonts w:ascii="Palatino Linotype" w:eastAsia="Palatino Linotype" w:hAnsi="Palatino Linotype" w:cs="Palatino Linotype"/>
        </w:rPr>
        <w:t xml:space="preserve"> </w:t>
      </w:r>
    </w:p>
    <w:p w:rsidR="00065305" w:rsidRDefault="00EC6B6C">
      <w:pPr>
        <w:numPr>
          <w:ilvl w:val="0"/>
          <w:numId w:val="1"/>
        </w:numPr>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rPr>
        <w:t xml:space="preserve">Previo a entrar al fondo del asunto, respecto la fuente obligacional, se advierte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acepta que genera, posee y/o administra la información solicitan tan es </w:t>
      </w:r>
      <w:r>
        <w:rPr>
          <w:rFonts w:ascii="Palatino Linotype" w:eastAsia="Palatino Linotype" w:hAnsi="Palatino Linotype" w:cs="Palatino Linotype"/>
        </w:rPr>
        <w:lastRenderedPageBreak/>
        <w:t xml:space="preserve">así que pone a disposición la misma, en la modalidad de consulta directa, por lo que resulta innecesario realizar el estudio correspondiente, pues –se insiste- este asume contar con la información solicitada. </w:t>
      </w:r>
    </w:p>
    <w:p w:rsidR="00065305" w:rsidRDefault="00065305">
      <w:pPr>
        <w:spacing w:line="360" w:lineRule="auto"/>
        <w:ind w:right="-1131"/>
        <w:jc w:val="both"/>
        <w:rPr>
          <w:rFonts w:ascii="Palatino Linotype" w:eastAsia="Palatino Linotype" w:hAnsi="Palatino Linotype" w:cs="Palatino Linotype"/>
        </w:rPr>
      </w:pPr>
    </w:p>
    <w:p w:rsidR="00065305" w:rsidRDefault="00EC6B6C">
      <w:pPr>
        <w:numPr>
          <w:ilvl w:val="0"/>
          <w:numId w:val="1"/>
        </w:numPr>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por lo que hace al cambio de modalidad hecho valer por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se advierte lo siguiente:</w:t>
      </w:r>
    </w:p>
    <w:p w:rsidR="00065305" w:rsidRDefault="00065305">
      <w:pPr>
        <w:spacing w:line="360" w:lineRule="auto"/>
        <w:ind w:right="-1131"/>
        <w:jc w:val="both"/>
        <w:rPr>
          <w:rFonts w:ascii="Palatino Linotype" w:eastAsia="Palatino Linotype" w:hAnsi="Palatino Linotype" w:cs="Palatino Linotype"/>
        </w:rPr>
      </w:pPr>
    </w:p>
    <w:p w:rsidR="00065305" w:rsidRDefault="00EC6B6C">
      <w:pPr>
        <w:numPr>
          <w:ilvl w:val="0"/>
          <w:numId w:val="1"/>
        </w:numPr>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rPr>
        <w:t>La Ley de Transparencia y Acceso a la Información Pública del Estado de México y Municipios establece en los artículos 155 fracción V, 158 y 164 lo siguiente:</w:t>
      </w:r>
    </w:p>
    <w:p w:rsidR="00065305" w:rsidRDefault="00EC6B6C">
      <w:pPr>
        <w:pBdr>
          <w:top w:val="nil"/>
          <w:left w:val="nil"/>
          <w:bottom w:val="nil"/>
          <w:right w:val="nil"/>
          <w:between w:val="nil"/>
        </w:pBdr>
        <w:tabs>
          <w:tab w:val="left" w:pos="851"/>
        </w:tabs>
        <w:spacing w:before="240"/>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155. Para presentar una solicitud por escrito, no se podrán exigir mayores requisitos que los siguientes:</w:t>
      </w:r>
    </w:p>
    <w:p w:rsidR="00065305" w:rsidRDefault="00EC6B6C">
      <w:pPr>
        <w:pBdr>
          <w:top w:val="nil"/>
          <w:left w:val="nil"/>
          <w:bottom w:val="nil"/>
          <w:right w:val="nil"/>
          <w:between w:val="nil"/>
        </w:pBdr>
        <w:tabs>
          <w:tab w:val="left" w:pos="851"/>
        </w:tabs>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 a IV. …</w:t>
      </w:r>
    </w:p>
    <w:p w:rsidR="00065305" w:rsidRDefault="00EC6B6C">
      <w:pPr>
        <w:pBdr>
          <w:top w:val="nil"/>
          <w:left w:val="nil"/>
          <w:bottom w:val="nil"/>
          <w:right w:val="nil"/>
          <w:between w:val="nil"/>
        </w:pBdr>
        <w:tabs>
          <w:tab w:val="left" w:pos="851"/>
        </w:tabs>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V. La modalidad en la que prefiere se otorgue el acceso a la información</w:t>
      </w:r>
      <w:r>
        <w:rPr>
          <w:rFonts w:ascii="Palatino Linotype" w:eastAsia="Palatino Linotype" w:hAnsi="Palatino Linotype" w:cs="Palatino Linotype"/>
          <w:i/>
          <w:iCs/>
          <w:color w:val="000000"/>
        </w:rPr>
        <w:t>, la cual podrá ser verbal, siempre y cuando sea para fines de orientación, mediante consulta directa, mediante la expedición de copias simples o certificadas o la reproducción en cualquier otro medio, incluidos los electrónicos</w:t>
      </w:r>
    </w:p>
    <w:p w:rsidR="00065305" w:rsidRDefault="00EC6B6C">
      <w:pPr>
        <w:pBdr>
          <w:top w:val="nil"/>
          <w:left w:val="nil"/>
          <w:bottom w:val="nil"/>
          <w:right w:val="nil"/>
          <w:between w:val="nil"/>
        </w:pBdr>
        <w:tabs>
          <w:tab w:val="left" w:pos="851"/>
        </w:tabs>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065305" w:rsidRDefault="00EC6B6C">
      <w:pPr>
        <w:pBdr>
          <w:top w:val="nil"/>
          <w:left w:val="nil"/>
          <w:bottom w:val="nil"/>
          <w:right w:val="nil"/>
          <w:between w:val="nil"/>
        </w:pBdr>
        <w:tabs>
          <w:tab w:val="left" w:pos="851"/>
        </w:tabs>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rsidR="00065305" w:rsidRDefault="00065305">
      <w:pPr>
        <w:pBdr>
          <w:top w:val="nil"/>
          <w:left w:val="nil"/>
          <w:bottom w:val="nil"/>
          <w:right w:val="nil"/>
          <w:between w:val="nil"/>
        </w:pBdr>
        <w:tabs>
          <w:tab w:val="left" w:pos="851"/>
        </w:tabs>
        <w:ind w:left="1134" w:right="-1131"/>
        <w:jc w:val="both"/>
        <w:rPr>
          <w:rFonts w:ascii="Palatino Linotype" w:eastAsia="Palatino Linotype" w:hAnsi="Palatino Linotype" w:cs="Palatino Linotype"/>
          <w:i/>
          <w:iCs/>
          <w:color w:val="000000"/>
        </w:rPr>
      </w:pPr>
    </w:p>
    <w:p w:rsidR="00065305" w:rsidRDefault="00EC6B6C">
      <w:pPr>
        <w:pBdr>
          <w:top w:val="nil"/>
          <w:left w:val="nil"/>
          <w:bottom w:val="nil"/>
          <w:right w:val="nil"/>
          <w:between w:val="nil"/>
        </w:pBdr>
        <w:tabs>
          <w:tab w:val="left" w:pos="851"/>
        </w:tabs>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todo caso, se facilitará su copia simple o certificada, así como su reproducción por cualquier medio disponible en las instalaciones del sujeto obligado o que, en su caso, aporte el solicitante</w:t>
      </w:r>
    </w:p>
    <w:p w:rsidR="00065305" w:rsidRDefault="00065305">
      <w:pPr>
        <w:pBdr>
          <w:top w:val="nil"/>
          <w:left w:val="nil"/>
          <w:bottom w:val="nil"/>
          <w:right w:val="nil"/>
          <w:between w:val="nil"/>
        </w:pBdr>
        <w:tabs>
          <w:tab w:val="left" w:pos="851"/>
        </w:tabs>
        <w:ind w:left="1134" w:right="-1131"/>
        <w:jc w:val="both"/>
        <w:rPr>
          <w:rFonts w:ascii="Palatino Linotype" w:eastAsia="Palatino Linotype" w:hAnsi="Palatino Linotype" w:cs="Palatino Linotype"/>
          <w:i/>
          <w:iCs/>
          <w:color w:val="000000"/>
        </w:rPr>
      </w:pPr>
    </w:p>
    <w:p w:rsidR="00065305" w:rsidRDefault="00EC6B6C">
      <w:pPr>
        <w:pBdr>
          <w:top w:val="nil"/>
          <w:left w:val="nil"/>
          <w:bottom w:val="nil"/>
          <w:right w:val="nil"/>
          <w:between w:val="nil"/>
        </w:pBdr>
        <w:tabs>
          <w:tab w:val="left" w:pos="851"/>
        </w:tabs>
        <w:ind w:left="1134" w:right="-113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Artículo 164. El acceso se dará en la modalidad de entrega y, en su caso, de envío elegidos por el solicitante. </w:t>
      </w:r>
      <w:r>
        <w:rPr>
          <w:rFonts w:ascii="Palatino Linotype" w:eastAsia="Palatino Linotype" w:hAnsi="Palatino Linotype" w:cs="Palatino Linotype"/>
          <w:b/>
          <w:bCs/>
          <w:i/>
          <w:iCs/>
          <w:color w:val="000000"/>
        </w:rPr>
        <w:t xml:space="preserve">Cuando la información no pueda entregarse o enviarse en la </w:t>
      </w:r>
      <w:r>
        <w:rPr>
          <w:rFonts w:ascii="Palatino Linotype" w:eastAsia="Palatino Linotype" w:hAnsi="Palatino Linotype" w:cs="Palatino Linotype"/>
          <w:b/>
          <w:bCs/>
          <w:i/>
          <w:iCs/>
          <w:color w:val="000000"/>
        </w:rPr>
        <w:lastRenderedPageBreak/>
        <w:t>modalidad solicitada, el sujeto obligado deberá ofrecer otra u otras modalidades de entrega.</w:t>
      </w:r>
    </w:p>
    <w:p w:rsidR="00065305" w:rsidRDefault="00065305">
      <w:pPr>
        <w:pBdr>
          <w:top w:val="nil"/>
          <w:left w:val="nil"/>
          <w:bottom w:val="nil"/>
          <w:right w:val="nil"/>
          <w:between w:val="nil"/>
        </w:pBdr>
        <w:tabs>
          <w:tab w:val="left" w:pos="851"/>
        </w:tabs>
        <w:spacing w:line="360" w:lineRule="auto"/>
        <w:ind w:right="-1131"/>
        <w:jc w:val="both"/>
        <w:rPr>
          <w:rFonts w:ascii="Palatino Linotype" w:eastAsia="Palatino Linotype" w:hAnsi="Palatino Linotype" w:cs="Palatino Linotype"/>
          <w:color w:val="000000"/>
        </w:rPr>
      </w:pPr>
    </w:p>
    <w:p w:rsidR="00065305" w:rsidRDefault="00EC6B6C">
      <w:pPr>
        <w:numPr>
          <w:ilvl w:val="0"/>
          <w:numId w:val="1"/>
        </w:numPr>
        <w:spacing w:line="360" w:lineRule="auto"/>
        <w:ind w:right="-1131"/>
        <w:jc w:val="both"/>
        <w:rPr>
          <w:color w:val="000000"/>
        </w:rPr>
      </w:pPr>
      <w:r>
        <w:rPr>
          <w:rFonts w:ascii="Palatino Linotype" w:eastAsia="Palatino Linotype" w:hAnsi="Palatino Linotype" w:cs="Palatino Linotype"/>
          <w:color w:val="000000"/>
        </w:rPr>
        <w:t xml:space="preserve">La normatividad en materia establece que se privilegiará la modalidad de entrega elegida por el </w:t>
      </w:r>
      <w:r>
        <w:rPr>
          <w:rFonts w:ascii="Palatino Linotype" w:eastAsia="Palatino Linotype" w:hAnsi="Palatino Linotype" w:cs="Palatino Linotype"/>
          <w:b/>
          <w:bCs/>
          <w:smallCaps/>
          <w:color w:val="000000"/>
        </w:rPr>
        <w:t>RECURRENTE</w:t>
      </w:r>
      <w:r>
        <w:rPr>
          <w:rFonts w:ascii="Palatino Linotype" w:eastAsia="Palatino Linotype" w:hAnsi="Palatino Linotype" w:cs="Palatino Linotype"/>
          <w:color w:val="000000"/>
        </w:rPr>
        <w:t xml:space="preserve"> y será excepcional un cambio de modalidad cuando la información sobrepase las capacidades técnicas administrativas y humanas, dicho cambio será debidamente fundado y motivado. Asimismo, se deberán ofrecer todas las modalidades de entrega que permitan el acceso a la información solicitada. </w:t>
      </w:r>
    </w:p>
    <w:p w:rsidR="00065305" w:rsidRDefault="00065305">
      <w:pPr>
        <w:spacing w:line="360" w:lineRule="auto"/>
        <w:ind w:right="-1131"/>
        <w:jc w:val="both"/>
        <w:rPr>
          <w:color w:val="000000"/>
        </w:rPr>
      </w:pPr>
    </w:p>
    <w:p w:rsidR="00065305" w:rsidRDefault="00EC6B6C">
      <w:pPr>
        <w:numPr>
          <w:ilvl w:val="0"/>
          <w:numId w:val="1"/>
        </w:numPr>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ese sentido, el </w:t>
      </w:r>
      <w:r>
        <w:rPr>
          <w:rFonts w:ascii="Palatino Linotype" w:eastAsia="Palatino Linotype" w:hAnsi="Palatino Linotype" w:cs="Palatino Linotype"/>
          <w:b/>
          <w:bCs/>
          <w:smallCap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informó</w:t>
      </w:r>
      <w:r>
        <w:rPr>
          <w:rFonts w:ascii="Palatino Linotype" w:eastAsia="Palatino Linotype" w:hAnsi="Palatino Linotype" w:cs="Palatino Linotype"/>
          <w:color w:val="000000"/>
        </w:rPr>
        <w:t xml:space="preserve"> que </w:t>
      </w:r>
      <w:r>
        <w:rPr>
          <w:rFonts w:ascii="Palatino Linotype" w:eastAsia="Palatino Linotype" w:hAnsi="Palatino Linotype" w:cs="Palatino Linotype"/>
        </w:rPr>
        <w:t>sí posee</w:t>
      </w:r>
      <w:r>
        <w:rPr>
          <w:rFonts w:ascii="Palatino Linotype" w:eastAsia="Palatino Linotype" w:hAnsi="Palatino Linotype" w:cs="Palatino Linotype"/>
          <w:color w:val="000000"/>
        </w:rPr>
        <w:t xml:space="preserve"> la información, sin embargo, dada la cantidad de fojas, no le es posible </w:t>
      </w:r>
      <w:r>
        <w:rPr>
          <w:rFonts w:ascii="Palatino Linotype" w:eastAsia="Palatino Linotype" w:hAnsi="Palatino Linotype" w:cs="Palatino Linotype"/>
        </w:rPr>
        <w:t>remitirse</w:t>
      </w:r>
      <w:r>
        <w:rPr>
          <w:rFonts w:ascii="Palatino Linotype" w:eastAsia="Palatino Linotype" w:hAnsi="Palatino Linotype" w:cs="Palatino Linotype"/>
          <w:color w:val="000000"/>
        </w:rPr>
        <w:t xml:space="preserve"> a través del SAIMEX, lo anterior, con la información remitida tanto en respuesta como en informe justificado y con el reporte de incidencia hecho valer ante la Dirección de Informática de este Instituto, mismo que se muestra a continuación:</w:t>
      </w:r>
    </w:p>
    <w:p w:rsidR="00065305" w:rsidRDefault="00EC6B6C">
      <w:pPr>
        <w:spacing w:line="360" w:lineRule="auto"/>
        <w:ind w:right="-1131"/>
        <w:jc w:val="center"/>
        <w:rPr>
          <w:rFonts w:ascii="Palatino Linotype" w:eastAsia="Palatino Linotype" w:hAnsi="Palatino Linotype" w:cs="Palatino Linotype"/>
          <w:i/>
          <w:iCs/>
          <w:color w:val="000000"/>
        </w:rPr>
      </w:pPr>
      <w:r>
        <w:rPr>
          <w:rFonts w:ascii="Palatino Linotype" w:eastAsia="Palatino Linotype" w:hAnsi="Palatino Linotype" w:cs="Palatino Linotype"/>
          <w:i/>
          <w:iCs/>
          <w:noProof/>
          <w:color w:val="000000"/>
        </w:rPr>
        <w:lastRenderedPageBreak/>
        <w:drawing>
          <wp:inline distT="0" distB="0" distL="0" distR="0">
            <wp:extent cx="4475472" cy="5832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475472" cy="5832000"/>
                    </a:xfrm>
                    <a:prstGeom prst="rect">
                      <a:avLst/>
                    </a:prstGeom>
                    <a:ln/>
                  </pic:spPr>
                </pic:pic>
              </a:graphicData>
            </a:graphic>
          </wp:inline>
        </w:drawing>
      </w:r>
    </w:p>
    <w:p w:rsidR="00065305" w:rsidRDefault="00065305">
      <w:pPr>
        <w:spacing w:line="360" w:lineRule="auto"/>
        <w:ind w:right="-1131"/>
        <w:rPr>
          <w:rFonts w:ascii="Palatino Linotype" w:eastAsia="Palatino Linotype" w:hAnsi="Palatino Linotype" w:cs="Palatino Linotype"/>
          <w:i/>
          <w:iCs/>
          <w:color w:val="000000"/>
        </w:rPr>
      </w:pPr>
    </w:p>
    <w:p w:rsidR="00065305" w:rsidRDefault="00EC6B6C">
      <w:pPr>
        <w:numPr>
          <w:ilvl w:val="0"/>
          <w:numId w:val="1"/>
        </w:numPr>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concluye que se tiene por colmado lo relativo al reporte de incidencia que se debe de realizar a fin de que se corrobore que la información remitida, sobrepasa las capacidades del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sin embargo, no se advierte que se hayan ofrecido todas las modalidades de entrega, por lo que, al respecto de las modalidades de entrega, se debe de </w:t>
      </w:r>
      <w:r>
        <w:rPr>
          <w:rFonts w:ascii="Palatino Linotype" w:eastAsia="Palatino Linotype" w:hAnsi="Palatino Linotype" w:cs="Palatino Linotype"/>
          <w:color w:val="000000"/>
        </w:rPr>
        <w:lastRenderedPageBreak/>
        <w:t xml:space="preserve">mencionar que de acuerdo Criterio número 8/2013 del entonces Instituto Federal de Acceso a la Información,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debe de ofrecer todas las opciones de modalidades de consulta.</w:t>
      </w:r>
    </w:p>
    <w:p w:rsidR="00065305" w:rsidRDefault="00EC6B6C">
      <w:pPr>
        <w:pBdr>
          <w:top w:val="nil"/>
          <w:left w:val="nil"/>
          <w:bottom w:val="nil"/>
          <w:right w:val="nil"/>
          <w:between w:val="nil"/>
        </w:pBdr>
        <w:tabs>
          <w:tab w:val="left" w:pos="851"/>
        </w:tabs>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Cuando exista impedimento justificado de atender la modalidad de entrega elegida por el solicitante, procede ofrecer todas las demás opciones previstas en la Ley.</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De conformidad con lo dispuesto en los artículos 42 y 44 de la Ley Federal de Transparencia y Acceso a la Información Pública Gubernamental, y 54 de su Reglamento, la entrega de la información debe hacerse, en la medida de lo posible, en la forma solicitada por el interesado</w:t>
      </w:r>
      <w:r>
        <w:rPr>
          <w:rFonts w:ascii="Palatino Linotype" w:eastAsia="Palatino Linotype" w:hAnsi="Palatino Linotype" w:cs="Palatino Linotype"/>
          <w:i/>
          <w:iCs/>
        </w:rPr>
        <w:t xml:space="preserve">, salvo que exista un impedimento justificado para atenderla, en cuyo caso, deberán exponerse las razones por las cuales no es posible utilizar el medio de reproducción solicitado. </w:t>
      </w:r>
      <w:r>
        <w:rPr>
          <w:rFonts w:ascii="Palatino Linotype" w:eastAsia="Palatino Linotype" w:hAnsi="Palatino Linotype" w:cs="Palatino Linotype"/>
          <w:i/>
          <w:iCs/>
          <w:u w:val="single"/>
        </w:rPr>
        <w:t>En este sentido, la entrega de la información en una modalidad distinta a la elegida por el particular sólo procede, en caso de que se acredite la imposibilidad de atenderla. Lo anterior, ya que si bien, los sujetos obligados deben privilegiar, en todo momento, el derecho de acceso a la información, ello no implica que desvíen su objeto sustancial en la atención y trámite de las solicitudes efectuadas bajo la tutela de dicho derecho</w:t>
      </w:r>
      <w:r>
        <w:rPr>
          <w:rFonts w:ascii="Palatino Linotype" w:eastAsia="Palatino Linotype" w:hAnsi="Palatino Linotype" w:cs="Palatino Linotype"/>
          <w:i/>
          <w:iCs/>
        </w:rPr>
        <w:t xml:space="preserve">. Así, cuando se justifique el impedimento, los sujetos obligados deberán notificar al particular la disposición de la información en todas las </w:t>
      </w:r>
      <w:r>
        <w:rPr>
          <w:rFonts w:ascii="Palatino Linotype" w:eastAsia="Palatino Linotype" w:hAnsi="Palatino Linotype" w:cs="Palatino Linotype"/>
          <w:b/>
          <w:bCs/>
          <w:i/>
          <w:iCs/>
          <w:u w:val="single"/>
        </w:rPr>
        <w:t>modalidades de entrega que permita el documento, tales como consulta directa, copias simples y certificadas, así como la reproducción en cualquier otro medio e indicarle</w:t>
      </w:r>
      <w:r>
        <w:rPr>
          <w:rFonts w:ascii="Palatino Linotype" w:eastAsia="Palatino Linotype" w:hAnsi="Palatino Linotype" w:cs="Palatino Linotype"/>
          <w:i/>
          <w:iCs/>
        </w:rPr>
        <w:t xml:space="preserve">, en su caso, los costos de reproducción y envío, para que pueda estar en aptitud de elegir la que sea de su interés o la que más le convenga. En estos casos, los sujetos obligados deberán intentar reducir, en todo momento, los costos de entrega de la información y garantizar el debido equilibrio entre el legítimo derecho de acceso a la información y las posibilidades materiales de otorgar acceso a los documentos. </w:t>
      </w:r>
    </w:p>
    <w:p w:rsidR="00065305" w:rsidRDefault="00EC6B6C">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Resoluciones </w:t>
      </w:r>
    </w:p>
    <w:p w:rsidR="00065305" w:rsidRDefault="00EC6B6C">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RDA 2012/12. Interpuesto en contra de la Secretaría de Comunicaciones y Transportes. Comisionada Ponente Jacqueline Peschard Mariscal. </w:t>
      </w:r>
    </w:p>
    <w:p w:rsidR="00065305" w:rsidRDefault="00EC6B6C">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RDA 0973/12. Interpuesto en contra de la Secretaría de Educación Pública. Comisionada Ponente Sigrid Arzt Colunga. </w:t>
      </w:r>
    </w:p>
    <w:p w:rsidR="00065305" w:rsidRDefault="00EC6B6C">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RDA 0112/12. Interpuesto en contra de Petróleos Mexicanos. Comisionado Ponente Ángel Trinidad Zaldívar. </w:t>
      </w:r>
    </w:p>
    <w:p w:rsidR="00065305" w:rsidRDefault="00EC6B6C">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RDA 0085/12. Interpuesto en contra del Instituto Nacional de Ciencias Médicas y Nutrición Salvador Zubirán. Comisionada Ponente Sigrid Arzt Colunga. </w:t>
      </w:r>
    </w:p>
    <w:p w:rsidR="00065305" w:rsidRDefault="00EC6B6C">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3068/11. Interpuesto en contra de la Presidencia de la República. Comisionada Ponente María Elena Pérez-Jaén Zermeño. “</w:t>
      </w:r>
    </w:p>
    <w:p w:rsidR="00065305" w:rsidRDefault="00065305">
      <w:pPr>
        <w:ind w:left="1134" w:right="-1131"/>
        <w:jc w:val="both"/>
        <w:rPr>
          <w:rFonts w:ascii="Palatino Linotype" w:eastAsia="Palatino Linotype" w:hAnsi="Palatino Linotype" w:cs="Palatino Linotype"/>
          <w:i/>
          <w:iCs/>
        </w:rPr>
      </w:pPr>
    </w:p>
    <w:p w:rsidR="00065305" w:rsidRDefault="00EC6B6C">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Criterio 02/2004 INFORMACIÓN DISPERSA</w:t>
      </w:r>
      <w:r>
        <w:rPr>
          <w:rFonts w:ascii="Palatino Linotype" w:eastAsia="Palatino Linotype" w:hAnsi="Palatino Linotype" w:cs="Palatino Linotype"/>
          <w:b/>
          <w:bCs/>
        </w:rPr>
        <w:t xml:space="preserve"> </w:t>
      </w:r>
      <w:r>
        <w:rPr>
          <w:rFonts w:ascii="Palatino Linotype" w:eastAsia="Palatino Linotype" w:hAnsi="Palatino Linotype" w:cs="Palatino Linotype"/>
          <w:b/>
          <w:bCs/>
          <w:i/>
          <w:iCs/>
        </w:rPr>
        <w:t>EN DIVERSOS DOCUMENTOS. PARA RESPETAR EL DERECHO DE ACCESO A LA INFORMACIÓN BASTA CON QUE SE PERMITA LA CONSULTA FÍSICA DE AQUÉLLOS, SALVO EN EL CASO DE QUE EL RESPECTIVO ÓRGANO DEL ESTADO TENGA LA OBLIGACIÓN DE CONTAR CON UN DOCUMENTO QUE CONCENTRÉ AQUÉLLA.</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 xml:space="preserve">Si bien para cumplir con el derecho de acceso a la información tratándose de la que se encuentra en diferentes documentos, basta con que se permita a los gobernados la consulta física de éstos, dado que tal prerrogativa no implica el procesamiento de los datos contenidos en diversos documentos, </w:t>
      </w:r>
      <w:r>
        <w:rPr>
          <w:rFonts w:ascii="Palatino Linotype" w:eastAsia="Palatino Linotype" w:hAnsi="Palatino Linotype" w:cs="Palatino Linotype"/>
          <w:i/>
          <w:iCs/>
        </w:rPr>
        <w:t xml:space="preserve">como lo prevé el artículo 29 del Reglamento de la Suprema Corte de Justicia de la Nación y del Consejo de la Judicatura Federal para la aplicación de la Ley Federal de Transparencia y Acceso a la Información Pública Gubernamental, </w:t>
      </w:r>
      <w:r>
        <w:rPr>
          <w:rFonts w:ascii="Palatino Linotype" w:eastAsia="Palatino Linotype" w:hAnsi="Palatino Linotype" w:cs="Palatino Linotype"/>
          <w:i/>
          <w:iCs/>
          <w:u w:val="single"/>
        </w:rPr>
        <w:t>ello no obsta para reconocer que si el órgano que tiene bajo su resguardo numerosos documentos en los que están dispersos los datos solicitados, cuenta con algún área o unidad que conforme a su regulación interna debe elaborar un documento en el que concentre esa información, para respetar el derecho en comento no basta que se permita la mencionada consulta física, ya que en este supuesto el derecho de acceso a la información tiene el alcance de obligar a los órganos del Estado a poner a disposición de los gobernados la información que conforme a lo previsto en el marco jurídico que los regula deben tener bajo su resguardo, c</w:t>
      </w:r>
      <w:r>
        <w:rPr>
          <w:rFonts w:ascii="Palatino Linotype" w:eastAsia="Palatino Linotype" w:hAnsi="Palatino Linotype" w:cs="Palatino Linotype"/>
          <w:i/>
          <w:iCs/>
        </w:rPr>
        <w:t>on lo que además se reconoce que para realizar la referida consulta física el solicitante enfrentará limitantes temporales y económicas que difícilmente podrá superar, lo que finalmente le impedirá conocer los datos que le permitan evaluar las actividades desarrolladas por el respectivo órgano del Estado. Clasificación de Información 6/2004-J. 29 de abril de 2004. Unanimidad de votos.”</w:t>
      </w:r>
    </w:p>
    <w:p w:rsidR="00065305" w:rsidRDefault="00EC6B6C">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(Énfasis añadido)</w:t>
      </w:r>
    </w:p>
    <w:p w:rsidR="00065305" w:rsidRDefault="00065305">
      <w:pPr>
        <w:ind w:left="1134" w:right="-1131"/>
        <w:jc w:val="both"/>
        <w:rPr>
          <w:rFonts w:ascii="Palatino Linotype" w:eastAsia="Palatino Linotype" w:hAnsi="Palatino Linotype" w:cs="Palatino Linotype"/>
          <w:i/>
          <w:iCs/>
        </w:rPr>
      </w:pPr>
    </w:p>
    <w:p w:rsidR="00065305" w:rsidRDefault="00EC6B6C">
      <w:pPr>
        <w:numPr>
          <w:ilvl w:val="0"/>
          <w:numId w:val="1"/>
        </w:numPr>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criterios refieren puntualmente que, cuando exista </w:t>
      </w:r>
      <w:r>
        <w:rPr>
          <w:rFonts w:ascii="Palatino Linotype" w:eastAsia="Palatino Linotype" w:hAnsi="Palatino Linotype" w:cs="Palatino Linotype"/>
          <w:b/>
          <w:bCs/>
          <w:color w:val="000000"/>
        </w:rPr>
        <w:t xml:space="preserve">impedimento justificado </w:t>
      </w:r>
      <w:r>
        <w:rPr>
          <w:rFonts w:ascii="Palatino Linotype" w:eastAsia="Palatino Linotype" w:hAnsi="Palatino Linotype" w:cs="Palatino Linotype"/>
          <w:color w:val="000000"/>
        </w:rPr>
        <w:t>para entregar la información solicitada, sólo entonces se procederá a ofrecer otras modalidades disponibles tales como consulta directa, mediante la expedición de copias simples o certificadas o la reproducción en cualquier otro medio, incluidos los electrónicos.</w:t>
      </w:r>
    </w:p>
    <w:p w:rsidR="008C58CA" w:rsidRDefault="008C58CA" w:rsidP="008C58CA">
      <w:pPr>
        <w:spacing w:line="360" w:lineRule="auto"/>
        <w:ind w:right="-1131"/>
        <w:jc w:val="both"/>
        <w:rPr>
          <w:rFonts w:ascii="Palatino Linotype" w:eastAsia="Palatino Linotype" w:hAnsi="Palatino Linotype" w:cs="Palatino Linotype"/>
          <w:color w:val="000000"/>
        </w:rPr>
      </w:pPr>
    </w:p>
    <w:p w:rsidR="00065305" w:rsidRDefault="00EC6B6C">
      <w:pPr>
        <w:numPr>
          <w:ilvl w:val="0"/>
          <w:numId w:val="1"/>
        </w:numPr>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Es así que, para el cumplimiento de la entrega de la información,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deberá ofrecer las modalidades con las que pueda poner a disposición la </w:t>
      </w:r>
      <w:r>
        <w:rPr>
          <w:rFonts w:ascii="Palatino Linotype" w:eastAsia="Palatino Linotype" w:hAnsi="Palatino Linotype" w:cs="Palatino Linotype"/>
        </w:rPr>
        <w:lastRenderedPageBreak/>
        <w:t xml:space="preserve">información al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 que atendiendo a la naturaleza del asunto, de manera enunciativa, más no limitativa, puede ser a través de: </w:t>
      </w:r>
    </w:p>
    <w:p w:rsidR="00065305" w:rsidRDefault="00EC6B6C">
      <w:pPr>
        <w:numPr>
          <w:ilvl w:val="0"/>
          <w:numId w:val="5"/>
        </w:numPr>
        <w:pBdr>
          <w:top w:val="nil"/>
          <w:left w:val="nil"/>
          <w:bottom w:val="nil"/>
          <w:right w:val="nil"/>
          <w:between w:val="nil"/>
        </w:pBdr>
        <w:tabs>
          <w:tab w:val="left" w:pos="284"/>
        </w:tabs>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Consulta Directa.</w:t>
      </w:r>
    </w:p>
    <w:p w:rsidR="00065305" w:rsidRDefault="00EC6B6C">
      <w:pPr>
        <w:numPr>
          <w:ilvl w:val="0"/>
          <w:numId w:val="5"/>
        </w:numPr>
        <w:pBdr>
          <w:top w:val="nil"/>
          <w:left w:val="nil"/>
          <w:bottom w:val="nil"/>
          <w:right w:val="nil"/>
          <w:between w:val="nil"/>
        </w:pBdr>
        <w:tabs>
          <w:tab w:val="left" w:pos="284"/>
        </w:tabs>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Entrega de Copia Simple.</w:t>
      </w:r>
    </w:p>
    <w:p w:rsidR="00065305" w:rsidRDefault="00EC6B6C">
      <w:pPr>
        <w:numPr>
          <w:ilvl w:val="0"/>
          <w:numId w:val="5"/>
        </w:numPr>
        <w:pBdr>
          <w:top w:val="nil"/>
          <w:left w:val="nil"/>
          <w:bottom w:val="nil"/>
          <w:right w:val="nil"/>
          <w:between w:val="nil"/>
        </w:pBdr>
        <w:tabs>
          <w:tab w:val="left" w:pos="284"/>
        </w:tabs>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Entrega de Copia Certificada.</w:t>
      </w:r>
    </w:p>
    <w:p w:rsidR="00065305" w:rsidRDefault="00EC6B6C">
      <w:pPr>
        <w:numPr>
          <w:ilvl w:val="0"/>
          <w:numId w:val="5"/>
        </w:numPr>
        <w:pBdr>
          <w:top w:val="nil"/>
          <w:left w:val="nil"/>
          <w:bottom w:val="nil"/>
          <w:right w:val="nil"/>
          <w:between w:val="nil"/>
        </w:pBdr>
        <w:tabs>
          <w:tab w:val="left" w:pos="284"/>
        </w:tabs>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USB, Disco Compacto (CD) o cualquier medio de almacenamiento externo.</w:t>
      </w:r>
    </w:p>
    <w:p w:rsidR="00065305" w:rsidRDefault="00EC6B6C">
      <w:pPr>
        <w:numPr>
          <w:ilvl w:val="0"/>
          <w:numId w:val="5"/>
        </w:numPr>
        <w:pBdr>
          <w:top w:val="nil"/>
          <w:left w:val="nil"/>
          <w:bottom w:val="nil"/>
          <w:right w:val="nil"/>
          <w:between w:val="nil"/>
        </w:pBdr>
        <w:tabs>
          <w:tab w:val="left" w:pos="284"/>
        </w:tabs>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Correo/envío certificado.</w:t>
      </w:r>
    </w:p>
    <w:p w:rsidR="00065305" w:rsidRDefault="00EC6B6C">
      <w:pPr>
        <w:numPr>
          <w:ilvl w:val="0"/>
          <w:numId w:val="5"/>
        </w:numPr>
        <w:pBdr>
          <w:top w:val="nil"/>
          <w:left w:val="nil"/>
          <w:bottom w:val="nil"/>
          <w:right w:val="nil"/>
          <w:between w:val="nil"/>
        </w:pBdr>
        <w:tabs>
          <w:tab w:val="left" w:pos="284"/>
        </w:tabs>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Correo electrónico/drive.</w:t>
      </w:r>
    </w:p>
    <w:p w:rsidR="00065305" w:rsidRDefault="00EC6B6C">
      <w:pPr>
        <w:numPr>
          <w:ilvl w:val="0"/>
          <w:numId w:val="5"/>
        </w:numPr>
        <w:pBdr>
          <w:top w:val="nil"/>
          <w:left w:val="nil"/>
          <w:bottom w:val="nil"/>
          <w:right w:val="nil"/>
          <w:between w:val="nil"/>
        </w:pBdr>
        <w:tabs>
          <w:tab w:val="left" w:pos="284"/>
        </w:tabs>
        <w:spacing w:after="240"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Correo/envío certificado.</w:t>
      </w:r>
    </w:p>
    <w:p w:rsidR="00065305" w:rsidRDefault="00EC6B6C">
      <w:pPr>
        <w:numPr>
          <w:ilvl w:val="0"/>
          <w:numId w:val="1"/>
        </w:numPr>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rPr>
        <w:t xml:space="preserve">Para cualquiera de las modalidades,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vía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deberá indicar el procedimiento que tendrá que seguir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para acceder a la documentación, es decir, los pasos para realizar el pago de derechos, en caso de proceder, y la manera de obtener la información como domicilio de la Unidad de Transparencia, días y horarios de atención, así como el nombre del servidor público que le atenderá. </w:t>
      </w:r>
    </w:p>
    <w:p w:rsidR="00065305" w:rsidRDefault="00065305">
      <w:pPr>
        <w:spacing w:line="360" w:lineRule="auto"/>
        <w:ind w:right="-1131"/>
        <w:jc w:val="both"/>
        <w:rPr>
          <w:rFonts w:ascii="Palatino Linotype" w:eastAsia="Palatino Linotype" w:hAnsi="Palatino Linotype" w:cs="Palatino Linotype"/>
        </w:rPr>
      </w:pPr>
    </w:p>
    <w:p w:rsidR="00065305" w:rsidRDefault="00EC6B6C">
      <w:pPr>
        <w:numPr>
          <w:ilvl w:val="0"/>
          <w:numId w:val="1"/>
        </w:numPr>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rPr>
        <w:t>Además, deberá señalar que en caso de que el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proporcione el dispositivo electrónico y acuda por la información a la Unidad de Transparencia, la entrega de la información, será sin costo.</w:t>
      </w:r>
    </w:p>
    <w:p w:rsidR="00065305" w:rsidRDefault="00065305">
      <w:pPr>
        <w:spacing w:line="360" w:lineRule="auto"/>
        <w:ind w:right="-1131"/>
        <w:jc w:val="both"/>
        <w:rPr>
          <w:rFonts w:ascii="Palatino Linotype" w:eastAsia="Palatino Linotype" w:hAnsi="Palatino Linotype" w:cs="Palatino Linotype"/>
        </w:rPr>
      </w:pPr>
    </w:p>
    <w:p w:rsidR="00065305" w:rsidRDefault="00EC6B6C">
      <w:pPr>
        <w:numPr>
          <w:ilvl w:val="0"/>
          <w:numId w:val="1"/>
        </w:numPr>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rPr>
        <w:t xml:space="preserve">Asimismo, no se advierte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haya informado que la información estará disponible al </w:t>
      </w:r>
      <w:r>
        <w:rPr>
          <w:rFonts w:ascii="Palatino Linotype" w:eastAsia="Palatino Linotype" w:hAnsi="Palatino Linotype" w:cs="Palatino Linotype"/>
          <w:b/>
          <w:bCs/>
        </w:rPr>
        <w:t xml:space="preserve">PARTICULAR, </w:t>
      </w:r>
      <w:r>
        <w:rPr>
          <w:rFonts w:ascii="Palatino Linotype" w:eastAsia="Palatino Linotype" w:hAnsi="Palatino Linotype" w:cs="Palatino Linotype"/>
        </w:rPr>
        <w:t xml:space="preserve">por un periodo de sesenta días hábiles, </w:t>
      </w:r>
      <w:r>
        <w:rPr>
          <w:rFonts w:ascii="Palatino Linotype" w:eastAsia="Palatino Linotype" w:hAnsi="Palatino Linotype" w:cs="Palatino Linotype"/>
          <w:b/>
          <w:bCs/>
          <w:u w:val="single"/>
        </w:rPr>
        <w:t>contados a partir del día siguiente al que se notifique la presente resolución</w:t>
      </w:r>
      <w:r>
        <w:rPr>
          <w:rFonts w:ascii="Palatino Linotype" w:eastAsia="Palatino Linotype" w:hAnsi="Palatino Linotype" w:cs="Palatino Linotype"/>
        </w:rPr>
        <w:t xml:space="preserve">; plazo en que </w:t>
      </w:r>
      <w:r>
        <w:rPr>
          <w:rFonts w:ascii="Palatino Linotype" w:eastAsia="Palatino Linotype" w:hAnsi="Palatino Linotype" w:cs="Palatino Linotype"/>
        </w:rPr>
        <w:lastRenderedPageBreak/>
        <w:t>pondrá a disposición del recurrente la información en términos del segundo párrafo del artículo 166, de la Ley de Transparencia y Acceso a la Información Pública del Estado de México y Municipios.</w:t>
      </w:r>
    </w:p>
    <w:p w:rsidR="00065305" w:rsidRDefault="00EC6B6C">
      <w:pPr>
        <w:tabs>
          <w:tab w:val="left" w:pos="284"/>
        </w:tabs>
        <w:spacing w:after="240" w:line="276" w:lineRule="auto"/>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LEY DE TRANSPARENCIA Y ACCESO A LA INFORMACIÓN PÚBLICA DEL ESTADO DE MÉXICO Y MUNICIPIOS</w:t>
      </w:r>
    </w:p>
    <w:p w:rsidR="00065305" w:rsidRDefault="00EC6B6C">
      <w:pPr>
        <w:tabs>
          <w:tab w:val="left" w:pos="284"/>
        </w:tabs>
        <w:spacing w:after="240" w:line="276" w:lineRule="auto"/>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La obligación de acceso a la información pública se tendrá por cumplida cuando el solicitante tenga a su disposición la información requerida, o cuando realice la consulta de la misma en el lugar en el que ésta se localice. </w:t>
      </w:r>
    </w:p>
    <w:p w:rsidR="00065305" w:rsidRDefault="00EC6B6C">
      <w:pPr>
        <w:tabs>
          <w:tab w:val="left" w:pos="284"/>
        </w:tabs>
        <w:spacing w:after="240" w:line="276" w:lineRule="auto"/>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u w:val="single"/>
        </w:rPr>
        <w:t>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w:t>
      </w:r>
      <w:r>
        <w:rPr>
          <w:rFonts w:ascii="Palatino Linotype" w:eastAsia="Palatino Linotype" w:hAnsi="Palatino Linotype" w:cs="Palatino Linotype"/>
          <w:i/>
          <w:iCs/>
        </w:rPr>
        <w:t xml:space="preserve">. </w:t>
      </w:r>
    </w:p>
    <w:p w:rsidR="00065305" w:rsidRDefault="00EC6B6C">
      <w:pPr>
        <w:tabs>
          <w:tab w:val="left" w:pos="284"/>
        </w:tabs>
        <w:spacing w:after="240" w:line="276" w:lineRule="auto"/>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Transcurridos dichos plazos, si los solicitantes no acuden a recibir la información requerida los sujetos obligados darán por concluida la solicitud y procederán, de ser el caso, a la destrucción del material en el que se reprodujo la información. </w:t>
      </w:r>
    </w:p>
    <w:p w:rsidR="00065305" w:rsidRDefault="00EC6B6C">
      <w:pPr>
        <w:tabs>
          <w:tab w:val="left" w:pos="284"/>
        </w:tabs>
        <w:spacing w:after="240" w:line="276" w:lineRule="auto"/>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Cuando el sujeto obligado no entregue la respuesta a la solicitud dentro del plazo previsto en la Ley, la solicitud se entenderá negada y el solicitante podrá interponer el recurso de revisión previsto en este ordenamiento. </w:t>
      </w:r>
    </w:p>
    <w:p w:rsidR="00065305" w:rsidRDefault="00EC6B6C">
      <w:pPr>
        <w:tabs>
          <w:tab w:val="left" w:pos="284"/>
        </w:tabs>
        <w:spacing w:after="240" w:line="276" w:lineRule="auto"/>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Una vez entregada la información, el solicitante acusará recibo por escrito, dándose por terminado el trámite de acceso a la información”</w:t>
      </w:r>
    </w:p>
    <w:p w:rsidR="00065305" w:rsidRDefault="00065305">
      <w:pPr>
        <w:tabs>
          <w:tab w:val="left" w:pos="284"/>
        </w:tabs>
        <w:spacing w:after="240" w:line="276" w:lineRule="auto"/>
        <w:ind w:left="567" w:right="-1131"/>
        <w:jc w:val="both"/>
        <w:rPr>
          <w:rFonts w:ascii="Palatino Linotype" w:eastAsia="Palatino Linotype" w:hAnsi="Palatino Linotype" w:cs="Palatino Linotype"/>
          <w:i/>
          <w:iCs/>
        </w:rPr>
      </w:pPr>
    </w:p>
    <w:p w:rsidR="00065305" w:rsidRDefault="00EC6B6C">
      <w:pPr>
        <w:numPr>
          <w:ilvl w:val="0"/>
          <w:numId w:val="1"/>
        </w:numPr>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rPr>
        <w:t>Por lo que, si dentro del transcurso del término señalado en el párrafo anterior, la parte</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acude por la información,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xml:space="preserve"> debe remitir a este instituto, por conducto de la Secretaría Técnica del Pleno, el acuse de recibo de la información de la parte</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sin embargo, si una vez fenecido el plazo, el solicitante no acudiera por los documentos ordenados,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xml:space="preserve">, mediante acuerdo dará por </w:t>
      </w:r>
      <w:r>
        <w:rPr>
          <w:rFonts w:ascii="Palatino Linotype" w:eastAsia="Palatino Linotype" w:hAnsi="Palatino Linotype" w:cs="Palatino Linotype"/>
        </w:rPr>
        <w:lastRenderedPageBreak/>
        <w:t>concluida la solicitud y podrá, de ser el caso, realizar la destrucción del material en el que se reprodujo, situación que también deberá informar a este instituto, por el mismo conducto.</w:t>
      </w:r>
    </w:p>
    <w:p w:rsidR="00065305" w:rsidRDefault="00065305">
      <w:pPr>
        <w:spacing w:line="360" w:lineRule="auto"/>
        <w:ind w:right="-1131"/>
        <w:jc w:val="both"/>
        <w:rPr>
          <w:rFonts w:ascii="Palatino Linotype" w:eastAsia="Palatino Linotype" w:hAnsi="Palatino Linotype" w:cs="Palatino Linotype"/>
        </w:rPr>
      </w:pPr>
    </w:p>
    <w:p w:rsidR="00065305" w:rsidRDefault="00EC6B6C">
      <w:pPr>
        <w:numPr>
          <w:ilvl w:val="0"/>
          <w:numId w:val="1"/>
        </w:numPr>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rPr>
        <w:t xml:space="preserve">Por lo que, </w:t>
      </w:r>
      <w:r>
        <w:rPr>
          <w:rFonts w:ascii="Palatino Linotype" w:eastAsia="Palatino Linotype" w:hAnsi="Palatino Linotype" w:cs="Palatino Linotype"/>
          <w:u w:val="single"/>
        </w:rPr>
        <w:t xml:space="preserve">el </w:t>
      </w:r>
      <w:r>
        <w:rPr>
          <w:rFonts w:ascii="Palatino Linotype" w:eastAsia="Palatino Linotype" w:hAnsi="Palatino Linotype" w:cs="Palatino Linotype"/>
          <w:b/>
          <w:bCs/>
          <w:u w:val="single"/>
        </w:rPr>
        <w:t>SUJETO OBLIGADO debe proporcionar otras modalidades para la entrega de la información</w:t>
      </w:r>
      <w:r>
        <w:rPr>
          <w:rFonts w:ascii="Palatino Linotype" w:eastAsia="Palatino Linotype" w:hAnsi="Palatino Linotype" w:cs="Palatino Linotype"/>
          <w:b/>
          <w:bCs/>
        </w:rPr>
        <w:t xml:space="preserve"> </w:t>
      </w:r>
      <w:r>
        <w:rPr>
          <w:rFonts w:ascii="Palatino Linotype" w:eastAsia="Palatino Linotype" w:hAnsi="Palatino Linotype" w:cs="Palatino Linotype"/>
        </w:rPr>
        <w:t>para el caso de que esta no pueda realizarse a través del Sistema de Acceso a la Información Mexiquense y,</w:t>
      </w:r>
      <w:r>
        <w:rPr>
          <w:rFonts w:ascii="Palatino Linotype" w:eastAsia="Palatino Linotype" w:hAnsi="Palatino Linotype" w:cs="Palatino Linotype"/>
          <w:b/>
          <w:bCs/>
        </w:rPr>
        <w:t xml:space="preserve"> </w:t>
      </w:r>
      <w:r>
        <w:rPr>
          <w:rFonts w:ascii="Palatino Linotype" w:eastAsia="Palatino Linotype" w:hAnsi="Palatino Linotype" w:cs="Palatino Linotype"/>
          <w:b/>
          <w:bCs/>
          <w:u w:val="single"/>
        </w:rPr>
        <w:t>no únicamente cambiar la modalidad a consulta directa</w:t>
      </w:r>
      <w:r>
        <w:rPr>
          <w:rFonts w:ascii="Palatino Linotype" w:eastAsia="Palatino Linotype" w:hAnsi="Palatino Linotype" w:cs="Palatino Linotype"/>
        </w:rPr>
        <w:t>, tales como: copia simple o certificada, a través de disco compacto, medios de almacenamiento (USB), e incluso su envió a través de correo certificado previo pago de los costos de reproducción correspondientes, situación que en el presente caso no aconteció, pues como se mencionó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si bien, acreditó la entrega de la información mediante una modalidad distinta a la solicitada, también lo es que se restringe a la consulta directa, sin observar todos los medios por los cuales pudiera entregar la misma.</w:t>
      </w:r>
    </w:p>
    <w:p w:rsidR="00065305" w:rsidRDefault="00065305">
      <w:pPr>
        <w:spacing w:line="360" w:lineRule="auto"/>
        <w:ind w:right="-1131"/>
        <w:jc w:val="both"/>
        <w:rPr>
          <w:rFonts w:ascii="Palatino Linotype" w:eastAsia="Palatino Linotype" w:hAnsi="Palatino Linotype" w:cs="Palatino Linotype"/>
        </w:rPr>
      </w:pPr>
    </w:p>
    <w:p w:rsidR="00065305" w:rsidRPr="008C58CA" w:rsidRDefault="00EC6B6C">
      <w:pPr>
        <w:numPr>
          <w:ilvl w:val="0"/>
          <w:numId w:val="1"/>
        </w:numPr>
        <w:spacing w:line="360" w:lineRule="auto"/>
        <w:ind w:right="-1131"/>
        <w:jc w:val="both"/>
      </w:pPr>
      <w:r>
        <w:rPr>
          <w:rFonts w:ascii="Palatino Linotype" w:eastAsia="Palatino Linotype" w:hAnsi="Palatino Linotype" w:cs="Palatino Linotype"/>
        </w:rPr>
        <w:t xml:space="preserve">Establecido lo anterior, las razones o motivos de inconformidad hechos valer en el recurso de revisión resultan parcialmente </w:t>
      </w:r>
      <w:r>
        <w:rPr>
          <w:rFonts w:ascii="Palatino Linotype" w:eastAsia="Palatino Linotype" w:hAnsi="Palatino Linotype" w:cs="Palatino Linotype"/>
          <w:b/>
          <w:bCs/>
        </w:rPr>
        <w:t>fundadas y procedentes</w:t>
      </w:r>
      <w:r>
        <w:rPr>
          <w:rFonts w:ascii="Palatino Linotype" w:eastAsia="Palatino Linotype" w:hAnsi="Palatino Linotype" w:cs="Palatino Linotype"/>
        </w:rPr>
        <w:t xml:space="preserve">, debido a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no proporcionó</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todas las modalidades de entrega al </w:t>
      </w:r>
      <w:r>
        <w:rPr>
          <w:rFonts w:ascii="Palatino Linotype" w:eastAsia="Palatino Linotype" w:hAnsi="Palatino Linotype" w:cs="Palatino Linotype"/>
          <w:b/>
          <w:bCs/>
        </w:rPr>
        <w:t>PARTICULAR</w:t>
      </w:r>
      <w:r>
        <w:rPr>
          <w:rFonts w:ascii="Palatino Linotype" w:eastAsia="Palatino Linotype" w:hAnsi="Palatino Linotype" w:cs="Palatino Linotype"/>
        </w:rPr>
        <w:t>, tales como, vínculo electrónico, correo electrónico, disco compacto, dispositivo de almacenamiento, consulta directa, copias simples o certificadas, con posibilidad de entrega en la Unidad de Transparencia o a domicilio por correo certificado, previo a pago de los derechos correspondientes, así como informar el periodo en el que estará disponible la información.</w:t>
      </w:r>
    </w:p>
    <w:p w:rsidR="008C58CA" w:rsidRDefault="008C58CA" w:rsidP="008C58CA">
      <w:pPr>
        <w:spacing w:line="360" w:lineRule="auto"/>
        <w:ind w:right="-1131"/>
        <w:jc w:val="both"/>
      </w:pPr>
    </w:p>
    <w:p w:rsidR="00065305" w:rsidRDefault="00EC6B6C">
      <w:pPr>
        <w:numPr>
          <w:ilvl w:val="0"/>
          <w:numId w:val="1"/>
        </w:numPr>
        <w:spacing w:line="360" w:lineRule="auto"/>
        <w:ind w:right="-1131"/>
        <w:jc w:val="both"/>
        <w:rPr>
          <w:color w:val="000000"/>
        </w:rPr>
      </w:pPr>
      <w:r>
        <w:rPr>
          <w:rFonts w:ascii="Palatino Linotype" w:eastAsia="Palatino Linotype" w:hAnsi="Palatino Linotype" w:cs="Palatino Linotype"/>
          <w:color w:val="000000"/>
        </w:rPr>
        <w:t xml:space="preserve">Ahora bien, para entender los alcances de la información pública se considera importante citar el criterio de interpretación en el orden administrativo número 0002-11, emitido por Acuerdo del Pleno de este Instituto de Transparencia y Acceso a la Información </w:t>
      </w:r>
      <w:r>
        <w:rPr>
          <w:rFonts w:ascii="Palatino Linotype" w:eastAsia="Palatino Linotype" w:hAnsi="Palatino Linotype" w:cs="Palatino Linotype"/>
          <w:color w:val="000000"/>
        </w:rPr>
        <w:lastRenderedPageBreak/>
        <w:t>Pública del Estado de México y Municipios, publicado en el Periódico Oficial del Gobierno del Estado Libre y Soberano de México “Gaceta del Gobierno” el diecinueve de octubre de dos mil once, cuyo rubro y texto dispone:</w:t>
      </w:r>
    </w:p>
    <w:p w:rsidR="00065305" w:rsidRDefault="00EC6B6C">
      <w:pPr>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“CRITERIO 0002-11</w:t>
      </w: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TEMÁTICA DE LOS ARTÍCULOS 2, FRACCIÓN V, XV, Y XVI, 3, 4,11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Que se trate de información registrada en cualquier soporte documental, que en ejercicio de las atribuciones conferidas, sea generada por los Sujetos Obligados;</w:t>
      </w: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Que se trate de información registrada en cualquier soporte documental, que en ejercicio de las atribuciones conferidas, sea administrada por los Sujetos Obligados, y</w:t>
      </w:r>
    </w:p>
    <w:p w:rsidR="00065305" w:rsidRDefault="00EC6B6C">
      <w:pPr>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rPr>
        <w:t>Que se trate de información registrada en cualquier soporte documental, que en ejercicio de las atribuciones conferidas, se encuentre en posesión de los Sujetos Obligados.”</w:t>
      </w:r>
    </w:p>
    <w:p w:rsidR="00065305" w:rsidRDefault="00065305">
      <w:pPr>
        <w:pBdr>
          <w:top w:val="nil"/>
          <w:left w:val="nil"/>
          <w:bottom w:val="nil"/>
          <w:right w:val="nil"/>
          <w:between w:val="nil"/>
        </w:pBdr>
        <w:tabs>
          <w:tab w:val="left" w:pos="851"/>
        </w:tabs>
        <w:spacing w:line="360" w:lineRule="auto"/>
        <w:ind w:right="-1131"/>
        <w:jc w:val="both"/>
        <w:rPr>
          <w:rFonts w:ascii="Palatino Linotype" w:eastAsia="Palatino Linotype" w:hAnsi="Palatino Linotype" w:cs="Palatino Linotype"/>
          <w:color w:val="000000"/>
        </w:rPr>
      </w:pPr>
    </w:p>
    <w:p w:rsidR="00065305" w:rsidRDefault="00EC6B6C">
      <w:pPr>
        <w:numPr>
          <w:ilvl w:val="0"/>
          <w:numId w:val="1"/>
        </w:numPr>
        <w:spacing w:line="360" w:lineRule="auto"/>
        <w:ind w:right="-1131"/>
        <w:jc w:val="both"/>
        <w:rPr>
          <w:color w:val="000000"/>
        </w:rPr>
      </w:pPr>
      <w:r>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XI. Documento: </w:t>
      </w:r>
      <w:r>
        <w:rPr>
          <w:rFonts w:ascii="Palatino Linotype" w:eastAsia="Palatino Linotype" w:hAnsi="Palatino Linotype" w:cs="Palatino Linotype"/>
          <w:i/>
          <w:iCs/>
        </w:rPr>
        <w:t xml:space="preserve">Los expedientes, reportes, estudios, actas, resoluciones, </w:t>
      </w:r>
      <w:r>
        <w:rPr>
          <w:rFonts w:ascii="Palatino Linotype" w:eastAsia="Palatino Linotype" w:hAnsi="Palatino Linotype" w:cs="Palatino Linotype"/>
          <w:b/>
          <w:bCs/>
          <w:i/>
          <w:iCs/>
        </w:rPr>
        <w:t>oficios,</w:t>
      </w:r>
      <w:r>
        <w:rPr>
          <w:rFonts w:ascii="Palatino Linotype" w:eastAsia="Palatino Linotype" w:hAnsi="Palatino Linotype" w:cs="Palatino Linotype"/>
          <w:i/>
          <w:iCs/>
        </w:rPr>
        <w:t xml:space="preserve"> correspondencia, acuerdos, directivas, directrices, circulares, contratos, convenios, instructivos, notas, memorandos, estadísticas o bien, </w:t>
      </w:r>
      <w:r>
        <w:rPr>
          <w:rFonts w:ascii="Palatino Linotype" w:eastAsia="Palatino Linotype" w:hAnsi="Palatino Linotype" w:cs="Palatino Linotype"/>
          <w:b/>
          <w:bCs/>
          <w:i/>
          <w:iCs/>
        </w:rPr>
        <w:t>cualquier otro registro</w:t>
      </w:r>
      <w:r>
        <w:rPr>
          <w:rFonts w:ascii="Palatino Linotype" w:eastAsia="Palatino Linotype" w:hAnsi="Palatino Linotype" w:cs="Palatino Linotype"/>
          <w:i/>
          <w:iC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065305" w:rsidRDefault="00065305">
      <w:pPr>
        <w:pBdr>
          <w:top w:val="nil"/>
          <w:left w:val="nil"/>
          <w:bottom w:val="nil"/>
          <w:right w:val="nil"/>
          <w:between w:val="nil"/>
        </w:pBdr>
        <w:tabs>
          <w:tab w:val="left" w:pos="851"/>
        </w:tabs>
        <w:spacing w:line="360" w:lineRule="auto"/>
        <w:ind w:right="-1131"/>
        <w:jc w:val="both"/>
        <w:rPr>
          <w:rFonts w:ascii="Palatino Linotype" w:eastAsia="Palatino Linotype" w:hAnsi="Palatino Linotype" w:cs="Palatino Linotype"/>
          <w:color w:val="000000"/>
        </w:rPr>
      </w:pPr>
    </w:p>
    <w:p w:rsidR="00065305" w:rsidRDefault="00EC6B6C">
      <w:pPr>
        <w:numPr>
          <w:ilvl w:val="0"/>
          <w:numId w:val="1"/>
        </w:numPr>
        <w:spacing w:line="360" w:lineRule="auto"/>
        <w:ind w:right="-1131"/>
        <w:jc w:val="both"/>
        <w:rPr>
          <w:color w:val="000000"/>
        </w:rPr>
      </w:pPr>
      <w:r>
        <w:rPr>
          <w:rFonts w:ascii="Palatino Linotype" w:eastAsia="Palatino Linotype" w:hAnsi="Palatino Linotype" w:cs="Palatino Linotype"/>
          <w:color w:val="000000"/>
        </w:rPr>
        <w:lastRenderedPageBreak/>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065305" w:rsidRDefault="00065305">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rsidR="00065305" w:rsidRDefault="00EC6B6C">
      <w:pPr>
        <w:numPr>
          <w:ilvl w:val="0"/>
          <w:numId w:val="1"/>
        </w:numPr>
        <w:spacing w:line="360" w:lineRule="auto"/>
        <w:ind w:right="-1131"/>
        <w:jc w:val="both"/>
        <w:rPr>
          <w:color w:val="000000"/>
        </w:rPr>
      </w:pPr>
      <w:r>
        <w:rPr>
          <w:rFonts w:ascii="Palatino Linotype" w:eastAsia="Palatino Linotype" w:hAnsi="Palatino Linotype" w:cs="Palatino Linotype"/>
          <w:color w:val="000000"/>
        </w:rPr>
        <w:t xml:space="preserve">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Pr>
          <w:rFonts w:ascii="Palatino Linotype" w:eastAsia="Palatino Linotype" w:hAnsi="Palatino Linotype" w:cs="Palatino Linotype"/>
          <w:b/>
          <w:bCs/>
          <w:color w:val="000000"/>
        </w:rPr>
        <w:t>los Sujetos Obligados deberán documentar todo acto que se derive del ejercicio de sus facultades, competencias o funciones,</w:t>
      </w:r>
      <w:r>
        <w:rPr>
          <w:rFonts w:ascii="Palatino Linotype" w:eastAsia="Palatino Linotype" w:hAnsi="Palatino Linotype" w:cs="Palatino Linotype"/>
          <w:color w:val="000000"/>
        </w:rPr>
        <w:t xml:space="preserve"> considerando desde su origen la eventual publicidad y reutilización de la información que generen, posean o administren.</w:t>
      </w:r>
    </w:p>
    <w:p w:rsidR="00065305" w:rsidRDefault="00065305">
      <w:pPr>
        <w:pBdr>
          <w:top w:val="nil"/>
          <w:left w:val="nil"/>
          <w:bottom w:val="nil"/>
          <w:right w:val="nil"/>
          <w:between w:val="nil"/>
        </w:pBdr>
        <w:ind w:left="720" w:right="-1131"/>
        <w:rPr>
          <w:rFonts w:ascii="Palatino Linotype" w:eastAsia="Palatino Linotype" w:hAnsi="Palatino Linotype" w:cs="Palatino Linotype"/>
          <w:color w:val="000000"/>
        </w:rPr>
      </w:pPr>
    </w:p>
    <w:p w:rsidR="00065305" w:rsidRDefault="00EC6B6C">
      <w:pPr>
        <w:numPr>
          <w:ilvl w:val="0"/>
          <w:numId w:val="1"/>
        </w:numPr>
        <w:spacing w:line="360" w:lineRule="auto"/>
        <w:ind w:right="-1131"/>
        <w:jc w:val="both"/>
        <w:rPr>
          <w:color w:val="000000"/>
        </w:rPr>
      </w:pPr>
      <w:r>
        <w:rPr>
          <w:rFonts w:ascii="Palatino Linotype" w:eastAsia="Palatino Linotype" w:hAnsi="Palatino Linotype" w:cs="Palatino Linotype"/>
          <w:color w:val="000000"/>
        </w:rPr>
        <w:t>Además, debemos tomar en cuenta los artículos 4 y 12, de la Ley de Transparencia y Acceso a la Información Pública del Estado de México y Municipios, los cuales establecen lo siguiente:</w:t>
      </w: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4. </w:t>
      </w:r>
      <w:r>
        <w:rPr>
          <w:rFonts w:ascii="Palatino Linotype" w:eastAsia="Palatino Linotype" w:hAnsi="Palatino Linotype" w:cs="Palatino Linotype"/>
          <w:i/>
          <w:iCs/>
        </w:rPr>
        <w:t>El derecho humano de acceso a la información pública es la prerrogativa de las personas para buscar, difundir, investigar, recabar, recibir y solicitar información pública, sin necesidad de acreditar personalidad ni interés jurídico.</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Los sujetos obligados deben poner en práctica, políticas y programas de acceso a la información que se apeguen a criterios de publicidad, veracidad, oportunidad, precisión y suficiencia en beneficio de los solicitantes.</w:t>
      </w:r>
    </w:p>
    <w:p w:rsidR="00065305" w:rsidRDefault="00065305">
      <w:pPr>
        <w:ind w:left="567" w:right="-1131"/>
        <w:jc w:val="both"/>
        <w:rPr>
          <w:rFonts w:ascii="Palatino Linotype" w:eastAsia="Palatino Linotype" w:hAnsi="Palatino Linotype" w:cs="Palatino Linotype"/>
          <w:i/>
          <w:iCs/>
          <w:color w:val="000000"/>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12. </w:t>
      </w:r>
      <w:r>
        <w:rPr>
          <w:rFonts w:ascii="Palatino Linotype" w:eastAsia="Palatino Linotype" w:hAnsi="Palatino Linotype" w:cs="Palatino Linotype"/>
          <w:i/>
          <w:iCs/>
        </w:rPr>
        <w:t xml:space="preserve">Quienes generen, recopilen, administren, manejen, procesen, archiven o conserven información pública serán responsables de la misma en los términos de las disposiciones jurídicas aplicables. </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Los sujetos obligados sólo proporcionarán la información pública que se les requiera y que obre en sus archivos y en el estado en que ésta se encuentre. </w:t>
      </w:r>
      <w:r>
        <w:rPr>
          <w:rFonts w:ascii="Palatino Linotype" w:eastAsia="Palatino Linotype" w:hAnsi="Palatino Linotype" w:cs="Palatino Linotype"/>
          <w:b/>
          <w:bCs/>
          <w:i/>
          <w:iCs/>
        </w:rPr>
        <w:t>La obligación de proporcionar información no comprende el procesamiento de la misma, ni el presentarla conforme al interés del solicitante; no estarán obligados a generarla, resumirla, efectuar cálculos o practicar investigaciones.</w:t>
      </w:r>
    </w:p>
    <w:p w:rsidR="00065305" w:rsidRDefault="00065305">
      <w:pPr>
        <w:spacing w:line="360" w:lineRule="auto"/>
        <w:ind w:left="567" w:right="-1131"/>
        <w:jc w:val="both"/>
        <w:rPr>
          <w:rFonts w:ascii="Palatino Linotype" w:eastAsia="Palatino Linotype" w:hAnsi="Palatino Linotype" w:cs="Palatino Linotype"/>
          <w:i/>
          <w:iCs/>
        </w:rPr>
      </w:pPr>
    </w:p>
    <w:p w:rsidR="00065305" w:rsidRDefault="00EC6B6C">
      <w:pPr>
        <w:numPr>
          <w:ilvl w:val="0"/>
          <w:numId w:val="1"/>
        </w:numPr>
        <w:spacing w:line="360" w:lineRule="auto"/>
        <w:ind w:right="-1131"/>
        <w:jc w:val="both"/>
        <w:rPr>
          <w:color w:val="000000"/>
        </w:rPr>
      </w:pPr>
      <w:r>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Pr>
          <w:rFonts w:ascii="Palatino Linotype" w:eastAsia="Palatino Linotype" w:hAnsi="Palatino Linotype" w:cs="Palatino Linotype"/>
          <w:color w:val="000000"/>
          <w:vertAlign w:val="superscript"/>
        </w:rPr>
        <w:footnoteReference w:id="5"/>
      </w:r>
      <w:r>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065305" w:rsidRDefault="00065305">
      <w:pPr>
        <w:pBdr>
          <w:top w:val="nil"/>
          <w:left w:val="nil"/>
          <w:bottom w:val="nil"/>
          <w:right w:val="nil"/>
          <w:between w:val="nil"/>
        </w:pBdr>
        <w:tabs>
          <w:tab w:val="left" w:pos="851"/>
        </w:tabs>
        <w:spacing w:line="360" w:lineRule="auto"/>
        <w:ind w:right="-1131"/>
        <w:jc w:val="both"/>
        <w:rPr>
          <w:rFonts w:ascii="Palatino Linotype" w:eastAsia="Palatino Linotype" w:hAnsi="Palatino Linotype" w:cs="Palatino Linotype"/>
          <w:color w:val="000000"/>
        </w:rPr>
      </w:pPr>
    </w:p>
    <w:p w:rsidR="00065305" w:rsidRDefault="00EC6B6C">
      <w:pPr>
        <w:numPr>
          <w:ilvl w:val="0"/>
          <w:numId w:val="1"/>
        </w:numPr>
        <w:spacing w:line="360" w:lineRule="auto"/>
        <w:ind w:right="-1131"/>
        <w:jc w:val="both"/>
        <w:rPr>
          <w:color w:val="000000"/>
        </w:rPr>
      </w:pPr>
      <w:r>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065305" w:rsidRDefault="00EC6B6C">
      <w:pPr>
        <w:pBdr>
          <w:top w:val="nil"/>
          <w:left w:val="nil"/>
          <w:bottom w:val="nil"/>
          <w:right w:val="nil"/>
          <w:between w:val="nil"/>
        </w:pBdr>
        <w:tabs>
          <w:tab w:val="left" w:pos="851"/>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ACCESO A LA INFORMACIÓN. IMPLICACIÓN DEL PRINCIPIO DE MÁXIMA PUBLICIDAD EN EL DERECHO FUNDAMENTAL RELATIVO.</w:t>
      </w:r>
      <w:r>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065305" w:rsidRDefault="00065305">
      <w:pPr>
        <w:pBdr>
          <w:top w:val="nil"/>
          <w:left w:val="nil"/>
          <w:bottom w:val="nil"/>
          <w:right w:val="nil"/>
          <w:between w:val="nil"/>
        </w:pBdr>
        <w:tabs>
          <w:tab w:val="left" w:pos="851"/>
        </w:tabs>
        <w:ind w:left="567" w:right="-1131"/>
        <w:jc w:val="both"/>
        <w:rPr>
          <w:rFonts w:ascii="Palatino Linotype" w:eastAsia="Palatino Linotype" w:hAnsi="Palatino Linotype" w:cs="Palatino Linotype"/>
          <w:i/>
          <w:iCs/>
          <w:color w:val="000000"/>
        </w:rPr>
      </w:pPr>
    </w:p>
    <w:p w:rsidR="00065305" w:rsidRDefault="00EC6B6C">
      <w:pPr>
        <w:pBdr>
          <w:top w:val="nil"/>
          <w:left w:val="nil"/>
          <w:bottom w:val="nil"/>
          <w:right w:val="nil"/>
          <w:between w:val="nil"/>
        </w:pBdr>
        <w:tabs>
          <w:tab w:val="left" w:pos="851"/>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CUARTO TRIBUNAL COLEGIADO EN MATERIA ADMINISTRATIVA DEL PRIMER CIRCUITO. </w:t>
      </w:r>
    </w:p>
    <w:p w:rsidR="00065305" w:rsidRDefault="00065305">
      <w:pPr>
        <w:pBdr>
          <w:top w:val="nil"/>
          <w:left w:val="nil"/>
          <w:bottom w:val="nil"/>
          <w:right w:val="nil"/>
          <w:between w:val="nil"/>
        </w:pBdr>
        <w:tabs>
          <w:tab w:val="left" w:pos="851"/>
        </w:tabs>
        <w:ind w:left="567" w:right="-1131"/>
        <w:jc w:val="both"/>
        <w:rPr>
          <w:rFonts w:ascii="Palatino Linotype" w:eastAsia="Palatino Linotype" w:hAnsi="Palatino Linotype" w:cs="Palatino Linotype"/>
          <w:i/>
          <w:iCs/>
          <w:color w:val="000000"/>
        </w:rPr>
      </w:pPr>
    </w:p>
    <w:p w:rsidR="00065305" w:rsidRDefault="00EC6B6C">
      <w:pPr>
        <w:pBdr>
          <w:top w:val="nil"/>
          <w:left w:val="nil"/>
          <w:bottom w:val="nil"/>
          <w:right w:val="nil"/>
          <w:between w:val="nil"/>
        </w:pBdr>
        <w:tabs>
          <w:tab w:val="left" w:pos="851"/>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Amparo en revisión 257/2012. Ruth Corona Muñoz. 6 de diciembre de 2012. Unanimidad de votos. Ponente: Jean Claude Tron Petit. Secretaria: Mayra Susana Martínez López</w:t>
      </w:r>
    </w:p>
    <w:p w:rsidR="00065305" w:rsidRDefault="00065305">
      <w:pPr>
        <w:pBdr>
          <w:top w:val="nil"/>
          <w:left w:val="nil"/>
          <w:bottom w:val="nil"/>
          <w:right w:val="nil"/>
          <w:between w:val="nil"/>
        </w:pBdr>
        <w:tabs>
          <w:tab w:val="left" w:pos="851"/>
        </w:tabs>
        <w:ind w:left="567" w:right="-1131"/>
        <w:jc w:val="both"/>
        <w:rPr>
          <w:rFonts w:ascii="Palatino Linotype" w:eastAsia="Palatino Linotype" w:hAnsi="Palatino Linotype" w:cs="Palatino Linotype"/>
          <w:i/>
          <w:iCs/>
          <w:color w:val="000000"/>
        </w:rPr>
      </w:pPr>
    </w:p>
    <w:p w:rsidR="00065305" w:rsidRDefault="00065305">
      <w:pPr>
        <w:pBdr>
          <w:top w:val="nil"/>
          <w:left w:val="nil"/>
          <w:bottom w:val="nil"/>
          <w:right w:val="nil"/>
          <w:between w:val="nil"/>
        </w:pBdr>
        <w:tabs>
          <w:tab w:val="left" w:pos="851"/>
        </w:tabs>
        <w:ind w:left="567" w:right="-1131"/>
        <w:jc w:val="both"/>
        <w:rPr>
          <w:rFonts w:ascii="Palatino Linotype" w:eastAsia="Palatino Linotype" w:hAnsi="Palatino Linotype" w:cs="Palatino Linotype"/>
          <w:i/>
          <w:iCs/>
          <w:color w:val="000000"/>
        </w:rPr>
      </w:pPr>
    </w:p>
    <w:p w:rsidR="00065305" w:rsidRDefault="00EC6B6C">
      <w:pPr>
        <w:numPr>
          <w:ilvl w:val="0"/>
          <w:numId w:val="1"/>
        </w:numPr>
        <w:spacing w:line="360" w:lineRule="auto"/>
        <w:ind w:right="-1131"/>
        <w:jc w:val="both"/>
        <w:rPr>
          <w:color w:val="000000"/>
        </w:rPr>
      </w:pPr>
      <w:r>
        <w:rPr>
          <w:rFonts w:ascii="Palatino Linotype" w:eastAsia="Palatino Linotype" w:hAnsi="Palatino Linotype" w:cs="Palatino Linotype"/>
          <w:color w:val="000000"/>
        </w:rPr>
        <w:t xml:space="preserve">Como se ha señalado, los Sujetos Obligados deberán proporcionar toda la información que se encuentre en su posesión bajo los estándares más altos de transparencia y máxima publicidad. </w:t>
      </w:r>
    </w:p>
    <w:p w:rsidR="00065305" w:rsidRDefault="00065305">
      <w:pPr>
        <w:pBdr>
          <w:top w:val="nil"/>
          <w:left w:val="nil"/>
          <w:bottom w:val="nil"/>
          <w:right w:val="nil"/>
          <w:between w:val="nil"/>
        </w:pBdr>
        <w:tabs>
          <w:tab w:val="left" w:pos="851"/>
        </w:tabs>
        <w:spacing w:line="360" w:lineRule="auto"/>
        <w:ind w:right="-1131"/>
        <w:jc w:val="both"/>
        <w:rPr>
          <w:color w:val="000000"/>
        </w:rPr>
      </w:pPr>
    </w:p>
    <w:p w:rsidR="00065305" w:rsidRDefault="00EC6B6C">
      <w:pPr>
        <w:numPr>
          <w:ilvl w:val="0"/>
          <w:numId w:val="1"/>
        </w:numPr>
        <w:spacing w:line="360" w:lineRule="auto"/>
        <w:ind w:right="-1131"/>
        <w:jc w:val="both"/>
        <w:rPr>
          <w:color w:val="000000"/>
        </w:rPr>
      </w:pPr>
      <w:r>
        <w:rPr>
          <w:rFonts w:ascii="Palatino Linotype" w:eastAsia="Palatino Linotype" w:hAnsi="Palatino Linotype" w:cs="Palatino Linotype"/>
          <w:color w:val="000000"/>
        </w:rPr>
        <w:lastRenderedPageBreak/>
        <w:t>Es pertinente enfatizar lo que respecto al derecho de acceso a la información pública, refiere el artículo 6° de la Constitución Política de los Estados Unidos Mexicanos, que en su parte conducente señala:</w:t>
      </w: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6o.</w:t>
      </w:r>
      <w:r>
        <w:rPr>
          <w:rFonts w:ascii="Palatino Linotype" w:eastAsia="Palatino Linotype" w:hAnsi="Palatino Linotype" w:cs="Palatino Linotype"/>
          <w:i/>
          <w:iCs/>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w:t>
      </w:r>
      <w:r>
        <w:rPr>
          <w:rFonts w:ascii="Palatino Linotype" w:eastAsia="Palatino Linotype" w:hAnsi="Palatino Linotype" w:cs="Palatino Linotype"/>
          <w:b/>
          <w:bCs/>
          <w:i/>
          <w:iCs/>
        </w:rPr>
        <w:t>El derecho a la información será garantizado por el Estado.</w:t>
      </w:r>
      <w:r>
        <w:rPr>
          <w:rFonts w:ascii="Palatino Linotype" w:eastAsia="Palatino Linotype" w:hAnsi="Palatino Linotype" w:cs="Palatino Linotype"/>
          <w:i/>
          <w:iCs/>
        </w:rPr>
        <w:t xml:space="preserve"> </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Toda persona tiene derecho al libre acceso a información plural y oportuna, así como a buscar, recibir y difundir información e ideas de toda índole por cualquier medio de expresión.</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A. Para el ejercicio del derecho de acceso a la información, la Federación, los Estados y el Distrito Federal, en el ámbito de sus respectivas competencias, se regirán por los siguientes principios y bases:</w:t>
      </w:r>
    </w:p>
    <w:p w:rsidR="00065305" w:rsidRDefault="00065305">
      <w:pPr>
        <w:ind w:left="567" w:right="-1131"/>
        <w:jc w:val="both"/>
        <w:rPr>
          <w:rFonts w:ascii="Palatino Linotype" w:eastAsia="Palatino Linotype" w:hAnsi="Palatino Linotype" w:cs="Palatino Linotype"/>
          <w:b/>
          <w:bCs/>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cualquier 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En la interpretación de este derecho deberá prevalecer el principio de máxima publicidad.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II. La información que se refiere a la vida privada y los datos personales será protegida en los términos y con las excepciones que fijen las leyes.</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III. Toda persona, sin necesidad de acreditar interés alguno o justificar su utilización, tendrá acceso gratuito a la información pública, a sus datos personales o a la rectificación de éstos.</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IV.   Se establecerán mecanismos de acceso a la información y procedimientos de revisión expeditos que se sustanciarán ante los organismos autónomos especializados e imparciales que establece esta Constitución.</w:t>
      </w:r>
    </w:p>
    <w:p w:rsidR="00065305" w:rsidRDefault="00065305">
      <w:pPr>
        <w:ind w:left="567" w:right="-1131"/>
        <w:jc w:val="both"/>
        <w:rPr>
          <w:rFonts w:ascii="Palatino Linotype" w:eastAsia="Palatino Linotype" w:hAnsi="Palatino Linotype" w:cs="Palatino Linotype"/>
          <w:b/>
          <w:bCs/>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V. Los sujetos obligados deberán preservar sus documentos en archivos administrativos actualizados y publicarán, a través de los medios electrónicos disponibles</w:t>
      </w:r>
      <w:r>
        <w:rPr>
          <w:rFonts w:ascii="Palatino Linotype" w:eastAsia="Palatino Linotype" w:hAnsi="Palatino Linotype" w:cs="Palatino Linotype"/>
          <w:i/>
          <w:iCs/>
        </w:rPr>
        <w:t>, la información completa y actualizada sobre el ejercicio de los recursos públicos y los indicadores que permitan rendir cuenta del cumplimiento de sus objetivos y de los resultados obtenidos.</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VI. Las leyes determinarán la manera en que los sujetos obligados deberán hacer pública la información relativa a los recursos públicos que entreguen a personas físicas o morales.</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VII. La inobservancia a las disposiciones en materia de acceso a la información pública será sancionada en los términos que dispongan las leyes.</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VIII. 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La ley establecerá aquella información que se considere reservada o confidencial.”</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(Énfasis añadido)</w:t>
      </w:r>
    </w:p>
    <w:p w:rsidR="00065305" w:rsidRDefault="00065305">
      <w:pPr>
        <w:spacing w:line="360" w:lineRule="auto"/>
        <w:ind w:left="709" w:right="-1131"/>
        <w:jc w:val="both"/>
        <w:rPr>
          <w:rFonts w:ascii="Palatino Linotype" w:eastAsia="Palatino Linotype" w:hAnsi="Palatino Linotype" w:cs="Palatino Linotype"/>
        </w:rPr>
      </w:pPr>
    </w:p>
    <w:p w:rsidR="00065305" w:rsidRDefault="00EC6B6C">
      <w:pPr>
        <w:numPr>
          <w:ilvl w:val="0"/>
          <w:numId w:val="1"/>
        </w:numPr>
        <w:spacing w:line="360" w:lineRule="auto"/>
        <w:ind w:right="-1131"/>
        <w:jc w:val="both"/>
        <w:rPr>
          <w:color w:val="000000"/>
        </w:rPr>
      </w:pPr>
      <w:r>
        <w:rPr>
          <w:rFonts w:ascii="Palatino Linotype" w:eastAsia="Palatino Linotype" w:hAnsi="Palatino Linotype" w:cs="Palatino Linotype"/>
          <w:color w:val="000000"/>
        </w:rPr>
        <w:t>Por su parte, la Constitución Política del Estado Libre y Soberano de México, en su artículo 5°, dispone en su parte conducente, lo siguiente:</w:t>
      </w:r>
    </w:p>
    <w:p w:rsidR="00065305" w:rsidRDefault="00EC6B6C">
      <w:pPr>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“Artículo 5. … </w:t>
      </w: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w:t>
      </w:r>
      <w:r>
        <w:rPr>
          <w:rFonts w:ascii="Palatino Linotype" w:eastAsia="Palatino Linotype" w:hAnsi="Palatino Linotype" w:cs="Palatino Linotype"/>
          <w:i/>
          <w:iCs/>
        </w:rPr>
        <w:t xml:space="preserve">. La ley establecerá las previsiones que permitan asegurar la protección, el respeto y la difusión de este derecho. </w:t>
      </w: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Este derecho se regirá por los principios y bases siguientes:</w:t>
      </w:r>
    </w:p>
    <w:p w:rsidR="00065305" w:rsidRDefault="00065305">
      <w:pPr>
        <w:ind w:left="567" w:right="-1131"/>
        <w:jc w:val="both"/>
        <w:rPr>
          <w:rFonts w:ascii="Palatino Linotype" w:eastAsia="Palatino Linotype" w:hAnsi="Palatino Linotype" w:cs="Palatino Linotype"/>
          <w:b/>
          <w:bCs/>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 Toda la información en posesión </w:t>
      </w:r>
      <w:r>
        <w:rPr>
          <w:rFonts w:ascii="Palatino Linotype" w:eastAsia="Palatino Linotype" w:hAnsi="Palatino Linotype" w:cs="Palatino Linotype"/>
          <w:i/>
          <w:iCs/>
        </w:rPr>
        <w:t xml:space="preserve">de cualquier autoridad, entidad, órgano y organismos de los Poderes Ejecutivo, Legislativo y Judicial, órganos autónomos, partidos políticos, fideicomisos y fondos públicos estatales y municipales, así como </w:t>
      </w:r>
      <w:r>
        <w:rPr>
          <w:rFonts w:ascii="Palatino Linotype" w:eastAsia="Palatino Linotype" w:hAnsi="Palatino Linotype" w:cs="Palatino Linotype"/>
          <w:b/>
          <w:bCs/>
          <w:i/>
          <w:iCs/>
        </w:rPr>
        <w:t>del gobierno y de la administración pública municipal y sus organismos descentralizados</w:t>
      </w:r>
      <w:r>
        <w:rPr>
          <w:rFonts w:ascii="Palatino Linotype" w:eastAsia="Palatino Linotype" w:hAnsi="Palatino Linotype" w:cs="Palatino Linotype"/>
          <w:i/>
          <w:iCs/>
        </w:rPr>
        <w:t xml:space="preserve">,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II. La información referente a la intimidad de la vida privada y la imagen de las personas será protegida a través de un marco jurídico rígido de tratamiento y manejo de datos personales, con las excepciones que establezca la ley reglamentaria.</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III. Toda persona, sin necesidad de acreditar interés alguno o justificar su utilización, tendrá acceso gratuito a la información pública, a sus datos personales o a la rectificación de éstos.</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IV. Se establecerán mecanismos de acceso a la información y procedimientos de revisión expeditos que se sustanciarán ante el organismo autónomo especializado e imparcial que establece esta Constitución.</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rsidR="00065305" w:rsidRDefault="00065305">
      <w:pPr>
        <w:ind w:left="567" w:right="-1131"/>
        <w:jc w:val="both"/>
        <w:rPr>
          <w:rFonts w:ascii="Palatino Linotype" w:eastAsia="Palatino Linotype" w:hAnsi="Palatino Linotype" w:cs="Palatino Linotype"/>
          <w:b/>
          <w:bCs/>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VI. Los sujetos obligados deberán preservar sus documentos en archivos administrativos actualizados y publicarán, a través de los medios electrónicos disponibles, la información completa y actualizada sobre el ejercicio de los recursos públicos</w:t>
      </w:r>
      <w:r>
        <w:rPr>
          <w:rFonts w:ascii="Palatino Linotype" w:eastAsia="Palatino Linotype" w:hAnsi="Palatino Linotype" w:cs="Palatino Linotype"/>
          <w:i/>
          <w:iCs/>
        </w:rPr>
        <w:t xml:space="preserve"> y los indicadores que permitan rendir cuenta del cumplimiento de sus objetivos y los resultados obtenidos.</w:t>
      </w:r>
    </w:p>
    <w:p w:rsidR="00065305" w:rsidRDefault="00065305">
      <w:pPr>
        <w:ind w:left="567" w:right="-1131"/>
        <w:jc w:val="both"/>
        <w:rPr>
          <w:rFonts w:ascii="Palatino Linotype" w:eastAsia="Palatino Linotype" w:hAnsi="Palatino Linotype" w:cs="Palatino Linotype"/>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VII. La ley reglamentaria, determinará la manera en que los sujetos obligados deberán hacer pública la información relativa a los recursos públicos que entreguen a personas físicas o jurídicas colectivas.”</w:t>
      </w:r>
    </w:p>
    <w:p w:rsidR="00065305" w:rsidRDefault="00065305">
      <w:pPr>
        <w:ind w:left="567" w:right="-1131"/>
        <w:jc w:val="both"/>
        <w:rPr>
          <w:rFonts w:ascii="Palatino Linotype" w:eastAsia="Palatino Linotype" w:hAnsi="Palatino Linotype" w:cs="Palatino Linotype"/>
        </w:rPr>
      </w:pPr>
    </w:p>
    <w:p w:rsidR="00065305" w:rsidRDefault="00EC6B6C">
      <w:pPr>
        <w:ind w:left="567" w:right="-1131"/>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065305" w:rsidRDefault="00065305">
      <w:pPr>
        <w:spacing w:line="360" w:lineRule="auto"/>
        <w:ind w:left="567" w:right="-1131"/>
        <w:jc w:val="both"/>
        <w:rPr>
          <w:rFonts w:ascii="Palatino Linotype" w:eastAsia="Palatino Linotype" w:hAnsi="Palatino Linotype" w:cs="Palatino Linotype"/>
        </w:rPr>
      </w:pPr>
    </w:p>
    <w:p w:rsidR="00065305" w:rsidRDefault="00EC6B6C">
      <w:pPr>
        <w:numPr>
          <w:ilvl w:val="0"/>
          <w:numId w:val="1"/>
        </w:numPr>
        <w:spacing w:line="360" w:lineRule="auto"/>
        <w:ind w:right="-1131"/>
        <w:jc w:val="both"/>
        <w:rPr>
          <w:color w:val="000000"/>
        </w:rPr>
      </w:pPr>
      <w:r>
        <w:rPr>
          <w:rFonts w:ascii="Palatino Linotype" w:eastAsia="Palatino Linotype" w:hAnsi="Palatino Linotype" w:cs="Palatino Linotype"/>
          <w:color w:val="000000"/>
        </w:rPr>
        <w:t>Adicional, tenemos que la Ley de Transparencia y Acceso a la Información Pública del Estado de México y Municipios, prevé en su artículo 23 fracción I, lo siguiente:</w:t>
      </w: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23. Son sujetos obligados a transparentar y permitir el acceso a su información y proteger los datos personales que obren en su poder</w:t>
      </w:r>
      <w:r>
        <w:rPr>
          <w:rFonts w:ascii="Palatino Linotype" w:eastAsia="Palatino Linotype" w:hAnsi="Palatino Linotype" w:cs="Palatino Linotype"/>
          <w:i/>
          <w:iCs/>
        </w:rPr>
        <w:t>:</w:t>
      </w: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El Poder Ejecutivo del Estado de México, las dependencias, organismos auxiliares, órganos, entidades, fideicomisos y fondos públicos, así como la Fiscalía General de Justicia del Estado de México; </w:t>
      </w:r>
    </w:p>
    <w:p w:rsidR="00065305" w:rsidRDefault="00EC6B6C">
      <w:pPr>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w:t>
      </w:r>
    </w:p>
    <w:p w:rsidR="00065305" w:rsidRDefault="00EC6B6C">
      <w:pPr>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Los sujetos obligados deberán hacer pública toda aquella información relativa a los montos y las personas a quienes entreguen, por cualquier motivo, recursos públicos</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así como</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informes que dichas personas les entreguen sobre el uso y destino de dichos recursos.</w:t>
      </w:r>
    </w:p>
    <w:p w:rsidR="00065305" w:rsidRDefault="00065305">
      <w:pPr>
        <w:ind w:left="567" w:right="-1131"/>
        <w:jc w:val="both"/>
        <w:rPr>
          <w:rFonts w:ascii="Palatino Linotype" w:eastAsia="Palatino Linotype" w:hAnsi="Palatino Linotype" w:cs="Palatino Linotype"/>
          <w:b/>
          <w:bCs/>
          <w:i/>
          <w:iCs/>
        </w:rPr>
      </w:pP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Los servidores públicos deberán transparentar sus acciones así como garantizar y respetar el derecho de acceso a la información pública.”</w:t>
      </w:r>
    </w:p>
    <w:p w:rsidR="00065305" w:rsidRDefault="00EC6B6C">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(Énfasis añadido)</w:t>
      </w:r>
    </w:p>
    <w:p w:rsidR="00065305" w:rsidRDefault="00065305">
      <w:pPr>
        <w:spacing w:line="360" w:lineRule="auto"/>
        <w:ind w:right="-1131"/>
        <w:jc w:val="both"/>
        <w:rPr>
          <w:rFonts w:ascii="Palatino Linotype" w:eastAsia="Palatino Linotype" w:hAnsi="Palatino Linotype" w:cs="Palatino Linotype"/>
        </w:rPr>
      </w:pPr>
    </w:p>
    <w:p w:rsidR="00065305" w:rsidRDefault="00EC6B6C">
      <w:pPr>
        <w:numPr>
          <w:ilvl w:val="0"/>
          <w:numId w:val="1"/>
        </w:numPr>
        <w:spacing w:line="360" w:lineRule="auto"/>
        <w:ind w:right="-1131"/>
        <w:jc w:val="both"/>
        <w:rPr>
          <w:color w:val="000000"/>
        </w:rPr>
      </w:pPr>
      <w:r>
        <w:rPr>
          <w:rFonts w:ascii="Palatino Linotype" w:eastAsia="Palatino Linotype" w:hAnsi="Palatino Linotype" w:cs="Palatino Linotype"/>
          <w:color w:val="000000"/>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rsidR="00065305" w:rsidRDefault="00065305">
      <w:pPr>
        <w:ind w:left="1134" w:right="-1131"/>
        <w:jc w:val="both"/>
        <w:rPr>
          <w:rFonts w:ascii="Palatino Linotype" w:eastAsia="Palatino Linotype" w:hAnsi="Palatino Linotype" w:cs="Palatino Linotype"/>
        </w:rPr>
      </w:pPr>
    </w:p>
    <w:p w:rsidR="00065305" w:rsidRDefault="00EC6B6C">
      <w:pPr>
        <w:keepNext/>
        <w:keepLines/>
        <w:spacing w:after="160" w:line="360" w:lineRule="auto"/>
        <w:ind w:right="-113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QUINTO. De la versión pública.</w:t>
      </w:r>
    </w:p>
    <w:p w:rsidR="00065305" w:rsidRDefault="00EC6B6C">
      <w:pPr>
        <w:keepNext/>
        <w:keepLines/>
        <w:numPr>
          <w:ilvl w:val="0"/>
          <w:numId w:val="6"/>
        </w:numPr>
        <w:tabs>
          <w:tab w:val="left" w:pos="284"/>
        </w:tabs>
        <w:spacing w:after="160" w:line="360" w:lineRule="auto"/>
        <w:ind w:left="0" w:right="-1131" w:firstLine="0"/>
        <w:rPr>
          <w:rFonts w:ascii="Palatino Linotype" w:eastAsia="Palatino Linotype" w:hAnsi="Palatino Linotype" w:cs="Palatino Linotype"/>
          <w:b/>
          <w:bCs/>
          <w:color w:val="000000"/>
        </w:rPr>
      </w:pPr>
      <w:bookmarkStart w:id="8" w:name="_heading=h.lnxbz9" w:colFirst="0" w:colLast="0"/>
      <w:bookmarkEnd w:id="8"/>
      <w:r>
        <w:rPr>
          <w:rFonts w:ascii="Palatino Linotype" w:eastAsia="Palatino Linotype" w:hAnsi="Palatino Linotype" w:cs="Palatino Linotype"/>
          <w:b/>
          <w:bCs/>
          <w:color w:val="000000"/>
        </w:rPr>
        <w:t xml:space="preserve">Nociones generales. </w:t>
      </w:r>
    </w:p>
    <w:p w:rsidR="00065305" w:rsidRDefault="00EC6B6C">
      <w:pPr>
        <w:numPr>
          <w:ilvl w:val="0"/>
          <w:numId w:val="1"/>
        </w:numPr>
        <w:spacing w:line="360" w:lineRule="auto"/>
        <w:ind w:right="-1131"/>
        <w:jc w:val="both"/>
        <w:rPr>
          <w:color w:val="000000"/>
        </w:rPr>
      </w:pPr>
      <w:r>
        <w:rPr>
          <w:rFonts w:ascii="Palatino Linotype" w:eastAsia="Palatino Linotype" w:hAnsi="Palatino Linotype" w:cs="Palatino Linotype"/>
          <w:color w:val="000000"/>
        </w:rPr>
        <w:t xml:space="preserve">Debe destacarse, que debido a la información solicitada por el </w:t>
      </w:r>
      <w:r>
        <w:rPr>
          <w:rFonts w:ascii="Palatino Linotype" w:eastAsia="Palatino Linotype" w:hAnsi="Palatino Linotype" w:cs="Palatino Linotype"/>
          <w:b/>
          <w:bCs/>
          <w:color w:val="000000"/>
        </w:rPr>
        <w:t xml:space="preserve">RECURRENTE, pueden obrar </w:t>
      </w:r>
      <w:r>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065305" w:rsidRDefault="00065305">
      <w:pPr>
        <w:spacing w:line="360" w:lineRule="auto"/>
        <w:ind w:right="-1131"/>
        <w:jc w:val="both"/>
        <w:rPr>
          <w:rFonts w:ascii="Palatino Linotype" w:eastAsia="Palatino Linotype" w:hAnsi="Palatino Linotype" w:cs="Palatino Linotype"/>
          <w:highlight w:val="yellow"/>
        </w:rPr>
      </w:pPr>
    </w:p>
    <w:p w:rsidR="00065305" w:rsidRDefault="00EC6B6C">
      <w:pPr>
        <w:numPr>
          <w:ilvl w:val="0"/>
          <w:numId w:val="1"/>
        </w:numPr>
        <w:spacing w:line="360" w:lineRule="auto"/>
        <w:ind w:right="-1131"/>
        <w:jc w:val="both"/>
        <w:rPr>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065305" w:rsidRDefault="00065305">
      <w:pPr>
        <w:tabs>
          <w:tab w:val="left" w:pos="284"/>
        </w:tabs>
        <w:spacing w:after="160" w:line="360" w:lineRule="auto"/>
        <w:ind w:right="-1131"/>
        <w:jc w:val="both"/>
        <w:rPr>
          <w:rFonts w:ascii="Palatino Linotype" w:eastAsia="Palatino Linotype" w:hAnsi="Palatino Linotype" w:cs="Palatino Linotype"/>
          <w:color w:val="000000"/>
        </w:rPr>
      </w:pPr>
    </w:p>
    <w:tbl>
      <w:tblPr>
        <w:tblStyle w:val="a"/>
        <w:tblW w:w="9750"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5"/>
        <w:gridCol w:w="6915"/>
      </w:tblGrid>
      <w:tr w:rsidR="00065305">
        <w:tc>
          <w:tcPr>
            <w:tcW w:w="2835" w:type="dxa"/>
          </w:tcPr>
          <w:p w:rsidR="00065305" w:rsidRDefault="00EC6B6C">
            <w:pPr>
              <w:tabs>
                <w:tab w:val="left" w:pos="284"/>
              </w:tabs>
              <w:spacing w:line="360" w:lineRule="auto"/>
              <w:ind w:right="-97"/>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915" w:type="dxa"/>
          </w:tcPr>
          <w:p w:rsidR="00065305" w:rsidRDefault="00EC6B6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065305" w:rsidRDefault="00EC6B6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065305" w:rsidRDefault="00EC6B6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rsidR="00065305" w:rsidRDefault="00EC6B6C">
            <w:pPr>
              <w:tabs>
                <w:tab w:val="left" w:pos="284"/>
              </w:tabs>
              <w:spacing w:line="360" w:lineRule="auto"/>
              <w:ind w:right="-97"/>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065305">
        <w:tc>
          <w:tcPr>
            <w:tcW w:w="2835" w:type="dxa"/>
          </w:tcPr>
          <w:p w:rsidR="00065305" w:rsidRDefault="00EC6B6C">
            <w:pPr>
              <w:tabs>
                <w:tab w:val="left" w:pos="284"/>
              </w:tabs>
              <w:spacing w:line="360" w:lineRule="auto"/>
              <w:ind w:right="-97"/>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6915" w:type="dxa"/>
          </w:tcPr>
          <w:p w:rsidR="00065305" w:rsidRDefault="00EC6B6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065305" w:rsidRDefault="00EC6B6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065305" w:rsidRDefault="00EC6B6C">
            <w:pPr>
              <w:tabs>
                <w:tab w:val="left" w:pos="284"/>
              </w:tabs>
              <w:spacing w:line="360" w:lineRule="auto"/>
              <w:ind w:right="-97"/>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w:t>
            </w:r>
            <w:r>
              <w:rPr>
                <w:rFonts w:ascii="Palatino Linotype" w:eastAsia="Palatino Linotype" w:hAnsi="Palatino Linotype" w:cs="Palatino Linotype"/>
                <w:color w:val="000000"/>
              </w:rPr>
              <w:lastRenderedPageBreak/>
              <w:t>acreditar que el supuesto de hecho corresponde estrictamente con la hipótesis jurídica. Esto también lo debe de realizar el servidor público habilitado y el titular del área que administra la información.</w:t>
            </w:r>
          </w:p>
        </w:tc>
      </w:tr>
      <w:tr w:rsidR="00065305">
        <w:tc>
          <w:tcPr>
            <w:tcW w:w="2835" w:type="dxa"/>
          </w:tcPr>
          <w:p w:rsidR="00065305" w:rsidRDefault="00EC6B6C">
            <w:pPr>
              <w:tabs>
                <w:tab w:val="left" w:pos="284"/>
              </w:tabs>
              <w:spacing w:line="360" w:lineRule="auto"/>
              <w:ind w:right="-97"/>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915" w:type="dxa"/>
          </w:tcPr>
          <w:p w:rsidR="00065305" w:rsidRDefault="00EC6B6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065305" w:rsidRDefault="00EC6B6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065305" w:rsidRDefault="00EC6B6C">
            <w:pPr>
              <w:tabs>
                <w:tab w:val="left" w:pos="284"/>
              </w:tabs>
              <w:spacing w:line="360" w:lineRule="auto"/>
              <w:ind w:right="-97"/>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065305">
        <w:tc>
          <w:tcPr>
            <w:tcW w:w="2835" w:type="dxa"/>
          </w:tcPr>
          <w:p w:rsidR="00065305" w:rsidRDefault="00065305">
            <w:pPr>
              <w:tabs>
                <w:tab w:val="left" w:pos="284"/>
              </w:tabs>
              <w:spacing w:line="360" w:lineRule="auto"/>
              <w:ind w:right="-97"/>
              <w:rPr>
                <w:rFonts w:ascii="Palatino Linotype" w:eastAsia="Palatino Linotype" w:hAnsi="Palatino Linotype" w:cs="Palatino Linotype"/>
              </w:rPr>
            </w:pPr>
          </w:p>
          <w:p w:rsidR="00065305" w:rsidRDefault="00EC6B6C">
            <w:pPr>
              <w:tabs>
                <w:tab w:val="left" w:pos="284"/>
              </w:tabs>
              <w:spacing w:line="360" w:lineRule="auto"/>
              <w:ind w:right="-97"/>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6915" w:type="dxa"/>
          </w:tcPr>
          <w:p w:rsidR="00065305" w:rsidRDefault="00EC6B6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w:t>
            </w:r>
            <w:r>
              <w:rPr>
                <w:rFonts w:ascii="Palatino Linotype" w:eastAsia="Palatino Linotype" w:hAnsi="Palatino Linotype" w:cs="Palatino Linotype"/>
                <w:color w:val="000000"/>
              </w:rPr>
              <w:lastRenderedPageBreak/>
              <w:t xml:space="preserve">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065305" w:rsidRDefault="00EC6B6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065305" w:rsidRDefault="00EC6B6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065305" w:rsidRDefault="00EC6B6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065305" w:rsidRDefault="00EC6B6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w:t>
            </w:r>
            <w:r>
              <w:rPr>
                <w:rFonts w:ascii="Palatino Linotype" w:eastAsia="Palatino Linotype" w:hAnsi="Palatino Linotype" w:cs="Palatino Linotype"/>
                <w:color w:val="000000"/>
              </w:rPr>
              <w:lastRenderedPageBreak/>
              <w:t>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065305">
        <w:tc>
          <w:tcPr>
            <w:tcW w:w="2835" w:type="dxa"/>
          </w:tcPr>
          <w:p w:rsidR="00065305" w:rsidRDefault="00EC6B6C">
            <w:pPr>
              <w:tabs>
                <w:tab w:val="left" w:pos="284"/>
              </w:tabs>
              <w:spacing w:line="360" w:lineRule="auto"/>
              <w:ind w:right="-97"/>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6915" w:type="dxa"/>
          </w:tcPr>
          <w:p w:rsidR="00065305" w:rsidRDefault="00EC6B6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065305" w:rsidRDefault="00EC6B6C">
            <w:pPr>
              <w:tabs>
                <w:tab w:val="left" w:pos="284"/>
              </w:tabs>
              <w:spacing w:line="360" w:lineRule="auto"/>
              <w:ind w:right="-9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065305" w:rsidRDefault="00EC6B6C">
            <w:pPr>
              <w:tabs>
                <w:tab w:val="left" w:pos="284"/>
              </w:tabs>
              <w:spacing w:line="360" w:lineRule="auto"/>
              <w:ind w:right="-97"/>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065305" w:rsidRDefault="00065305">
      <w:pPr>
        <w:tabs>
          <w:tab w:val="left" w:pos="284"/>
        </w:tabs>
        <w:spacing w:line="360" w:lineRule="auto"/>
        <w:ind w:right="-1131"/>
        <w:jc w:val="both"/>
        <w:rPr>
          <w:rFonts w:ascii="Palatino Linotype" w:eastAsia="Palatino Linotype" w:hAnsi="Palatino Linotype" w:cs="Palatino Linotype"/>
          <w:color w:val="000000"/>
        </w:rPr>
      </w:pPr>
    </w:p>
    <w:p w:rsidR="00065305" w:rsidRDefault="00EC6B6C">
      <w:pPr>
        <w:numPr>
          <w:ilvl w:val="0"/>
          <w:numId w:val="1"/>
        </w:numPr>
        <w:spacing w:line="360" w:lineRule="auto"/>
        <w:ind w:right="-1131"/>
        <w:jc w:val="both"/>
      </w:pPr>
      <w:r>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065305" w:rsidRDefault="00065305">
      <w:pPr>
        <w:spacing w:line="360" w:lineRule="auto"/>
        <w:ind w:right="-1131"/>
        <w:jc w:val="both"/>
      </w:pPr>
    </w:p>
    <w:p w:rsidR="00065305" w:rsidRDefault="00EC6B6C">
      <w:pPr>
        <w:numPr>
          <w:ilvl w:val="0"/>
          <w:numId w:val="1"/>
        </w:numPr>
        <w:spacing w:line="360" w:lineRule="auto"/>
        <w:ind w:right="-1131"/>
        <w:jc w:val="both"/>
        <w:rPr>
          <w:rFonts w:ascii="Palatino Linotype" w:eastAsia="Palatino Linotype" w:hAnsi="Palatino Linotype" w:cs="Palatino Linotype"/>
          <w:b/>
          <w:bCs/>
          <w:color w:val="000000"/>
          <w:u w:val="single"/>
        </w:rPr>
      </w:pPr>
      <w:r>
        <w:rPr>
          <w:rFonts w:ascii="Palatino Linotype" w:eastAsia="Palatino Linotype" w:hAnsi="Palatino Linotype" w:cs="Palatino Linotype"/>
          <w:color w:val="000000"/>
        </w:rPr>
        <w:lastRenderedPageBreak/>
        <w:t xml:space="preserve">Debido a lo anteriormente expuesto, este Instituto estima que las razones o motivos de inconformidad hechos valer por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devienen fundadas y suficientes para</w:t>
      </w:r>
      <w:r>
        <w:rPr>
          <w:rFonts w:ascii="Palatino Linotype" w:eastAsia="Palatino Linotype" w:hAnsi="Palatino Linotype" w:cs="Palatino Linotype"/>
          <w:b/>
          <w:bCs/>
          <w:color w:val="000000"/>
        </w:rPr>
        <w:t xml:space="preserve"> REVOCAR</w:t>
      </w:r>
      <w:r>
        <w:rPr>
          <w:rFonts w:ascii="Palatino Linotype" w:eastAsia="Palatino Linotype" w:hAnsi="Palatino Linotype" w:cs="Palatino Linotype"/>
          <w:color w:val="000000"/>
        </w:rPr>
        <w:t xml:space="preserve"> la respuesta a la solicitud de acceso </w:t>
      </w:r>
      <w:r>
        <w:rPr>
          <w:rFonts w:ascii="Palatino Linotype" w:eastAsia="Palatino Linotype" w:hAnsi="Palatino Linotype" w:cs="Palatino Linotype"/>
          <w:b/>
          <w:bCs/>
          <w:color w:val="000000"/>
        </w:rPr>
        <w:t xml:space="preserve">00024/IXTAPALU/IP/2026, </w:t>
      </w:r>
      <w:r>
        <w:rPr>
          <w:rFonts w:ascii="Palatino Linotype" w:eastAsia="Palatino Linotype" w:hAnsi="Palatino Linotype" w:cs="Palatino Linotype"/>
          <w:color w:val="000000"/>
        </w:rPr>
        <w:t xml:space="preserve">que </w:t>
      </w:r>
      <w:r>
        <w:rPr>
          <w:rFonts w:ascii="Palatino Linotype" w:eastAsia="Palatino Linotype" w:hAnsi="Palatino Linotype" w:cs="Palatino Linotype"/>
        </w:rPr>
        <w:t>originó</w:t>
      </w:r>
      <w:r>
        <w:rPr>
          <w:rFonts w:ascii="Palatino Linotype" w:eastAsia="Palatino Linotype" w:hAnsi="Palatino Linotype" w:cs="Palatino Linotype"/>
          <w:color w:val="000000"/>
        </w:rPr>
        <w:t xml:space="preserve"> el Recurso de Revisión </w:t>
      </w:r>
      <w:r>
        <w:rPr>
          <w:rFonts w:ascii="Palatino Linotype" w:eastAsia="Palatino Linotype" w:hAnsi="Palatino Linotype" w:cs="Palatino Linotype"/>
          <w:b/>
          <w:bCs/>
          <w:color w:val="000000"/>
        </w:rPr>
        <w:t> 03063/INFOEM/IP/RR/2026.</w:t>
      </w:r>
    </w:p>
    <w:p w:rsidR="00065305" w:rsidRDefault="00065305">
      <w:pPr>
        <w:spacing w:line="360" w:lineRule="auto"/>
        <w:ind w:right="-1131"/>
        <w:jc w:val="both"/>
        <w:rPr>
          <w:rFonts w:ascii="Palatino Linotype" w:eastAsia="Palatino Linotype" w:hAnsi="Palatino Linotype" w:cs="Palatino Linotype"/>
          <w:color w:val="000000"/>
        </w:rPr>
      </w:pPr>
    </w:p>
    <w:p w:rsidR="00065305" w:rsidRDefault="00EC6B6C">
      <w:pPr>
        <w:numPr>
          <w:ilvl w:val="0"/>
          <w:numId w:val="1"/>
        </w:numPr>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con fundamento en lo previsto en los artículos 5, </w:t>
      </w:r>
      <w:r>
        <w:rPr>
          <w:rFonts w:ascii="Palatino Linotype" w:eastAsia="Palatino Linotype" w:hAnsi="Palatino Linotype" w:cs="Palatino Linotype"/>
        </w:rPr>
        <w:t>párrafo trigésimo segundo, trigésimo tercero y trigésimo cuarto</w:t>
      </w:r>
      <w:r>
        <w:rPr>
          <w:rFonts w:ascii="Palatino Linotype" w:eastAsia="Palatino Linotype" w:hAnsi="Palatino Linotype" w:cs="Palatino Linotype"/>
          <w:color w:val="000000"/>
        </w:rPr>
        <w:t xml:space="preserve">, fracciones IV y V de la Constitución Política del Estado Libre y Soberano de México; 2, fracción II, 29, 36, fracciones I y II, 176, 178, 179, 181, 185 fracción I, 186 y 188 de la Ley de Transparencia y Acceso a la Información Pública del Estado de México y Municipios, este Pleno: </w:t>
      </w:r>
    </w:p>
    <w:p w:rsidR="00065305" w:rsidRDefault="00065305">
      <w:pPr>
        <w:pBdr>
          <w:top w:val="nil"/>
          <w:left w:val="nil"/>
          <w:bottom w:val="nil"/>
          <w:right w:val="nil"/>
          <w:between w:val="nil"/>
        </w:pBdr>
        <w:ind w:left="720" w:right="-1131"/>
        <w:rPr>
          <w:rFonts w:ascii="Palatino Linotype" w:eastAsia="Palatino Linotype" w:hAnsi="Palatino Linotype" w:cs="Palatino Linotype"/>
          <w:color w:val="000000"/>
        </w:rPr>
      </w:pPr>
    </w:p>
    <w:p w:rsidR="00065305" w:rsidRDefault="00EC6B6C">
      <w:pPr>
        <w:pStyle w:val="Ttulo1"/>
        <w:spacing w:before="0" w:line="360" w:lineRule="auto"/>
        <w:ind w:right="-1131"/>
        <w:jc w:val="center"/>
      </w:pPr>
      <w:r>
        <w:t>R E S O L U T I V O S</w:t>
      </w:r>
    </w:p>
    <w:p w:rsidR="00065305" w:rsidRDefault="00065305">
      <w:pPr>
        <w:ind w:right="-1131"/>
      </w:pPr>
    </w:p>
    <w:p w:rsidR="00065305" w:rsidRDefault="00EC6B6C">
      <w:pPr>
        <w:spacing w:after="160"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PRIMERO</w:t>
      </w:r>
      <w:r>
        <w:rPr>
          <w:rFonts w:ascii="Palatino Linotype" w:eastAsia="Palatino Linotype" w:hAnsi="Palatino Linotype" w:cs="Palatino Linotype"/>
          <w:color w:val="000000"/>
        </w:rPr>
        <w:t xml:space="preserve">. Resultan </w:t>
      </w:r>
      <w:r>
        <w:rPr>
          <w:rFonts w:ascii="Palatino Linotype" w:eastAsia="Palatino Linotype" w:hAnsi="Palatino Linotype" w:cs="Palatino Linotype"/>
          <w:b/>
          <w:bCs/>
          <w:color w:val="000000"/>
        </w:rPr>
        <w:t>fundadas</w:t>
      </w:r>
      <w:r>
        <w:rPr>
          <w:rFonts w:ascii="Palatino Linotype" w:eastAsia="Palatino Linotype" w:hAnsi="Palatino Linotype" w:cs="Palatino Linotype"/>
          <w:color w:val="000000"/>
        </w:rPr>
        <w:t xml:space="preserve"> las razones o motivos de inconformidad planteadas por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en términos del Considerando </w:t>
      </w:r>
      <w:r>
        <w:rPr>
          <w:rFonts w:ascii="Palatino Linotype" w:eastAsia="Palatino Linotype" w:hAnsi="Palatino Linotype" w:cs="Palatino Linotype"/>
          <w:b/>
          <w:bCs/>
          <w:color w:val="000000"/>
        </w:rPr>
        <w:t>CUARTO</w:t>
      </w:r>
      <w:r>
        <w:rPr>
          <w:rFonts w:ascii="Palatino Linotype" w:eastAsia="Palatino Linotype" w:hAnsi="Palatino Linotype" w:cs="Palatino Linotype"/>
          <w:color w:val="000000"/>
        </w:rPr>
        <w:t xml:space="preserve"> de la presente resolución.</w:t>
      </w:r>
    </w:p>
    <w:p w:rsidR="00F80F55" w:rsidRDefault="00F80F55">
      <w:pPr>
        <w:spacing w:after="160" w:line="360" w:lineRule="auto"/>
        <w:ind w:right="-1131"/>
        <w:jc w:val="both"/>
        <w:rPr>
          <w:rFonts w:ascii="Palatino Linotype" w:eastAsia="Palatino Linotype" w:hAnsi="Palatino Linotype" w:cs="Palatino Linotype"/>
          <w:color w:val="000000"/>
        </w:rPr>
      </w:pPr>
    </w:p>
    <w:p w:rsidR="00065305" w:rsidRDefault="00EC6B6C">
      <w:pPr>
        <w:spacing w:line="360" w:lineRule="auto"/>
        <w:ind w:right="-1131"/>
        <w:jc w:val="both"/>
        <w:rPr>
          <w:rFonts w:ascii="Palatino Linotype" w:eastAsia="Palatino Linotype" w:hAnsi="Palatino Linotype" w:cs="Palatino Linotype"/>
        </w:rPr>
      </w:pPr>
      <w:bookmarkStart w:id="9" w:name="_heading=h.1ksv4uv" w:colFirst="0" w:colLast="0"/>
      <w:bookmarkEnd w:id="9"/>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REVOCA </w:t>
      </w:r>
      <w:r>
        <w:rPr>
          <w:rFonts w:ascii="Palatino Linotype" w:eastAsia="Palatino Linotype" w:hAnsi="Palatino Linotype" w:cs="Palatino Linotype"/>
          <w:color w:val="000000"/>
        </w:rPr>
        <w:t xml:space="preserve">las respuesta emitida por el </w:t>
      </w:r>
      <w:r>
        <w:rPr>
          <w:rFonts w:ascii="Palatino Linotype" w:eastAsia="Palatino Linotype" w:hAnsi="Palatino Linotype" w:cs="Palatino Linotype"/>
          <w:b/>
          <w:bCs/>
          <w:color w:val="000000"/>
        </w:rPr>
        <w:t xml:space="preserve">Ayuntamiento de Ixtapaluca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rPr>
        <w:t>, se ponga a disposición de ser procedente en versión pública, en todas las modalidades que permita la documentación, tales como, disco compacto, dispositivo de almacenamiento, correo electrónico/ drive, consulta directa, copias simples o certificadas, con posibilidad de entrega en la Unidad de Transparencia o a domicilio por correo certificado, previo pago de los derechos correspondientes, de ser procedente en versión pública, lo siguiente:</w:t>
      </w:r>
    </w:p>
    <w:p w:rsidR="00065305" w:rsidRDefault="00065305">
      <w:pPr>
        <w:spacing w:line="360" w:lineRule="auto"/>
        <w:ind w:right="-1131"/>
        <w:jc w:val="both"/>
        <w:rPr>
          <w:rFonts w:ascii="Palatino Linotype" w:eastAsia="Palatino Linotype" w:hAnsi="Palatino Linotype" w:cs="Palatino Linotype"/>
        </w:rPr>
      </w:pPr>
    </w:p>
    <w:p w:rsidR="00065305" w:rsidRDefault="00EC6B6C">
      <w:pPr>
        <w:numPr>
          <w:ilvl w:val="0"/>
          <w:numId w:val="3"/>
        </w:numPr>
        <w:pBdr>
          <w:top w:val="nil"/>
          <w:left w:val="nil"/>
          <w:bottom w:val="nil"/>
          <w:right w:val="nil"/>
          <w:between w:val="nil"/>
        </w:pBdr>
        <w:spacing w:line="276" w:lineRule="auto"/>
        <w:ind w:left="709"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Los oficios enviados y recibidos por la Dirección de Desarrollo Económico, correspondientes al periodo que obre en sus archivos en trámite, incluyendo en su caso los anexos respectivos, al dieciséis de febrero de dos mil veintiséis.</w:t>
      </w:r>
    </w:p>
    <w:p w:rsidR="00065305" w:rsidRDefault="00065305">
      <w:pPr>
        <w:spacing w:line="360" w:lineRule="auto"/>
        <w:ind w:right="-1131"/>
        <w:jc w:val="both"/>
        <w:rPr>
          <w:rFonts w:ascii="Palatino Linotype" w:eastAsia="Palatino Linotype" w:hAnsi="Palatino Linotype" w:cs="Palatino Linotype"/>
        </w:rPr>
      </w:pPr>
    </w:p>
    <w:p w:rsidR="00065305" w:rsidRDefault="00EC6B6C">
      <w:pPr>
        <w:tabs>
          <w:tab w:val="left" w:pos="8080"/>
        </w:tabs>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rPr>
        <w:t xml:space="preserve">Para tal situación, a través del Sistema de Acceso a la Información Mexiquense (SAIMEX), deberá indicar el procedimiento que tendrá que seguir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para acceder a la documentación, es decir, los pasos para realizar el pago de derechos, en caso de proceder, y la manera de obtener la información como domicilio de la Unidad de Transparencia, días y horarios de atención en términos del artículo 166 de la Ley de Transparencia y Acceso a la Información Pública del Estado de México y Municipios, el periodo en el que estará disponible la información, así como el nombre del servidor público que le atenderá. </w:t>
      </w:r>
    </w:p>
    <w:p w:rsidR="00065305" w:rsidRDefault="00065305">
      <w:pPr>
        <w:tabs>
          <w:tab w:val="left" w:pos="8080"/>
        </w:tabs>
        <w:spacing w:line="360" w:lineRule="auto"/>
        <w:ind w:right="-1131"/>
        <w:jc w:val="both"/>
        <w:rPr>
          <w:rFonts w:ascii="Palatino Linotype" w:eastAsia="Palatino Linotype" w:hAnsi="Palatino Linotype" w:cs="Palatino Linotype"/>
        </w:rPr>
      </w:pPr>
    </w:p>
    <w:p w:rsidR="00065305" w:rsidRDefault="00EC6B6C">
      <w:pPr>
        <w:tabs>
          <w:tab w:val="left" w:pos="8080"/>
        </w:tabs>
        <w:spacing w:line="360" w:lineRule="auto"/>
        <w:ind w:right="-1131"/>
        <w:jc w:val="both"/>
        <w:rPr>
          <w:rFonts w:ascii="Palatino Linotype" w:eastAsia="Palatino Linotype" w:hAnsi="Palatino Linotype" w:cs="Palatino Linotype"/>
        </w:rPr>
      </w:pPr>
      <w:bookmarkStart w:id="10" w:name="_heading=h.3rdcrjn" w:colFirst="0" w:colLast="0"/>
      <w:bookmarkEnd w:id="10"/>
      <w:r>
        <w:rPr>
          <w:rFonts w:ascii="Palatino Linotype" w:eastAsia="Palatino Linotype" w:hAnsi="Palatino Linotype" w:cs="Palatino Linotype"/>
        </w:rPr>
        <w:t>Además, deberá señalar que en caso de que la parte</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proporcione el dispositivo electrónico y acuda por la información a la Unidad de Transparencia, la entrega de la información, será sin costo.</w:t>
      </w:r>
    </w:p>
    <w:p w:rsidR="00065305" w:rsidRDefault="00065305">
      <w:pPr>
        <w:tabs>
          <w:tab w:val="left" w:pos="8080"/>
        </w:tabs>
        <w:spacing w:line="360" w:lineRule="auto"/>
        <w:ind w:right="-1131"/>
        <w:jc w:val="both"/>
        <w:rPr>
          <w:rFonts w:ascii="Palatino Linotype" w:eastAsia="Palatino Linotype" w:hAnsi="Palatino Linotype" w:cs="Palatino Linotype"/>
        </w:rPr>
      </w:pPr>
    </w:p>
    <w:p w:rsidR="00004C91" w:rsidRDefault="00EC6B6C">
      <w:pPr>
        <w:tabs>
          <w:tab w:val="left" w:pos="8080"/>
        </w:tabs>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rPr>
        <w:t>Para la entrega en versión pública, deberá emitir el Acuerdo del Comité de Transparencia en términos de la Ley de Transparencia y Acceso a la Información Pública del Estado de México y Municipios, en el que funde y motive las razones sobre los datos que se supriman o eliminen y se ponga a disposición de la parte</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w:t>
      </w:r>
    </w:p>
    <w:p w:rsidR="00004C91" w:rsidRDefault="00004C91">
      <w:pPr>
        <w:tabs>
          <w:tab w:val="left" w:pos="8080"/>
        </w:tabs>
        <w:spacing w:line="360" w:lineRule="auto"/>
        <w:ind w:right="-1131"/>
        <w:jc w:val="both"/>
        <w:rPr>
          <w:rFonts w:ascii="Palatino Linotype" w:eastAsia="Palatino Linotype" w:hAnsi="Palatino Linotype" w:cs="Palatino Linotype"/>
        </w:rPr>
      </w:pPr>
    </w:p>
    <w:p w:rsidR="00065305" w:rsidRPr="00004C91" w:rsidRDefault="00670F10" w:rsidP="00670F10">
      <w:pPr>
        <w:tabs>
          <w:tab w:val="left" w:pos="8080"/>
        </w:tabs>
        <w:spacing w:line="360" w:lineRule="auto"/>
        <w:ind w:right="-1131"/>
        <w:jc w:val="both"/>
        <w:rPr>
          <w:rFonts w:ascii="Palatino Linotype" w:eastAsia="Palatino Linotype" w:hAnsi="Palatino Linotype" w:cs="Palatino Linotype"/>
          <w:bCs/>
          <w:lang w:val="es-ES_tradnl"/>
        </w:rPr>
      </w:pPr>
      <w:r w:rsidRPr="00BE0A09">
        <w:rPr>
          <w:rFonts w:ascii="Palatino Linotype" w:eastAsia="Palatino Linotype" w:hAnsi="Palatino Linotype" w:cs="Palatino Linotype"/>
          <w:bCs/>
          <w:lang w:val="es-ES_tradnl"/>
        </w:rPr>
        <w:t>De ser el caso que dentro de los oficios emitidos de los cuales se ordena su entrega,</w:t>
      </w:r>
      <w:r w:rsidR="00004C91" w:rsidRPr="00BE0A09">
        <w:rPr>
          <w:rFonts w:ascii="Palatino Linotype" w:eastAsia="Palatino Linotype" w:hAnsi="Palatino Linotype" w:cs="Palatino Linotype"/>
          <w:bCs/>
          <w:lang w:val="es-ES_tradnl"/>
        </w:rPr>
        <w:t xml:space="preserve"> </w:t>
      </w:r>
      <w:r w:rsidRPr="00BE0A09">
        <w:rPr>
          <w:rFonts w:ascii="Palatino Linotype" w:eastAsia="Palatino Linotype" w:hAnsi="Palatino Linotype" w:cs="Palatino Linotype"/>
          <w:bCs/>
          <w:lang w:val="es-ES_tradnl"/>
        </w:rPr>
        <w:t xml:space="preserve">existan folios cancelados, bastará </w:t>
      </w:r>
      <w:r w:rsidR="009732AF" w:rsidRPr="00BE0A09">
        <w:rPr>
          <w:rFonts w:ascii="Palatino Linotype" w:eastAsia="Palatino Linotype" w:hAnsi="Palatino Linotype" w:cs="Palatino Linotype"/>
          <w:bCs/>
          <w:lang w:val="es-ES_tradnl"/>
        </w:rPr>
        <w:t xml:space="preserve">con </w:t>
      </w:r>
      <w:r w:rsidRPr="00BE0A09">
        <w:rPr>
          <w:rFonts w:ascii="Palatino Linotype" w:eastAsia="Palatino Linotype" w:hAnsi="Palatino Linotype" w:cs="Palatino Linotype"/>
          <w:bCs/>
          <w:lang w:val="es-ES_tradnl"/>
        </w:rPr>
        <w:t>que,</w:t>
      </w:r>
      <w:r w:rsidR="00004C91" w:rsidRPr="00BE0A09">
        <w:rPr>
          <w:rFonts w:ascii="Palatino Linotype" w:eastAsia="Palatino Linotype" w:hAnsi="Palatino Linotype" w:cs="Palatino Linotype"/>
          <w:bCs/>
          <w:lang w:val="es-ES_tradnl"/>
        </w:rPr>
        <w:t xml:space="preserve"> de forma clara y precisa, se haga </w:t>
      </w:r>
      <w:r w:rsidRPr="00BE0A09">
        <w:rPr>
          <w:rFonts w:ascii="Palatino Linotype" w:eastAsia="Palatino Linotype" w:hAnsi="Palatino Linotype" w:cs="Palatino Linotype"/>
          <w:bCs/>
          <w:lang w:val="es-ES_tradnl"/>
        </w:rPr>
        <w:t>del conocimiento del Particular, de conformidad con el artículo 19 párrafo segundo de la Ley de Transparencia y Acceso a la Información Pública del Estado de México y Municipios.</w:t>
      </w:r>
    </w:p>
    <w:p w:rsidR="00065305" w:rsidRDefault="00065305">
      <w:pPr>
        <w:ind w:left="1069" w:right="-1131"/>
        <w:jc w:val="both"/>
        <w:rPr>
          <w:rFonts w:ascii="Palatino Linotype" w:eastAsia="Palatino Linotype" w:hAnsi="Palatino Linotype" w:cs="Palatino Linotype"/>
          <w:b/>
          <w:bCs/>
        </w:rPr>
      </w:pPr>
    </w:p>
    <w:p w:rsidR="00065305" w:rsidRDefault="00EC6B6C">
      <w:pPr>
        <w:tabs>
          <w:tab w:val="left" w:pos="8080"/>
        </w:tabs>
        <w:spacing w:line="360" w:lineRule="auto"/>
        <w:ind w:right="-1131"/>
        <w:jc w:val="both"/>
        <w:rPr>
          <w:rFonts w:ascii="Palatino Linotype" w:eastAsia="Palatino Linotype" w:hAnsi="Palatino Linotype" w:cs="Palatino Linotype"/>
          <w:color w:val="222222"/>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b/>
          <w:bCs/>
          <w:color w:val="222222"/>
        </w:rPr>
        <w:t>NOTIFÍQUESE</w:t>
      </w:r>
      <w:r>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 xml:space="preserve">dé cumplimiento a lo ordenado dentro del plazo de diez días hábiles, </w:t>
      </w:r>
      <w:r>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065305" w:rsidRDefault="00065305">
      <w:pPr>
        <w:tabs>
          <w:tab w:val="left" w:pos="8080"/>
        </w:tabs>
        <w:spacing w:line="360" w:lineRule="auto"/>
        <w:ind w:right="-1131"/>
        <w:jc w:val="both"/>
        <w:rPr>
          <w:rFonts w:ascii="Palatino Linotype" w:eastAsia="Palatino Linotype" w:hAnsi="Palatino Linotype" w:cs="Palatino Linotype"/>
          <w:color w:val="222222"/>
        </w:rPr>
      </w:pPr>
    </w:p>
    <w:p w:rsidR="00065305" w:rsidRDefault="00EC6B6C">
      <w:pPr>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065305" w:rsidRDefault="00065305">
      <w:pPr>
        <w:spacing w:line="360" w:lineRule="auto"/>
        <w:ind w:right="-1131"/>
        <w:jc w:val="both"/>
        <w:rPr>
          <w:rFonts w:ascii="Palatino Linotype" w:eastAsia="Palatino Linotype" w:hAnsi="Palatino Linotype" w:cs="Palatino Linotype"/>
        </w:rPr>
      </w:pPr>
    </w:p>
    <w:p w:rsidR="00065305" w:rsidRDefault="00EC6B6C">
      <w:pPr>
        <w:shd w:val="clear" w:color="auto" w:fill="FFFFFF"/>
        <w:spacing w:line="360" w:lineRule="auto"/>
        <w:ind w:right="-1131"/>
        <w:jc w:val="both"/>
        <w:rPr>
          <w:rFonts w:ascii="Palatino Linotype" w:eastAsia="Palatino Linotype" w:hAnsi="Palatino Linotype" w:cs="Palatino Linotype"/>
        </w:rPr>
      </w:pPr>
      <w:bookmarkStart w:id="11" w:name="_heading=h.2jxsxqh" w:colFirst="0" w:colLast="0"/>
      <w:bookmarkEnd w:id="11"/>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vía SAIMEX.</w:t>
      </w:r>
    </w:p>
    <w:p w:rsidR="00065305" w:rsidRDefault="00065305">
      <w:pPr>
        <w:shd w:val="clear" w:color="auto" w:fill="FFFFFF"/>
        <w:spacing w:line="360" w:lineRule="auto"/>
        <w:ind w:right="-1131"/>
        <w:jc w:val="both"/>
        <w:rPr>
          <w:rFonts w:ascii="Palatino Linotype" w:eastAsia="Palatino Linotype" w:hAnsi="Palatino Linotype" w:cs="Palatino Linotype"/>
        </w:rPr>
      </w:pPr>
    </w:p>
    <w:p w:rsidR="00065305" w:rsidRDefault="00EC6B6C">
      <w:pPr>
        <w:shd w:val="clear" w:color="auto" w:fill="FFFFFF"/>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Se hace del conocimiento de </w:t>
      </w:r>
      <w:r>
        <w:rPr>
          <w:rFonts w:ascii="Palatino Linotype" w:eastAsia="Palatino Linotype" w:hAnsi="Palatino Linotype" w:cs="Palatino Linotype"/>
          <w:b/>
          <w:bCs/>
        </w:rPr>
        <w:t>LA 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065305" w:rsidRDefault="00065305">
      <w:pPr>
        <w:shd w:val="clear" w:color="auto" w:fill="FFFFFF"/>
        <w:spacing w:line="360" w:lineRule="auto"/>
        <w:ind w:right="-1131"/>
        <w:jc w:val="both"/>
        <w:rPr>
          <w:rFonts w:ascii="Palatino Linotype" w:eastAsia="Palatino Linotype" w:hAnsi="Palatino Linotype" w:cs="Palatino Linotype"/>
        </w:rPr>
      </w:pPr>
    </w:p>
    <w:p w:rsidR="00F80F55" w:rsidRPr="003E2295" w:rsidRDefault="00F80F55" w:rsidP="00F80F55">
      <w:pPr>
        <w:spacing w:before="240" w:after="240" w:line="360" w:lineRule="auto"/>
        <w:ind w:right="-1134" w:firstLine="1"/>
        <w:jc w:val="both"/>
        <w:rPr>
          <w:rFonts w:ascii="Palatino Linotype" w:hAnsi="Palatino Linotype"/>
        </w:rPr>
      </w:pPr>
      <w:bookmarkStart w:id="12" w:name="_Hlk99014733"/>
      <w:r w:rsidRPr="003E2295">
        <w:rPr>
          <w:rFonts w:ascii="Palatino Linotype" w:hAnsi="Palatino Linotype" w:cs="Palatino Linotype"/>
        </w:rPr>
        <w:lastRenderedPageBreak/>
        <w:t>ASÍ LO RESUELVE, POR UNANIMIDAD DE VOTOS, EL PLENO</w:t>
      </w:r>
      <w:bookmarkStart w:id="13" w:name="_GoBack"/>
      <w:bookmarkEnd w:id="13"/>
      <w:r w:rsidRPr="003E2295">
        <w:rPr>
          <w:rFonts w:ascii="Palatino Linotype" w:hAnsi="Palatino Linotype" w:cs="Palatino Linotype"/>
        </w:rPr>
        <w:t xml:space="preserve">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PRIMERA </w:t>
      </w:r>
      <w:r w:rsidRPr="003E2295">
        <w:rPr>
          <w:rFonts w:ascii="Palatino Linotype" w:hAnsi="Palatino Linotype" w:cs="Palatino Linotype"/>
        </w:rPr>
        <w:t>SESIÓN O</w:t>
      </w:r>
      <w:r>
        <w:rPr>
          <w:rFonts w:ascii="Palatino Linotype" w:hAnsi="Palatino Linotype" w:cs="Palatino Linotype"/>
        </w:rPr>
        <w:t>RDINARIA, CELEBRADA EL DIEZ (10</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2"/>
    <w:p w:rsidR="00065305" w:rsidRDefault="00065305" w:rsidP="00F80F55">
      <w:pPr>
        <w:ind w:right="-1134"/>
      </w:pPr>
    </w:p>
    <w:p w:rsidR="00065305" w:rsidRDefault="00065305" w:rsidP="00F80F55">
      <w:pPr>
        <w:ind w:right="-1134"/>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p w:rsidR="00065305" w:rsidRDefault="00065305">
      <w:pPr>
        <w:ind w:right="-1131"/>
      </w:pPr>
    </w:p>
    <w:sectPr w:rsidR="00065305">
      <w:headerReference w:type="default" r:id="rId11"/>
      <w:footerReference w:type="default" r:id="rId12"/>
      <w:headerReference w:type="first" r:id="rId13"/>
      <w:footerReference w:type="first" r:id="rId14"/>
      <w:pgSz w:w="12240" w:h="15840"/>
      <w:pgMar w:top="1691" w:right="1750"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C31" w:rsidRDefault="00E92C31">
      <w:r>
        <w:separator/>
      </w:r>
    </w:p>
  </w:endnote>
  <w:endnote w:type="continuationSeparator" w:id="0">
    <w:p w:rsidR="00E92C31" w:rsidRDefault="00E92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BBEA9E74-F9BD-42C7-8763-13DB0A82DE31}"/>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76B0B6FE-3BD0-41B9-9A85-FA2C9E812B01}"/>
    <w:embedBold r:id="rId3" w:fontKey="{3A3C29A8-5EA5-4ED2-9A8C-908536F72BC5}"/>
    <w:embedItalic r:id="rId4" w:fontKey="{AD373122-4F2E-4FA0-AA58-60AC11A1A62C}"/>
    <w:embedBoldItalic r:id="rId5" w:fontKey="{2C5D02D8-5DEF-482D-A439-3180CA9F6B63}"/>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7CFA7962-C44C-428D-AC01-FB6499769AFE}"/>
    <w:embedItalic r:id="rId7" w:fontKey="{30B2FA77-7202-457A-BA78-B4474542F318}"/>
  </w:font>
  <w:font w:name="Georgia">
    <w:panose1 w:val="02040502050405020303"/>
    <w:charset w:val="00"/>
    <w:family w:val="roman"/>
    <w:pitch w:val="variable"/>
    <w:sig w:usb0="00000287" w:usb1="00000000" w:usb2="00000000" w:usb3="00000000" w:csb0="0000009F" w:csb1="00000000"/>
    <w:embedItalic r:id="rId8" w:fontKey="{DD64D35C-B3A1-4F77-8A53-466A3CAD09A8}"/>
  </w:font>
  <w:font w:name="Cambria">
    <w:panose1 w:val="02040503050406030204"/>
    <w:charset w:val="00"/>
    <w:family w:val="roman"/>
    <w:pitch w:val="variable"/>
    <w:sig w:usb0="E00006FF" w:usb1="420024FF" w:usb2="02000000" w:usb3="00000000" w:csb0="0000019F" w:csb1="00000000"/>
    <w:embedRegular r:id="rId9" w:fontKey="{A3FA6B26-FFFA-4C22-875A-E186E3D125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305" w:rsidRPr="008C58CA" w:rsidRDefault="00EC6B6C">
    <w:pPr>
      <w:pBdr>
        <w:top w:val="nil"/>
        <w:left w:val="nil"/>
        <w:bottom w:val="nil"/>
        <w:right w:val="nil"/>
        <w:between w:val="nil"/>
      </w:pBdr>
      <w:tabs>
        <w:tab w:val="center" w:pos="4252"/>
        <w:tab w:val="right" w:pos="8504"/>
      </w:tabs>
      <w:jc w:val="right"/>
      <w:rPr>
        <w:rFonts w:ascii="Palatino Linotype" w:eastAsia="Palatino Linotype" w:hAnsi="Palatino Linotype" w:cs="Palatino Linotype"/>
        <w:bCs/>
        <w:color w:val="000000"/>
        <w:sz w:val="22"/>
        <w:szCs w:val="22"/>
      </w:rPr>
    </w:pPr>
    <w:r w:rsidRPr="008C58CA">
      <w:rPr>
        <w:rFonts w:ascii="Palatino Linotype" w:eastAsia="Palatino Linotype" w:hAnsi="Palatino Linotype" w:cs="Palatino Linotype"/>
        <w:color w:val="000000"/>
        <w:sz w:val="22"/>
        <w:szCs w:val="22"/>
      </w:rPr>
      <w:t xml:space="preserve">Página </w:t>
    </w:r>
    <w:r w:rsidRPr="008C58CA">
      <w:rPr>
        <w:rFonts w:ascii="Palatino Linotype" w:eastAsia="Palatino Linotype" w:hAnsi="Palatino Linotype" w:cs="Palatino Linotype"/>
        <w:bCs/>
        <w:color w:val="000000"/>
        <w:sz w:val="22"/>
        <w:szCs w:val="22"/>
      </w:rPr>
      <w:fldChar w:fldCharType="begin"/>
    </w:r>
    <w:r w:rsidRPr="008C58CA">
      <w:rPr>
        <w:rFonts w:ascii="Palatino Linotype" w:eastAsia="Palatino Linotype" w:hAnsi="Palatino Linotype" w:cs="Palatino Linotype"/>
        <w:bCs/>
        <w:color w:val="000000"/>
        <w:sz w:val="22"/>
        <w:szCs w:val="22"/>
      </w:rPr>
      <w:instrText>PAGE</w:instrText>
    </w:r>
    <w:r w:rsidRPr="008C58CA">
      <w:rPr>
        <w:rFonts w:ascii="Palatino Linotype" w:eastAsia="Palatino Linotype" w:hAnsi="Palatino Linotype" w:cs="Palatino Linotype"/>
        <w:bCs/>
        <w:color w:val="000000"/>
        <w:sz w:val="22"/>
        <w:szCs w:val="22"/>
      </w:rPr>
      <w:fldChar w:fldCharType="separate"/>
    </w:r>
    <w:r w:rsidR="00EE22C3">
      <w:rPr>
        <w:rFonts w:ascii="Palatino Linotype" w:eastAsia="Palatino Linotype" w:hAnsi="Palatino Linotype" w:cs="Palatino Linotype"/>
        <w:bCs/>
        <w:noProof/>
        <w:color w:val="000000"/>
        <w:sz w:val="22"/>
        <w:szCs w:val="22"/>
      </w:rPr>
      <w:t>33</w:t>
    </w:r>
    <w:r w:rsidRPr="008C58CA">
      <w:rPr>
        <w:rFonts w:ascii="Palatino Linotype" w:eastAsia="Palatino Linotype" w:hAnsi="Palatino Linotype" w:cs="Palatino Linotype"/>
        <w:bCs/>
        <w:color w:val="000000"/>
        <w:sz w:val="22"/>
        <w:szCs w:val="22"/>
      </w:rPr>
      <w:fldChar w:fldCharType="end"/>
    </w:r>
    <w:r w:rsidRPr="008C58CA">
      <w:rPr>
        <w:rFonts w:ascii="Palatino Linotype" w:eastAsia="Palatino Linotype" w:hAnsi="Palatino Linotype" w:cs="Palatino Linotype"/>
        <w:color w:val="000000"/>
        <w:sz w:val="22"/>
        <w:szCs w:val="22"/>
      </w:rPr>
      <w:t xml:space="preserve"> de </w:t>
    </w:r>
    <w:r w:rsidRPr="008C58CA">
      <w:rPr>
        <w:rFonts w:ascii="Palatino Linotype" w:eastAsia="Palatino Linotype" w:hAnsi="Palatino Linotype" w:cs="Palatino Linotype"/>
        <w:bCs/>
        <w:color w:val="000000"/>
        <w:sz w:val="22"/>
        <w:szCs w:val="22"/>
      </w:rPr>
      <w:fldChar w:fldCharType="begin"/>
    </w:r>
    <w:r w:rsidRPr="008C58CA">
      <w:rPr>
        <w:rFonts w:ascii="Palatino Linotype" w:eastAsia="Palatino Linotype" w:hAnsi="Palatino Linotype" w:cs="Palatino Linotype"/>
        <w:bCs/>
        <w:color w:val="000000"/>
        <w:sz w:val="22"/>
        <w:szCs w:val="22"/>
      </w:rPr>
      <w:instrText>NUMPAGES</w:instrText>
    </w:r>
    <w:r w:rsidRPr="008C58CA">
      <w:rPr>
        <w:rFonts w:ascii="Palatino Linotype" w:eastAsia="Palatino Linotype" w:hAnsi="Palatino Linotype" w:cs="Palatino Linotype"/>
        <w:bCs/>
        <w:color w:val="000000"/>
        <w:sz w:val="22"/>
        <w:szCs w:val="22"/>
      </w:rPr>
      <w:fldChar w:fldCharType="separate"/>
    </w:r>
    <w:r w:rsidR="00EE22C3">
      <w:rPr>
        <w:rFonts w:ascii="Palatino Linotype" w:eastAsia="Palatino Linotype" w:hAnsi="Palatino Linotype" w:cs="Palatino Linotype"/>
        <w:bCs/>
        <w:noProof/>
        <w:color w:val="000000"/>
        <w:sz w:val="22"/>
        <w:szCs w:val="22"/>
      </w:rPr>
      <w:t>33</w:t>
    </w:r>
    <w:r w:rsidRPr="008C58CA">
      <w:rPr>
        <w:rFonts w:ascii="Palatino Linotype" w:eastAsia="Palatino Linotype" w:hAnsi="Palatino Linotype" w:cs="Palatino Linotype"/>
        <w:bCs/>
        <w:color w:val="000000"/>
        <w:sz w:val="22"/>
        <w:szCs w:val="22"/>
      </w:rPr>
      <w:fldChar w:fldCharType="end"/>
    </w:r>
  </w:p>
  <w:p w:rsidR="00065305" w:rsidRDefault="00065305">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rsidR="00065305" w:rsidRDefault="000653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305" w:rsidRDefault="00EC6B6C">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EE22C3">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EE22C3">
      <w:rPr>
        <w:rFonts w:ascii="Palatino Linotype" w:eastAsia="Palatino Linotype" w:hAnsi="Palatino Linotype" w:cs="Palatino Linotype"/>
        <w:noProof/>
        <w:color w:val="000000"/>
        <w:sz w:val="22"/>
        <w:szCs w:val="22"/>
      </w:rPr>
      <w:t>33</w:t>
    </w:r>
    <w:r>
      <w:rPr>
        <w:rFonts w:ascii="Palatino Linotype" w:eastAsia="Palatino Linotype" w:hAnsi="Palatino Linotype" w:cs="Palatino Linotype"/>
        <w:color w:val="000000"/>
        <w:sz w:val="22"/>
        <w:szCs w:val="22"/>
      </w:rPr>
      <w:fldChar w:fldCharType="end"/>
    </w:r>
  </w:p>
  <w:p w:rsidR="00065305" w:rsidRDefault="00065305">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rsidR="00065305" w:rsidRDefault="0006530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C31" w:rsidRDefault="00E92C31">
      <w:r>
        <w:separator/>
      </w:r>
    </w:p>
  </w:footnote>
  <w:footnote w:type="continuationSeparator" w:id="0">
    <w:p w:rsidR="00E92C31" w:rsidRDefault="00E92C31">
      <w:r>
        <w:continuationSeparator/>
      </w:r>
    </w:p>
  </w:footnote>
  <w:footnote w:id="1">
    <w:p w:rsidR="00065305" w:rsidRDefault="00EC6B6C">
      <w:pPr>
        <w:pBdr>
          <w:top w:val="nil"/>
          <w:left w:val="nil"/>
          <w:bottom w:val="nil"/>
          <w:right w:val="nil"/>
          <w:between w:val="nil"/>
        </w:pBdr>
        <w:rPr>
          <w:color w:val="000000"/>
        </w:rPr>
      </w:pPr>
      <w:r>
        <w:rPr>
          <w:vertAlign w:val="superscript"/>
        </w:rPr>
        <w:footnoteRef/>
      </w:r>
      <w:r>
        <w:rPr>
          <w:color w:val="000000"/>
        </w:rPr>
        <w:t xml:space="preserve"> Convención Americana sobre Derechos Humanos. Artículo 13.</w:t>
      </w:r>
    </w:p>
  </w:footnote>
  <w:footnote w:id="2">
    <w:p w:rsidR="00065305" w:rsidRDefault="00EC6B6C">
      <w:pPr>
        <w:pBdr>
          <w:top w:val="nil"/>
          <w:left w:val="nil"/>
          <w:bottom w:val="nil"/>
          <w:right w:val="nil"/>
          <w:between w:val="nil"/>
        </w:pBdr>
        <w:rPr>
          <w:color w:val="000000"/>
        </w:rPr>
      </w:pPr>
      <w:r>
        <w:rPr>
          <w:vertAlign w:val="superscript"/>
        </w:rPr>
        <w:footnoteRef/>
      </w:r>
      <w:r>
        <w:rPr>
          <w:color w:val="000000"/>
        </w:rPr>
        <w:t xml:space="preserve"> Constitución Política de los Estados Unidos Mexicanos. Artículo sexto, sección A, fracción I.</w:t>
      </w:r>
    </w:p>
  </w:footnote>
  <w:footnote w:id="3">
    <w:p w:rsidR="00065305" w:rsidRDefault="00EC6B6C">
      <w:pPr>
        <w:pBdr>
          <w:top w:val="nil"/>
          <w:left w:val="nil"/>
          <w:bottom w:val="nil"/>
          <w:right w:val="nil"/>
          <w:between w:val="nil"/>
        </w:pBdr>
        <w:rPr>
          <w:color w:val="000000"/>
        </w:rPr>
      </w:pPr>
      <w:r>
        <w:rPr>
          <w:vertAlign w:val="superscript"/>
        </w:rPr>
        <w:footnoteRef/>
      </w:r>
      <w:r>
        <w:rPr>
          <w:color w:val="000000"/>
        </w:rPr>
        <w:t xml:space="preserve"> Corte Interamericana de Derechos Humanos. Caso Claude Reyes y otros vs. Chile. Sentencia de 19 de septiembre de 2006. Serie C. No. 151. Párr. 86.</w:t>
      </w:r>
    </w:p>
  </w:footnote>
  <w:footnote w:id="4">
    <w:p w:rsidR="00065305" w:rsidRDefault="00EC6B6C">
      <w:pPr>
        <w:pBdr>
          <w:top w:val="nil"/>
          <w:left w:val="nil"/>
          <w:bottom w:val="nil"/>
          <w:right w:val="nil"/>
          <w:between w:val="nil"/>
        </w:pBdr>
        <w:rPr>
          <w:color w:val="000000"/>
        </w:rPr>
      </w:pPr>
      <w:r>
        <w:rPr>
          <w:vertAlign w:val="superscript"/>
        </w:rPr>
        <w:footnoteRef/>
      </w:r>
      <w:r>
        <w:rPr>
          <w:color w:val="000000"/>
        </w:rPr>
        <w:t xml:space="preserve"> Ibídem. Parr. 87.</w:t>
      </w:r>
    </w:p>
  </w:footnote>
  <w:footnote w:id="5">
    <w:p w:rsidR="00065305" w:rsidRDefault="00EC6B6C">
      <w:pPr>
        <w:pBdr>
          <w:top w:val="nil"/>
          <w:left w:val="nil"/>
          <w:bottom w:val="nil"/>
          <w:right w:val="nil"/>
          <w:between w:val="nil"/>
        </w:pBdr>
        <w:rPr>
          <w:color w:val="000000"/>
        </w:rPr>
      </w:pPr>
      <w:r>
        <w:rPr>
          <w:vertAlign w:val="superscript"/>
        </w:rPr>
        <w:footnoteRef/>
      </w:r>
      <w:r>
        <w:rPr>
          <w:color w:val="000000"/>
        </w:rPr>
        <w:t xml:space="preserve"> Ley de Transparencia y Acceso a la Información Pública del Estado de México y Municipios. Artículo 9. …</w:t>
      </w:r>
    </w:p>
    <w:p w:rsidR="00065305" w:rsidRDefault="00EC6B6C">
      <w:pPr>
        <w:pBdr>
          <w:top w:val="nil"/>
          <w:left w:val="nil"/>
          <w:bottom w:val="nil"/>
          <w:right w:val="nil"/>
          <w:between w:val="nil"/>
        </w:pBdr>
        <w:rPr>
          <w:color w:val="000000"/>
        </w:rPr>
      </w:pPr>
      <w:r>
        <w:rPr>
          <w:color w:val="000000"/>
        </w:rPr>
        <w:t>II. Eficacia: Obligación del Instituto para tutelar, de manera efectiva, el derecho de acceso a la información;</w:t>
      </w:r>
    </w:p>
    <w:p w:rsidR="00065305" w:rsidRDefault="00EC6B6C">
      <w:pPr>
        <w:pBdr>
          <w:top w:val="nil"/>
          <w:left w:val="nil"/>
          <w:bottom w:val="nil"/>
          <w:right w:val="nil"/>
          <w:between w:val="nil"/>
        </w:pBdr>
        <w:rPr>
          <w:color w:val="000000"/>
        </w:rPr>
      </w:pPr>
      <w:r>
        <w:rPr>
          <w:color w:val="00000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915" w:type="dxa"/>
      <w:tblInd w:w="3402" w:type="dxa"/>
      <w:tblBorders>
        <w:top w:val="nil"/>
        <w:left w:val="nil"/>
        <w:bottom w:val="nil"/>
        <w:right w:val="nil"/>
        <w:insideH w:val="nil"/>
        <w:insideV w:val="nil"/>
      </w:tblBorders>
      <w:tblLayout w:type="fixed"/>
      <w:tblLook w:val="0400" w:firstRow="0" w:lastRow="0" w:firstColumn="0" w:lastColumn="0" w:noHBand="0" w:noVBand="1"/>
    </w:tblPr>
    <w:tblGrid>
      <w:gridCol w:w="2805"/>
      <w:gridCol w:w="4110"/>
    </w:tblGrid>
    <w:tr w:rsidR="00065305" w:rsidTr="008C58CA">
      <w:trPr>
        <w:trHeight w:val="138"/>
      </w:trPr>
      <w:tc>
        <w:tcPr>
          <w:tcW w:w="2805" w:type="dxa"/>
          <w:vAlign w:val="center"/>
        </w:tcPr>
        <w:p w:rsidR="00065305" w:rsidRDefault="00EC6B6C">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10" w:type="dxa"/>
          <w:vAlign w:val="center"/>
        </w:tcPr>
        <w:p w:rsidR="00065305" w:rsidRDefault="00EC6B6C">
          <w:pPr>
            <w:ind w:right="-1371"/>
            <w:rPr>
              <w:rFonts w:ascii="Palatino Linotype" w:eastAsia="Palatino Linotype" w:hAnsi="Palatino Linotype" w:cs="Palatino Linotype"/>
            </w:rPr>
          </w:pPr>
          <w:r>
            <w:rPr>
              <w:rFonts w:ascii="Palatino Linotype" w:eastAsia="Palatino Linotype" w:hAnsi="Palatino Linotype" w:cs="Palatino Linotype"/>
            </w:rPr>
            <w:t>03063/INFOEM/IP/RR/2026</w:t>
          </w:r>
        </w:p>
      </w:tc>
    </w:tr>
    <w:tr w:rsidR="00065305" w:rsidTr="008C58CA">
      <w:trPr>
        <w:trHeight w:val="321"/>
      </w:trPr>
      <w:tc>
        <w:tcPr>
          <w:tcW w:w="2805" w:type="dxa"/>
          <w:vAlign w:val="center"/>
        </w:tcPr>
        <w:p w:rsidR="00065305" w:rsidRDefault="00EC6B6C">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10" w:type="dxa"/>
          <w:vAlign w:val="center"/>
        </w:tcPr>
        <w:p w:rsidR="00065305" w:rsidRDefault="00EC6B6C">
          <w:pPr>
            <w:ind w:right="-1371"/>
            <w:rPr>
              <w:rFonts w:ascii="Palatino Linotype" w:eastAsia="Palatino Linotype" w:hAnsi="Palatino Linotype" w:cs="Palatino Linotype"/>
            </w:rPr>
          </w:pPr>
          <w:r>
            <w:rPr>
              <w:rFonts w:ascii="Palatino Linotype" w:eastAsia="Palatino Linotype" w:hAnsi="Palatino Linotype" w:cs="Palatino Linotype"/>
            </w:rPr>
            <w:t>Ayuntamiento de Ixtapaluca</w:t>
          </w:r>
        </w:p>
      </w:tc>
    </w:tr>
    <w:tr w:rsidR="00065305" w:rsidTr="008C58CA">
      <w:trPr>
        <w:trHeight w:val="321"/>
      </w:trPr>
      <w:tc>
        <w:tcPr>
          <w:tcW w:w="2805" w:type="dxa"/>
          <w:vAlign w:val="center"/>
        </w:tcPr>
        <w:p w:rsidR="00065305" w:rsidRDefault="00EC6B6C">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10" w:type="dxa"/>
          <w:vAlign w:val="center"/>
        </w:tcPr>
        <w:p w:rsidR="00065305" w:rsidRDefault="00EC6B6C">
          <w:pPr>
            <w:ind w:right="-1371"/>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065305" w:rsidRDefault="008C58CA">
    <w:pPr>
      <w:pBdr>
        <w:top w:val="nil"/>
        <w:left w:val="nil"/>
        <w:bottom w:val="nil"/>
        <w:right w:val="nil"/>
        <w:between w:val="nil"/>
      </w:pBdr>
      <w:tabs>
        <w:tab w:val="center" w:pos="4252"/>
        <w:tab w:val="right" w:pos="8504"/>
      </w:tabs>
      <w:rPr>
        <w:color w:val="000000"/>
      </w:rPr>
    </w:pPr>
    <w:r>
      <w:rPr>
        <w:noProof/>
      </w:rPr>
      <w:drawing>
        <wp:anchor distT="0" distB="0" distL="0" distR="0" simplePos="0" relativeHeight="251658240" behindDoc="1" locked="0" layoutInCell="1" hidden="0" allowOverlap="1">
          <wp:simplePos x="0" y="0"/>
          <wp:positionH relativeFrom="column">
            <wp:posOffset>-1067028</wp:posOffset>
          </wp:positionH>
          <wp:positionV relativeFrom="paragraph">
            <wp:posOffset>-1123219</wp:posOffset>
          </wp:positionV>
          <wp:extent cx="7809876" cy="10165823"/>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065305" w:rsidRDefault="0006530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260" w:type="dxa"/>
      <w:tblInd w:w="3119" w:type="dxa"/>
      <w:tblBorders>
        <w:top w:val="nil"/>
        <w:left w:val="nil"/>
        <w:bottom w:val="nil"/>
        <w:right w:val="nil"/>
        <w:insideH w:val="nil"/>
        <w:insideV w:val="nil"/>
      </w:tblBorders>
      <w:tblLayout w:type="fixed"/>
      <w:tblLook w:val="0400" w:firstRow="0" w:lastRow="0" w:firstColumn="0" w:lastColumn="0" w:noHBand="0" w:noVBand="1"/>
    </w:tblPr>
    <w:tblGrid>
      <w:gridCol w:w="2865"/>
      <w:gridCol w:w="270"/>
      <w:gridCol w:w="4125"/>
    </w:tblGrid>
    <w:tr w:rsidR="00065305" w:rsidTr="008C58CA">
      <w:trPr>
        <w:trHeight w:val="138"/>
      </w:trPr>
      <w:tc>
        <w:tcPr>
          <w:tcW w:w="2865" w:type="dxa"/>
          <w:vAlign w:val="center"/>
        </w:tcPr>
        <w:p w:rsidR="00065305" w:rsidRDefault="00EC6B6C">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270" w:type="dxa"/>
          <w:vAlign w:val="center"/>
        </w:tcPr>
        <w:p w:rsidR="00065305" w:rsidRDefault="00065305">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rPr>
          </w:pPr>
        </w:p>
      </w:tc>
      <w:tc>
        <w:tcPr>
          <w:tcW w:w="4125" w:type="dxa"/>
          <w:shd w:val="clear" w:color="auto" w:fill="auto"/>
          <w:vAlign w:val="center"/>
        </w:tcPr>
        <w:p w:rsidR="00065305" w:rsidRDefault="00EC6B6C">
          <w:pPr>
            <w:ind w:right="-1220"/>
            <w:rPr>
              <w:rFonts w:ascii="Palatino Linotype" w:eastAsia="Palatino Linotype" w:hAnsi="Palatino Linotype" w:cs="Palatino Linotype"/>
            </w:rPr>
          </w:pPr>
          <w:r>
            <w:rPr>
              <w:rFonts w:ascii="Palatino Linotype" w:eastAsia="Palatino Linotype" w:hAnsi="Palatino Linotype" w:cs="Palatino Linotype"/>
            </w:rPr>
            <w:t>03063/INFOEM/IP/RR/2026</w:t>
          </w:r>
        </w:p>
      </w:tc>
    </w:tr>
    <w:tr w:rsidR="00065305" w:rsidTr="008C58CA">
      <w:trPr>
        <w:trHeight w:val="227"/>
      </w:trPr>
      <w:tc>
        <w:tcPr>
          <w:tcW w:w="2865" w:type="dxa"/>
          <w:vAlign w:val="center"/>
        </w:tcPr>
        <w:p w:rsidR="00065305" w:rsidRDefault="00EC6B6C">
          <w:pPr>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270" w:type="dxa"/>
          <w:vAlign w:val="center"/>
        </w:tcPr>
        <w:p w:rsidR="00065305" w:rsidRDefault="00065305">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rPr>
          </w:pPr>
        </w:p>
      </w:tc>
      <w:tc>
        <w:tcPr>
          <w:tcW w:w="4125" w:type="dxa"/>
          <w:vAlign w:val="center"/>
        </w:tcPr>
        <w:p w:rsidR="00065305" w:rsidRDefault="00EE22C3">
          <w:pPr>
            <w:ind w:right="-1220"/>
            <w:rPr>
              <w:rFonts w:ascii="Palatino Linotype" w:eastAsia="Palatino Linotype" w:hAnsi="Palatino Linotype" w:cs="Palatino Linotype"/>
            </w:rPr>
          </w:pPr>
          <w:r>
            <w:rPr>
              <w:rFonts w:ascii="Palatino Linotype" w:eastAsia="Palatino Linotype" w:hAnsi="Palatino Linotype" w:cs="Palatino Linotype"/>
            </w:rPr>
            <w:t>XXXX</w:t>
          </w:r>
        </w:p>
      </w:tc>
    </w:tr>
    <w:tr w:rsidR="00065305" w:rsidTr="008C58CA">
      <w:trPr>
        <w:trHeight w:val="232"/>
      </w:trPr>
      <w:tc>
        <w:tcPr>
          <w:tcW w:w="2865" w:type="dxa"/>
          <w:vAlign w:val="center"/>
        </w:tcPr>
        <w:p w:rsidR="00065305" w:rsidRDefault="00EC6B6C">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270" w:type="dxa"/>
          <w:vAlign w:val="center"/>
        </w:tcPr>
        <w:p w:rsidR="00065305" w:rsidRDefault="00065305">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rPr>
          </w:pPr>
        </w:p>
      </w:tc>
      <w:tc>
        <w:tcPr>
          <w:tcW w:w="4125" w:type="dxa"/>
          <w:vAlign w:val="center"/>
        </w:tcPr>
        <w:p w:rsidR="00065305" w:rsidRDefault="00EC6B6C">
          <w:pPr>
            <w:ind w:right="-1220"/>
            <w:rPr>
              <w:rFonts w:ascii="Palatino Linotype" w:eastAsia="Palatino Linotype" w:hAnsi="Palatino Linotype" w:cs="Palatino Linotype"/>
            </w:rPr>
          </w:pPr>
          <w:r>
            <w:rPr>
              <w:rFonts w:ascii="Palatino Linotype" w:eastAsia="Palatino Linotype" w:hAnsi="Palatino Linotype" w:cs="Palatino Linotype"/>
            </w:rPr>
            <w:t>Ayuntamiento de Ixtapaluca</w:t>
          </w:r>
        </w:p>
      </w:tc>
    </w:tr>
    <w:tr w:rsidR="00065305" w:rsidTr="008C58CA">
      <w:trPr>
        <w:trHeight w:val="320"/>
      </w:trPr>
      <w:tc>
        <w:tcPr>
          <w:tcW w:w="2865" w:type="dxa"/>
          <w:vAlign w:val="center"/>
        </w:tcPr>
        <w:p w:rsidR="00065305" w:rsidRDefault="00EC6B6C">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270" w:type="dxa"/>
          <w:vAlign w:val="center"/>
        </w:tcPr>
        <w:p w:rsidR="00065305" w:rsidRDefault="00065305">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rPr>
          </w:pPr>
        </w:p>
      </w:tc>
      <w:tc>
        <w:tcPr>
          <w:tcW w:w="4125" w:type="dxa"/>
          <w:vAlign w:val="center"/>
        </w:tcPr>
        <w:p w:rsidR="00065305" w:rsidRDefault="00EC6B6C">
          <w:pPr>
            <w:ind w:right="-1220"/>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065305" w:rsidRDefault="008C58CA">
    <w:pPr>
      <w:pBdr>
        <w:top w:val="nil"/>
        <w:left w:val="nil"/>
        <w:bottom w:val="nil"/>
        <w:right w:val="nil"/>
        <w:between w:val="nil"/>
      </w:pBdr>
      <w:tabs>
        <w:tab w:val="center" w:pos="4252"/>
        <w:tab w:val="right" w:pos="8504"/>
      </w:tabs>
      <w:rPr>
        <w:color w:val="000000"/>
      </w:rPr>
    </w:pPr>
    <w:r>
      <w:rPr>
        <w:noProof/>
      </w:rPr>
      <w:drawing>
        <wp:anchor distT="0" distB="0" distL="0" distR="0" simplePos="0" relativeHeight="251659264" behindDoc="1" locked="0" layoutInCell="1" hidden="0" allowOverlap="1">
          <wp:simplePos x="0" y="0"/>
          <wp:positionH relativeFrom="page">
            <wp:posOffset>332836</wp:posOffset>
          </wp:positionH>
          <wp:positionV relativeFrom="paragraph">
            <wp:posOffset>-1266454</wp:posOffset>
          </wp:positionV>
          <wp:extent cx="7809876" cy="10165823"/>
          <wp:effectExtent l="0" t="0" r="635" b="6985"/>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065305" w:rsidRDefault="0006530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75E19"/>
    <w:multiLevelType w:val="multilevel"/>
    <w:tmpl w:val="53D0CEF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663F11"/>
    <w:multiLevelType w:val="multilevel"/>
    <w:tmpl w:val="7A9E72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947906"/>
    <w:multiLevelType w:val="multilevel"/>
    <w:tmpl w:val="6AD629F6"/>
    <w:lvl w:ilvl="0">
      <w:start w:val="1"/>
      <w:numFmt w:val="decimal"/>
      <w:lvlText w:val="%1."/>
      <w:lvlJc w:val="left"/>
      <w:pPr>
        <w:ind w:left="0" w:firstLine="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5CE51DE"/>
    <w:multiLevelType w:val="multilevel"/>
    <w:tmpl w:val="E41830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2464873"/>
    <w:multiLevelType w:val="multilevel"/>
    <w:tmpl w:val="4B56856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7FE83BF6"/>
    <w:multiLevelType w:val="multilevel"/>
    <w:tmpl w:val="137A92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305"/>
    <w:rsid w:val="00004C91"/>
    <w:rsid w:val="00065305"/>
    <w:rsid w:val="0020260C"/>
    <w:rsid w:val="00670F10"/>
    <w:rsid w:val="008C58CA"/>
    <w:rsid w:val="0093030B"/>
    <w:rsid w:val="009732AF"/>
    <w:rsid w:val="00AD5FD2"/>
    <w:rsid w:val="00BE0A09"/>
    <w:rsid w:val="00C10D8A"/>
    <w:rsid w:val="00CB1F1F"/>
    <w:rsid w:val="00D44582"/>
    <w:rsid w:val="00E13139"/>
    <w:rsid w:val="00E402B0"/>
    <w:rsid w:val="00E92C31"/>
    <w:rsid w:val="00EC6B6C"/>
    <w:rsid w:val="00EE22C3"/>
    <w:rsid w:val="00F80F55"/>
    <w:rsid w:val="00FB4F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DD3FBD5-86D9-44DE-9DAB-B014127CF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b/>
      <w:bCs/>
      <w:color w:val="000000"/>
    </w:rPr>
  </w:style>
  <w:style w:type="paragraph" w:styleId="Ttulo2">
    <w:name w:val="heading 2"/>
    <w:basedOn w:val="Normal"/>
    <w:next w:val="Normal"/>
    <w:pPr>
      <w:keepNext/>
      <w:keepLines/>
      <w:spacing w:before="40" w:line="259" w:lineRule="auto"/>
      <w:outlineLvl w:val="1"/>
    </w:pPr>
    <w:rPr>
      <w:rFonts w:ascii="Palatino Linotype" w:eastAsia="Palatino Linotype" w:hAnsi="Palatino Linotype" w:cs="Palatino Linotype"/>
      <w:b/>
      <w:bCs/>
      <w:color w:val="000000"/>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40"/>
      <w:outlineLvl w:val="3"/>
    </w:pPr>
    <w:rPr>
      <w:rFonts w:ascii="Calibri" w:eastAsia="Calibri" w:hAnsi="Calibri" w:cs="Calibri"/>
      <w:i/>
      <w:iCs/>
      <w:color w:val="2E75B5"/>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8C58CA"/>
    <w:pPr>
      <w:tabs>
        <w:tab w:val="center" w:pos="4419"/>
        <w:tab w:val="right" w:pos="8838"/>
      </w:tabs>
    </w:pPr>
  </w:style>
  <w:style w:type="character" w:customStyle="1" w:styleId="EncabezadoCar">
    <w:name w:val="Encabezado Car"/>
    <w:basedOn w:val="Fuentedeprrafopredeter"/>
    <w:link w:val="Encabezado"/>
    <w:uiPriority w:val="99"/>
    <w:rsid w:val="008C58CA"/>
  </w:style>
  <w:style w:type="paragraph" w:styleId="Piedepgina">
    <w:name w:val="footer"/>
    <w:basedOn w:val="Normal"/>
    <w:link w:val="PiedepginaCar"/>
    <w:uiPriority w:val="99"/>
    <w:unhideWhenUsed/>
    <w:rsid w:val="008C58CA"/>
    <w:pPr>
      <w:tabs>
        <w:tab w:val="center" w:pos="4419"/>
        <w:tab w:val="right" w:pos="8838"/>
      </w:tabs>
    </w:pPr>
  </w:style>
  <w:style w:type="character" w:customStyle="1" w:styleId="PiedepginaCar">
    <w:name w:val="Pie de página Car"/>
    <w:basedOn w:val="Fuentedeprrafopredeter"/>
    <w:link w:val="Piedepgina"/>
    <w:uiPriority w:val="99"/>
    <w:rsid w:val="008C58CA"/>
  </w:style>
  <w:style w:type="paragraph" w:styleId="Prrafodelista">
    <w:name w:val="List Paragraph"/>
    <w:basedOn w:val="Normal"/>
    <w:uiPriority w:val="34"/>
    <w:qFormat/>
    <w:rsid w:val="008C5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708260.pag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aimex.org.mx/saimex/solicitud/downloadAttach/2721474.page"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0ru4cUuDKn4zr5rvdkaIsagw7A==">CgMxLjAyDmguejV4cm5meWNlNHd1Mg1oLjlvMmlxcmtpc3I1Mg5oLmwzbnowNXBpOWV1ODIOaC42dDhhZHY3dHd2OTQyDmgub215MW4xeWg0YnNwMg5oLjVybTkybTE2dnNxNTIOaC4yMGxvdWdqYm9iaDkyDmguZHZ1dDdyd2cxM2VhMghoLmxueGJ6OTIJaC4xa3N2NHV2MgloLjNyZGNyam4yCWguMmp4c3hxaDgAciExaWt0X2ZiREM1U2xPam1oTExEeTFJVjMtVVVaWnFtb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33</Pages>
  <Words>8210</Words>
  <Characters>45157</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53261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13</cp:revision>
  <cp:lastPrinted>2026-06-12T16:56:00Z</cp:lastPrinted>
  <dcterms:created xsi:type="dcterms:W3CDTF">2026-06-08T18:24:00Z</dcterms:created>
  <dcterms:modified xsi:type="dcterms:W3CDTF">2026-06-16T19:28:00Z</dcterms:modified>
</cp:coreProperties>
</file>