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057F2A" w14:textId="20D9ACB7" w:rsidR="00D10152" w:rsidRPr="00C56D9C" w:rsidRDefault="00785AE5" w:rsidP="00B81ABE">
      <w:pPr>
        <w:spacing w:line="360" w:lineRule="auto"/>
        <w:jc w:val="both"/>
        <w:rPr>
          <w:rFonts w:ascii="Palatino Linotype" w:eastAsia="Palatino Linotype" w:hAnsi="Palatino Linotype" w:cs="Palatino Linotype"/>
          <w:sz w:val="22"/>
          <w:szCs w:val="22"/>
        </w:rPr>
      </w:pPr>
      <w:bookmarkStart w:id="0" w:name="_heading=h.3rdcrjn" w:colFirst="0" w:colLast="0"/>
      <w:bookmarkEnd w:id="0"/>
      <w:r w:rsidRPr="00C56D9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D33A1D" w:rsidRPr="00C56D9C">
        <w:rPr>
          <w:rFonts w:ascii="Palatino Linotype" w:eastAsia="Palatino Linotype" w:hAnsi="Palatino Linotype" w:cs="Palatino Linotype"/>
          <w:sz w:val="22"/>
          <w:szCs w:val="22"/>
        </w:rPr>
        <w:t>cinco de marzo</w:t>
      </w:r>
      <w:r w:rsidR="00062F25" w:rsidRPr="00C56D9C">
        <w:rPr>
          <w:rFonts w:ascii="Palatino Linotype" w:eastAsia="Palatino Linotype" w:hAnsi="Palatino Linotype" w:cs="Palatino Linotype"/>
          <w:sz w:val="22"/>
          <w:szCs w:val="22"/>
        </w:rPr>
        <w:t xml:space="preserve"> de dos mil veintiséis</w:t>
      </w:r>
      <w:r w:rsidRPr="00C56D9C">
        <w:rPr>
          <w:rFonts w:ascii="Palatino Linotype" w:eastAsia="Palatino Linotype" w:hAnsi="Palatino Linotype" w:cs="Palatino Linotype"/>
          <w:sz w:val="22"/>
          <w:szCs w:val="22"/>
        </w:rPr>
        <w:t xml:space="preserve">. </w:t>
      </w:r>
    </w:p>
    <w:p w14:paraId="5157FD6A" w14:textId="77777777" w:rsidR="00A53845" w:rsidRPr="00C56D9C" w:rsidRDefault="00A53845" w:rsidP="00B81ABE">
      <w:pPr>
        <w:spacing w:line="360" w:lineRule="auto"/>
        <w:jc w:val="both"/>
        <w:rPr>
          <w:rFonts w:ascii="Palatino Linotype" w:eastAsia="Palatino Linotype" w:hAnsi="Palatino Linotype" w:cs="Palatino Linotype"/>
          <w:sz w:val="22"/>
          <w:szCs w:val="22"/>
        </w:rPr>
      </w:pPr>
    </w:p>
    <w:p w14:paraId="0BEC3A2A" w14:textId="4A59855C" w:rsidR="00D10152" w:rsidRPr="00C56D9C" w:rsidRDefault="00785AE5" w:rsidP="00B81ABE">
      <w:pPr>
        <w:tabs>
          <w:tab w:val="left" w:pos="5812"/>
        </w:tabs>
        <w:spacing w:line="360" w:lineRule="auto"/>
        <w:jc w:val="both"/>
        <w:rPr>
          <w:rFonts w:ascii="Palatino Linotype" w:eastAsia="Palatino Linotype" w:hAnsi="Palatino Linotype" w:cs="Palatino Linotype"/>
          <w:sz w:val="22"/>
          <w:szCs w:val="22"/>
        </w:rPr>
      </w:pPr>
      <w:bookmarkStart w:id="1" w:name="_heading=h.daj3j2xo6q66" w:colFirst="0" w:colLast="0"/>
      <w:bookmarkEnd w:id="1"/>
      <w:r w:rsidRPr="00C56D9C">
        <w:rPr>
          <w:rFonts w:ascii="Palatino Linotype" w:eastAsia="Palatino Linotype" w:hAnsi="Palatino Linotype" w:cs="Palatino Linotype"/>
          <w:b/>
          <w:sz w:val="22"/>
          <w:szCs w:val="22"/>
        </w:rPr>
        <w:t>VISTO</w:t>
      </w:r>
      <w:r w:rsidRPr="00C56D9C">
        <w:rPr>
          <w:rFonts w:ascii="Palatino Linotype" w:eastAsia="Palatino Linotype" w:hAnsi="Palatino Linotype" w:cs="Palatino Linotype"/>
          <w:sz w:val="22"/>
          <w:szCs w:val="22"/>
        </w:rPr>
        <w:t xml:space="preserve"> el expediente formado con motivo del recurso de revisión </w:t>
      </w:r>
      <w:r w:rsidR="00062F25" w:rsidRPr="00C56D9C">
        <w:rPr>
          <w:rFonts w:ascii="Palatino Linotype" w:eastAsia="Palatino Linotype" w:hAnsi="Palatino Linotype" w:cs="Palatino Linotype"/>
          <w:b/>
          <w:sz w:val="22"/>
          <w:szCs w:val="22"/>
        </w:rPr>
        <w:t>00719</w:t>
      </w:r>
      <w:r w:rsidRPr="00C56D9C">
        <w:rPr>
          <w:rFonts w:ascii="Palatino Linotype" w:eastAsia="Palatino Linotype" w:hAnsi="Palatino Linotype" w:cs="Palatino Linotype"/>
          <w:b/>
          <w:sz w:val="22"/>
          <w:szCs w:val="22"/>
        </w:rPr>
        <w:t>/INFOEM/IP/RR/202</w:t>
      </w:r>
      <w:r w:rsidR="00062F25" w:rsidRPr="00C56D9C">
        <w:rPr>
          <w:rFonts w:ascii="Palatino Linotype" w:eastAsia="Palatino Linotype" w:hAnsi="Palatino Linotype" w:cs="Palatino Linotype"/>
          <w:b/>
          <w:sz w:val="22"/>
          <w:szCs w:val="22"/>
        </w:rPr>
        <w:t>6</w:t>
      </w:r>
      <w:r w:rsidRPr="00C56D9C">
        <w:rPr>
          <w:rFonts w:ascii="Palatino Linotype" w:eastAsia="Palatino Linotype" w:hAnsi="Palatino Linotype" w:cs="Palatino Linotype"/>
          <w:sz w:val="22"/>
          <w:szCs w:val="22"/>
        </w:rPr>
        <w:t>, interpuesto por</w:t>
      </w:r>
      <w:r w:rsidRPr="00C56D9C">
        <w:rPr>
          <w:rFonts w:ascii="Palatino Linotype" w:eastAsia="Palatino Linotype" w:hAnsi="Palatino Linotype" w:cs="Palatino Linotype"/>
          <w:b/>
          <w:sz w:val="22"/>
          <w:szCs w:val="22"/>
        </w:rPr>
        <w:t xml:space="preserve"> </w:t>
      </w:r>
      <w:r w:rsidR="00CA1BBC" w:rsidRPr="00CA1BBC">
        <w:rPr>
          <w:rFonts w:ascii="Palatino Linotype" w:eastAsia="Palatino Linotype" w:hAnsi="Palatino Linotype" w:cs="Palatino Linotype"/>
          <w:b/>
          <w:sz w:val="22"/>
          <w:szCs w:val="22"/>
        </w:rPr>
        <w:t>XXXXX XXXXXX XXXXXXX</w:t>
      </w:r>
      <w:r w:rsidRPr="00CA1BBC">
        <w:rPr>
          <w:rFonts w:ascii="Palatino Linotype" w:eastAsia="Palatino Linotype" w:hAnsi="Palatino Linotype" w:cs="Palatino Linotype"/>
          <w:b/>
          <w:sz w:val="22"/>
          <w:szCs w:val="22"/>
        </w:rPr>
        <w:t>,</w:t>
      </w:r>
      <w:bookmarkStart w:id="2" w:name="_GoBack"/>
      <w:bookmarkEnd w:id="2"/>
      <w:r w:rsidRPr="00C56D9C">
        <w:rPr>
          <w:rFonts w:ascii="Palatino Linotype" w:eastAsia="Palatino Linotype" w:hAnsi="Palatino Linotype" w:cs="Palatino Linotype"/>
          <w:sz w:val="22"/>
          <w:szCs w:val="22"/>
        </w:rPr>
        <w:t xml:space="preserve"> en lo sucesivo</w:t>
      </w:r>
      <w:r w:rsidRPr="00C56D9C">
        <w:rPr>
          <w:rFonts w:ascii="Palatino Linotype" w:eastAsia="Palatino Linotype" w:hAnsi="Palatino Linotype" w:cs="Palatino Linotype"/>
          <w:b/>
          <w:sz w:val="22"/>
          <w:szCs w:val="22"/>
        </w:rPr>
        <w:t xml:space="preserve"> </w:t>
      </w:r>
      <w:r w:rsidRPr="00C56D9C">
        <w:rPr>
          <w:rFonts w:ascii="Palatino Linotype" w:eastAsia="Palatino Linotype" w:hAnsi="Palatino Linotype" w:cs="Palatino Linotype"/>
          <w:sz w:val="22"/>
          <w:szCs w:val="22"/>
        </w:rPr>
        <w:t xml:space="preserve">la parte </w:t>
      </w:r>
      <w:r w:rsidRPr="00C56D9C">
        <w:rPr>
          <w:rFonts w:ascii="Palatino Linotype" w:eastAsia="Palatino Linotype" w:hAnsi="Palatino Linotype" w:cs="Palatino Linotype"/>
          <w:b/>
          <w:sz w:val="22"/>
          <w:szCs w:val="22"/>
        </w:rPr>
        <w:t>Recurrente,</w:t>
      </w:r>
      <w:r w:rsidRPr="00C56D9C">
        <w:rPr>
          <w:rFonts w:ascii="Palatino Linotype" w:eastAsia="Palatino Linotype" w:hAnsi="Palatino Linotype" w:cs="Palatino Linotype"/>
          <w:sz w:val="22"/>
          <w:szCs w:val="22"/>
        </w:rPr>
        <w:t xml:space="preserve"> en contra de la respuesta a la solicitud de información con número de folio</w:t>
      </w:r>
      <w:r w:rsidRPr="00C56D9C">
        <w:rPr>
          <w:rFonts w:ascii="Palatino Linotype" w:eastAsia="Palatino Linotype" w:hAnsi="Palatino Linotype" w:cs="Palatino Linotype"/>
          <w:b/>
          <w:sz w:val="22"/>
          <w:szCs w:val="22"/>
        </w:rPr>
        <w:t xml:space="preserve"> </w:t>
      </w:r>
      <w:r w:rsidR="00062F25" w:rsidRPr="00C56D9C">
        <w:rPr>
          <w:rFonts w:ascii="Palatino Linotype" w:eastAsia="Palatino Linotype" w:hAnsi="Palatino Linotype" w:cs="Palatino Linotype"/>
          <w:b/>
          <w:sz w:val="22"/>
          <w:szCs w:val="22"/>
        </w:rPr>
        <w:t>00006/TEPOTZOT/IP/2026</w:t>
      </w:r>
      <w:r w:rsidRPr="00C56D9C">
        <w:rPr>
          <w:rFonts w:ascii="Palatino Linotype" w:eastAsia="Palatino Linotype" w:hAnsi="Palatino Linotype" w:cs="Palatino Linotype"/>
          <w:b/>
          <w:sz w:val="22"/>
          <w:szCs w:val="22"/>
        </w:rPr>
        <w:t xml:space="preserve">, </w:t>
      </w:r>
      <w:r w:rsidRPr="00C56D9C">
        <w:rPr>
          <w:rFonts w:ascii="Palatino Linotype" w:eastAsia="Palatino Linotype" w:hAnsi="Palatino Linotype" w:cs="Palatino Linotype"/>
          <w:sz w:val="22"/>
          <w:szCs w:val="22"/>
        </w:rPr>
        <w:t xml:space="preserve">por parte del </w:t>
      </w:r>
      <w:r w:rsidR="00062F25" w:rsidRPr="00C56D9C">
        <w:rPr>
          <w:rFonts w:ascii="Palatino Linotype" w:eastAsia="Palatino Linotype" w:hAnsi="Palatino Linotype" w:cs="Palatino Linotype"/>
          <w:b/>
          <w:sz w:val="22"/>
          <w:szCs w:val="22"/>
        </w:rPr>
        <w:t>Ayuntamiento de Tepotzotlán</w:t>
      </w:r>
      <w:r w:rsidRPr="00C56D9C">
        <w:rPr>
          <w:rFonts w:ascii="Palatino Linotype" w:eastAsia="Palatino Linotype" w:hAnsi="Palatino Linotype" w:cs="Palatino Linotype"/>
          <w:b/>
          <w:sz w:val="22"/>
          <w:szCs w:val="22"/>
        </w:rPr>
        <w:t xml:space="preserve">, </w:t>
      </w:r>
      <w:r w:rsidRPr="00C56D9C">
        <w:rPr>
          <w:rFonts w:ascii="Palatino Linotype" w:eastAsia="Palatino Linotype" w:hAnsi="Palatino Linotype" w:cs="Palatino Linotype"/>
          <w:sz w:val="22"/>
          <w:szCs w:val="22"/>
        </w:rPr>
        <w:t xml:space="preserve">en lo sucesivo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se procede a dictar la presente resolución con base en los siguientes:</w:t>
      </w:r>
      <w:r w:rsidR="00BA6653" w:rsidRPr="00C56D9C">
        <w:rPr>
          <w:rFonts w:ascii="Palatino Linotype" w:eastAsia="Palatino Linotype" w:hAnsi="Palatino Linotype" w:cs="Palatino Linotype"/>
          <w:sz w:val="22"/>
          <w:szCs w:val="22"/>
        </w:rPr>
        <w:t xml:space="preserve"> </w:t>
      </w:r>
    </w:p>
    <w:p w14:paraId="52A3F2B9" w14:textId="77777777" w:rsidR="00A53845" w:rsidRPr="00C56D9C" w:rsidRDefault="00A53845" w:rsidP="00B81ABE">
      <w:pPr>
        <w:tabs>
          <w:tab w:val="left" w:pos="5812"/>
        </w:tabs>
        <w:spacing w:line="360" w:lineRule="auto"/>
        <w:jc w:val="both"/>
        <w:rPr>
          <w:rFonts w:ascii="Palatino Linotype" w:eastAsia="Palatino Linotype" w:hAnsi="Palatino Linotype" w:cs="Palatino Linotype"/>
          <w:sz w:val="22"/>
          <w:szCs w:val="22"/>
        </w:rPr>
      </w:pPr>
    </w:p>
    <w:p w14:paraId="008010D0" w14:textId="77777777" w:rsidR="00D10152" w:rsidRPr="00C56D9C" w:rsidRDefault="00785AE5" w:rsidP="00B81ABE">
      <w:pPr>
        <w:spacing w:line="360" w:lineRule="auto"/>
        <w:jc w:val="center"/>
        <w:rPr>
          <w:rFonts w:ascii="Palatino Linotype" w:eastAsia="Palatino Linotype" w:hAnsi="Palatino Linotype" w:cs="Palatino Linotype"/>
          <w:b/>
          <w:sz w:val="22"/>
          <w:szCs w:val="22"/>
        </w:rPr>
      </w:pPr>
      <w:r w:rsidRPr="00C56D9C">
        <w:rPr>
          <w:rFonts w:ascii="Palatino Linotype" w:eastAsia="Palatino Linotype" w:hAnsi="Palatino Linotype" w:cs="Palatino Linotype"/>
          <w:b/>
          <w:sz w:val="22"/>
          <w:szCs w:val="22"/>
        </w:rPr>
        <w:t>I. A N T E C E D E N T E S</w:t>
      </w:r>
    </w:p>
    <w:p w14:paraId="7A1ABA5B" w14:textId="77777777" w:rsidR="00A53845" w:rsidRPr="00C56D9C" w:rsidRDefault="00A53845" w:rsidP="00B81ABE">
      <w:pPr>
        <w:spacing w:line="360" w:lineRule="auto"/>
        <w:jc w:val="center"/>
        <w:rPr>
          <w:rFonts w:ascii="Palatino Linotype" w:eastAsia="Palatino Linotype" w:hAnsi="Palatino Linotype" w:cs="Palatino Linotype"/>
          <w:b/>
          <w:sz w:val="22"/>
          <w:szCs w:val="22"/>
        </w:rPr>
      </w:pPr>
    </w:p>
    <w:p w14:paraId="3A4385E2" w14:textId="2E558244" w:rsidR="007218DC" w:rsidRPr="00C56D9C" w:rsidRDefault="00785AE5" w:rsidP="00B81ABE">
      <w:pPr>
        <w:spacing w:line="360" w:lineRule="auto"/>
        <w:jc w:val="both"/>
        <w:rPr>
          <w:rFonts w:ascii="Palatino Linotype" w:eastAsia="Palatino Linotype" w:hAnsi="Palatino Linotype" w:cs="Palatino Linotype"/>
          <w:sz w:val="22"/>
          <w:szCs w:val="22"/>
        </w:rPr>
      </w:pPr>
      <w:bookmarkStart w:id="3" w:name="_heading=h.gjdgxs" w:colFirst="0" w:colLast="0"/>
      <w:bookmarkEnd w:id="3"/>
      <w:r w:rsidRPr="00C56D9C">
        <w:rPr>
          <w:rFonts w:ascii="Palatino Linotype" w:eastAsia="Palatino Linotype" w:hAnsi="Palatino Linotype" w:cs="Palatino Linotype"/>
          <w:b/>
          <w:sz w:val="22"/>
          <w:szCs w:val="22"/>
        </w:rPr>
        <w:t>1. Solicitud de acceso a la información.</w:t>
      </w:r>
      <w:r w:rsidRPr="00C56D9C">
        <w:rPr>
          <w:rFonts w:ascii="Palatino Linotype" w:eastAsia="Palatino Linotype" w:hAnsi="Palatino Linotype" w:cs="Palatino Linotype"/>
          <w:sz w:val="22"/>
          <w:szCs w:val="22"/>
        </w:rPr>
        <w:t xml:space="preserve"> El </w:t>
      </w:r>
      <w:r w:rsidR="00062F25" w:rsidRPr="00C56D9C">
        <w:rPr>
          <w:rFonts w:ascii="Palatino Linotype" w:eastAsia="Palatino Linotype" w:hAnsi="Palatino Linotype" w:cs="Palatino Linotype"/>
          <w:b/>
          <w:sz w:val="22"/>
          <w:szCs w:val="22"/>
        </w:rPr>
        <w:t>veintiséis de diciembre</w:t>
      </w:r>
      <w:r w:rsidRPr="00C56D9C">
        <w:rPr>
          <w:rFonts w:ascii="Palatino Linotype" w:eastAsia="Palatino Linotype" w:hAnsi="Palatino Linotype" w:cs="Palatino Linotype"/>
          <w:b/>
          <w:sz w:val="22"/>
          <w:szCs w:val="22"/>
        </w:rPr>
        <w:t xml:space="preserve"> de dos mil veinticinco,</w:t>
      </w:r>
      <w:r w:rsidRPr="00C56D9C">
        <w:rPr>
          <w:rFonts w:ascii="Palatino Linotype" w:eastAsia="Palatino Linotype" w:hAnsi="Palatino Linotype" w:cs="Palatino Linotype"/>
          <w:sz w:val="22"/>
          <w:szCs w:val="22"/>
        </w:rPr>
        <w:t xml:space="preserve"> la parte </w:t>
      </w:r>
      <w:r w:rsidRPr="00C56D9C">
        <w:rPr>
          <w:rFonts w:ascii="Palatino Linotype" w:eastAsia="Palatino Linotype" w:hAnsi="Palatino Linotype" w:cs="Palatino Linotype"/>
          <w:b/>
          <w:sz w:val="22"/>
          <w:szCs w:val="22"/>
        </w:rPr>
        <w:t xml:space="preserve">Recurrente </w:t>
      </w:r>
      <w:r w:rsidRPr="00C56D9C">
        <w:rPr>
          <w:rFonts w:ascii="Palatino Linotype" w:eastAsia="Palatino Linotype" w:hAnsi="Palatino Linotype" w:cs="Palatino Linotype"/>
          <w:sz w:val="22"/>
          <w:szCs w:val="22"/>
        </w:rPr>
        <w:t xml:space="preserve">presentó la solicitud de acceso a la información pública ante el </w:t>
      </w:r>
      <w:r w:rsidRPr="00C56D9C">
        <w:rPr>
          <w:rFonts w:ascii="Palatino Linotype" w:eastAsia="Palatino Linotype" w:hAnsi="Palatino Linotype" w:cs="Palatino Linotype"/>
          <w:b/>
          <w:sz w:val="22"/>
          <w:szCs w:val="22"/>
        </w:rPr>
        <w:t>Sujeto Obligado</w:t>
      </w:r>
      <w:r w:rsidRPr="00C56D9C">
        <w:rPr>
          <w:rFonts w:ascii="Palatino Linotype" w:eastAsia="Palatino Linotype" w:hAnsi="Palatino Linotype" w:cs="Palatino Linotype"/>
          <w:sz w:val="22"/>
          <w:szCs w:val="22"/>
        </w:rPr>
        <w:t xml:space="preserve">, a través del Sistema de Acceso a la Información Mexiquense, en lo subsecuente el </w:t>
      </w:r>
      <w:r w:rsidRPr="00C56D9C">
        <w:rPr>
          <w:rFonts w:ascii="Palatino Linotype" w:eastAsia="Palatino Linotype" w:hAnsi="Palatino Linotype" w:cs="Palatino Linotype"/>
          <w:b/>
          <w:sz w:val="22"/>
          <w:szCs w:val="22"/>
        </w:rPr>
        <w:t>SAIMEX,</w:t>
      </w:r>
      <w:r w:rsidRPr="00C56D9C">
        <w:rPr>
          <w:rFonts w:ascii="Palatino Linotype" w:eastAsia="Palatino Linotype" w:hAnsi="Palatino Linotype" w:cs="Palatino Linotype"/>
          <w:sz w:val="22"/>
          <w:szCs w:val="22"/>
        </w:rPr>
        <w:t xml:space="preserve"> </w:t>
      </w:r>
      <w:r w:rsidR="007218DC" w:rsidRPr="00C56D9C">
        <w:rPr>
          <w:rFonts w:ascii="Palatino Linotype" w:eastAsia="Palatino Linotype" w:hAnsi="Palatino Linotype" w:cs="Palatino Linotype"/>
          <w:sz w:val="22"/>
          <w:szCs w:val="22"/>
        </w:rPr>
        <w:t xml:space="preserve">sin embargo, al corresponder a un día inhábil se tuvo por presentada el día </w:t>
      </w:r>
      <w:r w:rsidR="007218DC" w:rsidRPr="00C56D9C">
        <w:rPr>
          <w:rFonts w:ascii="Palatino Linotype" w:eastAsia="Palatino Linotype" w:hAnsi="Palatino Linotype" w:cs="Palatino Linotype"/>
          <w:b/>
          <w:bCs/>
          <w:sz w:val="22"/>
          <w:szCs w:val="22"/>
        </w:rPr>
        <w:t>doce de enero de dos mil veintiséis</w:t>
      </w:r>
      <w:r w:rsidR="007218DC" w:rsidRPr="00C56D9C">
        <w:rPr>
          <w:rFonts w:ascii="Palatino Linotype" w:eastAsia="Palatino Linotype" w:hAnsi="Palatino Linotype" w:cs="Palatino Linotype"/>
          <w:sz w:val="22"/>
          <w:szCs w:val="22"/>
        </w:rPr>
        <w:t>, mediante la cual requirió lo siguiente:</w:t>
      </w:r>
    </w:p>
    <w:p w14:paraId="76F829D4"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5D46E660" w14:textId="2755819E" w:rsidR="00D10152" w:rsidRPr="00C56D9C" w:rsidRDefault="00785AE5" w:rsidP="007D7F58">
      <w:pPr>
        <w:tabs>
          <w:tab w:val="left" w:pos="4678"/>
        </w:tabs>
        <w:spacing w:line="276" w:lineRule="auto"/>
        <w:ind w:left="851" w:right="616"/>
        <w:jc w:val="both"/>
        <w:rPr>
          <w:rFonts w:ascii="Palatino Linotype" w:eastAsia="Palatino Linotype" w:hAnsi="Palatino Linotype" w:cs="Palatino Linotype"/>
          <w:b/>
          <w:i/>
          <w:sz w:val="22"/>
          <w:szCs w:val="22"/>
        </w:rPr>
      </w:pPr>
      <w:r w:rsidRPr="00C56D9C">
        <w:rPr>
          <w:rFonts w:ascii="Palatino Linotype" w:eastAsia="Palatino Linotype" w:hAnsi="Palatino Linotype" w:cs="Palatino Linotype"/>
          <w:i/>
          <w:sz w:val="22"/>
          <w:szCs w:val="22"/>
        </w:rPr>
        <w:t>“</w:t>
      </w:r>
      <w:r w:rsidR="00062F25" w:rsidRPr="00C56D9C">
        <w:rPr>
          <w:rFonts w:ascii="Palatino Linotype" w:eastAsia="Palatino Linotype" w:hAnsi="Palatino Linotype" w:cs="Palatino Linotype"/>
          <w:i/>
          <w:sz w:val="22"/>
          <w:szCs w:val="22"/>
        </w:rPr>
        <w:t>Solicito la relación completa del personal adscrito al Instituto Municipal de Cultura Física y Deporte de Tepotzotlán, incluyendo: nombre completo, puesto, funciones específicas, tipo de contratación, fecha de ingreso, remuneración mensual bruta y neta, y fuente de financiamiento del pago.</w:t>
      </w:r>
      <w:r w:rsidRPr="00C56D9C">
        <w:rPr>
          <w:rFonts w:ascii="Palatino Linotype" w:eastAsia="Palatino Linotype" w:hAnsi="Palatino Linotype" w:cs="Palatino Linotype"/>
          <w:i/>
          <w:sz w:val="22"/>
          <w:szCs w:val="22"/>
        </w:rPr>
        <w:t xml:space="preserve">” (sic) </w:t>
      </w:r>
    </w:p>
    <w:p w14:paraId="086882F0" w14:textId="77777777" w:rsidR="007D7F58" w:rsidRPr="00C56D9C" w:rsidRDefault="007D7F58" w:rsidP="00B81ABE">
      <w:pPr>
        <w:spacing w:line="360" w:lineRule="auto"/>
        <w:jc w:val="both"/>
        <w:rPr>
          <w:rFonts w:ascii="Palatino Linotype" w:eastAsia="Palatino Linotype" w:hAnsi="Palatino Linotype" w:cs="Palatino Linotype"/>
          <w:b/>
          <w:sz w:val="22"/>
          <w:szCs w:val="22"/>
        </w:rPr>
      </w:pPr>
      <w:bookmarkStart w:id="4" w:name="_heading=h.3dy6vkm" w:colFirst="0" w:colLast="0"/>
      <w:bookmarkEnd w:id="4"/>
    </w:p>
    <w:p w14:paraId="0400CAF1" w14:textId="19024D9F"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Modalidad de Entrega:</w:t>
      </w:r>
      <w:r w:rsidRPr="00C56D9C">
        <w:rPr>
          <w:rFonts w:ascii="Palatino Linotype" w:eastAsia="Palatino Linotype" w:hAnsi="Palatino Linotype" w:cs="Palatino Linotype"/>
          <w:sz w:val="22"/>
          <w:szCs w:val="22"/>
        </w:rPr>
        <w:t xml:space="preserve"> a través del</w:t>
      </w:r>
      <w:r w:rsidRPr="00C56D9C">
        <w:rPr>
          <w:rFonts w:ascii="Palatino Linotype" w:eastAsia="Palatino Linotype" w:hAnsi="Palatino Linotype" w:cs="Palatino Linotype"/>
          <w:b/>
          <w:sz w:val="22"/>
          <w:szCs w:val="22"/>
        </w:rPr>
        <w:t xml:space="preserve"> SAIMEX.</w:t>
      </w:r>
    </w:p>
    <w:p w14:paraId="57D67ECA" w14:textId="77777777" w:rsidR="007D7F58" w:rsidRPr="00C56D9C" w:rsidRDefault="007D7F58" w:rsidP="00B81ABE">
      <w:pPr>
        <w:spacing w:line="360" w:lineRule="auto"/>
        <w:jc w:val="both"/>
        <w:rPr>
          <w:rFonts w:ascii="Palatino Linotype" w:eastAsia="Palatino Linotype" w:hAnsi="Palatino Linotype" w:cs="Palatino Linotype"/>
          <w:b/>
          <w:sz w:val="22"/>
          <w:szCs w:val="22"/>
        </w:rPr>
      </w:pPr>
    </w:p>
    <w:p w14:paraId="2D763FC4" w14:textId="45D64C2F"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lastRenderedPageBreak/>
        <w:t xml:space="preserve">2. Respuesta. </w:t>
      </w:r>
      <w:r w:rsidRPr="00C56D9C">
        <w:rPr>
          <w:rFonts w:ascii="Palatino Linotype" w:eastAsia="Palatino Linotype" w:hAnsi="Palatino Linotype" w:cs="Palatino Linotype"/>
          <w:sz w:val="22"/>
          <w:szCs w:val="22"/>
        </w:rPr>
        <w:t xml:space="preserve">El </w:t>
      </w:r>
      <w:r w:rsidR="007218DC" w:rsidRPr="00C56D9C">
        <w:rPr>
          <w:rFonts w:ascii="Palatino Linotype" w:eastAsia="Palatino Linotype" w:hAnsi="Palatino Linotype" w:cs="Palatino Linotype"/>
          <w:b/>
          <w:sz w:val="22"/>
          <w:szCs w:val="22"/>
        </w:rPr>
        <w:t>diecisiete de enero de dos mil veintiséis</w:t>
      </w:r>
      <w:r w:rsidRPr="00C56D9C">
        <w:rPr>
          <w:rFonts w:ascii="Palatino Linotype" w:eastAsia="Palatino Linotype" w:hAnsi="Palatino Linotype" w:cs="Palatino Linotype"/>
          <w:b/>
          <w:sz w:val="22"/>
          <w:szCs w:val="22"/>
        </w:rPr>
        <w:t>,</w:t>
      </w:r>
      <w:r w:rsidRPr="00C56D9C">
        <w:rPr>
          <w:rFonts w:ascii="Palatino Linotype" w:eastAsia="Palatino Linotype" w:hAnsi="Palatino Linotype" w:cs="Palatino Linotype"/>
          <w:sz w:val="22"/>
          <w:szCs w:val="22"/>
        </w:rPr>
        <w:t xml:space="preserve">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71525FCC" w14:textId="77777777" w:rsidR="0067471D" w:rsidRPr="00C56D9C" w:rsidRDefault="00785AE5" w:rsidP="0067471D">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0067471D" w:rsidRPr="00C56D9C">
        <w:rPr>
          <w:rFonts w:ascii="Palatino Linotype" w:eastAsia="Palatino Linotype" w:hAnsi="Palatino Linotype" w:cs="Palatino Linotype"/>
          <w:i/>
          <w:sz w:val="22"/>
          <w:szCs w:val="22"/>
        </w:rPr>
        <w:t>SE ADJUNTA RESPUESTA DE SERVIDOR PÚBLICO HABILITADO</w:t>
      </w:r>
    </w:p>
    <w:p w14:paraId="0031F8FE" w14:textId="77777777" w:rsidR="0067471D" w:rsidRPr="00C56D9C" w:rsidRDefault="0067471D" w:rsidP="0067471D">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ATENTAMENTE</w:t>
      </w:r>
    </w:p>
    <w:p w14:paraId="2C790F3B" w14:textId="1829E0B2" w:rsidR="00D10152" w:rsidRPr="00C56D9C" w:rsidRDefault="0067471D" w:rsidP="0067471D">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P.Ing. Ilse Lizbeth Tavera Arteaga</w:t>
      </w:r>
      <w:r w:rsidR="00785AE5" w:rsidRPr="00C56D9C">
        <w:rPr>
          <w:rFonts w:ascii="Palatino Linotype" w:eastAsia="Palatino Linotype" w:hAnsi="Palatino Linotype" w:cs="Palatino Linotype"/>
          <w:i/>
          <w:sz w:val="22"/>
          <w:szCs w:val="22"/>
        </w:rPr>
        <w:t>” (sic)</w:t>
      </w:r>
    </w:p>
    <w:p w14:paraId="386BE37A" w14:textId="77777777" w:rsidR="007D7F58" w:rsidRPr="00C56D9C" w:rsidRDefault="007D7F58" w:rsidP="00B81ABE">
      <w:pPr>
        <w:spacing w:line="360" w:lineRule="auto"/>
        <w:ind w:right="49"/>
        <w:jc w:val="both"/>
        <w:rPr>
          <w:rFonts w:ascii="Palatino Linotype" w:eastAsia="Palatino Linotype" w:hAnsi="Palatino Linotype" w:cs="Palatino Linotype"/>
          <w:sz w:val="22"/>
          <w:szCs w:val="22"/>
        </w:rPr>
      </w:pPr>
    </w:p>
    <w:p w14:paraId="46FF42D4" w14:textId="5EDCB4A9" w:rsidR="009D4FFC" w:rsidRPr="00C56D9C" w:rsidRDefault="00785AE5" w:rsidP="00B81ABE">
      <w:pPr>
        <w:spacing w:line="360" w:lineRule="auto"/>
        <w:ind w:right="49"/>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 xml:space="preserve">adjuntó </w:t>
      </w:r>
      <w:r w:rsidR="009D4FFC" w:rsidRPr="00C56D9C">
        <w:rPr>
          <w:rFonts w:ascii="Palatino Linotype" w:eastAsia="Palatino Linotype" w:hAnsi="Palatino Linotype" w:cs="Palatino Linotype"/>
          <w:sz w:val="22"/>
          <w:szCs w:val="22"/>
        </w:rPr>
        <w:t xml:space="preserve">el escrito mediante el cual la Unidad de Transparencia, con fundamento en el artículo 167 de la Ley de Transparencia y Acceso a la Información Pública del Estado de México y Municipios, manifestó que la información solicitada es competencia del Instituto Municipal de </w:t>
      </w:r>
      <w:r w:rsidR="0067471D" w:rsidRPr="00C56D9C">
        <w:rPr>
          <w:rFonts w:ascii="Palatino Linotype" w:eastAsia="Palatino Linotype" w:hAnsi="Palatino Linotype" w:cs="Palatino Linotype"/>
          <w:sz w:val="22"/>
          <w:szCs w:val="22"/>
        </w:rPr>
        <w:t>Cultura Física y Deporte de Tepotzotlán</w:t>
      </w:r>
      <w:r w:rsidR="009D4FFC" w:rsidRPr="00C56D9C">
        <w:rPr>
          <w:rFonts w:ascii="Palatino Linotype" w:eastAsia="Palatino Linotype" w:hAnsi="Palatino Linotype" w:cs="Palatino Linotype"/>
          <w:sz w:val="22"/>
          <w:szCs w:val="22"/>
        </w:rPr>
        <w:t>, por lo que se sugirió enviar la solicitud a dicha dependencia.</w:t>
      </w:r>
    </w:p>
    <w:p w14:paraId="4B83CD19" w14:textId="77777777" w:rsidR="007D7F58" w:rsidRPr="00C56D9C" w:rsidRDefault="007D7F58" w:rsidP="00B81ABE">
      <w:pPr>
        <w:spacing w:line="360" w:lineRule="auto"/>
        <w:ind w:right="49"/>
        <w:jc w:val="both"/>
        <w:rPr>
          <w:rFonts w:ascii="Palatino Linotype" w:eastAsia="Palatino Linotype" w:hAnsi="Palatino Linotype" w:cs="Palatino Linotype"/>
          <w:sz w:val="22"/>
          <w:szCs w:val="22"/>
        </w:rPr>
      </w:pPr>
    </w:p>
    <w:p w14:paraId="44102A50" w14:textId="2E429741" w:rsidR="007D7F58" w:rsidRPr="00C56D9C" w:rsidRDefault="00785AE5" w:rsidP="007D7F58">
      <w:pPr>
        <w:spacing w:line="360" w:lineRule="auto"/>
        <w:ind w:right="49"/>
        <w:jc w:val="both"/>
        <w:rPr>
          <w:rFonts w:ascii="Palatino Linotype" w:eastAsia="Palatino Linotype" w:hAnsi="Palatino Linotype" w:cs="Palatino Linotype"/>
          <w:b/>
          <w:sz w:val="22"/>
          <w:szCs w:val="22"/>
        </w:rPr>
      </w:pPr>
      <w:r w:rsidRPr="00C56D9C">
        <w:rPr>
          <w:rFonts w:ascii="Palatino Linotype" w:eastAsia="Palatino Linotype" w:hAnsi="Palatino Linotype" w:cs="Palatino Linotype"/>
          <w:b/>
          <w:sz w:val="22"/>
          <w:szCs w:val="22"/>
        </w:rPr>
        <w:t xml:space="preserve">3. Interposición del recurso de revisión. </w:t>
      </w:r>
      <w:r w:rsidRPr="00C56D9C">
        <w:rPr>
          <w:rFonts w:ascii="Palatino Linotype" w:eastAsia="Palatino Linotype" w:hAnsi="Palatino Linotype" w:cs="Palatino Linotype"/>
          <w:sz w:val="22"/>
          <w:szCs w:val="22"/>
        </w:rPr>
        <w:t xml:space="preserve">Inconforme con los términos de la respuesta emitida por parte del </w:t>
      </w:r>
      <w:r w:rsidRPr="00C56D9C">
        <w:rPr>
          <w:rFonts w:ascii="Palatino Linotype" w:eastAsia="Palatino Linotype" w:hAnsi="Palatino Linotype" w:cs="Palatino Linotype"/>
          <w:b/>
          <w:sz w:val="22"/>
          <w:szCs w:val="22"/>
        </w:rPr>
        <w:t>Sujeto Obligado</w:t>
      </w:r>
      <w:r w:rsidRPr="00C56D9C">
        <w:rPr>
          <w:rFonts w:ascii="Palatino Linotype" w:eastAsia="Palatino Linotype" w:hAnsi="Palatino Linotype" w:cs="Palatino Linotype"/>
          <w:sz w:val="22"/>
          <w:szCs w:val="22"/>
        </w:rPr>
        <w:t xml:space="preserve">, el </w:t>
      </w:r>
      <w:r w:rsidR="0067471D" w:rsidRPr="00C56D9C">
        <w:rPr>
          <w:rFonts w:ascii="Palatino Linotype" w:eastAsia="Palatino Linotype" w:hAnsi="Palatino Linotype" w:cs="Palatino Linotype"/>
          <w:b/>
          <w:sz w:val="22"/>
          <w:szCs w:val="22"/>
        </w:rPr>
        <w:t>dieci</w:t>
      </w:r>
      <w:r w:rsidR="00D33A1D" w:rsidRPr="00C56D9C">
        <w:rPr>
          <w:rFonts w:ascii="Palatino Linotype" w:eastAsia="Palatino Linotype" w:hAnsi="Palatino Linotype" w:cs="Palatino Linotype"/>
          <w:b/>
          <w:sz w:val="22"/>
          <w:szCs w:val="22"/>
        </w:rPr>
        <w:t xml:space="preserve">siete de enero </w:t>
      </w:r>
      <w:r w:rsidR="0067471D" w:rsidRPr="00C56D9C">
        <w:rPr>
          <w:rFonts w:ascii="Palatino Linotype" w:eastAsia="Palatino Linotype" w:hAnsi="Palatino Linotype" w:cs="Palatino Linotype"/>
          <w:b/>
          <w:sz w:val="22"/>
          <w:szCs w:val="22"/>
        </w:rPr>
        <w:t>de dos mil veintiséis</w:t>
      </w:r>
      <w:r w:rsidRPr="00C56D9C">
        <w:rPr>
          <w:rFonts w:ascii="Palatino Linotype" w:eastAsia="Palatino Linotype" w:hAnsi="Palatino Linotype" w:cs="Palatino Linotype"/>
          <w:b/>
          <w:sz w:val="22"/>
          <w:szCs w:val="22"/>
        </w:rPr>
        <w:t>,</w:t>
      </w:r>
      <w:r w:rsidRPr="00C56D9C">
        <w:rPr>
          <w:rFonts w:ascii="Palatino Linotype" w:eastAsia="Palatino Linotype" w:hAnsi="Palatino Linotype" w:cs="Palatino Linotype"/>
          <w:sz w:val="22"/>
          <w:szCs w:val="22"/>
        </w:rPr>
        <w:t xml:space="preserve"> la parte </w:t>
      </w:r>
      <w:r w:rsidRPr="00C56D9C">
        <w:rPr>
          <w:rFonts w:ascii="Palatino Linotype" w:eastAsia="Palatino Linotype" w:hAnsi="Palatino Linotype" w:cs="Palatino Linotype"/>
          <w:b/>
          <w:sz w:val="22"/>
          <w:szCs w:val="22"/>
        </w:rPr>
        <w:t>Recurrente</w:t>
      </w:r>
      <w:r w:rsidRPr="00C56D9C">
        <w:rPr>
          <w:rFonts w:ascii="Palatino Linotype" w:eastAsia="Palatino Linotype" w:hAnsi="Palatino Linotype" w:cs="Palatino Linotype"/>
          <w:sz w:val="22"/>
          <w:szCs w:val="22"/>
        </w:rPr>
        <w:t xml:space="preserve"> interpuso el recurso de revisión a través de </w:t>
      </w:r>
      <w:r w:rsidRPr="00C56D9C">
        <w:rPr>
          <w:rFonts w:ascii="Palatino Linotype" w:eastAsia="Palatino Linotype" w:hAnsi="Palatino Linotype" w:cs="Palatino Linotype"/>
          <w:b/>
          <w:sz w:val="22"/>
          <w:szCs w:val="22"/>
        </w:rPr>
        <w:t xml:space="preserve">SAIMEX, </w:t>
      </w:r>
      <w:r w:rsidR="00D33A1D" w:rsidRPr="00C56D9C">
        <w:rPr>
          <w:rFonts w:ascii="Palatino Linotype" w:eastAsia="Palatino Linotype" w:hAnsi="Palatino Linotype" w:cs="Palatino Linotype"/>
          <w:sz w:val="22"/>
          <w:szCs w:val="22"/>
        </w:rPr>
        <w:t xml:space="preserve">sin embargo, al corresponder a un día inhábil se tuvo por presentada el día </w:t>
      </w:r>
      <w:r w:rsidR="00D33A1D" w:rsidRPr="00C56D9C">
        <w:rPr>
          <w:rFonts w:ascii="Palatino Linotype" w:eastAsia="Palatino Linotype" w:hAnsi="Palatino Linotype" w:cs="Palatino Linotype"/>
          <w:b/>
          <w:bCs/>
          <w:sz w:val="22"/>
          <w:szCs w:val="22"/>
        </w:rPr>
        <w:t>diecinueve de enero de dos mil veintiséis</w:t>
      </w:r>
      <w:r w:rsidR="00D33A1D" w:rsidRPr="00C56D9C">
        <w:rPr>
          <w:rFonts w:ascii="Palatino Linotype" w:eastAsia="Palatino Linotype" w:hAnsi="Palatino Linotype" w:cs="Palatino Linotype"/>
          <w:sz w:val="22"/>
          <w:szCs w:val="22"/>
        </w:rPr>
        <w:t xml:space="preserve">, </w:t>
      </w:r>
      <w:r w:rsidRPr="00C56D9C">
        <w:rPr>
          <w:rFonts w:ascii="Palatino Linotype" w:eastAsia="Palatino Linotype" w:hAnsi="Palatino Linotype" w:cs="Palatino Linotype"/>
          <w:sz w:val="22"/>
          <w:szCs w:val="22"/>
        </w:rPr>
        <w:t>en donde se manifestó de la siguiente manera:</w:t>
      </w:r>
    </w:p>
    <w:p w14:paraId="5D820F01" w14:textId="77777777" w:rsidR="007D7F58" w:rsidRPr="00C56D9C" w:rsidRDefault="007D7F58" w:rsidP="007D7F58">
      <w:pPr>
        <w:spacing w:line="276" w:lineRule="auto"/>
        <w:ind w:left="851" w:right="616"/>
        <w:jc w:val="both"/>
        <w:rPr>
          <w:rFonts w:ascii="Palatino Linotype" w:eastAsia="Palatino Linotype" w:hAnsi="Palatino Linotype" w:cs="Palatino Linotype"/>
          <w:b/>
          <w:sz w:val="22"/>
          <w:szCs w:val="22"/>
        </w:rPr>
      </w:pPr>
    </w:p>
    <w:p w14:paraId="783E4E2F" w14:textId="233C5B2A" w:rsidR="00D10152" w:rsidRPr="00C56D9C" w:rsidRDefault="00785AE5" w:rsidP="007D7F58">
      <w:pPr>
        <w:spacing w:line="276" w:lineRule="auto"/>
        <w:ind w:left="851" w:right="616"/>
        <w:jc w:val="both"/>
        <w:rPr>
          <w:rFonts w:ascii="Palatino Linotype" w:eastAsia="Palatino Linotype" w:hAnsi="Palatino Linotype" w:cs="Palatino Linotype"/>
          <w:b/>
          <w:sz w:val="22"/>
          <w:szCs w:val="22"/>
        </w:rPr>
      </w:pPr>
      <w:r w:rsidRPr="00C56D9C">
        <w:rPr>
          <w:rFonts w:ascii="Palatino Linotype" w:eastAsia="Palatino Linotype" w:hAnsi="Palatino Linotype" w:cs="Palatino Linotype"/>
          <w:b/>
          <w:sz w:val="22"/>
          <w:szCs w:val="22"/>
        </w:rPr>
        <w:t xml:space="preserve">Acto impugnado: </w:t>
      </w:r>
    </w:p>
    <w:p w14:paraId="094A5AE9" w14:textId="66B75386" w:rsidR="00D10152" w:rsidRPr="00C56D9C" w:rsidRDefault="00785AE5" w:rsidP="0067471D">
      <w:pPr>
        <w:tabs>
          <w:tab w:val="left" w:pos="2745"/>
        </w:tabs>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0067471D" w:rsidRPr="00C56D9C">
        <w:rPr>
          <w:rFonts w:ascii="Palatino Linotype" w:eastAsia="Palatino Linotype" w:hAnsi="Palatino Linotype" w:cs="Palatino Linotype"/>
          <w:i/>
          <w:sz w:val="22"/>
          <w:szCs w:val="22"/>
        </w:rPr>
        <w:t>La declaratoria de incompetencia emitida por el (H. Ayuntamiento de Tepotzotlán / IMCUFIDE, según corresponda) respecto de la solicitud consistente en: “La relación completa del personal adscrito al Instituto Municipal de Cultura Física y Deporte de Tepotzotlán, incluyendo nombre, puesto, funciones, tipo de contratación, fecha de ingreso, remuneraciones y fuente de financiamiento”.</w:t>
      </w:r>
      <w:r w:rsidRPr="00C56D9C">
        <w:rPr>
          <w:rFonts w:ascii="Palatino Linotype" w:eastAsia="Palatino Linotype" w:hAnsi="Palatino Linotype" w:cs="Palatino Linotype"/>
          <w:i/>
          <w:sz w:val="22"/>
          <w:szCs w:val="22"/>
        </w:rPr>
        <w:t xml:space="preserve"> (sic)</w:t>
      </w:r>
    </w:p>
    <w:p w14:paraId="478DBF5D" w14:textId="77777777" w:rsidR="0067471D" w:rsidRPr="00C56D9C" w:rsidRDefault="0067471D" w:rsidP="007D7F58">
      <w:pPr>
        <w:tabs>
          <w:tab w:val="left" w:pos="2745"/>
        </w:tabs>
        <w:spacing w:line="360" w:lineRule="auto"/>
        <w:ind w:left="851" w:right="616"/>
        <w:jc w:val="both"/>
        <w:rPr>
          <w:rFonts w:ascii="Palatino Linotype" w:eastAsia="Palatino Linotype" w:hAnsi="Palatino Linotype" w:cs="Palatino Linotype"/>
          <w:i/>
          <w:sz w:val="22"/>
          <w:szCs w:val="22"/>
        </w:rPr>
      </w:pPr>
    </w:p>
    <w:p w14:paraId="048E5D9C" w14:textId="77777777" w:rsidR="00D10152" w:rsidRPr="00C56D9C" w:rsidRDefault="00785AE5" w:rsidP="007D7F58">
      <w:pPr>
        <w:spacing w:line="360" w:lineRule="auto"/>
        <w:ind w:left="851" w:right="616"/>
        <w:jc w:val="both"/>
        <w:rPr>
          <w:rFonts w:ascii="Palatino Linotype" w:eastAsia="Palatino Linotype" w:hAnsi="Palatino Linotype" w:cs="Palatino Linotype"/>
          <w:sz w:val="22"/>
          <w:szCs w:val="22"/>
        </w:rPr>
      </w:pPr>
      <w:bookmarkStart w:id="5" w:name="_heading=h.30j0zll" w:colFirst="0" w:colLast="0"/>
      <w:bookmarkEnd w:id="5"/>
      <w:r w:rsidRPr="00C56D9C">
        <w:rPr>
          <w:rFonts w:ascii="Palatino Linotype" w:eastAsia="Palatino Linotype" w:hAnsi="Palatino Linotype" w:cs="Palatino Linotype"/>
          <w:b/>
          <w:sz w:val="22"/>
          <w:szCs w:val="22"/>
        </w:rPr>
        <w:t>Y, Razones o motivos de inconformidad</w:t>
      </w:r>
      <w:r w:rsidRPr="00C56D9C">
        <w:rPr>
          <w:rFonts w:ascii="Palatino Linotype" w:eastAsia="Palatino Linotype" w:hAnsi="Palatino Linotype" w:cs="Palatino Linotype"/>
          <w:sz w:val="22"/>
          <w:szCs w:val="22"/>
        </w:rPr>
        <w:t>:</w:t>
      </w:r>
    </w:p>
    <w:p w14:paraId="64A9EFA7" w14:textId="77E50F00" w:rsidR="00D10152" w:rsidRPr="00C56D9C" w:rsidRDefault="00785AE5" w:rsidP="0067471D">
      <w:pPr>
        <w:tabs>
          <w:tab w:val="left" w:pos="2745"/>
        </w:tabs>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0067471D" w:rsidRPr="00C56D9C">
        <w:rPr>
          <w:rFonts w:ascii="Palatino Linotype" w:eastAsia="Palatino Linotype" w:hAnsi="Palatino Linotype" w:cs="Palatino Linotype"/>
          <w:i/>
          <w:sz w:val="22"/>
          <w:szCs w:val="22"/>
        </w:rPr>
        <w:t xml:space="preserve">PRIMERO. Improcedente declaratoria de incompetencia respecto de información laboral y de nómina La declaratoria de incompetencia resulta jurídicamente improcedente, ya que la información solicitada se refiere a servidores públicos y </w:t>
      </w:r>
      <w:r w:rsidR="0067471D" w:rsidRPr="00C56D9C">
        <w:rPr>
          <w:rFonts w:ascii="Palatino Linotype" w:eastAsia="Palatino Linotype" w:hAnsi="Palatino Linotype" w:cs="Palatino Linotype"/>
          <w:i/>
          <w:sz w:val="22"/>
          <w:szCs w:val="22"/>
        </w:rPr>
        <w:lastRenderedPageBreak/>
        <w:t>personal que ejerce funciones públicas y recibe recursos públicos, lo cual genera obligaciones de transparencia directa. La información relativa a: Personal adscrito Puestos y funciones Tipo de contratación Remuneraciones brutas y netas Fuente de financiamiento obra o debe obrar en los archivos del sujeto obligado, ya sea por ser: Patrón directo (IMCUFIDE), o Autoridad responsable del presupuesto y pago (Ayuntamiento) En ninguno de los dos supuestos es válida una incompetencia total. SEGUNDO. Confusión entre adscripción administrativa y competencia informativa El sujeto obligado confunde la adscripción formal del personal con la competencia para informar sobre recursos públicos y servidores públicos. Aun cuando el personal se encuentre adscrito al IMCUFIDE, el Ayuntamiento conoce, autoriza o transfiere los recursos para el pago de nómina, y el propio Instituto administra y ejecuta dichos pagos, por lo que la información solicitada no es ajena a ninguno de los dos. TERCERO. Omisión de búsqueda exhaustiva y respuesta parcial En el supuesto de que el sujeto obligado no cuente con la totalidad de los datos solicitados, estaba obligado a: Emitir una respuesta parcial respecto de la información que sí obra en sus archivos Canalizar adecuadamente la parte restante La declaratoria de incompetencia total constituye una omisión de búsqueda exhaustiva, contraria a los principios de máxima publicidad y exhaustividad. CUARTO. Afectación a la rendición de cuentas y a la transparencia salarial La negativa impide conocer: El universo real del personal La estructura administrativa El destino de recursos públicos en nómina Lo cual vulnera el derecho de acceso a la información y los principios de transparencia salarial y rendición de cuentas en el uso de recursos públicos. Solicito al INFOEM: Se revoque la declaratoria de incompetencia emitida por el sujeto obligado. Se ordene realizar una búsqueda exhaustiva en las áreas administrativas y financieras competentes. Se instruya la entrega de la información solicitada, consistente en la relación completa del personal adscrito al IMCUFIDE, incluyendo los datos requeridos. En caso de inexistencia de algún dato, se emita la declaratoria correspondiente debidamente fundada y motivada.</w:t>
      </w:r>
      <w:r w:rsidRPr="00C56D9C">
        <w:rPr>
          <w:rFonts w:ascii="Palatino Linotype" w:eastAsia="Palatino Linotype" w:hAnsi="Palatino Linotype" w:cs="Palatino Linotype"/>
          <w:i/>
          <w:sz w:val="22"/>
          <w:szCs w:val="22"/>
        </w:rPr>
        <w:t>” (sic)</w:t>
      </w:r>
    </w:p>
    <w:p w14:paraId="030629A1" w14:textId="77777777" w:rsidR="007D7F58" w:rsidRPr="00C56D9C" w:rsidRDefault="007D7F58" w:rsidP="007D7F58">
      <w:pPr>
        <w:tabs>
          <w:tab w:val="left" w:pos="2745"/>
        </w:tabs>
        <w:spacing w:line="360" w:lineRule="auto"/>
        <w:ind w:left="851" w:right="616"/>
        <w:jc w:val="both"/>
        <w:rPr>
          <w:rFonts w:ascii="Palatino Linotype" w:eastAsia="Palatino Linotype" w:hAnsi="Palatino Linotype" w:cs="Palatino Linotype"/>
          <w:i/>
          <w:sz w:val="22"/>
          <w:szCs w:val="22"/>
        </w:rPr>
      </w:pPr>
    </w:p>
    <w:p w14:paraId="665BCC88" w14:textId="60D0C64D"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 xml:space="preserve">4. Turno. </w:t>
      </w:r>
      <w:r w:rsidRPr="00C56D9C">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C56D9C">
        <w:rPr>
          <w:rFonts w:ascii="Palatino Linotype" w:eastAsia="Palatino Linotype" w:hAnsi="Palatino Linotype" w:cs="Palatino Linotype"/>
          <w:b/>
          <w:sz w:val="22"/>
          <w:szCs w:val="22"/>
        </w:rPr>
        <w:t xml:space="preserve">Guadalupe Ramírez Peña, </w:t>
      </w:r>
      <w:r w:rsidRPr="00C56D9C">
        <w:rPr>
          <w:rFonts w:ascii="Palatino Linotype" w:eastAsia="Palatino Linotype" w:hAnsi="Palatino Linotype" w:cs="Palatino Linotype"/>
          <w:sz w:val="22"/>
          <w:szCs w:val="22"/>
        </w:rPr>
        <w:t>a efecto de que analizara sobre su admisión o su desechamiento.</w:t>
      </w:r>
    </w:p>
    <w:p w14:paraId="560B85DA"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6AC268B4" w14:textId="0ADBD572"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5. Admisión del Recurso de revisión.</w:t>
      </w:r>
      <w:r w:rsidRPr="00C56D9C">
        <w:rPr>
          <w:rFonts w:ascii="Palatino Linotype" w:eastAsia="Palatino Linotype" w:hAnsi="Palatino Linotype" w:cs="Palatino Linotype"/>
          <w:sz w:val="22"/>
          <w:szCs w:val="22"/>
        </w:rPr>
        <w:t xml:space="preserve"> El</w:t>
      </w:r>
      <w:r w:rsidRPr="00C56D9C">
        <w:rPr>
          <w:rFonts w:ascii="Palatino Linotype" w:eastAsia="Palatino Linotype" w:hAnsi="Palatino Linotype" w:cs="Palatino Linotype"/>
          <w:b/>
          <w:sz w:val="22"/>
          <w:szCs w:val="22"/>
        </w:rPr>
        <w:t xml:space="preserve"> </w:t>
      </w:r>
      <w:r w:rsidR="0067471D" w:rsidRPr="00C56D9C">
        <w:rPr>
          <w:rFonts w:ascii="Palatino Linotype" w:eastAsia="Palatino Linotype" w:hAnsi="Palatino Linotype" w:cs="Palatino Linotype"/>
          <w:b/>
          <w:sz w:val="22"/>
          <w:szCs w:val="22"/>
        </w:rPr>
        <w:t>veintitrés de enero de dos mil veintiséis</w:t>
      </w:r>
      <w:r w:rsidRPr="00C56D9C">
        <w:rPr>
          <w:rFonts w:ascii="Palatino Linotype" w:eastAsia="Palatino Linotype" w:hAnsi="Palatino Linotype" w:cs="Palatino Linotype"/>
          <w:b/>
          <w:sz w:val="22"/>
          <w:szCs w:val="22"/>
        </w:rPr>
        <w:t xml:space="preserve">, </w:t>
      </w:r>
      <w:r w:rsidRPr="00C56D9C">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presentara su informe justificado.</w:t>
      </w:r>
    </w:p>
    <w:p w14:paraId="71367674" w14:textId="77777777" w:rsidR="007D7F58" w:rsidRPr="00C56D9C" w:rsidRDefault="007D7F58" w:rsidP="00B81ABE">
      <w:pPr>
        <w:spacing w:line="360" w:lineRule="auto"/>
        <w:jc w:val="both"/>
        <w:rPr>
          <w:rFonts w:ascii="Palatino Linotype" w:eastAsia="Palatino Linotype" w:hAnsi="Palatino Linotype" w:cs="Palatino Linotype"/>
          <w:b/>
          <w:sz w:val="22"/>
          <w:szCs w:val="22"/>
        </w:rPr>
      </w:pPr>
    </w:p>
    <w:p w14:paraId="07665421" w14:textId="4BB166FD" w:rsidR="00A22E4D" w:rsidRPr="00C56D9C" w:rsidRDefault="00785AE5" w:rsidP="00B81ABE">
      <w:pPr>
        <w:spacing w:line="360" w:lineRule="auto"/>
        <w:jc w:val="both"/>
        <w:rPr>
          <w:rFonts w:ascii="Palatino Linotype" w:eastAsia="Palatino Linotype" w:hAnsi="Palatino Linotype" w:cs="Palatino Linotype"/>
          <w:sz w:val="22"/>
          <w:szCs w:val="22"/>
        </w:rPr>
      </w:pPr>
      <w:bookmarkStart w:id="6" w:name="_heading=h.2s8eyo1" w:colFirst="0" w:colLast="0"/>
      <w:bookmarkEnd w:id="6"/>
      <w:r w:rsidRPr="00C56D9C">
        <w:rPr>
          <w:rFonts w:ascii="Palatino Linotype" w:eastAsia="Palatino Linotype" w:hAnsi="Palatino Linotype" w:cs="Palatino Linotype"/>
          <w:b/>
          <w:sz w:val="22"/>
          <w:szCs w:val="22"/>
        </w:rPr>
        <w:t>6. Manifestaciones</w:t>
      </w:r>
      <w:r w:rsidRPr="00C56D9C">
        <w:rPr>
          <w:rFonts w:ascii="Palatino Linotype" w:eastAsia="Palatino Linotype" w:hAnsi="Palatino Linotype" w:cs="Palatino Linotype"/>
          <w:sz w:val="22"/>
          <w:szCs w:val="22"/>
        </w:rPr>
        <w:t xml:space="preserve">. </w:t>
      </w:r>
      <w:r w:rsidR="00C268FA" w:rsidRPr="00C56D9C">
        <w:rPr>
          <w:rFonts w:ascii="Palatino Linotype" w:eastAsia="Palatino Linotype" w:hAnsi="Palatino Linotype" w:cs="Palatino Linotype"/>
          <w:sz w:val="22"/>
          <w:szCs w:val="22"/>
        </w:rPr>
        <w:t xml:space="preserve">De las constancias del expediente electrónico del SAIMEX, se observa que el </w:t>
      </w:r>
      <w:r w:rsidR="00C268FA" w:rsidRPr="00C56D9C">
        <w:rPr>
          <w:rFonts w:ascii="Palatino Linotype" w:eastAsia="Palatino Linotype" w:hAnsi="Palatino Linotype" w:cs="Palatino Linotype"/>
          <w:b/>
          <w:bCs/>
          <w:sz w:val="22"/>
          <w:szCs w:val="22"/>
        </w:rPr>
        <w:t>Sujeto Obligado</w:t>
      </w:r>
      <w:r w:rsidR="00C268FA" w:rsidRPr="00C56D9C">
        <w:rPr>
          <w:rFonts w:ascii="Palatino Linotype" w:eastAsia="Palatino Linotype" w:hAnsi="Palatino Linotype" w:cs="Palatino Linotype"/>
          <w:sz w:val="22"/>
          <w:szCs w:val="22"/>
        </w:rPr>
        <w:t xml:space="preserve"> fue omiso en rendir su informe justificado; así como, la parte </w:t>
      </w:r>
      <w:r w:rsidR="00C268FA" w:rsidRPr="00C56D9C">
        <w:rPr>
          <w:rFonts w:ascii="Palatino Linotype" w:eastAsia="Palatino Linotype" w:hAnsi="Palatino Linotype" w:cs="Palatino Linotype"/>
          <w:b/>
          <w:bCs/>
          <w:sz w:val="22"/>
          <w:szCs w:val="22"/>
        </w:rPr>
        <w:t>Recurrente</w:t>
      </w:r>
      <w:r w:rsidR="00C268FA" w:rsidRPr="00C56D9C">
        <w:rPr>
          <w:rFonts w:ascii="Palatino Linotype" w:eastAsia="Palatino Linotype" w:hAnsi="Palatino Linotype" w:cs="Palatino Linotype"/>
          <w:sz w:val="22"/>
          <w:szCs w:val="22"/>
        </w:rPr>
        <w:t xml:space="preserve"> fue omisa en hacer valer manifestaciones o rendir alegatos que conforme a derecho resultaran procedentes, como se muestra:</w:t>
      </w:r>
    </w:p>
    <w:p w14:paraId="1B2E5AAE"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72044C40" w14:textId="43F26C80" w:rsidR="007D7F58" w:rsidRPr="00C56D9C" w:rsidRDefault="00C268FA"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noProof/>
          <w:sz w:val="22"/>
          <w:szCs w:val="22"/>
        </w:rPr>
        <w:drawing>
          <wp:inline distT="0" distB="0" distL="0" distR="0" wp14:anchorId="2F61FC38" wp14:editId="1ABA3DA7">
            <wp:extent cx="5612130" cy="1260475"/>
            <wp:effectExtent l="0" t="0" r="7620" b="0"/>
            <wp:docPr id="556210886"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210886" name="Imagen 1" descr="Tabla&#10;&#10;El contenido generado por IA puede ser incorrecto."/>
                    <pic:cNvPicPr/>
                  </pic:nvPicPr>
                  <pic:blipFill>
                    <a:blip r:embed="rId9"/>
                    <a:stretch>
                      <a:fillRect/>
                    </a:stretch>
                  </pic:blipFill>
                  <pic:spPr>
                    <a:xfrm>
                      <a:off x="0" y="0"/>
                      <a:ext cx="5612130" cy="1260475"/>
                    </a:xfrm>
                    <a:prstGeom prst="rect">
                      <a:avLst/>
                    </a:prstGeom>
                  </pic:spPr>
                </pic:pic>
              </a:graphicData>
            </a:graphic>
          </wp:inline>
        </w:drawing>
      </w:r>
    </w:p>
    <w:p w14:paraId="1BC668E3" w14:textId="77777777" w:rsidR="00C268FA" w:rsidRPr="00C56D9C" w:rsidRDefault="00C268FA" w:rsidP="00B81ABE">
      <w:pPr>
        <w:spacing w:line="360" w:lineRule="auto"/>
        <w:jc w:val="both"/>
        <w:rPr>
          <w:rFonts w:ascii="Palatino Linotype" w:eastAsia="Palatino Linotype" w:hAnsi="Palatino Linotype" w:cs="Palatino Linotype"/>
          <w:sz w:val="22"/>
          <w:szCs w:val="22"/>
        </w:rPr>
      </w:pPr>
    </w:p>
    <w:p w14:paraId="77F60BAA" w14:textId="224B9AB1" w:rsidR="00CA0651"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 xml:space="preserve">7. </w:t>
      </w:r>
      <w:r w:rsidR="00CA0651" w:rsidRPr="00C56D9C">
        <w:rPr>
          <w:rFonts w:ascii="Palatino Linotype" w:eastAsia="Palatino Linotype" w:hAnsi="Palatino Linotype" w:cs="Palatino Linotype"/>
          <w:b/>
          <w:sz w:val="22"/>
          <w:szCs w:val="22"/>
        </w:rPr>
        <w:t xml:space="preserve">Cierre de instrucción. </w:t>
      </w:r>
      <w:r w:rsidR="00CA0651" w:rsidRPr="00C56D9C">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C268FA" w:rsidRPr="00C56D9C">
        <w:rPr>
          <w:rFonts w:ascii="Palatino Linotype" w:eastAsia="Palatino Linotype" w:hAnsi="Palatino Linotype" w:cs="Palatino Linotype"/>
          <w:b/>
          <w:sz w:val="22"/>
          <w:szCs w:val="22"/>
        </w:rPr>
        <w:t>diecinueve de febrero de dos mil veintiséis</w:t>
      </w:r>
      <w:r w:rsidR="00CA0651" w:rsidRPr="00C56D9C">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7A58900"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5CDC025C" w14:textId="77777777"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73AFC16C" w14:textId="77777777" w:rsidR="00A22E4D" w:rsidRPr="00C56D9C" w:rsidRDefault="00A22E4D" w:rsidP="00B81ABE">
      <w:pPr>
        <w:spacing w:line="360" w:lineRule="auto"/>
        <w:jc w:val="both"/>
        <w:rPr>
          <w:rFonts w:ascii="Palatino Linotype" w:eastAsia="Palatino Linotype" w:hAnsi="Palatino Linotype" w:cs="Palatino Linotype"/>
          <w:sz w:val="22"/>
          <w:szCs w:val="22"/>
        </w:rPr>
      </w:pPr>
    </w:p>
    <w:p w14:paraId="7F5365B9" w14:textId="77777777" w:rsidR="00D10152" w:rsidRPr="00C56D9C" w:rsidRDefault="00785AE5" w:rsidP="00B81ABE">
      <w:pPr>
        <w:widowControl w:val="0"/>
        <w:spacing w:line="360" w:lineRule="auto"/>
        <w:jc w:val="center"/>
        <w:rPr>
          <w:rFonts w:ascii="Palatino Linotype" w:eastAsia="Palatino Linotype" w:hAnsi="Palatino Linotype" w:cs="Palatino Linotype"/>
          <w:b/>
          <w:sz w:val="22"/>
          <w:szCs w:val="22"/>
        </w:rPr>
      </w:pPr>
      <w:r w:rsidRPr="00C56D9C">
        <w:rPr>
          <w:rFonts w:ascii="Palatino Linotype" w:eastAsia="Palatino Linotype" w:hAnsi="Palatino Linotype" w:cs="Palatino Linotype"/>
          <w:b/>
          <w:sz w:val="22"/>
          <w:szCs w:val="22"/>
        </w:rPr>
        <w:t>II. C O N S I D E R A N D O S</w:t>
      </w:r>
    </w:p>
    <w:p w14:paraId="194D4030" w14:textId="77777777" w:rsidR="007D7F58" w:rsidRPr="00C56D9C" w:rsidRDefault="007D7F58" w:rsidP="00B81ABE">
      <w:pPr>
        <w:widowControl w:val="0"/>
        <w:spacing w:line="360" w:lineRule="auto"/>
        <w:jc w:val="center"/>
        <w:rPr>
          <w:rFonts w:ascii="Palatino Linotype" w:eastAsia="Palatino Linotype" w:hAnsi="Palatino Linotype" w:cs="Palatino Linotype"/>
          <w:b/>
          <w:sz w:val="22"/>
          <w:szCs w:val="22"/>
        </w:rPr>
      </w:pPr>
    </w:p>
    <w:p w14:paraId="3D727666" w14:textId="7714F7DC"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Primero. Competencia.</w:t>
      </w:r>
      <w:r w:rsidRPr="00C56D9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w:t>
      </w:r>
      <w:r w:rsidR="002C729E" w:rsidRPr="00C56D9C">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C56D9C">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6FDFE83F"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6B34FB32" w14:textId="77777777" w:rsidR="00D10152" w:rsidRPr="00C56D9C" w:rsidRDefault="00785AE5" w:rsidP="00B81ABE">
      <w:pPr>
        <w:spacing w:line="360" w:lineRule="auto"/>
        <w:jc w:val="both"/>
        <w:rPr>
          <w:rFonts w:ascii="Palatino Linotype" w:eastAsia="Palatino Linotype" w:hAnsi="Palatino Linotype" w:cs="Palatino Linotype"/>
          <w:sz w:val="22"/>
          <w:szCs w:val="22"/>
        </w:rPr>
      </w:pPr>
      <w:bookmarkStart w:id="7" w:name="_heading=h.tyjcwt" w:colFirst="0" w:colLast="0"/>
      <w:bookmarkEnd w:id="7"/>
      <w:r w:rsidRPr="00C56D9C">
        <w:rPr>
          <w:rFonts w:ascii="Palatino Linotype" w:eastAsia="Palatino Linotype" w:hAnsi="Palatino Linotype" w:cs="Palatino Linotype"/>
          <w:b/>
          <w:sz w:val="22"/>
          <w:szCs w:val="22"/>
        </w:rPr>
        <w:t>Segundo. Oportunidad y Procedibilidad del Recurso de Revisión</w:t>
      </w:r>
      <w:r w:rsidRPr="00C56D9C">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046B952C"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000BE9F2" w14:textId="6B7E8E4D" w:rsidR="002C729E"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 xml:space="preserve">remitió la respuesta a la solicitud de información el día </w:t>
      </w:r>
      <w:r w:rsidR="00C268FA" w:rsidRPr="00C56D9C">
        <w:rPr>
          <w:rFonts w:ascii="Palatino Linotype" w:eastAsia="Palatino Linotype" w:hAnsi="Palatino Linotype" w:cs="Palatino Linotype"/>
          <w:b/>
          <w:sz w:val="22"/>
          <w:szCs w:val="22"/>
        </w:rPr>
        <w:t>diecisiete de enero de dos mil veintiséis</w:t>
      </w:r>
      <w:r w:rsidRPr="00C56D9C">
        <w:rPr>
          <w:rFonts w:ascii="Palatino Linotype" w:eastAsia="Palatino Linotype" w:hAnsi="Palatino Linotype" w:cs="Palatino Linotype"/>
          <w:b/>
          <w:sz w:val="22"/>
          <w:szCs w:val="22"/>
        </w:rPr>
        <w:t xml:space="preserve">, </w:t>
      </w:r>
      <w:r w:rsidRPr="00C56D9C">
        <w:rPr>
          <w:rFonts w:ascii="Palatino Linotype" w:eastAsia="Palatino Linotype" w:hAnsi="Palatino Linotype" w:cs="Palatino Linotype"/>
          <w:sz w:val="22"/>
          <w:szCs w:val="22"/>
        </w:rPr>
        <w:t xml:space="preserve">mientras que el recurso de revisión interpuesto por la parte </w:t>
      </w:r>
      <w:r w:rsidRPr="00C56D9C">
        <w:rPr>
          <w:rFonts w:ascii="Palatino Linotype" w:eastAsia="Palatino Linotype" w:hAnsi="Palatino Linotype" w:cs="Palatino Linotype"/>
          <w:b/>
          <w:sz w:val="22"/>
          <w:szCs w:val="22"/>
        </w:rPr>
        <w:t xml:space="preserve">Recurrente, </w:t>
      </w:r>
      <w:r w:rsidRPr="00C56D9C">
        <w:rPr>
          <w:rFonts w:ascii="Palatino Linotype" w:eastAsia="Palatino Linotype" w:hAnsi="Palatino Linotype" w:cs="Palatino Linotype"/>
          <w:sz w:val="22"/>
          <w:szCs w:val="22"/>
        </w:rPr>
        <w:t>se tuvo por presentado el día</w:t>
      </w:r>
      <w:r w:rsidR="00EF706F" w:rsidRPr="00C56D9C">
        <w:rPr>
          <w:rFonts w:ascii="Palatino Linotype" w:eastAsia="Palatino Linotype" w:hAnsi="Palatino Linotype" w:cs="Palatino Linotype"/>
          <w:b/>
          <w:sz w:val="22"/>
          <w:szCs w:val="22"/>
        </w:rPr>
        <w:t xml:space="preserve"> </w:t>
      </w:r>
      <w:r w:rsidR="00C268FA" w:rsidRPr="00C56D9C">
        <w:rPr>
          <w:rFonts w:ascii="Palatino Linotype" w:eastAsia="Palatino Linotype" w:hAnsi="Palatino Linotype" w:cs="Palatino Linotype"/>
          <w:b/>
          <w:sz w:val="22"/>
          <w:szCs w:val="22"/>
        </w:rPr>
        <w:t>diecisiete de enero de dos mil veintiséis</w:t>
      </w:r>
      <w:r w:rsidRPr="00C56D9C">
        <w:rPr>
          <w:rFonts w:ascii="Palatino Linotype" w:eastAsia="Palatino Linotype" w:hAnsi="Palatino Linotype" w:cs="Palatino Linotype"/>
          <w:b/>
          <w:sz w:val="22"/>
          <w:szCs w:val="22"/>
        </w:rPr>
        <w:t xml:space="preserve">, </w:t>
      </w:r>
      <w:r w:rsidRPr="00C56D9C">
        <w:rPr>
          <w:rFonts w:ascii="Palatino Linotype" w:eastAsia="Palatino Linotype" w:hAnsi="Palatino Linotype" w:cs="Palatino Linotype"/>
          <w:sz w:val="22"/>
          <w:szCs w:val="22"/>
        </w:rPr>
        <w:t xml:space="preserve">esto es, </w:t>
      </w:r>
      <w:r w:rsidR="002C729E" w:rsidRPr="00C56D9C">
        <w:rPr>
          <w:rFonts w:ascii="Palatino Linotype" w:eastAsia="Palatino Linotype" w:hAnsi="Palatino Linotype" w:cs="Palatino Linotype"/>
          <w:sz w:val="22"/>
          <w:szCs w:val="22"/>
        </w:rPr>
        <w:t>el mismo</w:t>
      </w:r>
      <w:r w:rsidRPr="00C56D9C">
        <w:rPr>
          <w:rFonts w:ascii="Palatino Linotype" w:eastAsia="Palatino Linotype" w:hAnsi="Palatino Linotype" w:cs="Palatino Linotype"/>
          <w:sz w:val="22"/>
          <w:szCs w:val="22"/>
        </w:rPr>
        <w:t xml:space="preserve"> día hábil en el que tuvo conocimiento de la respuesta impugnada. </w:t>
      </w:r>
    </w:p>
    <w:p w14:paraId="2DC7F459" w14:textId="77777777" w:rsidR="00C268FA" w:rsidRPr="00C56D9C" w:rsidRDefault="00C268FA" w:rsidP="00C268FA">
      <w:pPr>
        <w:spacing w:line="360" w:lineRule="auto"/>
        <w:jc w:val="both"/>
        <w:rPr>
          <w:rFonts w:ascii="Palatino Linotype" w:eastAsia="Palatino Linotype" w:hAnsi="Palatino Linotype" w:cs="Palatino Linotype"/>
          <w:sz w:val="22"/>
          <w:szCs w:val="22"/>
        </w:rPr>
      </w:pPr>
    </w:p>
    <w:p w14:paraId="56C7A0DF" w14:textId="439EB3F2" w:rsidR="00C268FA" w:rsidRPr="00C56D9C" w:rsidRDefault="00C268FA" w:rsidP="00C268FA">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este sentido, al considerar la fecha en que se formuló la solicitud y la fecha en que respondió a esta el </w:t>
      </w:r>
      <w:r w:rsidR="00D33A1D" w:rsidRPr="00C56D9C">
        <w:rPr>
          <w:rFonts w:ascii="Palatino Linotype" w:eastAsia="Palatino Linotype" w:hAnsi="Palatino Linotype" w:cs="Palatino Linotype"/>
          <w:b/>
          <w:sz w:val="22"/>
          <w:szCs w:val="22"/>
        </w:rPr>
        <w:t>Sujeto Obligado</w:t>
      </w:r>
      <w:r w:rsidRPr="00C56D9C">
        <w:rPr>
          <w:rFonts w:ascii="Palatino Linotype" w:eastAsia="Palatino Linotype" w:hAnsi="Palatino Linotype" w:cs="Palatino Linotype"/>
          <w:sz w:val="22"/>
          <w:szCs w:val="22"/>
        </w:rPr>
        <w:t>; así como la fecha en que se interpuso el recurso de revisión, se concluye que el presente recurso de revisión se encuentra dentro de los márgenes temporales previstos las disposiciones legales referidas.</w:t>
      </w:r>
    </w:p>
    <w:p w14:paraId="319029F8" w14:textId="77777777" w:rsidR="00C268FA" w:rsidRPr="00C56D9C" w:rsidRDefault="00C268FA" w:rsidP="00C268FA">
      <w:pPr>
        <w:spacing w:line="360" w:lineRule="auto"/>
        <w:jc w:val="both"/>
        <w:rPr>
          <w:rFonts w:ascii="Palatino Linotype" w:eastAsia="Palatino Linotype" w:hAnsi="Palatino Linotype" w:cs="Palatino Linotype"/>
          <w:sz w:val="22"/>
          <w:szCs w:val="22"/>
        </w:rPr>
      </w:pPr>
    </w:p>
    <w:p w14:paraId="4373775C" w14:textId="77777777" w:rsidR="00C268FA" w:rsidRPr="00C56D9C" w:rsidRDefault="00C268FA" w:rsidP="00C268FA">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546BD6B9" w14:textId="77777777" w:rsidR="00C268FA" w:rsidRPr="00C56D9C" w:rsidRDefault="00C268FA" w:rsidP="00C268FA">
      <w:pPr>
        <w:ind w:left="851" w:right="902"/>
        <w:jc w:val="both"/>
        <w:rPr>
          <w:rFonts w:ascii="Palatino Linotype" w:eastAsia="Palatino Linotype" w:hAnsi="Palatino Linotype" w:cs="Palatino Linotype"/>
          <w:b/>
          <w:i/>
          <w:sz w:val="22"/>
          <w:szCs w:val="22"/>
        </w:rPr>
      </w:pPr>
    </w:p>
    <w:p w14:paraId="3FB6D0ED" w14:textId="02A6CF50" w:rsidR="00C268FA" w:rsidRPr="00C56D9C" w:rsidRDefault="00C268FA" w:rsidP="00C268FA">
      <w:pPr>
        <w:ind w:left="851"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“RECURSO DE RECLAMACIÓN. SU INTERPOSICIÓN NO ES EXTEMPORÁNEA SI SE REALIZA ANTES DE QUE INICIE EL PLAZO PARA HACERLO</w:t>
      </w:r>
      <w:r w:rsidRPr="00C56D9C">
        <w:rPr>
          <w:rFonts w:ascii="Palatino Linotype" w:eastAsia="Palatino Linotype" w:hAnsi="Palatino Linotype" w:cs="Palatino Linotype"/>
          <w:i/>
          <w:sz w:val="22"/>
          <w:szCs w:val="22"/>
        </w:rPr>
        <w:t>.</w:t>
      </w:r>
    </w:p>
    <w:p w14:paraId="53ED6EFC" w14:textId="127471EE" w:rsidR="00C268FA" w:rsidRPr="00C56D9C" w:rsidRDefault="00C268FA" w:rsidP="00C268FA">
      <w:pPr>
        <w:ind w:left="851" w:right="902"/>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i/>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extemporánea.”(Sic)</w:t>
      </w:r>
    </w:p>
    <w:p w14:paraId="5EDE3AFC"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65E31064" w14:textId="66C06D76" w:rsidR="00D10152" w:rsidRPr="00C56D9C" w:rsidRDefault="00785AE5" w:rsidP="00B81ABE">
      <w:pPr>
        <w:spacing w:line="360" w:lineRule="auto"/>
        <w:jc w:val="both"/>
        <w:rPr>
          <w:rFonts w:ascii="Palatino Linotype" w:eastAsia="Palatino Linotype" w:hAnsi="Palatino Linotype" w:cs="Palatino Linotype"/>
          <w:b/>
          <w:sz w:val="22"/>
          <w:szCs w:val="22"/>
        </w:rPr>
      </w:pPr>
      <w:r w:rsidRPr="00C56D9C">
        <w:rPr>
          <w:rFonts w:ascii="Palatino Linotype" w:eastAsia="Palatino Linotype" w:hAnsi="Palatino Linotype" w:cs="Palatino Linotype"/>
          <w:sz w:val="22"/>
          <w:szCs w:val="22"/>
        </w:rPr>
        <w:t>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el</w:t>
      </w:r>
      <w:r w:rsidRPr="00C56D9C">
        <w:rPr>
          <w:rFonts w:ascii="Palatino Linotype" w:eastAsia="Palatino Linotype" w:hAnsi="Palatino Linotype" w:cs="Palatino Linotype"/>
          <w:b/>
          <w:sz w:val="22"/>
          <w:szCs w:val="22"/>
        </w:rPr>
        <w:t xml:space="preserve"> SAIMEX.</w:t>
      </w:r>
    </w:p>
    <w:p w14:paraId="06EB983E" w14:textId="77777777" w:rsidR="007D7F58" w:rsidRPr="00C56D9C" w:rsidRDefault="007D7F58" w:rsidP="00B81ABE">
      <w:pPr>
        <w:spacing w:line="360" w:lineRule="auto"/>
        <w:jc w:val="both"/>
        <w:rPr>
          <w:rFonts w:ascii="Palatino Linotype" w:eastAsia="Palatino Linotype" w:hAnsi="Palatino Linotype" w:cs="Palatino Linotype"/>
          <w:b/>
          <w:sz w:val="22"/>
          <w:szCs w:val="22"/>
        </w:rPr>
      </w:pPr>
    </w:p>
    <w:p w14:paraId="52F8B886" w14:textId="7C6E4450"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C56D9C">
        <w:rPr>
          <w:rFonts w:ascii="Palatino Linotype" w:eastAsia="Palatino Linotype" w:hAnsi="Palatino Linotype" w:cs="Palatino Linotype"/>
          <w:b/>
          <w:sz w:val="22"/>
          <w:szCs w:val="22"/>
        </w:rPr>
        <w:t>Recurrente</w:t>
      </w:r>
      <w:r w:rsidRPr="00C56D9C">
        <w:rPr>
          <w:rFonts w:ascii="Palatino Linotype" w:eastAsia="Palatino Linotype" w:hAnsi="Palatino Linotype" w:cs="Palatino Linotype"/>
          <w:sz w:val="22"/>
          <w:szCs w:val="22"/>
        </w:rPr>
        <w:t xml:space="preserve"> en sus motivos de inconformidad, de acuerdo al artículo 179, </w:t>
      </w:r>
      <w:r w:rsidR="00A167A0" w:rsidRPr="00C56D9C">
        <w:rPr>
          <w:rFonts w:ascii="Palatino Linotype" w:eastAsia="Palatino Linotype" w:hAnsi="Palatino Linotype" w:cs="Palatino Linotype"/>
          <w:sz w:val="22"/>
          <w:szCs w:val="22"/>
        </w:rPr>
        <w:t>fracci</w:t>
      </w:r>
      <w:r w:rsidR="002C729E" w:rsidRPr="00C56D9C">
        <w:rPr>
          <w:rFonts w:ascii="Palatino Linotype" w:eastAsia="Palatino Linotype" w:hAnsi="Palatino Linotype" w:cs="Palatino Linotype"/>
          <w:sz w:val="22"/>
          <w:szCs w:val="22"/>
        </w:rPr>
        <w:t>ón</w:t>
      </w:r>
      <w:r w:rsidR="00A167A0" w:rsidRPr="00C56D9C">
        <w:rPr>
          <w:rFonts w:ascii="Palatino Linotype" w:eastAsia="Palatino Linotype" w:hAnsi="Palatino Linotype" w:cs="Palatino Linotype"/>
          <w:sz w:val="22"/>
          <w:szCs w:val="22"/>
        </w:rPr>
        <w:t xml:space="preserve"> I</w:t>
      </w:r>
      <w:r w:rsidR="00FB468C" w:rsidRPr="00C56D9C">
        <w:rPr>
          <w:rFonts w:ascii="Palatino Linotype" w:eastAsia="Palatino Linotype" w:hAnsi="Palatino Linotype" w:cs="Palatino Linotype"/>
          <w:sz w:val="22"/>
          <w:szCs w:val="22"/>
        </w:rPr>
        <w:t>V</w:t>
      </w:r>
      <w:r w:rsidR="00A167A0" w:rsidRPr="00C56D9C">
        <w:rPr>
          <w:rFonts w:ascii="Palatino Linotype" w:eastAsia="Palatino Linotype" w:hAnsi="Palatino Linotype" w:cs="Palatino Linotype"/>
          <w:sz w:val="22"/>
          <w:szCs w:val="22"/>
        </w:rPr>
        <w:t xml:space="preserve"> </w:t>
      </w:r>
      <w:r w:rsidRPr="00C56D9C">
        <w:rPr>
          <w:rFonts w:ascii="Palatino Linotype" w:eastAsia="Palatino Linotype" w:hAnsi="Palatino Linotype" w:cs="Palatino Linotype"/>
          <w:sz w:val="22"/>
          <w:szCs w:val="22"/>
        </w:rPr>
        <w:t>del ordenamiento legal citado, que a la letra dice: </w:t>
      </w:r>
    </w:p>
    <w:p w14:paraId="12B67334" w14:textId="77777777" w:rsidR="00FB468C" w:rsidRPr="00C56D9C" w:rsidRDefault="00FB468C" w:rsidP="007D7F58">
      <w:pPr>
        <w:spacing w:line="276" w:lineRule="auto"/>
        <w:ind w:left="851" w:right="616"/>
        <w:jc w:val="both"/>
        <w:rPr>
          <w:rFonts w:ascii="Palatino Linotype" w:eastAsia="Palatino Linotype" w:hAnsi="Palatino Linotype" w:cs="Palatino Linotype"/>
          <w:i/>
          <w:sz w:val="22"/>
          <w:szCs w:val="22"/>
        </w:rPr>
      </w:pPr>
    </w:p>
    <w:p w14:paraId="2ACBD19C" w14:textId="192099BC" w:rsidR="00D10152" w:rsidRPr="00C56D9C" w:rsidRDefault="00785AE5" w:rsidP="007D7F58">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Pr="00C56D9C">
        <w:rPr>
          <w:rFonts w:ascii="Palatino Linotype" w:eastAsia="Palatino Linotype" w:hAnsi="Palatino Linotype" w:cs="Palatino Linotype"/>
          <w:b/>
          <w:i/>
          <w:sz w:val="22"/>
          <w:szCs w:val="22"/>
        </w:rPr>
        <w:t>Artículo 179.</w:t>
      </w:r>
      <w:r w:rsidRPr="00C56D9C">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1528998C" w14:textId="5F5D4B5A" w:rsidR="00FB468C" w:rsidRPr="00C56D9C" w:rsidRDefault="00FB468C" w:rsidP="007D7F58">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p>
    <w:p w14:paraId="547FCCF8" w14:textId="2D240F59" w:rsidR="00A167A0" w:rsidRPr="00C56D9C" w:rsidRDefault="00FB468C" w:rsidP="007D7F58">
      <w:pPr>
        <w:spacing w:line="276" w:lineRule="auto"/>
        <w:ind w:left="851" w:right="616"/>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IV. La declaración de incompetencia por el sujeto obligado</w:t>
      </w:r>
      <w:r w:rsidR="00A167A0" w:rsidRPr="00C56D9C">
        <w:rPr>
          <w:rFonts w:ascii="Palatino Linotype" w:eastAsia="Palatino Linotype" w:hAnsi="Palatino Linotype" w:cs="Palatino Linotype"/>
          <w:i/>
          <w:sz w:val="22"/>
          <w:szCs w:val="22"/>
        </w:rPr>
        <w:t>;</w:t>
      </w:r>
      <w:r w:rsidR="00EF706F" w:rsidRPr="00C56D9C">
        <w:rPr>
          <w:rFonts w:ascii="Palatino Linotype" w:eastAsia="Palatino Linotype" w:hAnsi="Palatino Linotype" w:cs="Palatino Linotype"/>
          <w:i/>
          <w:sz w:val="22"/>
          <w:szCs w:val="22"/>
        </w:rPr>
        <w:cr/>
      </w:r>
      <w:r w:rsidR="00A167A0" w:rsidRPr="00C56D9C">
        <w:rPr>
          <w:rFonts w:ascii="Palatino Linotype" w:eastAsia="Palatino Linotype" w:hAnsi="Palatino Linotype" w:cs="Palatino Linotype"/>
          <w:b/>
          <w:i/>
          <w:sz w:val="22"/>
          <w:szCs w:val="22"/>
        </w:rPr>
        <w:t>.</w:t>
      </w:r>
      <w:r w:rsidR="00A167A0" w:rsidRPr="00C56D9C">
        <w:rPr>
          <w:rFonts w:ascii="Palatino Linotype" w:hAnsi="Palatino Linotype"/>
          <w:b/>
          <w:i/>
          <w:sz w:val="22"/>
          <w:szCs w:val="22"/>
        </w:rPr>
        <w:t>..</w:t>
      </w:r>
      <w:r w:rsidR="00A167A0" w:rsidRPr="00C56D9C">
        <w:rPr>
          <w:rFonts w:ascii="Palatino Linotype" w:eastAsia="Palatino Linotype" w:hAnsi="Palatino Linotype" w:cs="Palatino Linotype"/>
          <w:i/>
          <w:sz w:val="22"/>
          <w:szCs w:val="22"/>
        </w:rPr>
        <w:t>”</w:t>
      </w:r>
    </w:p>
    <w:p w14:paraId="7B0D59E3" w14:textId="77777777" w:rsidR="007D7F58" w:rsidRPr="00C56D9C" w:rsidRDefault="007D7F58" w:rsidP="00B81ABE">
      <w:pPr>
        <w:spacing w:line="360" w:lineRule="auto"/>
        <w:jc w:val="both"/>
        <w:rPr>
          <w:rFonts w:ascii="Palatino Linotype" w:eastAsia="Palatino Linotype" w:hAnsi="Palatino Linotype" w:cs="Palatino Linotype"/>
          <w:b/>
          <w:sz w:val="22"/>
          <w:szCs w:val="22"/>
        </w:rPr>
      </w:pPr>
    </w:p>
    <w:p w14:paraId="5853D41E" w14:textId="173C3015"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 xml:space="preserve">Tercero. Materia de la revisión. </w:t>
      </w:r>
      <w:r w:rsidRPr="00C56D9C">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C56D9C">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C56D9C">
        <w:rPr>
          <w:rFonts w:ascii="Palatino Linotype" w:eastAsia="Palatino Linotype" w:hAnsi="Palatino Linotype" w:cs="Palatino Linotype"/>
          <w:sz w:val="22"/>
          <w:szCs w:val="22"/>
        </w:rPr>
        <w:t xml:space="preserve">de la parte </w:t>
      </w:r>
      <w:r w:rsidRPr="00C56D9C">
        <w:rPr>
          <w:rFonts w:ascii="Palatino Linotype" w:eastAsia="Palatino Linotype" w:hAnsi="Palatino Linotype" w:cs="Palatino Linotype"/>
          <w:b/>
          <w:sz w:val="22"/>
          <w:szCs w:val="22"/>
        </w:rPr>
        <w:t>Recurrente</w:t>
      </w:r>
      <w:r w:rsidRPr="00C56D9C">
        <w:rPr>
          <w:rFonts w:ascii="Palatino Linotype" w:eastAsia="Palatino Linotype" w:hAnsi="Palatino Linotype" w:cs="Palatino Linotype"/>
          <w:sz w:val="22"/>
          <w:szCs w:val="22"/>
        </w:rPr>
        <w:t>, o en su defecto, en caso de ser procedente, ordenar la entrega de información.</w:t>
      </w:r>
    </w:p>
    <w:p w14:paraId="51FD89BB" w14:textId="77777777" w:rsidR="007D7F58" w:rsidRPr="00C56D9C" w:rsidRDefault="007D7F58" w:rsidP="00B81ABE">
      <w:pPr>
        <w:spacing w:line="360" w:lineRule="auto"/>
        <w:jc w:val="both"/>
        <w:rPr>
          <w:rFonts w:ascii="Palatino Linotype" w:eastAsia="Palatino Linotype" w:hAnsi="Palatino Linotype" w:cs="Palatino Linotype"/>
          <w:b/>
          <w:sz w:val="22"/>
          <w:szCs w:val="22"/>
        </w:rPr>
      </w:pPr>
    </w:p>
    <w:p w14:paraId="22FD6236" w14:textId="77777777" w:rsidR="00D10152" w:rsidRPr="00C56D9C" w:rsidRDefault="00785AE5" w:rsidP="00B81ABE">
      <w:pPr>
        <w:spacing w:line="360" w:lineRule="auto"/>
        <w:jc w:val="both"/>
        <w:rPr>
          <w:rFonts w:ascii="Palatino Linotype" w:eastAsia="Palatino Linotype" w:hAnsi="Palatino Linotype" w:cs="Palatino Linotype"/>
          <w:sz w:val="22"/>
          <w:szCs w:val="22"/>
        </w:rPr>
      </w:pPr>
      <w:bookmarkStart w:id="8" w:name="_heading=h.2et92p0" w:colFirst="0" w:colLast="0"/>
      <w:bookmarkEnd w:id="8"/>
      <w:r w:rsidRPr="00C56D9C">
        <w:rPr>
          <w:rFonts w:ascii="Palatino Linotype" w:eastAsia="Palatino Linotype" w:hAnsi="Palatino Linotype" w:cs="Palatino Linotype"/>
          <w:b/>
          <w:sz w:val="22"/>
          <w:szCs w:val="22"/>
        </w:rPr>
        <w:t xml:space="preserve">Cuarto. Estudio del asunto. </w:t>
      </w:r>
      <w:r w:rsidRPr="00C56D9C">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6364E82E" w14:textId="77777777" w:rsidR="007D7F58" w:rsidRPr="00C56D9C" w:rsidRDefault="007D7F58" w:rsidP="00B81ABE">
      <w:pPr>
        <w:ind w:left="851" w:right="902"/>
        <w:jc w:val="both"/>
        <w:rPr>
          <w:rFonts w:ascii="Palatino Linotype" w:eastAsia="Palatino Linotype" w:hAnsi="Palatino Linotype" w:cs="Palatino Linotype"/>
          <w:i/>
          <w:sz w:val="22"/>
          <w:szCs w:val="22"/>
        </w:rPr>
      </w:pPr>
    </w:p>
    <w:p w14:paraId="6DAD66E4" w14:textId="2BF4A4D9" w:rsidR="00D10152" w:rsidRPr="00C56D9C" w:rsidRDefault="00785AE5" w:rsidP="007D7F58">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Pr="00C56D9C">
        <w:rPr>
          <w:rFonts w:ascii="Palatino Linotype" w:eastAsia="Palatino Linotype" w:hAnsi="Palatino Linotype" w:cs="Palatino Linotype"/>
          <w:b/>
          <w:i/>
          <w:sz w:val="22"/>
          <w:szCs w:val="22"/>
        </w:rPr>
        <w:t>Artículo 4</w:t>
      </w:r>
      <w:r w:rsidRPr="00C56D9C">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051184A" w14:textId="77777777" w:rsidR="00D10152" w:rsidRPr="00C56D9C" w:rsidRDefault="00785AE5" w:rsidP="007D7F58">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C56D9C">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21D923F" w14:textId="77777777" w:rsidR="00D10152" w:rsidRPr="00C56D9C" w:rsidRDefault="00785AE5" w:rsidP="007D7F58">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C56D9C">
        <w:rPr>
          <w:rFonts w:ascii="Palatino Linotype" w:eastAsia="Palatino Linotype" w:hAnsi="Palatino Linotype" w:cs="Palatino Linotype"/>
          <w:i/>
          <w:sz w:val="22"/>
          <w:szCs w:val="22"/>
        </w:rPr>
        <w:t>.”</w:t>
      </w:r>
    </w:p>
    <w:p w14:paraId="6CC1C06F"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338039AD" w14:textId="261E2016"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8245A23"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593183ED" w14:textId="77777777" w:rsidR="00D10152" w:rsidRPr="00C56D9C" w:rsidRDefault="00785AE5" w:rsidP="007D7F58">
      <w:pPr>
        <w:spacing w:line="276" w:lineRule="auto"/>
        <w:ind w:left="851"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“Artículo 12.-</w:t>
      </w:r>
      <w:r w:rsidRPr="00C56D9C">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5B9F1262" w14:textId="77777777" w:rsidR="00D10152" w:rsidRPr="00C56D9C" w:rsidRDefault="00785AE5" w:rsidP="007D7F58">
      <w:pPr>
        <w:spacing w:line="276" w:lineRule="auto"/>
        <w:ind w:left="851"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C56D9C">
        <w:rPr>
          <w:rFonts w:ascii="Palatino Linotype" w:eastAsia="Palatino Linotype" w:hAnsi="Palatino Linotype" w:cs="Palatino Linotype"/>
          <w:i/>
          <w:sz w:val="22"/>
          <w:szCs w:val="22"/>
        </w:rPr>
        <w:t xml:space="preserve">. </w:t>
      </w:r>
      <w:r w:rsidRPr="00C56D9C">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7D8FC5CD" w14:textId="77777777" w:rsidR="007D7F58" w:rsidRPr="00C56D9C" w:rsidRDefault="007D7F58" w:rsidP="00B81ABE">
      <w:pPr>
        <w:spacing w:line="360" w:lineRule="auto"/>
        <w:ind w:right="-93"/>
        <w:jc w:val="both"/>
        <w:rPr>
          <w:rFonts w:ascii="Palatino Linotype" w:eastAsia="Palatino Linotype" w:hAnsi="Palatino Linotype" w:cs="Palatino Linotype"/>
          <w:sz w:val="22"/>
          <w:szCs w:val="22"/>
        </w:rPr>
      </w:pPr>
    </w:p>
    <w:p w14:paraId="00911A0A" w14:textId="75A2B1E6" w:rsidR="00D10152" w:rsidRPr="00C56D9C" w:rsidRDefault="00785AE5" w:rsidP="00B81ABE">
      <w:pPr>
        <w:spacing w:line="360" w:lineRule="auto"/>
        <w:ind w:right="-93"/>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6FDDA63E" w14:textId="77777777" w:rsidR="007D7F58" w:rsidRPr="00C56D9C" w:rsidRDefault="007D7F58" w:rsidP="00B81ABE">
      <w:pPr>
        <w:spacing w:line="360" w:lineRule="auto"/>
        <w:ind w:right="-93"/>
        <w:jc w:val="both"/>
        <w:rPr>
          <w:rFonts w:ascii="Palatino Linotype" w:eastAsia="Palatino Linotype" w:hAnsi="Palatino Linotype" w:cs="Palatino Linotype"/>
          <w:sz w:val="22"/>
          <w:szCs w:val="22"/>
        </w:rPr>
      </w:pPr>
    </w:p>
    <w:p w14:paraId="59A09C57" w14:textId="77777777" w:rsidR="00D10152" w:rsidRPr="00C56D9C" w:rsidRDefault="00785AE5" w:rsidP="00B81ABE">
      <w:pPr>
        <w:spacing w:line="360" w:lineRule="auto"/>
        <w:jc w:val="both"/>
        <w:rPr>
          <w:rFonts w:ascii="Palatino Linotype" w:eastAsia="Palatino Linotype" w:hAnsi="Palatino Linotype" w:cs="Palatino Linotype"/>
          <w:b/>
          <w:sz w:val="22"/>
          <w:szCs w:val="22"/>
        </w:rPr>
      </w:pPr>
      <w:r w:rsidRPr="00C56D9C">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C56D9C">
        <w:rPr>
          <w:rFonts w:ascii="Palatino Linotype" w:eastAsia="Palatino Linotype" w:hAnsi="Palatino Linotype" w:cs="Palatino Linotype"/>
          <w:b/>
          <w:sz w:val="22"/>
          <w:szCs w:val="22"/>
        </w:rPr>
        <w:t xml:space="preserve"> </w:t>
      </w:r>
    </w:p>
    <w:p w14:paraId="1199C2ED" w14:textId="77777777" w:rsidR="007D7F58" w:rsidRPr="00C56D9C" w:rsidRDefault="007D7F58" w:rsidP="00B81ABE">
      <w:pPr>
        <w:ind w:left="1134" w:right="902"/>
        <w:jc w:val="both"/>
        <w:rPr>
          <w:rFonts w:ascii="Palatino Linotype" w:eastAsia="Palatino Linotype" w:hAnsi="Palatino Linotype" w:cs="Palatino Linotype"/>
          <w:i/>
          <w:sz w:val="22"/>
          <w:szCs w:val="22"/>
        </w:rPr>
      </w:pPr>
    </w:p>
    <w:p w14:paraId="019AA3FB" w14:textId="253F89E4" w:rsidR="00D10152" w:rsidRPr="00C56D9C" w:rsidRDefault="00785AE5" w:rsidP="007D7F58">
      <w:pPr>
        <w:tabs>
          <w:tab w:val="left" w:pos="7513"/>
        </w:tabs>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 xml:space="preserve"> “</w:t>
      </w:r>
      <w:r w:rsidRPr="00C56D9C">
        <w:rPr>
          <w:rFonts w:ascii="Palatino Linotype" w:eastAsia="Palatino Linotype" w:hAnsi="Palatino Linotype" w:cs="Palatino Linotype"/>
          <w:b/>
          <w:i/>
          <w:sz w:val="22"/>
          <w:szCs w:val="22"/>
        </w:rPr>
        <w:t>No existe obligación de elaborar documentos ad hoc para atender las solicitudes de acceso a la información.</w:t>
      </w:r>
      <w:r w:rsidRPr="00C56D9C">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A4AE8FA"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2491821E" w14:textId="52D7C26E"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7BC4A646"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7D3979A2" w14:textId="77777777"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25A2D26D" w14:textId="77777777" w:rsidR="007D7F58" w:rsidRPr="00C56D9C" w:rsidRDefault="007D7F58" w:rsidP="00B81ABE">
      <w:pPr>
        <w:ind w:left="851" w:right="902"/>
        <w:jc w:val="both"/>
        <w:rPr>
          <w:rFonts w:ascii="Palatino Linotype" w:eastAsia="Palatino Linotype" w:hAnsi="Palatino Linotype" w:cs="Palatino Linotype"/>
          <w:i/>
          <w:sz w:val="22"/>
          <w:szCs w:val="22"/>
        </w:rPr>
      </w:pPr>
    </w:p>
    <w:p w14:paraId="20FC4529" w14:textId="422BCEA1" w:rsidR="00D10152" w:rsidRPr="00C56D9C" w:rsidRDefault="00785AE5" w:rsidP="00B81ABE">
      <w:pPr>
        <w:ind w:left="851"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Pr="00C56D9C">
        <w:rPr>
          <w:rFonts w:ascii="Palatino Linotype" w:eastAsia="Palatino Linotype" w:hAnsi="Palatino Linotype" w:cs="Palatino Linotype"/>
          <w:b/>
          <w:i/>
          <w:sz w:val="22"/>
          <w:szCs w:val="22"/>
        </w:rPr>
        <w:t xml:space="preserve">Artículo 3. </w:t>
      </w:r>
      <w:r w:rsidRPr="00C56D9C">
        <w:rPr>
          <w:rFonts w:ascii="Palatino Linotype" w:eastAsia="Palatino Linotype" w:hAnsi="Palatino Linotype" w:cs="Palatino Linotype"/>
          <w:i/>
          <w:sz w:val="22"/>
          <w:szCs w:val="22"/>
        </w:rPr>
        <w:t>Para los efectos de la presente Ley se entenderá por:</w:t>
      </w:r>
    </w:p>
    <w:p w14:paraId="08F5F729" w14:textId="77777777" w:rsidR="00D10152" w:rsidRPr="00C56D9C" w:rsidRDefault="00785AE5" w:rsidP="00B81ABE">
      <w:pPr>
        <w:ind w:left="1134"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p>
    <w:p w14:paraId="5F179B63" w14:textId="77777777" w:rsidR="00D10152" w:rsidRPr="00C56D9C" w:rsidRDefault="00785AE5" w:rsidP="00B81ABE">
      <w:pPr>
        <w:ind w:left="1134"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XI. Documento:</w:t>
      </w:r>
      <w:r w:rsidRPr="00C56D9C">
        <w:rPr>
          <w:rFonts w:ascii="Palatino Linotype" w:eastAsia="Palatino Linotype" w:hAnsi="Palatino Linotype" w:cs="Palatino Linotype"/>
          <w:i/>
          <w:sz w:val="22"/>
          <w:szCs w:val="22"/>
        </w:rPr>
        <w:t xml:space="preserve"> Los expedientes, reportes, estudios, actas</w:t>
      </w:r>
      <w:r w:rsidRPr="00C56D9C">
        <w:rPr>
          <w:rFonts w:ascii="Palatino Linotype" w:eastAsia="Palatino Linotype" w:hAnsi="Palatino Linotype" w:cs="Palatino Linotype"/>
          <w:b/>
          <w:i/>
          <w:sz w:val="22"/>
          <w:szCs w:val="22"/>
        </w:rPr>
        <w:t>,</w:t>
      </w:r>
      <w:r w:rsidRPr="00C56D9C">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8D7B7C4"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27B10759" w14:textId="726F7490"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2A2C9D7B" w14:textId="77777777" w:rsidR="007D7F58" w:rsidRPr="00C56D9C" w:rsidRDefault="007D7F58" w:rsidP="00B81ABE">
      <w:pPr>
        <w:spacing w:line="360" w:lineRule="auto"/>
        <w:jc w:val="both"/>
        <w:rPr>
          <w:rFonts w:ascii="Palatino Linotype" w:eastAsia="Palatino Linotype" w:hAnsi="Palatino Linotype" w:cs="Palatino Linotype"/>
          <w:sz w:val="22"/>
          <w:szCs w:val="22"/>
        </w:rPr>
      </w:pPr>
    </w:p>
    <w:p w14:paraId="4D73A7C4" w14:textId="77777777" w:rsidR="00D10152" w:rsidRPr="00C56D9C" w:rsidRDefault="00785AE5" w:rsidP="00B81ABE">
      <w:pPr>
        <w:ind w:left="851"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sz w:val="22"/>
          <w:szCs w:val="22"/>
        </w:rPr>
        <w:t>“</w:t>
      </w:r>
      <w:r w:rsidRPr="00C56D9C">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C56D9C">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8F7DA26" w14:textId="77777777" w:rsidR="00D10152" w:rsidRPr="00C56D9C" w:rsidRDefault="00785AE5" w:rsidP="00B81ABE">
      <w:pPr>
        <w:ind w:left="851"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0778DCBE" w14:textId="77777777" w:rsidR="00D10152" w:rsidRPr="00C56D9C" w:rsidRDefault="00785AE5" w:rsidP="00B81ABE">
      <w:pPr>
        <w:ind w:left="1134"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42B91EF1" w14:textId="77777777" w:rsidR="00D10152" w:rsidRPr="00C56D9C" w:rsidRDefault="00785AE5" w:rsidP="00B81ABE">
      <w:pPr>
        <w:ind w:left="1134"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52E4ED0D" w14:textId="77777777" w:rsidR="00D10152" w:rsidRPr="00C56D9C" w:rsidRDefault="00785AE5" w:rsidP="00B81ABE">
      <w:pPr>
        <w:ind w:left="1134"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4732F4FA" w14:textId="77777777" w:rsidR="007D7F58" w:rsidRPr="00C56D9C" w:rsidRDefault="007D7F58" w:rsidP="00B81ABE">
      <w:pPr>
        <w:spacing w:line="360" w:lineRule="auto"/>
        <w:ind w:right="51"/>
        <w:jc w:val="both"/>
        <w:rPr>
          <w:rFonts w:ascii="Palatino Linotype" w:eastAsia="Palatino Linotype" w:hAnsi="Palatino Linotype" w:cs="Palatino Linotype"/>
          <w:sz w:val="22"/>
          <w:szCs w:val="22"/>
        </w:rPr>
      </w:pPr>
    </w:p>
    <w:p w14:paraId="3366DBF9" w14:textId="0CA23E0B" w:rsidR="00D10152" w:rsidRPr="00C56D9C" w:rsidRDefault="00785AE5"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4FA0E81" w14:textId="77777777" w:rsidR="007D7F58" w:rsidRPr="00C56D9C" w:rsidRDefault="007D7F58" w:rsidP="00B81ABE">
      <w:pPr>
        <w:spacing w:line="360" w:lineRule="auto"/>
        <w:ind w:right="51"/>
        <w:jc w:val="both"/>
        <w:rPr>
          <w:rFonts w:ascii="Palatino Linotype" w:eastAsia="Palatino Linotype" w:hAnsi="Palatino Linotype" w:cs="Palatino Linotype"/>
          <w:sz w:val="22"/>
          <w:szCs w:val="22"/>
        </w:rPr>
      </w:pPr>
    </w:p>
    <w:p w14:paraId="0C11A78B" w14:textId="77777777"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00E79F37" w14:textId="77777777" w:rsidR="00FB468C" w:rsidRPr="00C56D9C" w:rsidRDefault="00FB468C" w:rsidP="00B81ABE">
      <w:pPr>
        <w:spacing w:line="360" w:lineRule="auto"/>
        <w:jc w:val="both"/>
        <w:rPr>
          <w:rFonts w:ascii="Palatino Linotype" w:eastAsia="Palatino Linotype" w:hAnsi="Palatino Linotype" w:cs="Palatino Linotype"/>
          <w:sz w:val="22"/>
          <w:szCs w:val="22"/>
        </w:rPr>
      </w:pPr>
    </w:p>
    <w:p w14:paraId="1C5528EF" w14:textId="77777777" w:rsidR="009C6343" w:rsidRPr="00C56D9C" w:rsidRDefault="009C6343"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C56D9C">
        <w:rPr>
          <w:rFonts w:ascii="Palatino Linotype" w:eastAsia="Palatino Linotype" w:hAnsi="Palatino Linotype" w:cs="Palatino Linotype"/>
          <w:b/>
          <w:sz w:val="22"/>
          <w:szCs w:val="22"/>
        </w:rPr>
        <w:t>Recurrente</w:t>
      </w:r>
      <w:r w:rsidRPr="00C56D9C">
        <w:rPr>
          <w:rFonts w:ascii="Palatino Linotype" w:eastAsia="Palatino Linotype" w:hAnsi="Palatino Linotype" w:cs="Palatino Linotype"/>
          <w:sz w:val="22"/>
          <w:szCs w:val="22"/>
        </w:rPr>
        <w:t xml:space="preserve"> requirió al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le proporcione, información consistente en lo siguiente:</w:t>
      </w:r>
    </w:p>
    <w:p w14:paraId="2AB7E263" w14:textId="77777777" w:rsidR="007D7F58" w:rsidRPr="00C56D9C" w:rsidRDefault="007D7F58" w:rsidP="00B81ABE">
      <w:pPr>
        <w:spacing w:line="360" w:lineRule="auto"/>
        <w:ind w:right="51"/>
        <w:jc w:val="both"/>
        <w:rPr>
          <w:rFonts w:ascii="Palatino Linotype" w:eastAsia="Palatino Linotype" w:hAnsi="Palatino Linotype" w:cs="Palatino Linotype"/>
          <w:sz w:val="22"/>
          <w:szCs w:val="22"/>
        </w:rPr>
      </w:pPr>
    </w:p>
    <w:p w14:paraId="75388912" w14:textId="270C27FD" w:rsidR="00FB468C" w:rsidRPr="00C56D9C" w:rsidRDefault="00FB468C" w:rsidP="00FB468C">
      <w:pPr>
        <w:pStyle w:val="Prrafodelista"/>
        <w:numPr>
          <w:ilvl w:val="0"/>
          <w:numId w:val="4"/>
        </w:numPr>
        <w:spacing w:line="360" w:lineRule="auto"/>
        <w:ind w:left="851" w:right="616"/>
        <w:jc w:val="both"/>
        <w:rPr>
          <w:rFonts w:ascii="Palatino Linotype" w:eastAsia="Palatino Linotype" w:hAnsi="Palatino Linotype" w:cs="Palatino Linotype"/>
          <w:b/>
          <w:bCs/>
          <w:sz w:val="22"/>
          <w:szCs w:val="22"/>
        </w:rPr>
      </w:pPr>
      <w:r w:rsidRPr="00C56D9C">
        <w:rPr>
          <w:rFonts w:ascii="Palatino Linotype" w:eastAsia="Palatino Linotype" w:hAnsi="Palatino Linotype" w:cs="Palatino Linotype"/>
          <w:b/>
          <w:bCs/>
          <w:sz w:val="22"/>
          <w:szCs w:val="22"/>
        </w:rPr>
        <w:t xml:space="preserve">Del Instituto Municipal de Cultura Física y Deporte de Tepotzotlán, lo siguiente: </w:t>
      </w:r>
    </w:p>
    <w:p w14:paraId="0548E9CA" w14:textId="4F78ACF3" w:rsidR="002C729E" w:rsidRPr="00C56D9C" w:rsidRDefault="00FB468C" w:rsidP="00FB468C">
      <w:pPr>
        <w:pStyle w:val="Prrafodelista"/>
        <w:numPr>
          <w:ilvl w:val="0"/>
          <w:numId w:val="3"/>
        </w:numPr>
        <w:spacing w:line="360" w:lineRule="auto"/>
        <w:ind w:left="1276" w:right="616"/>
        <w:jc w:val="both"/>
        <w:rPr>
          <w:rFonts w:ascii="Palatino Linotype" w:eastAsia="Palatino Linotype" w:hAnsi="Palatino Linotype" w:cs="Palatino Linotype"/>
          <w:b/>
          <w:bCs/>
          <w:sz w:val="22"/>
          <w:szCs w:val="22"/>
        </w:rPr>
      </w:pPr>
      <w:r w:rsidRPr="00C56D9C">
        <w:rPr>
          <w:rFonts w:ascii="Palatino Linotype" w:eastAsia="Palatino Linotype" w:hAnsi="Palatino Linotype" w:cs="Palatino Linotype"/>
          <w:b/>
          <w:bCs/>
          <w:sz w:val="22"/>
          <w:szCs w:val="22"/>
        </w:rPr>
        <w:t>Relación completa del personal, incluyendo: nombre completo, puesto, funciones específicas, tipo de contratación, fecha de ingreso, remuneración mensual bruta y neta y fuente de financiamiento del pago.</w:t>
      </w:r>
      <w:r w:rsidR="002C729E" w:rsidRPr="00C56D9C">
        <w:rPr>
          <w:rFonts w:ascii="Palatino Linotype" w:eastAsia="Palatino Linotype" w:hAnsi="Palatino Linotype" w:cs="Palatino Linotype"/>
          <w:b/>
          <w:bCs/>
          <w:sz w:val="22"/>
          <w:szCs w:val="22"/>
        </w:rPr>
        <w:t xml:space="preserve"> </w:t>
      </w:r>
    </w:p>
    <w:p w14:paraId="777D9763" w14:textId="77777777" w:rsidR="007D7F58" w:rsidRPr="00C56D9C" w:rsidRDefault="007D7F58" w:rsidP="00B81ABE">
      <w:pPr>
        <w:spacing w:line="360" w:lineRule="auto"/>
        <w:ind w:right="49"/>
        <w:jc w:val="both"/>
        <w:rPr>
          <w:rFonts w:ascii="Palatino Linotype" w:eastAsia="Palatino Linotype" w:hAnsi="Palatino Linotype" w:cs="Palatino Linotype"/>
          <w:sz w:val="22"/>
          <w:szCs w:val="22"/>
        </w:rPr>
      </w:pPr>
    </w:p>
    <w:p w14:paraId="2D5B67A5" w14:textId="484313B3" w:rsidR="00A167A0" w:rsidRPr="00C56D9C" w:rsidRDefault="00A167A0" w:rsidP="00B81ABE">
      <w:pPr>
        <w:spacing w:line="360" w:lineRule="auto"/>
        <w:ind w:right="49"/>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respuesta, la Unidad de Transparencia hizo del conocimiento de la persona solicitante que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es incompetente para atender lo solicitado, por lo que se sugirió enviar la solicitud al Instituto Municipal de</w:t>
      </w:r>
      <w:r w:rsidR="00FB468C" w:rsidRPr="00C56D9C">
        <w:rPr>
          <w:rFonts w:ascii="Palatino Linotype" w:eastAsia="Palatino Linotype" w:hAnsi="Palatino Linotype" w:cs="Palatino Linotype"/>
          <w:sz w:val="22"/>
          <w:szCs w:val="22"/>
        </w:rPr>
        <w:t xml:space="preserve"> Cultura Física y Deporte de Tepotzotlán</w:t>
      </w:r>
      <w:r w:rsidRPr="00C56D9C">
        <w:rPr>
          <w:rFonts w:ascii="Palatino Linotype" w:eastAsia="Palatino Linotype" w:hAnsi="Palatino Linotype" w:cs="Palatino Linotype"/>
          <w:sz w:val="22"/>
          <w:szCs w:val="22"/>
        </w:rPr>
        <w:t>.</w:t>
      </w:r>
    </w:p>
    <w:p w14:paraId="49CE0793" w14:textId="77777777" w:rsidR="007D7F58" w:rsidRPr="00C56D9C" w:rsidRDefault="007D7F58" w:rsidP="00B81ABE">
      <w:pPr>
        <w:spacing w:line="360" w:lineRule="auto"/>
        <w:ind w:right="49"/>
        <w:jc w:val="both"/>
        <w:rPr>
          <w:rFonts w:ascii="Palatino Linotype" w:eastAsia="Palatino Linotype" w:hAnsi="Palatino Linotype" w:cs="Palatino Linotype"/>
          <w:sz w:val="22"/>
          <w:szCs w:val="22"/>
        </w:rPr>
      </w:pPr>
    </w:p>
    <w:p w14:paraId="6A7F1419" w14:textId="047966E0" w:rsidR="000175C1" w:rsidRPr="00C56D9C" w:rsidRDefault="000175C1" w:rsidP="00B81ABE">
      <w:pPr>
        <w:spacing w:line="360" w:lineRule="auto"/>
        <w:ind w:right="49"/>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Al no estar conforme con los términos de la respuesta emitida, la parte </w:t>
      </w:r>
      <w:r w:rsidRPr="00C56D9C">
        <w:rPr>
          <w:rFonts w:ascii="Palatino Linotype" w:eastAsia="Palatino Linotype" w:hAnsi="Palatino Linotype" w:cs="Palatino Linotype"/>
          <w:b/>
          <w:sz w:val="22"/>
          <w:szCs w:val="22"/>
        </w:rPr>
        <w:t xml:space="preserve">Recurrente </w:t>
      </w:r>
      <w:r w:rsidRPr="00C56D9C">
        <w:rPr>
          <w:rFonts w:ascii="Palatino Linotype" w:eastAsia="Palatino Linotype" w:hAnsi="Palatino Linotype" w:cs="Palatino Linotype"/>
          <w:sz w:val="22"/>
          <w:szCs w:val="22"/>
        </w:rPr>
        <w:t xml:space="preserve">interpuso el recurso de revisión que nos ocupa, donde señaló como motivo de inconformidad </w:t>
      </w:r>
      <w:r w:rsidR="00FB468C" w:rsidRPr="00C56D9C">
        <w:rPr>
          <w:rFonts w:ascii="Palatino Linotype" w:eastAsia="Palatino Linotype" w:hAnsi="Palatino Linotype" w:cs="Palatino Linotype"/>
          <w:sz w:val="22"/>
          <w:szCs w:val="22"/>
        </w:rPr>
        <w:t>la declaración de incompetencia por el sujeto obligado</w:t>
      </w:r>
      <w:r w:rsidR="008130A1" w:rsidRPr="00C56D9C">
        <w:rPr>
          <w:rFonts w:ascii="Palatino Linotype" w:eastAsia="Palatino Linotype" w:hAnsi="Palatino Linotype" w:cs="Palatino Linotype"/>
          <w:sz w:val="22"/>
          <w:szCs w:val="22"/>
        </w:rPr>
        <w:t xml:space="preserve">. </w:t>
      </w:r>
    </w:p>
    <w:p w14:paraId="6A50011E" w14:textId="77777777" w:rsidR="007D7F58" w:rsidRPr="00C56D9C" w:rsidRDefault="007D7F58" w:rsidP="00B81ABE">
      <w:pPr>
        <w:spacing w:line="360" w:lineRule="auto"/>
        <w:ind w:right="49"/>
        <w:jc w:val="both"/>
        <w:rPr>
          <w:rFonts w:ascii="Palatino Linotype" w:eastAsia="Palatino Linotype" w:hAnsi="Palatino Linotype" w:cs="Palatino Linotype"/>
          <w:sz w:val="22"/>
          <w:szCs w:val="22"/>
        </w:rPr>
      </w:pPr>
    </w:p>
    <w:p w14:paraId="0C21C120" w14:textId="4148A55B" w:rsidR="00FB468C" w:rsidRPr="00C56D9C" w:rsidRDefault="00FB468C" w:rsidP="00FB468C">
      <w:pPr>
        <w:spacing w:line="360" w:lineRule="auto"/>
        <w:ind w:right="49"/>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Admitido el presente recurso de revisión, en términos del artículo 185 fracción II de la Ley de Transparencia y Acceso a la Información Pública del Estado de México y Municipios, se integró el expediente y se puso a disposición de las partes para que, en un plazo máximo de siete días hábiles, manifestaran lo que a su derecho resultara conveniente, teniendo así que las partes fueron omisas en realizar alguna manifestación. </w:t>
      </w:r>
    </w:p>
    <w:p w14:paraId="4E6138AE" w14:textId="77777777" w:rsidR="007D7F58" w:rsidRPr="00C56D9C" w:rsidRDefault="007D7F58" w:rsidP="00B81ABE">
      <w:pPr>
        <w:spacing w:line="360" w:lineRule="auto"/>
        <w:ind w:right="49"/>
        <w:jc w:val="both"/>
        <w:rPr>
          <w:rFonts w:ascii="Palatino Linotype" w:eastAsia="Palatino Linotype" w:hAnsi="Palatino Linotype" w:cs="Palatino Linotype"/>
          <w:sz w:val="22"/>
          <w:szCs w:val="22"/>
        </w:rPr>
      </w:pPr>
    </w:p>
    <w:p w14:paraId="2261FC10" w14:textId="77777777" w:rsidR="009C6343" w:rsidRPr="00C56D9C" w:rsidRDefault="009C6343"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Una vez establecidas las posturas de las partes, se procede al análisis del requerimiento de información combatido, así como la información proporcionada por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 xml:space="preserve">en contraposición con el motivo de inconformidad alegado por la parte </w:t>
      </w:r>
      <w:r w:rsidRPr="00C56D9C">
        <w:rPr>
          <w:rFonts w:ascii="Palatino Linotype" w:eastAsia="Palatino Linotype" w:hAnsi="Palatino Linotype" w:cs="Palatino Linotype"/>
          <w:b/>
          <w:sz w:val="22"/>
          <w:szCs w:val="22"/>
        </w:rPr>
        <w:t xml:space="preserve">Recurrente, </w:t>
      </w:r>
      <w:r w:rsidRPr="00C56D9C">
        <w:rPr>
          <w:rFonts w:ascii="Palatino Linotype" w:eastAsia="Palatino Linotype" w:hAnsi="Palatino Linotype" w:cs="Palatino Linotype"/>
          <w:sz w:val="22"/>
          <w:szCs w:val="22"/>
        </w:rPr>
        <w:t>con la finalidad de determinar si el Derecho de acceso de esta se satisfizo, o en su defecto, señalar los documentos que en el ejercicio de sus atribuciones pudo haber generado, y que, de manera enunciativa más no limitativa, pudieran colmar dicho derecho, en caso de ser procedente.</w:t>
      </w:r>
    </w:p>
    <w:p w14:paraId="0BB507B0"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5C58B1D0" w14:textId="6CA6BAB9" w:rsidR="00CC74D6" w:rsidRPr="00C56D9C" w:rsidRDefault="00CC74D6"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este tenor, tomando en consideración el pronunciamiento emitido por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en respuesta a la solicitud, es oportuno traer a colación el contenido de</w:t>
      </w:r>
      <w:r w:rsidR="00A749DD" w:rsidRPr="00C56D9C">
        <w:rPr>
          <w:rFonts w:ascii="Palatino Linotype" w:eastAsia="Palatino Linotype" w:hAnsi="Palatino Linotype" w:cs="Palatino Linotype"/>
          <w:sz w:val="22"/>
          <w:szCs w:val="22"/>
        </w:rPr>
        <w:t>l</w:t>
      </w:r>
      <w:r w:rsidR="00566E91" w:rsidRPr="00C56D9C">
        <w:rPr>
          <w:rFonts w:ascii="Palatino Linotype" w:eastAsia="Palatino Linotype" w:hAnsi="Palatino Linotype" w:cs="Palatino Linotype"/>
          <w:sz w:val="22"/>
          <w:szCs w:val="22"/>
        </w:rPr>
        <w:t xml:space="preserve"> </w:t>
      </w:r>
      <w:r w:rsidRPr="00C56D9C">
        <w:rPr>
          <w:rFonts w:ascii="Palatino Linotype" w:eastAsia="Palatino Linotype" w:hAnsi="Palatino Linotype" w:cs="Palatino Linotype"/>
          <w:sz w:val="22"/>
          <w:szCs w:val="22"/>
        </w:rPr>
        <w:t xml:space="preserve">artículo </w:t>
      </w:r>
      <w:r w:rsidR="0052328E" w:rsidRPr="00C56D9C">
        <w:rPr>
          <w:rFonts w:ascii="Palatino Linotype" w:eastAsia="Palatino Linotype" w:hAnsi="Palatino Linotype" w:cs="Palatino Linotype"/>
          <w:sz w:val="22"/>
          <w:szCs w:val="22"/>
        </w:rPr>
        <w:t>38</w:t>
      </w:r>
      <w:r w:rsidRPr="00C56D9C">
        <w:rPr>
          <w:rFonts w:ascii="Palatino Linotype" w:eastAsia="Palatino Linotype" w:hAnsi="Palatino Linotype" w:cs="Palatino Linotype"/>
          <w:sz w:val="22"/>
          <w:szCs w:val="22"/>
        </w:rPr>
        <w:t xml:space="preserve"> del Bando Municipal de </w:t>
      </w:r>
      <w:r w:rsidR="0052328E" w:rsidRPr="00C56D9C">
        <w:rPr>
          <w:rFonts w:ascii="Palatino Linotype" w:eastAsia="Palatino Linotype" w:hAnsi="Palatino Linotype" w:cs="Palatino Linotype"/>
          <w:sz w:val="22"/>
          <w:szCs w:val="22"/>
        </w:rPr>
        <w:t>Tepotzotlán</w:t>
      </w:r>
      <w:r w:rsidR="00566E91" w:rsidRPr="00C56D9C">
        <w:rPr>
          <w:rFonts w:ascii="Palatino Linotype" w:eastAsia="Palatino Linotype" w:hAnsi="Palatino Linotype" w:cs="Palatino Linotype"/>
          <w:sz w:val="22"/>
          <w:szCs w:val="22"/>
        </w:rPr>
        <w:t xml:space="preserve"> vigente</w:t>
      </w:r>
      <w:r w:rsidRPr="00C56D9C">
        <w:rPr>
          <w:rFonts w:ascii="Palatino Linotype" w:eastAsia="Palatino Linotype" w:hAnsi="Palatino Linotype" w:cs="Palatino Linotype"/>
          <w:sz w:val="22"/>
          <w:szCs w:val="22"/>
        </w:rPr>
        <w:t>, a saber:</w:t>
      </w:r>
    </w:p>
    <w:p w14:paraId="57008813" w14:textId="77777777" w:rsidR="006D650E" w:rsidRPr="00C56D9C" w:rsidRDefault="006D650E" w:rsidP="00B81ABE">
      <w:pPr>
        <w:ind w:left="851" w:right="902"/>
        <w:jc w:val="both"/>
        <w:rPr>
          <w:rFonts w:ascii="Palatino Linotype" w:hAnsi="Palatino Linotype"/>
          <w:b/>
          <w:i/>
          <w:sz w:val="22"/>
          <w:szCs w:val="22"/>
        </w:rPr>
      </w:pPr>
    </w:p>
    <w:p w14:paraId="62E06C95" w14:textId="078795B3" w:rsidR="0052328E" w:rsidRPr="00C56D9C" w:rsidRDefault="00312564"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w:t>
      </w:r>
      <w:r w:rsidR="0052328E" w:rsidRPr="00C56D9C">
        <w:rPr>
          <w:rFonts w:ascii="Palatino Linotype" w:hAnsi="Palatino Linotype"/>
          <w:b/>
          <w:i/>
          <w:sz w:val="22"/>
          <w:szCs w:val="22"/>
        </w:rPr>
        <w:t>ARTÍCULO 38.-</w:t>
      </w:r>
      <w:r w:rsidR="0052328E" w:rsidRPr="00C56D9C">
        <w:rPr>
          <w:rFonts w:ascii="Palatino Linotype" w:hAnsi="Palatino Linotype"/>
          <w:bCs/>
          <w:i/>
          <w:sz w:val="22"/>
          <w:szCs w:val="22"/>
        </w:rPr>
        <w:t xml:space="preserve"> La Presidenta Municipal se auxiliará en el ejercicio de sus facultades establecidas en las leyes correspondientes, ejecutando las mismas a través de las siguientes direcciones y áreas de la Administración Pública Municipal, mismas que estarán bajo su subordinación:</w:t>
      </w:r>
    </w:p>
    <w:p w14:paraId="183E823F" w14:textId="5247CA1C" w:rsidR="0052328E" w:rsidRPr="00C56D9C" w:rsidRDefault="0052328E" w:rsidP="0052328E">
      <w:pPr>
        <w:spacing w:line="276" w:lineRule="auto"/>
        <w:ind w:left="851" w:right="616"/>
        <w:jc w:val="both"/>
        <w:rPr>
          <w:rFonts w:ascii="Palatino Linotype" w:hAnsi="Palatino Linotype"/>
          <w:b/>
          <w:i/>
          <w:sz w:val="22"/>
          <w:szCs w:val="22"/>
        </w:rPr>
      </w:pPr>
      <w:r w:rsidRPr="00C56D9C">
        <w:rPr>
          <w:rFonts w:ascii="Palatino Linotype" w:hAnsi="Palatino Linotype"/>
          <w:b/>
          <w:i/>
          <w:sz w:val="22"/>
          <w:szCs w:val="22"/>
        </w:rPr>
        <w:t>I. DEPENDENCIAS ADMINISTRATIVAS</w:t>
      </w:r>
    </w:p>
    <w:p w14:paraId="311776CA" w14:textId="77777777"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 xml:space="preserve">1. Secretaría del Ayuntamiento; </w:t>
      </w:r>
    </w:p>
    <w:p w14:paraId="6C34FD4B" w14:textId="77777777"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 xml:space="preserve">2. Secretaría Técnica y Particular; </w:t>
      </w:r>
    </w:p>
    <w:p w14:paraId="47E62540" w14:textId="77777777"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3. Oficina de Asesores;</w:t>
      </w:r>
    </w:p>
    <w:p w14:paraId="3E54E5CA" w14:textId="272183F8"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4. Dirección de Administración y Finanzas con funciones de Tesorería;</w:t>
      </w:r>
    </w:p>
    <w:p w14:paraId="5A003A7E" w14:textId="77777777"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5. Contraloría Interna Municipal;</w:t>
      </w:r>
    </w:p>
    <w:p w14:paraId="55D0D1E2" w14:textId="77777777"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6. Juzgado Cívico;</w:t>
      </w:r>
    </w:p>
    <w:p w14:paraId="656379E9" w14:textId="4BD08341"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7. Dirección de Seguridad Pública, Vial y Tránsito;</w:t>
      </w:r>
    </w:p>
    <w:p w14:paraId="3448C33A" w14:textId="77777777"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8. Dirección Jurídica;</w:t>
      </w:r>
    </w:p>
    <w:p w14:paraId="66764AE8" w14:textId="77777777"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9. Dirección de Servicios Públicos;</w:t>
      </w:r>
    </w:p>
    <w:p w14:paraId="4958A07F" w14:textId="63248105" w:rsidR="0052328E" w:rsidRPr="00C56D9C" w:rsidRDefault="0052328E" w:rsidP="0052328E">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10. Dirección de Desarrollo y Fomento Económico;</w:t>
      </w:r>
    </w:p>
    <w:p w14:paraId="2AB57AAA" w14:textId="77777777"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11. Dirección de Obras Públicas;</w:t>
      </w:r>
    </w:p>
    <w:p w14:paraId="2E5E9962" w14:textId="69EEC662"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12. Dirección de Desarrollo Urbano y Metropolitano;</w:t>
      </w:r>
    </w:p>
    <w:p w14:paraId="7E2EFDC5" w14:textId="77777777"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13. Dirección de Medio Ambiente;</w:t>
      </w:r>
    </w:p>
    <w:p w14:paraId="6BCA5F1B" w14:textId="77777777"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14. Dirección de Educación y Bienestar Social;</w:t>
      </w:r>
    </w:p>
    <w:p w14:paraId="62114337" w14:textId="083D9D35"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15. Dirección de Agua Potable, Drenaje y Alcantarillado;</w:t>
      </w:r>
    </w:p>
    <w:p w14:paraId="4B4C86B9" w14:textId="77777777"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16. Dirección de Turismo y Cultura;</w:t>
      </w:r>
    </w:p>
    <w:p w14:paraId="51D936B5" w14:textId="77777777"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17. Dirección de las Mujeres;</w:t>
      </w:r>
    </w:p>
    <w:p w14:paraId="506D6662" w14:textId="3EC4BA8B"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18. Unidad de Información, Planeación, Programación y Evaluación;</w:t>
      </w:r>
    </w:p>
    <w:p w14:paraId="10AA2494" w14:textId="1C353A7E"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19. Secretaria Técnica del Consejo Municipal de Seguridad Pública;</w:t>
      </w:r>
    </w:p>
    <w:p w14:paraId="30F08D1B" w14:textId="4111BF00"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20. Unidad de Transparencia y Acceso a la Información Pública;</w:t>
      </w:r>
    </w:p>
    <w:p w14:paraId="25A6ECDF" w14:textId="60D94AED"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21. Centro de Control, Comando, Comunicaciones y Cómputo (C4);</w:t>
      </w:r>
    </w:p>
    <w:p w14:paraId="3D65E749" w14:textId="4D1FB0BA"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22. Coordinación Municipal de Protección Civil y Bomberos;</w:t>
      </w:r>
    </w:p>
    <w:p w14:paraId="41E6F783" w14:textId="53CBB133"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23. Coordinación General Municipal de Mejora Regulatoria.</w:t>
      </w:r>
    </w:p>
    <w:p w14:paraId="54B22D49" w14:textId="77777777"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II. ORGANISMOS DESCONCENTRADOS</w:t>
      </w:r>
    </w:p>
    <w:p w14:paraId="1C740895" w14:textId="4859E55E"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 Defensoría Municipal de los Derechos Humanos;</w:t>
      </w:r>
    </w:p>
    <w:p w14:paraId="2A7A0303" w14:textId="77777777"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2. Sistema Municipal Anticorrupción.</w:t>
      </w:r>
    </w:p>
    <w:p w14:paraId="25D25D7D" w14:textId="77777777" w:rsidR="000F0054" w:rsidRPr="00C56D9C" w:rsidRDefault="000F0054" w:rsidP="000F0054">
      <w:pPr>
        <w:spacing w:line="276" w:lineRule="auto"/>
        <w:ind w:left="851" w:right="616"/>
        <w:jc w:val="both"/>
        <w:rPr>
          <w:rFonts w:ascii="Palatino Linotype" w:hAnsi="Palatino Linotype"/>
          <w:b/>
          <w:i/>
          <w:sz w:val="22"/>
          <w:szCs w:val="22"/>
        </w:rPr>
      </w:pPr>
      <w:r w:rsidRPr="00C56D9C">
        <w:rPr>
          <w:rFonts w:ascii="Palatino Linotype" w:hAnsi="Palatino Linotype"/>
          <w:b/>
          <w:i/>
          <w:sz w:val="22"/>
          <w:szCs w:val="22"/>
        </w:rPr>
        <w:t>III. ORGANISMOS DESCENTRALIZADOS</w:t>
      </w:r>
    </w:p>
    <w:p w14:paraId="04B62626" w14:textId="3BC119F2" w:rsidR="000F0054" w:rsidRPr="00C56D9C" w:rsidRDefault="000F0054" w:rsidP="000F0054">
      <w:pPr>
        <w:spacing w:line="276" w:lineRule="auto"/>
        <w:ind w:left="851" w:right="616"/>
        <w:jc w:val="both"/>
        <w:rPr>
          <w:rFonts w:ascii="Palatino Linotype" w:hAnsi="Palatino Linotype"/>
          <w:bCs/>
          <w:i/>
          <w:sz w:val="22"/>
          <w:szCs w:val="22"/>
        </w:rPr>
      </w:pPr>
      <w:r w:rsidRPr="00C56D9C">
        <w:rPr>
          <w:rFonts w:ascii="Palatino Linotype" w:hAnsi="Palatino Linotype"/>
          <w:bCs/>
          <w:i/>
          <w:sz w:val="22"/>
          <w:szCs w:val="22"/>
        </w:rPr>
        <w:t>1. Sistema Municipal para el Desarrollo Integral de la Familia de Tepotzotlán;</w:t>
      </w:r>
    </w:p>
    <w:p w14:paraId="71295728" w14:textId="438E6206" w:rsidR="0052328E" w:rsidRPr="00C56D9C" w:rsidRDefault="000F0054" w:rsidP="006D650E">
      <w:pPr>
        <w:spacing w:line="276" w:lineRule="auto"/>
        <w:ind w:left="851" w:right="616"/>
        <w:jc w:val="both"/>
        <w:rPr>
          <w:rFonts w:ascii="Palatino Linotype" w:hAnsi="Palatino Linotype"/>
          <w:bCs/>
          <w:i/>
          <w:sz w:val="22"/>
          <w:szCs w:val="22"/>
        </w:rPr>
      </w:pPr>
      <w:r w:rsidRPr="00C56D9C">
        <w:rPr>
          <w:rFonts w:ascii="Palatino Linotype" w:hAnsi="Palatino Linotype"/>
          <w:b/>
          <w:i/>
          <w:sz w:val="22"/>
          <w:szCs w:val="22"/>
          <w:u w:val="single"/>
        </w:rPr>
        <w:t>2. Instituto Municipal de Cultura Física y De porte de Tepotzotlán</w:t>
      </w:r>
      <w:r w:rsidRPr="00C56D9C">
        <w:rPr>
          <w:rFonts w:ascii="Palatino Linotype" w:hAnsi="Palatino Linotype"/>
          <w:bCs/>
          <w:i/>
          <w:sz w:val="22"/>
          <w:szCs w:val="22"/>
        </w:rPr>
        <w:t>.</w:t>
      </w:r>
      <w:r w:rsidR="00A749DD" w:rsidRPr="00C56D9C">
        <w:rPr>
          <w:rFonts w:ascii="Palatino Linotype" w:hAnsi="Palatino Linotype"/>
          <w:bCs/>
          <w:i/>
          <w:sz w:val="22"/>
          <w:szCs w:val="22"/>
        </w:rPr>
        <w:t>”</w:t>
      </w:r>
    </w:p>
    <w:p w14:paraId="0EA690D7" w14:textId="300E3AC8" w:rsidR="00F407C7" w:rsidRPr="00C56D9C" w:rsidRDefault="00A749DD" w:rsidP="00B81ABE">
      <w:pPr>
        <w:ind w:left="851" w:right="902"/>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(Énfasis Añadido)</w:t>
      </w:r>
    </w:p>
    <w:p w14:paraId="41BF7755" w14:textId="77777777" w:rsidR="00A749DD" w:rsidRPr="00C56D9C" w:rsidRDefault="00A749DD" w:rsidP="00B81ABE">
      <w:pPr>
        <w:ind w:left="851" w:right="902"/>
        <w:jc w:val="both"/>
        <w:rPr>
          <w:rFonts w:ascii="Palatino Linotype" w:eastAsia="Palatino Linotype" w:hAnsi="Palatino Linotype" w:cs="Palatino Linotype"/>
          <w:i/>
          <w:sz w:val="22"/>
          <w:szCs w:val="22"/>
        </w:rPr>
      </w:pPr>
    </w:p>
    <w:p w14:paraId="157B8C01" w14:textId="3A6A1DB6" w:rsidR="002606C0" w:rsidRPr="00C56D9C" w:rsidRDefault="00312564"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Como logra</w:t>
      </w:r>
      <w:r w:rsidR="00315AA9" w:rsidRPr="00C56D9C">
        <w:rPr>
          <w:rFonts w:ascii="Palatino Linotype" w:eastAsia="Palatino Linotype" w:hAnsi="Palatino Linotype" w:cs="Palatino Linotype"/>
          <w:sz w:val="22"/>
          <w:szCs w:val="22"/>
        </w:rPr>
        <w:t xml:space="preserve"> vislumbrarse</w:t>
      </w:r>
      <w:r w:rsidRPr="00C56D9C">
        <w:rPr>
          <w:rFonts w:ascii="Palatino Linotype" w:eastAsia="Palatino Linotype" w:hAnsi="Palatino Linotype" w:cs="Palatino Linotype"/>
          <w:sz w:val="22"/>
          <w:szCs w:val="22"/>
        </w:rPr>
        <w:t>, para el cumplimiento de sus atribuciones</w:t>
      </w:r>
      <w:r w:rsidR="00315AA9" w:rsidRPr="00C56D9C">
        <w:rPr>
          <w:rFonts w:ascii="Palatino Linotype" w:eastAsia="Palatino Linotype" w:hAnsi="Palatino Linotype" w:cs="Palatino Linotype"/>
          <w:sz w:val="22"/>
          <w:szCs w:val="22"/>
        </w:rPr>
        <w:t xml:space="preserve"> la President</w:t>
      </w:r>
      <w:r w:rsidR="00A749DD" w:rsidRPr="00C56D9C">
        <w:rPr>
          <w:rFonts w:ascii="Palatino Linotype" w:eastAsia="Palatino Linotype" w:hAnsi="Palatino Linotype" w:cs="Palatino Linotype"/>
          <w:sz w:val="22"/>
          <w:szCs w:val="22"/>
        </w:rPr>
        <w:t>a</w:t>
      </w:r>
      <w:r w:rsidR="00315AA9" w:rsidRPr="00C56D9C">
        <w:rPr>
          <w:rFonts w:ascii="Palatino Linotype" w:eastAsia="Palatino Linotype" w:hAnsi="Palatino Linotype" w:cs="Palatino Linotype"/>
          <w:sz w:val="22"/>
          <w:szCs w:val="22"/>
        </w:rPr>
        <w:t xml:space="preserve"> Municipal</w:t>
      </w:r>
      <w:r w:rsidRPr="00C56D9C">
        <w:rPr>
          <w:rFonts w:ascii="Palatino Linotype" w:eastAsia="Palatino Linotype" w:hAnsi="Palatino Linotype" w:cs="Palatino Linotype"/>
          <w:sz w:val="22"/>
          <w:szCs w:val="22"/>
        </w:rPr>
        <w:t xml:space="preserve"> se auxilia de </w:t>
      </w:r>
      <w:r w:rsidR="0005336F" w:rsidRPr="00C56D9C">
        <w:rPr>
          <w:rFonts w:ascii="Palatino Linotype" w:eastAsia="Palatino Linotype" w:hAnsi="Palatino Linotype" w:cs="Palatino Linotype"/>
          <w:sz w:val="22"/>
          <w:szCs w:val="22"/>
        </w:rPr>
        <w:t>diversas dependencias</w:t>
      </w:r>
      <w:r w:rsidR="00566E91" w:rsidRPr="00C56D9C">
        <w:rPr>
          <w:rFonts w:ascii="Palatino Linotype" w:eastAsia="Palatino Linotype" w:hAnsi="Palatino Linotype" w:cs="Palatino Linotype"/>
          <w:sz w:val="22"/>
          <w:szCs w:val="22"/>
        </w:rPr>
        <w:t xml:space="preserve">, entre las que se encuentra </w:t>
      </w:r>
      <w:r w:rsidR="002606C0" w:rsidRPr="00C56D9C">
        <w:rPr>
          <w:rFonts w:ascii="Palatino Linotype" w:eastAsia="Palatino Linotype" w:hAnsi="Palatino Linotype" w:cs="Palatino Linotype"/>
          <w:sz w:val="22"/>
          <w:szCs w:val="22"/>
        </w:rPr>
        <w:t xml:space="preserve">el </w:t>
      </w:r>
      <w:r w:rsidR="008130A1" w:rsidRPr="00C56D9C">
        <w:rPr>
          <w:rFonts w:ascii="Palatino Linotype" w:eastAsia="Palatino Linotype" w:hAnsi="Palatino Linotype" w:cs="Palatino Linotype"/>
          <w:sz w:val="22"/>
          <w:szCs w:val="22"/>
        </w:rPr>
        <w:t>Instituto Municipal de</w:t>
      </w:r>
      <w:r w:rsidR="00A749DD" w:rsidRPr="00C56D9C">
        <w:rPr>
          <w:rFonts w:ascii="Palatino Linotype" w:eastAsia="Palatino Linotype" w:hAnsi="Palatino Linotype" w:cs="Palatino Linotype"/>
          <w:sz w:val="22"/>
          <w:szCs w:val="22"/>
        </w:rPr>
        <w:t xml:space="preserve"> Cultura Física y Deporte de Tepotzotlán</w:t>
      </w:r>
      <w:r w:rsidR="00566E91" w:rsidRPr="00C56D9C">
        <w:rPr>
          <w:rFonts w:ascii="Palatino Linotype" w:eastAsia="Palatino Linotype" w:hAnsi="Palatino Linotype" w:cs="Palatino Linotype"/>
          <w:sz w:val="22"/>
          <w:szCs w:val="22"/>
        </w:rPr>
        <w:t xml:space="preserve">, </w:t>
      </w:r>
      <w:r w:rsidR="00A749DD" w:rsidRPr="00C56D9C">
        <w:rPr>
          <w:rFonts w:ascii="Palatino Linotype" w:eastAsia="Palatino Linotype" w:hAnsi="Palatino Linotype" w:cs="Palatino Linotype"/>
          <w:sz w:val="22"/>
          <w:szCs w:val="22"/>
        </w:rPr>
        <w:t xml:space="preserve">como un organismo descentralizado </w:t>
      </w:r>
      <w:r w:rsidR="00566E91" w:rsidRPr="00C56D9C">
        <w:rPr>
          <w:rFonts w:ascii="Palatino Linotype" w:eastAsia="Palatino Linotype" w:hAnsi="Palatino Linotype" w:cs="Palatino Linotype"/>
          <w:sz w:val="22"/>
          <w:szCs w:val="22"/>
        </w:rPr>
        <w:t>de la administración pública municipal,</w:t>
      </w:r>
      <w:r w:rsidR="00D3457C" w:rsidRPr="00C56D9C">
        <w:rPr>
          <w:rFonts w:ascii="Palatino Linotype" w:eastAsia="Palatino Linotype" w:hAnsi="Palatino Linotype" w:cs="Palatino Linotype"/>
          <w:sz w:val="22"/>
          <w:szCs w:val="22"/>
        </w:rPr>
        <w:t xml:space="preserve"> por lo que, </w:t>
      </w:r>
      <w:r w:rsidR="002606C0" w:rsidRPr="00C56D9C">
        <w:rPr>
          <w:rFonts w:ascii="Palatino Linotype" w:eastAsia="Palatino Linotype" w:hAnsi="Palatino Linotype" w:cs="Palatino Linotype"/>
          <w:sz w:val="22"/>
          <w:szCs w:val="22"/>
        </w:rPr>
        <w:t>es imprescindible mencionar que la descentralización alude a un sistema propenso a transferir de un determinado centro de toma de decisiones un conjunto de atribuciones, funciones, facultades, actividades y recursos, en favor de entes, órganos, instituciones o regiones que se hallan en una situación de cierta subordinación, más no en una relación de jerarquía respecto del centro.</w:t>
      </w:r>
    </w:p>
    <w:p w14:paraId="6F1CB5C0"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3FB6B95C" w14:textId="77777777"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En todo aparato político o administrativo contemporáneo se advierte la presencia de la centralización y de la descentralización como fórmulas o directivas de organización coexistentes, que puede darse en diferentes ámbitos como el político, el administrativo o el económico, dando así origen a la descentralización política, administrativa o económica.</w:t>
      </w:r>
    </w:p>
    <w:p w14:paraId="266834BB"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5FF1E4B3" w14:textId="77777777"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La descentralización administrativa, es una tendencia organizativa de la administración pública, conforme a la cual se confiere la personalidad jurídica propia a ciertos entes a los que se les otorga autonomía orgánica relativa, respecto del órgano central, para encargarles o encomendarles actividades administrativas.</w:t>
      </w:r>
    </w:p>
    <w:p w14:paraId="6BB9FB74"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5DDF7E8B" w14:textId="36D6C4DE"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En opinión del profesor Gabino Fraga, la descentralización administrativa estriba en confiar al</w:t>
      </w:r>
      <w:r w:rsidR="008130A1" w:rsidRPr="00C56D9C">
        <w:rPr>
          <w:rFonts w:ascii="Palatino Linotype" w:eastAsia="Palatino Linotype" w:hAnsi="Palatino Linotype" w:cs="Palatino Linotype"/>
          <w:sz w:val="22"/>
          <w:szCs w:val="22"/>
        </w:rPr>
        <w:t>g</w:t>
      </w:r>
      <w:r w:rsidRPr="00C56D9C">
        <w:rPr>
          <w:rFonts w:ascii="Palatino Linotype" w:eastAsia="Palatino Linotype" w:hAnsi="Palatino Linotype" w:cs="Palatino Linotype"/>
          <w:sz w:val="22"/>
          <w:szCs w:val="22"/>
        </w:rPr>
        <w:t>unas actividades administrativas a órganos que guardan una relación que no es de jerarquía con la administración central, pero sin que dejen de existir, respecto de ellas, las facultades indispensables para conservar la unidad de poder</w:t>
      </w:r>
      <w:r w:rsidRPr="00C56D9C">
        <w:rPr>
          <w:rStyle w:val="Refdenotaalpie"/>
          <w:rFonts w:ascii="Palatino Linotype" w:eastAsia="Palatino Linotype" w:hAnsi="Palatino Linotype" w:cs="Palatino Linotype"/>
          <w:sz w:val="22"/>
          <w:szCs w:val="22"/>
        </w:rPr>
        <w:footnoteReference w:id="1"/>
      </w:r>
      <w:r w:rsidRPr="00C56D9C">
        <w:rPr>
          <w:rFonts w:ascii="Palatino Linotype" w:eastAsia="Palatino Linotype" w:hAnsi="Palatino Linotype" w:cs="Palatino Linotype"/>
          <w:sz w:val="22"/>
          <w:szCs w:val="22"/>
        </w:rPr>
        <w:t>.</w:t>
      </w:r>
    </w:p>
    <w:p w14:paraId="1E3023B9"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62067A54" w14:textId="77777777"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La descentralización administrativa implica la creación de personas jurídicas de derecho público, distintas al Estado y a la administración pública, y tiene diversas modalidades, como la territorial o regional, por servicio y por colaboración.</w:t>
      </w:r>
    </w:p>
    <w:p w14:paraId="565DC144"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2D8FCE92" w14:textId="77777777"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La descentralización administrativa por servicio significa una delegación de ciertas facultades de las personas morales territoriales -estado, provincia, municipio-, en favor del propio servicio que se personaliza, con recursos propios y con poder de decisión, sin que por ello se rompan sus vínculos con aquellas, porque se establecen relaciones jurídicas obligadas que fijan el régimen de derecho al que se someten tales servicios personificados. </w:t>
      </w:r>
    </w:p>
    <w:p w14:paraId="678289B9"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00F479A8" w14:textId="77777777"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En otras palabras, la descentralización por servicio, entraña la creación de una nueva persona jurídica de derecho público con una esfera de competencia, órganos propios y poder de decisión, sin perjuicio de que las personas morales territoriales, conserven determinadas facultades de intervención, pero que se caracteriza por tener autonomía jurídica, financiera y técnica.</w:t>
      </w:r>
    </w:p>
    <w:p w14:paraId="5B8B2728"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3DEBC180" w14:textId="77777777"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Gracias a la autonomía jurídica que implica la descentralización administrativa por servicio, el órgano descentralizado tiene personalidad jurídica propia; en virtud de su autonomía financiera cuenta con patrimonio propio; y en razón de su autonomía técnica, goza de una reglamentación propia y especifica.</w:t>
      </w:r>
    </w:p>
    <w:p w14:paraId="75B65B26"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186B306F" w14:textId="77777777" w:rsidR="002606C0" w:rsidRPr="00C56D9C" w:rsidRDefault="002606C0"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Así, pueden considerarse como las características más importantes de la descentralización administrativa por servicio las siguientes:</w:t>
      </w:r>
    </w:p>
    <w:p w14:paraId="7DEF7C32"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632DC499" w14:textId="77777777" w:rsidR="002606C0" w:rsidRPr="00C56D9C" w:rsidRDefault="002606C0" w:rsidP="00B81ABE">
      <w:pPr>
        <w:spacing w:line="276" w:lineRule="auto"/>
        <w:ind w:left="284"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1. Su establecimiento mediante ley o decreto. </w:t>
      </w:r>
    </w:p>
    <w:p w14:paraId="6DDC1D36" w14:textId="77777777" w:rsidR="002606C0" w:rsidRPr="00C56D9C" w:rsidRDefault="002606C0" w:rsidP="00B81ABE">
      <w:pPr>
        <w:spacing w:line="276" w:lineRule="auto"/>
        <w:ind w:left="284"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2. Personalidad jurídica propia.</w:t>
      </w:r>
    </w:p>
    <w:p w14:paraId="30599595" w14:textId="77777777" w:rsidR="002606C0" w:rsidRPr="00C56D9C" w:rsidRDefault="002606C0" w:rsidP="00B81ABE">
      <w:pPr>
        <w:spacing w:line="276" w:lineRule="auto"/>
        <w:ind w:left="284"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3. Patrimonio propio.</w:t>
      </w:r>
    </w:p>
    <w:p w14:paraId="77CC3D6E" w14:textId="77777777" w:rsidR="002606C0" w:rsidRPr="00C56D9C" w:rsidRDefault="002606C0" w:rsidP="00B81ABE">
      <w:pPr>
        <w:spacing w:line="276" w:lineRule="auto"/>
        <w:ind w:left="284"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4. Estatuto y regulación propios.</w:t>
      </w:r>
    </w:p>
    <w:p w14:paraId="715DB006" w14:textId="77777777" w:rsidR="002606C0" w:rsidRPr="00C56D9C" w:rsidRDefault="002606C0" w:rsidP="00B81ABE">
      <w:pPr>
        <w:spacing w:line="276" w:lineRule="auto"/>
        <w:ind w:left="284"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5. Realización de una actividad técnica.</w:t>
      </w:r>
    </w:p>
    <w:p w14:paraId="3236DB2E" w14:textId="77777777" w:rsidR="002606C0" w:rsidRPr="00C56D9C" w:rsidRDefault="002606C0" w:rsidP="00B81ABE">
      <w:pPr>
        <w:spacing w:line="276" w:lineRule="auto"/>
        <w:ind w:left="284"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6. Tutela y vigilancia por parte de la administración central.</w:t>
      </w:r>
    </w:p>
    <w:p w14:paraId="2A105682"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2E8AE0F0" w14:textId="2756E295" w:rsidR="00034A43" w:rsidRPr="00C56D9C" w:rsidRDefault="00034A43"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este sentido, el </w:t>
      </w:r>
      <w:r w:rsidR="008130A1" w:rsidRPr="00C56D9C">
        <w:rPr>
          <w:rFonts w:ascii="Palatino Linotype" w:eastAsia="Palatino Linotype" w:hAnsi="Palatino Linotype" w:cs="Palatino Linotype"/>
          <w:sz w:val="22"/>
          <w:szCs w:val="22"/>
        </w:rPr>
        <w:t xml:space="preserve">Instituto Municipal de </w:t>
      </w:r>
      <w:r w:rsidR="00A749DD" w:rsidRPr="00C56D9C">
        <w:rPr>
          <w:rFonts w:ascii="Palatino Linotype" w:eastAsia="Palatino Linotype" w:hAnsi="Palatino Linotype" w:cs="Palatino Linotype"/>
          <w:sz w:val="22"/>
          <w:szCs w:val="22"/>
        </w:rPr>
        <w:t>Cultura Física y Deporte de Tepotzotlán</w:t>
      </w:r>
      <w:r w:rsidRPr="00C56D9C">
        <w:rPr>
          <w:rFonts w:ascii="Palatino Linotype" w:hAnsi="Palatino Linotype"/>
          <w:sz w:val="22"/>
          <w:szCs w:val="22"/>
        </w:rPr>
        <w:t xml:space="preserve">; </w:t>
      </w:r>
      <w:r w:rsidRPr="00C56D9C">
        <w:rPr>
          <w:rFonts w:ascii="Palatino Linotype" w:eastAsia="Palatino Linotype" w:hAnsi="Palatino Linotype" w:cs="Palatino Linotype"/>
          <w:sz w:val="22"/>
          <w:szCs w:val="22"/>
        </w:rPr>
        <w:t xml:space="preserve">se creó mediante el Decreto número </w:t>
      </w:r>
      <w:r w:rsidR="00A749DD" w:rsidRPr="00C56D9C">
        <w:rPr>
          <w:rFonts w:ascii="Palatino Linotype" w:eastAsia="Palatino Linotype" w:hAnsi="Palatino Linotype" w:cs="Palatino Linotype"/>
          <w:sz w:val="22"/>
          <w:szCs w:val="22"/>
        </w:rPr>
        <w:t>129</w:t>
      </w:r>
      <w:r w:rsidR="00F060BA" w:rsidRPr="00C56D9C">
        <w:rPr>
          <w:rFonts w:ascii="Palatino Linotype" w:eastAsia="Palatino Linotype" w:hAnsi="Palatino Linotype" w:cs="Palatino Linotype"/>
          <w:sz w:val="22"/>
          <w:szCs w:val="22"/>
        </w:rPr>
        <w:t>,</w:t>
      </w:r>
      <w:r w:rsidRPr="00C56D9C">
        <w:rPr>
          <w:rFonts w:ascii="Palatino Linotype" w:eastAsia="Palatino Linotype" w:hAnsi="Palatino Linotype" w:cs="Palatino Linotype"/>
          <w:sz w:val="22"/>
          <w:szCs w:val="22"/>
        </w:rPr>
        <w:t xml:space="preserve"> publicado en el Periódico Oficial “Gaceta del Gobierno” del Estado de México</w:t>
      </w:r>
      <w:r w:rsidRPr="00C56D9C">
        <w:rPr>
          <w:rFonts w:ascii="Palatino Linotype" w:hAnsi="Palatino Linotype"/>
          <w:sz w:val="22"/>
          <w:szCs w:val="22"/>
        </w:rPr>
        <w:t xml:space="preserve"> </w:t>
      </w:r>
      <w:r w:rsidR="00D33A1D" w:rsidRPr="00C56D9C">
        <w:rPr>
          <w:rFonts w:ascii="Palatino Linotype" w:hAnsi="Palatino Linotype"/>
          <w:sz w:val="22"/>
          <w:szCs w:val="22"/>
        </w:rPr>
        <w:t xml:space="preserve">del </w:t>
      </w:r>
      <w:r w:rsidR="00F060BA" w:rsidRPr="00C56D9C">
        <w:rPr>
          <w:rFonts w:ascii="Palatino Linotype" w:hAnsi="Palatino Linotype"/>
          <w:sz w:val="22"/>
          <w:szCs w:val="22"/>
        </w:rPr>
        <w:t>dos de abril de dos mil ocho</w:t>
      </w:r>
      <w:r w:rsidRPr="00C56D9C">
        <w:rPr>
          <w:rFonts w:ascii="Palatino Linotype" w:eastAsia="Palatino Linotype" w:hAnsi="Palatino Linotype" w:cs="Palatino Linotype"/>
          <w:sz w:val="22"/>
          <w:szCs w:val="22"/>
        </w:rPr>
        <w:t>, el cual señala, en el artículo 1º, que dicho organismo go</w:t>
      </w:r>
      <w:r w:rsidR="00601996" w:rsidRPr="00C56D9C">
        <w:rPr>
          <w:rFonts w:ascii="Palatino Linotype" w:eastAsia="Palatino Linotype" w:hAnsi="Palatino Linotype" w:cs="Palatino Linotype"/>
          <w:sz w:val="22"/>
          <w:szCs w:val="22"/>
        </w:rPr>
        <w:t>za de personalidad jurídica y patrimonio propios, a saber:</w:t>
      </w:r>
    </w:p>
    <w:p w14:paraId="2FA14C39"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57384534" w14:textId="4B3F267A" w:rsidR="00601996" w:rsidRPr="00C56D9C" w:rsidRDefault="00601996" w:rsidP="00F060BA">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Pr="00C56D9C">
        <w:rPr>
          <w:rFonts w:ascii="Palatino Linotype" w:hAnsi="Palatino Linotype"/>
          <w:b/>
          <w:i/>
          <w:sz w:val="22"/>
          <w:szCs w:val="22"/>
        </w:rPr>
        <w:t>Artículo 1</w:t>
      </w:r>
      <w:r w:rsidRPr="00C56D9C">
        <w:rPr>
          <w:rFonts w:ascii="Palatino Linotype" w:hAnsi="Palatino Linotype"/>
          <w:i/>
          <w:sz w:val="22"/>
          <w:szCs w:val="22"/>
        </w:rPr>
        <w:t xml:space="preserve">.- </w:t>
      </w:r>
      <w:r w:rsidR="00F060BA" w:rsidRPr="00C56D9C">
        <w:rPr>
          <w:rFonts w:ascii="Palatino Linotype" w:hAnsi="Palatino Linotype"/>
          <w:i/>
          <w:sz w:val="22"/>
          <w:szCs w:val="22"/>
        </w:rPr>
        <w:t xml:space="preserve">Se crea el Organismo Público Descentralizado denominado “Instituto Municipal de Cultura Física y Deporte de Tepotzotlán”, como un organismo público descentralizado </w:t>
      </w:r>
      <w:r w:rsidR="00F060BA" w:rsidRPr="00C56D9C">
        <w:rPr>
          <w:rFonts w:ascii="Palatino Linotype" w:hAnsi="Palatino Linotype"/>
          <w:b/>
          <w:bCs/>
          <w:i/>
          <w:sz w:val="22"/>
          <w:szCs w:val="22"/>
        </w:rPr>
        <w:t>con personalidad jurídica y patrimonio propios</w:t>
      </w:r>
      <w:r w:rsidR="008130A1" w:rsidRPr="00C56D9C">
        <w:rPr>
          <w:rFonts w:ascii="Palatino Linotype" w:hAnsi="Palatino Linotype"/>
          <w:i/>
          <w:sz w:val="22"/>
          <w:szCs w:val="22"/>
        </w:rPr>
        <w:t>.</w:t>
      </w:r>
      <w:r w:rsidRPr="00C56D9C">
        <w:rPr>
          <w:rFonts w:ascii="Palatino Linotype" w:hAnsi="Palatino Linotype"/>
          <w:i/>
          <w:sz w:val="22"/>
          <w:szCs w:val="22"/>
        </w:rPr>
        <w:t>”</w:t>
      </w:r>
    </w:p>
    <w:p w14:paraId="4E1825AD" w14:textId="77777777" w:rsidR="006D650E" w:rsidRPr="00C56D9C" w:rsidRDefault="006D650E" w:rsidP="00B81ABE">
      <w:pPr>
        <w:tabs>
          <w:tab w:val="left" w:pos="284"/>
        </w:tabs>
        <w:spacing w:line="360" w:lineRule="auto"/>
        <w:ind w:right="51"/>
        <w:jc w:val="both"/>
        <w:rPr>
          <w:rFonts w:ascii="Palatino Linotype" w:eastAsia="Palatino Linotype" w:hAnsi="Palatino Linotype" w:cs="Palatino Linotype"/>
          <w:sz w:val="22"/>
          <w:szCs w:val="22"/>
        </w:rPr>
      </w:pPr>
    </w:p>
    <w:p w14:paraId="08927063" w14:textId="7D1A49C5" w:rsidR="00326575" w:rsidRPr="00C56D9C" w:rsidRDefault="00FA6AA0" w:rsidP="00B81ABE">
      <w:pPr>
        <w:tabs>
          <w:tab w:val="left" w:pos="284"/>
        </w:tabs>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ese orden de ideas, el </w:t>
      </w:r>
      <w:r w:rsidR="00E912E6" w:rsidRPr="00C56D9C">
        <w:rPr>
          <w:rFonts w:ascii="Palatino Linotype" w:eastAsia="Palatino Linotype" w:hAnsi="Palatino Linotype" w:cs="Palatino Linotype"/>
          <w:sz w:val="22"/>
          <w:szCs w:val="22"/>
        </w:rPr>
        <w:t>Manual de Organización</w:t>
      </w:r>
      <w:r w:rsidRPr="00C56D9C">
        <w:rPr>
          <w:rFonts w:ascii="Palatino Linotype" w:eastAsia="Palatino Linotype" w:hAnsi="Palatino Linotype" w:cs="Palatino Linotype"/>
          <w:sz w:val="22"/>
          <w:szCs w:val="22"/>
        </w:rPr>
        <w:t xml:space="preserve"> del Instituto Municipal de Cultura Física y Deporte de Tepotzotlán refiere que para el análisis, estudio, planeación y despacho de los asuntos de su competencia contara con unidades administrativas, entre ellas, la Dirección de Administración y Finanzas, la cual tiene como objetivo </w:t>
      </w:r>
      <w:r w:rsidR="00E912E6" w:rsidRPr="00C56D9C">
        <w:rPr>
          <w:rFonts w:ascii="Palatino Linotype" w:eastAsia="Palatino Linotype" w:hAnsi="Palatino Linotype" w:cs="Palatino Linotype"/>
          <w:sz w:val="22"/>
          <w:szCs w:val="22"/>
        </w:rPr>
        <w:t xml:space="preserve">dirigir y administrar los recursos financieros de que dispone el Instituto para su mejor aprovechamiento, aunado a ello contara con las siguientes funciones: </w:t>
      </w:r>
    </w:p>
    <w:p w14:paraId="4D265E22" w14:textId="2E97B3F5" w:rsidR="00E912E6" w:rsidRPr="00C56D9C" w:rsidRDefault="00E912E6" w:rsidP="00E912E6">
      <w:pPr>
        <w:tabs>
          <w:tab w:val="left" w:pos="284"/>
        </w:tabs>
        <w:spacing w:line="360" w:lineRule="auto"/>
        <w:ind w:right="51"/>
        <w:jc w:val="center"/>
        <w:rPr>
          <w:rFonts w:ascii="Palatino Linotype" w:eastAsia="Palatino Linotype" w:hAnsi="Palatino Linotype" w:cs="Palatino Linotype"/>
          <w:sz w:val="22"/>
          <w:szCs w:val="22"/>
        </w:rPr>
      </w:pPr>
      <w:r w:rsidRPr="00C56D9C">
        <w:rPr>
          <w:rFonts w:ascii="Palatino Linotype" w:eastAsia="Palatino Linotype" w:hAnsi="Palatino Linotype" w:cs="Palatino Linotype"/>
          <w:noProof/>
          <w:sz w:val="22"/>
          <w:szCs w:val="22"/>
        </w:rPr>
        <mc:AlternateContent>
          <mc:Choice Requires="wps">
            <w:drawing>
              <wp:anchor distT="0" distB="0" distL="114300" distR="114300" simplePos="0" relativeHeight="251659264" behindDoc="0" locked="0" layoutInCell="1" allowOverlap="1" wp14:anchorId="6F0C1526" wp14:editId="032886DF">
                <wp:simplePos x="0" y="0"/>
                <wp:positionH relativeFrom="column">
                  <wp:posOffset>590155</wp:posOffset>
                </wp:positionH>
                <wp:positionV relativeFrom="paragraph">
                  <wp:posOffset>1159210</wp:posOffset>
                </wp:positionV>
                <wp:extent cx="4498975" cy="386392"/>
                <wp:effectExtent l="57150" t="19050" r="73025" b="90170"/>
                <wp:wrapNone/>
                <wp:docPr id="1466246413" name="Rectángulo 1"/>
                <wp:cNvGraphicFramePr/>
                <a:graphic xmlns:a="http://schemas.openxmlformats.org/drawingml/2006/main">
                  <a:graphicData uri="http://schemas.microsoft.com/office/word/2010/wordprocessingShape">
                    <wps:wsp>
                      <wps:cNvSpPr/>
                      <wps:spPr>
                        <a:xfrm>
                          <a:off x="0" y="0"/>
                          <a:ext cx="4498975" cy="386392"/>
                        </a:xfrm>
                        <a:prstGeom prst="rect">
                          <a:avLst/>
                        </a:prstGeom>
                        <a:noFill/>
                        <a:ln w="19050">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A55DFDA" id="Rectángulo 1" o:spid="_x0000_s1026" style="position:absolute;margin-left:46.45pt;margin-top:91.3pt;width:354.25pt;height:3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" filled="f" strokecolor="#e00" strokeweight="1.5pt">
                <v:shadow on="t" color="black" opacity="22937f" origin=",.5" offset="0,.63889mm"/>
              </v:rect>
            </w:pict>
          </mc:Fallback>
        </mc:AlternateContent>
      </w:r>
      <w:r w:rsidRPr="00C56D9C">
        <w:rPr>
          <w:rFonts w:ascii="Palatino Linotype" w:eastAsia="Palatino Linotype" w:hAnsi="Palatino Linotype" w:cs="Palatino Linotype"/>
          <w:noProof/>
          <w:sz w:val="22"/>
          <w:szCs w:val="22"/>
        </w:rPr>
        <mc:AlternateContent>
          <mc:Choice Requires="wps">
            <w:drawing>
              <wp:anchor distT="0" distB="0" distL="114300" distR="114300" simplePos="0" relativeHeight="251661312" behindDoc="0" locked="0" layoutInCell="1" allowOverlap="1" wp14:anchorId="2EE9011B" wp14:editId="6DB78987">
                <wp:simplePos x="0" y="0"/>
                <wp:positionH relativeFrom="column">
                  <wp:posOffset>645124</wp:posOffset>
                </wp:positionH>
                <wp:positionV relativeFrom="paragraph">
                  <wp:posOffset>113413</wp:posOffset>
                </wp:positionV>
                <wp:extent cx="4499394" cy="319178"/>
                <wp:effectExtent l="57150" t="19050" r="73025" b="100330"/>
                <wp:wrapNone/>
                <wp:docPr id="103328420" name="Rectángulo 1"/>
                <wp:cNvGraphicFramePr/>
                <a:graphic xmlns:a="http://schemas.openxmlformats.org/drawingml/2006/main">
                  <a:graphicData uri="http://schemas.microsoft.com/office/word/2010/wordprocessingShape">
                    <wps:wsp>
                      <wps:cNvSpPr/>
                      <wps:spPr>
                        <a:xfrm>
                          <a:off x="0" y="0"/>
                          <a:ext cx="4499394" cy="319178"/>
                        </a:xfrm>
                        <a:prstGeom prst="rect">
                          <a:avLst/>
                        </a:prstGeom>
                        <a:noFill/>
                        <a:ln w="19050">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E0A51C" id="Rectángulo 1" o:spid="_x0000_s1026" style="position:absolute;margin-left:50.8pt;margin-top:8.95pt;width:354.3pt;height:25.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" filled="f" strokecolor="#e00" strokeweight="1.5pt">
                <v:shadow on="t" color="black" opacity="22937f" origin=",.5" offset="0,.63889mm"/>
              </v:rect>
            </w:pict>
          </mc:Fallback>
        </mc:AlternateContent>
      </w:r>
      <w:r w:rsidRPr="00C56D9C">
        <w:rPr>
          <w:rFonts w:ascii="Palatino Linotype" w:eastAsia="Palatino Linotype" w:hAnsi="Palatino Linotype" w:cs="Palatino Linotype"/>
          <w:noProof/>
          <w:sz w:val="22"/>
          <w:szCs w:val="22"/>
        </w:rPr>
        <w:drawing>
          <wp:inline distT="0" distB="0" distL="0" distR="0" wp14:anchorId="3D07A5DA" wp14:editId="1500FAE1">
            <wp:extent cx="4591183" cy="2976113"/>
            <wp:effectExtent l="0" t="0" r="0" b="0"/>
            <wp:docPr id="545993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993981" name=""/>
                    <pic:cNvPicPr/>
                  </pic:nvPicPr>
                  <pic:blipFill>
                    <a:blip r:embed="rId10"/>
                    <a:stretch>
                      <a:fillRect/>
                    </a:stretch>
                  </pic:blipFill>
                  <pic:spPr>
                    <a:xfrm>
                      <a:off x="0" y="0"/>
                      <a:ext cx="4593235" cy="2977443"/>
                    </a:xfrm>
                    <a:prstGeom prst="rect">
                      <a:avLst/>
                    </a:prstGeom>
                  </pic:spPr>
                </pic:pic>
              </a:graphicData>
            </a:graphic>
          </wp:inline>
        </w:drawing>
      </w:r>
    </w:p>
    <w:p w14:paraId="733B08EB" w14:textId="77777777" w:rsidR="00326575" w:rsidRPr="00C56D9C" w:rsidRDefault="00326575" w:rsidP="00B81ABE">
      <w:pPr>
        <w:tabs>
          <w:tab w:val="left" w:pos="284"/>
        </w:tabs>
        <w:spacing w:line="360" w:lineRule="auto"/>
        <w:ind w:right="51"/>
        <w:jc w:val="both"/>
        <w:rPr>
          <w:rFonts w:ascii="Palatino Linotype" w:eastAsia="Palatino Linotype" w:hAnsi="Palatino Linotype" w:cs="Palatino Linotype"/>
          <w:sz w:val="22"/>
          <w:szCs w:val="22"/>
        </w:rPr>
      </w:pPr>
    </w:p>
    <w:p w14:paraId="26866229" w14:textId="4A3A0B79" w:rsidR="002D432C" w:rsidRPr="00C56D9C" w:rsidRDefault="00E912E6" w:rsidP="002D432C">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Como logra vislumbrarse, para el cumplimiento de sus atribuciones el Instituto Municipal de Cultura Física y Deporte de Tepotzotlán cuenta con su propia Dirección de Administración y Finanzas encargada de la administración de sus recursos humanos y financieros del propio organismo descentralizado; por lo que se presume que es la unidad administrativa competente para conocer de la información que desea conocer la parte </w:t>
      </w:r>
      <w:r w:rsidRPr="00C56D9C">
        <w:rPr>
          <w:rFonts w:ascii="Palatino Linotype" w:eastAsia="Palatino Linotype" w:hAnsi="Palatino Linotype" w:cs="Palatino Linotype"/>
          <w:b/>
          <w:bCs/>
          <w:sz w:val="22"/>
          <w:szCs w:val="22"/>
        </w:rPr>
        <w:t>Recurrente</w:t>
      </w:r>
      <w:r w:rsidRPr="00C56D9C">
        <w:rPr>
          <w:rFonts w:ascii="Palatino Linotype" w:eastAsia="Palatino Linotype" w:hAnsi="Palatino Linotype" w:cs="Palatino Linotype"/>
          <w:sz w:val="22"/>
          <w:szCs w:val="22"/>
        </w:rPr>
        <w:t>, sin embargo como ya fue referido con anterioridad, este es un organismo descentralizado de la administración pública municipal</w:t>
      </w:r>
      <w:r w:rsidR="002D432C" w:rsidRPr="00C56D9C">
        <w:rPr>
          <w:rFonts w:ascii="Palatino Linotype" w:eastAsia="Palatino Linotype" w:hAnsi="Palatino Linotype" w:cs="Palatino Linotype"/>
          <w:sz w:val="22"/>
          <w:szCs w:val="22"/>
        </w:rPr>
        <w:t xml:space="preserve">. </w:t>
      </w:r>
    </w:p>
    <w:p w14:paraId="549DAD1E" w14:textId="77777777" w:rsidR="002D432C" w:rsidRPr="00C56D9C" w:rsidRDefault="002D432C" w:rsidP="002D432C">
      <w:pPr>
        <w:spacing w:line="360" w:lineRule="auto"/>
        <w:jc w:val="both"/>
        <w:rPr>
          <w:rFonts w:ascii="Palatino Linotype" w:eastAsia="Palatino Linotype" w:hAnsi="Palatino Linotype" w:cs="Palatino Linotype"/>
          <w:sz w:val="22"/>
          <w:szCs w:val="22"/>
        </w:rPr>
      </w:pPr>
    </w:p>
    <w:p w14:paraId="39B01358" w14:textId="0C708B53" w:rsidR="00601996" w:rsidRPr="00C56D9C" w:rsidRDefault="00601996" w:rsidP="002D432C">
      <w:pPr>
        <w:spacing w:line="360" w:lineRule="auto"/>
        <w:jc w:val="both"/>
        <w:rPr>
          <w:rFonts w:ascii="Palatino Linotype" w:hAnsi="Palatino Linotype" w:cs="Arial"/>
          <w:sz w:val="22"/>
          <w:szCs w:val="22"/>
        </w:rPr>
      </w:pPr>
      <w:r w:rsidRPr="00C56D9C">
        <w:rPr>
          <w:rFonts w:ascii="Palatino Linotype" w:eastAsia="Palatino Linotype" w:hAnsi="Palatino Linotype" w:cs="Palatino Linotype"/>
          <w:sz w:val="22"/>
          <w:szCs w:val="22"/>
        </w:rPr>
        <w:t xml:space="preserve">Por otro lado, en materia de transparencia el Ayuntamiento de </w:t>
      </w:r>
      <w:r w:rsidR="00F060BA" w:rsidRPr="00C56D9C">
        <w:rPr>
          <w:rFonts w:ascii="Palatino Linotype" w:eastAsia="Palatino Linotype" w:hAnsi="Palatino Linotype" w:cs="Palatino Linotype"/>
          <w:sz w:val="22"/>
          <w:szCs w:val="22"/>
        </w:rPr>
        <w:t xml:space="preserve">Tepotzotlán </w:t>
      </w:r>
      <w:r w:rsidRPr="00C56D9C">
        <w:rPr>
          <w:rFonts w:ascii="Palatino Linotype" w:eastAsia="Palatino Linotype" w:hAnsi="Palatino Linotype" w:cs="Palatino Linotype"/>
          <w:sz w:val="22"/>
          <w:szCs w:val="22"/>
        </w:rPr>
        <w:t>y el</w:t>
      </w:r>
      <w:r w:rsidRPr="00C56D9C">
        <w:rPr>
          <w:rFonts w:ascii="Palatino Linotype" w:hAnsi="Palatino Linotype"/>
          <w:sz w:val="22"/>
          <w:szCs w:val="22"/>
        </w:rPr>
        <w:t xml:space="preserve"> </w:t>
      </w:r>
      <w:r w:rsidR="00F060BA" w:rsidRPr="00C56D9C">
        <w:rPr>
          <w:rFonts w:ascii="Palatino Linotype" w:eastAsia="Palatino Linotype" w:hAnsi="Palatino Linotype" w:cs="Palatino Linotype"/>
          <w:sz w:val="22"/>
          <w:szCs w:val="22"/>
        </w:rPr>
        <w:t>Instituto Municipal de Cultura Física y Deporte de Tepotzotlán</w:t>
      </w:r>
      <w:r w:rsidRPr="00C56D9C">
        <w:rPr>
          <w:rFonts w:ascii="Palatino Linotype" w:eastAsia="Palatino Linotype" w:hAnsi="Palatino Linotype" w:cs="Palatino Linotype"/>
          <w:sz w:val="22"/>
          <w:szCs w:val="22"/>
        </w:rPr>
        <w:t xml:space="preserve">, son reconocidos como Sujetos Obligados </w:t>
      </w:r>
      <w:r w:rsidRPr="00C56D9C">
        <w:rPr>
          <w:rFonts w:ascii="Palatino Linotype" w:hAnsi="Palatino Linotype" w:cs="Arial"/>
          <w:sz w:val="22"/>
          <w:szCs w:val="22"/>
        </w:rPr>
        <w:t>de conformidad con el Padrón de Sujetos Obligados en materia de Transparencia y Acceso a la Información Pública del Estado de México y Municipios aprobado por el Pleno de este Instituto el veintisiete de enero de dos mil diecisiete y sus modificaciones posteriores</w:t>
      </w:r>
      <w:r w:rsidR="00E3525B" w:rsidRPr="00C56D9C">
        <w:rPr>
          <w:rFonts w:ascii="Palatino Linotype" w:hAnsi="Palatino Linotype" w:cs="Arial"/>
          <w:sz w:val="22"/>
          <w:szCs w:val="22"/>
        </w:rPr>
        <w:t xml:space="preserve">, específicamente mediante Acuerdo de fecha </w:t>
      </w:r>
      <w:r w:rsidR="00DC147C" w:rsidRPr="00C56D9C">
        <w:rPr>
          <w:rFonts w:ascii="Palatino Linotype" w:hAnsi="Palatino Linotype" w:cs="Arial"/>
          <w:sz w:val="22"/>
          <w:szCs w:val="22"/>
        </w:rPr>
        <w:t xml:space="preserve">tres de julio </w:t>
      </w:r>
      <w:r w:rsidR="00E3525B" w:rsidRPr="00C56D9C">
        <w:rPr>
          <w:rFonts w:ascii="Palatino Linotype" w:hAnsi="Palatino Linotype" w:cs="Arial"/>
          <w:sz w:val="22"/>
          <w:szCs w:val="22"/>
        </w:rPr>
        <w:t>de dos mil veintic</w:t>
      </w:r>
      <w:r w:rsidR="00DC147C" w:rsidRPr="00C56D9C">
        <w:rPr>
          <w:rFonts w:ascii="Palatino Linotype" w:hAnsi="Palatino Linotype" w:cs="Arial"/>
          <w:sz w:val="22"/>
          <w:szCs w:val="22"/>
        </w:rPr>
        <w:t>uatro</w:t>
      </w:r>
      <w:r w:rsidR="00DC147C" w:rsidRPr="00C56D9C">
        <w:rPr>
          <w:rStyle w:val="Refdenotaalpie"/>
          <w:rFonts w:ascii="Palatino Linotype" w:hAnsi="Palatino Linotype" w:cs="Arial"/>
          <w:sz w:val="22"/>
          <w:szCs w:val="22"/>
        </w:rPr>
        <w:footnoteReference w:id="2"/>
      </w:r>
      <w:r w:rsidR="00E3525B" w:rsidRPr="00C56D9C">
        <w:rPr>
          <w:rFonts w:ascii="Palatino Linotype" w:hAnsi="Palatino Linotype" w:cs="Arial"/>
          <w:sz w:val="22"/>
          <w:szCs w:val="22"/>
        </w:rPr>
        <w:t>, en el que</w:t>
      </w:r>
      <w:r w:rsidR="00E3525B" w:rsidRPr="00C56D9C">
        <w:rPr>
          <w:rFonts w:ascii="Palatino Linotype" w:hAnsi="Palatino Linotype"/>
          <w:sz w:val="22"/>
          <w:szCs w:val="22"/>
        </w:rPr>
        <w:t xml:space="preserve"> </w:t>
      </w:r>
      <w:r w:rsidR="00E3525B" w:rsidRPr="00C56D9C">
        <w:rPr>
          <w:rFonts w:ascii="Palatino Linotype" w:hAnsi="Palatino Linotype" w:cs="Arial"/>
          <w:sz w:val="22"/>
          <w:szCs w:val="22"/>
        </w:rPr>
        <w:t xml:space="preserve">se crea en el rubro “Organismos Descentralizados Municipales” el </w:t>
      </w:r>
      <w:r w:rsidR="00DC147C" w:rsidRPr="00C56D9C">
        <w:rPr>
          <w:rFonts w:ascii="Palatino Linotype" w:hAnsi="Palatino Linotype" w:cs="Arial"/>
          <w:sz w:val="22"/>
          <w:szCs w:val="22"/>
        </w:rPr>
        <w:t>Instituto Municipal de Cultura Física y Deporte de Tepotzotlán</w:t>
      </w:r>
      <w:r w:rsidRPr="00C56D9C">
        <w:rPr>
          <w:rFonts w:ascii="Palatino Linotype" w:hAnsi="Palatino Linotype" w:cs="Arial"/>
          <w:sz w:val="22"/>
          <w:szCs w:val="22"/>
        </w:rPr>
        <w:t>, como se ilustra a continuación para mejor referencia:</w:t>
      </w:r>
    </w:p>
    <w:p w14:paraId="604DEF23" w14:textId="194C61F1" w:rsidR="00034A43" w:rsidRPr="00C56D9C" w:rsidRDefault="00601996" w:rsidP="00B81ABE">
      <w:pPr>
        <w:tabs>
          <w:tab w:val="left" w:pos="284"/>
        </w:tabs>
        <w:ind w:right="51"/>
        <w:jc w:val="both"/>
        <w:rPr>
          <w:rFonts w:ascii="Palatino Linotype" w:eastAsia="Palatino Linotype" w:hAnsi="Palatino Linotype" w:cs="Palatino Linotype"/>
          <w:sz w:val="22"/>
          <w:szCs w:val="22"/>
        </w:rPr>
      </w:pPr>
      <w:r w:rsidRPr="00C56D9C">
        <w:rPr>
          <w:rFonts w:ascii="Palatino Linotype" w:hAnsi="Palatino Linotype" w:cs="Arial"/>
          <w:noProof/>
          <w:sz w:val="22"/>
          <w:szCs w:val="22"/>
        </w:rPr>
        <w:drawing>
          <wp:inline distT="0" distB="0" distL="0" distR="0" wp14:anchorId="54FED7DA" wp14:editId="20ADA8AA">
            <wp:extent cx="5612130" cy="359410"/>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59410"/>
                    </a:xfrm>
                    <a:prstGeom prst="rect">
                      <a:avLst/>
                    </a:prstGeom>
                  </pic:spPr>
                </pic:pic>
              </a:graphicData>
            </a:graphic>
          </wp:inline>
        </w:drawing>
      </w:r>
      <w:r w:rsidR="00F060BA" w:rsidRPr="00C56D9C">
        <w:rPr>
          <w:rFonts w:ascii="Palatino Linotype" w:hAnsi="Palatino Linotype"/>
          <w:noProof/>
          <w:sz w:val="22"/>
          <w:szCs w:val="22"/>
        </w:rPr>
        <w:t xml:space="preserve"> </w:t>
      </w:r>
      <w:r w:rsidR="00F060BA" w:rsidRPr="00C56D9C">
        <w:rPr>
          <w:rFonts w:ascii="Palatino Linotype" w:eastAsia="Palatino Linotype" w:hAnsi="Palatino Linotype" w:cs="Palatino Linotype"/>
          <w:noProof/>
          <w:sz w:val="22"/>
          <w:szCs w:val="22"/>
        </w:rPr>
        <w:drawing>
          <wp:inline distT="0" distB="0" distL="0" distR="0" wp14:anchorId="4C037337" wp14:editId="195D216D">
            <wp:extent cx="5612130" cy="334010"/>
            <wp:effectExtent l="0" t="0" r="7620" b="8890"/>
            <wp:docPr id="1277969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69340" name=""/>
                    <pic:cNvPicPr/>
                  </pic:nvPicPr>
                  <pic:blipFill>
                    <a:blip r:embed="rId12"/>
                    <a:stretch>
                      <a:fillRect/>
                    </a:stretch>
                  </pic:blipFill>
                  <pic:spPr>
                    <a:xfrm>
                      <a:off x="0" y="0"/>
                      <a:ext cx="5612130" cy="334010"/>
                    </a:xfrm>
                    <a:prstGeom prst="rect">
                      <a:avLst/>
                    </a:prstGeom>
                  </pic:spPr>
                </pic:pic>
              </a:graphicData>
            </a:graphic>
          </wp:inline>
        </w:drawing>
      </w:r>
    </w:p>
    <w:p w14:paraId="04522965" w14:textId="77777777" w:rsidR="00A32E65" w:rsidRPr="00C56D9C" w:rsidRDefault="00A32E65" w:rsidP="00B81ABE">
      <w:pPr>
        <w:tabs>
          <w:tab w:val="left" w:pos="284"/>
        </w:tabs>
        <w:ind w:right="51"/>
        <w:jc w:val="both"/>
        <w:rPr>
          <w:rFonts w:ascii="Palatino Linotype" w:eastAsia="Palatino Linotype" w:hAnsi="Palatino Linotype" w:cs="Palatino Linotype"/>
          <w:sz w:val="22"/>
          <w:szCs w:val="22"/>
        </w:rPr>
      </w:pPr>
    </w:p>
    <w:p w14:paraId="3BA34909" w14:textId="309B1D2C" w:rsidR="00601996" w:rsidRPr="00C56D9C" w:rsidRDefault="00601996" w:rsidP="00B81ABE">
      <w:pPr>
        <w:tabs>
          <w:tab w:val="left" w:pos="284"/>
        </w:tabs>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noProof/>
          <w:sz w:val="22"/>
          <w:szCs w:val="22"/>
        </w:rPr>
        <w:drawing>
          <wp:inline distT="0" distB="0" distL="0" distR="0" wp14:anchorId="49BAF521" wp14:editId="210609EB">
            <wp:extent cx="5612130" cy="36957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369570"/>
                    </a:xfrm>
                    <a:prstGeom prst="rect">
                      <a:avLst/>
                    </a:prstGeom>
                  </pic:spPr>
                </pic:pic>
              </a:graphicData>
            </a:graphic>
          </wp:inline>
        </w:drawing>
      </w:r>
    </w:p>
    <w:p w14:paraId="10B55E53" w14:textId="2F7EE3F4" w:rsidR="00F060BA" w:rsidRPr="00C56D9C" w:rsidRDefault="00F060BA" w:rsidP="00B81ABE">
      <w:pPr>
        <w:tabs>
          <w:tab w:val="left" w:pos="284"/>
        </w:tabs>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noProof/>
          <w:sz w:val="22"/>
          <w:szCs w:val="22"/>
        </w:rPr>
        <w:drawing>
          <wp:inline distT="0" distB="0" distL="0" distR="0" wp14:anchorId="31FBCD7A" wp14:editId="17143FDC">
            <wp:extent cx="5612130" cy="333375"/>
            <wp:effectExtent l="0" t="0" r="7620" b="9525"/>
            <wp:docPr id="11772927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92758" name=""/>
                    <pic:cNvPicPr/>
                  </pic:nvPicPr>
                  <pic:blipFill>
                    <a:blip r:embed="rId14"/>
                    <a:stretch>
                      <a:fillRect/>
                    </a:stretch>
                  </pic:blipFill>
                  <pic:spPr>
                    <a:xfrm>
                      <a:off x="0" y="0"/>
                      <a:ext cx="5612130" cy="333375"/>
                    </a:xfrm>
                    <a:prstGeom prst="rect">
                      <a:avLst/>
                    </a:prstGeom>
                  </pic:spPr>
                </pic:pic>
              </a:graphicData>
            </a:graphic>
          </wp:inline>
        </w:drawing>
      </w:r>
    </w:p>
    <w:p w14:paraId="7FB74174" w14:textId="1B44B84D" w:rsidR="00601996" w:rsidRPr="00C56D9C" w:rsidRDefault="00F060BA" w:rsidP="00B81ABE">
      <w:pPr>
        <w:tabs>
          <w:tab w:val="left" w:pos="284"/>
        </w:tabs>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noProof/>
          <w:sz w:val="22"/>
          <w:szCs w:val="22"/>
        </w:rPr>
        <w:drawing>
          <wp:inline distT="0" distB="0" distL="0" distR="0" wp14:anchorId="365F2ABB" wp14:editId="0E05E7CB">
            <wp:extent cx="5612130" cy="334010"/>
            <wp:effectExtent l="0" t="0" r="7620" b="8890"/>
            <wp:docPr id="542021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021551" name=""/>
                    <pic:cNvPicPr/>
                  </pic:nvPicPr>
                  <pic:blipFill>
                    <a:blip r:embed="rId15"/>
                    <a:stretch>
                      <a:fillRect/>
                    </a:stretch>
                  </pic:blipFill>
                  <pic:spPr>
                    <a:xfrm>
                      <a:off x="0" y="0"/>
                      <a:ext cx="5612130" cy="334010"/>
                    </a:xfrm>
                    <a:prstGeom prst="rect">
                      <a:avLst/>
                    </a:prstGeom>
                  </pic:spPr>
                </pic:pic>
              </a:graphicData>
            </a:graphic>
          </wp:inline>
        </w:drawing>
      </w:r>
    </w:p>
    <w:p w14:paraId="7A8FAC95" w14:textId="54DEE72B" w:rsidR="00601996" w:rsidRPr="00C56D9C" w:rsidRDefault="00601996" w:rsidP="00B81ABE">
      <w:pPr>
        <w:tabs>
          <w:tab w:val="left" w:pos="284"/>
        </w:tabs>
        <w:ind w:right="51"/>
        <w:jc w:val="both"/>
        <w:rPr>
          <w:rFonts w:ascii="Palatino Linotype" w:eastAsia="Palatino Linotype" w:hAnsi="Palatino Linotype" w:cs="Palatino Linotype"/>
          <w:sz w:val="22"/>
          <w:szCs w:val="22"/>
        </w:rPr>
      </w:pPr>
    </w:p>
    <w:p w14:paraId="797A39FE" w14:textId="18ECFCF8" w:rsidR="00514E61" w:rsidRPr="00C56D9C" w:rsidRDefault="00514E61" w:rsidP="00B81ABE">
      <w:pPr>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Por consiguiente, ambos Sujetos Obligados deben cumplir con las obligaciones, procesos, procedimientos y responsabilidades establecidas en la </w:t>
      </w:r>
      <w:r w:rsidR="001C1B9B" w:rsidRPr="00C56D9C">
        <w:rPr>
          <w:rFonts w:ascii="Palatino Linotype" w:eastAsia="Palatino Linotype" w:hAnsi="Palatino Linotype" w:cs="Palatino Linotype"/>
          <w:sz w:val="22"/>
          <w:szCs w:val="22"/>
        </w:rPr>
        <w:t>Ley de Transparencia y Acceso a la Información Pública del Estado de México y Municipios</w:t>
      </w:r>
      <w:r w:rsidRPr="00C56D9C">
        <w:rPr>
          <w:rFonts w:ascii="Palatino Linotype" w:eastAsia="Palatino Linotype" w:hAnsi="Palatino Linotype" w:cs="Palatino Linotype"/>
          <w:sz w:val="22"/>
          <w:szCs w:val="22"/>
        </w:rPr>
        <w:t xml:space="preserve"> y demás ordenamientos jurídicos de la materia.</w:t>
      </w:r>
    </w:p>
    <w:p w14:paraId="4B9C3193" w14:textId="77777777" w:rsidR="006D650E" w:rsidRPr="00C56D9C" w:rsidRDefault="006D650E" w:rsidP="00B81ABE">
      <w:pPr>
        <w:spacing w:line="360" w:lineRule="auto"/>
        <w:ind w:right="51"/>
        <w:jc w:val="both"/>
        <w:rPr>
          <w:rFonts w:ascii="Palatino Linotype" w:eastAsia="Palatino Linotype" w:hAnsi="Palatino Linotype" w:cs="Palatino Linotype"/>
          <w:sz w:val="22"/>
          <w:szCs w:val="22"/>
        </w:rPr>
      </w:pPr>
    </w:p>
    <w:p w14:paraId="610FC3AD" w14:textId="38CBE1BC" w:rsidR="00514E61" w:rsidRPr="00C56D9C" w:rsidRDefault="00514E61"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Con base en lo expuesto, toda vez que el </w:t>
      </w:r>
      <w:r w:rsidR="00DC147C" w:rsidRPr="00C56D9C">
        <w:rPr>
          <w:rFonts w:ascii="Palatino Linotype" w:eastAsia="Palatino Linotype" w:hAnsi="Palatino Linotype" w:cs="Palatino Linotype"/>
          <w:sz w:val="22"/>
          <w:szCs w:val="22"/>
        </w:rPr>
        <w:t xml:space="preserve">Instituto Municipal de Cultura Física y Deporte de Tepotzotlán </w:t>
      </w:r>
      <w:r w:rsidRPr="00C56D9C">
        <w:rPr>
          <w:rFonts w:ascii="Palatino Linotype" w:eastAsia="Palatino Linotype" w:hAnsi="Palatino Linotype" w:cs="Palatino Linotype"/>
          <w:sz w:val="22"/>
          <w:szCs w:val="22"/>
        </w:rPr>
        <w:t>es responsable de transparentar la información que en ejercicio de las atribuciones genere, administre y/o posea a través de sus unidades administrativas, es posible advertir que el ayuntamiento no cuenta con competencia para proporcionar información que le compete a aquel.</w:t>
      </w:r>
    </w:p>
    <w:p w14:paraId="616D2CE4"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34D2AE2C" w14:textId="779F49E9" w:rsidR="00514E61" w:rsidRPr="00C56D9C" w:rsidRDefault="002F1D80"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Atento a lo anterior</w:t>
      </w:r>
      <w:r w:rsidR="00514E61" w:rsidRPr="00C56D9C">
        <w:rPr>
          <w:rFonts w:ascii="Palatino Linotype" w:eastAsia="Palatino Linotype" w:hAnsi="Palatino Linotype" w:cs="Palatino Linotype"/>
          <w:sz w:val="22"/>
          <w:szCs w:val="22"/>
        </w:rPr>
        <w:t xml:space="preserve">, se colige que existe una evidente incompetencia por parte del </w:t>
      </w:r>
      <w:r w:rsidR="00514E61" w:rsidRPr="00C56D9C">
        <w:rPr>
          <w:rFonts w:ascii="Palatino Linotype" w:eastAsia="Palatino Linotype" w:hAnsi="Palatino Linotype" w:cs="Palatino Linotype"/>
          <w:b/>
          <w:sz w:val="22"/>
          <w:szCs w:val="22"/>
        </w:rPr>
        <w:t>Sujeto Obligado</w:t>
      </w:r>
      <w:r w:rsidR="00514E61" w:rsidRPr="00C56D9C">
        <w:rPr>
          <w:rFonts w:ascii="Palatino Linotype" w:eastAsia="Palatino Linotype" w:hAnsi="Palatino Linotype" w:cs="Palatino Linotype"/>
          <w:sz w:val="22"/>
          <w:szCs w:val="22"/>
        </w:rPr>
        <w:t xml:space="preserve"> para satisfacer lo solicitado, en términos del Criterio </w:t>
      </w:r>
      <w:r w:rsidRPr="00C56D9C">
        <w:rPr>
          <w:rFonts w:ascii="Palatino Linotype" w:eastAsia="Palatino Linotype" w:hAnsi="Palatino Linotype" w:cs="Palatino Linotype"/>
          <w:sz w:val="22"/>
          <w:szCs w:val="22"/>
        </w:rPr>
        <w:t xml:space="preserve">orientador </w:t>
      </w:r>
      <w:r w:rsidR="00514E61" w:rsidRPr="00C56D9C">
        <w:rPr>
          <w:rFonts w:ascii="Palatino Linotype" w:eastAsia="Palatino Linotype" w:hAnsi="Palatino Linotype" w:cs="Palatino Linotype"/>
          <w:sz w:val="22"/>
          <w:szCs w:val="22"/>
        </w:rPr>
        <w:t xml:space="preserve">con </w:t>
      </w:r>
      <w:r w:rsidRPr="00C56D9C">
        <w:rPr>
          <w:rFonts w:ascii="Palatino Linotype" w:eastAsia="Palatino Linotype" w:hAnsi="Palatino Linotype" w:cs="Palatino Linotype"/>
          <w:sz w:val="22"/>
          <w:szCs w:val="22"/>
        </w:rPr>
        <w:t>c</w:t>
      </w:r>
      <w:r w:rsidR="00514E61" w:rsidRPr="00C56D9C">
        <w:rPr>
          <w:rFonts w:ascii="Palatino Linotype" w:eastAsia="Palatino Linotype" w:hAnsi="Palatino Linotype" w:cs="Palatino Linotype"/>
          <w:sz w:val="22"/>
          <w:szCs w:val="22"/>
        </w:rPr>
        <w:t xml:space="preserve">lave de control SO/013/2017 emitido por el </w:t>
      </w:r>
      <w:r w:rsidRPr="00C56D9C">
        <w:rPr>
          <w:rFonts w:ascii="Palatino Linotype" w:eastAsia="Palatino Linotype" w:hAnsi="Palatino Linotype" w:cs="Palatino Linotype"/>
          <w:sz w:val="22"/>
          <w:szCs w:val="22"/>
        </w:rPr>
        <w:t xml:space="preserve">entonces </w:t>
      </w:r>
      <w:r w:rsidR="00514E61" w:rsidRPr="00C56D9C">
        <w:rPr>
          <w:rFonts w:ascii="Palatino Linotype" w:eastAsia="Palatino Linotype" w:hAnsi="Palatino Linotype" w:cs="Palatino Linotype"/>
          <w:sz w:val="22"/>
          <w:szCs w:val="22"/>
        </w:rPr>
        <w:t>Pleno del Instituto Nacional de Transparencia, Acceso a la Información y Protección de Datos Personales, el cual, para pronta referencia se reproduce a continuación:</w:t>
      </w:r>
    </w:p>
    <w:p w14:paraId="6561EB1F" w14:textId="77777777" w:rsidR="006D650E" w:rsidRPr="00C56D9C" w:rsidRDefault="006D650E" w:rsidP="00B81ABE">
      <w:pPr>
        <w:ind w:left="851" w:right="851"/>
        <w:jc w:val="both"/>
        <w:rPr>
          <w:rFonts w:ascii="Palatino Linotype" w:eastAsia="Palatino Linotype" w:hAnsi="Palatino Linotype" w:cs="Palatino Linotype"/>
          <w:b/>
          <w:i/>
          <w:sz w:val="22"/>
          <w:szCs w:val="22"/>
        </w:rPr>
      </w:pPr>
    </w:p>
    <w:p w14:paraId="11709E29" w14:textId="34601712" w:rsidR="00514E61" w:rsidRPr="00C56D9C" w:rsidRDefault="00514E61" w:rsidP="006D650E">
      <w:pP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“Incompetencia. La incompetencia implica la ausencia de atribuciones del sujeto obligado para poseer la información solicitada</w:t>
      </w:r>
      <w:r w:rsidRPr="00C56D9C">
        <w:rPr>
          <w:rFonts w:ascii="Palatino Linotype" w:eastAsia="Palatino Linotype" w:hAnsi="Palatino Linotype" w:cs="Palatino Linotype"/>
          <w:i/>
          <w:sz w:val="22"/>
          <w:szCs w:val="22"/>
        </w:rPr>
        <w:t xml:space="preserve">; es decir, se trata de una cuestión de derecho, </w:t>
      </w:r>
      <w:r w:rsidRPr="00C56D9C">
        <w:rPr>
          <w:rFonts w:ascii="Palatino Linotype" w:eastAsia="Palatino Linotype" w:hAnsi="Palatino Linotype" w:cs="Palatino Linotype"/>
          <w:b/>
          <w:i/>
          <w:sz w:val="22"/>
          <w:szCs w:val="22"/>
        </w:rPr>
        <w:t>en tanto que no existan facultades para contar con lo requerido</w:t>
      </w:r>
      <w:r w:rsidRPr="00C56D9C">
        <w:rPr>
          <w:rFonts w:ascii="Palatino Linotype" w:eastAsia="Palatino Linotype" w:hAnsi="Palatino Linotype" w:cs="Palatino Linotype"/>
          <w:i/>
          <w:sz w:val="22"/>
          <w:szCs w:val="22"/>
        </w:rPr>
        <w:t>; por lo que la incompetencia es una cualidad atribuida al sujeto obligado que la declara.”</w:t>
      </w:r>
    </w:p>
    <w:p w14:paraId="47A58391" w14:textId="77777777" w:rsidR="006D650E" w:rsidRPr="00C56D9C" w:rsidRDefault="006D650E" w:rsidP="00B81ABE">
      <w:pPr>
        <w:spacing w:line="360" w:lineRule="auto"/>
        <w:jc w:val="both"/>
        <w:rPr>
          <w:rFonts w:ascii="Palatino Linotype" w:hAnsi="Palatino Linotype"/>
          <w:sz w:val="22"/>
          <w:szCs w:val="22"/>
        </w:rPr>
      </w:pPr>
    </w:p>
    <w:p w14:paraId="105862B7" w14:textId="73500FCE" w:rsidR="002F1D80" w:rsidRPr="00C56D9C" w:rsidRDefault="002F1D80" w:rsidP="00B81ABE">
      <w:pPr>
        <w:spacing w:line="360" w:lineRule="auto"/>
        <w:jc w:val="both"/>
        <w:rPr>
          <w:rFonts w:ascii="Palatino Linotype" w:hAnsi="Palatino Linotype"/>
          <w:sz w:val="22"/>
          <w:szCs w:val="22"/>
        </w:rPr>
      </w:pPr>
      <w:r w:rsidRPr="00C56D9C">
        <w:rPr>
          <w:rFonts w:ascii="Palatino Linotype" w:hAnsi="Palatino Linotype"/>
          <w:sz w:val="22"/>
          <w:szCs w:val="22"/>
        </w:rPr>
        <w:t xml:space="preserve">Es así que se arriba a la conclusión de que el </w:t>
      </w:r>
      <w:r w:rsidRPr="00C56D9C">
        <w:rPr>
          <w:rFonts w:ascii="Palatino Linotype" w:hAnsi="Palatino Linotype"/>
          <w:b/>
          <w:bCs/>
          <w:sz w:val="22"/>
          <w:szCs w:val="22"/>
        </w:rPr>
        <w:t>Sujeto Obligado</w:t>
      </w:r>
      <w:r w:rsidRPr="00C56D9C">
        <w:rPr>
          <w:rFonts w:ascii="Palatino Linotype" w:hAnsi="Palatino Linotype"/>
          <w:sz w:val="22"/>
          <w:szCs w:val="22"/>
        </w:rPr>
        <w:t xml:space="preserve"> competente para atender el requerimiento de la persona solicitante, es </w:t>
      </w:r>
      <w:r w:rsidR="00DC147C" w:rsidRPr="00C56D9C">
        <w:rPr>
          <w:rFonts w:ascii="Palatino Linotype" w:hAnsi="Palatino Linotype"/>
          <w:sz w:val="22"/>
          <w:szCs w:val="22"/>
        </w:rPr>
        <w:t xml:space="preserve">el </w:t>
      </w:r>
      <w:r w:rsidR="00DC147C" w:rsidRPr="00C56D9C">
        <w:rPr>
          <w:rFonts w:ascii="Palatino Linotype" w:eastAsia="Palatino Linotype" w:hAnsi="Palatino Linotype" w:cs="Palatino Linotype"/>
          <w:sz w:val="22"/>
          <w:szCs w:val="22"/>
        </w:rPr>
        <w:t>Instituto Municipal de Cultura Física y Deporte de Tepotzotlán</w:t>
      </w:r>
      <w:r w:rsidRPr="00C56D9C">
        <w:rPr>
          <w:rFonts w:ascii="Palatino Linotype" w:hAnsi="Palatino Linotype"/>
          <w:sz w:val="22"/>
          <w:szCs w:val="22"/>
        </w:rPr>
        <w:t>.</w:t>
      </w:r>
    </w:p>
    <w:p w14:paraId="3276ABE0" w14:textId="77777777" w:rsidR="006D650E" w:rsidRPr="00C56D9C" w:rsidRDefault="006D650E" w:rsidP="00B81ABE">
      <w:pPr>
        <w:spacing w:line="360" w:lineRule="auto"/>
        <w:jc w:val="both"/>
        <w:rPr>
          <w:rFonts w:ascii="Palatino Linotype" w:hAnsi="Palatino Linotype"/>
          <w:sz w:val="22"/>
          <w:szCs w:val="22"/>
        </w:rPr>
      </w:pPr>
    </w:p>
    <w:p w14:paraId="29CFCBB7" w14:textId="63863FB4" w:rsidR="002F1D80" w:rsidRPr="00C56D9C" w:rsidRDefault="00A32E6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En consecuencia</w:t>
      </w:r>
      <w:r w:rsidR="002F1D80" w:rsidRPr="00C56D9C">
        <w:rPr>
          <w:rFonts w:ascii="Palatino Linotype" w:eastAsia="Palatino Linotype" w:hAnsi="Palatino Linotype" w:cs="Palatino Linotype"/>
          <w:sz w:val="22"/>
          <w:szCs w:val="22"/>
        </w:rPr>
        <w:t>, en el presente asunto no es procedente la entrega de información alguna para atender la solicitud de información, bajo la premisa de que los Sujetos Obligados sólo deben proporcionar aquella información que hubieran generado en el ejercicio de sus atribuciones y que obre en sus archivos, de conformidad con lo establecido en el artículo 12 de la Ley de Transparencia y Acceso a la Información Pública del Estado de México y Municipios, lo que a</w:t>
      </w:r>
      <w:r w:rsidR="002F1D80" w:rsidRPr="00C56D9C">
        <w:rPr>
          <w:rFonts w:ascii="Palatino Linotype" w:eastAsia="Palatino Linotype" w:hAnsi="Palatino Linotype" w:cs="Palatino Linotype"/>
          <w:i/>
          <w:sz w:val="22"/>
          <w:szCs w:val="22"/>
        </w:rPr>
        <w:t xml:space="preserve"> contrario sensu</w:t>
      </w:r>
      <w:r w:rsidR="002F1D80" w:rsidRPr="00C56D9C">
        <w:rPr>
          <w:rFonts w:ascii="Palatino Linotype" w:eastAsia="Palatino Linotype" w:hAnsi="Palatino Linotype" w:cs="Palatino Linotype"/>
          <w:sz w:val="22"/>
          <w:szCs w:val="22"/>
        </w:rPr>
        <w:t xml:space="preserve"> significa que no se está obligado a proporcionar lo que no obre en sus archivos, en consecuencia, el pronunciamiento vertido por la Unidad de Transparencia, es suficiente para tener por atendidos los requerimientos de información. </w:t>
      </w:r>
    </w:p>
    <w:p w14:paraId="282AD4AC"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23C6FF07" w14:textId="77777777" w:rsidR="002F1D80" w:rsidRPr="00C56D9C" w:rsidRDefault="002F1D80" w:rsidP="00B81ABE">
      <w:pPr>
        <w:spacing w:line="360" w:lineRule="auto"/>
        <w:ind w:right="49"/>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Dicho lo anterior, es de recordar, respecto a la Declaración de Incompetencia, que la Ley de Transparencia y Acceso a la Información Pública del Estado de México, establece en los artículos 49, fracción II y 167, lo siguiente: </w:t>
      </w:r>
    </w:p>
    <w:p w14:paraId="4F5FE5F0" w14:textId="77777777" w:rsidR="006D650E" w:rsidRPr="00C56D9C" w:rsidRDefault="006D650E" w:rsidP="00B81ABE">
      <w:pPr>
        <w:tabs>
          <w:tab w:val="left" w:pos="1134"/>
          <w:tab w:val="left" w:pos="1276"/>
        </w:tabs>
        <w:spacing w:line="276" w:lineRule="auto"/>
        <w:ind w:left="851" w:right="902"/>
        <w:jc w:val="both"/>
        <w:rPr>
          <w:rFonts w:ascii="Palatino Linotype" w:eastAsia="Palatino Linotype" w:hAnsi="Palatino Linotype" w:cs="Palatino Linotype"/>
          <w:i/>
          <w:sz w:val="22"/>
          <w:szCs w:val="22"/>
        </w:rPr>
      </w:pPr>
    </w:p>
    <w:p w14:paraId="3F188571" w14:textId="19D9B0CA" w:rsidR="002F1D80" w:rsidRPr="00C56D9C" w:rsidRDefault="002F1D80" w:rsidP="006D650E">
      <w:pPr>
        <w:tabs>
          <w:tab w:val="left" w:pos="1134"/>
          <w:tab w:val="left" w:pos="1276"/>
        </w:tabs>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i/>
          <w:sz w:val="22"/>
          <w:szCs w:val="22"/>
        </w:rPr>
        <w:t>“</w:t>
      </w:r>
      <w:r w:rsidRPr="00C56D9C">
        <w:rPr>
          <w:rFonts w:ascii="Palatino Linotype" w:eastAsia="Palatino Linotype" w:hAnsi="Palatino Linotype" w:cs="Palatino Linotype"/>
          <w:b/>
          <w:i/>
          <w:sz w:val="22"/>
          <w:szCs w:val="22"/>
        </w:rPr>
        <w:t>Artículo 49.</w:t>
      </w:r>
      <w:r w:rsidRPr="00C56D9C">
        <w:rPr>
          <w:rFonts w:ascii="Palatino Linotype" w:eastAsia="Palatino Linotype" w:hAnsi="Palatino Linotype" w:cs="Palatino Linotype"/>
          <w:i/>
          <w:sz w:val="22"/>
          <w:szCs w:val="22"/>
        </w:rPr>
        <w:t xml:space="preserve"> </w:t>
      </w:r>
      <w:r w:rsidRPr="00C56D9C">
        <w:rPr>
          <w:rFonts w:ascii="Palatino Linotype" w:eastAsia="Palatino Linotype" w:hAnsi="Palatino Linotype" w:cs="Palatino Linotype"/>
          <w:b/>
          <w:i/>
          <w:sz w:val="22"/>
          <w:szCs w:val="22"/>
        </w:rPr>
        <w:t>Los Comités de Transparencia</w:t>
      </w:r>
      <w:r w:rsidRPr="00C56D9C">
        <w:rPr>
          <w:rFonts w:ascii="Palatino Linotype" w:eastAsia="Palatino Linotype" w:hAnsi="Palatino Linotype" w:cs="Palatino Linotype"/>
          <w:i/>
          <w:sz w:val="22"/>
          <w:szCs w:val="22"/>
        </w:rPr>
        <w:t xml:space="preserve"> tendrán las siguientes atribuciones:</w:t>
      </w:r>
    </w:p>
    <w:p w14:paraId="2AC4152C" w14:textId="77777777" w:rsidR="002F1D80" w:rsidRPr="00C56D9C" w:rsidRDefault="002F1D80" w:rsidP="006D650E">
      <w:pPr>
        <w:tabs>
          <w:tab w:val="left" w:pos="1134"/>
        </w:tabs>
        <w:spacing w:line="276" w:lineRule="auto"/>
        <w:ind w:left="851" w:right="616"/>
        <w:jc w:val="both"/>
        <w:rPr>
          <w:rFonts w:ascii="Palatino Linotype" w:eastAsia="Palatino Linotype" w:hAnsi="Palatino Linotype" w:cs="Palatino Linotype"/>
          <w:b/>
          <w:i/>
          <w:sz w:val="22"/>
          <w:szCs w:val="22"/>
        </w:rPr>
      </w:pPr>
      <w:r w:rsidRPr="00C56D9C">
        <w:rPr>
          <w:rFonts w:ascii="Palatino Linotype" w:eastAsia="Palatino Linotype" w:hAnsi="Palatino Linotype" w:cs="Palatino Linotype"/>
          <w:b/>
          <w:i/>
          <w:sz w:val="22"/>
          <w:szCs w:val="22"/>
        </w:rPr>
        <w:t>...</w:t>
      </w:r>
    </w:p>
    <w:p w14:paraId="3F6CF9A6" w14:textId="77777777" w:rsidR="002F1D80" w:rsidRPr="00C56D9C" w:rsidRDefault="002F1D80" w:rsidP="006D650E">
      <w:pPr>
        <w:tabs>
          <w:tab w:val="left" w:pos="1134"/>
        </w:tabs>
        <w:spacing w:line="276" w:lineRule="auto"/>
        <w:ind w:left="851" w:right="616"/>
        <w:jc w:val="both"/>
        <w:rPr>
          <w:rFonts w:ascii="Palatino Linotype" w:eastAsia="Palatino Linotype" w:hAnsi="Palatino Linotype" w:cs="Palatino Linotype"/>
          <w:b/>
          <w:i/>
          <w:sz w:val="22"/>
          <w:szCs w:val="22"/>
          <w:u w:val="single"/>
        </w:rPr>
      </w:pPr>
      <w:r w:rsidRPr="00C56D9C">
        <w:rPr>
          <w:rFonts w:ascii="Palatino Linotype" w:eastAsia="Palatino Linotype" w:hAnsi="Palatino Linotype" w:cs="Palatino Linotype"/>
          <w:b/>
          <w:i/>
          <w:sz w:val="22"/>
          <w:szCs w:val="22"/>
        </w:rPr>
        <w:t>II.</w:t>
      </w:r>
      <w:r w:rsidRPr="00C56D9C">
        <w:rPr>
          <w:rFonts w:ascii="Palatino Linotype" w:eastAsia="Calibri" w:hAnsi="Palatino Linotype" w:cs="Calibri"/>
          <w:sz w:val="22"/>
          <w:szCs w:val="22"/>
        </w:rPr>
        <w:t xml:space="preserve"> </w:t>
      </w:r>
      <w:r w:rsidRPr="00C56D9C">
        <w:rPr>
          <w:rFonts w:ascii="Palatino Linotype" w:eastAsia="Palatino Linotype" w:hAnsi="Palatino Linotype" w:cs="Palatino Linotype"/>
          <w:b/>
          <w:i/>
          <w:sz w:val="22"/>
          <w:szCs w:val="22"/>
        </w:rPr>
        <w:t>Confirmar, modificar o revocar</w:t>
      </w:r>
      <w:r w:rsidRPr="00C56D9C">
        <w:rPr>
          <w:rFonts w:ascii="Palatino Linotype" w:eastAsia="Palatino Linotype" w:hAnsi="Palatino Linotype" w:cs="Palatino Linotype"/>
          <w:i/>
          <w:sz w:val="22"/>
          <w:szCs w:val="22"/>
        </w:rPr>
        <w:t xml:space="preserve"> las determinaciones que en materia de ampliación del plazo de respuesta, clasificación de la información </w:t>
      </w:r>
      <w:r w:rsidRPr="00C56D9C">
        <w:rPr>
          <w:rFonts w:ascii="Palatino Linotype" w:eastAsia="Palatino Linotype" w:hAnsi="Palatino Linotype" w:cs="Palatino Linotype"/>
          <w:b/>
          <w:i/>
          <w:sz w:val="22"/>
          <w:szCs w:val="22"/>
        </w:rPr>
        <w:t>y declaración</w:t>
      </w:r>
      <w:r w:rsidRPr="00C56D9C">
        <w:rPr>
          <w:rFonts w:ascii="Palatino Linotype" w:eastAsia="Palatino Linotype" w:hAnsi="Palatino Linotype" w:cs="Palatino Linotype"/>
          <w:i/>
          <w:sz w:val="22"/>
          <w:szCs w:val="22"/>
        </w:rPr>
        <w:t xml:space="preserve"> de inexistencia o </w:t>
      </w:r>
      <w:r w:rsidRPr="00C56D9C">
        <w:rPr>
          <w:rFonts w:ascii="Palatino Linotype" w:eastAsia="Palatino Linotype" w:hAnsi="Palatino Linotype" w:cs="Palatino Linotype"/>
          <w:b/>
          <w:i/>
          <w:sz w:val="22"/>
          <w:szCs w:val="22"/>
        </w:rPr>
        <w:t>de incompetencia realicen los titulares de las áreas de los sujetos obligados;</w:t>
      </w:r>
    </w:p>
    <w:p w14:paraId="52B225C7" w14:textId="77777777" w:rsidR="002F1D80" w:rsidRPr="00C56D9C" w:rsidRDefault="002F1D80" w:rsidP="006D650E">
      <w:pPr>
        <w:tabs>
          <w:tab w:val="left" w:pos="1134"/>
        </w:tabs>
        <w:spacing w:line="276" w:lineRule="auto"/>
        <w:ind w:left="851" w:right="616"/>
        <w:jc w:val="both"/>
        <w:rPr>
          <w:rFonts w:ascii="Palatino Linotype" w:eastAsia="Palatino Linotype" w:hAnsi="Palatino Linotype" w:cs="Palatino Linotype"/>
          <w:b/>
          <w:i/>
          <w:sz w:val="22"/>
          <w:szCs w:val="22"/>
        </w:rPr>
      </w:pPr>
      <w:r w:rsidRPr="00C56D9C">
        <w:rPr>
          <w:rFonts w:ascii="Palatino Linotype" w:eastAsia="Palatino Linotype" w:hAnsi="Palatino Linotype" w:cs="Palatino Linotype"/>
          <w:b/>
          <w:i/>
          <w:sz w:val="22"/>
          <w:szCs w:val="22"/>
        </w:rPr>
        <w:t>...</w:t>
      </w:r>
    </w:p>
    <w:p w14:paraId="17602048" w14:textId="77777777" w:rsidR="002F1D80" w:rsidRPr="00C56D9C" w:rsidRDefault="002F1D80" w:rsidP="006D650E">
      <w:pPr>
        <w:tabs>
          <w:tab w:val="left" w:pos="1134"/>
        </w:tabs>
        <w:spacing w:line="276" w:lineRule="auto"/>
        <w:ind w:left="851" w:right="616"/>
        <w:jc w:val="both"/>
        <w:rPr>
          <w:rFonts w:ascii="Palatino Linotype" w:eastAsia="Palatino Linotype" w:hAnsi="Palatino Linotype" w:cs="Palatino Linotype"/>
          <w:b/>
          <w:i/>
          <w:sz w:val="22"/>
          <w:szCs w:val="22"/>
        </w:rPr>
      </w:pPr>
      <w:r w:rsidRPr="00C56D9C">
        <w:rPr>
          <w:rFonts w:ascii="Palatino Linotype" w:eastAsia="Palatino Linotype" w:hAnsi="Palatino Linotype" w:cs="Palatino Linotype"/>
          <w:b/>
          <w:i/>
          <w:sz w:val="22"/>
          <w:szCs w:val="22"/>
        </w:rPr>
        <w:t>Artículo 167</w:t>
      </w:r>
      <w:r w:rsidRPr="00C56D9C">
        <w:rPr>
          <w:rFonts w:ascii="Palatino Linotype" w:eastAsia="Palatino Linotype" w:hAnsi="Palatino Linotype" w:cs="Palatino Linotype"/>
          <w:i/>
          <w:sz w:val="22"/>
          <w:szCs w:val="22"/>
        </w:rPr>
        <w:t xml:space="preserve">. </w:t>
      </w:r>
      <w:r w:rsidRPr="00C56D9C">
        <w:rPr>
          <w:rFonts w:ascii="Palatino Linotype" w:eastAsia="Palatino Linotype" w:hAnsi="Palatino Linotype" w:cs="Palatino Linotype"/>
          <w:b/>
          <w:i/>
          <w:sz w:val="22"/>
          <w:szCs w:val="22"/>
        </w:rPr>
        <w:t>Cuando las unidades de transparencia determinen la notoria incompetencia</w:t>
      </w:r>
      <w:r w:rsidRPr="00C56D9C">
        <w:rPr>
          <w:rFonts w:ascii="Palatino Linotype" w:eastAsia="Palatino Linotype" w:hAnsi="Palatino Linotype" w:cs="Palatino Linotype"/>
          <w:i/>
          <w:sz w:val="22"/>
          <w:szCs w:val="22"/>
        </w:rPr>
        <w:t xml:space="preserve"> por parte de los sujetos obligados, dentro del ámbito de aplicación, para atender la solicitud de acceso a la información, </w:t>
      </w:r>
      <w:r w:rsidRPr="00C56D9C">
        <w:rPr>
          <w:rFonts w:ascii="Palatino Linotype" w:eastAsia="Palatino Linotype" w:hAnsi="Palatino Linotype" w:cs="Palatino Linotype"/>
          <w:b/>
          <w:i/>
          <w:sz w:val="22"/>
          <w:szCs w:val="22"/>
        </w:rPr>
        <w:t>deberán comunicarlo al solicitante, dentro de los tres días hábiles posteriores a la recepción de la solicitud</w:t>
      </w:r>
      <w:r w:rsidRPr="00C56D9C">
        <w:rPr>
          <w:rFonts w:ascii="Palatino Linotype" w:eastAsia="Palatino Linotype" w:hAnsi="Palatino Linotype" w:cs="Palatino Linotype"/>
          <w:i/>
          <w:sz w:val="22"/>
          <w:szCs w:val="22"/>
        </w:rPr>
        <w:t xml:space="preserve"> y, </w:t>
      </w:r>
      <w:r w:rsidRPr="00C56D9C">
        <w:rPr>
          <w:rFonts w:ascii="Palatino Linotype" w:eastAsia="Palatino Linotype" w:hAnsi="Palatino Linotype" w:cs="Palatino Linotype"/>
          <w:b/>
          <w:i/>
          <w:sz w:val="22"/>
          <w:szCs w:val="22"/>
        </w:rPr>
        <w:t>en su caso orientar al solicitante, el o los sujetos obligados competentes.” (Sic)</w:t>
      </w:r>
    </w:p>
    <w:p w14:paraId="02D011D6" w14:textId="77777777" w:rsidR="006D650E" w:rsidRPr="00C56D9C" w:rsidRDefault="006D650E" w:rsidP="00B81ABE">
      <w:pPr>
        <w:tabs>
          <w:tab w:val="left" w:pos="142"/>
          <w:tab w:val="left" w:pos="284"/>
        </w:tabs>
        <w:spacing w:line="360" w:lineRule="auto"/>
        <w:jc w:val="both"/>
        <w:rPr>
          <w:rFonts w:ascii="Palatino Linotype" w:eastAsia="Palatino Linotype" w:hAnsi="Palatino Linotype" w:cs="Palatino Linotype"/>
          <w:sz w:val="22"/>
          <w:szCs w:val="22"/>
        </w:rPr>
      </w:pPr>
    </w:p>
    <w:p w14:paraId="5DC32D97" w14:textId="0E2D818F" w:rsidR="002F1D80" w:rsidRPr="00C56D9C" w:rsidRDefault="002F1D80" w:rsidP="00B81ABE">
      <w:pPr>
        <w:tabs>
          <w:tab w:val="left" w:pos="142"/>
          <w:tab w:val="left" w:pos="284"/>
        </w:tabs>
        <w:spacing w:line="360" w:lineRule="auto"/>
        <w:jc w:val="both"/>
        <w:rPr>
          <w:rFonts w:ascii="Palatino Linotype" w:eastAsia="Palatino Linotype" w:hAnsi="Palatino Linotype" w:cs="Palatino Linotype"/>
          <w:b/>
          <w:sz w:val="22"/>
          <w:szCs w:val="22"/>
        </w:rPr>
      </w:pPr>
      <w:r w:rsidRPr="00C56D9C">
        <w:rPr>
          <w:rFonts w:ascii="Palatino Linotype" w:eastAsia="Palatino Linotype" w:hAnsi="Palatino Linotype" w:cs="Palatino Linotype"/>
          <w:sz w:val="22"/>
          <w:szCs w:val="22"/>
        </w:rPr>
        <w:t>De los preceptos citados se desprende que es atribución del Comité de Transparencia confirmar, modificar o revocar, en su caso, la declaración de incompetencia,</w:t>
      </w:r>
      <w:r w:rsidRPr="00C56D9C">
        <w:rPr>
          <w:rFonts w:ascii="Palatino Linotype" w:eastAsia="Palatino Linotype" w:hAnsi="Palatino Linotype" w:cs="Palatino Linotype"/>
          <w:b/>
          <w:sz w:val="22"/>
          <w:szCs w:val="22"/>
        </w:rPr>
        <w:t xml:space="preserve"> en aquellos casos en los que no se trate de una notoria incompetencia. </w:t>
      </w:r>
    </w:p>
    <w:p w14:paraId="1F89EB24" w14:textId="77777777" w:rsidR="006D650E" w:rsidRPr="00C56D9C" w:rsidRDefault="006D650E" w:rsidP="00B81ABE">
      <w:pPr>
        <w:tabs>
          <w:tab w:val="left" w:pos="142"/>
          <w:tab w:val="left" w:pos="284"/>
        </w:tabs>
        <w:spacing w:line="360" w:lineRule="auto"/>
        <w:jc w:val="both"/>
        <w:rPr>
          <w:rFonts w:ascii="Palatino Linotype" w:eastAsia="Palatino Linotype" w:hAnsi="Palatino Linotype" w:cs="Palatino Linotype"/>
          <w:b/>
          <w:sz w:val="22"/>
          <w:szCs w:val="22"/>
        </w:rPr>
      </w:pPr>
    </w:p>
    <w:p w14:paraId="23B8E5FB" w14:textId="77777777" w:rsidR="002F1D80" w:rsidRPr="00C56D9C" w:rsidRDefault="002F1D80" w:rsidP="00B81ABE">
      <w:pPr>
        <w:tabs>
          <w:tab w:val="left" w:pos="142"/>
          <w:tab w:val="left" w:pos="284"/>
        </w:tabs>
        <w:spacing w:line="360" w:lineRule="auto"/>
        <w:jc w:val="both"/>
        <w:rPr>
          <w:rFonts w:ascii="Palatino Linotype" w:eastAsia="Palatino Linotype" w:hAnsi="Palatino Linotype" w:cs="Palatino Linotype"/>
          <w:sz w:val="22"/>
          <w:szCs w:val="22"/>
          <w:u w:val="single"/>
        </w:rPr>
      </w:pPr>
      <w:r w:rsidRPr="00C56D9C">
        <w:rPr>
          <w:rFonts w:ascii="Palatino Linotype" w:eastAsia="Palatino Linotype" w:hAnsi="Palatino Linotype" w:cs="Palatino Linotype"/>
          <w:sz w:val="22"/>
          <w:szCs w:val="22"/>
        </w:rPr>
        <w:t xml:space="preserve">Puesto que la Ley también prevé que dicho acuerdo no es necesario cuando la Unidad de Transparencia determine que la incompetencia es notoria dando un plazo de tres días hábiles para hacerlo del conocimiento de la persona solicitante. En otras palabras, la Ley de la Materia confiere a las Unidades de Transparencia la posibilidad de notificar la incompetencia cuando esta sea notoria, siendo innecesario que dicha circunstancia sea sometida a consideración de los integrantes del Comité de Transparencia </w:t>
      </w:r>
      <w:r w:rsidRPr="00C56D9C">
        <w:rPr>
          <w:rFonts w:ascii="Palatino Linotype" w:eastAsia="Palatino Linotype" w:hAnsi="Palatino Linotype" w:cs="Palatino Linotype"/>
          <w:sz w:val="22"/>
          <w:szCs w:val="22"/>
          <w:u w:val="single"/>
        </w:rPr>
        <w:t xml:space="preserve">para su aprobación. </w:t>
      </w:r>
    </w:p>
    <w:p w14:paraId="0FCD0F8D" w14:textId="77777777" w:rsidR="006D650E" w:rsidRPr="00C56D9C" w:rsidRDefault="006D650E" w:rsidP="00B81ABE">
      <w:pPr>
        <w:tabs>
          <w:tab w:val="left" w:pos="142"/>
          <w:tab w:val="left" w:pos="284"/>
        </w:tabs>
        <w:spacing w:line="360" w:lineRule="auto"/>
        <w:jc w:val="both"/>
        <w:rPr>
          <w:rFonts w:ascii="Palatino Linotype" w:eastAsia="Palatino Linotype" w:hAnsi="Palatino Linotype" w:cs="Palatino Linotype"/>
          <w:sz w:val="22"/>
          <w:szCs w:val="22"/>
          <w:u w:val="single"/>
        </w:rPr>
      </w:pPr>
    </w:p>
    <w:p w14:paraId="075B85C9" w14:textId="44C41DDB" w:rsidR="002F1D80" w:rsidRPr="00C56D9C" w:rsidRDefault="002F1D80" w:rsidP="00B81ABE">
      <w:pPr>
        <w:tabs>
          <w:tab w:val="left" w:pos="142"/>
          <w:tab w:val="left" w:pos="284"/>
        </w:tabs>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Como sustento de lo anterior, resulta aplicable el Criterio de Interpretación con Clave ce control SO/002/2020, emitido por el</w:t>
      </w:r>
      <w:r w:rsidR="00B40014" w:rsidRPr="00C56D9C">
        <w:rPr>
          <w:rFonts w:ascii="Palatino Linotype" w:eastAsia="Palatino Linotype" w:hAnsi="Palatino Linotype" w:cs="Palatino Linotype"/>
          <w:sz w:val="22"/>
          <w:szCs w:val="22"/>
        </w:rPr>
        <w:t xml:space="preserve"> entonces </w:t>
      </w:r>
      <w:r w:rsidRPr="00C56D9C">
        <w:rPr>
          <w:rFonts w:ascii="Palatino Linotype" w:eastAsia="Palatino Linotype" w:hAnsi="Palatino Linotype" w:cs="Palatino Linotype"/>
          <w:sz w:val="22"/>
          <w:szCs w:val="22"/>
        </w:rPr>
        <w:t xml:space="preserve">Instituto Nacional de Transparencia, Acceso a la Información, y Protección de Datos Personales, INAI, que lleva por rubro y texto los siguientes:  </w:t>
      </w:r>
    </w:p>
    <w:p w14:paraId="5D281AF4" w14:textId="77777777" w:rsidR="002F1D80" w:rsidRPr="00C56D9C" w:rsidRDefault="002F1D80" w:rsidP="006D650E">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“Declaración de incompetencia por parte del Comité, cuando no sea notoria o manifiesta.</w:t>
      </w:r>
      <w:r w:rsidRPr="00C56D9C">
        <w:rPr>
          <w:rFonts w:ascii="Palatino Linotype" w:eastAsia="Palatino Linotype" w:hAnsi="Palatino Linotype" w:cs="Palatino Linotype"/>
          <w:i/>
          <w:sz w:val="22"/>
          <w:szCs w:val="22"/>
        </w:rPr>
        <w:t xml:space="preserve"> Cuando la normatividad que prevé las atribuciones del sujeto obligado no sea clara en delimitar su competencia respecto a lo requerido por la persona solicitante y resulte necesario efectuar un análisis mayor para determinar la incompetencia, ésta debe ser declarada por el Comité de Transparencia.”</w:t>
      </w:r>
    </w:p>
    <w:p w14:paraId="791D0E46" w14:textId="77777777" w:rsidR="006D650E" w:rsidRPr="00C56D9C" w:rsidRDefault="006D650E" w:rsidP="00B81ABE">
      <w:pPr>
        <w:tabs>
          <w:tab w:val="left" w:pos="142"/>
          <w:tab w:val="left" w:pos="284"/>
        </w:tabs>
        <w:spacing w:line="360" w:lineRule="auto"/>
        <w:jc w:val="both"/>
        <w:rPr>
          <w:rFonts w:ascii="Palatino Linotype" w:eastAsia="Palatino Linotype" w:hAnsi="Palatino Linotype" w:cs="Palatino Linotype"/>
          <w:sz w:val="22"/>
          <w:szCs w:val="22"/>
        </w:rPr>
      </w:pPr>
    </w:p>
    <w:p w14:paraId="669EDF8D" w14:textId="48DA4886" w:rsidR="002F1D80" w:rsidRPr="00C56D9C" w:rsidRDefault="002F1D80" w:rsidP="00B81ABE">
      <w:pPr>
        <w:tabs>
          <w:tab w:val="left" w:pos="142"/>
          <w:tab w:val="left" w:pos="284"/>
        </w:tabs>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De igual manera, el Pleno de este Instituto, a través del Criterio 02/04 emitido en la Segunda Época, precisa los alcances del artículo 167 de la Ley de Transparencia, al señalar que corresponde al Comité de Transparencia confirmar la declaratoria de incompetencia y notificarle dicha determinación al particular, refiriéndose a aquellos casos en los que exista</w:t>
      </w:r>
      <w:r w:rsidRPr="00C56D9C">
        <w:rPr>
          <w:rFonts w:ascii="Palatino Linotype" w:eastAsia="Palatino Linotype" w:hAnsi="Palatino Linotype" w:cs="Palatino Linotype"/>
          <w:b/>
          <w:sz w:val="22"/>
          <w:szCs w:val="22"/>
        </w:rPr>
        <w:t xml:space="preserve"> </w:t>
      </w:r>
      <w:r w:rsidRPr="00C56D9C">
        <w:rPr>
          <w:rFonts w:ascii="Palatino Linotype" w:eastAsia="Palatino Linotype" w:hAnsi="Palatino Linotype" w:cs="Palatino Linotype"/>
          <w:b/>
          <w:sz w:val="22"/>
          <w:szCs w:val="22"/>
          <w:u w:val="single"/>
        </w:rPr>
        <w:t>duda razonable sobre la administración del documento materia de la solicitud de información</w:t>
      </w:r>
      <w:r w:rsidRPr="00C56D9C">
        <w:rPr>
          <w:rFonts w:ascii="Palatino Linotype" w:eastAsia="Palatino Linotype" w:hAnsi="Palatino Linotype" w:cs="Palatino Linotype"/>
          <w:sz w:val="22"/>
          <w:szCs w:val="22"/>
        </w:rPr>
        <w:t>, como se lee enseguida:</w:t>
      </w:r>
    </w:p>
    <w:p w14:paraId="4696A9C4" w14:textId="77777777" w:rsidR="006D650E" w:rsidRPr="00C56D9C" w:rsidRDefault="006D650E" w:rsidP="00B81ABE">
      <w:pPr>
        <w:tabs>
          <w:tab w:val="left" w:pos="1418"/>
        </w:tabs>
        <w:ind w:left="851" w:right="902"/>
        <w:jc w:val="both"/>
        <w:rPr>
          <w:rFonts w:ascii="Palatino Linotype" w:eastAsia="Palatino Linotype" w:hAnsi="Palatino Linotype" w:cs="Palatino Linotype"/>
          <w:b/>
          <w:i/>
          <w:sz w:val="22"/>
          <w:szCs w:val="22"/>
        </w:rPr>
      </w:pPr>
    </w:p>
    <w:p w14:paraId="77F3070D" w14:textId="383E3C28" w:rsidR="002F1D80" w:rsidRPr="00C56D9C" w:rsidRDefault="002F1D80" w:rsidP="006D650E">
      <w:pPr>
        <w:tabs>
          <w:tab w:val="left" w:pos="1418"/>
        </w:tabs>
        <w:spacing w:line="276" w:lineRule="auto"/>
        <w:ind w:left="851" w:right="616"/>
        <w:jc w:val="both"/>
        <w:rPr>
          <w:rFonts w:ascii="Palatino Linotype" w:eastAsia="Palatino Linotype" w:hAnsi="Palatino Linotype" w:cs="Palatino Linotype"/>
          <w:i/>
          <w:sz w:val="22"/>
          <w:szCs w:val="22"/>
        </w:rPr>
      </w:pPr>
      <w:r w:rsidRPr="00C56D9C">
        <w:rPr>
          <w:rFonts w:ascii="Palatino Linotype" w:eastAsia="Palatino Linotype" w:hAnsi="Palatino Linotype" w:cs="Palatino Linotype"/>
          <w:b/>
          <w:i/>
          <w:sz w:val="22"/>
          <w:szCs w:val="22"/>
        </w:rPr>
        <w:t xml:space="preserve">“DECLARATORIA DE INCOMPETENCIA DEL SUJETO OBLIGADO. SUPUESTO PARA CONFIRMARLA POR ACUERDO DEL COMITÉ DE TRANSPARENCIA. </w:t>
      </w:r>
      <w:r w:rsidRPr="00C56D9C">
        <w:rPr>
          <w:rFonts w:ascii="Palatino Linotype" w:eastAsia="Palatino Linotype" w:hAnsi="Palatino Linotype" w:cs="Palatino Linotype"/>
          <w:i/>
          <w:sz w:val="22"/>
          <w:szCs w:val="22"/>
        </w:rPr>
        <w:t xml:space="preserve">De conformidad con el artículo 167 de la Ley de Transparencia vigente en la entidad, las Unidades de Transparencia tienen la facultad de determinar la notoria incompetencia para atender las solicitudes de acceso a la información y comunicarla al solicitante dentro de los tres días hábiles posteriores a la recepción de la misma, así como en su caso, orientar al particular sobre el o los Sujetos Obligados competentes para su atención. No obstante, es importante resaltar que </w:t>
      </w:r>
      <w:r w:rsidRPr="00C56D9C">
        <w:rPr>
          <w:rFonts w:ascii="Palatino Linotype" w:eastAsia="Palatino Linotype" w:hAnsi="Palatino Linotype" w:cs="Palatino Linotype"/>
          <w:b/>
          <w:i/>
          <w:sz w:val="22"/>
          <w:szCs w:val="22"/>
        </w:rPr>
        <w:t xml:space="preserve">al ejercer el derecho de acceso a la información pública cabe la posibilidad de que existan atribuciones concurrentes entre dos o más Sujetos Obligados que </w:t>
      </w:r>
      <w:r w:rsidRPr="00C56D9C">
        <w:rPr>
          <w:rFonts w:ascii="Palatino Linotype" w:eastAsia="Palatino Linotype" w:hAnsi="Palatino Linotype" w:cs="Palatino Linotype"/>
          <w:b/>
          <w:i/>
          <w:sz w:val="22"/>
          <w:szCs w:val="22"/>
          <w:u w:val="single"/>
        </w:rPr>
        <w:t>impiden determinar dentro del término legal de tres días hábiles</w:t>
      </w:r>
      <w:r w:rsidRPr="00C56D9C">
        <w:rPr>
          <w:rFonts w:ascii="Palatino Linotype" w:eastAsia="Palatino Linotype" w:hAnsi="Palatino Linotype" w:cs="Palatino Linotype"/>
          <w:b/>
          <w:i/>
          <w:sz w:val="22"/>
          <w:szCs w:val="22"/>
        </w:rPr>
        <w:t>, si se posee o no la información por el Sujeto Obligado requerid</w:t>
      </w:r>
      <w:r w:rsidRPr="00C56D9C">
        <w:rPr>
          <w:rFonts w:ascii="Palatino Linotype" w:eastAsia="Palatino Linotype" w:hAnsi="Palatino Linotype" w:cs="Palatino Linotype"/>
          <w:i/>
          <w:sz w:val="22"/>
          <w:szCs w:val="22"/>
        </w:rPr>
        <w:t>o; en virtud de ello, en aras de disipar toda duda razonable sobre la administración del documento materia de la solicitud de información, 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w:t>
      </w:r>
    </w:p>
    <w:p w14:paraId="7B248697" w14:textId="77777777" w:rsidR="006D650E" w:rsidRPr="00C56D9C" w:rsidRDefault="006D650E" w:rsidP="00B81ABE">
      <w:pPr>
        <w:tabs>
          <w:tab w:val="left" w:pos="142"/>
          <w:tab w:val="left" w:pos="284"/>
        </w:tabs>
        <w:spacing w:line="360" w:lineRule="auto"/>
        <w:jc w:val="both"/>
        <w:rPr>
          <w:rFonts w:ascii="Palatino Linotype" w:eastAsia="Palatino Linotype" w:hAnsi="Palatino Linotype" w:cs="Palatino Linotype"/>
          <w:sz w:val="22"/>
          <w:szCs w:val="22"/>
        </w:rPr>
      </w:pPr>
    </w:p>
    <w:p w14:paraId="41626DF7" w14:textId="1CFB98E0" w:rsidR="002F1D80" w:rsidRPr="00C56D9C" w:rsidRDefault="002F1D80" w:rsidP="00B81ABE">
      <w:pPr>
        <w:tabs>
          <w:tab w:val="left" w:pos="142"/>
          <w:tab w:val="left" w:pos="284"/>
        </w:tabs>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En el caso particular, como ha quedado demostrado a lo largo del presente estudio, la incompetencia del Sujeto Obligado es notoria por lo tanto resulta innecesaria la emisión de una declaratoria formal de incompetencia a través del Comité de Transparencia.</w:t>
      </w:r>
    </w:p>
    <w:p w14:paraId="5E0F4BD3" w14:textId="77777777" w:rsidR="006D650E" w:rsidRPr="00C56D9C" w:rsidRDefault="006D650E" w:rsidP="00B81ABE">
      <w:pPr>
        <w:tabs>
          <w:tab w:val="left" w:pos="142"/>
          <w:tab w:val="left" w:pos="284"/>
        </w:tabs>
        <w:spacing w:line="360" w:lineRule="auto"/>
        <w:jc w:val="both"/>
        <w:rPr>
          <w:rFonts w:ascii="Palatino Linotype" w:eastAsia="Palatino Linotype" w:hAnsi="Palatino Linotype" w:cs="Palatino Linotype"/>
          <w:sz w:val="22"/>
          <w:szCs w:val="22"/>
        </w:rPr>
      </w:pPr>
    </w:p>
    <w:p w14:paraId="78217A76" w14:textId="738C1624" w:rsidR="002F1D80" w:rsidRPr="00C56D9C" w:rsidRDefault="002F1D80" w:rsidP="00B81ABE">
      <w:pPr>
        <w:tabs>
          <w:tab w:val="left" w:pos="142"/>
          <w:tab w:val="left" w:pos="284"/>
        </w:tabs>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En tales circunstancias, dado que el </w:t>
      </w:r>
      <w:r w:rsidRPr="00C56D9C">
        <w:rPr>
          <w:rFonts w:ascii="Palatino Linotype" w:eastAsia="Palatino Linotype" w:hAnsi="Palatino Linotype" w:cs="Palatino Linotype"/>
          <w:b/>
          <w:sz w:val="22"/>
          <w:szCs w:val="22"/>
        </w:rPr>
        <w:t>Sujeto Obligado</w:t>
      </w:r>
      <w:r w:rsidRPr="00C56D9C">
        <w:rPr>
          <w:rFonts w:ascii="Palatino Linotype" w:eastAsia="Palatino Linotype" w:hAnsi="Palatino Linotype" w:cs="Palatino Linotype"/>
          <w:sz w:val="22"/>
          <w:szCs w:val="22"/>
        </w:rPr>
        <w:t xml:space="preserve"> informó de la notoria incompetencia para atender favorablemente la solicitud a la persona solicitante, asimismo le orientó en su respuesta </w:t>
      </w:r>
      <w:r w:rsidR="00C4772D" w:rsidRPr="00C56D9C">
        <w:rPr>
          <w:rFonts w:ascii="Palatino Linotype" w:eastAsia="Palatino Linotype" w:hAnsi="Palatino Linotype" w:cs="Palatino Linotype"/>
          <w:sz w:val="22"/>
          <w:szCs w:val="22"/>
        </w:rPr>
        <w:t xml:space="preserve">al </w:t>
      </w:r>
      <w:r w:rsidR="00DC147C" w:rsidRPr="00C56D9C">
        <w:rPr>
          <w:rFonts w:ascii="Palatino Linotype" w:eastAsia="Palatino Linotype" w:hAnsi="Palatino Linotype" w:cs="Palatino Linotype"/>
          <w:sz w:val="22"/>
          <w:szCs w:val="22"/>
        </w:rPr>
        <w:t>Instituto Municipal de Cultura Física y Deporte de Tepotzotlán</w:t>
      </w:r>
      <w:r w:rsidRPr="00C56D9C">
        <w:rPr>
          <w:rFonts w:ascii="Palatino Linotype" w:hAnsi="Palatino Linotype"/>
          <w:sz w:val="22"/>
          <w:szCs w:val="22"/>
        </w:rPr>
        <w:t xml:space="preserve">, como el </w:t>
      </w:r>
      <w:r w:rsidRPr="00C56D9C">
        <w:rPr>
          <w:rFonts w:ascii="Palatino Linotype" w:hAnsi="Palatino Linotype"/>
          <w:b/>
          <w:bCs/>
          <w:sz w:val="22"/>
          <w:szCs w:val="22"/>
        </w:rPr>
        <w:t>Sujeto Obligado</w:t>
      </w:r>
      <w:r w:rsidRPr="00C56D9C">
        <w:rPr>
          <w:rFonts w:ascii="Palatino Linotype" w:hAnsi="Palatino Linotype"/>
          <w:sz w:val="22"/>
          <w:szCs w:val="22"/>
        </w:rPr>
        <w:t xml:space="preserve"> competente para generar, administrar o poseer la información que es de su interés, siendo de </w:t>
      </w:r>
      <w:r w:rsidRPr="00C56D9C">
        <w:rPr>
          <w:rFonts w:ascii="Palatino Linotype" w:eastAsia="Palatino Linotype" w:hAnsi="Palatino Linotype" w:cs="Palatino Linotype"/>
          <w:sz w:val="22"/>
          <w:szCs w:val="22"/>
        </w:rPr>
        <w:t xml:space="preserve">vital importancia señalar que la facultad de orientación a las personas solicitantes para que formulen su solicitud ante el Sujeto Obligado competente es potestativa; se concluye que motivos de inconformidad de la parte </w:t>
      </w:r>
      <w:r w:rsidRPr="00C56D9C">
        <w:rPr>
          <w:rFonts w:ascii="Palatino Linotype" w:eastAsia="Palatino Linotype" w:hAnsi="Palatino Linotype" w:cs="Palatino Linotype"/>
          <w:b/>
          <w:sz w:val="22"/>
          <w:szCs w:val="22"/>
        </w:rPr>
        <w:t xml:space="preserve">Recurrente </w:t>
      </w:r>
      <w:r w:rsidRPr="00C56D9C">
        <w:rPr>
          <w:rFonts w:ascii="Palatino Linotype" w:eastAsia="Palatino Linotype" w:hAnsi="Palatino Linotype" w:cs="Palatino Linotype"/>
          <w:sz w:val="22"/>
          <w:szCs w:val="22"/>
        </w:rPr>
        <w:t xml:space="preserve">son infundados, por lo que resulta procedente </w:t>
      </w:r>
      <w:r w:rsidRPr="00C56D9C">
        <w:rPr>
          <w:rFonts w:ascii="Palatino Linotype" w:eastAsia="Palatino Linotype" w:hAnsi="Palatino Linotype" w:cs="Palatino Linotype"/>
          <w:i/>
          <w:sz w:val="22"/>
          <w:szCs w:val="22"/>
        </w:rPr>
        <w:t xml:space="preserve">confirmar </w:t>
      </w:r>
      <w:r w:rsidRPr="00C56D9C">
        <w:rPr>
          <w:rFonts w:ascii="Palatino Linotype" w:eastAsia="Palatino Linotype" w:hAnsi="Palatino Linotype" w:cs="Palatino Linotype"/>
          <w:sz w:val="22"/>
          <w:szCs w:val="22"/>
        </w:rPr>
        <w:t xml:space="preserve">la respuesta proporcionada por el </w:t>
      </w:r>
      <w:r w:rsidRPr="00C56D9C">
        <w:rPr>
          <w:rFonts w:ascii="Palatino Linotype" w:eastAsia="Palatino Linotype" w:hAnsi="Palatino Linotype" w:cs="Palatino Linotype"/>
          <w:b/>
          <w:sz w:val="22"/>
          <w:szCs w:val="22"/>
        </w:rPr>
        <w:t xml:space="preserve">Sujeto Obligado </w:t>
      </w:r>
      <w:r w:rsidRPr="00C56D9C">
        <w:rPr>
          <w:rFonts w:ascii="Palatino Linotype" w:eastAsia="Palatino Linotype" w:hAnsi="Palatino Linotype" w:cs="Palatino Linotype"/>
          <w:sz w:val="22"/>
          <w:szCs w:val="22"/>
        </w:rPr>
        <w:t>en términos del artículo 186 fracción II de la Ley de Transparencia y Acceso a la Información Pública del Estado de México y Municipios.</w:t>
      </w:r>
    </w:p>
    <w:p w14:paraId="22ADA239" w14:textId="77777777" w:rsidR="006D650E" w:rsidRPr="00C56D9C" w:rsidRDefault="006D650E" w:rsidP="00B81ABE">
      <w:pPr>
        <w:tabs>
          <w:tab w:val="left" w:pos="142"/>
          <w:tab w:val="left" w:pos="284"/>
        </w:tabs>
        <w:spacing w:line="360" w:lineRule="auto"/>
        <w:jc w:val="both"/>
        <w:rPr>
          <w:rFonts w:ascii="Palatino Linotype" w:eastAsia="Palatino Linotype" w:hAnsi="Palatino Linotype" w:cs="Palatino Linotype"/>
          <w:sz w:val="22"/>
          <w:szCs w:val="22"/>
        </w:rPr>
      </w:pPr>
    </w:p>
    <w:p w14:paraId="376409FD" w14:textId="331E105D" w:rsidR="002F1D80" w:rsidRPr="00C56D9C" w:rsidRDefault="002F1D80" w:rsidP="00B81ABE">
      <w:pPr>
        <w:spacing w:line="360" w:lineRule="auto"/>
        <w:ind w:right="51"/>
        <w:jc w:val="both"/>
        <w:rPr>
          <w:rFonts w:ascii="Palatino Linotype" w:hAnsi="Palatino Linotype"/>
          <w:sz w:val="22"/>
          <w:szCs w:val="22"/>
        </w:rPr>
      </w:pPr>
      <w:r w:rsidRPr="00C56D9C">
        <w:rPr>
          <w:rFonts w:ascii="Palatino Linotype" w:eastAsia="Palatino Linotype" w:hAnsi="Palatino Linotype" w:cs="Palatino Linotype"/>
          <w:sz w:val="22"/>
          <w:szCs w:val="22"/>
        </w:rPr>
        <w:t>No obstante, se dejan a salvo sus derechos, para que</w:t>
      </w:r>
      <w:r w:rsidR="00A32E65" w:rsidRPr="00C56D9C">
        <w:rPr>
          <w:rFonts w:ascii="Palatino Linotype" w:eastAsia="Palatino Linotype" w:hAnsi="Palatino Linotype" w:cs="Palatino Linotype"/>
          <w:sz w:val="22"/>
          <w:szCs w:val="22"/>
        </w:rPr>
        <w:t>,</w:t>
      </w:r>
      <w:r w:rsidRPr="00C56D9C">
        <w:rPr>
          <w:rFonts w:ascii="Palatino Linotype" w:eastAsia="Palatino Linotype" w:hAnsi="Palatino Linotype" w:cs="Palatino Linotype"/>
          <w:sz w:val="22"/>
          <w:szCs w:val="22"/>
        </w:rPr>
        <w:t xml:space="preserve"> en caso de así considerarlo conveniente a sus intereses, pueda formular una solicitud ante el Sujeto Obligado competente, es decir, el </w:t>
      </w:r>
      <w:r w:rsidR="00D4221D" w:rsidRPr="00C56D9C">
        <w:rPr>
          <w:rFonts w:ascii="Palatino Linotype" w:eastAsia="Palatino Linotype" w:hAnsi="Palatino Linotype" w:cs="Palatino Linotype"/>
          <w:sz w:val="22"/>
          <w:szCs w:val="22"/>
        </w:rPr>
        <w:t>Instituto Municipal de Cultura Física y Deporte de Tepotzotlán.</w:t>
      </w:r>
    </w:p>
    <w:p w14:paraId="6501314F" w14:textId="77777777" w:rsidR="006D650E" w:rsidRPr="00C56D9C" w:rsidRDefault="006D650E" w:rsidP="00B81ABE">
      <w:pPr>
        <w:spacing w:line="360" w:lineRule="auto"/>
        <w:ind w:right="51"/>
        <w:jc w:val="both"/>
        <w:rPr>
          <w:rFonts w:ascii="Palatino Linotype" w:hAnsi="Palatino Linotype"/>
          <w:sz w:val="22"/>
          <w:szCs w:val="22"/>
        </w:rPr>
      </w:pPr>
    </w:p>
    <w:p w14:paraId="0D1B05CB" w14:textId="6EF60683"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Así, con fundamento en lo prescrito en los artículos 5 párrafos </w:t>
      </w:r>
      <w:r w:rsidR="00C4772D" w:rsidRPr="00C56D9C">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C56D9C">
        <w:rPr>
          <w:rFonts w:ascii="Palatino Linotype" w:eastAsia="Palatino Linotype" w:hAnsi="Palatino Linotype" w:cs="Palatino Linotype"/>
          <w:sz w:val="22"/>
          <w:szCs w:val="22"/>
        </w:rPr>
        <w:t>; 2, fracción II; 29, 36 fracciones I y II; 176, 178, 181, 185 y 186 fracción II de la Ley de Transparencia y Acceso a la Información Pública del Estado de México y Municipios, este Pleno:</w:t>
      </w:r>
    </w:p>
    <w:p w14:paraId="5E864413"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60BA02F4" w14:textId="77777777" w:rsidR="00D10152" w:rsidRPr="00C56D9C" w:rsidRDefault="00785AE5" w:rsidP="00B81ABE">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C56D9C">
        <w:rPr>
          <w:rFonts w:ascii="Palatino Linotype" w:eastAsia="Palatino Linotype" w:hAnsi="Palatino Linotype" w:cs="Palatino Linotype"/>
          <w:b/>
          <w:sz w:val="22"/>
          <w:szCs w:val="22"/>
        </w:rPr>
        <w:t>III. R E S U E L V E</w:t>
      </w:r>
    </w:p>
    <w:p w14:paraId="5AB1389F" w14:textId="77777777" w:rsidR="006D650E" w:rsidRPr="00C56D9C" w:rsidRDefault="006D650E" w:rsidP="00B81ABE">
      <w:pPr>
        <w:spacing w:line="360" w:lineRule="auto"/>
        <w:jc w:val="both"/>
        <w:rPr>
          <w:rFonts w:ascii="Palatino Linotype" w:eastAsia="Palatino Linotype" w:hAnsi="Palatino Linotype" w:cs="Palatino Linotype"/>
          <w:b/>
          <w:sz w:val="22"/>
          <w:szCs w:val="22"/>
        </w:rPr>
      </w:pPr>
      <w:bookmarkStart w:id="9" w:name="_heading=h.1t3h5sf" w:colFirst="0" w:colLast="0"/>
      <w:bookmarkEnd w:id="9"/>
    </w:p>
    <w:p w14:paraId="5B102C0C" w14:textId="34A4E46C"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 xml:space="preserve">Primero. </w:t>
      </w:r>
      <w:r w:rsidRPr="00C56D9C">
        <w:rPr>
          <w:rFonts w:ascii="Palatino Linotype" w:eastAsia="Palatino Linotype" w:hAnsi="Palatino Linotype" w:cs="Palatino Linotype"/>
          <w:sz w:val="22"/>
          <w:szCs w:val="22"/>
        </w:rPr>
        <w:t xml:space="preserve">Son </w:t>
      </w:r>
      <w:r w:rsidRPr="00C56D9C">
        <w:rPr>
          <w:rFonts w:ascii="Palatino Linotype" w:eastAsia="Palatino Linotype" w:hAnsi="Palatino Linotype" w:cs="Palatino Linotype"/>
          <w:b/>
          <w:sz w:val="22"/>
          <w:szCs w:val="22"/>
        </w:rPr>
        <w:t>infundadas</w:t>
      </w:r>
      <w:r w:rsidRPr="00C56D9C">
        <w:rPr>
          <w:rFonts w:ascii="Palatino Linotype" w:eastAsia="Palatino Linotype" w:hAnsi="Palatino Linotype" w:cs="Palatino Linotype"/>
          <w:sz w:val="22"/>
          <w:szCs w:val="22"/>
        </w:rPr>
        <w:t xml:space="preserve"> las razones o motivos de inconformidad hechos valer por la parte </w:t>
      </w:r>
      <w:r w:rsidRPr="00C56D9C">
        <w:rPr>
          <w:rFonts w:ascii="Palatino Linotype" w:eastAsia="Palatino Linotype" w:hAnsi="Palatino Linotype" w:cs="Palatino Linotype"/>
          <w:b/>
          <w:sz w:val="22"/>
          <w:szCs w:val="22"/>
        </w:rPr>
        <w:t>Recurrente</w:t>
      </w:r>
      <w:r w:rsidRPr="00C56D9C">
        <w:rPr>
          <w:rFonts w:ascii="Palatino Linotype" w:eastAsia="Palatino Linotype" w:hAnsi="Palatino Linotype" w:cs="Palatino Linotype"/>
          <w:sz w:val="22"/>
          <w:szCs w:val="22"/>
        </w:rPr>
        <w:t xml:space="preserve"> en el recurso de revisión </w:t>
      </w:r>
      <w:r w:rsidR="00DC147C" w:rsidRPr="00C56D9C">
        <w:rPr>
          <w:rFonts w:ascii="Palatino Linotype" w:eastAsia="Palatino Linotype" w:hAnsi="Palatino Linotype" w:cs="Palatino Linotype"/>
          <w:b/>
          <w:sz w:val="22"/>
          <w:szCs w:val="22"/>
        </w:rPr>
        <w:t>0071</w:t>
      </w:r>
      <w:r w:rsidR="00C4772D" w:rsidRPr="00C56D9C">
        <w:rPr>
          <w:rFonts w:ascii="Palatino Linotype" w:eastAsia="Palatino Linotype" w:hAnsi="Palatino Linotype" w:cs="Palatino Linotype"/>
          <w:b/>
          <w:sz w:val="22"/>
          <w:szCs w:val="22"/>
        </w:rPr>
        <w:t>9</w:t>
      </w:r>
      <w:r w:rsidRPr="00C56D9C">
        <w:rPr>
          <w:rFonts w:ascii="Palatino Linotype" w:eastAsia="Palatino Linotype" w:hAnsi="Palatino Linotype" w:cs="Palatino Linotype"/>
          <w:b/>
          <w:sz w:val="22"/>
          <w:szCs w:val="22"/>
        </w:rPr>
        <w:t>/INFOEM/IP/RR/202</w:t>
      </w:r>
      <w:r w:rsidR="00D11557" w:rsidRPr="00C56D9C">
        <w:rPr>
          <w:rFonts w:ascii="Palatino Linotype" w:eastAsia="Palatino Linotype" w:hAnsi="Palatino Linotype" w:cs="Palatino Linotype"/>
          <w:b/>
          <w:sz w:val="22"/>
          <w:szCs w:val="22"/>
        </w:rPr>
        <w:t>6</w:t>
      </w:r>
      <w:r w:rsidRPr="00C56D9C">
        <w:rPr>
          <w:rFonts w:ascii="Palatino Linotype" w:eastAsia="Palatino Linotype" w:hAnsi="Palatino Linotype" w:cs="Palatino Linotype"/>
          <w:sz w:val="22"/>
          <w:szCs w:val="22"/>
        </w:rPr>
        <w:t xml:space="preserve">, por lo que, en términos de los argumentos de derecho señalados en el considerando </w:t>
      </w:r>
      <w:r w:rsidRPr="00C56D9C">
        <w:rPr>
          <w:rFonts w:ascii="Palatino Linotype" w:eastAsia="Palatino Linotype" w:hAnsi="Palatino Linotype" w:cs="Palatino Linotype"/>
          <w:b/>
          <w:sz w:val="22"/>
          <w:szCs w:val="22"/>
        </w:rPr>
        <w:t>Cuarto</w:t>
      </w:r>
      <w:r w:rsidRPr="00C56D9C">
        <w:rPr>
          <w:rFonts w:ascii="Palatino Linotype" w:eastAsia="Palatino Linotype" w:hAnsi="Palatino Linotype" w:cs="Palatino Linotype"/>
          <w:sz w:val="22"/>
          <w:szCs w:val="22"/>
        </w:rPr>
        <w:t>, se</w:t>
      </w:r>
      <w:r w:rsidRPr="00C56D9C">
        <w:rPr>
          <w:rFonts w:ascii="Palatino Linotype" w:eastAsia="Palatino Linotype" w:hAnsi="Palatino Linotype" w:cs="Palatino Linotype"/>
          <w:b/>
          <w:sz w:val="22"/>
          <w:szCs w:val="22"/>
        </w:rPr>
        <w:t xml:space="preserve"> Confirma </w:t>
      </w:r>
      <w:r w:rsidRPr="00C56D9C">
        <w:rPr>
          <w:rFonts w:ascii="Palatino Linotype" w:eastAsia="Palatino Linotype" w:hAnsi="Palatino Linotype" w:cs="Palatino Linotype"/>
          <w:sz w:val="22"/>
          <w:szCs w:val="22"/>
        </w:rPr>
        <w:t xml:space="preserve">la respuesta del </w:t>
      </w:r>
      <w:r w:rsidRPr="00C56D9C">
        <w:rPr>
          <w:rFonts w:ascii="Palatino Linotype" w:eastAsia="Palatino Linotype" w:hAnsi="Palatino Linotype" w:cs="Palatino Linotype"/>
          <w:b/>
          <w:sz w:val="22"/>
          <w:szCs w:val="22"/>
        </w:rPr>
        <w:t>Sujeto Obligado</w:t>
      </w:r>
      <w:r w:rsidRPr="00C56D9C">
        <w:rPr>
          <w:rFonts w:ascii="Palatino Linotype" w:eastAsia="Palatino Linotype" w:hAnsi="Palatino Linotype" w:cs="Palatino Linotype"/>
          <w:sz w:val="22"/>
          <w:szCs w:val="22"/>
        </w:rPr>
        <w:t>.</w:t>
      </w:r>
    </w:p>
    <w:p w14:paraId="3EA15F99"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1676A74C" w14:textId="77777777" w:rsidR="00D10152" w:rsidRPr="00C56D9C" w:rsidRDefault="00785AE5" w:rsidP="00B81ABE">
      <w:pPr>
        <w:spacing w:line="360" w:lineRule="auto"/>
        <w:jc w:val="both"/>
        <w:rPr>
          <w:rFonts w:ascii="Palatino Linotype" w:eastAsia="Palatino Linotype" w:hAnsi="Palatino Linotype" w:cs="Palatino Linotype"/>
          <w:sz w:val="22"/>
          <w:szCs w:val="22"/>
        </w:rPr>
      </w:pPr>
      <w:bookmarkStart w:id="10" w:name="_heading=h.lnxbz9" w:colFirst="0" w:colLast="0"/>
      <w:bookmarkEnd w:id="10"/>
      <w:r w:rsidRPr="00C56D9C">
        <w:rPr>
          <w:rFonts w:ascii="Palatino Linotype" w:eastAsia="Palatino Linotype" w:hAnsi="Palatino Linotype" w:cs="Palatino Linotype"/>
          <w:b/>
          <w:sz w:val="22"/>
          <w:szCs w:val="22"/>
        </w:rPr>
        <w:t xml:space="preserve">Segundo. Notifíquese, </w:t>
      </w:r>
      <w:r w:rsidRPr="00C56D9C">
        <w:rPr>
          <w:rFonts w:ascii="Palatino Linotype" w:eastAsia="Palatino Linotype" w:hAnsi="Palatino Linotype" w:cs="Palatino Linotype"/>
          <w:sz w:val="22"/>
          <w:szCs w:val="22"/>
        </w:rPr>
        <w:t xml:space="preserve">vía </w:t>
      </w:r>
      <w:r w:rsidRPr="00C56D9C">
        <w:rPr>
          <w:rFonts w:ascii="Palatino Linotype" w:eastAsia="Palatino Linotype" w:hAnsi="Palatino Linotype" w:cs="Palatino Linotype"/>
          <w:b/>
          <w:sz w:val="22"/>
          <w:szCs w:val="22"/>
        </w:rPr>
        <w:t xml:space="preserve">SAIMEX, </w:t>
      </w:r>
      <w:r w:rsidRPr="00C56D9C">
        <w:rPr>
          <w:rFonts w:ascii="Palatino Linotype" w:eastAsia="Palatino Linotype" w:hAnsi="Palatino Linotype" w:cs="Palatino Linotype"/>
          <w:sz w:val="22"/>
          <w:szCs w:val="22"/>
        </w:rPr>
        <w:t xml:space="preserve">al Titular de la Unidad de Transparencia del </w:t>
      </w:r>
      <w:r w:rsidRPr="00C56D9C">
        <w:rPr>
          <w:rFonts w:ascii="Palatino Linotype" w:eastAsia="Palatino Linotype" w:hAnsi="Palatino Linotype" w:cs="Palatino Linotype"/>
          <w:b/>
          <w:sz w:val="22"/>
          <w:szCs w:val="22"/>
        </w:rPr>
        <w:t>Sujeto Obligado</w:t>
      </w:r>
      <w:r w:rsidRPr="00C56D9C">
        <w:rPr>
          <w:rFonts w:ascii="Palatino Linotype" w:eastAsia="Palatino Linotype" w:hAnsi="Palatino Linotype" w:cs="Palatino Linotype"/>
          <w:sz w:val="22"/>
          <w:szCs w:val="22"/>
        </w:rPr>
        <w:t xml:space="preserve"> para su conocimiento, la presente resolución.</w:t>
      </w:r>
    </w:p>
    <w:p w14:paraId="76B96BB3"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60FCC767" w14:textId="77777777" w:rsidR="00D10152" w:rsidRPr="00C56D9C" w:rsidRDefault="00785AE5" w:rsidP="00B81ABE">
      <w:pPr>
        <w:spacing w:line="360" w:lineRule="auto"/>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b/>
          <w:sz w:val="22"/>
          <w:szCs w:val="22"/>
        </w:rPr>
        <w:t xml:space="preserve">Tercero.  Notifíquese, </w:t>
      </w:r>
      <w:r w:rsidRPr="00C56D9C">
        <w:rPr>
          <w:rFonts w:ascii="Palatino Linotype" w:eastAsia="Palatino Linotype" w:hAnsi="Palatino Linotype" w:cs="Palatino Linotype"/>
          <w:sz w:val="22"/>
          <w:szCs w:val="22"/>
        </w:rPr>
        <w:t xml:space="preserve">vía </w:t>
      </w:r>
      <w:r w:rsidRPr="00C56D9C">
        <w:rPr>
          <w:rFonts w:ascii="Palatino Linotype" w:eastAsia="Palatino Linotype" w:hAnsi="Palatino Linotype" w:cs="Palatino Linotype"/>
          <w:b/>
          <w:sz w:val="22"/>
          <w:szCs w:val="22"/>
        </w:rPr>
        <w:t xml:space="preserve">SAIMEX, </w:t>
      </w:r>
      <w:r w:rsidRPr="00C56D9C">
        <w:rPr>
          <w:rFonts w:ascii="Palatino Linotype" w:eastAsia="Palatino Linotype" w:hAnsi="Palatino Linotype" w:cs="Palatino Linotype"/>
          <w:sz w:val="22"/>
          <w:szCs w:val="22"/>
        </w:rPr>
        <w:t xml:space="preserve">a la parte </w:t>
      </w:r>
      <w:r w:rsidRPr="00C56D9C">
        <w:rPr>
          <w:rFonts w:ascii="Palatino Linotype" w:eastAsia="Palatino Linotype" w:hAnsi="Palatino Linotype" w:cs="Palatino Linotype"/>
          <w:b/>
          <w:sz w:val="22"/>
          <w:szCs w:val="22"/>
        </w:rPr>
        <w:t>Recurrente</w:t>
      </w:r>
      <w:r w:rsidRPr="00C56D9C">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E62C1FF" w14:textId="77777777" w:rsidR="006D650E" w:rsidRPr="00C56D9C" w:rsidRDefault="006D650E" w:rsidP="00B81ABE">
      <w:pPr>
        <w:spacing w:line="360" w:lineRule="auto"/>
        <w:jc w:val="both"/>
        <w:rPr>
          <w:rFonts w:ascii="Palatino Linotype" w:eastAsia="Palatino Linotype" w:hAnsi="Palatino Linotype" w:cs="Palatino Linotype"/>
          <w:sz w:val="22"/>
          <w:szCs w:val="22"/>
        </w:rPr>
      </w:pPr>
    </w:p>
    <w:p w14:paraId="5C7AAE7B" w14:textId="0717524D" w:rsidR="00D10152" w:rsidRPr="00C56D9C" w:rsidRDefault="00785AE5" w:rsidP="00B81ABE">
      <w:pPr>
        <w:tabs>
          <w:tab w:val="left" w:pos="8647"/>
        </w:tabs>
        <w:spacing w:line="360" w:lineRule="auto"/>
        <w:ind w:right="51"/>
        <w:jc w:val="both"/>
        <w:rPr>
          <w:rFonts w:ascii="Palatino Linotype" w:eastAsia="Palatino Linotype" w:hAnsi="Palatino Linotype" w:cs="Palatino Linotype"/>
          <w:sz w:val="22"/>
          <w:szCs w:val="22"/>
        </w:rPr>
      </w:pPr>
      <w:r w:rsidRPr="00C56D9C">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D4221D" w:rsidRPr="00C56D9C">
        <w:rPr>
          <w:rFonts w:ascii="Palatino Linotype" w:eastAsia="Palatino Linotype" w:hAnsi="Palatino Linotype" w:cs="Palatino Linotype"/>
          <w:sz w:val="22"/>
          <w:szCs w:val="22"/>
        </w:rPr>
        <w:t>OCTAVA</w:t>
      </w:r>
      <w:r w:rsidR="00DC147C" w:rsidRPr="00C56D9C">
        <w:rPr>
          <w:rFonts w:ascii="Palatino Linotype" w:eastAsia="Palatino Linotype" w:hAnsi="Palatino Linotype" w:cs="Palatino Linotype"/>
          <w:sz w:val="22"/>
          <w:szCs w:val="22"/>
        </w:rPr>
        <w:t xml:space="preserve"> </w:t>
      </w:r>
      <w:r w:rsidRPr="00C56D9C">
        <w:rPr>
          <w:rFonts w:ascii="Palatino Linotype" w:eastAsia="Palatino Linotype" w:hAnsi="Palatino Linotype" w:cs="Palatino Linotype"/>
          <w:sz w:val="22"/>
          <w:szCs w:val="22"/>
        </w:rPr>
        <w:t xml:space="preserve">SESIÓN ORDINARIA CELEBRADA EL </w:t>
      </w:r>
      <w:r w:rsidR="00D4221D" w:rsidRPr="00C56D9C">
        <w:rPr>
          <w:rFonts w:ascii="Palatino Linotype" w:eastAsia="Palatino Linotype" w:hAnsi="Palatino Linotype" w:cs="Palatino Linotype"/>
          <w:sz w:val="22"/>
          <w:szCs w:val="22"/>
        </w:rPr>
        <w:t>CINCO DE MARZO</w:t>
      </w:r>
      <w:r w:rsidR="00DC147C" w:rsidRPr="00C56D9C">
        <w:rPr>
          <w:rFonts w:ascii="Palatino Linotype" w:eastAsia="Palatino Linotype" w:hAnsi="Palatino Linotype" w:cs="Palatino Linotype"/>
          <w:sz w:val="22"/>
          <w:szCs w:val="22"/>
        </w:rPr>
        <w:t xml:space="preserve"> DE DOS MIL VEINTISÉIS</w:t>
      </w:r>
      <w:r w:rsidRPr="00C56D9C">
        <w:rPr>
          <w:rFonts w:ascii="Palatino Linotype" w:eastAsia="Palatino Linotype" w:hAnsi="Palatino Linotype" w:cs="Palatino Linotype"/>
          <w:sz w:val="22"/>
          <w:szCs w:val="22"/>
        </w:rPr>
        <w:t>, ANTE EL SECRETARIO TÉCNICO DEL PLENO ALEXIS TAPIA RAMÍREZ.</w:t>
      </w:r>
    </w:p>
    <w:p w14:paraId="69848C62"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1D0A746E" w14:textId="77777777" w:rsidR="00D10152" w:rsidRPr="00C56D9C" w:rsidRDefault="00D10152" w:rsidP="00B81ABE">
      <w:pPr>
        <w:spacing w:line="360" w:lineRule="auto"/>
        <w:jc w:val="center"/>
        <w:rPr>
          <w:rFonts w:ascii="Palatino Linotype" w:eastAsia="Palatino Linotype" w:hAnsi="Palatino Linotype" w:cs="Palatino Linotype"/>
          <w:sz w:val="22"/>
          <w:szCs w:val="22"/>
        </w:rPr>
      </w:pPr>
    </w:p>
    <w:p w14:paraId="352157DC"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5B3459BA"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0263275D"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30E9D8C1"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162D1FE9"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5C2DF62C"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6A49EF97"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31796C7E"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1A43E230"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3948F8B2"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3F79936A"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36191FAD"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7CE10556"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5F96BE1C"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35081A67"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12E9C048"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2C823BFC"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p w14:paraId="1B44045F" w14:textId="77777777" w:rsidR="00D10152" w:rsidRPr="00C56D9C" w:rsidRDefault="00D10152" w:rsidP="00B81ABE">
      <w:pPr>
        <w:spacing w:line="360" w:lineRule="auto"/>
        <w:jc w:val="both"/>
        <w:rPr>
          <w:rFonts w:ascii="Palatino Linotype" w:eastAsia="Palatino Linotype" w:hAnsi="Palatino Linotype" w:cs="Palatino Linotype"/>
          <w:sz w:val="22"/>
          <w:szCs w:val="22"/>
        </w:rPr>
      </w:pPr>
    </w:p>
    <w:sectPr w:rsidR="00D10152" w:rsidRPr="00C56D9C">
      <w:headerReference w:type="default" r:id="rId16"/>
      <w:footerReference w:type="default" r:id="rId17"/>
      <w:headerReference w:type="first" r:id="rId18"/>
      <w:footerReference w:type="first" r:id="rId19"/>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EF21D" w14:textId="77777777" w:rsidR="00875F5B" w:rsidRDefault="00875F5B">
      <w:r>
        <w:separator/>
      </w:r>
    </w:p>
  </w:endnote>
  <w:endnote w:type="continuationSeparator" w:id="0">
    <w:p w14:paraId="4CFD999F" w14:textId="77777777" w:rsidR="00875F5B" w:rsidRDefault="00875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63605" w14:textId="1552F000" w:rsidR="00CC74D6" w:rsidRDefault="00CC74D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CA1BBC">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CA1BBC">
      <w:rPr>
        <w:rFonts w:ascii="Palatino Linotype" w:eastAsia="Palatino Linotype" w:hAnsi="Palatino Linotype" w:cs="Palatino Linotype"/>
        <w:b/>
        <w:noProof/>
        <w:color w:val="000000"/>
        <w:sz w:val="20"/>
        <w:szCs w:val="20"/>
      </w:rPr>
      <w:t>25</w:t>
    </w:r>
    <w:r>
      <w:rPr>
        <w:rFonts w:ascii="Palatino Linotype" w:eastAsia="Palatino Linotype" w:hAnsi="Palatino Linotype" w:cs="Palatino Linotype"/>
        <w:b/>
        <w:color w:val="000000"/>
        <w:sz w:val="20"/>
        <w:szCs w:val="20"/>
      </w:rPr>
      <w:fldChar w:fldCharType="end"/>
    </w:r>
  </w:p>
  <w:p w14:paraId="37B340A6" w14:textId="77777777" w:rsidR="00CC74D6" w:rsidRDefault="00CC74D6">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956B4" w14:textId="7082B683" w:rsidR="00CC74D6" w:rsidRDefault="00CC74D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CA1BBC">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CA1BBC">
      <w:rPr>
        <w:rFonts w:ascii="Palatino Linotype" w:eastAsia="Palatino Linotype" w:hAnsi="Palatino Linotype" w:cs="Palatino Linotype"/>
        <w:b/>
        <w:noProof/>
        <w:color w:val="000000"/>
        <w:sz w:val="20"/>
        <w:szCs w:val="20"/>
      </w:rPr>
      <w:t>25</w:t>
    </w:r>
    <w:r>
      <w:rPr>
        <w:rFonts w:ascii="Palatino Linotype" w:eastAsia="Palatino Linotype" w:hAnsi="Palatino Linotype" w:cs="Palatino Linotype"/>
        <w:b/>
        <w:color w:val="000000"/>
        <w:sz w:val="20"/>
        <w:szCs w:val="20"/>
      </w:rPr>
      <w:fldChar w:fldCharType="end"/>
    </w:r>
  </w:p>
  <w:p w14:paraId="392029CF" w14:textId="77777777" w:rsidR="00CC74D6" w:rsidRDefault="00CC74D6">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8066C" w14:textId="77777777" w:rsidR="00875F5B" w:rsidRDefault="00875F5B">
      <w:r>
        <w:separator/>
      </w:r>
    </w:p>
  </w:footnote>
  <w:footnote w:type="continuationSeparator" w:id="0">
    <w:p w14:paraId="4DE41070" w14:textId="77777777" w:rsidR="00875F5B" w:rsidRDefault="00875F5B">
      <w:r>
        <w:continuationSeparator/>
      </w:r>
    </w:p>
  </w:footnote>
  <w:footnote w:id="1">
    <w:p w14:paraId="7D833711" w14:textId="77777777" w:rsidR="002606C0" w:rsidRPr="009208F7" w:rsidRDefault="002606C0" w:rsidP="002606C0">
      <w:pPr>
        <w:pStyle w:val="Textonotapie"/>
        <w:rPr>
          <w:rFonts w:ascii="Palatino Linotype" w:hAnsi="Palatino Linotype" w:cs="Arial"/>
          <w:sz w:val="16"/>
          <w:szCs w:val="16"/>
        </w:rPr>
      </w:pPr>
      <w:r w:rsidRPr="009208F7">
        <w:rPr>
          <w:rStyle w:val="Refdenotaalpie"/>
          <w:rFonts w:ascii="Palatino Linotype" w:hAnsi="Palatino Linotype"/>
          <w:sz w:val="16"/>
          <w:szCs w:val="16"/>
        </w:rPr>
        <w:footnoteRef/>
      </w:r>
      <w:r w:rsidRPr="009208F7">
        <w:rPr>
          <w:rFonts w:ascii="Palatino Linotype" w:hAnsi="Palatino Linotype"/>
          <w:sz w:val="16"/>
          <w:szCs w:val="16"/>
        </w:rPr>
        <w:t xml:space="preserve"> </w:t>
      </w:r>
      <w:r w:rsidRPr="009208F7">
        <w:rPr>
          <w:rFonts w:ascii="Palatino Linotype" w:hAnsi="Palatino Linotype" w:cs="Arial"/>
          <w:sz w:val="16"/>
          <w:szCs w:val="16"/>
        </w:rPr>
        <w:t>Gabino Fraga, Derecho administrativo, 29ª ed. Porrúa, México, 1990, p. 198</w:t>
      </w:r>
    </w:p>
  </w:footnote>
  <w:footnote w:id="2">
    <w:p w14:paraId="21E61595" w14:textId="77777777" w:rsidR="00DC147C" w:rsidRDefault="00DC147C" w:rsidP="00DC147C">
      <w:pPr>
        <w:pStyle w:val="Textonotapie"/>
        <w:jc w:val="both"/>
        <w:rPr>
          <w:rFonts w:ascii="Palatino Linotype" w:hAnsi="Palatino Linotype"/>
        </w:rPr>
      </w:pPr>
      <w:r>
        <w:rPr>
          <w:rStyle w:val="Refdenotaalpie"/>
        </w:rPr>
        <w:footnoteRef/>
      </w:r>
      <w:r>
        <w:t xml:space="preserve"> </w:t>
      </w:r>
      <w:r w:rsidRPr="00DC147C">
        <w:rPr>
          <w:rFonts w:ascii="Palatino Linotype" w:hAnsi="Palatino Linotype"/>
        </w:rPr>
        <w:t xml:space="preserve">Consultable en: </w:t>
      </w:r>
    </w:p>
    <w:p w14:paraId="69060EC2" w14:textId="09F1AAD6" w:rsidR="00DC147C" w:rsidRPr="00DC147C" w:rsidRDefault="00CA1BBC" w:rsidP="00DC147C">
      <w:pPr>
        <w:pStyle w:val="Textonotapie"/>
        <w:jc w:val="both"/>
        <w:rPr>
          <w:rFonts w:ascii="Palatino Linotype" w:hAnsi="Palatino Linotype"/>
        </w:rPr>
      </w:pPr>
      <w:hyperlink r:id="rId1" w:history="1">
        <w:r w:rsidR="00DC147C" w:rsidRPr="00555648">
          <w:rPr>
            <w:rStyle w:val="Hipervnculo"/>
            <w:rFonts w:ascii="Palatino Linotype" w:hAnsi="Palatino Linotype"/>
          </w:rPr>
          <w:t>https://legislacion.edomex.gob.mx/sites/legislacion.edomex.gob.mx/files/files/pdf/gct/2024/julio/jul031/jul031d.pdf</w:t>
        </w:r>
      </w:hyperlink>
      <w:r w:rsidR="00DC147C">
        <w:rPr>
          <w:rFonts w:ascii="Palatino Linotype" w:hAnsi="Palatino Linotype"/>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910D0" w14:textId="77777777" w:rsidR="00CC74D6" w:rsidRDefault="00CC74D6">
    <w:pPr>
      <w:rPr>
        <w:rFonts w:ascii="Cambria" w:eastAsia="Cambria" w:hAnsi="Cambria" w:cs="Cambria"/>
        <w:color w:val="000000"/>
      </w:rPr>
    </w:pPr>
    <w:r>
      <w:rPr>
        <w:noProof/>
      </w:rPr>
      <w:drawing>
        <wp:anchor distT="0" distB="0" distL="0" distR="0" simplePos="0" relativeHeight="251658240" behindDoc="1" locked="0" layoutInCell="1" hidden="0" allowOverlap="1" wp14:anchorId="20F1D627" wp14:editId="78B15E19">
          <wp:simplePos x="0" y="0"/>
          <wp:positionH relativeFrom="column">
            <wp:posOffset>-1080091</wp:posOffset>
          </wp:positionH>
          <wp:positionV relativeFrom="paragraph">
            <wp:posOffset>-488262</wp:posOffset>
          </wp:positionV>
          <wp:extent cx="7809865" cy="10165715"/>
          <wp:effectExtent l="0" t="0" r="0" b="0"/>
          <wp:wrapNone/>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a"/>
      <w:tblW w:w="5953" w:type="dxa"/>
      <w:tblInd w:w="3261" w:type="dxa"/>
      <w:tblLayout w:type="fixed"/>
      <w:tblLook w:val="0400" w:firstRow="0" w:lastRow="0" w:firstColumn="0" w:lastColumn="0" w:noHBand="0" w:noVBand="1"/>
    </w:tblPr>
    <w:tblGrid>
      <w:gridCol w:w="2489"/>
      <w:gridCol w:w="3464"/>
    </w:tblGrid>
    <w:tr w:rsidR="00CC74D6" w14:paraId="12ED3AA9" w14:textId="77777777">
      <w:tc>
        <w:tcPr>
          <w:tcW w:w="2489" w:type="dxa"/>
        </w:tcPr>
        <w:p w14:paraId="3466DFBE" w14:textId="77777777" w:rsidR="00CC74D6" w:rsidRDefault="00CC74D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69A2503E" w14:textId="2998E92C" w:rsidR="00CC74D6" w:rsidRDefault="00062F25" w:rsidP="009D4FFC">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0071</w:t>
          </w:r>
          <w:r w:rsidR="00CC74D6">
            <w:rPr>
              <w:rFonts w:ascii="Palatino Linotype" w:eastAsia="Palatino Linotype" w:hAnsi="Palatino Linotype" w:cs="Palatino Linotype"/>
              <w:b/>
              <w:sz w:val="22"/>
              <w:szCs w:val="22"/>
            </w:rPr>
            <w:t>9/INFOEM/IP/RR/202</w:t>
          </w:r>
          <w:r>
            <w:rPr>
              <w:rFonts w:ascii="Palatino Linotype" w:eastAsia="Palatino Linotype" w:hAnsi="Palatino Linotype" w:cs="Palatino Linotype"/>
              <w:b/>
              <w:sz w:val="22"/>
              <w:szCs w:val="22"/>
            </w:rPr>
            <w:t>6</w:t>
          </w:r>
        </w:p>
      </w:tc>
    </w:tr>
    <w:tr w:rsidR="00CC74D6" w14:paraId="1F693A74" w14:textId="77777777">
      <w:trPr>
        <w:trHeight w:val="228"/>
      </w:trPr>
      <w:tc>
        <w:tcPr>
          <w:tcW w:w="2489" w:type="dxa"/>
          <w:vAlign w:val="center"/>
        </w:tcPr>
        <w:p w14:paraId="31F01A98" w14:textId="77777777" w:rsidR="00CC74D6" w:rsidRDefault="00CC74D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633911B5" w14:textId="4D3D6306" w:rsidR="00CC74D6" w:rsidRDefault="00062F25">
          <w:pPr>
            <w:ind w:left="-45" w:right="176"/>
            <w:jc w:val="both"/>
            <w:rPr>
              <w:rFonts w:ascii="Palatino Linotype" w:eastAsia="Palatino Linotype" w:hAnsi="Palatino Linotype" w:cs="Palatino Linotype"/>
              <w:b/>
              <w:sz w:val="22"/>
              <w:szCs w:val="22"/>
            </w:rPr>
          </w:pPr>
          <w:r w:rsidRPr="00062F25">
            <w:rPr>
              <w:rFonts w:ascii="Palatino Linotype" w:eastAsia="Palatino Linotype" w:hAnsi="Palatino Linotype" w:cs="Palatino Linotype"/>
              <w:b/>
              <w:sz w:val="22"/>
              <w:szCs w:val="22"/>
            </w:rPr>
            <w:t>Ayuntamiento de Tepotzotlán</w:t>
          </w:r>
        </w:p>
      </w:tc>
    </w:tr>
    <w:tr w:rsidR="00CC74D6" w14:paraId="72A8C24D" w14:textId="77777777">
      <w:tc>
        <w:tcPr>
          <w:tcW w:w="2489" w:type="dxa"/>
          <w:vAlign w:val="center"/>
        </w:tcPr>
        <w:p w14:paraId="22F4249F" w14:textId="77777777" w:rsidR="00CC74D6" w:rsidRDefault="00CC74D6">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0B2DAF3F" w14:textId="77777777" w:rsidR="00CC74D6" w:rsidRDefault="00CC74D6">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F32E993" w14:textId="77777777" w:rsidR="00CC74D6" w:rsidRDefault="00CC74D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BEAA8" w14:textId="77777777" w:rsidR="00CC74D6" w:rsidRDefault="00CC74D6">
    <w:pPr>
      <w:widowControl w:val="0"/>
      <w:pBdr>
        <w:top w:val="nil"/>
        <w:left w:val="nil"/>
        <w:bottom w:val="nil"/>
        <w:right w:val="nil"/>
        <w:between w:val="nil"/>
      </w:pBdr>
      <w:spacing w:line="276" w:lineRule="auto"/>
      <w:rPr>
        <w:rFonts w:ascii="Palatino Linotype" w:eastAsia="Palatino Linotype" w:hAnsi="Palatino Linotype" w:cs="Palatino Linotype"/>
        <w:sz w:val="16"/>
        <w:szCs w:val="16"/>
      </w:rPr>
    </w:pPr>
    <w:r>
      <w:rPr>
        <w:noProof/>
      </w:rPr>
      <w:drawing>
        <wp:anchor distT="0" distB="0" distL="0" distR="0" simplePos="0" relativeHeight="251659264" behindDoc="1" locked="0" layoutInCell="1" hidden="0" allowOverlap="1" wp14:anchorId="4773CD4F" wp14:editId="40981CA7">
          <wp:simplePos x="0" y="0"/>
          <wp:positionH relativeFrom="column">
            <wp:posOffset>-1080134</wp:posOffset>
          </wp:positionH>
          <wp:positionV relativeFrom="paragraph">
            <wp:posOffset>-369892</wp:posOffset>
          </wp:positionV>
          <wp:extent cx="7809865" cy="10165715"/>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b"/>
      <w:tblW w:w="5953" w:type="dxa"/>
      <w:tblInd w:w="3261" w:type="dxa"/>
      <w:tblLayout w:type="fixed"/>
      <w:tblLook w:val="0400" w:firstRow="0" w:lastRow="0" w:firstColumn="0" w:lastColumn="0" w:noHBand="0" w:noVBand="1"/>
    </w:tblPr>
    <w:tblGrid>
      <w:gridCol w:w="2489"/>
      <w:gridCol w:w="3464"/>
    </w:tblGrid>
    <w:tr w:rsidR="00CC74D6" w14:paraId="658BA233" w14:textId="77777777">
      <w:tc>
        <w:tcPr>
          <w:tcW w:w="2489" w:type="dxa"/>
        </w:tcPr>
        <w:p w14:paraId="3B662A4A" w14:textId="77777777" w:rsidR="00CC74D6" w:rsidRDefault="00CC74D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59712B01" w14:textId="06EC5538" w:rsidR="00CC74D6" w:rsidRDefault="00062F25" w:rsidP="009D4FFC">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00719</w:t>
          </w:r>
          <w:r w:rsidR="00CC74D6">
            <w:rPr>
              <w:rFonts w:ascii="Palatino Linotype" w:eastAsia="Palatino Linotype" w:hAnsi="Palatino Linotype" w:cs="Palatino Linotype"/>
              <w:b/>
              <w:sz w:val="22"/>
              <w:szCs w:val="22"/>
            </w:rPr>
            <w:t>/INFOEM/IP/RR/202</w:t>
          </w:r>
          <w:r>
            <w:rPr>
              <w:rFonts w:ascii="Palatino Linotype" w:eastAsia="Palatino Linotype" w:hAnsi="Palatino Linotype" w:cs="Palatino Linotype"/>
              <w:b/>
              <w:sz w:val="22"/>
              <w:szCs w:val="22"/>
            </w:rPr>
            <w:t>6</w:t>
          </w:r>
        </w:p>
      </w:tc>
    </w:tr>
    <w:tr w:rsidR="00CC74D6" w14:paraId="12107FBB" w14:textId="77777777">
      <w:tc>
        <w:tcPr>
          <w:tcW w:w="2489" w:type="dxa"/>
        </w:tcPr>
        <w:p w14:paraId="38DA5A64" w14:textId="77777777" w:rsidR="00CC74D6" w:rsidRDefault="00CC74D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2BCA7C54" w14:textId="2FB731FA" w:rsidR="00CC74D6" w:rsidRDefault="00CA1BBC" w:rsidP="00CA1BBC">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XXXXX XXXXXX XXXXXXX </w:t>
          </w:r>
        </w:p>
      </w:tc>
    </w:tr>
    <w:tr w:rsidR="00CC74D6" w14:paraId="6911DA80" w14:textId="77777777">
      <w:trPr>
        <w:trHeight w:val="228"/>
      </w:trPr>
      <w:tc>
        <w:tcPr>
          <w:tcW w:w="2489" w:type="dxa"/>
          <w:vAlign w:val="center"/>
        </w:tcPr>
        <w:p w14:paraId="1E00DAEA" w14:textId="77777777" w:rsidR="00CC74D6" w:rsidRDefault="00CC74D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21DAFC68" w14:textId="34B4D6E0" w:rsidR="00CC74D6" w:rsidRDefault="00062F25">
          <w:pPr>
            <w:ind w:left="-45" w:right="176"/>
            <w:jc w:val="both"/>
            <w:rPr>
              <w:rFonts w:ascii="Palatino Linotype" w:eastAsia="Palatino Linotype" w:hAnsi="Palatino Linotype" w:cs="Palatino Linotype"/>
              <w:b/>
              <w:sz w:val="22"/>
              <w:szCs w:val="22"/>
            </w:rPr>
          </w:pPr>
          <w:r w:rsidRPr="00062F25">
            <w:rPr>
              <w:rFonts w:ascii="Palatino Linotype" w:eastAsia="Palatino Linotype" w:hAnsi="Palatino Linotype" w:cs="Palatino Linotype"/>
              <w:b/>
              <w:sz w:val="22"/>
              <w:szCs w:val="22"/>
            </w:rPr>
            <w:t>Ayuntamiento de Tepotzotlán</w:t>
          </w:r>
        </w:p>
      </w:tc>
    </w:tr>
    <w:tr w:rsidR="00CC74D6" w14:paraId="1665E429" w14:textId="77777777">
      <w:tc>
        <w:tcPr>
          <w:tcW w:w="2489" w:type="dxa"/>
          <w:vAlign w:val="center"/>
        </w:tcPr>
        <w:p w14:paraId="6CF84D98" w14:textId="77777777" w:rsidR="00CC74D6" w:rsidRDefault="00CC74D6">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0CC5AC0B" w14:textId="77777777" w:rsidR="00CC74D6" w:rsidRDefault="00CC74D6">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5DEEBB48" w14:textId="77777777" w:rsidR="00CC74D6" w:rsidRDefault="00CC74D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3D34"/>
    <w:multiLevelType w:val="hybridMultilevel"/>
    <w:tmpl w:val="6FF2F3B0"/>
    <w:lvl w:ilvl="0" w:tplc="B3E6FA42">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 w15:restartNumberingAfterBreak="0">
    <w:nsid w:val="195329F5"/>
    <w:multiLevelType w:val="multilevel"/>
    <w:tmpl w:val="A6488AC6"/>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3FEC7A78"/>
    <w:multiLevelType w:val="multilevel"/>
    <w:tmpl w:val="39EEDDB8"/>
    <w:lvl w:ilvl="0">
      <w:numFmt w:val="bullet"/>
      <w:lvlText w:val="-"/>
      <w:lvlJc w:val="left"/>
      <w:pPr>
        <w:ind w:left="720" w:hanging="360"/>
      </w:pPr>
      <w:rPr>
        <w:rFonts w:ascii="Palatino Linotype" w:eastAsia="Palatino Linotype" w:hAnsi="Palatino Linotype" w:cs="Palatino Linotype"/>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07620D"/>
    <w:multiLevelType w:val="hybridMultilevel"/>
    <w:tmpl w:val="BEA65976"/>
    <w:lvl w:ilvl="0" w:tplc="080A0001">
      <w:start w:val="1"/>
      <w:numFmt w:val="bullet"/>
      <w:lvlText w:val=""/>
      <w:lvlJc w:val="left"/>
      <w:pPr>
        <w:ind w:left="1364" w:hanging="360"/>
      </w:pPr>
      <w:rPr>
        <w:rFonts w:ascii="Symbol" w:hAnsi="Symbol" w:hint="default"/>
      </w:rPr>
    </w:lvl>
    <w:lvl w:ilvl="1" w:tplc="080A0003" w:tentative="1">
      <w:start w:val="1"/>
      <w:numFmt w:val="bullet"/>
      <w:lvlText w:val="o"/>
      <w:lvlJc w:val="left"/>
      <w:pPr>
        <w:ind w:left="2084" w:hanging="360"/>
      </w:pPr>
      <w:rPr>
        <w:rFonts w:ascii="Courier New" w:hAnsi="Courier New" w:cs="Courier New" w:hint="default"/>
      </w:rPr>
    </w:lvl>
    <w:lvl w:ilvl="2" w:tplc="080A0005" w:tentative="1">
      <w:start w:val="1"/>
      <w:numFmt w:val="bullet"/>
      <w:lvlText w:val=""/>
      <w:lvlJc w:val="left"/>
      <w:pPr>
        <w:ind w:left="2804" w:hanging="360"/>
      </w:pPr>
      <w:rPr>
        <w:rFonts w:ascii="Wingdings" w:hAnsi="Wingdings" w:hint="default"/>
      </w:rPr>
    </w:lvl>
    <w:lvl w:ilvl="3" w:tplc="080A0001" w:tentative="1">
      <w:start w:val="1"/>
      <w:numFmt w:val="bullet"/>
      <w:lvlText w:val=""/>
      <w:lvlJc w:val="left"/>
      <w:pPr>
        <w:ind w:left="3524" w:hanging="360"/>
      </w:pPr>
      <w:rPr>
        <w:rFonts w:ascii="Symbol" w:hAnsi="Symbol" w:hint="default"/>
      </w:rPr>
    </w:lvl>
    <w:lvl w:ilvl="4" w:tplc="080A0003" w:tentative="1">
      <w:start w:val="1"/>
      <w:numFmt w:val="bullet"/>
      <w:lvlText w:val="o"/>
      <w:lvlJc w:val="left"/>
      <w:pPr>
        <w:ind w:left="4244" w:hanging="360"/>
      </w:pPr>
      <w:rPr>
        <w:rFonts w:ascii="Courier New" w:hAnsi="Courier New" w:cs="Courier New" w:hint="default"/>
      </w:rPr>
    </w:lvl>
    <w:lvl w:ilvl="5" w:tplc="080A0005" w:tentative="1">
      <w:start w:val="1"/>
      <w:numFmt w:val="bullet"/>
      <w:lvlText w:val=""/>
      <w:lvlJc w:val="left"/>
      <w:pPr>
        <w:ind w:left="4964" w:hanging="360"/>
      </w:pPr>
      <w:rPr>
        <w:rFonts w:ascii="Wingdings" w:hAnsi="Wingdings" w:hint="default"/>
      </w:rPr>
    </w:lvl>
    <w:lvl w:ilvl="6" w:tplc="080A0001" w:tentative="1">
      <w:start w:val="1"/>
      <w:numFmt w:val="bullet"/>
      <w:lvlText w:val=""/>
      <w:lvlJc w:val="left"/>
      <w:pPr>
        <w:ind w:left="5684" w:hanging="360"/>
      </w:pPr>
      <w:rPr>
        <w:rFonts w:ascii="Symbol" w:hAnsi="Symbol" w:hint="default"/>
      </w:rPr>
    </w:lvl>
    <w:lvl w:ilvl="7" w:tplc="080A0003" w:tentative="1">
      <w:start w:val="1"/>
      <w:numFmt w:val="bullet"/>
      <w:lvlText w:val="o"/>
      <w:lvlJc w:val="left"/>
      <w:pPr>
        <w:ind w:left="6404" w:hanging="360"/>
      </w:pPr>
      <w:rPr>
        <w:rFonts w:ascii="Courier New" w:hAnsi="Courier New" w:cs="Courier New" w:hint="default"/>
      </w:rPr>
    </w:lvl>
    <w:lvl w:ilvl="8" w:tplc="080A0005" w:tentative="1">
      <w:start w:val="1"/>
      <w:numFmt w:val="bullet"/>
      <w:lvlText w:val=""/>
      <w:lvlJc w:val="left"/>
      <w:pPr>
        <w:ind w:left="7124"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52"/>
    <w:rsid w:val="000175C1"/>
    <w:rsid w:val="00034A43"/>
    <w:rsid w:val="000367EE"/>
    <w:rsid w:val="0005336F"/>
    <w:rsid w:val="00062F25"/>
    <w:rsid w:val="0006637B"/>
    <w:rsid w:val="00067B3B"/>
    <w:rsid w:val="000E7BEB"/>
    <w:rsid w:val="000F0054"/>
    <w:rsid w:val="001219D1"/>
    <w:rsid w:val="001513F2"/>
    <w:rsid w:val="00186329"/>
    <w:rsid w:val="0018648E"/>
    <w:rsid w:val="001B32B4"/>
    <w:rsid w:val="001C1B9B"/>
    <w:rsid w:val="001E021D"/>
    <w:rsid w:val="001F643D"/>
    <w:rsid w:val="002162A6"/>
    <w:rsid w:val="00243A62"/>
    <w:rsid w:val="002606C0"/>
    <w:rsid w:val="002A0B10"/>
    <w:rsid w:val="002B1D4B"/>
    <w:rsid w:val="002C729E"/>
    <w:rsid w:val="002D432C"/>
    <w:rsid w:val="002E1E5A"/>
    <w:rsid w:val="002E2006"/>
    <w:rsid w:val="002E4605"/>
    <w:rsid w:val="002F1D80"/>
    <w:rsid w:val="00312564"/>
    <w:rsid w:val="003141AD"/>
    <w:rsid w:val="00315AA9"/>
    <w:rsid w:val="00326575"/>
    <w:rsid w:val="00327386"/>
    <w:rsid w:val="003402BF"/>
    <w:rsid w:val="003541DC"/>
    <w:rsid w:val="00382315"/>
    <w:rsid w:val="003B6859"/>
    <w:rsid w:val="003E10E0"/>
    <w:rsid w:val="003E5B2D"/>
    <w:rsid w:val="003E715C"/>
    <w:rsid w:val="00450793"/>
    <w:rsid w:val="0047708C"/>
    <w:rsid w:val="00495886"/>
    <w:rsid w:val="004F1040"/>
    <w:rsid w:val="00510968"/>
    <w:rsid w:val="00514E61"/>
    <w:rsid w:val="0052328E"/>
    <w:rsid w:val="00524A25"/>
    <w:rsid w:val="00544415"/>
    <w:rsid w:val="00545318"/>
    <w:rsid w:val="00566E91"/>
    <w:rsid w:val="0058476C"/>
    <w:rsid w:val="005A5615"/>
    <w:rsid w:val="005D78D5"/>
    <w:rsid w:val="00601996"/>
    <w:rsid w:val="00632209"/>
    <w:rsid w:val="00647AA7"/>
    <w:rsid w:val="00653437"/>
    <w:rsid w:val="0066283B"/>
    <w:rsid w:val="00663C2C"/>
    <w:rsid w:val="0067471D"/>
    <w:rsid w:val="006A146A"/>
    <w:rsid w:val="006B0E1F"/>
    <w:rsid w:val="006D650E"/>
    <w:rsid w:val="006E3A03"/>
    <w:rsid w:val="007218DC"/>
    <w:rsid w:val="00736C07"/>
    <w:rsid w:val="007620DB"/>
    <w:rsid w:val="00785AE5"/>
    <w:rsid w:val="007C1F34"/>
    <w:rsid w:val="007D4A63"/>
    <w:rsid w:val="007D7F58"/>
    <w:rsid w:val="00805D57"/>
    <w:rsid w:val="008130A1"/>
    <w:rsid w:val="008642E8"/>
    <w:rsid w:val="00875F5B"/>
    <w:rsid w:val="0088434A"/>
    <w:rsid w:val="008A72D2"/>
    <w:rsid w:val="008B6CAB"/>
    <w:rsid w:val="009116F5"/>
    <w:rsid w:val="0091405A"/>
    <w:rsid w:val="0095720E"/>
    <w:rsid w:val="009C6343"/>
    <w:rsid w:val="009C63C1"/>
    <w:rsid w:val="009C66A5"/>
    <w:rsid w:val="009D4FFC"/>
    <w:rsid w:val="00A052ED"/>
    <w:rsid w:val="00A122B4"/>
    <w:rsid w:val="00A1549F"/>
    <w:rsid w:val="00A167A0"/>
    <w:rsid w:val="00A22E4D"/>
    <w:rsid w:val="00A27E41"/>
    <w:rsid w:val="00A310FB"/>
    <w:rsid w:val="00A32E65"/>
    <w:rsid w:val="00A53845"/>
    <w:rsid w:val="00A749DD"/>
    <w:rsid w:val="00A769A7"/>
    <w:rsid w:val="00A77817"/>
    <w:rsid w:val="00AA7FBE"/>
    <w:rsid w:val="00AC507A"/>
    <w:rsid w:val="00AD5B6A"/>
    <w:rsid w:val="00B142B7"/>
    <w:rsid w:val="00B40014"/>
    <w:rsid w:val="00B63DCC"/>
    <w:rsid w:val="00B81ABE"/>
    <w:rsid w:val="00BA6653"/>
    <w:rsid w:val="00BC3010"/>
    <w:rsid w:val="00BE36BC"/>
    <w:rsid w:val="00BF0906"/>
    <w:rsid w:val="00C14C8A"/>
    <w:rsid w:val="00C268FA"/>
    <w:rsid w:val="00C4772D"/>
    <w:rsid w:val="00C5454F"/>
    <w:rsid w:val="00C56D9C"/>
    <w:rsid w:val="00C75854"/>
    <w:rsid w:val="00CA0651"/>
    <w:rsid w:val="00CA1BBC"/>
    <w:rsid w:val="00CC3627"/>
    <w:rsid w:val="00CC74D6"/>
    <w:rsid w:val="00CD0F28"/>
    <w:rsid w:val="00CD2073"/>
    <w:rsid w:val="00CE78C7"/>
    <w:rsid w:val="00CE7F16"/>
    <w:rsid w:val="00D10152"/>
    <w:rsid w:val="00D11557"/>
    <w:rsid w:val="00D33A1D"/>
    <w:rsid w:val="00D3457C"/>
    <w:rsid w:val="00D4221D"/>
    <w:rsid w:val="00DB4FCB"/>
    <w:rsid w:val="00DC147C"/>
    <w:rsid w:val="00DE3822"/>
    <w:rsid w:val="00E0048C"/>
    <w:rsid w:val="00E036D0"/>
    <w:rsid w:val="00E30BA3"/>
    <w:rsid w:val="00E32A1E"/>
    <w:rsid w:val="00E32CB5"/>
    <w:rsid w:val="00E3525B"/>
    <w:rsid w:val="00E3616C"/>
    <w:rsid w:val="00E42E71"/>
    <w:rsid w:val="00E57E9A"/>
    <w:rsid w:val="00E912E6"/>
    <w:rsid w:val="00E96D67"/>
    <w:rsid w:val="00EB4974"/>
    <w:rsid w:val="00EF0A62"/>
    <w:rsid w:val="00EF5ED1"/>
    <w:rsid w:val="00EF706F"/>
    <w:rsid w:val="00F060BA"/>
    <w:rsid w:val="00F407C7"/>
    <w:rsid w:val="00F43B1D"/>
    <w:rsid w:val="00F62BE1"/>
    <w:rsid w:val="00F65B80"/>
    <w:rsid w:val="00FA6AA0"/>
    <w:rsid w:val="00FB468C"/>
    <w:rsid w:val="00FE44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2FC06"/>
  <w15:docId w15:val="{050E7CFE-9D98-45C0-BF1E-E8417409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a">
    <w:basedOn w:val="TableNormalf1"/>
    <w:tblPr>
      <w:tblStyleRowBandSize w:val="1"/>
      <w:tblStyleColBandSize w:val="1"/>
      <w:tblCellMar>
        <w:left w:w="115" w:type="dxa"/>
        <w:right w:w="115" w:type="dxa"/>
      </w:tblCellMar>
    </w:tblPr>
  </w:style>
  <w:style w:type="table" w:customStyle="1" w:styleId="a0">
    <w:basedOn w:val="TableNormalf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semiHidden/>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0"/>
    <w:tblPr>
      <w:tblStyleRowBandSize w:val="1"/>
      <w:tblStyleColBandSize w:val="1"/>
      <w:tblCellMar>
        <w:left w:w="115" w:type="dxa"/>
        <w:right w:w="115" w:type="dxa"/>
      </w:tblCellMar>
    </w:tblPr>
  </w:style>
  <w:style w:type="table" w:customStyle="1" w:styleId="a4">
    <w:basedOn w:val="TableNormalf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
    <w:tblPr>
      <w:tblStyleRowBandSize w:val="1"/>
      <w:tblStyleColBandSize w:val="1"/>
      <w:tblCellMar>
        <w:left w:w="108" w:type="dxa"/>
        <w:right w:w="108" w:type="dxa"/>
      </w:tblCellMar>
    </w:tblPr>
  </w:style>
  <w:style w:type="table" w:customStyle="1" w:styleId="a6">
    <w:basedOn w:val="TableNormalf"/>
    <w:tblPr>
      <w:tblStyleRowBandSize w:val="1"/>
      <w:tblStyleColBandSize w:val="1"/>
      <w:tblCellMar>
        <w:left w:w="108" w:type="dxa"/>
        <w:right w:w="108" w:type="dxa"/>
      </w:tblCellMar>
    </w:tblPr>
  </w:style>
  <w:style w:type="table" w:customStyle="1" w:styleId="a7">
    <w:basedOn w:val="TableNormalf"/>
    <w:tblPr>
      <w:tblStyleRowBandSize w:val="1"/>
      <w:tblStyleColBandSize w:val="1"/>
      <w:tblCellMar>
        <w:left w:w="108" w:type="dxa"/>
        <w:right w:w="108" w:type="dxa"/>
      </w:tblCellMar>
    </w:tblPr>
  </w:style>
  <w:style w:type="table" w:customStyle="1" w:styleId="a8">
    <w:basedOn w:val="TableNormalf"/>
    <w:tblPr>
      <w:tblStyleRowBandSize w:val="1"/>
      <w:tblStyleColBandSize w:val="1"/>
      <w:tblCellMar>
        <w:left w:w="108" w:type="dxa"/>
        <w:right w:w="108" w:type="dxa"/>
      </w:tblCellMar>
    </w:tblPr>
  </w:style>
  <w:style w:type="table" w:customStyle="1" w:styleId="a9">
    <w:basedOn w:val="TableNormalf"/>
    <w:tblPr>
      <w:tblStyleRowBandSize w:val="1"/>
      <w:tblStyleColBandSize w:val="1"/>
      <w:tblCellMar>
        <w:left w:w="108" w:type="dxa"/>
        <w:right w:w="108" w:type="dxa"/>
      </w:tblCellMar>
    </w:tblPr>
  </w:style>
  <w:style w:type="table" w:customStyle="1" w:styleId="aa">
    <w:basedOn w:val="TableNormalf"/>
    <w:tblPr>
      <w:tblStyleRowBandSize w:val="1"/>
      <w:tblStyleColBandSize w:val="1"/>
      <w:tblCellMar>
        <w:left w:w="115" w:type="dxa"/>
        <w:right w:w="115" w:type="dxa"/>
      </w:tblCellMar>
    </w:tblPr>
  </w:style>
  <w:style w:type="table" w:customStyle="1" w:styleId="ab">
    <w:basedOn w:val="TableNormalf"/>
    <w:tblPr>
      <w:tblStyleRowBandSize w:val="1"/>
      <w:tblStyleColBandSize w:val="1"/>
      <w:tblCellMar>
        <w:left w:w="115" w:type="dxa"/>
        <w:right w:w="115" w:type="dxa"/>
      </w:tblCellMar>
    </w:tblPr>
  </w:style>
  <w:style w:type="table" w:customStyle="1" w:styleId="ac">
    <w:basedOn w:val="TableNormale"/>
    <w:tblPr>
      <w:tblStyleRowBandSize w:val="1"/>
      <w:tblStyleColBandSize w:val="1"/>
      <w:tblCellMar>
        <w:left w:w="108" w:type="dxa"/>
        <w:right w:w="108" w:type="dxa"/>
      </w:tblCellMar>
    </w:tblPr>
  </w:style>
  <w:style w:type="table" w:customStyle="1" w:styleId="ad">
    <w:basedOn w:val="TableNormale"/>
    <w:tblPr>
      <w:tblStyleRowBandSize w:val="1"/>
      <w:tblStyleColBandSize w:val="1"/>
      <w:tblCellMar>
        <w:left w:w="115" w:type="dxa"/>
        <w:right w:w="115" w:type="dxa"/>
      </w:tblCellMar>
    </w:tblPr>
  </w:style>
  <w:style w:type="table" w:customStyle="1" w:styleId="ae">
    <w:basedOn w:val="TableNormale"/>
    <w:tblPr>
      <w:tblStyleRowBandSize w:val="1"/>
      <w:tblStyleColBandSize w:val="1"/>
      <w:tblCellMar>
        <w:left w:w="115" w:type="dxa"/>
        <w:right w:w="115" w:type="dxa"/>
      </w:tblCellMar>
    </w:tblPr>
  </w:style>
  <w:style w:type="table" w:customStyle="1" w:styleId="af">
    <w:basedOn w:val="TableNormald"/>
    <w:tblPr>
      <w:tblStyleRowBandSize w:val="1"/>
      <w:tblStyleColBandSize w:val="1"/>
      <w:tblCellMar>
        <w:left w:w="115" w:type="dxa"/>
        <w:right w:w="115" w:type="dxa"/>
      </w:tblCellMar>
    </w:tblPr>
  </w:style>
  <w:style w:type="table" w:customStyle="1" w:styleId="af0">
    <w:basedOn w:val="TableNormald"/>
    <w:tblPr>
      <w:tblStyleRowBandSize w:val="1"/>
      <w:tblStyleColBandSize w:val="1"/>
      <w:tblCellMar>
        <w:left w:w="115" w:type="dxa"/>
        <w:right w:w="115" w:type="dxa"/>
      </w:tblCellMar>
    </w:tblPr>
  </w:style>
  <w:style w:type="table" w:customStyle="1" w:styleId="af1">
    <w:basedOn w:val="TableNormald"/>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b"/>
    <w:tblPr>
      <w:tblStyleRowBandSize w:val="1"/>
      <w:tblStyleColBandSize w:val="1"/>
      <w:tblCellMar>
        <w:left w:w="115" w:type="dxa"/>
        <w:right w:w="115" w:type="dxa"/>
      </w:tblCellMar>
    </w:tblPr>
  </w:style>
  <w:style w:type="table" w:customStyle="1" w:styleId="af5">
    <w:basedOn w:val="TableNormalb"/>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9"/>
    <w:tblPr>
      <w:tblStyleRowBandSize w:val="1"/>
      <w:tblStyleColBandSize w:val="1"/>
      <w:tblCellMar>
        <w:left w:w="115" w:type="dxa"/>
        <w:right w:w="115"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8"/>
    <w:tblPr>
      <w:tblStyleRowBandSize w:val="1"/>
      <w:tblStyleColBandSize w:val="1"/>
      <w:tblCellMar>
        <w:left w:w="115" w:type="dxa"/>
        <w:right w:w="115" w:type="dxa"/>
      </w:tblCellMar>
    </w:tblPr>
  </w:style>
  <w:style w:type="table" w:customStyle="1" w:styleId="afb">
    <w:basedOn w:val="TableNormal8"/>
    <w:tblPr>
      <w:tblStyleRowBandSize w:val="1"/>
      <w:tblStyleColBandSize w:val="1"/>
      <w:tblCellMar>
        <w:left w:w="115" w:type="dxa"/>
        <w:right w:w="115" w:type="dxa"/>
      </w:tblCellMar>
    </w:tblPr>
  </w:style>
  <w:style w:type="table" w:customStyle="1" w:styleId="afc">
    <w:basedOn w:val="TableNormal7"/>
    <w:tblPr>
      <w:tblStyleRowBandSize w:val="1"/>
      <w:tblStyleColBandSize w:val="1"/>
      <w:tblCellMar>
        <w:left w:w="115" w:type="dxa"/>
        <w:right w:w="115" w:type="dxa"/>
      </w:tblCellMar>
    </w:tblPr>
  </w:style>
  <w:style w:type="table" w:customStyle="1" w:styleId="afd">
    <w:basedOn w:val="TableNormal7"/>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6"/>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character" w:customStyle="1" w:styleId="Mencinsinresolver3">
    <w:name w:val="Mención sin resolver3"/>
    <w:basedOn w:val="Fuentedeprrafopredeter"/>
    <w:uiPriority w:val="99"/>
    <w:semiHidden/>
    <w:unhideWhenUsed/>
    <w:rsid w:val="00DC14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s://legislacion.edomex.gob.mx/sites/legislacion.edomex.gob.mx/files/files/pdf/gct/2024/julio/jul031/jul031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V5ylGZLJ11C52PpO5eJlCgLmKA==">CgMxLjAyCWguM3JkY3JqbjIOaC5kYWozajJ4bzZxNjYyCGguZ2pkZ3hzMgloLjNkeTZ2a20yCWguMzBqMHpsbDIJaC4yczhleW8xMghoLnR5amN3dDIJaC4yZXQ5MnAwMg5oLnY0MG1yMjllZHhzcTIJaC4xdDNoNXNmMghoLmxueGJ6OTgAciExcm9KeU5QYmhCbWVDenFUSm1jQ1BnTWp2d29laXFrZG4=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8DC5FA-515B-4009-A606-ACAA7625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6485</Words>
  <Characters>35671</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2025-08-22T20:00:00Z</cp:lastPrinted>
  <dcterms:created xsi:type="dcterms:W3CDTF">2026-04-07T17:18:00Z</dcterms:created>
  <dcterms:modified xsi:type="dcterms:W3CDTF">2026-04-07T17:18:00Z</dcterms:modified>
</cp:coreProperties>
</file>