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377AE10" w14:textId="77777777" w:rsidR="004358B2" w:rsidRPr="000D7B75" w:rsidRDefault="00C37ACC">
      <w:pPr>
        <w:tabs>
          <w:tab w:val="left" w:pos="3465"/>
        </w:tabs>
        <w:spacing w:line="360" w:lineRule="auto"/>
        <w:ind w:right="-591"/>
        <w:jc w:val="both"/>
        <w:rPr>
          <w:rFonts w:ascii="Palatino Linotype" w:eastAsia="Palatino Linotype" w:hAnsi="Palatino Linotype" w:cs="Palatino Linotype"/>
          <w:b/>
          <w:bCs/>
        </w:rPr>
      </w:pPr>
      <w:bookmarkStart w:id="0" w:name="_heading=h.gjdgxs" w:colFirst="0" w:colLast="0"/>
      <w:bookmarkEnd w:id="0"/>
      <w:r w:rsidRPr="000D7B75">
        <w:rPr>
          <w:rFonts w:ascii="Palatino Linotype" w:eastAsia="Palatino Linotype" w:hAnsi="Palatino Linotype" w:cs="Palatino Linotype"/>
        </w:rPr>
        <w:t>Resolución del Pleno del Instituto de Transparencia, Acceso a la Información Pública y Protección de Datos Personales del Estado de México y Municipios, con domicilio en Metepec, Estado de México; de fecha</w:t>
      </w:r>
      <w:r w:rsidRPr="000D7B75">
        <w:rPr>
          <w:rFonts w:ascii="Palatino Linotype" w:eastAsia="Palatino Linotype" w:hAnsi="Palatino Linotype" w:cs="Palatino Linotype"/>
          <w:b/>
          <w:bCs/>
        </w:rPr>
        <w:t xml:space="preserve"> tres (03) de junio de dos mil veintiséis.</w:t>
      </w:r>
    </w:p>
    <w:p w14:paraId="315D7F18" w14:textId="77777777" w:rsidR="004358B2" w:rsidRPr="000D7B75" w:rsidRDefault="004358B2">
      <w:pPr>
        <w:tabs>
          <w:tab w:val="left" w:pos="3465"/>
        </w:tabs>
        <w:spacing w:line="360" w:lineRule="auto"/>
        <w:ind w:right="-591"/>
        <w:jc w:val="both"/>
        <w:rPr>
          <w:rFonts w:ascii="Palatino Linotype" w:eastAsia="Palatino Linotype" w:hAnsi="Palatino Linotype" w:cs="Palatino Linotype"/>
        </w:rPr>
      </w:pPr>
    </w:p>
    <w:p w14:paraId="6AE196AE" w14:textId="78F7C76F" w:rsidR="004358B2" w:rsidRPr="000D7B75" w:rsidRDefault="00C37ACC">
      <w:pPr>
        <w:pBdr>
          <w:top w:val="nil"/>
          <w:left w:val="nil"/>
          <w:bottom w:val="nil"/>
          <w:right w:val="nil"/>
          <w:between w:val="nil"/>
        </w:pBdr>
        <w:tabs>
          <w:tab w:val="left" w:pos="426"/>
        </w:tabs>
        <w:spacing w:line="360" w:lineRule="auto"/>
        <w:ind w:right="-591"/>
        <w:jc w:val="both"/>
        <w:rPr>
          <w:rFonts w:ascii="Palatino Linotype" w:eastAsia="Palatino Linotype" w:hAnsi="Palatino Linotype" w:cs="Palatino Linotype"/>
          <w:color w:val="000000"/>
        </w:rPr>
      </w:pPr>
      <w:r w:rsidRPr="000D7B75">
        <w:rPr>
          <w:rFonts w:ascii="Palatino Linotype" w:eastAsia="Palatino Linotype" w:hAnsi="Palatino Linotype" w:cs="Palatino Linotype"/>
          <w:b/>
          <w:bCs/>
          <w:color w:val="000000"/>
        </w:rPr>
        <w:t xml:space="preserve">VISTAS </w:t>
      </w:r>
      <w:r w:rsidRPr="000D7B75">
        <w:rPr>
          <w:rFonts w:ascii="Palatino Linotype" w:eastAsia="Palatino Linotype" w:hAnsi="Palatino Linotype" w:cs="Palatino Linotype"/>
          <w:color w:val="000000"/>
        </w:rPr>
        <w:t xml:space="preserve">las constancias para resolver el Recurso de Revisión presentado por </w:t>
      </w:r>
      <w:r w:rsidR="003D52F2">
        <w:rPr>
          <w:rFonts w:ascii="Palatino Linotype" w:eastAsia="Palatino Linotype" w:hAnsi="Palatino Linotype" w:cs="Palatino Linotype"/>
          <w:b/>
          <w:bCs/>
          <w:color w:val="000000"/>
        </w:rPr>
        <w:t>XXXX</w:t>
      </w:r>
      <w:r w:rsidRPr="000D7B75">
        <w:rPr>
          <w:rFonts w:ascii="Palatino Linotype" w:eastAsia="Palatino Linotype" w:hAnsi="Palatino Linotype" w:cs="Palatino Linotype"/>
          <w:b/>
          <w:bCs/>
          <w:color w:val="000000"/>
        </w:rPr>
        <w:t>,</w:t>
      </w:r>
      <w:r w:rsidRPr="000D7B75">
        <w:rPr>
          <w:rFonts w:ascii="Palatino Linotype" w:eastAsia="Palatino Linotype" w:hAnsi="Palatino Linotype" w:cs="Palatino Linotype"/>
          <w:color w:val="000000"/>
        </w:rPr>
        <w:t xml:space="preserve"> en lo sucesivo </w:t>
      </w:r>
      <w:r w:rsidRPr="000D7B75">
        <w:rPr>
          <w:rFonts w:ascii="Palatino Linotype" w:eastAsia="Palatino Linotype" w:hAnsi="Palatino Linotype" w:cs="Palatino Linotype"/>
        </w:rPr>
        <w:t xml:space="preserve">la </w:t>
      </w:r>
      <w:r w:rsidRPr="000D7B75">
        <w:rPr>
          <w:rFonts w:ascii="Palatino Linotype" w:eastAsia="Palatino Linotype" w:hAnsi="Palatino Linotype" w:cs="Palatino Linotype"/>
          <w:b/>
          <w:bCs/>
          <w:color w:val="000000"/>
        </w:rPr>
        <w:t>RECURRENTE,</w:t>
      </w:r>
      <w:r w:rsidRPr="000D7B75">
        <w:rPr>
          <w:rFonts w:ascii="Palatino Linotype" w:eastAsia="Palatino Linotype" w:hAnsi="Palatino Linotype" w:cs="Palatino Linotype"/>
          <w:color w:val="000000"/>
        </w:rPr>
        <w:t xml:space="preserve"> en contra de la respuesta otorgada a la Solicitud de Acceso a Datos Personales con número de folio </w:t>
      </w:r>
      <w:r w:rsidRPr="000D7B75">
        <w:rPr>
          <w:rFonts w:ascii="Palatino Linotype" w:eastAsia="Palatino Linotype" w:hAnsi="Palatino Linotype" w:cs="Palatino Linotype"/>
          <w:b/>
          <w:bCs/>
          <w:color w:val="000000"/>
        </w:rPr>
        <w:t>00023/OASECATEPE/IP/2026</w:t>
      </w:r>
      <w:r w:rsidRPr="000D7B75">
        <w:rPr>
          <w:rFonts w:ascii="Palatino Linotype" w:eastAsia="Palatino Linotype" w:hAnsi="Palatino Linotype" w:cs="Palatino Linotype"/>
          <w:color w:val="000000"/>
        </w:rPr>
        <w:t xml:space="preserve">, que dio origen al Recurso de Revisión </w:t>
      </w:r>
      <w:r w:rsidRPr="000D7B75">
        <w:rPr>
          <w:rFonts w:ascii="Palatino Linotype" w:eastAsia="Palatino Linotype" w:hAnsi="Palatino Linotype" w:cs="Palatino Linotype"/>
          <w:b/>
          <w:bCs/>
          <w:color w:val="000000"/>
        </w:rPr>
        <w:t>03433/INFOEM/IP/RR/2026</w:t>
      </w:r>
      <w:r w:rsidRPr="000D7B75">
        <w:rPr>
          <w:rFonts w:ascii="Palatino Linotype" w:eastAsia="Palatino Linotype" w:hAnsi="Palatino Linotype" w:cs="Palatino Linotype"/>
          <w:color w:val="000000"/>
        </w:rPr>
        <w:t xml:space="preserve">, por parte del </w:t>
      </w:r>
      <w:r w:rsidR="00D8000B" w:rsidRPr="000D7B75">
        <w:rPr>
          <w:rFonts w:ascii="Palatino Linotype" w:eastAsia="Palatino Linotype" w:hAnsi="Palatino Linotype" w:cs="Palatino Linotype"/>
          <w:b/>
          <w:bCs/>
          <w:color w:val="000000"/>
        </w:rPr>
        <w:t xml:space="preserve">Sistema de Agua Potable Alcantarillado y Saneamiento de Ecatepec de Morelos </w:t>
      </w:r>
      <w:r w:rsidRPr="000D7B75">
        <w:rPr>
          <w:rFonts w:ascii="Palatino Linotype" w:eastAsia="Palatino Linotype" w:hAnsi="Palatino Linotype" w:cs="Palatino Linotype"/>
          <w:color w:val="000000"/>
        </w:rPr>
        <w:t>en adelante el</w:t>
      </w:r>
      <w:r w:rsidRPr="000D7B75">
        <w:rPr>
          <w:rFonts w:ascii="Palatino Linotype" w:eastAsia="Palatino Linotype" w:hAnsi="Palatino Linotype" w:cs="Palatino Linotype"/>
          <w:b/>
          <w:bCs/>
          <w:color w:val="000000"/>
        </w:rPr>
        <w:t xml:space="preserve"> SUJETO OBLIGADO</w:t>
      </w:r>
      <w:r w:rsidRPr="000D7B75">
        <w:rPr>
          <w:rFonts w:ascii="Palatino Linotype" w:eastAsia="Palatino Linotype" w:hAnsi="Palatino Linotype" w:cs="Palatino Linotype"/>
          <w:color w:val="000000"/>
        </w:rPr>
        <w:t>, se emite la presente Resolución con base en los siguientes:</w:t>
      </w:r>
    </w:p>
    <w:p w14:paraId="6B5E7EAE" w14:textId="77777777" w:rsidR="004358B2" w:rsidRPr="000D7B75" w:rsidRDefault="004358B2">
      <w:pPr>
        <w:spacing w:line="360" w:lineRule="auto"/>
        <w:ind w:right="-591"/>
        <w:jc w:val="both"/>
        <w:rPr>
          <w:rFonts w:ascii="Palatino Linotype" w:eastAsia="Palatino Linotype" w:hAnsi="Palatino Linotype" w:cs="Palatino Linotype"/>
          <w:b/>
          <w:bCs/>
        </w:rPr>
      </w:pPr>
    </w:p>
    <w:p w14:paraId="232EC197" w14:textId="77777777" w:rsidR="004358B2" w:rsidRPr="000D7B75" w:rsidRDefault="00C37ACC">
      <w:pPr>
        <w:pStyle w:val="Ttulo1"/>
        <w:spacing w:before="0" w:line="360" w:lineRule="auto"/>
        <w:ind w:right="-591"/>
        <w:jc w:val="center"/>
        <w:rPr>
          <w:rFonts w:ascii="Palatino Linotype" w:eastAsia="Palatino Linotype" w:hAnsi="Palatino Linotype" w:cs="Palatino Linotype"/>
          <w:b/>
          <w:bCs/>
          <w:color w:val="000000"/>
          <w:sz w:val="24"/>
          <w:szCs w:val="24"/>
        </w:rPr>
      </w:pPr>
      <w:bookmarkStart w:id="1" w:name="_heading=h.30j0zll" w:colFirst="0" w:colLast="0"/>
      <w:bookmarkEnd w:id="1"/>
      <w:r w:rsidRPr="000D7B75">
        <w:rPr>
          <w:rFonts w:ascii="Palatino Linotype" w:eastAsia="Palatino Linotype" w:hAnsi="Palatino Linotype" w:cs="Palatino Linotype"/>
          <w:b/>
          <w:bCs/>
          <w:color w:val="000000"/>
          <w:sz w:val="24"/>
          <w:szCs w:val="24"/>
        </w:rPr>
        <w:t>A N T E C E D E N T E S</w:t>
      </w:r>
    </w:p>
    <w:p w14:paraId="53C57261" w14:textId="77777777" w:rsidR="004358B2" w:rsidRPr="000D7B75" w:rsidRDefault="004358B2">
      <w:pPr>
        <w:pBdr>
          <w:top w:val="nil"/>
          <w:left w:val="nil"/>
          <w:bottom w:val="nil"/>
          <w:right w:val="nil"/>
          <w:between w:val="nil"/>
        </w:pBdr>
        <w:spacing w:line="360" w:lineRule="auto"/>
        <w:ind w:right="-591"/>
        <w:jc w:val="both"/>
        <w:rPr>
          <w:rFonts w:ascii="Palatino Linotype" w:eastAsia="Palatino Linotype" w:hAnsi="Palatino Linotype" w:cs="Palatino Linotype"/>
          <w:b/>
          <w:bCs/>
          <w:color w:val="000000"/>
          <w:u w:val="single"/>
        </w:rPr>
      </w:pPr>
    </w:p>
    <w:p w14:paraId="58C1D9BD" w14:textId="77777777" w:rsidR="004358B2" w:rsidRPr="000D7B75" w:rsidRDefault="00C37ACC">
      <w:pPr>
        <w:numPr>
          <w:ilvl w:val="0"/>
          <w:numId w:val="6"/>
        </w:numPr>
        <w:pBdr>
          <w:top w:val="nil"/>
          <w:left w:val="nil"/>
          <w:bottom w:val="nil"/>
          <w:right w:val="nil"/>
          <w:between w:val="nil"/>
        </w:pBdr>
        <w:tabs>
          <w:tab w:val="left" w:pos="0"/>
        </w:tabs>
        <w:spacing w:line="360" w:lineRule="auto"/>
        <w:ind w:left="0" w:right="-591" w:firstLine="0"/>
        <w:jc w:val="both"/>
        <w:rPr>
          <w:rFonts w:ascii="Palatino Linotype" w:eastAsia="Palatino Linotype" w:hAnsi="Palatino Linotype" w:cs="Palatino Linotype"/>
          <w:color w:val="000000"/>
        </w:rPr>
      </w:pPr>
      <w:r w:rsidRPr="000D7B75">
        <w:rPr>
          <w:rFonts w:ascii="Palatino Linotype" w:eastAsia="Palatino Linotype" w:hAnsi="Palatino Linotype" w:cs="Palatino Linotype"/>
          <w:color w:val="000000"/>
        </w:rPr>
        <w:t>El día</w:t>
      </w:r>
      <w:r w:rsidRPr="000D7B75">
        <w:rPr>
          <w:rFonts w:ascii="Palatino Linotype" w:eastAsia="Palatino Linotype" w:hAnsi="Palatino Linotype" w:cs="Palatino Linotype"/>
          <w:b/>
          <w:bCs/>
          <w:color w:val="000000"/>
        </w:rPr>
        <w:t xml:space="preserve"> cuatro de marzo de dos mil veintiséis</w:t>
      </w:r>
      <w:r w:rsidRPr="000D7B75">
        <w:rPr>
          <w:rFonts w:ascii="Palatino Linotype" w:eastAsia="Palatino Linotype" w:hAnsi="Palatino Linotype" w:cs="Palatino Linotype"/>
          <w:color w:val="000000"/>
        </w:rPr>
        <w:t>,</w:t>
      </w:r>
      <w:r w:rsidRPr="000D7B75">
        <w:rPr>
          <w:rFonts w:ascii="Palatino Linotype" w:eastAsia="Palatino Linotype" w:hAnsi="Palatino Linotype" w:cs="Palatino Linotype"/>
          <w:b/>
          <w:bCs/>
          <w:color w:val="000000"/>
        </w:rPr>
        <w:t xml:space="preserve"> </w:t>
      </w:r>
      <w:r w:rsidRPr="000D7B75">
        <w:rPr>
          <w:rFonts w:ascii="Palatino Linotype" w:eastAsia="Palatino Linotype" w:hAnsi="Palatino Linotype" w:cs="Palatino Linotype"/>
          <w:color w:val="000000"/>
        </w:rPr>
        <w:t xml:space="preserve">se presentó ante el </w:t>
      </w:r>
      <w:r w:rsidRPr="000D7B75">
        <w:rPr>
          <w:rFonts w:ascii="Palatino Linotype" w:eastAsia="Palatino Linotype" w:hAnsi="Palatino Linotype" w:cs="Palatino Linotype"/>
          <w:b/>
          <w:bCs/>
          <w:color w:val="000000"/>
        </w:rPr>
        <w:t>SUJETO OBLIGADO</w:t>
      </w:r>
      <w:r w:rsidRPr="000D7B75">
        <w:rPr>
          <w:rFonts w:ascii="Palatino Linotype" w:eastAsia="Palatino Linotype" w:hAnsi="Palatino Linotype" w:cs="Palatino Linotype"/>
          <w:color w:val="000000"/>
        </w:rPr>
        <w:t xml:space="preserve"> la solicitud de acceso a datos a través del Sistema de Acceso a la Información Mexiquense (SAIMEX), con el número de folio </w:t>
      </w:r>
      <w:r w:rsidRPr="000D7B75">
        <w:rPr>
          <w:rFonts w:ascii="Palatino Linotype" w:eastAsia="Palatino Linotype" w:hAnsi="Palatino Linotype" w:cs="Palatino Linotype"/>
          <w:b/>
          <w:bCs/>
        </w:rPr>
        <w:t>00023/OASECATEPE/IP/2026</w:t>
      </w:r>
      <w:r w:rsidRPr="000D7B75">
        <w:rPr>
          <w:rFonts w:ascii="Palatino Linotype" w:eastAsia="Palatino Linotype" w:hAnsi="Palatino Linotype" w:cs="Palatino Linotype"/>
          <w:color w:val="000000"/>
        </w:rPr>
        <w:t xml:space="preserve">, </w:t>
      </w:r>
      <w:r w:rsidRPr="000D7B75">
        <w:rPr>
          <w:rFonts w:ascii="Palatino Linotype" w:eastAsia="Palatino Linotype" w:hAnsi="Palatino Linotype" w:cs="Palatino Linotype"/>
        </w:rPr>
        <w:t xml:space="preserve">en la que solicita lo </w:t>
      </w:r>
      <w:r w:rsidRPr="000D7B75">
        <w:rPr>
          <w:rFonts w:ascii="Palatino Linotype" w:eastAsia="Palatino Linotype" w:hAnsi="Palatino Linotype" w:cs="Palatino Linotype"/>
          <w:color w:val="000000"/>
        </w:rPr>
        <w:t xml:space="preserve"> siguiente:</w:t>
      </w:r>
    </w:p>
    <w:p w14:paraId="1FCB1415" w14:textId="77777777" w:rsidR="004358B2" w:rsidRPr="000D7B75" w:rsidRDefault="004358B2">
      <w:pPr>
        <w:pBdr>
          <w:top w:val="nil"/>
          <w:left w:val="nil"/>
          <w:bottom w:val="nil"/>
          <w:right w:val="nil"/>
          <w:between w:val="nil"/>
        </w:pBdr>
        <w:tabs>
          <w:tab w:val="left" w:pos="0"/>
        </w:tabs>
        <w:spacing w:line="360" w:lineRule="auto"/>
        <w:ind w:left="502" w:right="-591"/>
        <w:jc w:val="both"/>
        <w:rPr>
          <w:rFonts w:ascii="Palatino Linotype" w:eastAsia="Palatino Linotype" w:hAnsi="Palatino Linotype" w:cs="Palatino Linotype"/>
        </w:rPr>
      </w:pPr>
    </w:p>
    <w:p w14:paraId="4CCE3D19" w14:textId="77777777" w:rsidR="004358B2" w:rsidRPr="000D7B75" w:rsidRDefault="00C37ACC">
      <w:pPr>
        <w:ind w:left="1134" w:right="-591"/>
        <w:jc w:val="both"/>
        <w:rPr>
          <w:rFonts w:ascii="Palatino Linotype" w:eastAsia="Palatino Linotype" w:hAnsi="Palatino Linotype" w:cs="Palatino Linotype"/>
          <w:i/>
          <w:iCs/>
          <w:color w:val="000000"/>
        </w:rPr>
      </w:pPr>
      <w:r w:rsidRPr="000D7B75">
        <w:rPr>
          <w:rFonts w:ascii="Palatino Linotype" w:eastAsia="Palatino Linotype" w:hAnsi="Palatino Linotype" w:cs="Palatino Linotype"/>
          <w:i/>
          <w:iCs/>
          <w:color w:val="000000"/>
        </w:rPr>
        <w:t>“</w:t>
      </w:r>
      <w:r w:rsidRPr="000D7B75">
        <w:rPr>
          <w:rFonts w:ascii="Palatino Linotype" w:eastAsia="Palatino Linotype" w:hAnsi="Palatino Linotype" w:cs="Palatino Linotype"/>
          <w:i/>
          <w:iCs/>
        </w:rPr>
        <w:t>Con motivo de la Obra Pública en Calle 12 de la Colonia Rustica Xalostoc, pregunto a SAPASE. 1.- Cuando tendré agua de la RED PUBLICA DE AGUA POTABLE. 2.- Cuando se estima terminen los trabajos de Obra Publica en lo relacionado con AGUA POTABLE DE LA RED PUBLICA. 3.- Solicito el último INFORME (o su equivalente) de supervisión de personal de SAPASE en CALLE 12 de la Colonia Rustica Xalostoc. 4.- Cual es el avance estimado en la RED DE AGUA POTABLE DE CALLE 12 de la Colonia Rustica Xalostoc y cuantas válvulas se han instalado a lo largo de la CALLE 12 de la Colonia Rustica Xalostoc y su ubicación. Número de CUENTA O SERVICIO: 54524 - Pago anual realizado el 09-Enero-2026 a las 13:41 horas. Les agradeceré su amable atención.</w:t>
      </w:r>
      <w:r w:rsidRPr="000D7B75">
        <w:rPr>
          <w:rFonts w:ascii="Palatino Linotype" w:eastAsia="Palatino Linotype" w:hAnsi="Palatino Linotype" w:cs="Palatino Linotype"/>
          <w:i/>
          <w:iCs/>
          <w:color w:val="000000"/>
        </w:rPr>
        <w:t>”(Sic).</w:t>
      </w:r>
    </w:p>
    <w:p w14:paraId="7CBDF562" w14:textId="77777777" w:rsidR="004358B2" w:rsidRPr="000D7B75" w:rsidRDefault="00C37ACC">
      <w:pPr>
        <w:numPr>
          <w:ilvl w:val="0"/>
          <w:numId w:val="7"/>
        </w:numPr>
        <w:pBdr>
          <w:top w:val="nil"/>
          <w:left w:val="nil"/>
          <w:bottom w:val="nil"/>
          <w:right w:val="nil"/>
          <w:between w:val="nil"/>
        </w:pBdr>
        <w:spacing w:line="360" w:lineRule="auto"/>
        <w:ind w:left="567" w:right="-591"/>
        <w:jc w:val="both"/>
        <w:rPr>
          <w:rFonts w:ascii="Palatino Linotype" w:eastAsia="Palatino Linotype" w:hAnsi="Palatino Linotype" w:cs="Palatino Linotype"/>
          <w:color w:val="000000"/>
        </w:rPr>
      </w:pPr>
      <w:r w:rsidRPr="000D7B75">
        <w:rPr>
          <w:rFonts w:ascii="Palatino Linotype" w:eastAsia="Palatino Linotype" w:hAnsi="Palatino Linotype" w:cs="Palatino Linotype"/>
          <w:b/>
          <w:bCs/>
          <w:color w:val="000000"/>
        </w:rPr>
        <w:lastRenderedPageBreak/>
        <w:t>Modalidad de entrega</w:t>
      </w:r>
      <w:r w:rsidRPr="000D7B75">
        <w:rPr>
          <w:rFonts w:ascii="Palatino Linotype" w:eastAsia="Palatino Linotype" w:hAnsi="Palatino Linotype" w:cs="Palatino Linotype"/>
          <w:color w:val="000000"/>
        </w:rPr>
        <w:t xml:space="preserve">: a través del </w:t>
      </w:r>
      <w:r w:rsidRPr="000D7B75">
        <w:rPr>
          <w:rFonts w:ascii="Palatino Linotype" w:eastAsia="Palatino Linotype" w:hAnsi="Palatino Linotype" w:cs="Palatino Linotype"/>
          <w:b/>
          <w:bCs/>
          <w:color w:val="000000"/>
        </w:rPr>
        <w:t>SAIMEX.</w:t>
      </w:r>
    </w:p>
    <w:p w14:paraId="1E7BABB6" w14:textId="77777777" w:rsidR="004358B2" w:rsidRPr="000D7B75" w:rsidRDefault="004358B2">
      <w:pPr>
        <w:pBdr>
          <w:top w:val="nil"/>
          <w:left w:val="nil"/>
          <w:bottom w:val="nil"/>
          <w:right w:val="nil"/>
          <w:between w:val="nil"/>
        </w:pBdr>
        <w:spacing w:line="360" w:lineRule="auto"/>
        <w:ind w:left="567" w:right="-591"/>
        <w:jc w:val="both"/>
        <w:rPr>
          <w:rFonts w:ascii="Palatino Linotype" w:eastAsia="Palatino Linotype" w:hAnsi="Palatino Linotype" w:cs="Palatino Linotype"/>
          <w:color w:val="000000"/>
        </w:rPr>
      </w:pPr>
    </w:p>
    <w:p w14:paraId="09772961" w14:textId="77777777" w:rsidR="004358B2" w:rsidRPr="000D7B75" w:rsidRDefault="00C37ACC">
      <w:pPr>
        <w:numPr>
          <w:ilvl w:val="0"/>
          <w:numId w:val="6"/>
        </w:numPr>
        <w:pBdr>
          <w:top w:val="nil"/>
          <w:left w:val="nil"/>
          <w:bottom w:val="nil"/>
          <w:right w:val="nil"/>
          <w:between w:val="nil"/>
        </w:pBdr>
        <w:tabs>
          <w:tab w:val="left" w:pos="0"/>
        </w:tabs>
        <w:spacing w:line="360" w:lineRule="auto"/>
        <w:ind w:left="0" w:right="-591" w:firstLine="0"/>
        <w:jc w:val="both"/>
        <w:rPr>
          <w:rFonts w:ascii="Palatino Linotype" w:eastAsia="Palatino Linotype" w:hAnsi="Palatino Linotype" w:cs="Palatino Linotype"/>
          <w:color w:val="000000"/>
        </w:rPr>
      </w:pPr>
      <w:r w:rsidRPr="000D7B75">
        <w:rPr>
          <w:rFonts w:ascii="Palatino Linotype" w:eastAsia="Palatino Linotype" w:hAnsi="Palatino Linotype" w:cs="Palatino Linotype"/>
          <w:color w:val="000000"/>
        </w:rPr>
        <w:t xml:space="preserve">En fecha </w:t>
      </w:r>
      <w:r w:rsidRPr="000D7B75">
        <w:rPr>
          <w:rFonts w:ascii="Palatino Linotype" w:eastAsia="Palatino Linotype" w:hAnsi="Palatino Linotype" w:cs="Palatino Linotype"/>
          <w:b/>
          <w:bCs/>
          <w:color w:val="000000"/>
        </w:rPr>
        <w:t>veinte de marzo de dos mil veintiséis</w:t>
      </w:r>
      <w:r w:rsidRPr="000D7B75">
        <w:rPr>
          <w:rFonts w:ascii="Palatino Linotype" w:eastAsia="Palatino Linotype" w:hAnsi="Palatino Linotype" w:cs="Palatino Linotype"/>
          <w:color w:val="000000"/>
        </w:rPr>
        <w:t xml:space="preserve"> el </w:t>
      </w:r>
      <w:r w:rsidRPr="000D7B75">
        <w:rPr>
          <w:rFonts w:ascii="Palatino Linotype" w:eastAsia="Palatino Linotype" w:hAnsi="Palatino Linotype" w:cs="Palatino Linotype"/>
          <w:b/>
          <w:bCs/>
          <w:color w:val="000000"/>
        </w:rPr>
        <w:t>SUJETO OBLIGADO</w:t>
      </w:r>
      <w:r w:rsidRPr="000D7B75">
        <w:rPr>
          <w:rFonts w:ascii="Palatino Linotype" w:eastAsia="Palatino Linotype" w:hAnsi="Palatino Linotype" w:cs="Palatino Linotype"/>
          <w:color w:val="000000"/>
        </w:rPr>
        <w:t>, a través del responsable de transparencia, entregó respuestas mediante un archivo electrónico en formato pdf  donde medularmente se señala lo siguiente:</w:t>
      </w:r>
    </w:p>
    <w:p w14:paraId="3B7B33EC" w14:textId="77777777" w:rsidR="004358B2" w:rsidRPr="000D7B75" w:rsidRDefault="00C37ACC">
      <w:pPr>
        <w:pBdr>
          <w:top w:val="nil"/>
          <w:left w:val="nil"/>
          <w:bottom w:val="nil"/>
          <w:right w:val="nil"/>
          <w:between w:val="nil"/>
        </w:pBdr>
        <w:tabs>
          <w:tab w:val="left" w:pos="1134"/>
        </w:tabs>
        <w:spacing w:line="360" w:lineRule="auto"/>
        <w:ind w:left="1134" w:right="-591"/>
        <w:jc w:val="both"/>
        <w:rPr>
          <w:rFonts w:ascii="Palatino Linotype" w:eastAsia="Palatino Linotype" w:hAnsi="Palatino Linotype" w:cs="Palatino Linotype"/>
          <w:i/>
          <w:iCs/>
          <w:color w:val="000000"/>
        </w:rPr>
      </w:pPr>
      <w:r w:rsidRPr="000D7B75">
        <w:rPr>
          <w:rFonts w:ascii="Palatino Linotype" w:eastAsia="Palatino Linotype" w:hAnsi="Palatino Linotype" w:cs="Palatino Linotype"/>
          <w:b/>
          <w:bCs/>
          <w:color w:val="000000"/>
        </w:rPr>
        <w:t xml:space="preserve">RESPUESTA 00023 OFICIO-0943-26.pdf: </w:t>
      </w:r>
      <w:r w:rsidRPr="000D7B75">
        <w:rPr>
          <w:rFonts w:ascii="Palatino Linotype" w:eastAsia="Palatino Linotype" w:hAnsi="Palatino Linotype" w:cs="Palatino Linotype"/>
          <w:i/>
          <w:iCs/>
          <w:color w:val="000000"/>
        </w:rPr>
        <w:t>Donde Director de Construcción y Operación Hidráulica refirió que los trabajos objeto de la solicitud están a cargo de la Dirección de Obras públicas, orienta a que realice su petición al Ayuntamiento de Ecatepec.</w:t>
      </w:r>
    </w:p>
    <w:p w14:paraId="0083BBBB" w14:textId="77777777" w:rsidR="004358B2" w:rsidRPr="000D7B75" w:rsidRDefault="004358B2">
      <w:pPr>
        <w:pBdr>
          <w:top w:val="nil"/>
          <w:left w:val="nil"/>
          <w:bottom w:val="nil"/>
          <w:right w:val="nil"/>
          <w:between w:val="nil"/>
        </w:pBdr>
        <w:tabs>
          <w:tab w:val="left" w:pos="1134"/>
        </w:tabs>
        <w:spacing w:line="360" w:lineRule="auto"/>
        <w:ind w:left="1134" w:right="-591"/>
        <w:jc w:val="both"/>
        <w:rPr>
          <w:rFonts w:ascii="Palatino Linotype" w:eastAsia="Palatino Linotype" w:hAnsi="Palatino Linotype" w:cs="Palatino Linotype"/>
          <w:i/>
          <w:iCs/>
          <w:color w:val="000000"/>
        </w:rPr>
      </w:pPr>
    </w:p>
    <w:p w14:paraId="58C5A3FD" w14:textId="77777777" w:rsidR="004358B2" w:rsidRPr="000D7B75" w:rsidRDefault="00C37ACC">
      <w:pPr>
        <w:numPr>
          <w:ilvl w:val="0"/>
          <w:numId w:val="2"/>
        </w:numPr>
        <w:pBdr>
          <w:top w:val="nil"/>
          <w:left w:val="nil"/>
          <w:bottom w:val="nil"/>
          <w:right w:val="nil"/>
          <w:between w:val="nil"/>
        </w:pBdr>
        <w:spacing w:line="360" w:lineRule="auto"/>
        <w:ind w:left="0" w:right="-591" w:firstLine="0"/>
        <w:jc w:val="both"/>
        <w:rPr>
          <w:rFonts w:ascii="Palatino Linotype" w:eastAsia="Palatino Linotype" w:hAnsi="Palatino Linotype" w:cs="Palatino Linotype"/>
          <w:color w:val="000000"/>
        </w:rPr>
      </w:pPr>
      <w:r w:rsidRPr="000D7B75">
        <w:rPr>
          <w:rFonts w:ascii="Palatino Linotype" w:eastAsia="Palatino Linotype" w:hAnsi="Palatino Linotype" w:cs="Palatino Linotype"/>
          <w:color w:val="000000"/>
        </w:rPr>
        <w:t xml:space="preserve">Inconforme con la respuesta emitida por el Sujeto Obligado, el Recurrente interpuso el presente recurso de revisión el </w:t>
      </w:r>
      <w:r w:rsidRPr="000D7B75">
        <w:rPr>
          <w:rFonts w:ascii="Palatino Linotype" w:eastAsia="Palatino Linotype" w:hAnsi="Palatino Linotype" w:cs="Palatino Linotype"/>
          <w:b/>
          <w:bCs/>
          <w:color w:val="000000"/>
        </w:rPr>
        <w:t>día veintidós de octubre de dos mil veinticinco</w:t>
      </w:r>
      <w:r w:rsidRPr="000D7B75">
        <w:rPr>
          <w:rFonts w:ascii="Palatino Linotype" w:eastAsia="Palatino Linotype" w:hAnsi="Palatino Linotype" w:cs="Palatino Linotype"/>
          <w:color w:val="000000"/>
        </w:rPr>
        <w:t xml:space="preserve">, con el expediente número </w:t>
      </w:r>
      <w:r w:rsidRPr="000D7B75">
        <w:rPr>
          <w:rFonts w:ascii="Palatino Linotype" w:eastAsia="Palatino Linotype" w:hAnsi="Palatino Linotype" w:cs="Palatino Linotype"/>
          <w:b/>
          <w:bCs/>
          <w:color w:val="000000"/>
        </w:rPr>
        <w:t>12128/INFOEM/IP/RR/2025</w:t>
      </w:r>
      <w:r w:rsidRPr="000D7B75">
        <w:rPr>
          <w:rFonts w:ascii="Palatino Linotype" w:eastAsia="Palatino Linotype" w:hAnsi="Palatino Linotype" w:cs="Palatino Linotype"/>
          <w:color w:val="000000"/>
        </w:rPr>
        <w:t>, manifestando lo siguiente:</w:t>
      </w:r>
    </w:p>
    <w:p w14:paraId="3130FD73" w14:textId="77777777" w:rsidR="004358B2" w:rsidRPr="000D7B75" w:rsidRDefault="004358B2">
      <w:pPr>
        <w:ind w:left="1134" w:right="-591"/>
        <w:jc w:val="both"/>
        <w:rPr>
          <w:rFonts w:ascii="Palatino Linotype" w:eastAsia="Palatino Linotype" w:hAnsi="Palatino Linotype" w:cs="Palatino Linotype"/>
          <w:b/>
          <w:bCs/>
        </w:rPr>
      </w:pPr>
    </w:p>
    <w:p w14:paraId="3F77F03B" w14:textId="77777777" w:rsidR="004358B2" w:rsidRPr="000D7B75" w:rsidRDefault="00C37ACC">
      <w:pPr>
        <w:numPr>
          <w:ilvl w:val="0"/>
          <w:numId w:val="10"/>
        </w:numPr>
        <w:ind w:right="-591"/>
        <w:jc w:val="both"/>
        <w:rPr>
          <w:rFonts w:ascii="Palatino Linotype" w:eastAsia="Palatino Linotype" w:hAnsi="Palatino Linotype" w:cs="Palatino Linotype"/>
          <w:b/>
          <w:bCs/>
        </w:rPr>
      </w:pPr>
      <w:r w:rsidRPr="000D7B75">
        <w:rPr>
          <w:rFonts w:ascii="Palatino Linotype" w:eastAsia="Palatino Linotype" w:hAnsi="Palatino Linotype" w:cs="Palatino Linotype"/>
          <w:b/>
          <w:bCs/>
        </w:rPr>
        <w:t xml:space="preserve">ACTO IMPUGNADO </w:t>
      </w:r>
    </w:p>
    <w:p w14:paraId="7747DDE6" w14:textId="77777777" w:rsidR="004358B2" w:rsidRPr="000D7B75" w:rsidRDefault="00C37ACC">
      <w:pPr>
        <w:ind w:left="1134" w:right="-591"/>
        <w:jc w:val="both"/>
        <w:rPr>
          <w:rFonts w:ascii="Palatino Linotype" w:eastAsia="Palatino Linotype" w:hAnsi="Palatino Linotype" w:cs="Palatino Linotype"/>
          <w:i/>
          <w:iCs/>
          <w:color w:val="000000"/>
        </w:rPr>
      </w:pPr>
      <w:r w:rsidRPr="000D7B75">
        <w:rPr>
          <w:rFonts w:ascii="Palatino Linotype" w:eastAsia="Palatino Linotype" w:hAnsi="Palatino Linotype" w:cs="Palatino Linotype"/>
          <w:i/>
          <w:iCs/>
          <w:color w:val="000000"/>
        </w:rPr>
        <w:t xml:space="preserve"> “Con motivo de la Obra Pública en Calle 12 de la Colonia Rustica Xalostoc, pregunto a SAPASE. 1.- Cuando tendré agua de la RED PUBLICA DE AGUA POTABLE. 2.- Cuando se estima terminen los trabajos de Obra Publica en lo relacionado con AGUA POTABLE DE LA RED PUBLICA. 3.- Solicito el último INFORME (o su equivalente) de supervisión de personal de SAPASE en CALLE 12 de la Colonia Rustica Xalostoc. 4.- Cual es el avance estimado en la RED DE AGUA POTABLE DE CALLE 12 de la Colonia Rustica Xalostoc y cuantas válvulas se han instalado a lo largo de la CALLE 12 de la Colonia Rustica Xalostoc y su ubicación. Número de CUENTA O SERVICIO: 54524 - Pago anual realizado el 09-Enero-2026 a las 13:41 horas. Les agradeceré su amable atención.” (Sic)</w:t>
      </w:r>
    </w:p>
    <w:p w14:paraId="1B18B1EC" w14:textId="77777777" w:rsidR="004358B2" w:rsidRDefault="004358B2">
      <w:pPr>
        <w:ind w:left="567" w:right="-591"/>
        <w:jc w:val="both"/>
        <w:rPr>
          <w:rFonts w:ascii="Palatino Linotype" w:eastAsia="Palatino Linotype" w:hAnsi="Palatino Linotype" w:cs="Palatino Linotype"/>
          <w:b/>
          <w:bCs/>
        </w:rPr>
      </w:pPr>
    </w:p>
    <w:p w14:paraId="313AF73F" w14:textId="77777777" w:rsidR="000D7B75" w:rsidRPr="000D7B75" w:rsidRDefault="000D7B75">
      <w:pPr>
        <w:ind w:left="567" w:right="-591"/>
        <w:jc w:val="both"/>
        <w:rPr>
          <w:rFonts w:ascii="Palatino Linotype" w:eastAsia="Palatino Linotype" w:hAnsi="Palatino Linotype" w:cs="Palatino Linotype"/>
          <w:b/>
          <w:bCs/>
        </w:rPr>
      </w:pPr>
    </w:p>
    <w:p w14:paraId="1D6E7DD5" w14:textId="77777777" w:rsidR="004358B2" w:rsidRPr="000D7B75" w:rsidRDefault="00C37ACC">
      <w:pPr>
        <w:numPr>
          <w:ilvl w:val="0"/>
          <w:numId w:val="1"/>
        </w:numPr>
        <w:ind w:right="-591"/>
        <w:jc w:val="both"/>
        <w:rPr>
          <w:rFonts w:ascii="Palatino Linotype" w:eastAsia="Palatino Linotype" w:hAnsi="Palatino Linotype" w:cs="Palatino Linotype"/>
          <w:b/>
          <w:bCs/>
        </w:rPr>
      </w:pPr>
      <w:r w:rsidRPr="000D7B75">
        <w:rPr>
          <w:rFonts w:ascii="Palatino Linotype" w:eastAsia="Palatino Linotype" w:hAnsi="Palatino Linotype" w:cs="Palatino Linotype"/>
          <w:b/>
          <w:bCs/>
        </w:rPr>
        <w:t>RAZONES O MOTIVOS DE INCONFORMIDAD</w:t>
      </w:r>
    </w:p>
    <w:p w14:paraId="32DE18B7" w14:textId="77777777" w:rsidR="004358B2" w:rsidRPr="000D7B75" w:rsidRDefault="00C37ACC">
      <w:pPr>
        <w:ind w:left="1134" w:right="-591"/>
        <w:jc w:val="both"/>
        <w:rPr>
          <w:rFonts w:ascii="Palatino Linotype" w:eastAsia="Palatino Linotype" w:hAnsi="Palatino Linotype" w:cs="Palatino Linotype"/>
          <w:i/>
          <w:iCs/>
          <w:color w:val="000000"/>
        </w:rPr>
      </w:pPr>
      <w:r w:rsidRPr="000D7B75">
        <w:rPr>
          <w:rFonts w:ascii="Palatino Linotype" w:eastAsia="Palatino Linotype" w:hAnsi="Palatino Linotype" w:cs="Palatino Linotype"/>
          <w:i/>
          <w:iCs/>
          <w:color w:val="000000"/>
        </w:rPr>
        <w:t xml:space="preserve">“Anteriormente NO se me proporciono información porque no había proporcionado el Número de CUENTA O SERVICIO. Las preguntas las puede contestar SAPASE, ya que </w:t>
      </w:r>
      <w:r w:rsidRPr="000D7B75">
        <w:rPr>
          <w:rFonts w:ascii="Palatino Linotype" w:eastAsia="Palatino Linotype" w:hAnsi="Palatino Linotype" w:cs="Palatino Linotype"/>
          <w:i/>
          <w:iCs/>
          <w:color w:val="000000"/>
        </w:rPr>
        <w:lastRenderedPageBreak/>
        <w:t>personal de SAPASE a supervisado las instalaciones de la RED DE AGUA POTABLE PUBLICA.” (Sic)</w:t>
      </w:r>
    </w:p>
    <w:p w14:paraId="0D66F123" w14:textId="77777777" w:rsidR="004358B2" w:rsidRPr="000D7B75" w:rsidRDefault="004358B2">
      <w:pPr>
        <w:pBdr>
          <w:top w:val="nil"/>
          <w:left w:val="nil"/>
          <w:bottom w:val="nil"/>
          <w:right w:val="nil"/>
          <w:between w:val="nil"/>
        </w:pBdr>
        <w:tabs>
          <w:tab w:val="left" w:pos="142"/>
        </w:tabs>
        <w:spacing w:line="360" w:lineRule="auto"/>
        <w:ind w:left="426" w:right="-591"/>
        <w:jc w:val="center"/>
        <w:rPr>
          <w:rFonts w:ascii="Palatino Linotype" w:eastAsia="Palatino Linotype" w:hAnsi="Palatino Linotype" w:cs="Palatino Linotype"/>
          <w:i/>
          <w:iCs/>
          <w:color w:val="000000"/>
        </w:rPr>
      </w:pPr>
    </w:p>
    <w:p w14:paraId="413D7839" w14:textId="77777777" w:rsidR="004358B2" w:rsidRPr="000D7B75" w:rsidRDefault="00C37ACC">
      <w:pPr>
        <w:numPr>
          <w:ilvl w:val="0"/>
          <w:numId w:val="2"/>
        </w:numPr>
        <w:spacing w:line="360" w:lineRule="auto"/>
        <w:ind w:left="0" w:right="-591" w:firstLine="0"/>
        <w:jc w:val="both"/>
        <w:rPr>
          <w:rFonts w:ascii="Palatino Linotype" w:eastAsia="Palatino Linotype" w:hAnsi="Palatino Linotype" w:cs="Palatino Linotype"/>
          <w:color w:val="000000"/>
        </w:rPr>
      </w:pPr>
      <w:r w:rsidRPr="000D7B75">
        <w:rPr>
          <w:rFonts w:ascii="Palatino Linotype" w:eastAsia="Palatino Linotype" w:hAnsi="Palatino Linotype" w:cs="Palatino Linotype"/>
        </w:rPr>
        <w:t xml:space="preserve">Posteriormente, la Comisionada Ponente con fundamento en lo dispuesto por el artículo 185, fracción II, de la Ley de la materia, a través del acuerdo de admisión del </w:t>
      </w:r>
      <w:r w:rsidRPr="000D7B75">
        <w:rPr>
          <w:rFonts w:ascii="Palatino Linotype" w:eastAsia="Palatino Linotype" w:hAnsi="Palatino Linotype" w:cs="Palatino Linotype"/>
          <w:b/>
          <w:bCs/>
        </w:rPr>
        <w:t>veintiséis de marzo de dos mil veintiséis</w:t>
      </w:r>
      <w:r w:rsidRPr="000D7B75">
        <w:rPr>
          <w:rFonts w:ascii="Palatino Linotype" w:eastAsia="Palatino Linotype" w:hAnsi="Palatino Linotype" w:cs="Palatino Linotype"/>
        </w:rPr>
        <w:t xml:space="preserve">, puso a disposición de las partes el expediente electrónico vía </w:t>
      </w:r>
      <w:r w:rsidRPr="000D7B75">
        <w:rPr>
          <w:rFonts w:ascii="Palatino Linotype" w:eastAsia="Palatino Linotype" w:hAnsi="Palatino Linotype" w:cs="Palatino Linotype"/>
          <w:b/>
          <w:bCs/>
        </w:rPr>
        <w:t xml:space="preserve">SAIMEX </w:t>
      </w:r>
      <w:r w:rsidRPr="000D7B75">
        <w:rPr>
          <w:rFonts w:ascii="Palatino Linotype" w:eastAsia="Palatino Linotype" w:hAnsi="Palatino Linotype" w:cs="Palatino Linotype"/>
        </w:rPr>
        <w:t xml:space="preserve">a efecto de que en un plazo máximo de siete días manifestara lo que a derecho conviniera, ofreciera pruebas y alegatos según corresponda al caso concreto, de esta forma para que el </w:t>
      </w:r>
      <w:r w:rsidRPr="000D7B75">
        <w:rPr>
          <w:rFonts w:ascii="Palatino Linotype" w:eastAsia="Palatino Linotype" w:hAnsi="Palatino Linotype" w:cs="Palatino Linotype"/>
          <w:b/>
          <w:bCs/>
        </w:rPr>
        <w:t>SUJETO OBLIGADO</w:t>
      </w:r>
      <w:r w:rsidRPr="000D7B75">
        <w:rPr>
          <w:rFonts w:ascii="Palatino Linotype" w:eastAsia="Palatino Linotype" w:hAnsi="Palatino Linotype" w:cs="Palatino Linotype"/>
        </w:rPr>
        <w:t xml:space="preserve"> presentase el informe justificado procedente. </w:t>
      </w:r>
    </w:p>
    <w:p w14:paraId="6E39F87F" w14:textId="77777777" w:rsidR="004358B2" w:rsidRPr="000D7B75" w:rsidRDefault="004358B2">
      <w:pPr>
        <w:spacing w:line="360" w:lineRule="auto"/>
        <w:ind w:right="-591"/>
        <w:jc w:val="both"/>
        <w:rPr>
          <w:rFonts w:ascii="Palatino Linotype" w:eastAsia="Palatino Linotype" w:hAnsi="Palatino Linotype" w:cs="Palatino Linotype"/>
          <w:color w:val="000000"/>
        </w:rPr>
      </w:pPr>
    </w:p>
    <w:p w14:paraId="40FF1F84" w14:textId="77777777" w:rsidR="004358B2" w:rsidRPr="000D7B75" w:rsidRDefault="00C37ACC">
      <w:pPr>
        <w:numPr>
          <w:ilvl w:val="0"/>
          <w:numId w:val="2"/>
        </w:numPr>
        <w:pBdr>
          <w:top w:val="nil"/>
          <w:left w:val="nil"/>
          <w:bottom w:val="nil"/>
          <w:right w:val="nil"/>
          <w:between w:val="nil"/>
        </w:pBdr>
        <w:tabs>
          <w:tab w:val="left" w:pos="426"/>
        </w:tabs>
        <w:spacing w:line="360" w:lineRule="auto"/>
        <w:ind w:left="0" w:right="-591" w:firstLine="0"/>
        <w:jc w:val="both"/>
        <w:rPr>
          <w:rFonts w:ascii="Palatino Linotype" w:eastAsia="Palatino Linotype" w:hAnsi="Palatino Linotype" w:cs="Palatino Linotype"/>
          <w:color w:val="000000"/>
        </w:rPr>
      </w:pPr>
      <w:r w:rsidRPr="000D7B75">
        <w:rPr>
          <w:rFonts w:ascii="Palatino Linotype" w:eastAsia="Palatino Linotype" w:hAnsi="Palatino Linotype" w:cs="Palatino Linotype"/>
          <w:color w:val="000000"/>
        </w:rPr>
        <w:t xml:space="preserve">El </w:t>
      </w:r>
      <w:r w:rsidRPr="000D7B75">
        <w:rPr>
          <w:rFonts w:ascii="Palatino Linotype" w:eastAsia="Palatino Linotype" w:hAnsi="Palatino Linotype" w:cs="Palatino Linotype"/>
          <w:b/>
          <w:bCs/>
          <w:color w:val="000000"/>
        </w:rPr>
        <w:t xml:space="preserve">SUJETO OBLIGADO </w:t>
      </w:r>
      <w:r w:rsidRPr="000D7B75">
        <w:rPr>
          <w:rFonts w:ascii="Palatino Linotype" w:eastAsia="Palatino Linotype" w:hAnsi="Palatino Linotype" w:cs="Palatino Linotype"/>
          <w:color w:val="000000"/>
        </w:rPr>
        <w:t xml:space="preserve">omitió rendir el informe justificado correspondiente, por su parte, el </w:t>
      </w:r>
      <w:r w:rsidRPr="000D7B75">
        <w:rPr>
          <w:rFonts w:ascii="Palatino Linotype" w:eastAsia="Palatino Linotype" w:hAnsi="Palatino Linotype" w:cs="Palatino Linotype"/>
          <w:b/>
          <w:bCs/>
          <w:color w:val="000000"/>
        </w:rPr>
        <w:t>RECURRENTE</w:t>
      </w:r>
      <w:r w:rsidRPr="000D7B75">
        <w:rPr>
          <w:rFonts w:ascii="Palatino Linotype" w:eastAsia="Palatino Linotype" w:hAnsi="Palatino Linotype" w:cs="Palatino Linotype"/>
          <w:color w:val="000000"/>
        </w:rPr>
        <w:t xml:space="preserve"> no realizó manifestaciones que a su derecho </w:t>
      </w:r>
      <w:r w:rsidRPr="000D7B75">
        <w:rPr>
          <w:rFonts w:ascii="Palatino Linotype" w:eastAsia="Palatino Linotype" w:hAnsi="Palatino Linotype" w:cs="Palatino Linotype"/>
        </w:rPr>
        <w:t>conviniera</w:t>
      </w:r>
      <w:r w:rsidRPr="000D7B75">
        <w:rPr>
          <w:rFonts w:ascii="Palatino Linotype" w:eastAsia="Palatino Linotype" w:hAnsi="Palatino Linotype" w:cs="Palatino Linotype"/>
          <w:color w:val="000000"/>
        </w:rPr>
        <w:t xml:space="preserve"> y asistieran.</w:t>
      </w:r>
    </w:p>
    <w:p w14:paraId="1668DCB4" w14:textId="77777777" w:rsidR="004358B2" w:rsidRPr="000D7B75" w:rsidRDefault="004358B2">
      <w:pPr>
        <w:spacing w:after="280"/>
        <w:ind w:left="1134" w:right="-591"/>
        <w:jc w:val="both"/>
        <w:rPr>
          <w:rFonts w:ascii="Palatino Linotype" w:eastAsia="Palatino Linotype" w:hAnsi="Palatino Linotype" w:cs="Palatino Linotype"/>
          <w:i/>
          <w:iCs/>
        </w:rPr>
      </w:pPr>
    </w:p>
    <w:p w14:paraId="4FE79F62" w14:textId="77777777" w:rsidR="004358B2" w:rsidRPr="000D7B75" w:rsidRDefault="00C37ACC">
      <w:pPr>
        <w:numPr>
          <w:ilvl w:val="0"/>
          <w:numId w:val="2"/>
        </w:numPr>
        <w:pBdr>
          <w:top w:val="nil"/>
          <w:left w:val="nil"/>
          <w:bottom w:val="nil"/>
          <w:right w:val="nil"/>
          <w:between w:val="nil"/>
        </w:pBdr>
        <w:spacing w:line="360" w:lineRule="auto"/>
        <w:ind w:left="0" w:right="-591" w:firstLine="0"/>
        <w:jc w:val="both"/>
        <w:rPr>
          <w:rFonts w:ascii="Palatino Linotype" w:eastAsia="Palatino Linotype" w:hAnsi="Palatino Linotype" w:cs="Palatino Linotype"/>
          <w:b/>
          <w:bCs/>
          <w:color w:val="000000"/>
        </w:rPr>
      </w:pPr>
      <w:r w:rsidRPr="000D7B75">
        <w:rPr>
          <w:rFonts w:ascii="Palatino Linotype" w:eastAsia="Palatino Linotype" w:hAnsi="Palatino Linotype" w:cs="Palatino Linotype"/>
          <w:color w:val="000000"/>
        </w:rPr>
        <w:t xml:space="preserve">En </w:t>
      </w:r>
      <w:r w:rsidRPr="000D7B75">
        <w:rPr>
          <w:rFonts w:ascii="Palatino Linotype" w:eastAsia="Palatino Linotype" w:hAnsi="Palatino Linotype" w:cs="Palatino Linotype"/>
          <w:b/>
          <w:bCs/>
          <w:color w:val="000000"/>
        </w:rPr>
        <w:t>fecha veinte de mayo de dos mil veintiséis</w:t>
      </w:r>
      <w:r w:rsidRPr="000D7B75">
        <w:rPr>
          <w:rFonts w:ascii="Palatino Linotype" w:eastAsia="Palatino Linotype" w:hAnsi="Palatino Linotype" w:cs="Palatino Linotype"/>
          <w:color w:val="000000"/>
        </w:rPr>
        <w:t>, se acordó ampliar el término para resolver el presente asunto.</w:t>
      </w:r>
    </w:p>
    <w:p w14:paraId="03DA6313" w14:textId="77777777" w:rsidR="004358B2" w:rsidRPr="000D7B75" w:rsidRDefault="004358B2">
      <w:pPr>
        <w:pBdr>
          <w:top w:val="nil"/>
          <w:left w:val="nil"/>
          <w:bottom w:val="nil"/>
          <w:right w:val="nil"/>
          <w:between w:val="nil"/>
        </w:pBdr>
        <w:ind w:right="-591"/>
        <w:rPr>
          <w:rFonts w:ascii="Palatino Linotype" w:eastAsia="Palatino Linotype" w:hAnsi="Palatino Linotype" w:cs="Palatino Linotype"/>
          <w:b/>
          <w:bCs/>
          <w:color w:val="000000"/>
        </w:rPr>
      </w:pPr>
    </w:p>
    <w:p w14:paraId="6C1775AA" w14:textId="77777777" w:rsidR="004358B2" w:rsidRDefault="00C37ACC">
      <w:pPr>
        <w:numPr>
          <w:ilvl w:val="0"/>
          <w:numId w:val="2"/>
        </w:numPr>
        <w:pBdr>
          <w:top w:val="nil"/>
          <w:left w:val="nil"/>
          <w:bottom w:val="nil"/>
          <w:right w:val="nil"/>
          <w:between w:val="nil"/>
        </w:pBdr>
        <w:spacing w:line="360" w:lineRule="auto"/>
        <w:ind w:left="0" w:right="-591" w:firstLine="0"/>
        <w:jc w:val="both"/>
        <w:rPr>
          <w:rFonts w:ascii="Palatino Linotype" w:eastAsia="Palatino Linotype" w:hAnsi="Palatino Linotype" w:cs="Palatino Linotype"/>
          <w:color w:val="000000"/>
        </w:rPr>
      </w:pPr>
      <w:r w:rsidRPr="000D7B75">
        <w:rPr>
          <w:rFonts w:ascii="Palatino Linotype" w:eastAsia="Palatino Linotype" w:hAnsi="Palatino Linotype" w:cs="Palatino Linotype"/>
          <w:color w:val="000000"/>
        </w:rPr>
        <w:t>Por ello, es menester precisar que, si bien se ha excedido el plazo para resolver el presente medio de impugnación, de conformidad con la ley de la materia, dicha dilación es de carácter excepcional y se encuentra justificada en los elementos para medir la razonabilidad del plazo de resolución de asuntos conforme a los parámetros establecidos por diversos órganos jurisdiccionales federales, aplicables también en procedimientos análogos, como el que nos ocupa.</w:t>
      </w:r>
    </w:p>
    <w:p w14:paraId="4FCEE370" w14:textId="77777777" w:rsidR="003D52F2" w:rsidRDefault="003D52F2" w:rsidP="003D52F2">
      <w:pPr>
        <w:pStyle w:val="Prrafodelista"/>
        <w:rPr>
          <w:rFonts w:ascii="Palatino Linotype" w:eastAsia="Palatino Linotype" w:hAnsi="Palatino Linotype" w:cs="Palatino Linotype"/>
          <w:color w:val="000000"/>
        </w:rPr>
      </w:pPr>
    </w:p>
    <w:p w14:paraId="5A46238E" w14:textId="77777777" w:rsidR="003D52F2" w:rsidRPr="000D7B75" w:rsidRDefault="003D52F2" w:rsidP="003D52F2">
      <w:pPr>
        <w:pBdr>
          <w:top w:val="nil"/>
          <w:left w:val="nil"/>
          <w:bottom w:val="nil"/>
          <w:right w:val="nil"/>
          <w:between w:val="nil"/>
        </w:pBdr>
        <w:spacing w:line="360" w:lineRule="auto"/>
        <w:ind w:right="-591"/>
        <w:jc w:val="both"/>
        <w:rPr>
          <w:rFonts w:ascii="Palatino Linotype" w:eastAsia="Palatino Linotype" w:hAnsi="Palatino Linotype" w:cs="Palatino Linotype"/>
          <w:color w:val="000000"/>
        </w:rPr>
      </w:pPr>
    </w:p>
    <w:p w14:paraId="26529F1F" w14:textId="77777777" w:rsidR="004358B2" w:rsidRPr="000D7B75" w:rsidRDefault="00C37ACC">
      <w:pPr>
        <w:numPr>
          <w:ilvl w:val="0"/>
          <w:numId w:val="2"/>
        </w:numPr>
        <w:spacing w:line="360" w:lineRule="auto"/>
        <w:ind w:left="0" w:right="-591" w:firstLine="0"/>
        <w:jc w:val="both"/>
        <w:rPr>
          <w:rFonts w:ascii="Palatino Linotype" w:eastAsia="Palatino Linotype" w:hAnsi="Palatino Linotype" w:cs="Palatino Linotype"/>
        </w:rPr>
      </w:pPr>
      <w:r w:rsidRPr="000D7B75">
        <w:rPr>
          <w:rFonts w:ascii="Palatino Linotype" w:eastAsia="Palatino Linotype" w:hAnsi="Palatino Linotype" w:cs="Palatino Linotype"/>
        </w:rPr>
        <w:lastRenderedPageBreak/>
        <w:t xml:space="preserve">La Comisionada Ponente decretó el cierre de instrucción mediante el acuerdo del </w:t>
      </w:r>
      <w:r w:rsidRPr="000D7B75">
        <w:rPr>
          <w:rFonts w:ascii="Palatino Linotype" w:eastAsia="Palatino Linotype" w:hAnsi="Palatino Linotype" w:cs="Palatino Linotype"/>
          <w:b/>
          <w:bCs/>
        </w:rPr>
        <w:t xml:space="preserve">once de mayo de dos mil veintiséis; </w:t>
      </w:r>
      <w:r w:rsidRPr="000D7B75">
        <w:rPr>
          <w:rFonts w:ascii="Palatino Linotype" w:eastAsia="Palatino Linotype" w:hAnsi="Palatino Linotype" w:cs="Palatino Linotype"/>
        </w:rPr>
        <w:t xml:space="preserve">por lo que en virtud de que el expediente electrónico ha sido debidamente substanciado y no existe diligencia pendiente de desahogo, se procede a emitir la presente resolución que conforme a Derecho corresponda y </w:t>
      </w:r>
    </w:p>
    <w:p w14:paraId="4AAF1F42" w14:textId="77777777" w:rsidR="004358B2" w:rsidRPr="000D7B75" w:rsidRDefault="00C37ACC">
      <w:pPr>
        <w:spacing w:before="600" w:after="600" w:line="276" w:lineRule="auto"/>
        <w:ind w:right="-591"/>
        <w:jc w:val="center"/>
        <w:rPr>
          <w:rFonts w:ascii="Palatino Linotype" w:eastAsia="Palatino Linotype" w:hAnsi="Palatino Linotype" w:cs="Palatino Linotype"/>
          <w:b/>
          <w:bCs/>
        </w:rPr>
      </w:pPr>
      <w:r w:rsidRPr="000D7B75">
        <w:rPr>
          <w:rFonts w:ascii="Palatino Linotype" w:eastAsia="Palatino Linotype" w:hAnsi="Palatino Linotype" w:cs="Palatino Linotype"/>
          <w:b/>
          <w:bCs/>
        </w:rPr>
        <w:t>C O N S I D E R A N D O</w:t>
      </w:r>
    </w:p>
    <w:p w14:paraId="3B4F0D41" w14:textId="77777777" w:rsidR="004358B2" w:rsidRPr="000D7B75" w:rsidRDefault="00C37ACC">
      <w:pPr>
        <w:widowControl w:val="0"/>
        <w:tabs>
          <w:tab w:val="left" w:pos="1701"/>
        </w:tabs>
        <w:spacing w:before="280" w:line="360" w:lineRule="auto"/>
        <w:ind w:right="-591"/>
        <w:jc w:val="both"/>
        <w:rPr>
          <w:rFonts w:ascii="Palatino Linotype" w:eastAsia="Palatino Linotype" w:hAnsi="Palatino Linotype" w:cs="Palatino Linotype"/>
        </w:rPr>
      </w:pPr>
      <w:r w:rsidRPr="000D7B75">
        <w:rPr>
          <w:rFonts w:ascii="Palatino Linotype" w:eastAsia="Palatino Linotype" w:hAnsi="Palatino Linotype" w:cs="Palatino Linotype"/>
          <w:b/>
          <w:bCs/>
        </w:rPr>
        <w:t>PRIMERO. De la Competencia</w:t>
      </w:r>
      <w:r w:rsidRPr="000D7B75">
        <w:rPr>
          <w:rFonts w:ascii="Palatino Linotype" w:eastAsia="Palatino Linotype" w:hAnsi="Palatino Linotype" w:cs="Palatino Linotype"/>
        </w:rPr>
        <w:t>.</w:t>
      </w:r>
      <w:r w:rsidRPr="000D7B75">
        <w:rPr>
          <w:rFonts w:ascii="Palatino Linotype" w:eastAsia="Palatino Linotype" w:hAnsi="Palatino Linotype" w:cs="Palatino Linotype"/>
          <w:b/>
          <w:bCs/>
        </w:rPr>
        <w:t xml:space="preserve"> </w:t>
      </w:r>
    </w:p>
    <w:p w14:paraId="62BC4E21" w14:textId="77777777" w:rsidR="004358B2" w:rsidRPr="000D7B75" w:rsidRDefault="00C37ACC">
      <w:pPr>
        <w:numPr>
          <w:ilvl w:val="0"/>
          <w:numId w:val="2"/>
        </w:numPr>
        <w:pBdr>
          <w:top w:val="nil"/>
          <w:left w:val="nil"/>
          <w:bottom w:val="nil"/>
          <w:right w:val="nil"/>
          <w:between w:val="nil"/>
        </w:pBdr>
        <w:spacing w:line="360" w:lineRule="auto"/>
        <w:ind w:left="0" w:right="-591" w:firstLine="0"/>
        <w:jc w:val="both"/>
        <w:rPr>
          <w:rFonts w:ascii="Palatino Linotype" w:eastAsia="Palatino Linotype" w:hAnsi="Palatino Linotype" w:cs="Palatino Linotype"/>
          <w:color w:val="000000"/>
        </w:rPr>
      </w:pPr>
      <w:r w:rsidRPr="000D7B75">
        <w:rPr>
          <w:rFonts w:ascii="Palatino Linotype" w:eastAsia="Palatino Linotype" w:hAnsi="Palatino Linotype" w:cs="Palatino Linotype"/>
          <w:color w:val="000000"/>
        </w:rPr>
        <w:t>Este Instituto de Transparencia, Acceso a la Información Pública y Protección de Datos Personales del Estado de México y Municipios, es competente para conocer y resolver del presente recurso de conformidad con el artículo: 6, apartado A, de la Constitución Política de los Estados Unidos Mexicanos; 5, párrafos trigésimo, trigésimo primero y trigésimo segundo, fracciones I, II, III, IV y V de la Constitución Política del Estado Libre y Soberano de México; 1, 3 fracción I, 82, 97, 98, 119, 123, 124, 127, 128 y 133 Ley de Protección de Datos Personales en Posesión de Sujetos Obligados del Estado de México y Municipios; y 10, 7, 9 fracciones I y XXIV, y 11 del Reglamento Interior del Instituto de Transparencia, Acceso a la Información Pública y Protección de Datos Personales del Estado de México y Municipios.</w:t>
      </w:r>
    </w:p>
    <w:p w14:paraId="6D0E27D2" w14:textId="77777777" w:rsidR="004358B2" w:rsidRPr="000D7B75" w:rsidRDefault="004358B2">
      <w:pPr>
        <w:spacing w:line="360" w:lineRule="auto"/>
        <w:ind w:right="-591"/>
        <w:jc w:val="both"/>
        <w:rPr>
          <w:rFonts w:ascii="Palatino Linotype" w:eastAsia="Palatino Linotype" w:hAnsi="Palatino Linotype" w:cs="Palatino Linotype"/>
        </w:rPr>
      </w:pPr>
    </w:p>
    <w:p w14:paraId="531A8957" w14:textId="77777777" w:rsidR="004358B2" w:rsidRPr="000D7B75" w:rsidRDefault="00C37ACC">
      <w:pPr>
        <w:pStyle w:val="Ttulo2"/>
        <w:spacing w:before="0" w:line="360" w:lineRule="auto"/>
        <w:ind w:right="-591"/>
        <w:rPr>
          <w:rFonts w:ascii="Palatino Linotype" w:eastAsia="Palatino Linotype" w:hAnsi="Palatino Linotype" w:cs="Palatino Linotype"/>
          <w:b/>
          <w:bCs/>
          <w:color w:val="000000"/>
          <w:sz w:val="24"/>
          <w:szCs w:val="24"/>
        </w:rPr>
      </w:pPr>
      <w:r w:rsidRPr="000D7B75">
        <w:rPr>
          <w:rFonts w:ascii="Palatino Linotype" w:eastAsia="Palatino Linotype" w:hAnsi="Palatino Linotype" w:cs="Palatino Linotype"/>
          <w:b/>
          <w:bCs/>
          <w:color w:val="000000"/>
          <w:sz w:val="24"/>
          <w:szCs w:val="24"/>
        </w:rPr>
        <w:t>SEGUNDO. De la oportunidad y procedencia.</w:t>
      </w:r>
    </w:p>
    <w:p w14:paraId="3C13B7BB" w14:textId="77777777" w:rsidR="004358B2" w:rsidRPr="000D7B75" w:rsidRDefault="00C37ACC">
      <w:pPr>
        <w:pBdr>
          <w:top w:val="nil"/>
          <w:left w:val="nil"/>
          <w:bottom w:val="nil"/>
          <w:right w:val="nil"/>
          <w:between w:val="nil"/>
        </w:pBdr>
        <w:spacing w:after="240" w:line="360" w:lineRule="auto"/>
        <w:ind w:right="-591"/>
        <w:jc w:val="both"/>
        <w:rPr>
          <w:rFonts w:ascii="Palatino Linotype" w:eastAsia="Palatino Linotype" w:hAnsi="Palatino Linotype" w:cs="Palatino Linotype"/>
          <w:color w:val="000000"/>
        </w:rPr>
      </w:pPr>
      <w:r w:rsidRPr="000D7B75">
        <w:rPr>
          <w:rFonts w:ascii="Palatino Linotype" w:eastAsia="Palatino Linotype" w:hAnsi="Palatino Linotype" w:cs="Palatino Linotype"/>
          <w:b/>
          <w:bCs/>
        </w:rPr>
        <w:t>10.</w:t>
      </w:r>
      <w:r w:rsidRPr="000D7B75">
        <w:rPr>
          <w:rFonts w:ascii="Palatino Linotype" w:eastAsia="Palatino Linotype" w:hAnsi="Palatino Linotype" w:cs="Palatino Linotype"/>
        </w:rPr>
        <w:t xml:space="preserve"> </w:t>
      </w:r>
      <w:r w:rsidRPr="000D7B75">
        <w:rPr>
          <w:rFonts w:ascii="Palatino Linotype" w:eastAsia="Palatino Linotype" w:hAnsi="Palatino Linotype" w:cs="Palatino Linotype"/>
          <w:color w:val="000000"/>
        </w:rPr>
        <w:t xml:space="preserve">Los medios de impugnación fueron presentados a través del </w:t>
      </w:r>
      <w:r w:rsidRPr="000D7B75">
        <w:rPr>
          <w:rFonts w:ascii="Palatino Linotype" w:eastAsia="Palatino Linotype" w:hAnsi="Palatino Linotype" w:cs="Palatino Linotype"/>
          <w:b/>
          <w:bCs/>
          <w:color w:val="000000"/>
        </w:rPr>
        <w:t>SAIMEX,</w:t>
      </w:r>
      <w:r w:rsidRPr="000D7B75">
        <w:rPr>
          <w:rFonts w:ascii="Palatino Linotype" w:eastAsia="Palatino Linotype" w:hAnsi="Palatino Linotype" w:cs="Palatino Linotype"/>
          <w:color w:val="000000"/>
        </w:rPr>
        <w:t xml:space="preserve"> en el formato previamente aprobado para tal efecto y dentro del plazo legal de quince días hábiles otorgados; para el caso en particular es de señalar que el </w:t>
      </w:r>
      <w:r w:rsidRPr="000D7B75">
        <w:rPr>
          <w:rFonts w:ascii="Palatino Linotype" w:eastAsia="Palatino Linotype" w:hAnsi="Palatino Linotype" w:cs="Palatino Linotype"/>
          <w:b/>
          <w:bCs/>
          <w:color w:val="000000"/>
        </w:rPr>
        <w:t>SUJETO OBLIGADO</w:t>
      </w:r>
      <w:r w:rsidRPr="000D7B75">
        <w:rPr>
          <w:rFonts w:ascii="Palatino Linotype" w:eastAsia="Palatino Linotype" w:hAnsi="Palatino Linotype" w:cs="Palatino Linotype"/>
          <w:color w:val="000000"/>
        </w:rPr>
        <w:t xml:space="preserve"> entregó su respuesta el </w:t>
      </w:r>
      <w:r w:rsidRPr="000D7B75">
        <w:rPr>
          <w:rFonts w:ascii="Palatino Linotype" w:eastAsia="Palatino Linotype" w:hAnsi="Palatino Linotype" w:cs="Palatino Linotype"/>
          <w:b/>
          <w:bCs/>
          <w:color w:val="000000"/>
        </w:rPr>
        <w:t>veinte de marzo de dos mil veintiséis</w:t>
      </w:r>
      <w:r w:rsidRPr="000D7B75">
        <w:rPr>
          <w:rFonts w:ascii="Palatino Linotype" w:eastAsia="Palatino Linotype" w:hAnsi="Palatino Linotype" w:cs="Palatino Linotype"/>
          <w:color w:val="000000"/>
        </w:rPr>
        <w:t xml:space="preserve">, de tal forma que el plazo para interponer el recurso de </w:t>
      </w:r>
      <w:r w:rsidRPr="000D7B75">
        <w:rPr>
          <w:rFonts w:ascii="Palatino Linotype" w:eastAsia="Palatino Linotype" w:hAnsi="Palatino Linotype" w:cs="Palatino Linotype"/>
          <w:color w:val="000000"/>
        </w:rPr>
        <w:lastRenderedPageBreak/>
        <w:t xml:space="preserve">revisión transcurrió del día </w:t>
      </w:r>
      <w:r w:rsidRPr="000D7B75">
        <w:rPr>
          <w:rFonts w:ascii="Palatino Linotype" w:eastAsia="Palatino Linotype" w:hAnsi="Palatino Linotype" w:cs="Palatino Linotype"/>
          <w:b/>
          <w:bCs/>
          <w:color w:val="000000"/>
        </w:rPr>
        <w:t>veintitrés de marzo al diecisiete de abril de dos mil veintiséis</w:t>
      </w:r>
      <w:r w:rsidRPr="000D7B75">
        <w:rPr>
          <w:rFonts w:ascii="Palatino Linotype" w:eastAsia="Palatino Linotype" w:hAnsi="Palatino Linotype" w:cs="Palatino Linotype"/>
          <w:color w:val="000000"/>
        </w:rPr>
        <w:t xml:space="preserve">; en consecuencia, el ahora </w:t>
      </w:r>
      <w:r w:rsidRPr="000D7B75">
        <w:rPr>
          <w:rFonts w:ascii="Palatino Linotype" w:eastAsia="Palatino Linotype" w:hAnsi="Palatino Linotype" w:cs="Palatino Linotype"/>
          <w:b/>
          <w:bCs/>
          <w:color w:val="000000"/>
        </w:rPr>
        <w:t>RECURRENTE</w:t>
      </w:r>
      <w:r w:rsidRPr="000D7B75">
        <w:rPr>
          <w:rFonts w:ascii="Palatino Linotype" w:eastAsia="Palatino Linotype" w:hAnsi="Palatino Linotype" w:cs="Palatino Linotype"/>
          <w:color w:val="000000"/>
        </w:rPr>
        <w:t xml:space="preserve"> presentó su inconformidad el día </w:t>
      </w:r>
      <w:r w:rsidRPr="000D7B75">
        <w:rPr>
          <w:rFonts w:ascii="Palatino Linotype" w:eastAsia="Palatino Linotype" w:hAnsi="Palatino Linotype" w:cs="Palatino Linotype"/>
          <w:b/>
          <w:bCs/>
          <w:color w:val="000000"/>
        </w:rPr>
        <w:t>veintitrés de marzo de dos mil veintiséis</w:t>
      </w:r>
      <w:r w:rsidRPr="000D7B75">
        <w:rPr>
          <w:rFonts w:ascii="Palatino Linotype" w:eastAsia="Palatino Linotype" w:hAnsi="Palatino Linotype" w:cs="Palatino Linotype"/>
          <w:color w:val="000000"/>
        </w:rPr>
        <w:t>, dentro del lapso legalmente establecido para tal efecto.</w:t>
      </w:r>
    </w:p>
    <w:p w14:paraId="5B7C54B4" w14:textId="77777777" w:rsidR="004358B2" w:rsidRPr="000D7B75" w:rsidRDefault="004358B2">
      <w:pPr>
        <w:pBdr>
          <w:top w:val="nil"/>
          <w:left w:val="nil"/>
          <w:bottom w:val="nil"/>
          <w:right w:val="nil"/>
          <w:between w:val="nil"/>
        </w:pBdr>
        <w:spacing w:line="360" w:lineRule="auto"/>
        <w:ind w:right="-591"/>
        <w:jc w:val="both"/>
        <w:rPr>
          <w:rFonts w:ascii="Palatino Linotype" w:eastAsia="Palatino Linotype" w:hAnsi="Palatino Linotype" w:cs="Palatino Linotype"/>
          <w:color w:val="000000"/>
        </w:rPr>
      </w:pPr>
    </w:p>
    <w:p w14:paraId="4BCA5A14" w14:textId="77777777" w:rsidR="004358B2" w:rsidRPr="000D7B75" w:rsidRDefault="00C37ACC">
      <w:pPr>
        <w:numPr>
          <w:ilvl w:val="0"/>
          <w:numId w:val="9"/>
        </w:numPr>
        <w:pBdr>
          <w:top w:val="nil"/>
          <w:left w:val="nil"/>
          <w:bottom w:val="nil"/>
          <w:right w:val="nil"/>
          <w:between w:val="nil"/>
        </w:pBdr>
        <w:spacing w:line="360" w:lineRule="auto"/>
        <w:ind w:left="0" w:right="-591" w:firstLine="0"/>
        <w:jc w:val="both"/>
        <w:rPr>
          <w:rFonts w:ascii="Palatino Linotype" w:eastAsia="Palatino Linotype" w:hAnsi="Palatino Linotype" w:cs="Palatino Linotype"/>
          <w:color w:val="000000"/>
        </w:rPr>
      </w:pPr>
      <w:r w:rsidRPr="000D7B75">
        <w:rPr>
          <w:rFonts w:ascii="Palatino Linotype" w:eastAsia="Palatino Linotype" w:hAnsi="Palatino Linotype" w:cs="Palatino Linotype"/>
          <w:color w:val="000000"/>
        </w:rPr>
        <w:t>Asimismo, el escrito contiene las formalidades previstas por el artículo 180 último párrafo de la Ley de la materia actual, por lo que es procedente que este Instituto de Transparencia, Acceso a la Información Pública y Protección de Datos Personales del Estado de México y Municipios, conozca y resuelva el presente recurso.</w:t>
      </w:r>
    </w:p>
    <w:p w14:paraId="2CEE7F31" w14:textId="77777777" w:rsidR="004358B2" w:rsidRPr="000D7B75" w:rsidRDefault="004358B2">
      <w:pPr>
        <w:pStyle w:val="Ttulo2"/>
        <w:spacing w:before="0" w:line="360" w:lineRule="auto"/>
        <w:ind w:right="-591"/>
        <w:rPr>
          <w:rFonts w:ascii="Palatino Linotype" w:eastAsia="Palatino Linotype" w:hAnsi="Palatino Linotype" w:cs="Palatino Linotype"/>
          <w:b/>
          <w:bCs/>
          <w:color w:val="000000"/>
          <w:sz w:val="24"/>
          <w:szCs w:val="24"/>
        </w:rPr>
      </w:pPr>
    </w:p>
    <w:p w14:paraId="5492510B" w14:textId="77777777" w:rsidR="004358B2" w:rsidRPr="000D7B75" w:rsidRDefault="00C37ACC">
      <w:pPr>
        <w:pStyle w:val="Ttulo2"/>
        <w:spacing w:before="0" w:line="360" w:lineRule="auto"/>
        <w:ind w:right="-591"/>
        <w:rPr>
          <w:rFonts w:ascii="Palatino Linotype" w:eastAsia="Palatino Linotype" w:hAnsi="Palatino Linotype" w:cs="Palatino Linotype"/>
          <w:b/>
          <w:bCs/>
          <w:color w:val="000000"/>
          <w:sz w:val="24"/>
          <w:szCs w:val="24"/>
        </w:rPr>
      </w:pPr>
      <w:r w:rsidRPr="000D7B75">
        <w:rPr>
          <w:rFonts w:ascii="Palatino Linotype" w:eastAsia="Palatino Linotype" w:hAnsi="Palatino Linotype" w:cs="Palatino Linotype"/>
          <w:b/>
          <w:bCs/>
          <w:color w:val="000000"/>
          <w:sz w:val="24"/>
          <w:szCs w:val="24"/>
        </w:rPr>
        <w:t>TERCERO. Del planteamiento de la Litis</w:t>
      </w:r>
    </w:p>
    <w:p w14:paraId="0C3BEF76" w14:textId="77777777" w:rsidR="004358B2" w:rsidRPr="000D7B75" w:rsidRDefault="00C37ACC">
      <w:pPr>
        <w:numPr>
          <w:ilvl w:val="0"/>
          <w:numId w:val="9"/>
        </w:numPr>
        <w:pBdr>
          <w:top w:val="nil"/>
          <w:left w:val="nil"/>
          <w:bottom w:val="nil"/>
          <w:right w:val="nil"/>
          <w:between w:val="nil"/>
        </w:pBdr>
        <w:spacing w:line="360" w:lineRule="auto"/>
        <w:ind w:left="0" w:right="-591" w:firstLine="0"/>
        <w:jc w:val="both"/>
        <w:rPr>
          <w:rFonts w:ascii="Palatino Linotype" w:eastAsia="Palatino Linotype" w:hAnsi="Palatino Linotype" w:cs="Palatino Linotype"/>
          <w:color w:val="000000"/>
        </w:rPr>
      </w:pPr>
      <w:r w:rsidRPr="000D7B75">
        <w:rPr>
          <w:rFonts w:ascii="Palatino Linotype" w:eastAsia="Palatino Linotype" w:hAnsi="Palatino Linotype" w:cs="Palatino Linotype"/>
          <w:color w:val="000000"/>
        </w:rPr>
        <w:t>De las constancias en el expediente al rubro indicado, se desprende que el particular  solicitó tener acceso a la información que a continuación se desagrega:</w:t>
      </w:r>
    </w:p>
    <w:p w14:paraId="2405F913" w14:textId="77777777" w:rsidR="004358B2" w:rsidRPr="000D7B75" w:rsidRDefault="00C37ACC">
      <w:pPr>
        <w:numPr>
          <w:ilvl w:val="0"/>
          <w:numId w:val="8"/>
        </w:numPr>
        <w:pBdr>
          <w:top w:val="nil"/>
          <w:left w:val="nil"/>
          <w:bottom w:val="nil"/>
          <w:right w:val="nil"/>
          <w:between w:val="nil"/>
        </w:pBdr>
        <w:ind w:right="-591" w:hanging="360"/>
        <w:rPr>
          <w:rFonts w:ascii="Palatino Linotype" w:eastAsia="Palatino Linotype" w:hAnsi="Palatino Linotype" w:cs="Palatino Linotype"/>
          <w:i/>
          <w:iCs/>
          <w:color w:val="000000"/>
        </w:rPr>
      </w:pPr>
      <w:r w:rsidRPr="000D7B75">
        <w:rPr>
          <w:rFonts w:ascii="Palatino Linotype" w:eastAsia="Palatino Linotype" w:hAnsi="Palatino Linotype" w:cs="Palatino Linotype"/>
          <w:i/>
          <w:iCs/>
          <w:color w:val="000000"/>
        </w:rPr>
        <w:t xml:space="preserve">Con motivo de la obra pública en calle 12 de la Colonia rústica Xalostoc: </w:t>
      </w:r>
    </w:p>
    <w:p w14:paraId="143102E1" w14:textId="77777777" w:rsidR="004358B2" w:rsidRPr="000D7B75" w:rsidRDefault="00C37ACC">
      <w:pPr>
        <w:numPr>
          <w:ilvl w:val="3"/>
          <w:numId w:val="3"/>
        </w:numPr>
        <w:pBdr>
          <w:top w:val="nil"/>
          <w:left w:val="nil"/>
          <w:bottom w:val="nil"/>
          <w:right w:val="nil"/>
          <w:between w:val="nil"/>
        </w:pBdr>
        <w:ind w:right="-591"/>
        <w:rPr>
          <w:rFonts w:ascii="Palatino Linotype" w:eastAsia="Palatino Linotype" w:hAnsi="Palatino Linotype" w:cs="Palatino Linotype"/>
          <w:i/>
          <w:iCs/>
          <w:color w:val="000000"/>
        </w:rPr>
      </w:pPr>
      <w:r w:rsidRPr="000D7B75">
        <w:rPr>
          <w:rFonts w:ascii="Palatino Linotype" w:eastAsia="Palatino Linotype" w:hAnsi="Palatino Linotype" w:cs="Palatino Linotype"/>
          <w:i/>
          <w:iCs/>
          <w:color w:val="000000"/>
        </w:rPr>
        <w:t>Cuando tendrá servicio de agua potable</w:t>
      </w:r>
    </w:p>
    <w:p w14:paraId="37483553" w14:textId="77777777" w:rsidR="004358B2" w:rsidRPr="000D7B75" w:rsidRDefault="00C37ACC">
      <w:pPr>
        <w:numPr>
          <w:ilvl w:val="3"/>
          <w:numId w:val="3"/>
        </w:numPr>
        <w:pBdr>
          <w:top w:val="nil"/>
          <w:left w:val="nil"/>
          <w:bottom w:val="nil"/>
          <w:right w:val="nil"/>
          <w:between w:val="nil"/>
        </w:pBdr>
        <w:ind w:right="-591"/>
        <w:rPr>
          <w:rFonts w:ascii="Palatino Linotype" w:eastAsia="Palatino Linotype" w:hAnsi="Palatino Linotype" w:cs="Palatino Linotype"/>
          <w:i/>
          <w:iCs/>
          <w:color w:val="000000"/>
        </w:rPr>
      </w:pPr>
      <w:r w:rsidRPr="000D7B75">
        <w:rPr>
          <w:rFonts w:ascii="Palatino Linotype" w:eastAsia="Palatino Linotype" w:hAnsi="Palatino Linotype" w:cs="Palatino Linotype"/>
          <w:i/>
          <w:iCs/>
          <w:color w:val="000000"/>
        </w:rPr>
        <w:t xml:space="preserve">Cuando se estima que terminen los trabajos </w:t>
      </w:r>
    </w:p>
    <w:p w14:paraId="683284D8" w14:textId="77777777" w:rsidR="004358B2" w:rsidRPr="000D7B75" w:rsidRDefault="00C37ACC">
      <w:pPr>
        <w:numPr>
          <w:ilvl w:val="3"/>
          <w:numId w:val="3"/>
        </w:numPr>
        <w:pBdr>
          <w:top w:val="nil"/>
          <w:left w:val="nil"/>
          <w:bottom w:val="nil"/>
          <w:right w:val="nil"/>
          <w:between w:val="nil"/>
        </w:pBdr>
        <w:ind w:right="-591"/>
        <w:rPr>
          <w:rFonts w:ascii="Palatino Linotype" w:eastAsia="Palatino Linotype" w:hAnsi="Palatino Linotype" w:cs="Palatino Linotype"/>
          <w:i/>
          <w:iCs/>
          <w:color w:val="000000"/>
        </w:rPr>
      </w:pPr>
      <w:r w:rsidRPr="000D7B75">
        <w:rPr>
          <w:rFonts w:ascii="Palatino Linotype" w:eastAsia="Palatino Linotype" w:hAnsi="Palatino Linotype" w:cs="Palatino Linotype"/>
          <w:i/>
          <w:iCs/>
          <w:color w:val="000000"/>
        </w:rPr>
        <w:t>Último informe de supervisión</w:t>
      </w:r>
    </w:p>
    <w:p w14:paraId="751F4E8C" w14:textId="77777777" w:rsidR="004358B2" w:rsidRPr="000D7B75" w:rsidRDefault="00C37ACC">
      <w:pPr>
        <w:numPr>
          <w:ilvl w:val="3"/>
          <w:numId w:val="3"/>
        </w:numPr>
        <w:pBdr>
          <w:top w:val="nil"/>
          <w:left w:val="nil"/>
          <w:bottom w:val="nil"/>
          <w:right w:val="nil"/>
          <w:between w:val="nil"/>
        </w:pBdr>
        <w:ind w:right="-591"/>
        <w:rPr>
          <w:rFonts w:ascii="Palatino Linotype" w:eastAsia="Palatino Linotype" w:hAnsi="Palatino Linotype" w:cs="Palatino Linotype"/>
          <w:i/>
          <w:iCs/>
          <w:color w:val="000000"/>
        </w:rPr>
      </w:pPr>
      <w:r w:rsidRPr="000D7B75">
        <w:rPr>
          <w:rFonts w:ascii="Palatino Linotype" w:eastAsia="Palatino Linotype" w:hAnsi="Palatino Linotype" w:cs="Palatino Linotype"/>
          <w:i/>
          <w:iCs/>
          <w:color w:val="000000"/>
        </w:rPr>
        <w:t xml:space="preserve">Avance estimado </w:t>
      </w:r>
    </w:p>
    <w:p w14:paraId="4D154945" w14:textId="77777777" w:rsidR="004358B2" w:rsidRPr="000D7B75" w:rsidRDefault="00C37ACC">
      <w:pPr>
        <w:numPr>
          <w:ilvl w:val="3"/>
          <w:numId w:val="3"/>
        </w:numPr>
        <w:pBdr>
          <w:top w:val="nil"/>
          <w:left w:val="nil"/>
          <w:bottom w:val="nil"/>
          <w:right w:val="nil"/>
          <w:between w:val="nil"/>
        </w:pBdr>
        <w:ind w:right="-591"/>
        <w:rPr>
          <w:rFonts w:ascii="Palatino Linotype" w:eastAsia="Palatino Linotype" w:hAnsi="Palatino Linotype" w:cs="Palatino Linotype"/>
          <w:i/>
          <w:iCs/>
          <w:color w:val="000000"/>
        </w:rPr>
      </w:pPr>
      <w:r w:rsidRPr="000D7B75">
        <w:rPr>
          <w:rFonts w:ascii="Palatino Linotype" w:eastAsia="Palatino Linotype" w:hAnsi="Palatino Linotype" w:cs="Palatino Linotype"/>
          <w:i/>
          <w:iCs/>
          <w:color w:val="000000"/>
        </w:rPr>
        <w:t>Cuantas válvulas se han instalado</w:t>
      </w:r>
    </w:p>
    <w:p w14:paraId="44A8B202" w14:textId="77777777" w:rsidR="004358B2" w:rsidRPr="000D7B75" w:rsidRDefault="004358B2">
      <w:pPr>
        <w:spacing w:line="360" w:lineRule="auto"/>
        <w:ind w:left="1134" w:right="-591"/>
        <w:rPr>
          <w:rFonts w:ascii="Palatino Linotype" w:eastAsia="Palatino Linotype" w:hAnsi="Palatino Linotype" w:cs="Palatino Linotype"/>
          <w:b/>
          <w:bCs/>
        </w:rPr>
      </w:pPr>
    </w:p>
    <w:p w14:paraId="16C1DDAE" w14:textId="77777777" w:rsidR="004358B2" w:rsidRPr="000D7B75" w:rsidRDefault="00C37ACC">
      <w:pPr>
        <w:pBdr>
          <w:top w:val="nil"/>
          <w:left w:val="nil"/>
          <w:bottom w:val="nil"/>
          <w:right w:val="nil"/>
          <w:between w:val="nil"/>
        </w:pBdr>
        <w:spacing w:line="360" w:lineRule="auto"/>
        <w:ind w:right="-591"/>
        <w:jc w:val="both"/>
        <w:rPr>
          <w:rFonts w:ascii="Palatino Linotype" w:eastAsia="Palatino Linotype" w:hAnsi="Palatino Linotype" w:cs="Palatino Linotype"/>
          <w:color w:val="000000"/>
        </w:rPr>
      </w:pPr>
      <w:r w:rsidRPr="000D7B75">
        <w:rPr>
          <w:rFonts w:ascii="Palatino Linotype" w:eastAsia="Palatino Linotype" w:hAnsi="Palatino Linotype" w:cs="Palatino Linotype"/>
          <w:b/>
          <w:bCs/>
        </w:rPr>
        <w:t xml:space="preserve">13. </w:t>
      </w:r>
      <w:r w:rsidRPr="000D7B75">
        <w:rPr>
          <w:rFonts w:ascii="Palatino Linotype" w:eastAsia="Palatino Linotype" w:hAnsi="Palatino Linotype" w:cs="Palatino Linotype"/>
          <w:color w:val="000000"/>
        </w:rPr>
        <w:t xml:space="preserve">En respuesta, el </w:t>
      </w:r>
      <w:r w:rsidRPr="000D7B75">
        <w:rPr>
          <w:rFonts w:ascii="Palatino Linotype" w:eastAsia="Palatino Linotype" w:hAnsi="Palatino Linotype" w:cs="Palatino Linotype"/>
          <w:b/>
          <w:bCs/>
          <w:color w:val="000000"/>
        </w:rPr>
        <w:t>SUJETO OBLIGADO</w:t>
      </w:r>
      <w:r w:rsidRPr="000D7B75">
        <w:rPr>
          <w:rFonts w:ascii="Palatino Linotype" w:eastAsia="Palatino Linotype" w:hAnsi="Palatino Linotype" w:cs="Palatino Linotype"/>
          <w:color w:val="000000"/>
        </w:rPr>
        <w:t>, remitió el archivo electrónico en formato PDF, cuyo contenido se desglosa en el numeral dos del presente.</w:t>
      </w:r>
    </w:p>
    <w:p w14:paraId="266225B8" w14:textId="77777777" w:rsidR="004358B2" w:rsidRPr="000D7B75" w:rsidRDefault="004358B2">
      <w:pPr>
        <w:pBdr>
          <w:top w:val="nil"/>
          <w:left w:val="nil"/>
          <w:bottom w:val="nil"/>
          <w:right w:val="nil"/>
          <w:between w:val="nil"/>
        </w:pBdr>
        <w:spacing w:line="360" w:lineRule="auto"/>
        <w:ind w:right="-591"/>
        <w:jc w:val="both"/>
        <w:rPr>
          <w:rFonts w:ascii="Palatino Linotype" w:eastAsia="Palatino Linotype" w:hAnsi="Palatino Linotype" w:cs="Palatino Linotype"/>
          <w:color w:val="000000"/>
        </w:rPr>
      </w:pPr>
    </w:p>
    <w:p w14:paraId="1E4DBE97" w14:textId="77777777" w:rsidR="004358B2" w:rsidRPr="000D7B75" w:rsidRDefault="00C37ACC">
      <w:pPr>
        <w:pBdr>
          <w:top w:val="nil"/>
          <w:left w:val="nil"/>
          <w:bottom w:val="nil"/>
          <w:right w:val="nil"/>
          <w:between w:val="nil"/>
        </w:pBdr>
        <w:spacing w:line="360" w:lineRule="auto"/>
        <w:ind w:right="-591"/>
        <w:jc w:val="both"/>
        <w:rPr>
          <w:rFonts w:ascii="Palatino Linotype" w:eastAsia="Palatino Linotype" w:hAnsi="Palatino Linotype" w:cs="Palatino Linotype"/>
          <w:color w:val="000000"/>
        </w:rPr>
      </w:pPr>
      <w:r w:rsidRPr="000D7B75">
        <w:rPr>
          <w:rFonts w:ascii="Palatino Linotype" w:eastAsia="Palatino Linotype" w:hAnsi="Palatino Linotype" w:cs="Palatino Linotype"/>
          <w:b/>
          <w:bCs/>
        </w:rPr>
        <w:t xml:space="preserve">14. </w:t>
      </w:r>
      <w:r w:rsidRPr="000D7B75">
        <w:rPr>
          <w:rFonts w:ascii="Palatino Linotype" w:eastAsia="Palatino Linotype" w:hAnsi="Palatino Linotype" w:cs="Palatino Linotype"/>
          <w:color w:val="000000"/>
        </w:rPr>
        <w:t xml:space="preserve">Por lo que, el particular se inconformó por la negativa a la entrega de la información por parte del  </w:t>
      </w:r>
      <w:r w:rsidRPr="000D7B75">
        <w:rPr>
          <w:rFonts w:ascii="Palatino Linotype" w:eastAsia="Palatino Linotype" w:hAnsi="Palatino Linotype" w:cs="Palatino Linotype"/>
          <w:b/>
          <w:bCs/>
          <w:color w:val="000000"/>
        </w:rPr>
        <w:t>SUJETO OBLIGADO.</w:t>
      </w:r>
    </w:p>
    <w:p w14:paraId="279569EB" w14:textId="77777777" w:rsidR="004358B2" w:rsidRPr="000D7B75" w:rsidRDefault="004358B2">
      <w:pPr>
        <w:pBdr>
          <w:top w:val="nil"/>
          <w:left w:val="nil"/>
          <w:bottom w:val="nil"/>
          <w:right w:val="nil"/>
          <w:between w:val="nil"/>
        </w:pBdr>
        <w:ind w:left="720" w:right="-591"/>
        <w:rPr>
          <w:rFonts w:ascii="Palatino Linotype" w:eastAsia="Palatino Linotype" w:hAnsi="Palatino Linotype" w:cs="Palatino Linotype"/>
          <w:color w:val="000000"/>
        </w:rPr>
      </w:pPr>
    </w:p>
    <w:p w14:paraId="2A0D25A7" w14:textId="77777777" w:rsidR="004358B2" w:rsidRPr="000D7B75" w:rsidRDefault="00C37ACC">
      <w:pPr>
        <w:spacing w:line="360" w:lineRule="auto"/>
        <w:ind w:right="-591"/>
        <w:jc w:val="both"/>
        <w:rPr>
          <w:rFonts w:ascii="Palatino Linotype" w:eastAsia="Palatino Linotype" w:hAnsi="Palatino Linotype" w:cs="Palatino Linotype"/>
        </w:rPr>
      </w:pPr>
      <w:r w:rsidRPr="000D7B75">
        <w:rPr>
          <w:rFonts w:ascii="Palatino Linotype" w:eastAsia="Palatino Linotype" w:hAnsi="Palatino Linotype" w:cs="Palatino Linotype"/>
          <w:b/>
          <w:bCs/>
        </w:rPr>
        <w:lastRenderedPageBreak/>
        <w:t>15.</w:t>
      </w:r>
      <w:r w:rsidRPr="000D7B75">
        <w:rPr>
          <w:rFonts w:ascii="Palatino Linotype" w:eastAsia="Palatino Linotype" w:hAnsi="Palatino Linotype" w:cs="Palatino Linotype"/>
        </w:rPr>
        <w:t xml:space="preserve"> En dichas condiciones, la </w:t>
      </w:r>
      <w:r w:rsidRPr="000D7B75">
        <w:rPr>
          <w:rFonts w:ascii="Palatino Linotype" w:eastAsia="Palatino Linotype" w:hAnsi="Palatino Linotype" w:cs="Palatino Linotype"/>
          <w:i/>
          <w:iCs/>
        </w:rPr>
        <w:t>Litis</w:t>
      </w:r>
      <w:r w:rsidRPr="000D7B75">
        <w:rPr>
          <w:rFonts w:ascii="Palatino Linotype" w:eastAsia="Palatino Linotype" w:hAnsi="Palatino Linotype" w:cs="Palatino Linotype"/>
        </w:rPr>
        <w:t xml:space="preserve"> a resolver en este recurso se circunscribe a determinar si se actualizan las causales de procedencia previstas en el artículo 179, </w:t>
      </w:r>
      <w:r w:rsidRPr="000D7B75">
        <w:rPr>
          <w:rFonts w:ascii="Palatino Linotype" w:eastAsia="Palatino Linotype" w:hAnsi="Palatino Linotype" w:cs="Palatino Linotype"/>
          <w:b/>
          <w:bCs/>
        </w:rPr>
        <w:t xml:space="preserve">fracción I </w:t>
      </w:r>
      <w:r w:rsidRPr="000D7B75">
        <w:rPr>
          <w:rFonts w:ascii="Palatino Linotype" w:eastAsia="Palatino Linotype" w:hAnsi="Palatino Linotype" w:cs="Palatino Linotype"/>
        </w:rPr>
        <w:t xml:space="preserve">de la </w:t>
      </w:r>
      <w:r w:rsidRPr="000D7B75">
        <w:rPr>
          <w:rFonts w:ascii="Palatino Linotype" w:eastAsia="Palatino Linotype" w:hAnsi="Palatino Linotype" w:cs="Palatino Linotype"/>
          <w:b/>
          <w:bCs/>
        </w:rPr>
        <w:t>Ley de Transparencia y Acceso a la Información Pública del Estado de México y Municipios</w:t>
      </w:r>
      <w:r w:rsidRPr="000D7B75">
        <w:rPr>
          <w:rFonts w:ascii="Palatino Linotype" w:eastAsia="Palatino Linotype" w:hAnsi="Palatino Linotype" w:cs="Palatino Linotype"/>
        </w:rPr>
        <w:t xml:space="preserve">; </w:t>
      </w:r>
      <w:r w:rsidRPr="000D7B75">
        <w:rPr>
          <w:rFonts w:ascii="Palatino Linotype" w:eastAsia="Palatino Linotype" w:hAnsi="Palatino Linotype" w:cs="Palatino Linotype"/>
          <w:color w:val="000000"/>
        </w:rPr>
        <w:t xml:space="preserve">fracción que determina la negativa a la entrega de la información por parte del Sujeto Obligado; </w:t>
      </w:r>
      <w:r w:rsidRPr="000D7B75">
        <w:rPr>
          <w:rFonts w:ascii="Palatino Linotype" w:eastAsia="Palatino Linotype" w:hAnsi="Palatino Linotype" w:cs="Palatino Linotype"/>
        </w:rPr>
        <w:t xml:space="preserve">contexto del  cual se dolió </w:t>
      </w:r>
      <w:r w:rsidRPr="000D7B75">
        <w:rPr>
          <w:rFonts w:ascii="Palatino Linotype" w:eastAsia="Palatino Linotype" w:hAnsi="Palatino Linotype" w:cs="Palatino Linotype"/>
          <w:b/>
          <w:bCs/>
        </w:rPr>
        <w:t xml:space="preserve">EL RECURRENTE </w:t>
      </w:r>
      <w:r w:rsidRPr="000D7B75">
        <w:rPr>
          <w:rFonts w:ascii="Palatino Linotype" w:eastAsia="Palatino Linotype" w:hAnsi="Palatino Linotype" w:cs="Palatino Linotype"/>
        </w:rPr>
        <w:t>al momento de interponer su inconformidad.</w:t>
      </w:r>
      <w:r w:rsidRPr="000D7B75">
        <w:rPr>
          <w:rFonts w:ascii="Palatino Linotype" w:eastAsia="Palatino Linotype" w:hAnsi="Palatino Linotype" w:cs="Palatino Linotype"/>
          <w:color w:val="000000"/>
        </w:rPr>
        <w:t xml:space="preserve"> </w:t>
      </w:r>
    </w:p>
    <w:p w14:paraId="556A43DE" w14:textId="77777777" w:rsidR="004358B2" w:rsidRPr="000D7B75" w:rsidRDefault="004358B2">
      <w:pPr>
        <w:pBdr>
          <w:top w:val="nil"/>
          <w:left w:val="nil"/>
          <w:bottom w:val="nil"/>
          <w:right w:val="nil"/>
          <w:between w:val="nil"/>
        </w:pBdr>
        <w:ind w:left="720" w:right="-591"/>
        <w:rPr>
          <w:rFonts w:ascii="Palatino Linotype" w:eastAsia="Palatino Linotype" w:hAnsi="Palatino Linotype" w:cs="Palatino Linotype"/>
          <w:color w:val="000000"/>
        </w:rPr>
      </w:pPr>
    </w:p>
    <w:p w14:paraId="68BA916F" w14:textId="77777777" w:rsidR="004358B2" w:rsidRPr="000D7B75" w:rsidRDefault="00C37ACC">
      <w:pPr>
        <w:spacing w:line="360" w:lineRule="auto"/>
        <w:ind w:right="-591"/>
        <w:jc w:val="both"/>
        <w:rPr>
          <w:rFonts w:ascii="Palatino Linotype" w:eastAsia="Palatino Linotype" w:hAnsi="Palatino Linotype" w:cs="Palatino Linotype"/>
        </w:rPr>
      </w:pPr>
      <w:r w:rsidRPr="000D7B75">
        <w:rPr>
          <w:rFonts w:ascii="Palatino Linotype" w:eastAsia="Palatino Linotype" w:hAnsi="Palatino Linotype" w:cs="Palatino Linotype"/>
          <w:b/>
          <w:bCs/>
        </w:rPr>
        <w:t xml:space="preserve">16. </w:t>
      </w:r>
      <w:r w:rsidRPr="000D7B75">
        <w:rPr>
          <w:rFonts w:ascii="Palatino Linotype" w:eastAsia="Palatino Linotype" w:hAnsi="Palatino Linotype" w:cs="Palatino Linotype"/>
          <w:color w:val="000000"/>
        </w:rPr>
        <w:t xml:space="preserve">De modo tal que el presente recurso de revisión se abocará en determinar si el </w:t>
      </w:r>
      <w:r w:rsidRPr="000D7B75">
        <w:rPr>
          <w:rFonts w:ascii="Palatino Linotype" w:eastAsia="Palatino Linotype" w:hAnsi="Palatino Linotype" w:cs="Palatino Linotype"/>
          <w:b/>
          <w:bCs/>
          <w:color w:val="000000"/>
        </w:rPr>
        <w:t>SUJETO</w:t>
      </w:r>
      <w:r w:rsidRPr="000D7B75">
        <w:rPr>
          <w:rFonts w:ascii="Palatino Linotype" w:eastAsia="Palatino Linotype" w:hAnsi="Palatino Linotype" w:cs="Palatino Linotype"/>
          <w:color w:val="000000"/>
        </w:rPr>
        <w:t xml:space="preserve"> </w:t>
      </w:r>
      <w:r w:rsidRPr="000D7B75">
        <w:rPr>
          <w:rFonts w:ascii="Palatino Linotype" w:eastAsia="Palatino Linotype" w:hAnsi="Palatino Linotype" w:cs="Palatino Linotype"/>
          <w:b/>
          <w:bCs/>
          <w:color w:val="000000"/>
        </w:rPr>
        <w:t>OBLIGADO</w:t>
      </w:r>
      <w:r w:rsidRPr="000D7B75">
        <w:rPr>
          <w:rFonts w:ascii="Palatino Linotype" w:eastAsia="Palatino Linotype" w:hAnsi="Palatino Linotype" w:cs="Palatino Linotype"/>
          <w:color w:val="000000"/>
        </w:rPr>
        <w:t xml:space="preserve"> con su respuesta ciertamente actualiza las causales de procedencia</w:t>
      </w:r>
      <w:r w:rsidRPr="000D7B75">
        <w:rPr>
          <w:rFonts w:ascii="Palatino Linotype" w:eastAsia="Palatino Linotype" w:hAnsi="Palatino Linotype" w:cs="Palatino Linotype"/>
          <w:b/>
          <w:bCs/>
          <w:color w:val="000000"/>
        </w:rPr>
        <w:t xml:space="preserve"> </w:t>
      </w:r>
      <w:r w:rsidRPr="000D7B75">
        <w:rPr>
          <w:rFonts w:ascii="Palatino Linotype" w:eastAsia="Palatino Linotype" w:hAnsi="Palatino Linotype" w:cs="Palatino Linotype"/>
          <w:color w:val="000000"/>
        </w:rPr>
        <w:t>antes señalada; asimismo, determinar si se vulnera el derecho de acceso a la información de la particular por la inobservancia a los principios contenidos en el artículo 11 de la Ley de Transparencia y Acceso a la Información Pública del Estado de México y Municipios, los cuales señala entre otros, que en la generación y entrega de información se deberá garantizar que sea oportuna, expedita, completa e integral.</w:t>
      </w:r>
    </w:p>
    <w:p w14:paraId="586A3DD8" w14:textId="77777777" w:rsidR="004358B2" w:rsidRPr="000D7B75" w:rsidRDefault="004358B2">
      <w:pPr>
        <w:pStyle w:val="Ttulo2"/>
        <w:spacing w:before="0" w:line="240" w:lineRule="auto"/>
        <w:ind w:right="-591"/>
        <w:rPr>
          <w:rFonts w:ascii="Palatino Linotype" w:eastAsia="Palatino Linotype" w:hAnsi="Palatino Linotype" w:cs="Palatino Linotype"/>
          <w:b/>
          <w:bCs/>
          <w:color w:val="000000"/>
          <w:sz w:val="24"/>
          <w:szCs w:val="24"/>
          <w:highlight w:val="white"/>
        </w:rPr>
      </w:pPr>
    </w:p>
    <w:p w14:paraId="7ED35E3B" w14:textId="77777777" w:rsidR="004358B2" w:rsidRPr="000D7B75" w:rsidRDefault="00C37ACC">
      <w:pPr>
        <w:pStyle w:val="Ttulo2"/>
        <w:spacing w:before="0" w:line="240" w:lineRule="auto"/>
        <w:ind w:right="-591"/>
        <w:rPr>
          <w:rFonts w:ascii="Palatino Linotype" w:eastAsia="Palatino Linotype" w:hAnsi="Palatino Linotype" w:cs="Palatino Linotype"/>
          <w:b/>
          <w:bCs/>
          <w:color w:val="000000"/>
          <w:sz w:val="24"/>
          <w:szCs w:val="24"/>
          <w:highlight w:val="white"/>
        </w:rPr>
      </w:pPr>
      <w:r w:rsidRPr="000D7B75">
        <w:rPr>
          <w:rFonts w:ascii="Palatino Linotype" w:eastAsia="Palatino Linotype" w:hAnsi="Palatino Linotype" w:cs="Palatino Linotype"/>
          <w:b/>
          <w:bCs/>
          <w:color w:val="000000"/>
          <w:sz w:val="24"/>
          <w:szCs w:val="24"/>
          <w:highlight w:val="white"/>
        </w:rPr>
        <w:t>CUARTO. Del estudio y resolución del asunto.</w:t>
      </w:r>
    </w:p>
    <w:p w14:paraId="0DD30AAD" w14:textId="77777777" w:rsidR="004358B2" w:rsidRPr="000D7B75" w:rsidRDefault="00C37ACC">
      <w:pPr>
        <w:pStyle w:val="Ttulo1"/>
        <w:numPr>
          <w:ilvl w:val="0"/>
          <w:numId w:val="4"/>
        </w:numPr>
        <w:spacing w:before="0" w:after="240"/>
        <w:ind w:left="786" w:right="-591" w:hanging="360"/>
        <w:rPr>
          <w:rFonts w:ascii="Palatino Linotype" w:eastAsia="Palatino Linotype" w:hAnsi="Palatino Linotype" w:cs="Palatino Linotype"/>
          <w:b/>
          <w:bCs/>
          <w:color w:val="000000"/>
          <w:sz w:val="24"/>
          <w:szCs w:val="24"/>
        </w:rPr>
      </w:pPr>
      <w:bookmarkStart w:id="2" w:name="_heading=h.2s8eyo1" w:colFirst="0" w:colLast="0"/>
      <w:bookmarkEnd w:id="2"/>
      <w:r w:rsidRPr="000D7B75">
        <w:rPr>
          <w:rFonts w:ascii="Palatino Linotype" w:eastAsia="Palatino Linotype" w:hAnsi="Palatino Linotype" w:cs="Palatino Linotype"/>
          <w:b/>
          <w:bCs/>
          <w:color w:val="000000"/>
          <w:sz w:val="24"/>
          <w:szCs w:val="24"/>
        </w:rPr>
        <w:t>Del derecho de acceso a la información.</w:t>
      </w:r>
    </w:p>
    <w:p w14:paraId="744D5175" w14:textId="77777777" w:rsidR="004358B2" w:rsidRPr="000D7B75" w:rsidRDefault="00C37ACC">
      <w:pPr>
        <w:spacing w:line="360" w:lineRule="auto"/>
        <w:ind w:right="-591"/>
        <w:jc w:val="both"/>
        <w:rPr>
          <w:rFonts w:ascii="Palatino Linotype" w:eastAsia="Palatino Linotype" w:hAnsi="Palatino Linotype" w:cs="Palatino Linotype"/>
          <w:color w:val="000000"/>
        </w:rPr>
      </w:pPr>
      <w:r w:rsidRPr="000D7B75">
        <w:rPr>
          <w:rFonts w:ascii="Palatino Linotype" w:eastAsia="Palatino Linotype" w:hAnsi="Palatino Linotype" w:cs="Palatino Linotype"/>
          <w:b/>
          <w:bCs/>
        </w:rPr>
        <w:t>17.</w:t>
      </w:r>
      <w:r w:rsidRPr="000D7B75">
        <w:rPr>
          <w:rFonts w:ascii="Palatino Linotype" w:eastAsia="Palatino Linotype" w:hAnsi="Palatino Linotype" w:cs="Palatino Linotype"/>
        </w:rPr>
        <w:t xml:space="preserve"> </w:t>
      </w:r>
      <w:r w:rsidRPr="000D7B75">
        <w:rPr>
          <w:rFonts w:ascii="Palatino Linotype" w:eastAsia="Palatino Linotype" w:hAnsi="Palatino Linotype" w:cs="Palatino Linotype"/>
          <w:color w:val="000000"/>
        </w:rPr>
        <w:t xml:space="preserve">El Derecho de Acceso a la Información Pública, es un derecho humano reconocido en el Pacto de Derechos Civiles y Políticos en su artículo 19.2; en la Convención Americana sobre Derechos Humanos en su artículo 13.1; en el artículo sexto de la Constitución Política de los Estados Unidos Mexicanos y en el artículo quinto de la Particular del Estado de México. </w:t>
      </w:r>
    </w:p>
    <w:p w14:paraId="553AE1B3" w14:textId="77777777" w:rsidR="004358B2" w:rsidRPr="000D7B75" w:rsidRDefault="004358B2">
      <w:pPr>
        <w:ind w:right="-591"/>
        <w:jc w:val="both"/>
        <w:rPr>
          <w:rFonts w:ascii="Palatino Linotype" w:eastAsia="Palatino Linotype" w:hAnsi="Palatino Linotype" w:cs="Palatino Linotype"/>
          <w:color w:val="000000"/>
        </w:rPr>
      </w:pPr>
    </w:p>
    <w:p w14:paraId="4EF174F5" w14:textId="77777777" w:rsidR="004358B2" w:rsidRPr="000D7B75" w:rsidRDefault="00C37ACC">
      <w:pPr>
        <w:spacing w:before="240" w:line="360" w:lineRule="auto"/>
        <w:ind w:right="-591"/>
        <w:jc w:val="both"/>
        <w:rPr>
          <w:rFonts w:ascii="Palatino Linotype" w:eastAsia="Palatino Linotype" w:hAnsi="Palatino Linotype" w:cs="Palatino Linotype"/>
        </w:rPr>
      </w:pPr>
      <w:r w:rsidRPr="000D7B75">
        <w:rPr>
          <w:rFonts w:ascii="Palatino Linotype" w:eastAsia="Palatino Linotype" w:hAnsi="Palatino Linotype" w:cs="Palatino Linotype"/>
          <w:b/>
          <w:bCs/>
        </w:rPr>
        <w:t>18.</w:t>
      </w:r>
      <w:r w:rsidRPr="000D7B75">
        <w:rPr>
          <w:rFonts w:ascii="Palatino Linotype" w:eastAsia="Palatino Linotype" w:hAnsi="Palatino Linotype" w:cs="Palatino Linotype"/>
        </w:rPr>
        <w:t xml:space="preserve"> Definiendo el Derecho de Acceso a la Información Pública como: </w:t>
      </w:r>
    </w:p>
    <w:p w14:paraId="2020A82F" w14:textId="77777777" w:rsidR="004358B2" w:rsidRPr="000D7B75" w:rsidRDefault="00C37ACC">
      <w:pPr>
        <w:spacing w:before="240"/>
        <w:ind w:left="1134" w:right="-591"/>
        <w:jc w:val="both"/>
        <w:rPr>
          <w:rFonts w:ascii="Palatino Linotype" w:eastAsia="Palatino Linotype" w:hAnsi="Palatino Linotype" w:cs="Palatino Linotype"/>
        </w:rPr>
      </w:pPr>
      <w:r w:rsidRPr="000D7B75">
        <w:rPr>
          <w:rFonts w:ascii="Palatino Linotype" w:eastAsia="Palatino Linotype" w:hAnsi="Palatino Linotype" w:cs="Palatino Linotype"/>
          <w:i/>
          <w:iCs/>
          <w:color w:val="000000"/>
        </w:rPr>
        <w:lastRenderedPageBreak/>
        <w:t>La igualdad de oportunidades para recibir, buscar e impartir información</w:t>
      </w:r>
      <w:r w:rsidRPr="000D7B75">
        <w:rPr>
          <w:rFonts w:ascii="Palatino Linotype" w:eastAsia="Palatino Linotype" w:hAnsi="Palatino Linotype" w:cs="Palatino Linotype"/>
          <w:i/>
          <w:iCs/>
          <w:vertAlign w:val="superscript"/>
        </w:rPr>
        <w:footnoteReference w:id="1"/>
      </w:r>
      <w:r w:rsidRPr="000D7B75">
        <w:rPr>
          <w:rFonts w:ascii="Palatino Linotype" w:eastAsia="Palatino Linotype" w:hAnsi="Palatino Linotype" w:cs="Palatino Linotype"/>
          <w:i/>
          <w:iCs/>
          <w:color w:val="000000"/>
        </w:rPr>
        <w:t>en posesión de cualquier autoridad, entidad, órgano y organismo de los poderes Ejecutivo, Legislativo y Judicial, órganos autónomos, partidos políticos, fideicomisos y fondos públicos, así como de cualquier persona física, moral o sindicato que reciba y ejerza recursos públicos o realice actos de autoridad en el ámbito federal, estatal y municipal,</w:t>
      </w:r>
      <w:r w:rsidRPr="000D7B75">
        <w:rPr>
          <w:rFonts w:ascii="Palatino Linotype" w:eastAsia="Palatino Linotype" w:hAnsi="Palatino Linotype" w:cs="Palatino Linotype"/>
          <w:i/>
          <w:iCs/>
          <w:vertAlign w:val="superscript"/>
        </w:rPr>
        <w:footnoteReference w:id="2"/>
      </w:r>
      <w:r w:rsidRPr="000D7B75">
        <w:rPr>
          <w:rFonts w:ascii="Palatino Linotype" w:eastAsia="Palatino Linotype" w:hAnsi="Palatino Linotype" w:cs="Palatino Linotype"/>
          <w:color w:val="000000"/>
        </w:rPr>
        <w:t>que se constituye como una herramienta fundamental para ejercer</w:t>
      </w:r>
      <w:r w:rsidRPr="000D7B75">
        <w:rPr>
          <w:rFonts w:ascii="Palatino Linotype" w:eastAsia="Palatino Linotype" w:hAnsi="Palatino Linotype" w:cs="Palatino Linotype"/>
          <w:i/>
          <w:iCs/>
          <w:color w:val="000000"/>
        </w:rPr>
        <w:t xml:space="preserve"> el control democrático de las gestiones estatales, de forma tal que puedan cuestionar, indagar y considerar si se está dando un adecuado cumplimiento a las funciones públicas,</w:t>
      </w:r>
      <w:r w:rsidRPr="000D7B75">
        <w:rPr>
          <w:rFonts w:ascii="Palatino Linotype" w:eastAsia="Palatino Linotype" w:hAnsi="Palatino Linotype" w:cs="Palatino Linotype"/>
          <w:i/>
          <w:iCs/>
          <w:vertAlign w:val="superscript"/>
        </w:rPr>
        <w:footnoteReference w:id="3"/>
      </w:r>
      <w:r w:rsidRPr="000D7B75">
        <w:rPr>
          <w:rFonts w:ascii="Palatino Linotype" w:eastAsia="Palatino Linotype" w:hAnsi="Palatino Linotype" w:cs="Palatino Linotype"/>
          <w:color w:val="000000"/>
        </w:rPr>
        <w:t>fomentando</w:t>
      </w:r>
      <w:r w:rsidRPr="000D7B75">
        <w:rPr>
          <w:rFonts w:ascii="Palatino Linotype" w:eastAsia="Palatino Linotype" w:hAnsi="Palatino Linotype" w:cs="Palatino Linotype"/>
          <w:i/>
          <w:iCs/>
          <w:color w:val="000000"/>
        </w:rPr>
        <w:t xml:space="preserve"> la transparencia de las actividades estatales y </w:t>
      </w:r>
      <w:r w:rsidRPr="000D7B75">
        <w:rPr>
          <w:rFonts w:ascii="Palatino Linotype" w:eastAsia="Palatino Linotype" w:hAnsi="Palatino Linotype" w:cs="Palatino Linotype"/>
          <w:color w:val="000000"/>
        </w:rPr>
        <w:t>promoviendo</w:t>
      </w:r>
      <w:r w:rsidRPr="000D7B75">
        <w:rPr>
          <w:rFonts w:ascii="Palatino Linotype" w:eastAsia="Palatino Linotype" w:hAnsi="Palatino Linotype" w:cs="Palatino Linotype"/>
          <w:i/>
          <w:iCs/>
          <w:color w:val="000000"/>
        </w:rPr>
        <w:t xml:space="preserve"> la responsabilidad de los funcionarios sobre su gestión pública,</w:t>
      </w:r>
      <w:r w:rsidRPr="000D7B75">
        <w:rPr>
          <w:rFonts w:ascii="Palatino Linotype" w:eastAsia="Palatino Linotype" w:hAnsi="Palatino Linotype" w:cs="Palatino Linotype"/>
          <w:i/>
          <w:iCs/>
          <w:vertAlign w:val="superscript"/>
        </w:rPr>
        <w:footnoteReference w:id="4"/>
      </w:r>
      <w:r w:rsidRPr="000D7B75">
        <w:rPr>
          <w:rFonts w:ascii="Palatino Linotype" w:eastAsia="Palatino Linotype" w:hAnsi="Palatino Linotype" w:cs="Palatino Linotype"/>
          <w:color w:val="000000"/>
        </w:rPr>
        <w:t>que permite</w:t>
      </w:r>
      <w:r w:rsidRPr="000D7B75">
        <w:rPr>
          <w:rFonts w:ascii="Palatino Linotype" w:eastAsia="Palatino Linotype" w:hAnsi="Palatino Linotype" w:cs="Palatino Linotype"/>
          <w:i/>
          <w:iCs/>
          <w:color w:val="000000"/>
        </w:rPr>
        <w:t xml:space="preserve"> saber qué están haciendo los gobiernos por sus pueblos, sin lo cual la verdad languidecería y la participación en el gobierno permanecería fragmentada.</w:t>
      </w:r>
    </w:p>
    <w:p w14:paraId="1FE0CA00" w14:textId="77777777" w:rsidR="004358B2" w:rsidRPr="000D7B75" w:rsidRDefault="004358B2">
      <w:pPr>
        <w:spacing w:line="360" w:lineRule="auto"/>
        <w:ind w:left="1134" w:right="-591"/>
        <w:jc w:val="both"/>
        <w:rPr>
          <w:rFonts w:ascii="Palatino Linotype" w:eastAsia="Palatino Linotype" w:hAnsi="Palatino Linotype" w:cs="Palatino Linotype"/>
        </w:rPr>
      </w:pPr>
    </w:p>
    <w:p w14:paraId="0DB21AF3" w14:textId="77777777" w:rsidR="004358B2" w:rsidRPr="000D7B75" w:rsidRDefault="00C37ACC">
      <w:pPr>
        <w:numPr>
          <w:ilvl w:val="0"/>
          <w:numId w:val="3"/>
        </w:numPr>
        <w:spacing w:line="360" w:lineRule="auto"/>
        <w:ind w:left="0" w:right="-591" w:firstLine="0"/>
        <w:jc w:val="both"/>
      </w:pPr>
      <w:r w:rsidRPr="000D7B75">
        <w:rPr>
          <w:rFonts w:ascii="Palatino Linotype" w:eastAsia="Palatino Linotype" w:hAnsi="Palatino Linotype" w:cs="Palatino Linotype"/>
        </w:rPr>
        <w:t>En México, además de los derechos, están reconocidas las garantías para su protección, en ese sentido el párrafo tercero de artículo primero de la Constitución Política de los Estados Unidos Mexicanos dispone lo siguiente:</w:t>
      </w:r>
    </w:p>
    <w:p w14:paraId="04C0918E" w14:textId="77777777" w:rsidR="004358B2" w:rsidRPr="000D7B75" w:rsidRDefault="00C37ACC">
      <w:pPr>
        <w:ind w:left="1134" w:right="-591"/>
        <w:jc w:val="both"/>
        <w:rPr>
          <w:rFonts w:ascii="Palatino Linotype" w:eastAsia="Palatino Linotype" w:hAnsi="Palatino Linotype" w:cs="Palatino Linotype"/>
          <w:i/>
          <w:iCs/>
        </w:rPr>
      </w:pPr>
      <w:r w:rsidRPr="000D7B75">
        <w:rPr>
          <w:rFonts w:ascii="Palatino Linotype" w:eastAsia="Palatino Linotype" w:hAnsi="Palatino Linotype" w:cs="Palatino Linotype"/>
          <w:i/>
          <w:iCs/>
        </w:rPr>
        <w:t>“</w:t>
      </w:r>
      <w:r w:rsidRPr="000D7B75">
        <w:rPr>
          <w:rFonts w:ascii="Palatino Linotype" w:eastAsia="Palatino Linotype" w:hAnsi="Palatino Linotype" w:cs="Palatino Linotype"/>
          <w:b/>
          <w:bCs/>
          <w:i/>
          <w:iCs/>
        </w:rPr>
        <w:t>Artículo 1.-</w:t>
      </w:r>
      <w:r w:rsidRPr="000D7B75">
        <w:rPr>
          <w:rFonts w:ascii="Palatino Linotype" w:eastAsia="Palatino Linotype" w:hAnsi="Palatino Linotype" w:cs="Palatino Linotype"/>
          <w:i/>
          <w:iCs/>
        </w:rPr>
        <w:t xml:space="preserve"> </w:t>
      </w:r>
    </w:p>
    <w:p w14:paraId="6A9CADAE" w14:textId="77777777" w:rsidR="004358B2" w:rsidRPr="000D7B75" w:rsidRDefault="00C37ACC">
      <w:pPr>
        <w:ind w:left="1134" w:right="-591"/>
        <w:jc w:val="both"/>
        <w:rPr>
          <w:rFonts w:ascii="Palatino Linotype" w:eastAsia="Palatino Linotype" w:hAnsi="Palatino Linotype" w:cs="Palatino Linotype"/>
          <w:i/>
          <w:iCs/>
        </w:rPr>
      </w:pPr>
      <w:r w:rsidRPr="000D7B75">
        <w:rPr>
          <w:rFonts w:ascii="Palatino Linotype" w:eastAsia="Palatino Linotype" w:hAnsi="Palatino Linotype" w:cs="Palatino Linotype"/>
          <w:i/>
          <w:iCs/>
        </w:rPr>
        <w:t>(…)</w:t>
      </w:r>
    </w:p>
    <w:p w14:paraId="17BFD5CA" w14:textId="77777777" w:rsidR="004358B2" w:rsidRPr="000D7B75" w:rsidRDefault="00C37ACC">
      <w:pPr>
        <w:ind w:left="1134" w:right="-591"/>
        <w:jc w:val="both"/>
        <w:rPr>
          <w:rFonts w:ascii="Palatino Linotype" w:eastAsia="Palatino Linotype" w:hAnsi="Palatino Linotype" w:cs="Palatino Linotype"/>
          <w:i/>
          <w:iCs/>
        </w:rPr>
      </w:pPr>
      <w:r w:rsidRPr="000D7B75">
        <w:rPr>
          <w:rFonts w:ascii="Palatino Linotype" w:eastAsia="Palatino Linotype" w:hAnsi="Palatino Linotype" w:cs="Palatino Linotype"/>
          <w:i/>
          <w:iCs/>
        </w:rPr>
        <w:t>Todas las</w:t>
      </w:r>
      <w:r w:rsidRPr="000D7B75">
        <w:rPr>
          <w:rFonts w:ascii="Palatino Linotype" w:eastAsia="Palatino Linotype" w:hAnsi="Palatino Linotype" w:cs="Palatino Linotype"/>
        </w:rPr>
        <w:t xml:space="preserve"> </w:t>
      </w:r>
      <w:r w:rsidRPr="000D7B75">
        <w:rPr>
          <w:rFonts w:ascii="Palatino Linotype" w:eastAsia="Palatino Linotype" w:hAnsi="Palatino Linotype" w:cs="Palatino Linotype"/>
          <w:i/>
          <w:iCs/>
        </w:rPr>
        <w:t>autoridades, en el ámbito de sus competencias, tienen la obligación de promover, respetar, proteger y garantizar los derechos humanos de conformidad con los principios de universalidad, interdependencia, indivisibilidad y progresividad. En consecuencia, el Estado deberá prevenir, investigar, sancionar y reparar las violaciones a los derechos humanos, en los términos que establezca la ley.</w:t>
      </w:r>
    </w:p>
    <w:p w14:paraId="3579573D" w14:textId="77777777" w:rsidR="004358B2" w:rsidRPr="000D7B75" w:rsidRDefault="00C37ACC">
      <w:pPr>
        <w:ind w:left="1134" w:right="-591"/>
        <w:jc w:val="both"/>
        <w:rPr>
          <w:rFonts w:ascii="Palatino Linotype" w:eastAsia="Palatino Linotype" w:hAnsi="Palatino Linotype" w:cs="Palatino Linotype"/>
        </w:rPr>
      </w:pPr>
      <w:r w:rsidRPr="000D7B75">
        <w:rPr>
          <w:rFonts w:ascii="Palatino Linotype" w:eastAsia="Palatino Linotype" w:hAnsi="Palatino Linotype" w:cs="Palatino Linotype"/>
          <w:i/>
          <w:iCs/>
        </w:rPr>
        <w:t>(…)</w:t>
      </w:r>
      <w:r w:rsidRPr="000D7B75">
        <w:rPr>
          <w:rFonts w:ascii="Palatino Linotype" w:eastAsia="Palatino Linotype" w:hAnsi="Palatino Linotype" w:cs="Palatino Linotype"/>
        </w:rPr>
        <w:t>”.</w:t>
      </w:r>
    </w:p>
    <w:p w14:paraId="0B148320" w14:textId="77777777" w:rsidR="004358B2" w:rsidRPr="000D7B75" w:rsidRDefault="004358B2">
      <w:pPr>
        <w:ind w:left="1134" w:right="-591"/>
        <w:jc w:val="both"/>
        <w:rPr>
          <w:rFonts w:ascii="Palatino Linotype" w:eastAsia="Palatino Linotype" w:hAnsi="Palatino Linotype" w:cs="Palatino Linotype"/>
        </w:rPr>
      </w:pPr>
    </w:p>
    <w:p w14:paraId="2CF70C70" w14:textId="77777777" w:rsidR="004358B2" w:rsidRPr="000D7B75" w:rsidRDefault="00C37ACC">
      <w:pPr>
        <w:numPr>
          <w:ilvl w:val="0"/>
          <w:numId w:val="3"/>
        </w:numPr>
        <w:spacing w:line="360" w:lineRule="auto"/>
        <w:ind w:left="0" w:right="-591" w:firstLine="0"/>
        <w:jc w:val="both"/>
      </w:pPr>
      <w:r w:rsidRPr="000D7B75">
        <w:rPr>
          <w:rFonts w:ascii="Palatino Linotype" w:eastAsia="Palatino Linotype" w:hAnsi="Palatino Linotype" w:cs="Palatino Linotype"/>
        </w:rPr>
        <w:t xml:space="preserve">Por lo anterior, se deduce que el Derecho de Acceso a la Información Pública es un Derecho Humano de Fuente Internacional y Constitucionalmente reconocido. Además del </w:t>
      </w:r>
      <w:r w:rsidRPr="000D7B75">
        <w:rPr>
          <w:rFonts w:ascii="Palatino Linotype" w:eastAsia="Palatino Linotype" w:hAnsi="Palatino Linotype" w:cs="Palatino Linotype"/>
        </w:rPr>
        <w:lastRenderedPageBreak/>
        <w:t>derecho, también se reconocen garantías para su protección, lo que vincula con el mandato del párrafo tercero del mismo artículo.</w:t>
      </w:r>
    </w:p>
    <w:p w14:paraId="1CA4E5CD" w14:textId="77777777" w:rsidR="004358B2" w:rsidRPr="000D7B75" w:rsidRDefault="004358B2">
      <w:pPr>
        <w:spacing w:line="360" w:lineRule="auto"/>
        <w:ind w:right="-591"/>
        <w:jc w:val="both"/>
        <w:rPr>
          <w:rFonts w:ascii="Palatino Linotype" w:eastAsia="Palatino Linotype" w:hAnsi="Palatino Linotype" w:cs="Palatino Linotype"/>
        </w:rPr>
      </w:pPr>
    </w:p>
    <w:p w14:paraId="7D10BD64" w14:textId="77777777" w:rsidR="004358B2" w:rsidRPr="000D7B75" w:rsidRDefault="00C37ACC">
      <w:pPr>
        <w:numPr>
          <w:ilvl w:val="0"/>
          <w:numId w:val="3"/>
        </w:numPr>
        <w:spacing w:line="360" w:lineRule="auto"/>
        <w:ind w:left="0" w:right="-591" w:firstLine="0"/>
        <w:jc w:val="both"/>
      </w:pPr>
      <w:r w:rsidRPr="000D7B75">
        <w:rPr>
          <w:rFonts w:ascii="Palatino Linotype" w:eastAsia="Palatino Linotype" w:hAnsi="Palatino Linotype" w:cs="Palatino Linotype"/>
        </w:rPr>
        <w:t>Así, conforme a la Constitución Política de las Estado Unidos Mexicanos y la Constitución Política del Estado Libre y Soberano de México respectivamente, el cumplimiento de las garantías primarias, entendidas como obligaciones inmediatamente relacionadas con el Derecho de Acceso a la Información Pública, permiten que todas las autoridades, en el ámbito de sus atribuciones lo respeten, protejan y garanticen.</w:t>
      </w:r>
    </w:p>
    <w:p w14:paraId="063E8FF4" w14:textId="77777777" w:rsidR="004358B2" w:rsidRPr="000D7B75" w:rsidRDefault="00C37ACC">
      <w:pPr>
        <w:spacing w:after="240"/>
        <w:ind w:left="1134" w:right="-591"/>
        <w:jc w:val="both"/>
        <w:rPr>
          <w:rFonts w:ascii="Palatino Linotype" w:eastAsia="Palatino Linotype" w:hAnsi="Palatino Linotype" w:cs="Palatino Linotype"/>
          <w:b/>
          <w:bCs/>
          <w:i/>
          <w:iCs/>
        </w:rPr>
      </w:pPr>
      <w:r w:rsidRPr="000D7B75">
        <w:rPr>
          <w:rFonts w:ascii="Palatino Linotype" w:eastAsia="Palatino Linotype" w:hAnsi="Palatino Linotype" w:cs="Palatino Linotype"/>
          <w:b/>
          <w:bCs/>
          <w:i/>
          <w:iCs/>
        </w:rPr>
        <w:t>Constitución Política de los Estados Unidos Mexicanos</w:t>
      </w:r>
    </w:p>
    <w:p w14:paraId="29254967" w14:textId="77777777" w:rsidR="004358B2" w:rsidRPr="000D7B75" w:rsidRDefault="00C37ACC">
      <w:pPr>
        <w:spacing w:before="240" w:after="240"/>
        <w:ind w:left="1134" w:right="-591"/>
        <w:jc w:val="both"/>
        <w:rPr>
          <w:rFonts w:ascii="Palatino Linotype" w:eastAsia="Palatino Linotype" w:hAnsi="Palatino Linotype" w:cs="Palatino Linotype"/>
          <w:b/>
          <w:bCs/>
          <w:i/>
          <w:iCs/>
        </w:rPr>
      </w:pPr>
      <w:r w:rsidRPr="000D7B75">
        <w:rPr>
          <w:rFonts w:ascii="Palatino Linotype" w:eastAsia="Palatino Linotype" w:hAnsi="Palatino Linotype" w:cs="Palatino Linotype"/>
          <w:b/>
          <w:bCs/>
          <w:i/>
          <w:iCs/>
        </w:rPr>
        <w:t>“Artículo 6.</w:t>
      </w:r>
    </w:p>
    <w:p w14:paraId="167DAC05" w14:textId="77777777" w:rsidR="004358B2" w:rsidRPr="000D7B75" w:rsidRDefault="00C37ACC">
      <w:pPr>
        <w:spacing w:before="240" w:after="240"/>
        <w:ind w:left="1134" w:right="-591"/>
        <w:jc w:val="both"/>
        <w:rPr>
          <w:rFonts w:ascii="Palatino Linotype" w:eastAsia="Palatino Linotype" w:hAnsi="Palatino Linotype" w:cs="Palatino Linotype"/>
          <w:i/>
          <w:iCs/>
        </w:rPr>
      </w:pPr>
      <w:r w:rsidRPr="000D7B75">
        <w:rPr>
          <w:rFonts w:ascii="Palatino Linotype" w:eastAsia="Palatino Linotype" w:hAnsi="Palatino Linotype" w:cs="Palatino Linotype"/>
          <w:i/>
          <w:iCs/>
        </w:rPr>
        <w:t>(…)</w:t>
      </w:r>
    </w:p>
    <w:p w14:paraId="6E3CE6BF" w14:textId="77777777" w:rsidR="004358B2" w:rsidRPr="000D7B75" w:rsidRDefault="00C37ACC">
      <w:pPr>
        <w:spacing w:before="240" w:after="240"/>
        <w:ind w:left="1134" w:right="-591"/>
        <w:jc w:val="both"/>
        <w:rPr>
          <w:rFonts w:ascii="Palatino Linotype" w:eastAsia="Palatino Linotype" w:hAnsi="Palatino Linotype" w:cs="Palatino Linotype"/>
          <w:i/>
          <w:iCs/>
        </w:rPr>
      </w:pPr>
      <w:r w:rsidRPr="000D7B75">
        <w:rPr>
          <w:rFonts w:ascii="Palatino Linotype" w:eastAsia="Palatino Linotype" w:hAnsi="Palatino Linotype" w:cs="Palatino Linotype"/>
          <w:i/>
          <w:iCs/>
        </w:rPr>
        <w:t>Para efectos de lo dispuesto en el presente artículo se observará lo siguiente:</w:t>
      </w:r>
    </w:p>
    <w:p w14:paraId="316D30AA" w14:textId="77777777" w:rsidR="004358B2" w:rsidRPr="000D7B75" w:rsidRDefault="00C37ACC">
      <w:pPr>
        <w:spacing w:before="240" w:after="240"/>
        <w:ind w:left="1134" w:right="-591"/>
        <w:jc w:val="both"/>
        <w:rPr>
          <w:rFonts w:ascii="Palatino Linotype" w:eastAsia="Palatino Linotype" w:hAnsi="Palatino Linotype" w:cs="Palatino Linotype"/>
          <w:b/>
          <w:bCs/>
          <w:i/>
          <w:iCs/>
        </w:rPr>
      </w:pPr>
      <w:r w:rsidRPr="000D7B75">
        <w:rPr>
          <w:rFonts w:ascii="Palatino Linotype" w:eastAsia="Palatino Linotype" w:hAnsi="Palatino Linotype" w:cs="Palatino Linotype"/>
          <w:b/>
          <w:bCs/>
          <w:i/>
          <w:iCs/>
        </w:rPr>
        <w:t>A</w:t>
      </w:r>
      <w:r w:rsidRPr="000D7B75">
        <w:rPr>
          <w:rFonts w:ascii="Palatino Linotype" w:eastAsia="Palatino Linotype" w:hAnsi="Palatino Linotype" w:cs="Palatino Linotype"/>
          <w:i/>
          <w:iCs/>
        </w:rPr>
        <w:t xml:space="preserve">. </w:t>
      </w:r>
      <w:r w:rsidRPr="000D7B75">
        <w:rPr>
          <w:rFonts w:ascii="Palatino Linotype" w:eastAsia="Palatino Linotype" w:hAnsi="Palatino Linotype" w:cs="Palatino Linotype"/>
          <w:b/>
          <w:bCs/>
          <w:i/>
          <w:iCs/>
        </w:rPr>
        <w:t>Para el ejercicio del derecho de acceso a la información</w:t>
      </w:r>
      <w:r w:rsidRPr="000D7B75">
        <w:rPr>
          <w:rFonts w:ascii="Palatino Linotype" w:eastAsia="Palatino Linotype" w:hAnsi="Palatino Linotype" w:cs="Palatino Linotype"/>
          <w:i/>
          <w:iCs/>
        </w:rPr>
        <w:t xml:space="preserve">, la Federación y </w:t>
      </w:r>
      <w:r w:rsidRPr="000D7B75">
        <w:rPr>
          <w:rFonts w:ascii="Palatino Linotype" w:eastAsia="Palatino Linotype" w:hAnsi="Palatino Linotype" w:cs="Palatino Linotype"/>
          <w:b/>
          <w:bCs/>
          <w:i/>
          <w:iCs/>
        </w:rPr>
        <w:t>las entidades federativas, en el ámbito de sus respectivas competencias, se regirán por los siguientes principios y bases:</w:t>
      </w:r>
    </w:p>
    <w:p w14:paraId="44F0A63A" w14:textId="77777777" w:rsidR="004358B2" w:rsidRPr="000D7B75" w:rsidRDefault="00C37ACC">
      <w:pPr>
        <w:spacing w:before="240" w:after="240"/>
        <w:ind w:left="1134" w:right="-591"/>
        <w:jc w:val="both"/>
        <w:rPr>
          <w:rFonts w:ascii="Palatino Linotype" w:eastAsia="Palatino Linotype" w:hAnsi="Palatino Linotype" w:cs="Palatino Linotype"/>
          <w:i/>
          <w:iCs/>
        </w:rPr>
      </w:pPr>
      <w:r w:rsidRPr="000D7B75">
        <w:rPr>
          <w:rFonts w:ascii="Palatino Linotype" w:eastAsia="Palatino Linotype" w:hAnsi="Palatino Linotype" w:cs="Palatino Linotype"/>
          <w:b/>
          <w:bCs/>
          <w:i/>
          <w:iCs/>
        </w:rPr>
        <w:t xml:space="preserve">I. </w:t>
      </w:r>
      <w:r w:rsidRPr="000D7B75">
        <w:rPr>
          <w:rFonts w:ascii="Palatino Linotype" w:eastAsia="Palatino Linotype" w:hAnsi="Palatino Linotype" w:cs="Palatino Linotype"/>
          <w:b/>
          <w:bCs/>
          <w:i/>
          <w:iCs/>
        </w:rPr>
        <w:tab/>
        <w:t>Toda la información en posesión de cualquier</w:t>
      </w:r>
      <w:r w:rsidRPr="000D7B75">
        <w:rPr>
          <w:rFonts w:ascii="Palatino Linotype" w:eastAsia="Palatino Linotype" w:hAnsi="Palatino Linotype" w:cs="Palatino Linotype"/>
          <w:i/>
          <w:iCs/>
        </w:rPr>
        <w:t xml:space="preserve"> </w:t>
      </w:r>
      <w:r w:rsidRPr="000D7B75">
        <w:rPr>
          <w:rFonts w:ascii="Palatino Linotype" w:eastAsia="Palatino Linotype" w:hAnsi="Palatino Linotype" w:cs="Palatino Linotype"/>
          <w:b/>
          <w:bCs/>
          <w:i/>
          <w:iCs/>
        </w:rPr>
        <w:t>autoridad</w:t>
      </w:r>
      <w:r w:rsidRPr="000D7B75">
        <w:rPr>
          <w:rFonts w:ascii="Palatino Linotype" w:eastAsia="Palatino Linotype" w:hAnsi="Palatino Linotype" w:cs="Palatino Linotype"/>
          <w:i/>
          <w:iCs/>
        </w:rPr>
        <w:t xml:space="preserve">, entidad, órgano y organismo de los Poderes Ejecutivo, Legislativo y Judicial, órganos autónomos, partidos políticos, fideicomisos y fondos públicos, así como de cualquier persona física, moral o sindicato que reciba y ejerza recursos públicos o realice actos de autoridad en el ámbito federal, estatal y </w:t>
      </w:r>
      <w:r w:rsidRPr="000D7B75">
        <w:rPr>
          <w:rFonts w:ascii="Palatino Linotype" w:eastAsia="Palatino Linotype" w:hAnsi="Palatino Linotype" w:cs="Palatino Linotype"/>
          <w:b/>
          <w:bCs/>
          <w:i/>
          <w:iCs/>
        </w:rPr>
        <w:t>municipal</w:t>
      </w:r>
      <w:r w:rsidRPr="000D7B75">
        <w:rPr>
          <w:rFonts w:ascii="Palatino Linotype" w:eastAsia="Palatino Linotype" w:hAnsi="Palatino Linotype" w:cs="Palatino Linotype"/>
          <w:i/>
          <w:iCs/>
        </w:rPr>
        <w:t xml:space="preserve">, </w:t>
      </w:r>
      <w:r w:rsidRPr="000D7B75">
        <w:rPr>
          <w:rFonts w:ascii="Palatino Linotype" w:eastAsia="Palatino Linotype" w:hAnsi="Palatino Linotype" w:cs="Palatino Linotype"/>
          <w:b/>
          <w:bCs/>
          <w:i/>
          <w:iCs/>
        </w:rPr>
        <w:t>es pública</w:t>
      </w:r>
      <w:r w:rsidRPr="000D7B75">
        <w:rPr>
          <w:rFonts w:ascii="Palatino Linotype" w:eastAsia="Palatino Linotype" w:hAnsi="Palatino Linotype" w:cs="Palatino Linotype"/>
          <w:i/>
          <w:iCs/>
        </w:rPr>
        <w:t xml:space="preserve"> y sólo podrá ser reservada temporalmente por razones de interés público y seguridad nacional, en los términos que fijen las leyes. </w:t>
      </w:r>
      <w:r w:rsidRPr="000D7B75">
        <w:rPr>
          <w:rFonts w:ascii="Palatino Linotype" w:eastAsia="Palatino Linotype" w:hAnsi="Palatino Linotype" w:cs="Palatino Linotype"/>
          <w:b/>
          <w:bCs/>
          <w:i/>
          <w:iCs/>
        </w:rPr>
        <w:t>En la interpretación de este derecho deberá prevalecer el principio de máxima publicidad. Los sujetos obligados deberán documentar todo acto que derive del ejercicio de sus facultades, competencias o funciones</w:t>
      </w:r>
      <w:r w:rsidRPr="000D7B75">
        <w:rPr>
          <w:rFonts w:ascii="Palatino Linotype" w:eastAsia="Palatino Linotype" w:hAnsi="Palatino Linotype" w:cs="Palatino Linotype"/>
          <w:i/>
          <w:iCs/>
        </w:rPr>
        <w:t>, la ley determinará los supuestos específicos bajo los cuales procederá la declaración de inexistencia de la información.”</w:t>
      </w:r>
    </w:p>
    <w:p w14:paraId="5F25C8F3" w14:textId="77777777" w:rsidR="004358B2" w:rsidRPr="000D7B75" w:rsidRDefault="004358B2">
      <w:pPr>
        <w:pBdr>
          <w:top w:val="nil"/>
          <w:left w:val="nil"/>
          <w:bottom w:val="nil"/>
          <w:right w:val="nil"/>
          <w:between w:val="nil"/>
        </w:pBdr>
        <w:tabs>
          <w:tab w:val="left" w:pos="567"/>
        </w:tabs>
        <w:spacing w:before="240" w:after="240"/>
        <w:ind w:left="1134" w:right="-591"/>
        <w:jc w:val="both"/>
        <w:rPr>
          <w:rFonts w:ascii="Palatino Linotype" w:eastAsia="Palatino Linotype" w:hAnsi="Palatino Linotype" w:cs="Palatino Linotype"/>
          <w:b/>
          <w:bCs/>
          <w:i/>
          <w:iCs/>
          <w:color w:val="000000"/>
        </w:rPr>
      </w:pPr>
    </w:p>
    <w:p w14:paraId="479AEFDD" w14:textId="77777777" w:rsidR="004358B2" w:rsidRPr="000D7B75" w:rsidRDefault="00C37ACC">
      <w:pPr>
        <w:spacing w:before="240" w:after="240"/>
        <w:ind w:left="1134" w:right="-591"/>
        <w:jc w:val="both"/>
        <w:rPr>
          <w:rFonts w:ascii="Palatino Linotype" w:eastAsia="Palatino Linotype" w:hAnsi="Palatino Linotype" w:cs="Palatino Linotype"/>
          <w:b/>
          <w:bCs/>
          <w:i/>
          <w:iCs/>
        </w:rPr>
      </w:pPr>
      <w:r w:rsidRPr="000D7B75">
        <w:rPr>
          <w:rFonts w:ascii="Palatino Linotype" w:eastAsia="Palatino Linotype" w:hAnsi="Palatino Linotype" w:cs="Palatino Linotype"/>
          <w:b/>
          <w:bCs/>
          <w:i/>
          <w:iCs/>
        </w:rPr>
        <w:lastRenderedPageBreak/>
        <w:t>Constitución Política del Estado Libre y Soberano de México</w:t>
      </w:r>
    </w:p>
    <w:p w14:paraId="1DF0C61B" w14:textId="77777777" w:rsidR="004358B2" w:rsidRPr="000D7B75" w:rsidRDefault="00C37ACC">
      <w:pPr>
        <w:spacing w:before="240" w:after="240"/>
        <w:ind w:left="1134" w:right="-591"/>
        <w:jc w:val="both"/>
        <w:rPr>
          <w:rFonts w:ascii="Palatino Linotype" w:eastAsia="Palatino Linotype" w:hAnsi="Palatino Linotype" w:cs="Palatino Linotype"/>
          <w:i/>
          <w:iCs/>
        </w:rPr>
      </w:pPr>
      <w:r w:rsidRPr="000D7B75">
        <w:rPr>
          <w:rFonts w:ascii="Palatino Linotype" w:eastAsia="Palatino Linotype" w:hAnsi="Palatino Linotype" w:cs="Palatino Linotype"/>
          <w:b/>
          <w:bCs/>
          <w:i/>
          <w:iCs/>
        </w:rPr>
        <w:t>“Artículo 5</w:t>
      </w:r>
      <w:r w:rsidRPr="000D7B75">
        <w:rPr>
          <w:rFonts w:ascii="Palatino Linotype" w:eastAsia="Palatino Linotype" w:hAnsi="Palatino Linotype" w:cs="Palatino Linotype"/>
          <w:i/>
          <w:iCs/>
        </w:rPr>
        <w:t xml:space="preserve">.- </w:t>
      </w:r>
    </w:p>
    <w:p w14:paraId="38ECC4F6" w14:textId="77777777" w:rsidR="004358B2" w:rsidRPr="000D7B75" w:rsidRDefault="00C37ACC">
      <w:pPr>
        <w:spacing w:before="240" w:after="240"/>
        <w:ind w:left="1134" w:right="-591"/>
        <w:jc w:val="both"/>
        <w:rPr>
          <w:rFonts w:ascii="Palatino Linotype" w:eastAsia="Palatino Linotype" w:hAnsi="Palatino Linotype" w:cs="Palatino Linotype"/>
          <w:i/>
          <w:iCs/>
        </w:rPr>
      </w:pPr>
      <w:r w:rsidRPr="000D7B75">
        <w:rPr>
          <w:rFonts w:ascii="Palatino Linotype" w:eastAsia="Palatino Linotype" w:hAnsi="Palatino Linotype" w:cs="Palatino Linotype"/>
          <w:i/>
          <w:iCs/>
        </w:rPr>
        <w:t>(…)</w:t>
      </w:r>
    </w:p>
    <w:p w14:paraId="6E4CF252" w14:textId="77777777" w:rsidR="004358B2" w:rsidRPr="000D7B75" w:rsidRDefault="00C37ACC">
      <w:pPr>
        <w:spacing w:before="240" w:after="240"/>
        <w:ind w:left="1134" w:right="-591"/>
        <w:jc w:val="both"/>
        <w:rPr>
          <w:rFonts w:ascii="Palatino Linotype" w:eastAsia="Palatino Linotype" w:hAnsi="Palatino Linotype" w:cs="Palatino Linotype"/>
          <w:i/>
          <w:iCs/>
        </w:rPr>
      </w:pPr>
      <w:r w:rsidRPr="000D7B75">
        <w:rPr>
          <w:rFonts w:ascii="Palatino Linotype" w:eastAsia="Palatino Linotype" w:hAnsi="Palatino Linotype" w:cs="Palatino Linotype"/>
          <w:b/>
          <w:bCs/>
          <w:i/>
          <w:iCs/>
        </w:rPr>
        <w:t>El derecho a la información será garantizado por el Estado. La ley establecerá las previsiones que permitan asegurar la protección, el respeto y la difusión de este derecho</w:t>
      </w:r>
      <w:r w:rsidRPr="000D7B75">
        <w:rPr>
          <w:rFonts w:ascii="Palatino Linotype" w:eastAsia="Palatino Linotype" w:hAnsi="Palatino Linotype" w:cs="Palatino Linotype"/>
          <w:i/>
          <w:iCs/>
        </w:rPr>
        <w:t>.</w:t>
      </w:r>
    </w:p>
    <w:p w14:paraId="18F935A4" w14:textId="77777777" w:rsidR="004358B2" w:rsidRPr="000D7B75" w:rsidRDefault="00C37ACC">
      <w:pPr>
        <w:spacing w:before="240" w:after="240"/>
        <w:ind w:left="1134" w:right="-591"/>
        <w:jc w:val="both"/>
        <w:rPr>
          <w:rFonts w:ascii="Palatino Linotype" w:eastAsia="Palatino Linotype" w:hAnsi="Palatino Linotype" w:cs="Palatino Linotype"/>
          <w:i/>
          <w:iCs/>
        </w:rPr>
      </w:pPr>
      <w:r w:rsidRPr="000D7B75">
        <w:rPr>
          <w:rFonts w:ascii="Palatino Linotype" w:eastAsia="Palatino Linotype" w:hAnsi="Palatino Linotype" w:cs="Palatino Linotype"/>
          <w:i/>
          <w:iCs/>
        </w:rPr>
        <w:t>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w:t>
      </w:r>
    </w:p>
    <w:p w14:paraId="2B8BA62D" w14:textId="77777777" w:rsidR="004358B2" w:rsidRPr="000D7B75" w:rsidRDefault="00C37ACC">
      <w:pPr>
        <w:spacing w:before="240" w:after="240"/>
        <w:ind w:left="1134" w:right="-591"/>
        <w:jc w:val="both"/>
        <w:rPr>
          <w:rFonts w:ascii="Palatino Linotype" w:eastAsia="Palatino Linotype" w:hAnsi="Palatino Linotype" w:cs="Palatino Linotype"/>
          <w:i/>
          <w:iCs/>
        </w:rPr>
      </w:pPr>
      <w:r w:rsidRPr="000D7B75">
        <w:rPr>
          <w:rFonts w:ascii="Palatino Linotype" w:eastAsia="Palatino Linotype" w:hAnsi="Palatino Linotype" w:cs="Palatino Linotype"/>
          <w:b/>
          <w:bCs/>
          <w:i/>
          <w:iCs/>
        </w:rPr>
        <w:t>Este derecho se regirá por los principios y bases siguientes</w:t>
      </w:r>
      <w:r w:rsidRPr="000D7B75">
        <w:rPr>
          <w:rFonts w:ascii="Palatino Linotype" w:eastAsia="Palatino Linotype" w:hAnsi="Palatino Linotype" w:cs="Palatino Linotype"/>
          <w:i/>
          <w:iCs/>
        </w:rPr>
        <w:t>:</w:t>
      </w:r>
    </w:p>
    <w:p w14:paraId="2772DEC5" w14:textId="77777777" w:rsidR="004358B2" w:rsidRPr="000D7B75" w:rsidRDefault="00C37ACC">
      <w:pPr>
        <w:spacing w:before="240" w:after="240"/>
        <w:ind w:left="1134" w:right="-591"/>
        <w:jc w:val="both"/>
        <w:rPr>
          <w:rFonts w:ascii="Palatino Linotype" w:eastAsia="Palatino Linotype" w:hAnsi="Palatino Linotype" w:cs="Palatino Linotype"/>
          <w:i/>
          <w:iCs/>
        </w:rPr>
      </w:pPr>
      <w:r w:rsidRPr="000D7B75">
        <w:rPr>
          <w:rFonts w:ascii="Palatino Linotype" w:eastAsia="Palatino Linotype" w:hAnsi="Palatino Linotype" w:cs="Palatino Linotype"/>
          <w:b/>
          <w:bCs/>
          <w:i/>
          <w:iCs/>
        </w:rPr>
        <w:t>I. Toda la información en posesión de cualquier autoridad, entidad, órgano y organismos de los</w:t>
      </w:r>
      <w:r w:rsidRPr="000D7B75">
        <w:rPr>
          <w:rFonts w:ascii="Palatino Linotype" w:eastAsia="Palatino Linotype" w:hAnsi="Palatino Linotype" w:cs="Palatino Linotype"/>
          <w:i/>
          <w:iCs/>
        </w:rPr>
        <w:t xml:space="preserve"> Poderes Ejecutivo, Legislativo y Judicial, órganos autónomos, partidos políticos, fideicomisos y fondos públicos estatales y </w:t>
      </w:r>
      <w:r w:rsidRPr="000D7B75">
        <w:rPr>
          <w:rFonts w:ascii="Palatino Linotype" w:eastAsia="Palatino Linotype" w:hAnsi="Palatino Linotype" w:cs="Palatino Linotype"/>
          <w:b/>
          <w:bCs/>
          <w:i/>
          <w:iCs/>
        </w:rPr>
        <w:t>municipales</w:t>
      </w:r>
      <w:r w:rsidRPr="000D7B75">
        <w:rPr>
          <w:rFonts w:ascii="Palatino Linotype" w:eastAsia="Palatino Linotype" w:hAnsi="Palatino Linotype" w:cs="Palatino Linotype"/>
          <w:i/>
          <w:iCs/>
        </w:rPr>
        <w:t xml:space="preserve">, así como del gobierno y de la administración pública municipal y sus organismos descentralizados, asimismo de cualquier persona física, jurídica colectiva o sindicato que reciba y ejerza recursos públicos o realice actos de autoridad en el ámbito estatal y municipal, </w:t>
      </w:r>
      <w:r w:rsidRPr="000D7B75">
        <w:rPr>
          <w:rFonts w:ascii="Palatino Linotype" w:eastAsia="Palatino Linotype" w:hAnsi="Palatino Linotype" w:cs="Palatino Linotype"/>
          <w:b/>
          <w:bCs/>
          <w:i/>
          <w:iCs/>
        </w:rPr>
        <w:t>es pública</w:t>
      </w:r>
      <w:r w:rsidRPr="000D7B75">
        <w:rPr>
          <w:rFonts w:ascii="Palatino Linotype" w:eastAsia="Palatino Linotype" w:hAnsi="Palatino Linotype" w:cs="Palatino Linotype"/>
          <w:i/>
          <w:iCs/>
        </w:rPr>
        <w:t xml:space="preserve"> y sólo podrá ser reservada temporalmente por razones previstas en la Constitución Política de los Estados Unidos Mexicanos de interés público y seguridad, en los términos que fijen las leyes. </w:t>
      </w:r>
      <w:r w:rsidRPr="000D7B75">
        <w:rPr>
          <w:rFonts w:ascii="Palatino Linotype" w:eastAsia="Palatino Linotype" w:hAnsi="Palatino Linotype" w:cs="Palatino Linotype"/>
          <w:b/>
          <w:bCs/>
          <w:i/>
          <w:iCs/>
        </w:rPr>
        <w:t>En la interpretación de este derecho deberá prevalecer el principio de máxima publicidad</w:t>
      </w:r>
      <w:r w:rsidRPr="000D7B75">
        <w:rPr>
          <w:rFonts w:ascii="Palatino Linotype" w:eastAsia="Palatino Linotype" w:hAnsi="Palatino Linotype" w:cs="Palatino Linotype"/>
          <w:i/>
          <w:iCs/>
        </w:rPr>
        <w:t xml:space="preserve">. </w:t>
      </w:r>
      <w:r w:rsidRPr="000D7B75">
        <w:rPr>
          <w:rFonts w:ascii="Palatino Linotype" w:eastAsia="Palatino Linotype" w:hAnsi="Palatino Linotype" w:cs="Palatino Linotype"/>
          <w:b/>
          <w:bCs/>
          <w:i/>
          <w:iCs/>
        </w:rPr>
        <w:t>Los sujetos obligados deberán documentar todo acto que derive del ejercicio de sus facultades, competencias o funciones</w:t>
      </w:r>
      <w:r w:rsidRPr="000D7B75">
        <w:rPr>
          <w:rFonts w:ascii="Palatino Linotype" w:eastAsia="Palatino Linotype" w:hAnsi="Palatino Linotype" w:cs="Palatino Linotype"/>
          <w:i/>
          <w:iCs/>
        </w:rPr>
        <w:t>, la ley determinará los supuestos específicos bajo los cuales procederá la declaración de inexistencia de la información.”</w:t>
      </w:r>
    </w:p>
    <w:p w14:paraId="7CD8FDE9" w14:textId="77777777" w:rsidR="004358B2" w:rsidRPr="000D7B75" w:rsidRDefault="00C37ACC">
      <w:pPr>
        <w:numPr>
          <w:ilvl w:val="0"/>
          <w:numId w:val="3"/>
        </w:numPr>
        <w:spacing w:before="240" w:line="360" w:lineRule="auto"/>
        <w:ind w:left="0" w:right="-591" w:firstLine="0"/>
        <w:jc w:val="both"/>
      </w:pPr>
      <w:r w:rsidRPr="000D7B75">
        <w:rPr>
          <w:rFonts w:ascii="Palatino Linotype" w:eastAsia="Palatino Linotype" w:hAnsi="Palatino Linotype" w:cs="Palatino Linotype"/>
        </w:rPr>
        <w:t xml:space="preserve">Según el artículo 150 de la Ley de Transparencia del Estado, la solicitud es la garantía primaria del Derecho de Acceso a la Información, además, establece que se regirá </w:t>
      </w:r>
      <w:r w:rsidRPr="000D7B75">
        <w:rPr>
          <w:rFonts w:ascii="Palatino Linotype" w:eastAsia="Palatino Linotype" w:hAnsi="Palatino Linotype" w:cs="Palatino Linotype"/>
          <w:i/>
          <w:iCs/>
        </w:rPr>
        <w:t>por los principios de simplicidad, rapidez gratuidad del procedimiento, auxilio y orientación a los particulares</w:t>
      </w:r>
      <w:r w:rsidRPr="000D7B75">
        <w:rPr>
          <w:rFonts w:ascii="Palatino Linotype" w:eastAsia="Palatino Linotype" w:hAnsi="Palatino Linotype" w:cs="Palatino Linotype"/>
        </w:rPr>
        <w:t>, contemplando el derecho de las personas con discapacidad y hablantes de lengua indígena.</w:t>
      </w:r>
    </w:p>
    <w:p w14:paraId="124E369E" w14:textId="77777777" w:rsidR="004358B2" w:rsidRPr="000D7B75" w:rsidRDefault="00C37ACC">
      <w:pPr>
        <w:numPr>
          <w:ilvl w:val="0"/>
          <w:numId w:val="3"/>
        </w:numPr>
        <w:spacing w:line="360" w:lineRule="auto"/>
        <w:ind w:left="0" w:right="-591" w:firstLine="0"/>
        <w:jc w:val="both"/>
      </w:pPr>
      <w:bookmarkStart w:id="3" w:name="_heading=h.17dp8vu" w:colFirst="0" w:colLast="0"/>
      <w:bookmarkEnd w:id="3"/>
      <w:r w:rsidRPr="000D7B75">
        <w:rPr>
          <w:rFonts w:ascii="Palatino Linotype" w:eastAsia="Palatino Linotype" w:hAnsi="Palatino Linotype" w:cs="Palatino Linotype"/>
        </w:rPr>
        <w:lastRenderedPageBreak/>
        <w:t xml:space="preserve">Así entonces, se procede analizar, en primer lugar, si el </w:t>
      </w:r>
      <w:r w:rsidRPr="000D7B75">
        <w:rPr>
          <w:rFonts w:ascii="Palatino Linotype" w:eastAsia="Palatino Linotype" w:hAnsi="Palatino Linotype" w:cs="Palatino Linotype"/>
          <w:b/>
          <w:bCs/>
        </w:rPr>
        <w:t>SUJETO OBLIGADO</w:t>
      </w:r>
      <w:r w:rsidRPr="000D7B75">
        <w:rPr>
          <w:rFonts w:ascii="Palatino Linotype" w:eastAsia="Palatino Linotype" w:hAnsi="Palatino Linotype" w:cs="Palatino Linotype"/>
        </w:rPr>
        <w:t xml:space="preserve"> al atender la solicitud de acceso a la información, satisfizo la garantía primaria del derecho según lo dispuesto por el artículo 150 de la Ley de Transparencia y Acceso a la Información Pública del Estado de México y Municipios y en segundo término si cumplió con su deber de respetar y garantizar el derecho, entregando la información solicitada.</w:t>
      </w:r>
    </w:p>
    <w:p w14:paraId="5D920218" w14:textId="77777777" w:rsidR="004358B2" w:rsidRPr="000D7B75" w:rsidRDefault="004358B2">
      <w:pPr>
        <w:spacing w:line="360" w:lineRule="auto"/>
        <w:ind w:right="-591"/>
        <w:jc w:val="both"/>
        <w:rPr>
          <w:rFonts w:ascii="Palatino Linotype" w:eastAsia="Palatino Linotype" w:hAnsi="Palatino Linotype" w:cs="Palatino Linotype"/>
        </w:rPr>
      </w:pPr>
    </w:p>
    <w:p w14:paraId="4567437C" w14:textId="77777777" w:rsidR="004358B2" w:rsidRPr="000D7B75" w:rsidRDefault="00C37ACC">
      <w:pPr>
        <w:pStyle w:val="Ttulo1"/>
        <w:spacing w:before="0" w:line="360" w:lineRule="auto"/>
        <w:ind w:right="-591"/>
        <w:rPr>
          <w:rFonts w:ascii="Palatino Linotype" w:eastAsia="Palatino Linotype" w:hAnsi="Palatino Linotype" w:cs="Palatino Linotype"/>
          <w:b/>
          <w:bCs/>
          <w:color w:val="000000"/>
          <w:sz w:val="24"/>
          <w:szCs w:val="24"/>
        </w:rPr>
      </w:pPr>
      <w:bookmarkStart w:id="4" w:name="_heading=h.3rdcrjn" w:colFirst="0" w:colLast="0"/>
      <w:bookmarkEnd w:id="4"/>
      <w:r w:rsidRPr="000D7B75">
        <w:rPr>
          <w:rFonts w:ascii="Palatino Linotype" w:eastAsia="Palatino Linotype" w:hAnsi="Palatino Linotype" w:cs="Palatino Linotype"/>
          <w:b/>
          <w:bCs/>
          <w:color w:val="000000"/>
          <w:sz w:val="24"/>
          <w:szCs w:val="24"/>
        </w:rPr>
        <w:t>II. De la información solicitada y la respuesta del SUJETO OBLIGADO</w:t>
      </w:r>
    </w:p>
    <w:p w14:paraId="2594D40D" w14:textId="77777777" w:rsidR="004358B2" w:rsidRPr="000D7B75" w:rsidRDefault="00C37ACC">
      <w:pPr>
        <w:numPr>
          <w:ilvl w:val="0"/>
          <w:numId w:val="3"/>
        </w:numPr>
        <w:spacing w:line="360" w:lineRule="auto"/>
        <w:ind w:left="0" w:right="-591" w:firstLine="0"/>
        <w:jc w:val="both"/>
      </w:pPr>
      <w:r w:rsidRPr="000D7B75">
        <w:rPr>
          <w:rFonts w:ascii="Palatino Linotype" w:eastAsia="Palatino Linotype" w:hAnsi="Palatino Linotype" w:cs="Palatino Linotype"/>
          <w:color w:val="000000"/>
        </w:rPr>
        <w:t xml:space="preserve">Acotada la </w:t>
      </w:r>
      <w:r w:rsidRPr="000D7B75">
        <w:rPr>
          <w:rFonts w:ascii="Palatino Linotype" w:eastAsia="Palatino Linotype" w:hAnsi="Palatino Linotype" w:cs="Palatino Linotype"/>
          <w:i/>
          <w:iCs/>
          <w:color w:val="000000"/>
        </w:rPr>
        <w:t>Litis</w:t>
      </w:r>
      <w:r w:rsidRPr="000D7B75">
        <w:rPr>
          <w:rFonts w:ascii="Palatino Linotype" w:eastAsia="Palatino Linotype" w:hAnsi="Palatino Linotype" w:cs="Palatino Linotype"/>
          <w:color w:val="000000"/>
        </w:rPr>
        <w:t xml:space="preserve"> del presente asunto, es menester precisar que del escrito de inconformidad, se observa que el particular se duele por la negativa a la entrega  de la información del Sujeto Obligado. </w:t>
      </w:r>
    </w:p>
    <w:p w14:paraId="5997AEB1" w14:textId="77777777" w:rsidR="004358B2" w:rsidRPr="000D7B75" w:rsidRDefault="004358B2">
      <w:pPr>
        <w:spacing w:line="360" w:lineRule="auto"/>
        <w:ind w:right="-591"/>
        <w:jc w:val="both"/>
        <w:rPr>
          <w:rFonts w:ascii="Palatino Linotype" w:eastAsia="Palatino Linotype" w:hAnsi="Palatino Linotype" w:cs="Palatino Linotype"/>
        </w:rPr>
      </w:pPr>
    </w:p>
    <w:p w14:paraId="2B15B071" w14:textId="77777777" w:rsidR="004358B2" w:rsidRPr="000D7B75" w:rsidRDefault="00C37ACC">
      <w:pPr>
        <w:numPr>
          <w:ilvl w:val="0"/>
          <w:numId w:val="3"/>
        </w:numPr>
        <w:spacing w:line="360" w:lineRule="auto"/>
        <w:ind w:left="0" w:right="-591" w:firstLine="0"/>
        <w:jc w:val="both"/>
      </w:pPr>
      <w:r w:rsidRPr="000D7B75">
        <w:rPr>
          <w:rFonts w:ascii="Palatino Linotype" w:eastAsia="Palatino Linotype" w:hAnsi="Palatino Linotype" w:cs="Palatino Linotype"/>
        </w:rPr>
        <w:t xml:space="preserve">En ese sentido, es importante recordar la información que fue solicitada por el </w:t>
      </w:r>
      <w:r w:rsidRPr="000D7B75">
        <w:rPr>
          <w:rFonts w:ascii="Palatino Linotype" w:eastAsia="Palatino Linotype" w:hAnsi="Palatino Linotype" w:cs="Palatino Linotype"/>
          <w:b/>
          <w:bCs/>
        </w:rPr>
        <w:t xml:space="preserve">RECURRENTE. </w:t>
      </w:r>
    </w:p>
    <w:p w14:paraId="7A1EA75A" w14:textId="77777777" w:rsidR="004358B2" w:rsidRPr="000D7B75" w:rsidRDefault="00C37ACC">
      <w:pPr>
        <w:numPr>
          <w:ilvl w:val="0"/>
          <w:numId w:val="8"/>
        </w:numPr>
        <w:pBdr>
          <w:top w:val="nil"/>
          <w:left w:val="nil"/>
          <w:bottom w:val="nil"/>
          <w:right w:val="nil"/>
          <w:between w:val="nil"/>
        </w:pBdr>
        <w:ind w:right="-591" w:hanging="360"/>
        <w:rPr>
          <w:rFonts w:ascii="Palatino Linotype" w:eastAsia="Palatino Linotype" w:hAnsi="Palatino Linotype" w:cs="Palatino Linotype"/>
          <w:i/>
          <w:iCs/>
          <w:color w:val="000000"/>
        </w:rPr>
      </w:pPr>
      <w:r w:rsidRPr="000D7B75">
        <w:rPr>
          <w:rFonts w:ascii="Palatino Linotype" w:eastAsia="Palatino Linotype" w:hAnsi="Palatino Linotype" w:cs="Palatino Linotype"/>
          <w:i/>
          <w:iCs/>
          <w:color w:val="000000"/>
        </w:rPr>
        <w:t xml:space="preserve">Con motivo de la obra pública en calle 12 de la Colonia rústica Xalostoc: </w:t>
      </w:r>
    </w:p>
    <w:p w14:paraId="050732C4" w14:textId="77777777" w:rsidR="004358B2" w:rsidRPr="000D7B75" w:rsidRDefault="00C37ACC">
      <w:pPr>
        <w:numPr>
          <w:ilvl w:val="3"/>
          <w:numId w:val="3"/>
        </w:numPr>
        <w:pBdr>
          <w:top w:val="nil"/>
          <w:left w:val="nil"/>
          <w:bottom w:val="nil"/>
          <w:right w:val="nil"/>
          <w:between w:val="nil"/>
        </w:pBdr>
        <w:ind w:right="-591"/>
        <w:rPr>
          <w:rFonts w:ascii="Palatino Linotype" w:eastAsia="Palatino Linotype" w:hAnsi="Palatino Linotype" w:cs="Palatino Linotype"/>
          <w:i/>
          <w:iCs/>
          <w:color w:val="000000"/>
        </w:rPr>
      </w:pPr>
      <w:r w:rsidRPr="000D7B75">
        <w:rPr>
          <w:rFonts w:ascii="Palatino Linotype" w:eastAsia="Palatino Linotype" w:hAnsi="Palatino Linotype" w:cs="Palatino Linotype"/>
          <w:i/>
          <w:iCs/>
          <w:color w:val="000000"/>
        </w:rPr>
        <w:t>Cuando tendrá servicio de agua potable</w:t>
      </w:r>
    </w:p>
    <w:p w14:paraId="0033417A" w14:textId="77777777" w:rsidR="004358B2" w:rsidRPr="000D7B75" w:rsidRDefault="00C37ACC">
      <w:pPr>
        <w:numPr>
          <w:ilvl w:val="3"/>
          <w:numId w:val="3"/>
        </w:numPr>
        <w:pBdr>
          <w:top w:val="nil"/>
          <w:left w:val="nil"/>
          <w:bottom w:val="nil"/>
          <w:right w:val="nil"/>
          <w:between w:val="nil"/>
        </w:pBdr>
        <w:ind w:right="-591"/>
        <w:rPr>
          <w:rFonts w:ascii="Palatino Linotype" w:eastAsia="Palatino Linotype" w:hAnsi="Palatino Linotype" w:cs="Palatino Linotype"/>
          <w:i/>
          <w:iCs/>
          <w:color w:val="000000"/>
        </w:rPr>
      </w:pPr>
      <w:r w:rsidRPr="000D7B75">
        <w:rPr>
          <w:rFonts w:ascii="Palatino Linotype" w:eastAsia="Palatino Linotype" w:hAnsi="Palatino Linotype" w:cs="Palatino Linotype"/>
          <w:i/>
          <w:iCs/>
          <w:color w:val="000000"/>
        </w:rPr>
        <w:t xml:space="preserve">Cuando se estima que terminen los trabajos </w:t>
      </w:r>
    </w:p>
    <w:p w14:paraId="4963A89B" w14:textId="77777777" w:rsidR="004358B2" w:rsidRPr="000D7B75" w:rsidRDefault="00C37ACC">
      <w:pPr>
        <w:numPr>
          <w:ilvl w:val="3"/>
          <w:numId w:val="3"/>
        </w:numPr>
        <w:pBdr>
          <w:top w:val="nil"/>
          <w:left w:val="nil"/>
          <w:bottom w:val="nil"/>
          <w:right w:val="nil"/>
          <w:between w:val="nil"/>
        </w:pBdr>
        <w:ind w:right="-591"/>
        <w:rPr>
          <w:rFonts w:ascii="Palatino Linotype" w:eastAsia="Palatino Linotype" w:hAnsi="Palatino Linotype" w:cs="Palatino Linotype"/>
          <w:i/>
          <w:iCs/>
          <w:color w:val="000000"/>
        </w:rPr>
      </w:pPr>
      <w:r w:rsidRPr="000D7B75">
        <w:rPr>
          <w:rFonts w:ascii="Palatino Linotype" w:eastAsia="Palatino Linotype" w:hAnsi="Palatino Linotype" w:cs="Palatino Linotype"/>
          <w:i/>
          <w:iCs/>
          <w:color w:val="000000"/>
        </w:rPr>
        <w:t>Último informe de supervisión</w:t>
      </w:r>
    </w:p>
    <w:p w14:paraId="0F482080" w14:textId="77777777" w:rsidR="004358B2" w:rsidRPr="000D7B75" w:rsidRDefault="00C37ACC">
      <w:pPr>
        <w:numPr>
          <w:ilvl w:val="3"/>
          <w:numId w:val="3"/>
        </w:numPr>
        <w:pBdr>
          <w:top w:val="nil"/>
          <w:left w:val="nil"/>
          <w:bottom w:val="nil"/>
          <w:right w:val="nil"/>
          <w:between w:val="nil"/>
        </w:pBdr>
        <w:ind w:right="-591"/>
        <w:rPr>
          <w:rFonts w:ascii="Palatino Linotype" w:eastAsia="Palatino Linotype" w:hAnsi="Palatino Linotype" w:cs="Palatino Linotype"/>
          <w:i/>
          <w:iCs/>
          <w:color w:val="000000"/>
        </w:rPr>
      </w:pPr>
      <w:r w:rsidRPr="000D7B75">
        <w:rPr>
          <w:rFonts w:ascii="Palatino Linotype" w:eastAsia="Palatino Linotype" w:hAnsi="Palatino Linotype" w:cs="Palatino Linotype"/>
          <w:i/>
          <w:iCs/>
          <w:color w:val="000000"/>
        </w:rPr>
        <w:t xml:space="preserve">Avance estimado </w:t>
      </w:r>
    </w:p>
    <w:p w14:paraId="5D13765C" w14:textId="77777777" w:rsidR="004358B2" w:rsidRPr="000D7B75" w:rsidRDefault="00C37ACC">
      <w:pPr>
        <w:numPr>
          <w:ilvl w:val="3"/>
          <w:numId w:val="3"/>
        </w:numPr>
        <w:pBdr>
          <w:top w:val="nil"/>
          <w:left w:val="nil"/>
          <w:bottom w:val="nil"/>
          <w:right w:val="nil"/>
          <w:between w:val="nil"/>
        </w:pBdr>
        <w:ind w:right="-591"/>
        <w:rPr>
          <w:rFonts w:ascii="Palatino Linotype" w:eastAsia="Palatino Linotype" w:hAnsi="Palatino Linotype" w:cs="Palatino Linotype"/>
          <w:i/>
          <w:iCs/>
          <w:color w:val="000000"/>
        </w:rPr>
      </w:pPr>
      <w:r w:rsidRPr="000D7B75">
        <w:rPr>
          <w:rFonts w:ascii="Palatino Linotype" w:eastAsia="Palatino Linotype" w:hAnsi="Palatino Linotype" w:cs="Palatino Linotype"/>
          <w:i/>
          <w:iCs/>
          <w:color w:val="000000"/>
        </w:rPr>
        <w:t>Cuantas válvulas se han instalado</w:t>
      </w:r>
    </w:p>
    <w:p w14:paraId="4EB09989" w14:textId="77777777" w:rsidR="004358B2" w:rsidRPr="000D7B75" w:rsidRDefault="004358B2">
      <w:pPr>
        <w:spacing w:line="360" w:lineRule="auto"/>
        <w:ind w:left="1134" w:right="-591"/>
        <w:jc w:val="center"/>
        <w:rPr>
          <w:rFonts w:ascii="Palatino Linotype" w:eastAsia="Palatino Linotype" w:hAnsi="Palatino Linotype" w:cs="Palatino Linotype"/>
          <w:i/>
          <w:iCs/>
        </w:rPr>
      </w:pPr>
    </w:p>
    <w:p w14:paraId="67FF0F1C" w14:textId="36D822B2" w:rsidR="004358B2" w:rsidRPr="000D7B75" w:rsidRDefault="00C37ACC">
      <w:pPr>
        <w:numPr>
          <w:ilvl w:val="0"/>
          <w:numId w:val="3"/>
        </w:numPr>
        <w:pBdr>
          <w:top w:val="nil"/>
          <w:left w:val="nil"/>
          <w:bottom w:val="nil"/>
          <w:right w:val="nil"/>
          <w:between w:val="nil"/>
        </w:pBdr>
        <w:tabs>
          <w:tab w:val="left" w:pos="1134"/>
        </w:tabs>
        <w:spacing w:line="360" w:lineRule="auto"/>
        <w:ind w:left="0" w:right="-591" w:firstLine="0"/>
        <w:jc w:val="both"/>
        <w:rPr>
          <w:color w:val="000000"/>
        </w:rPr>
      </w:pPr>
      <w:r w:rsidRPr="000D7B75">
        <w:rPr>
          <w:rFonts w:ascii="Palatino Linotype" w:eastAsia="Palatino Linotype" w:hAnsi="Palatino Linotype" w:cs="Palatino Linotype"/>
          <w:color w:val="000000"/>
        </w:rPr>
        <w:t xml:space="preserve">A lo que el Servidor Público habilitado </w:t>
      </w:r>
      <w:r w:rsidR="00BD488D" w:rsidRPr="000D7B75">
        <w:rPr>
          <w:rFonts w:ascii="Palatino Linotype" w:eastAsia="Palatino Linotype" w:hAnsi="Palatino Linotype" w:cs="Palatino Linotype"/>
          <w:color w:val="000000"/>
        </w:rPr>
        <w:t xml:space="preserve">en respuesta señaló </w:t>
      </w:r>
      <w:r w:rsidRPr="000D7B75">
        <w:rPr>
          <w:rFonts w:ascii="Palatino Linotype" w:eastAsia="Palatino Linotype" w:hAnsi="Palatino Linotype" w:cs="Palatino Linotype"/>
          <w:color w:val="000000"/>
        </w:rPr>
        <w:t xml:space="preserve"> que la obra </w:t>
      </w:r>
      <w:r w:rsidRPr="000D7B75">
        <w:rPr>
          <w:rFonts w:ascii="Palatino Linotype" w:eastAsia="Palatino Linotype" w:hAnsi="Palatino Linotype" w:cs="Palatino Linotype"/>
        </w:rPr>
        <w:t>a la</w:t>
      </w:r>
      <w:r w:rsidRPr="000D7B75">
        <w:rPr>
          <w:rFonts w:ascii="Palatino Linotype" w:eastAsia="Palatino Linotype" w:hAnsi="Palatino Linotype" w:cs="Palatino Linotype"/>
          <w:color w:val="000000"/>
        </w:rPr>
        <w:t xml:space="preserve"> que hace referencia en la solicitud </w:t>
      </w:r>
      <w:r w:rsidRPr="000D7B75">
        <w:rPr>
          <w:rFonts w:ascii="Palatino Linotype" w:eastAsia="Palatino Linotype" w:hAnsi="Palatino Linotype" w:cs="Palatino Linotype"/>
        </w:rPr>
        <w:t>está</w:t>
      </w:r>
      <w:r w:rsidRPr="000D7B75">
        <w:rPr>
          <w:rFonts w:ascii="Palatino Linotype" w:eastAsia="Palatino Linotype" w:hAnsi="Palatino Linotype" w:cs="Palatino Linotype"/>
          <w:color w:val="000000"/>
        </w:rPr>
        <w:t xml:space="preserve"> a cargo de la Dirección de Obras públicas, </w:t>
      </w:r>
      <w:r w:rsidRPr="000D7B75">
        <w:rPr>
          <w:rFonts w:ascii="Palatino Linotype" w:eastAsia="Palatino Linotype" w:hAnsi="Palatino Linotype" w:cs="Palatino Linotype"/>
        </w:rPr>
        <w:t>orientando</w:t>
      </w:r>
      <w:r w:rsidRPr="000D7B75">
        <w:rPr>
          <w:rFonts w:ascii="Palatino Linotype" w:eastAsia="Palatino Linotype" w:hAnsi="Palatino Linotype" w:cs="Palatino Linotype"/>
          <w:color w:val="000000"/>
        </w:rPr>
        <w:t xml:space="preserve"> a que realice su petición al Ayuntamiento de Ecatepec.</w:t>
      </w:r>
    </w:p>
    <w:p w14:paraId="3EF3860E" w14:textId="77777777" w:rsidR="004358B2" w:rsidRPr="000D7B75" w:rsidRDefault="004358B2">
      <w:pPr>
        <w:pBdr>
          <w:top w:val="nil"/>
          <w:left w:val="nil"/>
          <w:bottom w:val="nil"/>
          <w:right w:val="nil"/>
          <w:between w:val="nil"/>
        </w:pBdr>
        <w:tabs>
          <w:tab w:val="left" w:pos="1134"/>
        </w:tabs>
        <w:ind w:right="-591"/>
        <w:jc w:val="both"/>
        <w:rPr>
          <w:rFonts w:ascii="Palatino Linotype" w:eastAsia="Palatino Linotype" w:hAnsi="Palatino Linotype" w:cs="Palatino Linotype"/>
          <w:color w:val="000000"/>
        </w:rPr>
      </w:pPr>
    </w:p>
    <w:p w14:paraId="1F6A9B9B" w14:textId="77777777" w:rsidR="004358B2" w:rsidRPr="000D7B75" w:rsidRDefault="00C37ACC">
      <w:pPr>
        <w:numPr>
          <w:ilvl w:val="0"/>
          <w:numId w:val="3"/>
        </w:numPr>
        <w:pBdr>
          <w:top w:val="nil"/>
          <w:left w:val="nil"/>
          <w:bottom w:val="nil"/>
          <w:right w:val="nil"/>
          <w:between w:val="nil"/>
        </w:pBdr>
        <w:spacing w:before="240" w:line="360" w:lineRule="auto"/>
        <w:ind w:left="0" w:right="-591" w:firstLine="0"/>
        <w:jc w:val="both"/>
        <w:rPr>
          <w:color w:val="000000"/>
        </w:rPr>
      </w:pPr>
      <w:r w:rsidRPr="000D7B75">
        <w:rPr>
          <w:rFonts w:ascii="Palatino Linotype" w:eastAsia="Palatino Linotype" w:hAnsi="Palatino Linotype" w:cs="Palatino Linotype"/>
          <w:color w:val="000000"/>
        </w:rPr>
        <w:lastRenderedPageBreak/>
        <w:t>No obsta mencionar que la Dirección de Obras Públicas, de conformidad con el artículo 96 Bis de la Ley Orgánica Municipal del Estado de México, es la dependencia competente para realizar la programación y ejecución de las obras públicas y servicios relacionados, que por orden expresa del Ayuntamiento requieran prioridad; planear y coordinar los proyectos de obras públicas y servicios relacionados con las mismas que autorice el Ayuntamiento, una vez que se cumplan los requisitos de licitación y otros que determine la ley de la materia; proyectar las obras públicas y servicios relacionados, que realice el Municipio, incluyendo la conservación y mantenimiento de edificios, monumentos, calles, parques y jardines; vigilar que se cumplan y lleven a cabo los programas de construcción y mantenimiento de obras públicas y servicios relacionados; entre otras atribuciones.</w:t>
      </w:r>
    </w:p>
    <w:p w14:paraId="57E05EF3" w14:textId="77777777" w:rsidR="004358B2" w:rsidRPr="000D7B75" w:rsidRDefault="004358B2">
      <w:pPr>
        <w:pBdr>
          <w:top w:val="nil"/>
          <w:left w:val="nil"/>
          <w:bottom w:val="nil"/>
          <w:right w:val="nil"/>
          <w:between w:val="nil"/>
        </w:pBdr>
        <w:ind w:left="720" w:right="-591"/>
        <w:rPr>
          <w:rFonts w:ascii="Palatino Linotype" w:eastAsia="Palatino Linotype" w:hAnsi="Palatino Linotype" w:cs="Palatino Linotype"/>
          <w:color w:val="000000"/>
        </w:rPr>
      </w:pPr>
    </w:p>
    <w:p w14:paraId="55A781B8" w14:textId="77777777" w:rsidR="004358B2" w:rsidRPr="000D7B75" w:rsidRDefault="00C37ACC">
      <w:pPr>
        <w:numPr>
          <w:ilvl w:val="0"/>
          <w:numId w:val="3"/>
        </w:numPr>
        <w:pBdr>
          <w:top w:val="nil"/>
          <w:left w:val="nil"/>
          <w:bottom w:val="nil"/>
          <w:right w:val="nil"/>
          <w:between w:val="nil"/>
        </w:pBdr>
        <w:spacing w:after="240" w:line="360" w:lineRule="auto"/>
        <w:ind w:left="0" w:right="-591" w:firstLine="0"/>
        <w:jc w:val="both"/>
        <w:rPr>
          <w:color w:val="000000"/>
        </w:rPr>
      </w:pPr>
      <w:r w:rsidRPr="000D7B75">
        <w:rPr>
          <w:rFonts w:ascii="Palatino Linotype" w:eastAsia="Palatino Linotype" w:hAnsi="Palatino Linotype" w:cs="Palatino Linotype"/>
          <w:color w:val="000000"/>
        </w:rPr>
        <w:t xml:space="preserve">Asimismo, es de precisar que en el Programa Anual de Obras para el ejercicio 2025, se consideró entre las obras, la relativa a la Rehabilitación de Red de drenaje, agua potable y pavimentación con concreto hidráulico en la Calle 12 en la Colonia </w:t>
      </w:r>
      <w:r w:rsidRPr="000D7B75">
        <w:rPr>
          <w:rFonts w:ascii="Palatino Linotype" w:eastAsia="Palatino Linotype" w:hAnsi="Palatino Linotype" w:cs="Palatino Linotype"/>
        </w:rPr>
        <w:t>Rústica</w:t>
      </w:r>
      <w:r w:rsidRPr="000D7B75">
        <w:rPr>
          <w:rFonts w:ascii="Palatino Linotype" w:eastAsia="Palatino Linotype" w:hAnsi="Palatino Linotype" w:cs="Palatino Linotype"/>
          <w:color w:val="000000"/>
        </w:rPr>
        <w:t xml:space="preserve"> Xalostoc, como se observa:</w:t>
      </w:r>
    </w:p>
    <w:p w14:paraId="162849D6" w14:textId="77777777" w:rsidR="004358B2" w:rsidRPr="000D7B75" w:rsidRDefault="00C37ACC" w:rsidP="003D52F2">
      <w:pPr>
        <w:spacing w:before="240" w:after="240" w:line="360" w:lineRule="auto"/>
        <w:ind w:right="-591"/>
        <w:jc w:val="center"/>
        <w:rPr>
          <w:rFonts w:ascii="Palatino Linotype" w:eastAsia="Palatino Linotype" w:hAnsi="Palatino Linotype" w:cs="Palatino Linotype"/>
        </w:rPr>
      </w:pPr>
      <w:r w:rsidRPr="000D7B75">
        <w:rPr>
          <w:noProof/>
        </w:rPr>
        <w:drawing>
          <wp:inline distT="0" distB="0" distL="0" distR="0" wp14:anchorId="42A90EBD" wp14:editId="6AA7371C">
            <wp:extent cx="5612130" cy="711200"/>
            <wp:effectExtent l="0" t="0" r="0" b="0"/>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8"/>
                    <a:srcRect/>
                    <a:stretch>
                      <a:fillRect/>
                    </a:stretch>
                  </pic:blipFill>
                  <pic:spPr>
                    <a:xfrm>
                      <a:off x="0" y="0"/>
                      <a:ext cx="5612130" cy="711200"/>
                    </a:xfrm>
                    <a:prstGeom prst="rect">
                      <a:avLst/>
                    </a:prstGeom>
                    <a:ln/>
                  </pic:spPr>
                </pic:pic>
              </a:graphicData>
            </a:graphic>
          </wp:inline>
        </w:drawing>
      </w:r>
      <w:r w:rsidRPr="000D7B75">
        <w:rPr>
          <w:noProof/>
        </w:rPr>
        <w:drawing>
          <wp:inline distT="0" distB="0" distL="0" distR="0" wp14:anchorId="2BFA0DD5" wp14:editId="32F163FF">
            <wp:extent cx="5612130" cy="450850"/>
            <wp:effectExtent l="0" t="0" r="0" b="0"/>
            <wp:docPr id="3"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9"/>
                    <a:srcRect/>
                    <a:stretch>
                      <a:fillRect/>
                    </a:stretch>
                  </pic:blipFill>
                  <pic:spPr>
                    <a:xfrm>
                      <a:off x="0" y="0"/>
                      <a:ext cx="5612130" cy="450850"/>
                    </a:xfrm>
                    <a:prstGeom prst="rect">
                      <a:avLst/>
                    </a:prstGeom>
                    <a:ln/>
                  </pic:spPr>
                </pic:pic>
              </a:graphicData>
            </a:graphic>
          </wp:inline>
        </w:drawing>
      </w:r>
    </w:p>
    <w:p w14:paraId="22A54FFD" w14:textId="77777777" w:rsidR="004358B2" w:rsidRPr="000D7B75" w:rsidRDefault="00C37ACC">
      <w:pPr>
        <w:numPr>
          <w:ilvl w:val="0"/>
          <w:numId w:val="3"/>
        </w:numPr>
        <w:pBdr>
          <w:top w:val="nil"/>
          <w:left w:val="nil"/>
          <w:bottom w:val="nil"/>
          <w:right w:val="nil"/>
          <w:between w:val="nil"/>
        </w:pBdr>
        <w:spacing w:before="240" w:after="240" w:line="360" w:lineRule="auto"/>
        <w:ind w:left="0" w:right="-591" w:firstLine="0"/>
        <w:jc w:val="both"/>
        <w:rPr>
          <w:rFonts w:ascii="Palatino Linotype" w:eastAsia="Palatino Linotype" w:hAnsi="Palatino Linotype" w:cs="Palatino Linotype"/>
          <w:color w:val="000000"/>
        </w:rPr>
      </w:pPr>
      <w:r w:rsidRPr="000D7B75">
        <w:rPr>
          <w:rFonts w:ascii="Palatino Linotype" w:eastAsia="Palatino Linotype" w:hAnsi="Palatino Linotype" w:cs="Palatino Linotype"/>
          <w:color w:val="000000"/>
        </w:rPr>
        <w:lastRenderedPageBreak/>
        <w:t>De igual forma, se localizó en la página oficial</w:t>
      </w:r>
      <w:r w:rsidRPr="000D7B75">
        <w:rPr>
          <w:rFonts w:ascii="Palatino Linotype" w:eastAsia="Palatino Linotype" w:hAnsi="Palatino Linotype" w:cs="Palatino Linotype"/>
          <w:color w:val="000000"/>
          <w:vertAlign w:val="superscript"/>
        </w:rPr>
        <w:footnoteReference w:id="5"/>
      </w:r>
      <w:r w:rsidRPr="000D7B75">
        <w:rPr>
          <w:rFonts w:ascii="Palatino Linotype" w:eastAsia="Palatino Linotype" w:hAnsi="Palatino Linotype" w:cs="Palatino Linotype"/>
          <w:color w:val="000000"/>
        </w:rPr>
        <w:t xml:space="preserve"> del </w:t>
      </w:r>
      <w:r w:rsidRPr="000D7B75">
        <w:rPr>
          <w:rFonts w:ascii="Palatino Linotype" w:eastAsia="Palatino Linotype" w:hAnsi="Palatino Linotype" w:cs="Palatino Linotype"/>
          <w:b/>
          <w:bCs/>
          <w:color w:val="000000"/>
        </w:rPr>
        <w:t>Ayuntamiento de Ecatepec</w:t>
      </w:r>
      <w:r w:rsidRPr="000D7B75">
        <w:rPr>
          <w:rFonts w:ascii="Palatino Linotype" w:eastAsia="Palatino Linotype" w:hAnsi="Palatino Linotype" w:cs="Palatino Linotype"/>
          <w:color w:val="000000"/>
        </w:rPr>
        <w:t xml:space="preserve"> un comunicado publicado el veintinueve de septiembre de dos mil veinticinco, en el cual se informa que el Cabildo aprobó la actualización del Programa Anual de Obra Pública, entre las que se encuentra la rehabilitación de red de drenaje, red entubada de agua potable, guarniciones, banquetas y pavimentación en calle 12, colonia Rústica Xalostoc:</w:t>
      </w:r>
    </w:p>
    <w:p w14:paraId="3AFA6E0F" w14:textId="77777777" w:rsidR="004358B2" w:rsidRPr="000D7B75" w:rsidRDefault="00C37ACC">
      <w:pPr>
        <w:spacing w:before="240" w:after="240" w:line="360" w:lineRule="auto"/>
        <w:ind w:right="-591"/>
        <w:jc w:val="center"/>
        <w:rPr>
          <w:rFonts w:ascii="Palatino Linotype" w:eastAsia="Palatino Linotype" w:hAnsi="Palatino Linotype" w:cs="Palatino Linotype"/>
        </w:rPr>
      </w:pPr>
      <w:r w:rsidRPr="000D7B75">
        <w:rPr>
          <w:noProof/>
        </w:rPr>
        <w:drawing>
          <wp:inline distT="0" distB="0" distL="0" distR="0" wp14:anchorId="7195E947" wp14:editId="1F23391D">
            <wp:extent cx="4712924" cy="711364"/>
            <wp:effectExtent l="0" t="0" r="0" b="0"/>
            <wp:docPr id="2"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0"/>
                    <a:srcRect/>
                    <a:stretch>
                      <a:fillRect/>
                    </a:stretch>
                  </pic:blipFill>
                  <pic:spPr>
                    <a:xfrm>
                      <a:off x="0" y="0"/>
                      <a:ext cx="4712924" cy="711364"/>
                    </a:xfrm>
                    <a:prstGeom prst="rect">
                      <a:avLst/>
                    </a:prstGeom>
                    <a:ln/>
                  </pic:spPr>
                </pic:pic>
              </a:graphicData>
            </a:graphic>
          </wp:inline>
        </w:drawing>
      </w:r>
    </w:p>
    <w:p w14:paraId="345D046D" w14:textId="77777777" w:rsidR="004358B2" w:rsidRPr="000D7B75" w:rsidRDefault="00C37ACC">
      <w:pPr>
        <w:spacing w:before="240" w:after="240" w:line="360" w:lineRule="auto"/>
        <w:ind w:right="-591"/>
        <w:jc w:val="center"/>
        <w:rPr>
          <w:rFonts w:ascii="Palatino Linotype" w:eastAsia="Palatino Linotype" w:hAnsi="Palatino Linotype" w:cs="Palatino Linotype"/>
        </w:rPr>
      </w:pPr>
      <w:r w:rsidRPr="000D7B75">
        <w:rPr>
          <w:noProof/>
        </w:rPr>
        <w:drawing>
          <wp:inline distT="0" distB="0" distL="0" distR="0" wp14:anchorId="2552CBCD" wp14:editId="74614F23">
            <wp:extent cx="5083825" cy="1456465"/>
            <wp:effectExtent l="0" t="0" r="0" b="0"/>
            <wp:docPr id="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1"/>
                    <a:srcRect/>
                    <a:stretch>
                      <a:fillRect/>
                    </a:stretch>
                  </pic:blipFill>
                  <pic:spPr>
                    <a:xfrm>
                      <a:off x="0" y="0"/>
                      <a:ext cx="5083825" cy="1456465"/>
                    </a:xfrm>
                    <a:prstGeom prst="rect">
                      <a:avLst/>
                    </a:prstGeom>
                    <a:ln/>
                  </pic:spPr>
                </pic:pic>
              </a:graphicData>
            </a:graphic>
          </wp:inline>
        </w:drawing>
      </w:r>
    </w:p>
    <w:p w14:paraId="6F7F8E4E" w14:textId="77777777" w:rsidR="004358B2" w:rsidRPr="000D7B75" w:rsidRDefault="00C37ACC">
      <w:pPr>
        <w:numPr>
          <w:ilvl w:val="0"/>
          <w:numId w:val="3"/>
        </w:numPr>
        <w:pBdr>
          <w:top w:val="nil"/>
          <w:left w:val="nil"/>
          <w:bottom w:val="nil"/>
          <w:right w:val="nil"/>
          <w:between w:val="nil"/>
        </w:pBdr>
        <w:spacing w:before="240" w:after="240" w:line="360" w:lineRule="auto"/>
        <w:ind w:right="-591" w:hanging="359"/>
        <w:jc w:val="both"/>
        <w:rPr>
          <w:color w:val="000000"/>
        </w:rPr>
      </w:pPr>
      <w:r w:rsidRPr="000D7B75">
        <w:rPr>
          <w:rFonts w:ascii="Palatino Linotype" w:eastAsia="Palatino Linotype" w:hAnsi="Palatino Linotype" w:cs="Palatino Linotype"/>
          <w:color w:val="000000"/>
        </w:rPr>
        <w:t>De lo anterior es aplicable lo siguiente:</w:t>
      </w:r>
    </w:p>
    <w:p w14:paraId="0B8335D5" w14:textId="77777777" w:rsidR="004358B2" w:rsidRPr="000D7B75" w:rsidRDefault="00C37ACC">
      <w:pPr>
        <w:tabs>
          <w:tab w:val="left" w:pos="7938"/>
        </w:tabs>
        <w:spacing w:before="120" w:after="120"/>
        <w:ind w:left="1135" w:right="-591"/>
        <w:jc w:val="both"/>
        <w:rPr>
          <w:rFonts w:ascii="Palatino Linotype" w:eastAsia="Palatino Linotype" w:hAnsi="Palatino Linotype" w:cs="Palatino Linotype"/>
          <w:i/>
          <w:iCs/>
        </w:rPr>
      </w:pPr>
      <w:r w:rsidRPr="000D7B75">
        <w:rPr>
          <w:rFonts w:ascii="Palatino Linotype" w:eastAsia="Palatino Linotype" w:hAnsi="Palatino Linotype" w:cs="Palatino Linotype"/>
          <w:b/>
          <w:bCs/>
          <w:i/>
          <w:iCs/>
        </w:rPr>
        <w:t>“HECHOS NOTORIOS. CONCEPTOS GENERAL Y JURÍDICO. Conforme al artículo 88 del Código Federal de Procedimientos Civiles los tribunales pueden invocar hechos notorios aunque no hayan sido alegados ni probados por las partes.</w:t>
      </w:r>
      <w:r w:rsidRPr="000D7B75">
        <w:rPr>
          <w:rFonts w:ascii="Palatino Linotype" w:eastAsia="Palatino Linotype" w:hAnsi="Palatino Linotype" w:cs="Palatino Linotype"/>
          <w:i/>
          <w:iCs/>
        </w:rPr>
        <w:t xml:space="preserve"> Por hechos notorios deben entenderse, en general, aquellos que por el conocimiento humano se consideran ciertos e indiscutibles, ya sea que pertenezcan a la historia, a la ciencia, a la naturaleza</w:t>
      </w:r>
      <w:r w:rsidRPr="000D7B75">
        <w:rPr>
          <w:rFonts w:ascii="Palatino Linotype" w:eastAsia="Palatino Linotype" w:hAnsi="Palatino Linotype" w:cs="Palatino Linotype"/>
          <w:b/>
          <w:bCs/>
          <w:i/>
          <w:iCs/>
        </w:rPr>
        <w:t>, a las vicisitudes de la vida pública actual o a circunstancias comúnmente conocidas en un determinado lugar</w:t>
      </w:r>
      <w:r w:rsidRPr="000D7B75">
        <w:rPr>
          <w:rFonts w:ascii="Palatino Linotype" w:eastAsia="Palatino Linotype" w:hAnsi="Palatino Linotype" w:cs="Palatino Linotype"/>
          <w:i/>
          <w:iCs/>
        </w:rPr>
        <w:t xml:space="preserve">, </w:t>
      </w:r>
      <w:r w:rsidRPr="000D7B75">
        <w:rPr>
          <w:rFonts w:ascii="Palatino Linotype" w:eastAsia="Palatino Linotype" w:hAnsi="Palatino Linotype" w:cs="Palatino Linotype"/>
          <w:b/>
          <w:bCs/>
          <w:i/>
          <w:iCs/>
        </w:rPr>
        <w:t>de modo que toda persona de ese medio esté en condiciones de saberlo</w:t>
      </w:r>
      <w:r w:rsidRPr="000D7B75">
        <w:rPr>
          <w:rFonts w:ascii="Palatino Linotype" w:eastAsia="Palatino Linotype" w:hAnsi="Palatino Linotype" w:cs="Palatino Linotype"/>
          <w:i/>
          <w:iCs/>
        </w:rPr>
        <w:t xml:space="preserve">; y desde el punto de vista jurídico, hecho notorio es cualquier acontecimiento de dominio público conocido por todos o casi todos los miembros </w:t>
      </w:r>
      <w:r w:rsidRPr="000D7B75">
        <w:rPr>
          <w:rFonts w:ascii="Palatino Linotype" w:eastAsia="Palatino Linotype" w:hAnsi="Palatino Linotype" w:cs="Palatino Linotype"/>
          <w:i/>
          <w:iCs/>
        </w:rPr>
        <w:lastRenderedPageBreak/>
        <w:t>de un círculo social en el momento en que va a pronunciarse la decisión judicial, respecto del cual no hay duda ni discusión; de manera que al ser notorio la ley exime de su prueba, por ser del conocimiento público en el medio social donde ocurrió o donde se tramita el procedimiento.”</w:t>
      </w:r>
    </w:p>
    <w:p w14:paraId="43B4EAA5" w14:textId="77777777" w:rsidR="004358B2" w:rsidRPr="000D7B75" w:rsidRDefault="00C37ACC">
      <w:pPr>
        <w:ind w:left="1135" w:right="-591"/>
        <w:jc w:val="both"/>
        <w:rPr>
          <w:rFonts w:ascii="Palatino Linotype" w:eastAsia="Palatino Linotype" w:hAnsi="Palatino Linotype" w:cs="Palatino Linotype"/>
          <w:i/>
          <w:iCs/>
        </w:rPr>
      </w:pPr>
      <w:r w:rsidRPr="000D7B75">
        <w:rPr>
          <w:rFonts w:ascii="Palatino Linotype" w:eastAsia="Palatino Linotype" w:hAnsi="Palatino Linotype" w:cs="Palatino Linotype"/>
          <w:i/>
          <w:iCs/>
        </w:rPr>
        <w:t>Controversia constitucional 24/2005. Cámara de Diputados del Congreso de la Unión. 9 de marzo de 2006. Once votos. Ponente: José Ramón Cossío Díaz. Secretarios: Raúl Manuel Mejía Garza y Laura Patricia Rojas Zamudio.</w:t>
      </w:r>
    </w:p>
    <w:p w14:paraId="0E9A939C" w14:textId="77777777" w:rsidR="004358B2" w:rsidRPr="000D7B75" w:rsidRDefault="00C37ACC">
      <w:pPr>
        <w:ind w:left="1135" w:right="-591"/>
        <w:jc w:val="both"/>
        <w:rPr>
          <w:rFonts w:ascii="Palatino Linotype" w:eastAsia="Palatino Linotype" w:hAnsi="Palatino Linotype" w:cs="Palatino Linotype"/>
          <w:i/>
          <w:iCs/>
        </w:rPr>
      </w:pPr>
      <w:r w:rsidRPr="000D7B75">
        <w:rPr>
          <w:rFonts w:ascii="Palatino Linotype" w:eastAsia="Palatino Linotype" w:hAnsi="Palatino Linotype" w:cs="Palatino Linotype"/>
          <w:i/>
          <w:iCs/>
        </w:rPr>
        <w:t>El Tribunal Pleno, el dieciséis de mayo en curso, aprobó, con el número 74/2006, la tesis jurisprudencial que antecede. México, Distrito Federal, a dieciséis de mayo de dos mil seis.</w:t>
      </w:r>
    </w:p>
    <w:p w14:paraId="5B1D8F14" w14:textId="77777777" w:rsidR="004358B2" w:rsidRPr="000D7B75" w:rsidRDefault="00C37ACC">
      <w:pPr>
        <w:ind w:left="1135" w:right="-591"/>
        <w:jc w:val="both"/>
        <w:rPr>
          <w:rFonts w:ascii="Palatino Linotype" w:eastAsia="Palatino Linotype" w:hAnsi="Palatino Linotype" w:cs="Palatino Linotype"/>
          <w:i/>
          <w:iCs/>
        </w:rPr>
      </w:pPr>
      <w:r w:rsidRPr="000D7B75">
        <w:rPr>
          <w:rFonts w:ascii="Palatino Linotype" w:eastAsia="Palatino Linotype" w:hAnsi="Palatino Linotype" w:cs="Palatino Linotype"/>
          <w:i/>
          <w:iCs/>
        </w:rPr>
        <w:t>Nota: Esta tesis fue objeto de la denuncia relativa a la contradicción de tesis 91/2014, desechada por notoriamente improcedente, mediante acuerdo de 24 de marzo de 2014.”</w:t>
      </w:r>
    </w:p>
    <w:p w14:paraId="1806D014" w14:textId="77777777" w:rsidR="004358B2" w:rsidRPr="000D7B75" w:rsidRDefault="004358B2">
      <w:pPr>
        <w:tabs>
          <w:tab w:val="left" w:pos="7938"/>
        </w:tabs>
        <w:spacing w:before="120" w:after="120"/>
        <w:ind w:left="1135" w:right="-591"/>
        <w:jc w:val="both"/>
        <w:rPr>
          <w:rFonts w:ascii="Palatino Linotype" w:eastAsia="Palatino Linotype" w:hAnsi="Palatino Linotype" w:cs="Palatino Linotype"/>
          <w:i/>
          <w:iCs/>
        </w:rPr>
      </w:pPr>
    </w:p>
    <w:p w14:paraId="586952A0" w14:textId="77777777" w:rsidR="004358B2" w:rsidRPr="000D7B75" w:rsidRDefault="00C37ACC">
      <w:pPr>
        <w:spacing w:before="120" w:after="120"/>
        <w:ind w:left="1135" w:right="-591"/>
        <w:jc w:val="both"/>
        <w:rPr>
          <w:rFonts w:ascii="Palatino Linotype" w:eastAsia="Palatino Linotype" w:hAnsi="Palatino Linotype" w:cs="Palatino Linotype"/>
          <w:i/>
          <w:iCs/>
        </w:rPr>
      </w:pPr>
      <w:r w:rsidRPr="000D7B75">
        <w:rPr>
          <w:rFonts w:ascii="Palatino Linotype" w:eastAsia="Palatino Linotype" w:hAnsi="Palatino Linotype" w:cs="Palatino Linotype"/>
          <w:i/>
          <w:iCs/>
        </w:rPr>
        <w:t>“</w:t>
      </w:r>
      <w:r w:rsidRPr="000D7B75">
        <w:rPr>
          <w:rFonts w:ascii="Palatino Linotype" w:eastAsia="Palatino Linotype" w:hAnsi="Palatino Linotype" w:cs="Palatino Linotype"/>
          <w:b/>
          <w:bCs/>
          <w:i/>
          <w:iCs/>
        </w:rPr>
        <w:t>PÁGINAS WEB O ELECTRÓNICAS. SU CONTENIDO ES UN HECHO NOTORIO Y SUSCEPTIBLE DE SER VALORADO EN UNA DECISIÓN JUDICIAL.</w:t>
      </w:r>
      <w:r w:rsidRPr="000D7B75">
        <w:rPr>
          <w:rFonts w:ascii="Palatino Linotype" w:eastAsia="Palatino Linotype" w:hAnsi="Palatino Linotype" w:cs="Palatino Linotype"/>
          <w:i/>
          <w:iCs/>
        </w:rPr>
        <w:t xml:space="preserve"> Los datos publicados en documentos o páginas situados en redes informáticas constituyen un hecho notorio por formar parte del conocimiento público a través de tales medios al momento en que se dicta una resolución judicial, de conformidad con el artículo 88 del Código Federal de Procedimientos Civiles. El acceso al uso de Internet para buscar información sobre la existencia de personas morales, establecimientos mercantiles, domicilios y en general cualquier dato publicado en redes informáticas, forma parte de la cultura normal de sectores específicos de la sociedad dependiendo del tipo de información de que se trate. De ahí que, si bien no es posible afirmar que esa información se encuentra al alcance de todos los sectores de la sociedad, lo cierto es que sí es posible determinar si por el tipo de datos un hecho forma parte de la cultura normal de un sector de la sociedad y pueda ser considerado como notorio por el juzgador y, consecuentemente, valorado en una decisión judicial, por tratarse de un dato u opinión común indiscutible, no por el número de personas que conocen ese hecho, sino por la notoriedad, accesibilidad, aceptación e imparcialidad de este conocimiento. Por tanto, el contenido de una página de Internet que refleja hechos propios de una de las partes en cualquier juicio, puede ser tomado como prueba plena, a menos que haya una en contrario que no fue creada por orden del interesado, ya que se le reputará autor y podrá perjudicarle lo que ofrezca en sus términos.</w:t>
      </w:r>
    </w:p>
    <w:p w14:paraId="5B93A947" w14:textId="77777777" w:rsidR="004358B2" w:rsidRPr="000D7B75" w:rsidRDefault="00C37ACC">
      <w:pPr>
        <w:spacing w:line="360" w:lineRule="auto"/>
        <w:ind w:left="1135" w:right="-591"/>
        <w:jc w:val="both"/>
        <w:rPr>
          <w:rFonts w:ascii="Palatino Linotype" w:eastAsia="Palatino Linotype" w:hAnsi="Palatino Linotype" w:cs="Palatino Linotype"/>
        </w:rPr>
      </w:pPr>
      <w:r w:rsidRPr="000D7B75">
        <w:rPr>
          <w:rFonts w:ascii="Palatino Linotype" w:eastAsia="Palatino Linotype" w:hAnsi="Palatino Linotype" w:cs="Palatino Linotype"/>
          <w:i/>
          <w:iCs/>
        </w:rPr>
        <w:lastRenderedPageBreak/>
        <w:t>TERCER TRIBUNAL COLEGIADO EN MATERIA CIVIL DEL PRIMER CIRCUITO. Amparo en revisión 365/2012. Mardygras, S.A. de C.V. 7 de diciembre de 2012. Unanimidad de votos. Ponente: Neófito López Ramos. Secretaria: Ana Lilia Osorno Arroyo.</w:t>
      </w:r>
    </w:p>
    <w:p w14:paraId="4AD1EAE0" w14:textId="77777777" w:rsidR="004358B2" w:rsidRPr="000D7B75" w:rsidRDefault="004358B2">
      <w:pPr>
        <w:spacing w:before="120" w:after="120"/>
        <w:ind w:left="1135" w:right="-591"/>
        <w:jc w:val="both"/>
        <w:rPr>
          <w:rFonts w:ascii="Palatino Linotype" w:eastAsia="Palatino Linotype" w:hAnsi="Palatino Linotype" w:cs="Palatino Linotype"/>
          <w:i/>
          <w:iCs/>
        </w:rPr>
      </w:pPr>
    </w:p>
    <w:p w14:paraId="722C644B" w14:textId="77777777" w:rsidR="004358B2" w:rsidRPr="000D7B75" w:rsidRDefault="00C37ACC">
      <w:pPr>
        <w:spacing w:before="120" w:after="120"/>
        <w:ind w:left="1134" w:right="-591"/>
        <w:jc w:val="both"/>
        <w:rPr>
          <w:rFonts w:ascii="Palatino Linotype" w:eastAsia="Palatino Linotype" w:hAnsi="Palatino Linotype" w:cs="Palatino Linotype"/>
          <w:i/>
          <w:iCs/>
        </w:rPr>
      </w:pPr>
      <w:r w:rsidRPr="000D7B75">
        <w:rPr>
          <w:rFonts w:ascii="Palatino Linotype" w:eastAsia="Palatino Linotype" w:hAnsi="Palatino Linotype" w:cs="Palatino Linotype"/>
          <w:i/>
          <w:iCs/>
        </w:rPr>
        <w:t>“</w:t>
      </w:r>
      <w:r w:rsidRPr="000D7B75">
        <w:rPr>
          <w:rFonts w:ascii="Palatino Linotype" w:eastAsia="Palatino Linotype" w:hAnsi="Palatino Linotype" w:cs="Palatino Linotype"/>
          <w:b/>
          <w:bCs/>
          <w:i/>
          <w:iCs/>
        </w:rPr>
        <w:t>HECHO NOTORIO. LO CONSTITUYEN LOS DATOS QUE APARECEN EN LAS PÁGINAS ELECTRÓNICAS OFICIALES QUE LOS ÓRGANOS DE GOBIERNO UTILIZAN PARA PONER A DISPOSICIÓN DEL PÚBLICO, ENTRE OTROS SERVICIOS, LA DESCRIPCIÓN DE SUS PLAZAS, EL DIRECTORIO DE SUS EMPLEADOS O EL ESTADO QUE GUARDAN SUS EXPEDIENTES Y, POR ELLO, ES VÁLIDO QUE SE INVOQUEN DE OFICIO PARA RESOLVER UN ASUNTO EN PARTICULAR</w:t>
      </w:r>
      <w:r w:rsidRPr="000D7B75">
        <w:rPr>
          <w:rFonts w:ascii="Palatino Linotype" w:eastAsia="Palatino Linotype" w:hAnsi="Palatino Linotype" w:cs="Palatino Linotype"/>
          <w:i/>
          <w:iCs/>
        </w:rPr>
        <w:t>. Los datos que aparecen en las páginas electrónicas oficiales que los órganos de gobierno utilizan para poner a disposición del público, entre otros servicios, la descripción de sus plazas, el directorio de sus empleados o el estado que guardan sus expedientes, constituyen un hecho notorio que puede invocarse por los tribunales, en términos del artículo 88 del Código Federal de Procedimientos Civiles, de aplicación supletoria a la Ley de Amparo; porque la información generada o comunicada por esa vía forma parte del sistema mundial de diseminación y obtención de datos denominada "internet", del cual puede obtenerse, por ejemplo, el nombre de un servidor público, el organigrama de una institución, así como el sentido de sus resoluciones; de ahí que sea válido que los órganos jurisdiccionales invoquen de oficio lo publicado en ese medio para resolver un asunto en particular.”</w:t>
      </w:r>
      <w:r w:rsidRPr="000D7B75">
        <w:rPr>
          <w:rFonts w:ascii="Palatino Linotype" w:eastAsia="Palatino Linotype" w:hAnsi="Palatino Linotype" w:cs="Palatino Linotype"/>
          <w:i/>
          <w:iCs/>
          <w:vertAlign w:val="superscript"/>
        </w:rPr>
        <w:footnoteReference w:id="6"/>
      </w:r>
    </w:p>
    <w:p w14:paraId="2C10980B" w14:textId="77777777" w:rsidR="004358B2" w:rsidRPr="000D7B75" w:rsidRDefault="004358B2">
      <w:pPr>
        <w:spacing w:before="120" w:after="120"/>
        <w:ind w:left="1134" w:right="-591"/>
        <w:jc w:val="both"/>
        <w:rPr>
          <w:rFonts w:ascii="Palatino Linotype" w:eastAsia="Palatino Linotype" w:hAnsi="Palatino Linotype" w:cs="Palatino Linotype"/>
          <w:i/>
          <w:iCs/>
        </w:rPr>
      </w:pPr>
    </w:p>
    <w:p w14:paraId="13A5AF25" w14:textId="77777777" w:rsidR="004358B2" w:rsidRPr="000D7B75" w:rsidRDefault="00C37ACC">
      <w:pPr>
        <w:tabs>
          <w:tab w:val="left" w:pos="851"/>
        </w:tabs>
        <w:spacing w:before="120" w:after="120"/>
        <w:ind w:left="1134" w:right="-591"/>
        <w:jc w:val="both"/>
        <w:rPr>
          <w:rFonts w:ascii="Palatino Linotype" w:eastAsia="Palatino Linotype" w:hAnsi="Palatino Linotype" w:cs="Palatino Linotype"/>
          <w:i/>
          <w:iCs/>
        </w:rPr>
      </w:pPr>
      <w:r w:rsidRPr="000D7B75">
        <w:rPr>
          <w:rFonts w:ascii="Palatino Linotype" w:eastAsia="Palatino Linotype" w:hAnsi="Palatino Linotype" w:cs="Palatino Linotype"/>
          <w:b/>
          <w:bCs/>
          <w:i/>
          <w:iCs/>
        </w:rPr>
        <w:t xml:space="preserve"> “IMPROCEDENCIA DEL JUICIO DE AMPARO. EL JUEZ DE DISTRITO O EL TRIBUNAL COLEGIADO DE CIRCUITO, PARA RESOLVER O NO ALGUNA CAUSAL RELATIVA, CUANDO EXISTA UN INDICIO SOBRE SU EXISTENCIA, VÁLIDAMENTE PUEDE CONSULTAR LA INFORMACIÓN QUE APARECE EN LOS SITIOS O PÁGINAS ELECTRÓNICAS DE LAS DEPENDENCIAS OFICIALES, AL CONSTITUIR ÉSTA UN HECHO NOTORIO. </w:t>
      </w:r>
      <w:r w:rsidRPr="000D7B75">
        <w:rPr>
          <w:rFonts w:ascii="Palatino Linotype" w:eastAsia="Palatino Linotype" w:hAnsi="Palatino Linotype" w:cs="Palatino Linotype"/>
          <w:i/>
          <w:iCs/>
        </w:rPr>
        <w:t xml:space="preserve">La Primera Sala de la Suprema Corte de Justicia de la Nación, en la jurisprudencia 1ª./ J. 163/2005, publicada en </w:t>
      </w:r>
      <w:r w:rsidRPr="000D7B75">
        <w:rPr>
          <w:rFonts w:ascii="Palatino Linotype" w:eastAsia="Palatino Linotype" w:hAnsi="Palatino Linotype" w:cs="Palatino Linotype"/>
          <w:i/>
          <w:iCs/>
        </w:rPr>
        <w:lastRenderedPageBreak/>
        <w:t xml:space="preserve">el Semanario Judicial de la Federación y su Gaceta, Novena Época,  Tomo XXIII, enero de 2006, página 319, del rubro: “Improcedencia del juicio de amparo. Ante la existencia de algún indicio de una causal de esa naturaleza, el juzgador debe indagar o recabar de oficio pruebas necesarias para así estar en posibilidad de determinar fehacientemente si opera o no esa causal”, impuso la obligación al juzgador de amparo, de allegarse de oficio, las pruebas necesarias para resolver si se actualiza o no alguna causal de improcedencia cuando exista un indicio sobre su posible existencia, por traerse de una cuestión de orden público y de estudio preferente al fondo del asunto. </w:t>
      </w:r>
      <w:r w:rsidRPr="000D7B75">
        <w:rPr>
          <w:rFonts w:ascii="Palatino Linotype" w:eastAsia="Palatino Linotype" w:hAnsi="Palatino Linotype" w:cs="Palatino Linotype"/>
          <w:b/>
          <w:bCs/>
          <w:i/>
          <w:iCs/>
        </w:rPr>
        <w:t>Por otra parte, la información que aparece en las páginas o en sitios electrónicos de las dependencias oficiales conforme  al artículo 88 del Código Federal de Procedimientos Civiles de aplicación supletoria a la ley de la materia, constituye un hecho notorio que puede invocar el Juez de Distrito o el Tribunal Colegiado de Circuito para desarrollar su actividad jurisdiccional,</w:t>
      </w:r>
      <w:r w:rsidRPr="000D7B75">
        <w:rPr>
          <w:rFonts w:ascii="Palatino Linotype" w:eastAsia="Palatino Linotype" w:hAnsi="Palatino Linotype" w:cs="Palatino Linotype"/>
          <w:i/>
          <w:iCs/>
        </w:rPr>
        <w:t xml:space="preserve"> ya que su consulta es de fácil acceso para el público en general, pues basta con ingresar a la página oficial respectiva y proporcionar los datos que aparecen en los documentos aportados en el juicio para consultar y verificar la veracidad de la información respectiva, máxime si el propio quejoso o persona autorizada por este es quien previamente proporciono a la dependencia oficial la información necesaria para realizar el trámite correspondiente; información que se almacena en una base de datos y, posteriormente, se genera y consulta a través de medios electrónicos, en aquellos casos que así se actualiza o no una causal de improcedencia, de oficio, consulte y verifique la información generada por medios electrónicos oficiales. Lo anterior se estima congruente con el principio constitucional de acceso a la justicia, sin que pretenda deslindarse a las partes de las cargas probatorias correspondientes, porque se trata únicamente de conocer plenamente si opera o no alguna causal de improcedencia, cuando exista un indicio sobre su existencia. “</w:t>
      </w:r>
      <w:r w:rsidRPr="000D7B75">
        <w:rPr>
          <w:rFonts w:ascii="Palatino Linotype" w:eastAsia="Palatino Linotype" w:hAnsi="Palatino Linotype" w:cs="Palatino Linotype"/>
          <w:i/>
          <w:iCs/>
          <w:vertAlign w:val="superscript"/>
        </w:rPr>
        <w:footnoteReference w:id="7"/>
      </w:r>
    </w:p>
    <w:p w14:paraId="563CED6A" w14:textId="77777777" w:rsidR="004358B2" w:rsidRPr="000D7B75" w:rsidRDefault="00C37ACC">
      <w:pPr>
        <w:numPr>
          <w:ilvl w:val="0"/>
          <w:numId w:val="3"/>
        </w:numPr>
        <w:pBdr>
          <w:top w:val="nil"/>
          <w:left w:val="nil"/>
          <w:bottom w:val="nil"/>
          <w:right w:val="nil"/>
          <w:between w:val="nil"/>
        </w:pBdr>
        <w:spacing w:before="240" w:line="360" w:lineRule="auto"/>
        <w:ind w:left="0" w:right="-591" w:firstLine="0"/>
        <w:jc w:val="both"/>
        <w:rPr>
          <w:rFonts w:ascii="Palatino Linotype" w:eastAsia="Palatino Linotype" w:hAnsi="Palatino Linotype" w:cs="Palatino Linotype"/>
          <w:color w:val="000000"/>
        </w:rPr>
      </w:pPr>
      <w:r w:rsidRPr="000D7B75">
        <w:rPr>
          <w:rFonts w:ascii="Palatino Linotype" w:eastAsia="Palatino Linotype" w:hAnsi="Palatino Linotype" w:cs="Palatino Linotype"/>
          <w:color w:val="000000"/>
        </w:rPr>
        <w:t xml:space="preserve">Por otro lado, por lo que se refiere a la falta de suministro de agua a través de la red de agua potable, y la fecha en la que se </w:t>
      </w:r>
      <w:r w:rsidRPr="000D7B75">
        <w:rPr>
          <w:rFonts w:ascii="Palatino Linotype" w:eastAsia="Palatino Linotype" w:hAnsi="Palatino Linotype" w:cs="Palatino Linotype"/>
        </w:rPr>
        <w:t>restablecerá</w:t>
      </w:r>
      <w:r w:rsidRPr="000D7B75">
        <w:rPr>
          <w:rFonts w:ascii="Palatino Linotype" w:eastAsia="Palatino Linotype" w:hAnsi="Palatino Linotype" w:cs="Palatino Linotype"/>
          <w:color w:val="000000"/>
        </w:rPr>
        <w:t xml:space="preserve"> el  servicio de agua potable, si bien es cierto que el Organismo Público Descentralizado para la Prestación de los Servicios de Agua Potable, Alcantarillado y Saneamiento del Municipio de Ecatepec de Morelos, (SAPASE), como organismo operador es responsable de administrar y operar los servicios, conservar, dar </w:t>
      </w:r>
      <w:r w:rsidRPr="000D7B75">
        <w:rPr>
          <w:rFonts w:ascii="Palatino Linotype" w:eastAsia="Palatino Linotype" w:hAnsi="Palatino Linotype" w:cs="Palatino Linotype"/>
          <w:color w:val="000000"/>
        </w:rPr>
        <w:lastRenderedPageBreak/>
        <w:t xml:space="preserve">mantenimiento, rehabilitar y ampliar los sistemas de suministro, de drenaje y de alcantarillado, y en su caso, el tratamiento de aguas y su reúso, así como la disposición final de sus productos resultantes, dentro del ámbito territorial que le corresponda, de conformidad con el artículo 5, fracción L de la Ley del Agua para el Estado de México y Municipios, </w:t>
      </w:r>
      <w:r w:rsidRPr="000D7B75">
        <w:rPr>
          <w:rFonts w:ascii="Palatino Linotype" w:eastAsia="Palatino Linotype" w:hAnsi="Palatino Linotype" w:cs="Palatino Linotype"/>
          <w:b/>
          <w:bCs/>
          <w:color w:val="000000"/>
        </w:rPr>
        <w:t>no debe perderse de vista</w:t>
      </w:r>
      <w:r w:rsidRPr="000D7B75">
        <w:rPr>
          <w:rFonts w:ascii="Palatino Linotype" w:eastAsia="Palatino Linotype" w:hAnsi="Palatino Linotype" w:cs="Palatino Linotype"/>
          <w:color w:val="000000"/>
        </w:rPr>
        <w:t xml:space="preserve"> que </w:t>
      </w:r>
      <w:r w:rsidRPr="000D7B75">
        <w:rPr>
          <w:rFonts w:ascii="Palatino Linotype" w:eastAsia="Palatino Linotype" w:hAnsi="Palatino Linotype" w:cs="Palatino Linotype"/>
          <w:b/>
          <w:bCs/>
          <w:color w:val="000000"/>
          <w:u w:val="single"/>
        </w:rPr>
        <w:t>la obra referida por la persona solicitante fue ejecutada por el Ayuntamiento</w:t>
      </w:r>
      <w:r w:rsidRPr="000D7B75">
        <w:rPr>
          <w:rFonts w:ascii="Palatino Linotype" w:eastAsia="Palatino Linotype" w:hAnsi="Palatino Linotype" w:cs="Palatino Linotype"/>
          <w:b/>
          <w:bCs/>
          <w:color w:val="000000"/>
        </w:rPr>
        <w:t xml:space="preserve"> </w:t>
      </w:r>
      <w:r w:rsidRPr="000D7B75">
        <w:rPr>
          <w:rFonts w:ascii="Palatino Linotype" w:eastAsia="Palatino Linotype" w:hAnsi="Palatino Linotype" w:cs="Palatino Linotype"/>
          <w:color w:val="000000"/>
        </w:rPr>
        <w:t>de acuerdo el Programa Anual de Obra, para lo cual se consideró la celebración de un contrato adjudicado a través de Licitación Pública, como se advierte en líneas anteriores.</w:t>
      </w:r>
    </w:p>
    <w:p w14:paraId="7A6CE694" w14:textId="77777777" w:rsidR="004358B2" w:rsidRPr="000D7B75" w:rsidRDefault="004358B2">
      <w:pPr>
        <w:pBdr>
          <w:top w:val="nil"/>
          <w:left w:val="nil"/>
          <w:bottom w:val="nil"/>
          <w:right w:val="nil"/>
          <w:between w:val="nil"/>
        </w:pBdr>
        <w:ind w:left="720" w:right="-591"/>
        <w:rPr>
          <w:rFonts w:ascii="Palatino Linotype" w:eastAsia="Palatino Linotype" w:hAnsi="Palatino Linotype" w:cs="Palatino Linotype"/>
          <w:color w:val="000000"/>
        </w:rPr>
      </w:pPr>
    </w:p>
    <w:p w14:paraId="3ED6AB42" w14:textId="77777777" w:rsidR="004358B2" w:rsidRPr="000D7B75" w:rsidRDefault="00C37ACC">
      <w:pPr>
        <w:numPr>
          <w:ilvl w:val="0"/>
          <w:numId w:val="5"/>
        </w:numPr>
        <w:pBdr>
          <w:top w:val="nil"/>
          <w:left w:val="nil"/>
          <w:bottom w:val="nil"/>
          <w:right w:val="nil"/>
          <w:between w:val="nil"/>
        </w:pBdr>
        <w:spacing w:after="240" w:line="360" w:lineRule="auto"/>
        <w:ind w:left="0" w:right="-591" w:firstLine="0"/>
        <w:jc w:val="both"/>
        <w:rPr>
          <w:color w:val="000000"/>
        </w:rPr>
      </w:pPr>
      <w:r w:rsidRPr="000D7B75">
        <w:rPr>
          <w:rFonts w:ascii="Palatino Linotype" w:eastAsia="Palatino Linotype" w:hAnsi="Palatino Linotype" w:cs="Palatino Linotype"/>
          <w:color w:val="000000"/>
        </w:rPr>
        <w:t>En este contexto, es oportuno traer a colación el Reglamento del Libro Décimo Segundo del Código Administrativo del Estado de México y Municipios, cuyo objeto consiste en regular los actos relativos a la planeación, programación, presupuestación, adjudicación, contratación, ejecución y control de la obra pública, así como los servicios relacionados con la misma que, por sí o por conducto de terceros, realicen las secretarías y unidades administrativas del Poder Ejecutivo del Estado; la Fiscalía General de Justicia; los ayuntamientos de los municipios del Estado; los organismos auxiliares y fideicomisos públicos del Estado y municipios; y los tribunales administrativos, en cuyos artículos 20, 104, 230, 231, 232, disponen lo siguiente en su parte conducente:</w:t>
      </w:r>
    </w:p>
    <w:p w14:paraId="4C74E79B" w14:textId="77777777" w:rsidR="004358B2" w:rsidRPr="000D7B75" w:rsidRDefault="00C37ACC">
      <w:pPr>
        <w:spacing w:before="120" w:after="120"/>
        <w:ind w:left="1135" w:right="-591"/>
        <w:jc w:val="both"/>
        <w:rPr>
          <w:rFonts w:ascii="Palatino Linotype" w:eastAsia="Palatino Linotype" w:hAnsi="Palatino Linotype" w:cs="Palatino Linotype"/>
          <w:i/>
          <w:iCs/>
        </w:rPr>
      </w:pPr>
      <w:r w:rsidRPr="000D7B75">
        <w:rPr>
          <w:rFonts w:ascii="Palatino Linotype" w:eastAsia="Palatino Linotype" w:hAnsi="Palatino Linotype" w:cs="Palatino Linotype"/>
          <w:b/>
          <w:bCs/>
          <w:i/>
          <w:iCs/>
        </w:rPr>
        <w:t>“Artículo 20</w:t>
      </w:r>
      <w:r w:rsidRPr="000D7B75">
        <w:rPr>
          <w:rFonts w:ascii="Palatino Linotype" w:eastAsia="Palatino Linotype" w:hAnsi="Palatino Linotype" w:cs="Palatino Linotype"/>
          <w:i/>
          <w:iCs/>
        </w:rPr>
        <w:t>.- Las dependencias, entidades y, en su caso, los ayuntamientos, al formular el presupuesto específico de una obra o servicio, considerarán lo siguiente:</w:t>
      </w:r>
    </w:p>
    <w:p w14:paraId="3BE5FCFA" w14:textId="77777777" w:rsidR="004358B2" w:rsidRPr="000D7B75" w:rsidRDefault="00C37ACC">
      <w:pPr>
        <w:spacing w:before="120" w:after="120"/>
        <w:ind w:left="1135" w:right="-591"/>
        <w:jc w:val="both"/>
        <w:rPr>
          <w:rFonts w:ascii="Palatino Linotype" w:eastAsia="Palatino Linotype" w:hAnsi="Palatino Linotype" w:cs="Palatino Linotype"/>
          <w:i/>
          <w:iCs/>
        </w:rPr>
      </w:pPr>
      <w:r w:rsidRPr="000D7B75">
        <w:rPr>
          <w:rFonts w:ascii="Palatino Linotype" w:eastAsia="Palatino Linotype" w:hAnsi="Palatino Linotype" w:cs="Palatino Linotype"/>
          <w:i/>
          <w:iCs/>
        </w:rPr>
        <w:t>...</w:t>
      </w:r>
    </w:p>
    <w:p w14:paraId="0126CA3B" w14:textId="77777777" w:rsidR="004358B2" w:rsidRPr="000D7B75" w:rsidRDefault="00C37ACC">
      <w:pPr>
        <w:spacing w:before="120" w:after="120"/>
        <w:ind w:left="1135" w:right="-591"/>
        <w:jc w:val="both"/>
        <w:rPr>
          <w:rFonts w:ascii="Palatino Linotype" w:eastAsia="Palatino Linotype" w:hAnsi="Palatino Linotype" w:cs="Palatino Linotype"/>
          <w:i/>
          <w:iCs/>
        </w:rPr>
      </w:pPr>
      <w:r w:rsidRPr="000D7B75">
        <w:rPr>
          <w:rFonts w:ascii="Palatino Linotype" w:eastAsia="Palatino Linotype" w:hAnsi="Palatino Linotype" w:cs="Palatino Linotype"/>
          <w:b/>
          <w:bCs/>
          <w:i/>
          <w:iCs/>
        </w:rPr>
        <w:t>I.</w:t>
      </w:r>
      <w:r w:rsidRPr="000D7B75">
        <w:rPr>
          <w:rFonts w:ascii="Palatino Linotype" w:eastAsia="Palatino Linotype" w:hAnsi="Palatino Linotype" w:cs="Palatino Linotype"/>
          <w:i/>
          <w:iCs/>
        </w:rPr>
        <w:t xml:space="preserve"> Las fechas previstas de inicio y término de la obra;</w:t>
      </w:r>
    </w:p>
    <w:p w14:paraId="4828F0E1" w14:textId="77777777" w:rsidR="004358B2" w:rsidRPr="000D7B75" w:rsidRDefault="00C37ACC">
      <w:pPr>
        <w:spacing w:before="120" w:after="120"/>
        <w:ind w:left="1135" w:right="-591"/>
        <w:jc w:val="both"/>
        <w:rPr>
          <w:rFonts w:ascii="Palatino Linotype" w:eastAsia="Palatino Linotype" w:hAnsi="Palatino Linotype" w:cs="Palatino Linotype"/>
          <w:i/>
          <w:iCs/>
        </w:rPr>
      </w:pPr>
      <w:r w:rsidRPr="000D7B75">
        <w:rPr>
          <w:rFonts w:ascii="Palatino Linotype" w:eastAsia="Palatino Linotype" w:hAnsi="Palatino Linotype" w:cs="Palatino Linotype"/>
          <w:i/>
          <w:iCs/>
        </w:rPr>
        <w:t>...</w:t>
      </w:r>
    </w:p>
    <w:p w14:paraId="65ADD176" w14:textId="77777777" w:rsidR="004358B2" w:rsidRPr="000D7B75" w:rsidRDefault="00C37ACC">
      <w:pPr>
        <w:spacing w:before="120" w:after="120"/>
        <w:ind w:left="1135" w:right="-591"/>
        <w:jc w:val="both"/>
        <w:rPr>
          <w:rFonts w:ascii="Palatino Linotype" w:eastAsia="Palatino Linotype" w:hAnsi="Palatino Linotype" w:cs="Palatino Linotype"/>
          <w:i/>
          <w:iCs/>
        </w:rPr>
      </w:pPr>
      <w:r w:rsidRPr="000D7B75">
        <w:rPr>
          <w:rFonts w:ascii="Palatino Linotype" w:eastAsia="Palatino Linotype" w:hAnsi="Palatino Linotype" w:cs="Palatino Linotype"/>
          <w:b/>
          <w:bCs/>
          <w:i/>
          <w:iCs/>
        </w:rPr>
        <w:t>Artículo 104</w:t>
      </w:r>
      <w:r w:rsidRPr="000D7B75">
        <w:rPr>
          <w:rFonts w:ascii="Palatino Linotype" w:eastAsia="Palatino Linotype" w:hAnsi="Palatino Linotype" w:cs="Palatino Linotype"/>
          <w:i/>
          <w:iCs/>
        </w:rPr>
        <w:t>.- Los contratos de obra pública y servicios contendrán, como mínimo:</w:t>
      </w:r>
    </w:p>
    <w:p w14:paraId="58498C7C" w14:textId="77777777" w:rsidR="004358B2" w:rsidRPr="000D7B75" w:rsidRDefault="00C37ACC">
      <w:pPr>
        <w:spacing w:before="120" w:after="120"/>
        <w:ind w:left="1135" w:right="-591"/>
        <w:jc w:val="both"/>
        <w:rPr>
          <w:rFonts w:ascii="Palatino Linotype" w:eastAsia="Palatino Linotype" w:hAnsi="Palatino Linotype" w:cs="Palatino Linotype"/>
          <w:i/>
          <w:iCs/>
        </w:rPr>
      </w:pPr>
      <w:r w:rsidRPr="000D7B75">
        <w:rPr>
          <w:rFonts w:ascii="Palatino Linotype" w:eastAsia="Palatino Linotype" w:hAnsi="Palatino Linotype" w:cs="Palatino Linotype"/>
          <w:i/>
          <w:iCs/>
        </w:rPr>
        <w:t>...</w:t>
      </w:r>
    </w:p>
    <w:p w14:paraId="189F4B1D" w14:textId="77777777" w:rsidR="004358B2" w:rsidRPr="000D7B75" w:rsidRDefault="00C37ACC">
      <w:pPr>
        <w:spacing w:before="120" w:after="120"/>
        <w:ind w:left="1135" w:right="-591"/>
        <w:jc w:val="both"/>
        <w:rPr>
          <w:rFonts w:ascii="Palatino Linotype" w:eastAsia="Palatino Linotype" w:hAnsi="Palatino Linotype" w:cs="Palatino Linotype"/>
          <w:i/>
          <w:iCs/>
        </w:rPr>
      </w:pPr>
      <w:r w:rsidRPr="000D7B75">
        <w:rPr>
          <w:rFonts w:ascii="Palatino Linotype" w:eastAsia="Palatino Linotype" w:hAnsi="Palatino Linotype" w:cs="Palatino Linotype"/>
          <w:b/>
          <w:bCs/>
          <w:i/>
          <w:iCs/>
        </w:rPr>
        <w:lastRenderedPageBreak/>
        <w:t>V</w:t>
      </w:r>
      <w:r w:rsidRPr="000D7B75">
        <w:rPr>
          <w:rFonts w:ascii="Palatino Linotype" w:eastAsia="Palatino Linotype" w:hAnsi="Palatino Linotype" w:cs="Palatino Linotype"/>
          <w:i/>
          <w:iCs/>
        </w:rPr>
        <w:t xml:space="preserve">. </w:t>
      </w:r>
      <w:r w:rsidRPr="000D7B75">
        <w:rPr>
          <w:rFonts w:ascii="Palatino Linotype" w:eastAsia="Palatino Linotype" w:hAnsi="Palatino Linotype" w:cs="Palatino Linotype"/>
          <w:b/>
          <w:bCs/>
          <w:i/>
          <w:iCs/>
        </w:rPr>
        <w:t>El plazo de ejecución de los trabajos</w:t>
      </w:r>
      <w:r w:rsidRPr="000D7B75">
        <w:rPr>
          <w:rFonts w:ascii="Palatino Linotype" w:eastAsia="Palatino Linotype" w:hAnsi="Palatino Linotype" w:cs="Palatino Linotype"/>
          <w:i/>
          <w:iCs/>
        </w:rPr>
        <w:t xml:space="preserve"> determinado en días naturales, indicando la fecha de inicio y término de los mismos, así como </w:t>
      </w:r>
      <w:r w:rsidRPr="000D7B75">
        <w:rPr>
          <w:rFonts w:ascii="Palatino Linotype" w:eastAsia="Palatino Linotype" w:hAnsi="Palatino Linotype" w:cs="Palatino Linotype"/>
          <w:b/>
          <w:bCs/>
          <w:i/>
          <w:iCs/>
        </w:rPr>
        <w:t xml:space="preserve">el plazo para la recepción física de los trabajos </w:t>
      </w:r>
      <w:r w:rsidRPr="000D7B75">
        <w:rPr>
          <w:rFonts w:ascii="Palatino Linotype" w:eastAsia="Palatino Linotype" w:hAnsi="Palatino Linotype" w:cs="Palatino Linotype"/>
          <w:i/>
          <w:iCs/>
        </w:rPr>
        <w:t>y la elaboración del finiquito, los cuales deben ser establecidos de acuerdo con las características, complejidad y magnitud de los trabajos;</w:t>
      </w:r>
    </w:p>
    <w:p w14:paraId="321157C0" w14:textId="77777777" w:rsidR="004358B2" w:rsidRPr="000D7B75" w:rsidRDefault="00C37ACC">
      <w:pPr>
        <w:spacing w:before="120" w:after="120"/>
        <w:ind w:left="1135" w:right="-591"/>
        <w:jc w:val="both"/>
        <w:rPr>
          <w:rFonts w:ascii="Palatino Linotype" w:eastAsia="Palatino Linotype" w:hAnsi="Palatino Linotype" w:cs="Palatino Linotype"/>
          <w:i/>
          <w:iCs/>
        </w:rPr>
      </w:pPr>
      <w:r w:rsidRPr="000D7B75">
        <w:rPr>
          <w:rFonts w:ascii="Palatino Linotype" w:eastAsia="Palatino Linotype" w:hAnsi="Palatino Linotype" w:cs="Palatino Linotype"/>
          <w:i/>
          <w:iCs/>
        </w:rPr>
        <w:t>...</w:t>
      </w:r>
    </w:p>
    <w:p w14:paraId="5E602DC6" w14:textId="77777777" w:rsidR="004358B2" w:rsidRPr="000D7B75" w:rsidRDefault="00C37ACC">
      <w:pPr>
        <w:spacing w:before="120" w:after="120"/>
        <w:ind w:left="1135" w:right="-591"/>
        <w:jc w:val="both"/>
        <w:rPr>
          <w:rFonts w:ascii="Palatino Linotype" w:eastAsia="Palatino Linotype" w:hAnsi="Palatino Linotype" w:cs="Palatino Linotype"/>
          <w:i/>
          <w:iCs/>
        </w:rPr>
      </w:pPr>
      <w:r w:rsidRPr="000D7B75">
        <w:rPr>
          <w:rFonts w:ascii="Palatino Linotype" w:eastAsia="Palatino Linotype" w:hAnsi="Palatino Linotype" w:cs="Palatino Linotype"/>
          <w:b/>
          <w:bCs/>
          <w:i/>
          <w:iCs/>
        </w:rPr>
        <w:t>Artículo 230</w:t>
      </w:r>
      <w:r w:rsidRPr="000D7B75">
        <w:rPr>
          <w:rFonts w:ascii="Palatino Linotype" w:eastAsia="Palatino Linotype" w:hAnsi="Palatino Linotype" w:cs="Palatino Linotype"/>
          <w:i/>
          <w:iCs/>
        </w:rPr>
        <w:t xml:space="preserve">.- Para iniciar el procedimiento de recepción de los trabajos, </w:t>
      </w:r>
      <w:r w:rsidRPr="000D7B75">
        <w:rPr>
          <w:rFonts w:ascii="Palatino Linotype" w:eastAsia="Palatino Linotype" w:hAnsi="Palatino Linotype" w:cs="Palatino Linotype"/>
          <w:b/>
          <w:bCs/>
          <w:i/>
          <w:iCs/>
        </w:rPr>
        <w:t xml:space="preserve">el contratista deberá notificar al contratante la terminación de los mismos mediante la bitácora y por escrito, </w:t>
      </w:r>
      <w:r w:rsidRPr="000D7B75">
        <w:rPr>
          <w:rFonts w:ascii="Palatino Linotype" w:eastAsia="Palatino Linotype" w:hAnsi="Palatino Linotype" w:cs="Palatino Linotype"/>
          <w:i/>
          <w:iCs/>
        </w:rPr>
        <w:t>anexando los documentos de soporte que incluye una relación de las estimaciones o de gastos aprobados, monto ejercido y créditos a favor o en contra.</w:t>
      </w:r>
    </w:p>
    <w:p w14:paraId="2AC8FAA5" w14:textId="77777777" w:rsidR="004358B2" w:rsidRPr="000D7B75" w:rsidRDefault="00C37ACC">
      <w:pPr>
        <w:spacing w:before="120" w:after="120"/>
        <w:ind w:left="1135" w:right="-591"/>
        <w:jc w:val="both"/>
        <w:rPr>
          <w:rFonts w:ascii="Palatino Linotype" w:eastAsia="Palatino Linotype" w:hAnsi="Palatino Linotype" w:cs="Palatino Linotype"/>
          <w:i/>
          <w:iCs/>
        </w:rPr>
      </w:pPr>
      <w:r w:rsidRPr="000D7B75">
        <w:rPr>
          <w:rFonts w:ascii="Palatino Linotype" w:eastAsia="Palatino Linotype" w:hAnsi="Palatino Linotype" w:cs="Palatino Linotype"/>
          <w:b/>
          <w:bCs/>
          <w:i/>
          <w:iCs/>
        </w:rPr>
        <w:t>Artículo 231</w:t>
      </w:r>
      <w:r w:rsidRPr="000D7B75">
        <w:rPr>
          <w:rFonts w:ascii="Palatino Linotype" w:eastAsia="Palatino Linotype" w:hAnsi="Palatino Linotype" w:cs="Palatino Linotype"/>
          <w:i/>
          <w:iCs/>
        </w:rPr>
        <w:t xml:space="preserve">.- Si, </w:t>
      </w:r>
      <w:r w:rsidRPr="000D7B75">
        <w:rPr>
          <w:rFonts w:ascii="Palatino Linotype" w:eastAsia="Palatino Linotype" w:hAnsi="Palatino Linotype" w:cs="Palatino Linotype"/>
          <w:b/>
          <w:bCs/>
          <w:i/>
          <w:iCs/>
          <w:u w:val="single"/>
        </w:rPr>
        <w:t>durante la verificación de los trabajos, el contratante observa deficiencias, deberá solicitar al contratista que realice las correcciones o reparaciones conforme a lo establecido en el contrato</w:t>
      </w:r>
      <w:r w:rsidRPr="000D7B75">
        <w:rPr>
          <w:rFonts w:ascii="Palatino Linotype" w:eastAsia="Palatino Linotype" w:hAnsi="Palatino Linotype" w:cs="Palatino Linotype"/>
          <w:b/>
          <w:bCs/>
          <w:i/>
          <w:iCs/>
        </w:rPr>
        <w:t>.</w:t>
      </w:r>
      <w:r w:rsidRPr="000D7B75">
        <w:rPr>
          <w:rFonts w:ascii="Palatino Linotype" w:eastAsia="Palatino Linotype" w:hAnsi="Palatino Linotype" w:cs="Palatino Linotype"/>
          <w:i/>
          <w:iCs/>
        </w:rPr>
        <w:t xml:space="preserve"> </w:t>
      </w:r>
    </w:p>
    <w:p w14:paraId="7B444D20" w14:textId="77777777" w:rsidR="004358B2" w:rsidRPr="000D7B75" w:rsidRDefault="00C37ACC">
      <w:pPr>
        <w:spacing w:before="120" w:after="120"/>
        <w:ind w:left="1135" w:right="-591"/>
        <w:jc w:val="both"/>
        <w:rPr>
          <w:rFonts w:ascii="Palatino Linotype" w:eastAsia="Palatino Linotype" w:hAnsi="Palatino Linotype" w:cs="Palatino Linotype"/>
          <w:i/>
          <w:iCs/>
        </w:rPr>
      </w:pPr>
      <w:r w:rsidRPr="000D7B75">
        <w:rPr>
          <w:rFonts w:ascii="Palatino Linotype" w:eastAsia="Palatino Linotype" w:hAnsi="Palatino Linotype" w:cs="Palatino Linotype"/>
          <w:i/>
          <w:iCs/>
        </w:rPr>
        <w:t xml:space="preserve">En este caso, el </w:t>
      </w:r>
      <w:r w:rsidRPr="000D7B75">
        <w:rPr>
          <w:rFonts w:ascii="Palatino Linotype" w:eastAsia="Palatino Linotype" w:hAnsi="Palatino Linotype" w:cs="Palatino Linotype"/>
          <w:b/>
          <w:bCs/>
          <w:i/>
          <w:iCs/>
        </w:rPr>
        <w:t>plazo de verificación de los trabajos, pactado en el contrato, se podrá ampliar por el periodo que acuerden las partes para la reparación de las deficiencias.</w:t>
      </w:r>
      <w:r w:rsidRPr="000D7B75">
        <w:rPr>
          <w:rFonts w:ascii="Palatino Linotype" w:eastAsia="Palatino Linotype" w:hAnsi="Palatino Linotype" w:cs="Palatino Linotype"/>
          <w:i/>
          <w:iCs/>
        </w:rPr>
        <w:t xml:space="preserve"> Lo anterior, sin perjuicio de que el contratante opte por la rescisión del contrato. </w:t>
      </w:r>
    </w:p>
    <w:p w14:paraId="064FC5E1" w14:textId="77777777" w:rsidR="004358B2" w:rsidRPr="000D7B75" w:rsidRDefault="00C37ACC">
      <w:pPr>
        <w:spacing w:before="120" w:after="120"/>
        <w:ind w:left="1135" w:right="-591"/>
        <w:jc w:val="both"/>
        <w:rPr>
          <w:rFonts w:ascii="Palatino Linotype" w:eastAsia="Palatino Linotype" w:hAnsi="Palatino Linotype" w:cs="Palatino Linotype"/>
          <w:i/>
          <w:iCs/>
        </w:rPr>
      </w:pPr>
      <w:r w:rsidRPr="000D7B75">
        <w:rPr>
          <w:rFonts w:ascii="Palatino Linotype" w:eastAsia="Palatino Linotype" w:hAnsi="Palatino Linotype" w:cs="Palatino Linotype"/>
          <w:b/>
          <w:bCs/>
          <w:i/>
          <w:iCs/>
        </w:rPr>
        <w:t>Artículo 232</w:t>
      </w:r>
      <w:r w:rsidRPr="000D7B75">
        <w:rPr>
          <w:rFonts w:ascii="Palatino Linotype" w:eastAsia="Palatino Linotype" w:hAnsi="Palatino Linotype" w:cs="Palatino Linotype"/>
          <w:i/>
          <w:iCs/>
        </w:rPr>
        <w:t xml:space="preserve">.- En la fecha señalada, </w:t>
      </w:r>
      <w:r w:rsidRPr="000D7B75">
        <w:rPr>
          <w:rFonts w:ascii="Palatino Linotype" w:eastAsia="Palatino Linotype" w:hAnsi="Palatino Linotype" w:cs="Palatino Linotype"/>
          <w:b/>
          <w:bCs/>
          <w:i/>
          <w:iCs/>
        </w:rPr>
        <w:t>el contratante recibirá físicamente los trabajos y levantará el acta correspondiente</w:t>
      </w:r>
      <w:r w:rsidRPr="000D7B75">
        <w:rPr>
          <w:rFonts w:ascii="Palatino Linotype" w:eastAsia="Palatino Linotype" w:hAnsi="Palatino Linotype" w:cs="Palatino Linotype"/>
          <w:i/>
          <w:iCs/>
        </w:rPr>
        <w:t>, que contendrá:</w:t>
      </w:r>
    </w:p>
    <w:p w14:paraId="3D6708F4" w14:textId="77777777" w:rsidR="004358B2" w:rsidRPr="000D7B75" w:rsidRDefault="00C37ACC">
      <w:pPr>
        <w:spacing w:before="120" w:after="120"/>
        <w:ind w:left="1135" w:right="-591"/>
        <w:jc w:val="both"/>
        <w:rPr>
          <w:rFonts w:ascii="Palatino Linotype" w:eastAsia="Palatino Linotype" w:hAnsi="Palatino Linotype" w:cs="Palatino Linotype"/>
          <w:i/>
          <w:iCs/>
        </w:rPr>
      </w:pPr>
      <w:r w:rsidRPr="000D7B75">
        <w:rPr>
          <w:rFonts w:ascii="Palatino Linotype" w:eastAsia="Palatino Linotype" w:hAnsi="Palatino Linotype" w:cs="Palatino Linotype"/>
          <w:i/>
          <w:iCs/>
        </w:rPr>
        <w:t>...</w:t>
      </w:r>
    </w:p>
    <w:p w14:paraId="34CF45AB" w14:textId="77777777" w:rsidR="004358B2" w:rsidRPr="000D7B75" w:rsidRDefault="00C37ACC">
      <w:pPr>
        <w:spacing w:before="120" w:after="120"/>
        <w:ind w:left="1135" w:right="-591"/>
        <w:jc w:val="both"/>
        <w:rPr>
          <w:rFonts w:ascii="Palatino Linotype" w:eastAsia="Palatino Linotype" w:hAnsi="Palatino Linotype" w:cs="Palatino Linotype"/>
          <w:i/>
          <w:iCs/>
        </w:rPr>
      </w:pPr>
      <w:r w:rsidRPr="000D7B75">
        <w:rPr>
          <w:rFonts w:ascii="Palatino Linotype" w:eastAsia="Palatino Linotype" w:hAnsi="Palatino Linotype" w:cs="Palatino Linotype"/>
          <w:b/>
          <w:bCs/>
          <w:i/>
          <w:iCs/>
        </w:rPr>
        <w:t>IV.</w:t>
      </w:r>
      <w:r w:rsidRPr="000D7B75">
        <w:rPr>
          <w:rFonts w:ascii="Palatino Linotype" w:eastAsia="Palatino Linotype" w:hAnsi="Palatino Linotype" w:cs="Palatino Linotype"/>
          <w:i/>
          <w:iCs/>
        </w:rPr>
        <w:t xml:space="preserve"> Descripción de los trabajos que se reciben;</w:t>
      </w:r>
    </w:p>
    <w:p w14:paraId="0EB08079" w14:textId="77777777" w:rsidR="004358B2" w:rsidRPr="000D7B75" w:rsidRDefault="00C37ACC">
      <w:pPr>
        <w:spacing w:before="120" w:after="120"/>
        <w:ind w:left="1135" w:right="-591"/>
        <w:jc w:val="both"/>
        <w:rPr>
          <w:rFonts w:ascii="Palatino Linotype" w:eastAsia="Palatino Linotype" w:hAnsi="Palatino Linotype" w:cs="Palatino Linotype"/>
          <w:i/>
          <w:iCs/>
        </w:rPr>
      </w:pPr>
      <w:r w:rsidRPr="000D7B75">
        <w:rPr>
          <w:rFonts w:ascii="Palatino Linotype" w:eastAsia="Palatino Linotype" w:hAnsi="Palatino Linotype" w:cs="Palatino Linotype"/>
          <w:i/>
          <w:iCs/>
        </w:rPr>
        <w:t>...</w:t>
      </w:r>
    </w:p>
    <w:p w14:paraId="243D6326" w14:textId="77777777" w:rsidR="004358B2" w:rsidRPr="000D7B75" w:rsidRDefault="00C37ACC">
      <w:pPr>
        <w:spacing w:before="120" w:after="120"/>
        <w:ind w:left="1135" w:right="-591"/>
        <w:jc w:val="both"/>
        <w:rPr>
          <w:rFonts w:ascii="Palatino Linotype" w:eastAsia="Palatino Linotype" w:hAnsi="Palatino Linotype" w:cs="Palatino Linotype"/>
          <w:i/>
          <w:iCs/>
        </w:rPr>
      </w:pPr>
      <w:r w:rsidRPr="000D7B75">
        <w:rPr>
          <w:rFonts w:ascii="Palatino Linotype" w:eastAsia="Palatino Linotype" w:hAnsi="Palatino Linotype" w:cs="Palatino Linotype"/>
          <w:b/>
          <w:bCs/>
          <w:i/>
          <w:iCs/>
        </w:rPr>
        <w:t>VI.</w:t>
      </w:r>
      <w:r w:rsidRPr="000D7B75">
        <w:rPr>
          <w:rFonts w:ascii="Palatino Linotype" w:eastAsia="Palatino Linotype" w:hAnsi="Palatino Linotype" w:cs="Palatino Linotype"/>
          <w:i/>
          <w:iCs/>
        </w:rPr>
        <w:t xml:space="preserve"> </w:t>
      </w:r>
      <w:r w:rsidRPr="000D7B75">
        <w:rPr>
          <w:rFonts w:ascii="Palatino Linotype" w:eastAsia="Palatino Linotype" w:hAnsi="Palatino Linotype" w:cs="Palatino Linotype"/>
          <w:b/>
          <w:bCs/>
          <w:i/>
          <w:iCs/>
        </w:rPr>
        <w:t>Periodo de ejecución de los trabajos, precisando las fechas de inicio y terminación contractual y el plazo en que realmente se ejecutaron,</w:t>
      </w:r>
      <w:r w:rsidRPr="000D7B75">
        <w:rPr>
          <w:rFonts w:ascii="Palatino Linotype" w:eastAsia="Palatino Linotype" w:hAnsi="Palatino Linotype" w:cs="Palatino Linotype"/>
          <w:i/>
          <w:iCs/>
        </w:rPr>
        <w:t xml:space="preserve"> incluyendo los convenios;”</w:t>
      </w:r>
    </w:p>
    <w:p w14:paraId="62115D54" w14:textId="77777777" w:rsidR="004358B2" w:rsidRPr="000D7B75" w:rsidRDefault="004358B2">
      <w:pPr>
        <w:spacing w:before="120" w:after="120"/>
        <w:ind w:right="-591"/>
        <w:jc w:val="both"/>
        <w:rPr>
          <w:rFonts w:ascii="Palatino Linotype" w:eastAsia="Palatino Linotype" w:hAnsi="Palatino Linotype" w:cs="Palatino Linotype"/>
          <w:i/>
          <w:iCs/>
        </w:rPr>
      </w:pPr>
    </w:p>
    <w:p w14:paraId="4F364604" w14:textId="77777777" w:rsidR="004358B2" w:rsidRPr="000D7B75" w:rsidRDefault="00C37ACC">
      <w:pPr>
        <w:numPr>
          <w:ilvl w:val="0"/>
          <w:numId w:val="5"/>
        </w:numPr>
        <w:pBdr>
          <w:top w:val="nil"/>
          <w:left w:val="nil"/>
          <w:bottom w:val="nil"/>
          <w:right w:val="nil"/>
          <w:between w:val="nil"/>
        </w:pBdr>
        <w:spacing w:before="240" w:after="240" w:line="360" w:lineRule="auto"/>
        <w:ind w:left="0" w:right="-591" w:firstLine="0"/>
        <w:jc w:val="both"/>
        <w:rPr>
          <w:color w:val="000000"/>
        </w:rPr>
      </w:pPr>
      <w:r w:rsidRPr="000D7B75">
        <w:rPr>
          <w:rFonts w:ascii="Palatino Linotype" w:eastAsia="Palatino Linotype" w:hAnsi="Palatino Linotype" w:cs="Palatino Linotype"/>
          <w:color w:val="000000"/>
        </w:rPr>
        <w:t xml:space="preserve">De los preceptos citados, se desprende que al momento de formular el presupuesto para una obra, se debe considerar entre otros datos, </w:t>
      </w:r>
      <w:r w:rsidRPr="000D7B75">
        <w:rPr>
          <w:rFonts w:ascii="Palatino Linotype" w:eastAsia="Palatino Linotype" w:hAnsi="Palatino Linotype" w:cs="Palatino Linotype"/>
          <w:b/>
          <w:bCs/>
          <w:color w:val="000000"/>
        </w:rPr>
        <w:t>las características técnicas</w:t>
      </w:r>
      <w:r w:rsidRPr="000D7B75">
        <w:rPr>
          <w:rFonts w:ascii="Palatino Linotype" w:eastAsia="Palatino Linotype" w:hAnsi="Palatino Linotype" w:cs="Palatino Linotype"/>
          <w:color w:val="000000"/>
        </w:rPr>
        <w:t xml:space="preserve">, las fechas previstas de inicio y término de la obra, de igual forma, en el contrato que se celebre se debe considerar el plazo de ejecución de los trabajos, indicando la fecha de inicio y de </w:t>
      </w:r>
      <w:r w:rsidRPr="000D7B75">
        <w:rPr>
          <w:rFonts w:ascii="Palatino Linotype" w:eastAsia="Palatino Linotype" w:hAnsi="Palatino Linotype" w:cs="Palatino Linotype"/>
        </w:rPr>
        <w:t>término</w:t>
      </w:r>
      <w:r w:rsidRPr="000D7B75">
        <w:rPr>
          <w:rFonts w:ascii="Palatino Linotype" w:eastAsia="Palatino Linotype" w:hAnsi="Palatino Linotype" w:cs="Palatino Linotype"/>
          <w:color w:val="000000"/>
        </w:rPr>
        <w:t xml:space="preserve"> de los mismos, </w:t>
      </w:r>
      <w:r w:rsidRPr="000D7B75">
        <w:rPr>
          <w:rFonts w:ascii="Palatino Linotype" w:eastAsia="Palatino Linotype" w:hAnsi="Palatino Linotype" w:cs="Palatino Linotype"/>
          <w:color w:val="000000"/>
        </w:rPr>
        <w:lastRenderedPageBreak/>
        <w:t xml:space="preserve">así como el plazo para la recepción de física de los trabajos, debiendo el contratante </w:t>
      </w:r>
      <w:r w:rsidRPr="000D7B75">
        <w:rPr>
          <w:rFonts w:ascii="Palatino Linotype" w:eastAsia="Palatino Linotype" w:hAnsi="Palatino Linotype" w:cs="Palatino Linotype"/>
          <w:b/>
          <w:bCs/>
          <w:color w:val="000000"/>
        </w:rPr>
        <w:t>verificar los trabajos, y elaborar reportes de avance</w:t>
      </w:r>
      <w:r w:rsidRPr="000D7B75">
        <w:rPr>
          <w:rFonts w:ascii="Palatino Linotype" w:eastAsia="Palatino Linotype" w:hAnsi="Palatino Linotype" w:cs="Palatino Linotype"/>
          <w:color w:val="000000"/>
        </w:rPr>
        <w:t xml:space="preserve">,  a efecto de constatar que no existan deficiencias en los mismos, y en caso contrario solicitar al contratista realice las correcciones conforme a lo establecido en el contrato, finalmente, una vez que se señale una fecha para la recepción física, se debe levantar un acta, en la que se haga constar entre otros datos la descripción de los trabajos, y el periodo de ejecución, en donde se </w:t>
      </w:r>
      <w:r w:rsidRPr="000D7B75">
        <w:rPr>
          <w:rFonts w:ascii="Palatino Linotype" w:eastAsia="Palatino Linotype" w:hAnsi="Palatino Linotype" w:cs="Palatino Linotype"/>
        </w:rPr>
        <w:t>señalan</w:t>
      </w:r>
      <w:r w:rsidRPr="000D7B75">
        <w:rPr>
          <w:rFonts w:ascii="Palatino Linotype" w:eastAsia="Palatino Linotype" w:hAnsi="Palatino Linotype" w:cs="Palatino Linotype"/>
          <w:color w:val="000000"/>
        </w:rPr>
        <w:t xml:space="preserve"> las fechas de inicio y de término, así como el plazo en el cual se ejecutaron.</w:t>
      </w:r>
    </w:p>
    <w:p w14:paraId="7F14ED66" w14:textId="4480A840" w:rsidR="00A41896" w:rsidRPr="000D7B75" w:rsidRDefault="00C37ACC" w:rsidP="00A41896">
      <w:pPr>
        <w:numPr>
          <w:ilvl w:val="0"/>
          <w:numId w:val="5"/>
        </w:numPr>
        <w:pBdr>
          <w:top w:val="nil"/>
          <w:left w:val="nil"/>
          <w:bottom w:val="nil"/>
          <w:right w:val="nil"/>
          <w:between w:val="nil"/>
        </w:pBdr>
        <w:spacing w:before="240" w:line="360" w:lineRule="auto"/>
        <w:ind w:left="0" w:right="-591" w:firstLine="0"/>
        <w:jc w:val="both"/>
        <w:rPr>
          <w:color w:val="000000"/>
        </w:rPr>
      </w:pPr>
      <w:r w:rsidRPr="000D7B75">
        <w:rPr>
          <w:rFonts w:ascii="Palatino Linotype" w:eastAsia="Palatino Linotype" w:hAnsi="Palatino Linotype" w:cs="Palatino Linotype"/>
          <w:color w:val="000000"/>
        </w:rPr>
        <w:t xml:space="preserve">Es así que se concluye que no es el  </w:t>
      </w:r>
      <w:r w:rsidRPr="000D7B75">
        <w:rPr>
          <w:rFonts w:ascii="Palatino Linotype" w:eastAsia="Palatino Linotype" w:hAnsi="Palatino Linotype" w:cs="Palatino Linotype"/>
          <w:b/>
          <w:bCs/>
          <w:color w:val="000000"/>
        </w:rPr>
        <w:t xml:space="preserve">Sujeto Obligado, </w:t>
      </w:r>
      <w:r w:rsidRPr="000D7B75">
        <w:rPr>
          <w:rFonts w:ascii="Palatino Linotype" w:eastAsia="Palatino Linotype" w:hAnsi="Palatino Linotype" w:cs="Palatino Linotype"/>
          <w:color w:val="000000"/>
        </w:rPr>
        <w:t xml:space="preserve"> sino el Ayuntamiento de Ecatepec de Morelos quien enunciativamente por conducto de la Dirección de Obras Públicas, </w:t>
      </w:r>
      <w:r w:rsidRPr="000D7B75">
        <w:rPr>
          <w:rFonts w:ascii="Palatino Linotype" w:eastAsia="Palatino Linotype" w:hAnsi="Palatino Linotype" w:cs="Palatino Linotype"/>
          <w:b/>
          <w:bCs/>
          <w:color w:val="000000"/>
        </w:rPr>
        <w:t>debe contar con documentación que dé cuenta de la fecha estimada en la que se concluya la obra pública en la Red hidráulica, en la Calle 12, Colonia Rustica Xalostoc</w:t>
      </w:r>
      <w:r w:rsidR="00CD0563" w:rsidRPr="000D7B75">
        <w:rPr>
          <w:rFonts w:ascii="Palatino Linotype" w:eastAsia="Palatino Linotype" w:hAnsi="Palatino Linotype" w:cs="Palatino Linotype"/>
          <w:color w:val="000000"/>
        </w:rPr>
        <w:t>.</w:t>
      </w:r>
    </w:p>
    <w:p w14:paraId="56732A04" w14:textId="77777777" w:rsidR="00CD0563" w:rsidRPr="000D7B75" w:rsidRDefault="00CD0563" w:rsidP="00CD0563">
      <w:pPr>
        <w:pStyle w:val="Prrafodelista"/>
        <w:rPr>
          <w:color w:val="000000"/>
        </w:rPr>
      </w:pPr>
    </w:p>
    <w:p w14:paraId="44928066" w14:textId="4F731560" w:rsidR="001F146D" w:rsidRDefault="003067F9" w:rsidP="0061745A">
      <w:pPr>
        <w:pStyle w:val="Prrafodelista"/>
        <w:numPr>
          <w:ilvl w:val="0"/>
          <w:numId w:val="11"/>
        </w:numPr>
        <w:pBdr>
          <w:top w:val="nil"/>
          <w:left w:val="nil"/>
          <w:bottom w:val="nil"/>
          <w:right w:val="nil"/>
          <w:between w:val="nil"/>
        </w:pBdr>
        <w:spacing w:line="360" w:lineRule="auto"/>
        <w:ind w:right="-596"/>
        <w:jc w:val="both"/>
        <w:rPr>
          <w:rFonts w:ascii="Palatino Linotype" w:hAnsi="Palatino Linotype"/>
          <w:color w:val="000000"/>
        </w:rPr>
      </w:pPr>
      <w:r w:rsidRPr="000D7B75">
        <w:rPr>
          <w:rFonts w:ascii="Palatino Linotype" w:eastAsia="Palatino Linotype" w:hAnsi="Palatino Linotype" w:cs="Palatino Linotype"/>
          <w:color w:val="000000"/>
        </w:rPr>
        <w:t xml:space="preserve">En este mismo tenor, </w:t>
      </w:r>
      <w:r w:rsidR="0043706A" w:rsidRPr="000D7B75">
        <w:rPr>
          <w:rFonts w:ascii="Palatino Linotype" w:eastAsia="Palatino Linotype" w:hAnsi="Palatino Linotype" w:cs="Palatino Linotype"/>
          <w:color w:val="000000"/>
        </w:rPr>
        <w:t xml:space="preserve">el hecho de que el Sujeto Obligado diverso pudiera dar cuenta de la fecha de entrega de los </w:t>
      </w:r>
      <w:r w:rsidR="00103A5E" w:rsidRPr="000D7B75">
        <w:rPr>
          <w:rFonts w:ascii="Palatino Linotype" w:eastAsia="Palatino Linotype" w:hAnsi="Palatino Linotype" w:cs="Palatino Linotype"/>
          <w:color w:val="000000"/>
        </w:rPr>
        <w:t>trabajos referidos en la solicitud</w:t>
      </w:r>
      <w:r w:rsidR="00D11AED" w:rsidRPr="000D7B75">
        <w:rPr>
          <w:rFonts w:ascii="Palatino Linotype" w:eastAsia="Palatino Linotype" w:hAnsi="Palatino Linotype" w:cs="Palatino Linotype"/>
          <w:color w:val="000000"/>
        </w:rPr>
        <w:t>,</w:t>
      </w:r>
      <w:r w:rsidRPr="000D7B75">
        <w:rPr>
          <w:rFonts w:ascii="Palatino Linotype" w:eastAsia="Palatino Linotype" w:hAnsi="Palatino Linotype" w:cs="Palatino Linotype"/>
          <w:color w:val="000000"/>
        </w:rPr>
        <w:t xml:space="preserve"> </w:t>
      </w:r>
      <w:r w:rsidR="00103A5E" w:rsidRPr="000D7B75">
        <w:rPr>
          <w:rFonts w:ascii="Palatino Linotype" w:eastAsia="Palatino Linotype" w:hAnsi="Palatino Linotype" w:cs="Palatino Linotype"/>
          <w:color w:val="000000"/>
        </w:rPr>
        <w:t xml:space="preserve">no se relaciona con </w:t>
      </w:r>
      <w:r w:rsidR="00930B51" w:rsidRPr="000D7B75">
        <w:rPr>
          <w:rFonts w:ascii="Palatino Linotype" w:eastAsia="Palatino Linotype" w:hAnsi="Palatino Linotype" w:cs="Palatino Linotype"/>
          <w:color w:val="000000"/>
        </w:rPr>
        <w:t xml:space="preserve">la fecha en que la solicitante </w:t>
      </w:r>
      <w:r w:rsidR="00D11AED" w:rsidRPr="000D7B75">
        <w:rPr>
          <w:rFonts w:ascii="Palatino Linotype" w:eastAsia="Palatino Linotype" w:hAnsi="Palatino Linotype" w:cs="Palatino Linotype"/>
          <w:color w:val="000000"/>
        </w:rPr>
        <w:t xml:space="preserve">pudiera </w:t>
      </w:r>
      <w:r w:rsidR="00930B51" w:rsidRPr="000D7B75">
        <w:rPr>
          <w:rFonts w:ascii="Palatino Linotype" w:eastAsia="Palatino Linotype" w:hAnsi="Palatino Linotype" w:cs="Palatino Linotype"/>
          <w:color w:val="000000"/>
        </w:rPr>
        <w:t xml:space="preserve">contar con el servicio </w:t>
      </w:r>
      <w:r w:rsidR="00D11AED" w:rsidRPr="000D7B75">
        <w:rPr>
          <w:rFonts w:ascii="Palatino Linotype" w:eastAsia="Palatino Linotype" w:hAnsi="Palatino Linotype" w:cs="Palatino Linotype"/>
          <w:color w:val="000000"/>
        </w:rPr>
        <w:t xml:space="preserve">público, </w:t>
      </w:r>
      <w:r w:rsidR="00930B51" w:rsidRPr="000D7B75">
        <w:rPr>
          <w:rFonts w:ascii="Palatino Linotype" w:eastAsia="Palatino Linotype" w:hAnsi="Palatino Linotype" w:cs="Palatino Linotype"/>
          <w:color w:val="000000"/>
        </w:rPr>
        <w:t xml:space="preserve">ni se advierte documental que pudiera colmar </w:t>
      </w:r>
      <w:r w:rsidR="00B321BE" w:rsidRPr="000D7B75">
        <w:rPr>
          <w:rFonts w:ascii="Palatino Linotype" w:eastAsia="Palatino Linotype" w:hAnsi="Palatino Linotype" w:cs="Palatino Linotype"/>
          <w:color w:val="000000"/>
        </w:rPr>
        <w:t xml:space="preserve">con tal requerimiento de información </w:t>
      </w:r>
      <w:r w:rsidR="004F3E66" w:rsidRPr="000D7B75">
        <w:rPr>
          <w:rFonts w:ascii="Palatino Linotype" w:eastAsia="Palatino Linotype" w:hAnsi="Palatino Linotype" w:cs="Palatino Linotype"/>
          <w:color w:val="000000"/>
        </w:rPr>
        <w:t>constriñendo pues a aquel a emitir un pronunciamiento o documento ad hoc</w:t>
      </w:r>
      <w:r w:rsidR="00093209" w:rsidRPr="000D7B75">
        <w:rPr>
          <w:rFonts w:ascii="Palatino Linotype" w:eastAsia="Palatino Linotype" w:hAnsi="Palatino Linotype" w:cs="Palatino Linotype"/>
          <w:color w:val="000000"/>
        </w:rPr>
        <w:t>, es así que</w:t>
      </w:r>
      <w:r w:rsidR="000C39F1" w:rsidRPr="000D7B75">
        <w:rPr>
          <w:rFonts w:ascii="Palatino Linotype" w:eastAsia="Palatino Linotype" w:hAnsi="Palatino Linotype" w:cs="Palatino Linotype"/>
          <w:color w:val="000000"/>
        </w:rPr>
        <w:t xml:space="preserve"> </w:t>
      </w:r>
      <w:r w:rsidR="004F3E66" w:rsidRPr="000D7B75">
        <w:rPr>
          <w:rFonts w:ascii="Palatino Linotype" w:eastAsia="Palatino Linotype" w:hAnsi="Palatino Linotype" w:cs="Palatino Linotype"/>
          <w:color w:val="000000"/>
        </w:rPr>
        <w:t xml:space="preserve"> </w:t>
      </w:r>
      <w:r w:rsidR="001F146D" w:rsidRPr="000D7B75">
        <w:rPr>
          <w:rFonts w:ascii="Palatino Linotype" w:hAnsi="Palatino Linotype"/>
          <w:color w:val="000000"/>
        </w:rPr>
        <w:t>los Sujetos Obligados no tienen el deber de generar, poseer o administrar la información pública con el grado de detalle solicitado; esto es, que no tienen el deber de generar un documento ad hoc, para satisfacer el derecho de acceso a la información pública, como así lo establece el criterio 03/17 emitido por el Instituto Nacional de Transparencia, Acceso a la Información Pública y Protección de Datos Personales, los cuales señalan lo siguiente:</w:t>
      </w:r>
    </w:p>
    <w:p w14:paraId="6120BAF2" w14:textId="77777777" w:rsidR="000D7B75" w:rsidRPr="000D7B75" w:rsidRDefault="000D7B75" w:rsidP="000D7B75">
      <w:pPr>
        <w:pStyle w:val="Prrafodelista"/>
        <w:pBdr>
          <w:top w:val="nil"/>
          <w:left w:val="nil"/>
          <w:bottom w:val="nil"/>
          <w:right w:val="nil"/>
          <w:between w:val="nil"/>
        </w:pBdr>
        <w:spacing w:line="360" w:lineRule="auto"/>
        <w:ind w:left="0" w:right="-596"/>
        <w:jc w:val="both"/>
        <w:rPr>
          <w:rFonts w:ascii="Palatino Linotype" w:hAnsi="Palatino Linotype"/>
          <w:color w:val="000000"/>
        </w:rPr>
      </w:pPr>
    </w:p>
    <w:p w14:paraId="4354A6DD" w14:textId="77777777" w:rsidR="001F146D" w:rsidRPr="000D7B75" w:rsidRDefault="001F146D" w:rsidP="001F146D">
      <w:pPr>
        <w:pBdr>
          <w:top w:val="nil"/>
          <w:left w:val="nil"/>
          <w:bottom w:val="nil"/>
          <w:right w:val="nil"/>
          <w:between w:val="nil"/>
        </w:pBdr>
        <w:spacing w:line="276" w:lineRule="auto"/>
        <w:ind w:left="1134" w:right="900"/>
        <w:jc w:val="both"/>
        <w:rPr>
          <w:rFonts w:ascii="Palatino Linotype" w:hAnsi="Palatino Linotype"/>
          <w:i/>
          <w:color w:val="000000"/>
        </w:rPr>
      </w:pPr>
      <w:r w:rsidRPr="000D7B75">
        <w:rPr>
          <w:rFonts w:ascii="Palatino Linotype" w:hAnsi="Palatino Linotype"/>
          <w:i/>
          <w:color w:val="000000"/>
        </w:rPr>
        <w:lastRenderedPageBreak/>
        <w:t>03/17</w:t>
      </w:r>
    </w:p>
    <w:p w14:paraId="21925603" w14:textId="77777777" w:rsidR="001F146D" w:rsidRPr="000D7B75" w:rsidRDefault="001F146D" w:rsidP="001F146D">
      <w:pPr>
        <w:pBdr>
          <w:top w:val="nil"/>
          <w:left w:val="nil"/>
          <w:bottom w:val="nil"/>
          <w:right w:val="nil"/>
          <w:between w:val="nil"/>
        </w:pBdr>
        <w:spacing w:line="276" w:lineRule="auto"/>
        <w:ind w:left="1134" w:right="900"/>
        <w:jc w:val="both"/>
        <w:rPr>
          <w:rFonts w:ascii="Palatino Linotype" w:hAnsi="Palatino Linotype"/>
          <w:i/>
          <w:color w:val="000000"/>
        </w:rPr>
      </w:pPr>
      <w:r w:rsidRPr="000D7B75">
        <w:rPr>
          <w:rFonts w:ascii="Palatino Linotype" w:hAnsi="Palatino Linotype"/>
          <w:i/>
          <w:color w:val="000000"/>
        </w:rPr>
        <w:t>“NO EXISTE OBLIGACIÓN DE ELABORAR DOCUMENTOS AD HOC PARA ATENDER LAS SOLICITUDES DE ACCESO A LA INFORMACIÓN.</w:t>
      </w:r>
    </w:p>
    <w:p w14:paraId="05FA6FE2" w14:textId="77777777" w:rsidR="001F146D" w:rsidRPr="000D7B75" w:rsidRDefault="001F146D" w:rsidP="001F146D">
      <w:pPr>
        <w:pBdr>
          <w:top w:val="nil"/>
          <w:left w:val="nil"/>
          <w:bottom w:val="nil"/>
          <w:right w:val="nil"/>
          <w:between w:val="nil"/>
        </w:pBdr>
        <w:spacing w:line="276" w:lineRule="auto"/>
        <w:ind w:left="1134" w:right="900"/>
        <w:jc w:val="both"/>
        <w:rPr>
          <w:rFonts w:ascii="Palatino Linotype" w:hAnsi="Palatino Linotype"/>
          <w:i/>
          <w:color w:val="000000"/>
        </w:rPr>
      </w:pPr>
      <w:r w:rsidRPr="000D7B75">
        <w:rPr>
          <w:rFonts w:ascii="Palatino Linotype" w:hAnsi="Palatino Linotype"/>
          <w:i/>
          <w:color w:val="000000"/>
        </w:rPr>
        <w:t>Los artículos 129 de la Ley General de Transparencia y Acceso a la Información Pública y 130, párrafo cuarto, vigente a la fecha de la solicitud, de la Ley Federal de Transparencia y Acceso a la Información Pública, señalan que los sujetos obligados deberán otorgar acceso a los documentos que se encuentren en sus archivos o que estén obligados a documentar, de acuerdo con sus facultades, competencias o funciones, conforme a Las características físicas de la información o del lugar donde se encuentre. Por lo anterior, los sujetos obligados deben garantizar el derecho de acceso a la información del particular, proporcionando la información con la que cuentan en el formato en que la misma obre en sus archivos; sin necesidad de elaborar documentos ad hoc para atender las solicitudes de información."(Sic)</w:t>
      </w:r>
    </w:p>
    <w:p w14:paraId="73A2ECD1" w14:textId="77777777" w:rsidR="001F146D" w:rsidRPr="000D7B75" w:rsidRDefault="001F146D" w:rsidP="001F146D">
      <w:pPr>
        <w:pBdr>
          <w:top w:val="nil"/>
          <w:left w:val="nil"/>
          <w:bottom w:val="nil"/>
          <w:right w:val="nil"/>
          <w:between w:val="nil"/>
        </w:pBdr>
        <w:spacing w:line="276" w:lineRule="auto"/>
        <w:ind w:left="1134" w:right="900"/>
        <w:jc w:val="both"/>
        <w:rPr>
          <w:rFonts w:ascii="Palatino Linotype" w:hAnsi="Palatino Linotype"/>
          <w:i/>
          <w:color w:val="000000"/>
        </w:rPr>
      </w:pPr>
    </w:p>
    <w:p w14:paraId="08BB02D0" w14:textId="77777777" w:rsidR="001B3B4E" w:rsidRPr="000D7B75" w:rsidRDefault="001B3B4E" w:rsidP="001B3B4E">
      <w:pPr>
        <w:pBdr>
          <w:top w:val="nil"/>
          <w:left w:val="nil"/>
          <w:bottom w:val="nil"/>
          <w:right w:val="nil"/>
          <w:between w:val="nil"/>
        </w:pBdr>
        <w:spacing w:line="360" w:lineRule="auto"/>
        <w:ind w:right="-596"/>
        <w:jc w:val="both"/>
        <w:rPr>
          <w:rFonts w:ascii="Palatino Linotype" w:hAnsi="Palatino Linotype"/>
          <w:color w:val="000000"/>
        </w:rPr>
      </w:pPr>
    </w:p>
    <w:p w14:paraId="4957F978" w14:textId="49AD33ED" w:rsidR="00A92943" w:rsidRPr="000D7B75" w:rsidRDefault="003067F9" w:rsidP="003A3DBA">
      <w:pPr>
        <w:pStyle w:val="Prrafodelista"/>
        <w:numPr>
          <w:ilvl w:val="0"/>
          <w:numId w:val="12"/>
        </w:numPr>
        <w:spacing w:line="360" w:lineRule="auto"/>
        <w:ind w:left="0" w:right="-596" w:firstLine="0"/>
        <w:contextualSpacing w:val="0"/>
        <w:jc w:val="both"/>
        <w:rPr>
          <w:rFonts w:ascii="Palatino Linotype" w:hAnsi="Palatino Linotype" w:cs="Arial"/>
          <w:bCs/>
        </w:rPr>
      </w:pPr>
      <w:r w:rsidRPr="000D7B75">
        <w:rPr>
          <w:rFonts w:ascii="Palatino Linotype" w:eastAsia="Palatino Linotype" w:hAnsi="Palatino Linotype" w:cs="Palatino Linotype"/>
          <w:color w:val="000000"/>
        </w:rPr>
        <w:t xml:space="preserve"> </w:t>
      </w:r>
      <w:r w:rsidR="0061745A" w:rsidRPr="000D7B75">
        <w:rPr>
          <w:rFonts w:ascii="Palatino Linotype" w:hAnsi="Palatino Linotype" w:cs="Arial"/>
        </w:rPr>
        <w:t>Aunado a lo anterior</w:t>
      </w:r>
      <w:r w:rsidR="00A92943" w:rsidRPr="000D7B75">
        <w:rPr>
          <w:rFonts w:ascii="Palatino Linotype" w:hAnsi="Palatino Linotype" w:cs="Arial"/>
        </w:rPr>
        <w:t xml:space="preserve">, hay que hacer un énfasis en que </w:t>
      </w:r>
      <w:r w:rsidR="0058617E" w:rsidRPr="000D7B75">
        <w:rPr>
          <w:rFonts w:ascii="Palatino Linotype" w:eastAsia="MS Mincho" w:hAnsi="Palatino Linotype"/>
        </w:rPr>
        <w:t>tal punto</w:t>
      </w:r>
      <w:r w:rsidR="00A92943" w:rsidRPr="000D7B75">
        <w:rPr>
          <w:rFonts w:ascii="Palatino Linotype" w:hAnsi="Palatino Linotype"/>
          <w:i/>
        </w:rPr>
        <w:t xml:space="preserve">, </w:t>
      </w:r>
      <w:r w:rsidR="00A92943" w:rsidRPr="000D7B75">
        <w:rPr>
          <w:rFonts w:ascii="Palatino Linotype" w:hAnsi="Palatino Linotype" w:cs="Arial"/>
        </w:rPr>
        <w:t xml:space="preserve">no constituyen un derecho de acceso a la información pública y por lo tanto </w:t>
      </w:r>
      <w:bookmarkStart w:id="5" w:name="_Hlk197080205"/>
      <w:r w:rsidR="00A92943" w:rsidRPr="000D7B75">
        <w:rPr>
          <w:rFonts w:ascii="Palatino Linotype" w:hAnsi="Palatino Linotype" w:cs="Arial"/>
          <w:b/>
        </w:rPr>
        <w:t>no es</w:t>
      </w:r>
      <w:r w:rsidR="003779F0" w:rsidRPr="000D7B75">
        <w:rPr>
          <w:rFonts w:ascii="Palatino Linotype" w:hAnsi="Palatino Linotype" w:cs="Arial"/>
          <w:b/>
        </w:rPr>
        <w:t xml:space="preserve"> </w:t>
      </w:r>
      <w:r w:rsidR="00A92943" w:rsidRPr="000D7B75">
        <w:rPr>
          <w:rFonts w:ascii="Palatino Linotype" w:hAnsi="Palatino Linotype" w:cs="Arial"/>
          <w:b/>
        </w:rPr>
        <w:t>atendible mediante una solicitud de Acceso a la Información</w:t>
      </w:r>
      <w:r w:rsidR="00A92943" w:rsidRPr="000D7B75">
        <w:rPr>
          <w:rFonts w:ascii="Palatino Linotype" w:hAnsi="Palatino Linotype" w:cs="Arial"/>
        </w:rPr>
        <w:t xml:space="preserve">, porque se tratan de manifestaciones subjetivas vertidas por el particular, </w:t>
      </w:r>
      <w:r w:rsidR="00A92943" w:rsidRPr="000D7B75">
        <w:rPr>
          <w:rFonts w:ascii="Palatino Linotype" w:hAnsi="Palatino Linotype" w:cs="Arial"/>
          <w:b/>
        </w:rPr>
        <w:t>interrogantes</w:t>
      </w:r>
      <w:r w:rsidR="00A92943" w:rsidRPr="000D7B75">
        <w:rPr>
          <w:rFonts w:ascii="Palatino Linotype" w:hAnsi="Palatino Linotype" w:cs="Arial"/>
        </w:rPr>
        <w:t xml:space="preserve"> y declaraciones que no se colman con la entrega de documentos, situación que conlleva a afirmar que se está en presencia del ejercicio del </w:t>
      </w:r>
      <w:r w:rsidR="00A92943" w:rsidRPr="000D7B75">
        <w:rPr>
          <w:rFonts w:ascii="Palatino Linotype" w:hAnsi="Palatino Linotype" w:cs="Arial"/>
          <w:b/>
        </w:rPr>
        <w:t>DERECHO DE PETICIÓN</w:t>
      </w:r>
      <w:r w:rsidR="00A92943" w:rsidRPr="000D7B75">
        <w:rPr>
          <w:rFonts w:ascii="Palatino Linotype" w:hAnsi="Palatino Linotype" w:cs="Arial"/>
        </w:rPr>
        <w:t>.</w:t>
      </w:r>
    </w:p>
    <w:p w14:paraId="4F0A3A53" w14:textId="77777777" w:rsidR="00A92943" w:rsidRPr="000D7B75" w:rsidRDefault="00A92943" w:rsidP="00A92943">
      <w:pPr>
        <w:pStyle w:val="Prrafodelista"/>
        <w:spacing w:line="360" w:lineRule="auto"/>
        <w:ind w:left="0" w:right="27"/>
        <w:jc w:val="both"/>
        <w:rPr>
          <w:rFonts w:ascii="Palatino Linotype" w:hAnsi="Palatino Linotype"/>
        </w:rPr>
      </w:pPr>
    </w:p>
    <w:p w14:paraId="566C51CD" w14:textId="77777777" w:rsidR="00A92943" w:rsidRPr="000D7B75" w:rsidRDefault="00A92943" w:rsidP="0058617E">
      <w:pPr>
        <w:pStyle w:val="Prrafodelista"/>
        <w:numPr>
          <w:ilvl w:val="0"/>
          <w:numId w:val="12"/>
        </w:numPr>
        <w:spacing w:line="360" w:lineRule="auto"/>
        <w:ind w:left="0" w:right="-596" w:firstLine="0"/>
        <w:contextualSpacing w:val="0"/>
        <w:jc w:val="both"/>
        <w:rPr>
          <w:rFonts w:ascii="Palatino Linotype" w:hAnsi="Palatino Linotype" w:cs="Arial"/>
        </w:rPr>
      </w:pPr>
      <w:r w:rsidRPr="000D7B75">
        <w:rPr>
          <w:rFonts w:ascii="Palatino Linotype" w:hAnsi="Palatino Linotype" w:cs="Arial"/>
        </w:rPr>
        <w:t xml:space="preserve">Por lo que la entrega de una razón o un razonamiento por parte del </w:t>
      </w:r>
      <w:r w:rsidRPr="000D7B75">
        <w:rPr>
          <w:rFonts w:ascii="Palatino Linotype" w:hAnsi="Palatino Linotype" w:cs="Arial"/>
          <w:b/>
        </w:rPr>
        <w:t>Sujeto Obligado</w:t>
      </w:r>
      <w:r w:rsidRPr="000D7B75">
        <w:rPr>
          <w:rFonts w:ascii="Palatino Linotype" w:hAnsi="Palatino Linotype" w:cs="Arial"/>
        </w:rPr>
        <w:t xml:space="preserve"> no es algo que la ley establezca como atribución, derecho, o facultad; pues ello implicaría un </w:t>
      </w:r>
      <w:r w:rsidRPr="000D7B75">
        <w:rPr>
          <w:rFonts w:ascii="Palatino Linotype" w:hAnsi="Palatino Linotype" w:cs="Arial"/>
        </w:rPr>
        <w:lastRenderedPageBreak/>
        <w:t xml:space="preserve">juicio de valor referente a </w:t>
      </w:r>
      <w:r w:rsidRPr="000D7B75">
        <w:rPr>
          <w:rFonts w:ascii="Palatino Linotype" w:hAnsi="Palatino Linotype" w:cs="Arial"/>
          <w:b/>
        </w:rPr>
        <w:t>un cuestionamiento</w:t>
      </w:r>
      <w:r w:rsidRPr="000D7B75">
        <w:rPr>
          <w:rFonts w:ascii="Palatino Linotype" w:hAnsi="Palatino Linotype" w:cs="Arial"/>
        </w:rPr>
        <w:t xml:space="preserve"> realizado, los cuales, </w:t>
      </w:r>
      <w:r w:rsidRPr="000D7B75">
        <w:rPr>
          <w:rFonts w:ascii="Palatino Linotype" w:hAnsi="Palatino Linotype" w:cs="Arial"/>
          <w:b/>
        </w:rPr>
        <w:t>al constituir interrogantes</w:t>
      </w:r>
      <w:r w:rsidRPr="000D7B75">
        <w:rPr>
          <w:rFonts w:ascii="Palatino Linotype" w:hAnsi="Palatino Linotype" w:cs="Arial"/>
        </w:rPr>
        <w:t xml:space="preserve">, </w:t>
      </w:r>
      <w:r w:rsidRPr="000D7B75">
        <w:rPr>
          <w:rFonts w:ascii="Palatino Linotype" w:hAnsi="Palatino Linotype" w:cs="Arial"/>
          <w:b/>
        </w:rPr>
        <w:t>inquietudes</w:t>
      </w:r>
      <w:r w:rsidRPr="000D7B75">
        <w:rPr>
          <w:rFonts w:ascii="Palatino Linotype" w:hAnsi="Palatino Linotype" w:cs="Arial"/>
        </w:rPr>
        <w:t xml:space="preserve"> y manifestaciones se satisfacen vía derecho de petición.</w:t>
      </w:r>
    </w:p>
    <w:bookmarkEnd w:id="5"/>
    <w:p w14:paraId="148B0289" w14:textId="77777777" w:rsidR="00A92943" w:rsidRPr="000D7B75" w:rsidRDefault="00A92943" w:rsidP="00A92943">
      <w:pPr>
        <w:spacing w:line="360" w:lineRule="auto"/>
        <w:ind w:right="27"/>
        <w:jc w:val="both"/>
        <w:rPr>
          <w:rFonts w:ascii="Palatino Linotype" w:hAnsi="Palatino Linotype" w:cs="Arial"/>
        </w:rPr>
      </w:pPr>
    </w:p>
    <w:p w14:paraId="33ED0C2D" w14:textId="77777777" w:rsidR="00A92943" w:rsidRPr="000D7B75" w:rsidRDefault="00A92943" w:rsidP="0058617E">
      <w:pPr>
        <w:pStyle w:val="Prrafodelista"/>
        <w:numPr>
          <w:ilvl w:val="0"/>
          <w:numId w:val="12"/>
        </w:numPr>
        <w:spacing w:line="360" w:lineRule="auto"/>
        <w:ind w:left="0" w:right="-596" w:firstLine="0"/>
        <w:contextualSpacing w:val="0"/>
        <w:jc w:val="both"/>
        <w:rPr>
          <w:rFonts w:ascii="Palatino Linotype" w:hAnsi="Palatino Linotype" w:cs="Arial"/>
        </w:rPr>
      </w:pPr>
      <w:r w:rsidRPr="000D7B75">
        <w:rPr>
          <w:rFonts w:ascii="Palatino Linotype" w:hAnsi="Palatino Linotype" w:cs="Arial"/>
        </w:rPr>
        <w:t>Asimismo, se puede advertir que el ejercicio del derecho de acceso a la información pública se centra en la potestad de los particulares para conocer el contenido de los documentos que obren en los archivos de los Sujetos Obligados, ya sea porque los generen, administren o simplemente los posean en el ejercicio de sus atribuciones.</w:t>
      </w:r>
    </w:p>
    <w:p w14:paraId="27F8DBFD" w14:textId="77777777" w:rsidR="00A92943" w:rsidRPr="000D7B75" w:rsidRDefault="00A92943" w:rsidP="00A92943">
      <w:pPr>
        <w:spacing w:line="360" w:lineRule="auto"/>
        <w:ind w:right="27"/>
        <w:jc w:val="both"/>
        <w:rPr>
          <w:rFonts w:ascii="Palatino Linotype" w:hAnsi="Palatino Linotype" w:cs="Arial"/>
        </w:rPr>
      </w:pPr>
    </w:p>
    <w:p w14:paraId="111C30E3" w14:textId="77777777" w:rsidR="00A92943" w:rsidRPr="000D7B75" w:rsidRDefault="00A92943" w:rsidP="0058617E">
      <w:pPr>
        <w:pStyle w:val="Prrafodelista"/>
        <w:numPr>
          <w:ilvl w:val="0"/>
          <w:numId w:val="12"/>
        </w:numPr>
        <w:spacing w:line="360" w:lineRule="auto"/>
        <w:ind w:left="0" w:right="-596" w:firstLine="0"/>
        <w:contextualSpacing w:val="0"/>
        <w:jc w:val="both"/>
        <w:rPr>
          <w:rFonts w:ascii="Palatino Linotype" w:hAnsi="Palatino Linotype" w:cs="Arial"/>
        </w:rPr>
      </w:pPr>
      <w:r w:rsidRPr="000D7B75">
        <w:rPr>
          <w:rFonts w:ascii="Palatino Linotype" w:hAnsi="Palatino Linotype" w:cs="Arial"/>
        </w:rPr>
        <w:t xml:space="preserve">Para ello, la Ley de la materia otorga la calidad de documento a los expedientes, reportes, estudios, actas, resoluciones, oficios, correspondencia, acuerdos, directivas, directrices, circulares, contratos, convenios, instructivos, notas, memorandos, estadísticas o bien, </w:t>
      </w:r>
      <w:r w:rsidRPr="000D7B75">
        <w:rPr>
          <w:rFonts w:ascii="Palatino Linotype" w:hAnsi="Palatino Linotype" w:cs="Arial"/>
          <w:b/>
        </w:rPr>
        <w:t>cualquier otro registro que documente el ejercicio de las facultades, funciones y competencias de los Sujetos Obligados</w:t>
      </w:r>
      <w:r w:rsidRPr="000D7B75">
        <w:rPr>
          <w:rFonts w:ascii="Palatino Linotype" w:hAnsi="Palatino Linotype" w:cs="Arial"/>
        </w:rPr>
        <w:t>, sus servidores públicos e integrantes, sin importar su fuente o fecha de elaboración. Los documentos podrán estar en cualquier medio, sea escrito, impreso, sonoro, visual, electrónico, informático u holográfico.</w:t>
      </w:r>
    </w:p>
    <w:p w14:paraId="018C1BE2" w14:textId="77777777" w:rsidR="00A92943" w:rsidRPr="000D7B75" w:rsidRDefault="00A92943" w:rsidP="00A92943">
      <w:pPr>
        <w:spacing w:line="360" w:lineRule="auto"/>
        <w:ind w:right="27"/>
        <w:jc w:val="both"/>
        <w:rPr>
          <w:rFonts w:ascii="Palatino Linotype" w:hAnsi="Palatino Linotype" w:cs="Arial"/>
        </w:rPr>
      </w:pPr>
    </w:p>
    <w:p w14:paraId="77164F0B" w14:textId="77777777" w:rsidR="00A92943" w:rsidRPr="000D7B75" w:rsidRDefault="00A92943" w:rsidP="0058617E">
      <w:pPr>
        <w:pStyle w:val="Prrafodelista"/>
        <w:numPr>
          <w:ilvl w:val="0"/>
          <w:numId w:val="12"/>
        </w:numPr>
        <w:spacing w:line="360" w:lineRule="auto"/>
        <w:ind w:left="0" w:right="-596" w:firstLine="0"/>
        <w:contextualSpacing w:val="0"/>
        <w:jc w:val="both"/>
        <w:rPr>
          <w:rFonts w:ascii="Palatino Linotype" w:hAnsi="Palatino Linotype" w:cs="Arial"/>
          <w:b/>
        </w:rPr>
      </w:pPr>
      <w:r w:rsidRPr="000D7B75">
        <w:rPr>
          <w:rFonts w:ascii="Palatino Linotype" w:hAnsi="Palatino Linotype" w:cs="Arial"/>
        </w:rPr>
        <w:t xml:space="preserve">De lo anterior, se puede concluir que la distinción entre el derecho de petición y el derecho de acceso a la información pública estriba principalmente en que en el primero de ellos, </w:t>
      </w:r>
      <w:r w:rsidRPr="000D7B75">
        <w:rPr>
          <w:rFonts w:ascii="Palatino Linotype" w:hAnsi="Palatino Linotype" w:cs="Arial"/>
          <w:color w:val="000000"/>
        </w:rPr>
        <w:t xml:space="preserve">la pretensión del peticionario consiste generalmente en obligar a la autoridad responsable a que actúe en el sentido de contestar lo solicitado, mientras que en el </w:t>
      </w:r>
      <w:r w:rsidRPr="000D7B75">
        <w:rPr>
          <w:rFonts w:ascii="Palatino Linotype" w:hAnsi="Palatino Linotype" w:cs="Arial"/>
          <w:bCs/>
          <w:lang w:eastAsia="es-CO"/>
        </w:rPr>
        <w:t xml:space="preserve">segundo supuesto </w:t>
      </w:r>
      <w:r w:rsidRPr="000D7B75">
        <w:rPr>
          <w:rFonts w:ascii="Palatino Linotype" w:hAnsi="Palatino Linotype" w:cs="Arial"/>
          <w:b/>
          <w:bCs/>
          <w:lang w:eastAsia="es-CO"/>
        </w:rPr>
        <w:t>la solicitud de acceso a la información pública se encamina primordialmente a</w:t>
      </w:r>
      <w:r w:rsidRPr="000D7B75">
        <w:rPr>
          <w:rFonts w:ascii="Palatino Linotype" w:hAnsi="Palatino Linotype" w:cs="Arial"/>
          <w:b/>
        </w:rPr>
        <w:t xml:space="preserve"> permitir el </w:t>
      </w:r>
      <w:r w:rsidRPr="000D7B75">
        <w:rPr>
          <w:rFonts w:ascii="Palatino Linotype" w:hAnsi="Palatino Linotype" w:cs="Arial"/>
          <w:b/>
          <w:lang w:eastAsia="es-CO"/>
        </w:rPr>
        <w:t xml:space="preserve">acceso a datos, registros y todo tipo de información pública que conste en documentos, sea generada o se encuentre en posesión de </w:t>
      </w:r>
      <w:r w:rsidRPr="000D7B75">
        <w:rPr>
          <w:rFonts w:ascii="Palatino Linotype" w:hAnsi="Palatino Linotype" w:cs="Arial"/>
          <w:b/>
        </w:rPr>
        <w:t xml:space="preserve">la autoridad. </w:t>
      </w:r>
    </w:p>
    <w:p w14:paraId="01C2E634" w14:textId="77777777" w:rsidR="00A92943" w:rsidRPr="000D7B75" w:rsidRDefault="00A92943" w:rsidP="0058617E">
      <w:pPr>
        <w:pStyle w:val="Prrafodelista"/>
        <w:numPr>
          <w:ilvl w:val="0"/>
          <w:numId w:val="12"/>
        </w:numPr>
        <w:spacing w:line="360" w:lineRule="auto"/>
        <w:ind w:left="0" w:right="-596" w:firstLine="0"/>
        <w:contextualSpacing w:val="0"/>
        <w:jc w:val="both"/>
        <w:rPr>
          <w:rFonts w:ascii="Palatino Linotype" w:hAnsi="Palatino Linotype"/>
        </w:rPr>
      </w:pPr>
      <w:r w:rsidRPr="000D7B75">
        <w:rPr>
          <w:rFonts w:ascii="Palatino Linotype" w:hAnsi="Palatino Linotype"/>
        </w:rPr>
        <w:lastRenderedPageBreak/>
        <w:t>Sobre el particular, cabe traer a colación los artículos 2°, fracción II; 3°, fracción XI y 18, de la Ley de Transparencia y Acceso a la Información Pública del Estado de México y Municipios; los cuales disponen lo siguiente:</w:t>
      </w:r>
    </w:p>
    <w:p w14:paraId="5E4B8A58" w14:textId="77777777" w:rsidR="00A92943" w:rsidRPr="000D7B75" w:rsidRDefault="00A92943" w:rsidP="00A92943">
      <w:pPr>
        <w:pStyle w:val="Prrafodelista"/>
        <w:numPr>
          <w:ilvl w:val="1"/>
          <w:numId w:val="12"/>
        </w:numPr>
        <w:spacing w:line="360" w:lineRule="auto"/>
        <w:ind w:right="27"/>
        <w:contextualSpacing w:val="0"/>
        <w:jc w:val="both"/>
        <w:rPr>
          <w:rFonts w:ascii="Palatino Linotype" w:hAnsi="Palatino Linotype"/>
          <w:i/>
        </w:rPr>
      </w:pPr>
      <w:r w:rsidRPr="000D7B75">
        <w:rPr>
          <w:rFonts w:ascii="Palatino Linotype" w:hAnsi="Palatino Linotype"/>
          <w:i/>
        </w:rPr>
        <w:t>Que uno de los objetivos de la Ley es proveer lo necesario para garantizar a toda persona el derecho de acceso a la información pública;</w:t>
      </w:r>
    </w:p>
    <w:p w14:paraId="13073C25" w14:textId="77777777" w:rsidR="00A92943" w:rsidRPr="000D7B75" w:rsidRDefault="00A92943" w:rsidP="00A92943">
      <w:pPr>
        <w:pStyle w:val="Prrafodelista"/>
        <w:numPr>
          <w:ilvl w:val="1"/>
          <w:numId w:val="12"/>
        </w:numPr>
        <w:spacing w:line="360" w:lineRule="auto"/>
        <w:ind w:right="27"/>
        <w:contextualSpacing w:val="0"/>
        <w:jc w:val="both"/>
        <w:rPr>
          <w:rFonts w:ascii="Palatino Linotype" w:hAnsi="Palatino Linotype"/>
          <w:i/>
        </w:rPr>
      </w:pPr>
      <w:r w:rsidRPr="000D7B75">
        <w:rPr>
          <w:rFonts w:ascii="Palatino Linotype" w:hAnsi="Palatino Linotype"/>
          <w:i/>
        </w:rPr>
        <w:t>Que los documentos son los expedientes, reportes, estudios, actas, resoluciones, contratos, convenios, instructivos, notas, memorandos, estadísticas o cualquier registro que documente el ejercicio de facultades, funciones y competencia de los Sujetos Obligados, sin importar su fuente y fecha de elaboración y, por último, que los sujetos obligados deberán documentar todo acto que derive del ejercicio de sus facultades, competencias o funciones, considerando desde su origen la eventual publicidad y reutilización de la información que generan. En este orden de ideas, puede concluirse que la Ley en cita, es una ley de acceso a documentos.</w:t>
      </w:r>
    </w:p>
    <w:p w14:paraId="179B19AE" w14:textId="77777777" w:rsidR="00A92943" w:rsidRPr="000D7B75" w:rsidRDefault="00A92943" w:rsidP="00A92943">
      <w:pPr>
        <w:spacing w:line="360" w:lineRule="auto"/>
        <w:ind w:right="27"/>
        <w:jc w:val="both"/>
        <w:rPr>
          <w:rFonts w:ascii="Palatino Linotype" w:hAnsi="Palatino Linotype" w:cs="Arial"/>
          <w:color w:val="000000" w:themeColor="text1"/>
        </w:rPr>
      </w:pPr>
    </w:p>
    <w:p w14:paraId="7A26C222" w14:textId="509DBB79" w:rsidR="00A92943" w:rsidRPr="000D7B75" w:rsidRDefault="00A92943" w:rsidP="006B6372">
      <w:pPr>
        <w:pStyle w:val="Prrafodelista"/>
        <w:numPr>
          <w:ilvl w:val="0"/>
          <w:numId w:val="12"/>
        </w:numPr>
        <w:spacing w:line="360" w:lineRule="auto"/>
        <w:ind w:left="0" w:right="-596" w:firstLine="0"/>
        <w:jc w:val="both"/>
        <w:rPr>
          <w:rFonts w:ascii="Palatino Linotype" w:eastAsia="MS Mincho" w:hAnsi="Palatino Linotype" w:cs="Arial"/>
          <w:color w:val="000000"/>
        </w:rPr>
      </w:pPr>
      <w:r w:rsidRPr="000D7B75">
        <w:rPr>
          <w:rFonts w:ascii="Palatino Linotype" w:eastAsia="MS Mincho" w:hAnsi="Palatino Linotype" w:cs="Arial"/>
          <w:color w:val="000000"/>
        </w:rPr>
        <w:t xml:space="preserve">Entonces, al tratarse de un derecho de petición estamos en presencia de una consulta que se aleja del derecho de acceso a la información pública, bajo esas consideraciones, se afirma que en el recurso de revisión sujeto a estudio se actualiza la hipótesis jurídica citada, toda vez que quedó probado que </w:t>
      </w:r>
      <w:r w:rsidR="006B6372" w:rsidRPr="000D7B75">
        <w:rPr>
          <w:rFonts w:ascii="Palatino Linotype" w:eastAsia="MS Mincho" w:hAnsi="Palatino Linotype" w:cs="Arial"/>
          <w:color w:val="000000"/>
        </w:rPr>
        <w:t xml:space="preserve">en este primer punto de la </w:t>
      </w:r>
      <w:r w:rsidRPr="000D7B75">
        <w:rPr>
          <w:rFonts w:ascii="Palatino Linotype" w:eastAsia="MS Mincho" w:hAnsi="Palatino Linotype" w:cs="Arial"/>
          <w:color w:val="000000"/>
        </w:rPr>
        <w:t xml:space="preserve"> solicitud de acceso a la información que promovió la parte </w:t>
      </w:r>
      <w:r w:rsidRPr="000D7B75">
        <w:rPr>
          <w:rFonts w:ascii="Palatino Linotype" w:eastAsia="MS Mincho" w:hAnsi="Palatino Linotype" w:cs="Arial"/>
          <w:b/>
          <w:bCs/>
          <w:color w:val="000000"/>
        </w:rPr>
        <w:t>Recurrente</w:t>
      </w:r>
      <w:r w:rsidRPr="000D7B75">
        <w:rPr>
          <w:rFonts w:ascii="Palatino Linotype" w:eastAsia="MS Mincho" w:hAnsi="Palatino Linotype" w:cs="Arial"/>
          <w:color w:val="000000"/>
        </w:rPr>
        <w:t xml:space="preserve"> corresponde en parte al ejercicio de un derecho de petición y no al derecho de acceso a la información pública.</w:t>
      </w:r>
    </w:p>
    <w:p w14:paraId="564FBAD8" w14:textId="77777777" w:rsidR="006B6372" w:rsidRPr="000D7B75" w:rsidRDefault="006B6372" w:rsidP="006B6372">
      <w:pPr>
        <w:spacing w:line="360" w:lineRule="auto"/>
        <w:ind w:right="-596"/>
        <w:jc w:val="both"/>
        <w:rPr>
          <w:rFonts w:ascii="Palatino Linotype" w:eastAsia="MS Mincho" w:hAnsi="Palatino Linotype" w:cs="Arial"/>
          <w:color w:val="000000"/>
        </w:rPr>
      </w:pPr>
    </w:p>
    <w:p w14:paraId="5DC0AC2A" w14:textId="3AF4FC26" w:rsidR="004358B2" w:rsidRPr="000D7B75" w:rsidRDefault="00A86178" w:rsidP="00652D7C">
      <w:pPr>
        <w:numPr>
          <w:ilvl w:val="0"/>
          <w:numId w:val="13"/>
        </w:numPr>
        <w:pBdr>
          <w:top w:val="nil"/>
          <w:left w:val="nil"/>
          <w:bottom w:val="nil"/>
          <w:right w:val="nil"/>
          <w:between w:val="nil"/>
        </w:pBdr>
        <w:spacing w:after="240" w:line="360" w:lineRule="auto"/>
        <w:ind w:left="0" w:right="-591" w:firstLine="0"/>
        <w:jc w:val="both"/>
        <w:rPr>
          <w:color w:val="000000"/>
        </w:rPr>
      </w:pPr>
      <w:r w:rsidRPr="000D7B75">
        <w:rPr>
          <w:rFonts w:ascii="Palatino Linotype" w:eastAsia="Palatino Linotype" w:hAnsi="Palatino Linotype" w:cs="Palatino Linotype"/>
          <w:color w:val="000000"/>
        </w:rPr>
        <w:t xml:space="preserve">Ahora bien, dado que </w:t>
      </w:r>
      <w:r w:rsidR="00C37ACC" w:rsidRPr="000D7B75">
        <w:rPr>
          <w:rFonts w:ascii="Palatino Linotype" w:eastAsia="Palatino Linotype" w:hAnsi="Palatino Linotype" w:cs="Palatino Linotype"/>
          <w:color w:val="000000"/>
        </w:rPr>
        <w:t>como ente público</w:t>
      </w:r>
      <w:r w:rsidR="00C37ACC" w:rsidRPr="000D7B75">
        <w:rPr>
          <w:rFonts w:ascii="Palatino Linotype" w:eastAsia="Palatino Linotype" w:hAnsi="Palatino Linotype" w:cs="Palatino Linotype"/>
          <w:b/>
          <w:bCs/>
          <w:color w:val="000000"/>
        </w:rPr>
        <w:t xml:space="preserve"> </w:t>
      </w:r>
      <w:r w:rsidR="00C37ACC" w:rsidRPr="000D7B75">
        <w:rPr>
          <w:rFonts w:ascii="Palatino Linotype" w:eastAsia="Palatino Linotype" w:hAnsi="Palatino Linotype" w:cs="Palatino Linotype"/>
          <w:color w:val="000000"/>
        </w:rPr>
        <w:t xml:space="preserve">se encuentra obligado a </w:t>
      </w:r>
      <w:r w:rsidR="00C37ACC" w:rsidRPr="000D7B75">
        <w:rPr>
          <w:rFonts w:ascii="Palatino Linotype" w:eastAsia="Palatino Linotype" w:hAnsi="Palatino Linotype" w:cs="Palatino Linotype"/>
        </w:rPr>
        <w:t>poner</w:t>
      </w:r>
      <w:r w:rsidR="00C37ACC" w:rsidRPr="000D7B75">
        <w:rPr>
          <w:rFonts w:ascii="Palatino Linotype" w:eastAsia="Palatino Linotype" w:hAnsi="Palatino Linotype" w:cs="Palatino Linotype"/>
          <w:color w:val="000000"/>
        </w:rPr>
        <w:t xml:space="preserve"> a disposición del </w:t>
      </w:r>
      <w:r w:rsidRPr="000D7B75">
        <w:rPr>
          <w:rFonts w:ascii="Palatino Linotype" w:eastAsia="Palatino Linotype" w:hAnsi="Palatino Linotype" w:cs="Palatino Linotype"/>
          <w:color w:val="000000"/>
        </w:rPr>
        <w:t>ciudadano</w:t>
      </w:r>
      <w:r w:rsidR="00C37ACC" w:rsidRPr="000D7B75">
        <w:rPr>
          <w:rFonts w:ascii="Palatino Linotype" w:eastAsia="Palatino Linotype" w:hAnsi="Palatino Linotype" w:cs="Palatino Linotype"/>
          <w:color w:val="000000"/>
        </w:rPr>
        <w:t xml:space="preserve">, de manera permanente y actualizada en los respectivos medios electrónicos, </w:t>
      </w:r>
      <w:r w:rsidR="00C37ACC" w:rsidRPr="000D7B75">
        <w:rPr>
          <w:rFonts w:ascii="Palatino Linotype" w:eastAsia="Palatino Linotype" w:hAnsi="Palatino Linotype" w:cs="Palatino Linotype"/>
          <w:color w:val="000000"/>
        </w:rPr>
        <w:lastRenderedPageBreak/>
        <w:t>información sobre los procesos y resultados sobre procedimientos de adjudicación directa, invitación restringida y licitación de cualquier naturaleza, incluyendo la versión pública del expediente respectivo y de los contratos celebrados; como se desprende del artículo 92, fracción XXIX de la Ley de Transparencia y Acceso a la Información Pública del Estado de México y Municipios:</w:t>
      </w:r>
    </w:p>
    <w:p w14:paraId="4399C12B" w14:textId="77777777" w:rsidR="004358B2" w:rsidRPr="000D7B75" w:rsidRDefault="00C37ACC">
      <w:pPr>
        <w:ind w:left="1135" w:right="-591"/>
        <w:jc w:val="both"/>
        <w:rPr>
          <w:rFonts w:ascii="Palatino Linotype" w:eastAsia="Palatino Linotype" w:hAnsi="Palatino Linotype" w:cs="Palatino Linotype"/>
          <w:i/>
          <w:iCs/>
        </w:rPr>
      </w:pPr>
      <w:r w:rsidRPr="000D7B75">
        <w:rPr>
          <w:rFonts w:ascii="Palatino Linotype" w:eastAsia="Palatino Linotype" w:hAnsi="Palatino Linotype" w:cs="Palatino Linotype"/>
          <w:i/>
          <w:iCs/>
        </w:rPr>
        <w:t>“</w:t>
      </w:r>
      <w:r w:rsidRPr="000D7B75">
        <w:rPr>
          <w:rFonts w:ascii="Palatino Linotype" w:eastAsia="Palatino Linotype" w:hAnsi="Palatino Linotype" w:cs="Palatino Linotype"/>
          <w:b/>
          <w:bCs/>
          <w:i/>
          <w:iCs/>
        </w:rPr>
        <w:t>Artículo 92</w:t>
      </w:r>
      <w:r w:rsidRPr="000D7B75">
        <w:rPr>
          <w:rFonts w:ascii="Palatino Linotype" w:eastAsia="Palatino Linotype" w:hAnsi="Palatino Linotype" w:cs="Palatino Linotype"/>
          <w:i/>
          <w:iCs/>
        </w:rPr>
        <w:t>. Los sujetos obligados deberán poner a disposición del público de manera permanente y actualizada de forma sencilla, precisa y entendible, en los respectivos medios electrónicos, de acuerdo con sus facultades, atribuciones, funciones u objeto social, según corresponda, la información, por lo menos, de los temas, documentos y políticas que a continuación se señalan:</w:t>
      </w:r>
    </w:p>
    <w:p w14:paraId="7C945666" w14:textId="77777777" w:rsidR="004358B2" w:rsidRPr="000D7B75" w:rsidRDefault="00C37ACC">
      <w:pPr>
        <w:tabs>
          <w:tab w:val="left" w:pos="426"/>
          <w:tab w:val="left" w:pos="2145"/>
        </w:tabs>
        <w:spacing w:before="120" w:after="120"/>
        <w:ind w:left="1135" w:right="-591"/>
        <w:jc w:val="both"/>
        <w:rPr>
          <w:rFonts w:ascii="Palatino Linotype" w:eastAsia="Palatino Linotype" w:hAnsi="Palatino Linotype" w:cs="Palatino Linotype"/>
          <w:i/>
          <w:iCs/>
        </w:rPr>
      </w:pPr>
      <w:r w:rsidRPr="000D7B75">
        <w:rPr>
          <w:rFonts w:ascii="Palatino Linotype" w:eastAsia="Palatino Linotype" w:hAnsi="Palatino Linotype" w:cs="Palatino Linotype"/>
          <w:i/>
          <w:iCs/>
        </w:rPr>
        <w:t>(…)</w:t>
      </w:r>
      <w:r w:rsidRPr="000D7B75">
        <w:rPr>
          <w:rFonts w:ascii="Palatino Linotype" w:eastAsia="Palatino Linotype" w:hAnsi="Palatino Linotype" w:cs="Palatino Linotype"/>
          <w:i/>
          <w:iCs/>
        </w:rPr>
        <w:tab/>
      </w:r>
    </w:p>
    <w:p w14:paraId="61C387B4" w14:textId="77777777" w:rsidR="004358B2" w:rsidRPr="000D7B75" w:rsidRDefault="00C37ACC">
      <w:pPr>
        <w:tabs>
          <w:tab w:val="left" w:pos="426"/>
        </w:tabs>
        <w:spacing w:before="120" w:after="120"/>
        <w:ind w:left="1135" w:right="-591"/>
        <w:jc w:val="both"/>
        <w:rPr>
          <w:rFonts w:ascii="Palatino Linotype" w:eastAsia="Palatino Linotype" w:hAnsi="Palatino Linotype" w:cs="Palatino Linotype"/>
          <w:i/>
          <w:iCs/>
        </w:rPr>
      </w:pPr>
      <w:r w:rsidRPr="000D7B75">
        <w:rPr>
          <w:rFonts w:ascii="Palatino Linotype" w:eastAsia="Palatino Linotype" w:hAnsi="Palatino Linotype" w:cs="Palatino Linotype"/>
          <w:b/>
          <w:bCs/>
          <w:i/>
          <w:iCs/>
        </w:rPr>
        <w:t>XXIX.</w:t>
      </w:r>
      <w:r w:rsidRPr="000D7B75">
        <w:rPr>
          <w:rFonts w:ascii="Palatino Linotype" w:eastAsia="Palatino Linotype" w:hAnsi="Palatino Linotype" w:cs="Palatino Linotype"/>
          <w:i/>
          <w:iCs/>
        </w:rPr>
        <w:t xml:space="preserve"> La </w:t>
      </w:r>
      <w:r w:rsidRPr="000D7B75">
        <w:rPr>
          <w:rFonts w:ascii="Palatino Linotype" w:eastAsia="Palatino Linotype" w:hAnsi="Palatino Linotype" w:cs="Palatino Linotype"/>
          <w:b/>
          <w:bCs/>
          <w:i/>
          <w:iCs/>
        </w:rPr>
        <w:t xml:space="preserve">información sobre los procesos y resultados </w:t>
      </w:r>
      <w:r w:rsidRPr="000D7B75">
        <w:rPr>
          <w:rFonts w:ascii="Palatino Linotype" w:eastAsia="Palatino Linotype" w:hAnsi="Palatino Linotype" w:cs="Palatino Linotype"/>
          <w:b/>
          <w:bCs/>
          <w:i/>
          <w:iCs/>
          <w:u w:val="single"/>
        </w:rPr>
        <w:t>sobre procedimientos de adjudicación directa, invitación restringida y licitación de cualquier naturaleza</w:t>
      </w:r>
      <w:r w:rsidRPr="000D7B75">
        <w:rPr>
          <w:rFonts w:ascii="Palatino Linotype" w:eastAsia="Palatino Linotype" w:hAnsi="Palatino Linotype" w:cs="Palatino Linotype"/>
          <w:i/>
          <w:iCs/>
          <w:u w:val="single"/>
        </w:rPr>
        <w:t xml:space="preserve">, </w:t>
      </w:r>
      <w:r w:rsidRPr="000D7B75">
        <w:rPr>
          <w:rFonts w:ascii="Palatino Linotype" w:eastAsia="Palatino Linotype" w:hAnsi="Palatino Linotype" w:cs="Palatino Linotype"/>
          <w:b/>
          <w:bCs/>
          <w:i/>
          <w:iCs/>
        </w:rPr>
        <w:t>incluyendo la versión pública</w:t>
      </w:r>
      <w:r w:rsidRPr="000D7B75">
        <w:rPr>
          <w:rFonts w:ascii="Palatino Linotype" w:eastAsia="Palatino Linotype" w:hAnsi="Palatino Linotype" w:cs="Palatino Linotype"/>
          <w:i/>
          <w:iCs/>
        </w:rPr>
        <w:t xml:space="preserve"> del expediente respectivo y </w:t>
      </w:r>
      <w:r w:rsidRPr="000D7B75">
        <w:rPr>
          <w:rFonts w:ascii="Palatino Linotype" w:eastAsia="Palatino Linotype" w:hAnsi="Palatino Linotype" w:cs="Palatino Linotype"/>
          <w:b/>
          <w:bCs/>
          <w:i/>
          <w:iCs/>
        </w:rPr>
        <w:t>de los contratos celebrados</w:t>
      </w:r>
      <w:r w:rsidRPr="000D7B75">
        <w:rPr>
          <w:rFonts w:ascii="Palatino Linotype" w:eastAsia="Palatino Linotype" w:hAnsi="Palatino Linotype" w:cs="Palatino Linotype"/>
          <w:i/>
          <w:iCs/>
        </w:rPr>
        <w:t>, que deberán contener, por los menos, lo siguiente:</w:t>
      </w:r>
    </w:p>
    <w:p w14:paraId="2539FFF3" w14:textId="77777777" w:rsidR="004358B2" w:rsidRPr="000D7B75" w:rsidRDefault="00C37ACC">
      <w:pPr>
        <w:tabs>
          <w:tab w:val="left" w:pos="426"/>
        </w:tabs>
        <w:spacing w:before="120" w:after="120"/>
        <w:ind w:left="1135" w:right="-591"/>
        <w:jc w:val="both"/>
        <w:rPr>
          <w:rFonts w:ascii="Palatino Linotype" w:eastAsia="Palatino Linotype" w:hAnsi="Palatino Linotype" w:cs="Palatino Linotype"/>
          <w:b/>
          <w:bCs/>
          <w:i/>
          <w:iCs/>
        </w:rPr>
      </w:pPr>
      <w:r w:rsidRPr="000D7B75">
        <w:rPr>
          <w:rFonts w:ascii="Palatino Linotype" w:eastAsia="Palatino Linotype" w:hAnsi="Palatino Linotype" w:cs="Palatino Linotype"/>
          <w:b/>
          <w:bCs/>
          <w:i/>
          <w:iCs/>
        </w:rPr>
        <w:t>a) De licitaciones públicas o procedimientos de invitación restringida:</w:t>
      </w:r>
    </w:p>
    <w:p w14:paraId="3D1CD4E9" w14:textId="77777777" w:rsidR="004358B2" w:rsidRPr="000D7B75" w:rsidRDefault="00C37ACC">
      <w:pPr>
        <w:tabs>
          <w:tab w:val="left" w:pos="426"/>
        </w:tabs>
        <w:spacing w:before="120" w:after="120"/>
        <w:ind w:left="1135" w:right="-591"/>
        <w:jc w:val="both"/>
        <w:rPr>
          <w:rFonts w:ascii="Palatino Linotype" w:eastAsia="Palatino Linotype" w:hAnsi="Palatino Linotype" w:cs="Palatino Linotype"/>
          <w:b/>
          <w:bCs/>
          <w:i/>
          <w:iCs/>
        </w:rPr>
      </w:pPr>
      <w:r w:rsidRPr="000D7B75">
        <w:rPr>
          <w:rFonts w:ascii="Palatino Linotype" w:eastAsia="Palatino Linotype" w:hAnsi="Palatino Linotype" w:cs="Palatino Linotype"/>
          <w:b/>
          <w:bCs/>
          <w:i/>
          <w:iCs/>
        </w:rPr>
        <w:t>...</w:t>
      </w:r>
    </w:p>
    <w:p w14:paraId="1620BB00" w14:textId="77777777" w:rsidR="004358B2" w:rsidRPr="000D7B75" w:rsidRDefault="00C37ACC">
      <w:pPr>
        <w:tabs>
          <w:tab w:val="left" w:pos="426"/>
        </w:tabs>
        <w:spacing w:before="120" w:after="120"/>
        <w:ind w:left="1135" w:right="-591"/>
        <w:jc w:val="both"/>
        <w:rPr>
          <w:rFonts w:ascii="Palatino Linotype" w:eastAsia="Palatino Linotype" w:hAnsi="Palatino Linotype" w:cs="Palatino Linotype"/>
          <w:i/>
          <w:iCs/>
        </w:rPr>
      </w:pPr>
      <w:r w:rsidRPr="000D7B75">
        <w:rPr>
          <w:rFonts w:ascii="Palatino Linotype" w:eastAsia="Palatino Linotype" w:hAnsi="Palatino Linotype" w:cs="Palatino Linotype"/>
          <w:b/>
          <w:bCs/>
          <w:i/>
          <w:iCs/>
        </w:rPr>
        <w:t xml:space="preserve">7) El contrato </w:t>
      </w:r>
      <w:r w:rsidRPr="000D7B75">
        <w:rPr>
          <w:rFonts w:ascii="Palatino Linotype" w:eastAsia="Palatino Linotype" w:hAnsi="Palatino Linotype" w:cs="Palatino Linotype"/>
          <w:i/>
          <w:iCs/>
        </w:rPr>
        <w:t xml:space="preserve">y, en su caso, sus anexos; </w:t>
      </w:r>
    </w:p>
    <w:p w14:paraId="00B2A600" w14:textId="77777777" w:rsidR="004358B2" w:rsidRPr="000D7B75" w:rsidRDefault="00C37ACC">
      <w:pPr>
        <w:tabs>
          <w:tab w:val="left" w:pos="426"/>
        </w:tabs>
        <w:spacing w:before="120" w:after="120"/>
        <w:ind w:left="1135" w:right="-591"/>
        <w:jc w:val="both"/>
        <w:rPr>
          <w:rFonts w:ascii="Palatino Linotype" w:eastAsia="Palatino Linotype" w:hAnsi="Palatino Linotype" w:cs="Palatino Linotype"/>
          <w:b/>
          <w:bCs/>
          <w:i/>
          <w:iCs/>
        </w:rPr>
      </w:pPr>
      <w:r w:rsidRPr="000D7B75">
        <w:rPr>
          <w:rFonts w:ascii="Palatino Linotype" w:eastAsia="Palatino Linotype" w:hAnsi="Palatino Linotype" w:cs="Palatino Linotype"/>
          <w:b/>
          <w:bCs/>
          <w:i/>
          <w:iCs/>
        </w:rPr>
        <w:t>...</w:t>
      </w:r>
    </w:p>
    <w:p w14:paraId="60970DEA" w14:textId="77777777" w:rsidR="004358B2" w:rsidRPr="000D7B75" w:rsidRDefault="00C37ACC">
      <w:pPr>
        <w:tabs>
          <w:tab w:val="left" w:pos="426"/>
        </w:tabs>
        <w:spacing w:before="120" w:after="120"/>
        <w:ind w:left="1135" w:right="-591"/>
        <w:jc w:val="both"/>
        <w:rPr>
          <w:rFonts w:ascii="Palatino Linotype" w:eastAsia="Palatino Linotype" w:hAnsi="Palatino Linotype" w:cs="Palatino Linotype"/>
          <w:b/>
          <w:bCs/>
          <w:i/>
          <w:iCs/>
        </w:rPr>
      </w:pPr>
      <w:r w:rsidRPr="000D7B75">
        <w:rPr>
          <w:rFonts w:ascii="Palatino Linotype" w:eastAsia="Palatino Linotype" w:hAnsi="Palatino Linotype" w:cs="Palatino Linotype"/>
          <w:b/>
          <w:bCs/>
          <w:i/>
          <w:iCs/>
        </w:rPr>
        <w:t xml:space="preserve">b) De las adjudicaciones directas: </w:t>
      </w:r>
    </w:p>
    <w:p w14:paraId="1DFDA187" w14:textId="77777777" w:rsidR="004358B2" w:rsidRPr="000D7B75" w:rsidRDefault="00C37ACC">
      <w:pPr>
        <w:tabs>
          <w:tab w:val="left" w:pos="426"/>
        </w:tabs>
        <w:spacing w:before="120" w:after="120"/>
        <w:ind w:left="1135" w:right="-591"/>
        <w:jc w:val="both"/>
        <w:rPr>
          <w:rFonts w:ascii="Palatino Linotype" w:eastAsia="Palatino Linotype" w:hAnsi="Palatino Linotype" w:cs="Palatino Linotype"/>
          <w:b/>
          <w:bCs/>
          <w:i/>
          <w:iCs/>
        </w:rPr>
      </w:pPr>
      <w:r w:rsidRPr="000D7B75">
        <w:rPr>
          <w:rFonts w:ascii="Palatino Linotype" w:eastAsia="Palatino Linotype" w:hAnsi="Palatino Linotype" w:cs="Palatino Linotype"/>
          <w:b/>
          <w:bCs/>
          <w:i/>
          <w:iCs/>
        </w:rPr>
        <w:t>...</w:t>
      </w:r>
    </w:p>
    <w:p w14:paraId="262A7CFB" w14:textId="77777777" w:rsidR="004358B2" w:rsidRPr="000D7B75" w:rsidRDefault="00C37ACC">
      <w:pPr>
        <w:tabs>
          <w:tab w:val="left" w:pos="426"/>
        </w:tabs>
        <w:spacing w:before="120" w:after="120"/>
        <w:ind w:left="1135" w:right="-591"/>
        <w:jc w:val="both"/>
        <w:rPr>
          <w:rFonts w:ascii="Palatino Linotype" w:eastAsia="Palatino Linotype" w:hAnsi="Palatino Linotype" w:cs="Palatino Linotype"/>
          <w:i/>
          <w:iCs/>
        </w:rPr>
      </w:pPr>
      <w:r w:rsidRPr="000D7B75">
        <w:rPr>
          <w:rFonts w:ascii="Palatino Linotype" w:eastAsia="Palatino Linotype" w:hAnsi="Palatino Linotype" w:cs="Palatino Linotype"/>
          <w:b/>
          <w:bCs/>
          <w:i/>
          <w:iCs/>
        </w:rPr>
        <w:t>7) El número, fecha, el monto del contrato</w:t>
      </w:r>
      <w:r w:rsidRPr="000D7B75">
        <w:rPr>
          <w:rFonts w:ascii="Palatino Linotype" w:eastAsia="Palatino Linotype" w:hAnsi="Palatino Linotype" w:cs="Palatino Linotype"/>
          <w:i/>
          <w:iCs/>
        </w:rPr>
        <w:t xml:space="preserve"> y el plazo de entrega o de ejecución de los servicios u obra; “</w:t>
      </w:r>
    </w:p>
    <w:p w14:paraId="470960DB" w14:textId="77777777" w:rsidR="004358B2" w:rsidRPr="000D7B75" w:rsidRDefault="004358B2">
      <w:pPr>
        <w:tabs>
          <w:tab w:val="left" w:pos="426"/>
        </w:tabs>
        <w:spacing w:before="120" w:after="120"/>
        <w:ind w:left="1135" w:right="-591"/>
        <w:jc w:val="both"/>
        <w:rPr>
          <w:rFonts w:ascii="Palatino Linotype" w:eastAsia="Palatino Linotype" w:hAnsi="Palatino Linotype" w:cs="Palatino Linotype"/>
          <w:i/>
          <w:iCs/>
        </w:rPr>
      </w:pPr>
    </w:p>
    <w:p w14:paraId="4DD589D3" w14:textId="77777777" w:rsidR="004358B2" w:rsidRPr="000D7B75" w:rsidRDefault="00C37ACC" w:rsidP="00652D7C">
      <w:pPr>
        <w:numPr>
          <w:ilvl w:val="0"/>
          <w:numId w:val="13"/>
        </w:numPr>
        <w:pBdr>
          <w:top w:val="nil"/>
          <w:left w:val="nil"/>
          <w:bottom w:val="nil"/>
          <w:right w:val="nil"/>
          <w:between w:val="nil"/>
        </w:pBdr>
        <w:spacing w:line="360" w:lineRule="auto"/>
        <w:ind w:left="0" w:right="-591" w:firstLine="0"/>
        <w:jc w:val="both"/>
        <w:rPr>
          <w:color w:val="000000"/>
        </w:rPr>
      </w:pPr>
      <w:r w:rsidRPr="000D7B75">
        <w:rPr>
          <w:rFonts w:ascii="Palatino Linotype" w:eastAsia="Palatino Linotype" w:hAnsi="Palatino Linotype" w:cs="Palatino Linotype"/>
          <w:color w:val="000000"/>
        </w:rPr>
        <w:t xml:space="preserve">Es por lo que, en virtud de que el Sujeto Obligado declinó su competencia respecto a la información relacionada con la solicitud toda vez que la obra de referencia se encuentra a cargo </w:t>
      </w:r>
      <w:r w:rsidRPr="000D7B75">
        <w:rPr>
          <w:rFonts w:ascii="Palatino Linotype" w:eastAsia="Palatino Linotype" w:hAnsi="Palatino Linotype" w:cs="Palatino Linotype"/>
          <w:color w:val="000000"/>
        </w:rPr>
        <w:lastRenderedPageBreak/>
        <w:t xml:space="preserve">del Ayuntamiento de Ecatepec de Morelos, es que no resulta dable ordenar el acuerdo que declare formalmente la incompetencia del </w:t>
      </w:r>
      <w:r w:rsidRPr="000D7B75">
        <w:rPr>
          <w:rFonts w:ascii="Palatino Linotype" w:eastAsia="Palatino Linotype" w:hAnsi="Palatino Linotype" w:cs="Palatino Linotype"/>
          <w:b/>
          <w:bCs/>
          <w:color w:val="000000"/>
        </w:rPr>
        <w:t xml:space="preserve">Sujeto Obligado </w:t>
      </w:r>
      <w:r w:rsidRPr="000D7B75">
        <w:rPr>
          <w:rFonts w:ascii="Palatino Linotype" w:eastAsia="Palatino Linotype" w:hAnsi="Palatino Linotype" w:cs="Palatino Linotype"/>
          <w:color w:val="000000"/>
        </w:rPr>
        <w:t>pues como se advirtió del estudio la incompetencia resulta notaria.</w:t>
      </w:r>
    </w:p>
    <w:p w14:paraId="14153C72" w14:textId="77777777" w:rsidR="004358B2" w:rsidRPr="000D7B75" w:rsidRDefault="004358B2">
      <w:pPr>
        <w:spacing w:line="360" w:lineRule="auto"/>
        <w:ind w:right="-591"/>
        <w:jc w:val="both"/>
        <w:rPr>
          <w:rFonts w:ascii="Palatino Linotype" w:eastAsia="Palatino Linotype" w:hAnsi="Palatino Linotype" w:cs="Palatino Linotype"/>
          <w:color w:val="000000"/>
        </w:rPr>
      </w:pPr>
    </w:p>
    <w:p w14:paraId="0DBC9E42" w14:textId="326DB2FB" w:rsidR="004358B2" w:rsidRPr="000D7B75" w:rsidRDefault="00C81F23" w:rsidP="00652D7C">
      <w:pPr>
        <w:numPr>
          <w:ilvl w:val="0"/>
          <w:numId w:val="13"/>
        </w:numPr>
        <w:pBdr>
          <w:top w:val="nil"/>
          <w:left w:val="nil"/>
          <w:bottom w:val="nil"/>
          <w:right w:val="nil"/>
          <w:between w:val="nil"/>
        </w:pBdr>
        <w:spacing w:line="360" w:lineRule="auto"/>
        <w:ind w:left="0" w:right="-591" w:firstLine="0"/>
        <w:jc w:val="both"/>
        <w:rPr>
          <w:color w:val="000000"/>
        </w:rPr>
      </w:pPr>
      <w:r w:rsidRPr="000D7B75">
        <w:rPr>
          <w:rFonts w:ascii="Palatino Linotype" w:eastAsia="Palatino Linotype" w:hAnsi="Palatino Linotype" w:cs="Palatino Linotype"/>
          <w:color w:val="000000"/>
        </w:rPr>
        <w:t>Así mismo</w:t>
      </w:r>
      <w:r w:rsidR="00C37ACC" w:rsidRPr="000D7B75">
        <w:rPr>
          <w:rFonts w:ascii="Palatino Linotype" w:eastAsia="Palatino Linotype" w:hAnsi="Palatino Linotype" w:cs="Palatino Linotype"/>
          <w:color w:val="000000"/>
        </w:rPr>
        <w:t xml:space="preserve">, resulta necesario precisar al </w:t>
      </w:r>
      <w:r w:rsidR="00C37ACC" w:rsidRPr="000D7B75">
        <w:rPr>
          <w:rFonts w:ascii="Palatino Linotype" w:eastAsia="Palatino Linotype" w:hAnsi="Palatino Linotype" w:cs="Palatino Linotype"/>
          <w:b/>
          <w:bCs/>
          <w:color w:val="000000"/>
        </w:rPr>
        <w:t>Sujeto Obligado</w:t>
      </w:r>
      <w:r w:rsidR="00C37ACC" w:rsidRPr="000D7B75">
        <w:rPr>
          <w:rFonts w:ascii="Palatino Linotype" w:eastAsia="Palatino Linotype" w:hAnsi="Palatino Linotype" w:cs="Palatino Linotype"/>
          <w:color w:val="000000"/>
        </w:rPr>
        <w:t xml:space="preserve"> que, el hecho de notificar a las personas solicitantes sobre la incompetencia cuando </w:t>
      </w:r>
      <w:r w:rsidR="00C37ACC" w:rsidRPr="000D7B75">
        <w:rPr>
          <w:rFonts w:ascii="Palatino Linotype" w:eastAsia="Palatino Linotype" w:hAnsi="Palatino Linotype" w:cs="Palatino Linotype"/>
        </w:rPr>
        <w:t>ésta</w:t>
      </w:r>
      <w:r w:rsidR="00C37ACC" w:rsidRPr="000D7B75">
        <w:rPr>
          <w:rFonts w:ascii="Palatino Linotype" w:eastAsia="Palatino Linotype" w:hAnsi="Palatino Linotype" w:cs="Palatino Linotype"/>
          <w:color w:val="000000"/>
        </w:rPr>
        <w:t xml:space="preserve"> sea notoria, dentro del plazo de tres días siguientes a partir de la recepción de las solicitudes, permite que estas puedan presentar sin mayor dilación sus requerimientos de información ante los Sujetos Obligados competentes con la finalidad de obtener la información que es de su interés.</w:t>
      </w:r>
    </w:p>
    <w:p w14:paraId="18101056" w14:textId="77777777" w:rsidR="004358B2" w:rsidRPr="000D7B75" w:rsidRDefault="004358B2">
      <w:pPr>
        <w:spacing w:line="360" w:lineRule="auto"/>
        <w:ind w:right="-591"/>
        <w:jc w:val="both"/>
        <w:rPr>
          <w:rFonts w:ascii="Palatino Linotype" w:eastAsia="Palatino Linotype" w:hAnsi="Palatino Linotype" w:cs="Palatino Linotype"/>
        </w:rPr>
      </w:pPr>
    </w:p>
    <w:p w14:paraId="3B4F7C39" w14:textId="77777777" w:rsidR="004358B2" w:rsidRPr="000D7B75" w:rsidRDefault="00C37ACC" w:rsidP="00652D7C">
      <w:pPr>
        <w:numPr>
          <w:ilvl w:val="0"/>
          <w:numId w:val="13"/>
        </w:numPr>
        <w:pBdr>
          <w:top w:val="nil"/>
          <w:left w:val="nil"/>
          <w:bottom w:val="nil"/>
          <w:right w:val="nil"/>
          <w:between w:val="nil"/>
        </w:pBdr>
        <w:spacing w:line="360" w:lineRule="auto"/>
        <w:ind w:left="0" w:right="-591" w:firstLine="0"/>
        <w:jc w:val="both"/>
        <w:rPr>
          <w:color w:val="000000"/>
        </w:rPr>
      </w:pPr>
      <w:r w:rsidRPr="000D7B75">
        <w:rPr>
          <w:rFonts w:ascii="Palatino Linotype" w:eastAsia="Palatino Linotype" w:hAnsi="Palatino Linotype" w:cs="Palatino Linotype"/>
          <w:color w:val="000000"/>
        </w:rPr>
        <w:t>Es por ello que resulta de suma importancia que las Unidades de Transparencia, cuando adviertan que dicho supuesto se actualiza, se ciñan al plazo que la normativa establece, a fin de ajustarse al principio de exped</w:t>
      </w:r>
      <w:bookmarkStart w:id="6" w:name="_GoBack"/>
      <w:bookmarkEnd w:id="6"/>
      <w:r w:rsidRPr="000D7B75">
        <w:rPr>
          <w:rFonts w:ascii="Palatino Linotype" w:eastAsia="Palatino Linotype" w:hAnsi="Palatino Linotype" w:cs="Palatino Linotype"/>
          <w:color w:val="000000"/>
        </w:rPr>
        <w:t>itez que en todo procedimiento en materia de transparencia se debe observar.</w:t>
      </w:r>
    </w:p>
    <w:p w14:paraId="735D6D65" w14:textId="77777777" w:rsidR="004358B2" w:rsidRPr="000D7B75" w:rsidRDefault="004358B2">
      <w:pPr>
        <w:spacing w:line="360" w:lineRule="auto"/>
        <w:ind w:right="-591"/>
        <w:jc w:val="both"/>
        <w:rPr>
          <w:rFonts w:ascii="Palatino Linotype" w:eastAsia="Palatino Linotype" w:hAnsi="Palatino Linotype" w:cs="Palatino Linotype"/>
        </w:rPr>
      </w:pPr>
    </w:p>
    <w:p w14:paraId="623AC1F6" w14:textId="77777777" w:rsidR="004358B2" w:rsidRPr="000D7B75" w:rsidRDefault="00C37ACC" w:rsidP="00652D7C">
      <w:pPr>
        <w:numPr>
          <w:ilvl w:val="0"/>
          <w:numId w:val="13"/>
        </w:numPr>
        <w:pBdr>
          <w:top w:val="nil"/>
          <w:left w:val="nil"/>
          <w:bottom w:val="nil"/>
          <w:right w:val="nil"/>
          <w:between w:val="nil"/>
        </w:pBdr>
        <w:spacing w:line="360" w:lineRule="auto"/>
        <w:ind w:left="0" w:right="-591" w:firstLine="0"/>
        <w:jc w:val="both"/>
        <w:rPr>
          <w:color w:val="000000"/>
        </w:rPr>
      </w:pPr>
      <w:r w:rsidRPr="000D7B75">
        <w:rPr>
          <w:rFonts w:ascii="Palatino Linotype" w:eastAsia="Palatino Linotype" w:hAnsi="Palatino Linotype" w:cs="Palatino Linotype"/>
          <w:color w:val="000000"/>
        </w:rPr>
        <w:t xml:space="preserve">En conclusión, cuando se advierta una notoria incompetencia respecto de la información solicitada por un particular, el </w:t>
      </w:r>
      <w:r w:rsidRPr="000D7B75">
        <w:rPr>
          <w:rFonts w:ascii="Palatino Linotype" w:eastAsia="Palatino Linotype" w:hAnsi="Palatino Linotype" w:cs="Palatino Linotype"/>
          <w:b/>
          <w:bCs/>
          <w:color w:val="000000"/>
        </w:rPr>
        <w:t>Sujeto Obligado</w:t>
      </w:r>
      <w:r w:rsidRPr="000D7B75">
        <w:rPr>
          <w:rFonts w:ascii="Palatino Linotype" w:eastAsia="Palatino Linotype" w:hAnsi="Palatino Linotype" w:cs="Palatino Linotype"/>
          <w:color w:val="000000"/>
        </w:rPr>
        <w:t xml:space="preserve"> </w:t>
      </w:r>
      <w:r w:rsidRPr="000D7B75">
        <w:rPr>
          <w:rFonts w:ascii="Palatino Linotype" w:eastAsia="Palatino Linotype" w:hAnsi="Palatino Linotype" w:cs="Palatino Linotype"/>
          <w:b/>
          <w:bCs/>
          <w:color w:val="000000"/>
        </w:rPr>
        <w:t xml:space="preserve">debe atender los plazos establecidos por la norma para declarar la incompetencia </w:t>
      </w:r>
      <w:r w:rsidRPr="000D7B75">
        <w:rPr>
          <w:rFonts w:ascii="Palatino Linotype" w:eastAsia="Palatino Linotype" w:hAnsi="Palatino Linotype" w:cs="Palatino Linotype"/>
          <w:color w:val="000000"/>
        </w:rPr>
        <w:t>para entregar información, con el propósito de que los particulares puedan acudir ante las instancias correspondientes para formular las solicitudes que estimen pertinentes.</w:t>
      </w:r>
    </w:p>
    <w:p w14:paraId="032FE764" w14:textId="77777777" w:rsidR="004358B2" w:rsidRPr="000D7B75" w:rsidRDefault="004358B2">
      <w:pPr>
        <w:pBdr>
          <w:top w:val="nil"/>
          <w:left w:val="nil"/>
          <w:bottom w:val="nil"/>
          <w:right w:val="nil"/>
          <w:between w:val="nil"/>
        </w:pBdr>
        <w:ind w:left="720" w:right="-591"/>
        <w:rPr>
          <w:rFonts w:ascii="Palatino Linotype" w:eastAsia="Palatino Linotype" w:hAnsi="Palatino Linotype" w:cs="Palatino Linotype"/>
          <w:color w:val="000000"/>
        </w:rPr>
      </w:pPr>
    </w:p>
    <w:p w14:paraId="5FCCA5D1" w14:textId="77777777" w:rsidR="004358B2" w:rsidRPr="000D7B75" w:rsidRDefault="00C37ACC" w:rsidP="00652D7C">
      <w:pPr>
        <w:numPr>
          <w:ilvl w:val="0"/>
          <w:numId w:val="13"/>
        </w:numPr>
        <w:spacing w:line="360" w:lineRule="auto"/>
        <w:ind w:left="0" w:right="-591" w:firstLine="0"/>
        <w:jc w:val="both"/>
      </w:pPr>
      <w:r w:rsidRPr="000D7B75">
        <w:rPr>
          <w:rFonts w:ascii="Palatino Linotype" w:eastAsia="Palatino Linotype" w:hAnsi="Palatino Linotype" w:cs="Palatino Linotype"/>
        </w:rPr>
        <w:t xml:space="preserve">En consecuencia, no se advierte que el </w:t>
      </w:r>
      <w:r w:rsidRPr="000D7B75">
        <w:rPr>
          <w:rFonts w:ascii="Palatino Linotype" w:eastAsia="Palatino Linotype" w:hAnsi="Palatino Linotype" w:cs="Palatino Linotype"/>
          <w:b/>
          <w:bCs/>
        </w:rPr>
        <w:t>SUJETO OBLIGADO</w:t>
      </w:r>
      <w:r w:rsidRPr="000D7B75">
        <w:rPr>
          <w:rFonts w:ascii="Palatino Linotype" w:eastAsia="Palatino Linotype" w:hAnsi="Palatino Linotype" w:cs="Palatino Linotype"/>
        </w:rPr>
        <w:t xml:space="preserve"> tenga acceso, administre o posea los documentos donde se conste la información solicitada.</w:t>
      </w:r>
    </w:p>
    <w:p w14:paraId="49022F80" w14:textId="77777777" w:rsidR="004358B2" w:rsidRPr="000D7B75" w:rsidRDefault="004358B2">
      <w:pPr>
        <w:spacing w:line="360" w:lineRule="auto"/>
        <w:ind w:right="-591"/>
        <w:jc w:val="both"/>
        <w:rPr>
          <w:rFonts w:ascii="Palatino Linotype" w:eastAsia="Palatino Linotype" w:hAnsi="Palatino Linotype" w:cs="Palatino Linotype"/>
        </w:rPr>
      </w:pPr>
    </w:p>
    <w:p w14:paraId="73E5138B" w14:textId="77777777" w:rsidR="004358B2" w:rsidRPr="000D7B75" w:rsidRDefault="00C37ACC" w:rsidP="00652D7C">
      <w:pPr>
        <w:numPr>
          <w:ilvl w:val="0"/>
          <w:numId w:val="13"/>
        </w:numPr>
        <w:spacing w:line="360" w:lineRule="auto"/>
        <w:ind w:left="0" w:right="-591" w:firstLine="0"/>
        <w:jc w:val="both"/>
      </w:pPr>
      <w:r w:rsidRPr="000D7B75">
        <w:rPr>
          <w:rFonts w:ascii="Palatino Linotype" w:eastAsia="Palatino Linotype" w:hAnsi="Palatino Linotype" w:cs="Palatino Linotype"/>
        </w:rPr>
        <w:lastRenderedPageBreak/>
        <w:t xml:space="preserve">Por lo tanto, bajo los principios de certeza, eficacia y objetividad, establecidos en el artículo 9 de la Ley de Transparencia y Acceso a la Información Pública del Estado de México y Municipios, y derivado de que la información requerida corresponde con atribuciones de un Sujeto Obligado distinto al que le fue presentada la solicitud, y a fin de no dilatar el derecho de acceso a la información, como ya fue establecido, se dejan a salvo los derechos del </w:t>
      </w:r>
      <w:r w:rsidRPr="000D7B75">
        <w:rPr>
          <w:rFonts w:ascii="Palatino Linotype" w:eastAsia="Palatino Linotype" w:hAnsi="Palatino Linotype" w:cs="Palatino Linotype"/>
          <w:b/>
          <w:bCs/>
        </w:rPr>
        <w:t>RECURRENTE</w:t>
      </w:r>
      <w:r w:rsidRPr="000D7B75">
        <w:rPr>
          <w:rFonts w:ascii="Palatino Linotype" w:eastAsia="Palatino Linotype" w:hAnsi="Palatino Linotype" w:cs="Palatino Linotype"/>
        </w:rPr>
        <w:t xml:space="preserve"> para que pueda realizar la solicitud de información ante el Sujeto Obligado correspondiente.</w:t>
      </w:r>
    </w:p>
    <w:p w14:paraId="362BB7BA" w14:textId="77777777" w:rsidR="004358B2" w:rsidRPr="000D7B75" w:rsidRDefault="004358B2">
      <w:pPr>
        <w:ind w:right="-591"/>
        <w:jc w:val="both"/>
        <w:rPr>
          <w:rFonts w:ascii="Palatino Linotype" w:eastAsia="Palatino Linotype" w:hAnsi="Palatino Linotype" w:cs="Palatino Linotype"/>
        </w:rPr>
      </w:pPr>
    </w:p>
    <w:p w14:paraId="46343AB4" w14:textId="77777777" w:rsidR="004358B2" w:rsidRPr="000D7B75" w:rsidRDefault="00C37ACC" w:rsidP="00652D7C">
      <w:pPr>
        <w:numPr>
          <w:ilvl w:val="0"/>
          <w:numId w:val="13"/>
        </w:numPr>
        <w:spacing w:line="360" w:lineRule="auto"/>
        <w:ind w:left="0" w:right="-591" w:firstLine="0"/>
        <w:jc w:val="both"/>
      </w:pPr>
      <w:r w:rsidRPr="000D7B75">
        <w:rPr>
          <w:rFonts w:ascii="Palatino Linotype" w:eastAsia="Palatino Linotype" w:hAnsi="Palatino Linotype" w:cs="Palatino Linotype"/>
        </w:rPr>
        <w:t xml:space="preserve">En este sentido, resultan </w:t>
      </w:r>
      <w:r w:rsidRPr="000D7B75">
        <w:rPr>
          <w:rFonts w:ascii="Palatino Linotype" w:eastAsia="Palatino Linotype" w:hAnsi="Palatino Linotype" w:cs="Palatino Linotype"/>
          <w:b/>
          <w:bCs/>
        </w:rPr>
        <w:t>INFUNDADAS</w:t>
      </w:r>
      <w:r w:rsidRPr="000D7B75">
        <w:rPr>
          <w:rFonts w:ascii="Palatino Linotype" w:eastAsia="Palatino Linotype" w:hAnsi="Palatino Linotype" w:cs="Palatino Linotype"/>
        </w:rPr>
        <w:t xml:space="preserve"> las razones o motivos de inconformidad hechos valer por el </w:t>
      </w:r>
      <w:r w:rsidRPr="000D7B75">
        <w:rPr>
          <w:rFonts w:ascii="Palatino Linotype" w:eastAsia="Palatino Linotype" w:hAnsi="Palatino Linotype" w:cs="Palatino Linotype"/>
          <w:b/>
          <w:bCs/>
        </w:rPr>
        <w:t>RECURRENTE,</w:t>
      </w:r>
      <w:r w:rsidRPr="000D7B75">
        <w:rPr>
          <w:rFonts w:ascii="Palatino Linotype" w:eastAsia="Palatino Linotype" w:hAnsi="Palatino Linotype" w:cs="Palatino Linotype"/>
        </w:rPr>
        <w:t xml:space="preserve"> toda vez que no se actualizan las hipótesis de procedencia contenidas en el artículo 179, de la Ley de Transparencia y Acceso a la Información Pública del Estado de México y Municipios, de tal manera que se </w:t>
      </w:r>
      <w:r w:rsidRPr="000D7B75">
        <w:rPr>
          <w:rFonts w:ascii="Palatino Linotype" w:eastAsia="Palatino Linotype" w:hAnsi="Palatino Linotype" w:cs="Palatino Linotype"/>
          <w:b/>
          <w:bCs/>
        </w:rPr>
        <w:t>CONFIRMA</w:t>
      </w:r>
      <w:r w:rsidRPr="000D7B75">
        <w:rPr>
          <w:rFonts w:ascii="Palatino Linotype" w:eastAsia="Palatino Linotype" w:hAnsi="Palatino Linotype" w:cs="Palatino Linotype"/>
        </w:rPr>
        <w:t xml:space="preserve"> la respuesta del </w:t>
      </w:r>
      <w:r w:rsidRPr="000D7B75">
        <w:rPr>
          <w:rFonts w:ascii="Palatino Linotype" w:eastAsia="Palatino Linotype" w:hAnsi="Palatino Linotype" w:cs="Palatino Linotype"/>
          <w:b/>
          <w:bCs/>
        </w:rPr>
        <w:t>SUJETO OBLIGADO.</w:t>
      </w:r>
    </w:p>
    <w:p w14:paraId="5CBCE6F4" w14:textId="77777777" w:rsidR="004358B2" w:rsidRPr="000D7B75" w:rsidRDefault="004358B2">
      <w:pPr>
        <w:ind w:right="-591"/>
        <w:jc w:val="both"/>
        <w:rPr>
          <w:rFonts w:ascii="Palatino Linotype" w:eastAsia="Palatino Linotype" w:hAnsi="Palatino Linotype" w:cs="Palatino Linotype"/>
        </w:rPr>
      </w:pPr>
    </w:p>
    <w:p w14:paraId="55F4F721" w14:textId="77777777" w:rsidR="004358B2" w:rsidRPr="000D7B75" w:rsidRDefault="00C37ACC" w:rsidP="00652D7C">
      <w:pPr>
        <w:numPr>
          <w:ilvl w:val="0"/>
          <w:numId w:val="13"/>
        </w:numPr>
        <w:spacing w:line="360" w:lineRule="auto"/>
        <w:ind w:left="0" w:right="-591" w:firstLine="0"/>
        <w:jc w:val="both"/>
      </w:pPr>
      <w:r w:rsidRPr="000D7B75">
        <w:rPr>
          <w:rFonts w:ascii="Palatino Linotype" w:eastAsia="Palatino Linotype" w:hAnsi="Palatino Linotype" w:cs="Palatino Linotype"/>
          <w:color w:val="222222"/>
        </w:rPr>
        <w:t xml:space="preserve">Por lo anteriormente expuesto y fundado, este </w:t>
      </w:r>
      <w:r w:rsidRPr="000D7B75">
        <w:rPr>
          <w:rFonts w:ascii="Palatino Linotype" w:eastAsia="Palatino Linotype" w:hAnsi="Palatino Linotype" w:cs="Palatino Linotype"/>
          <w:b/>
          <w:bCs/>
          <w:color w:val="222222"/>
        </w:rPr>
        <w:t>ÓRGANO GARANTE</w:t>
      </w:r>
      <w:r w:rsidRPr="000D7B75">
        <w:rPr>
          <w:rFonts w:ascii="Palatino Linotype" w:eastAsia="Palatino Linotype" w:hAnsi="Palatino Linotype" w:cs="Palatino Linotype"/>
          <w:color w:val="222222"/>
        </w:rPr>
        <w:t xml:space="preserve"> emite los siguientes:</w:t>
      </w:r>
    </w:p>
    <w:p w14:paraId="31B99AAF" w14:textId="77777777" w:rsidR="004358B2" w:rsidRPr="000D7B75" w:rsidRDefault="004358B2">
      <w:pPr>
        <w:ind w:right="-591"/>
        <w:jc w:val="both"/>
        <w:rPr>
          <w:rFonts w:ascii="Palatino Linotype" w:eastAsia="Palatino Linotype" w:hAnsi="Palatino Linotype" w:cs="Palatino Linotype"/>
        </w:rPr>
      </w:pPr>
    </w:p>
    <w:p w14:paraId="3870026B" w14:textId="77777777" w:rsidR="004358B2" w:rsidRPr="000D7B75" w:rsidRDefault="00C37ACC">
      <w:pPr>
        <w:keepNext/>
        <w:keepLines/>
        <w:spacing w:line="360" w:lineRule="auto"/>
        <w:ind w:right="-591"/>
        <w:jc w:val="center"/>
        <w:rPr>
          <w:rFonts w:ascii="Palatino Linotype" w:eastAsia="Palatino Linotype" w:hAnsi="Palatino Linotype" w:cs="Palatino Linotype"/>
          <w:b/>
          <w:bCs/>
          <w:color w:val="000000"/>
        </w:rPr>
      </w:pPr>
      <w:r w:rsidRPr="000D7B75">
        <w:rPr>
          <w:rFonts w:ascii="Palatino Linotype" w:eastAsia="Palatino Linotype" w:hAnsi="Palatino Linotype" w:cs="Palatino Linotype"/>
          <w:b/>
          <w:bCs/>
          <w:color w:val="000000"/>
        </w:rPr>
        <w:t>R E S O L U T I V O S</w:t>
      </w:r>
    </w:p>
    <w:p w14:paraId="3C198A5A" w14:textId="77777777" w:rsidR="004358B2" w:rsidRPr="000D7B75" w:rsidRDefault="004358B2">
      <w:pPr>
        <w:keepNext/>
        <w:keepLines/>
        <w:ind w:right="-591"/>
        <w:jc w:val="center"/>
        <w:rPr>
          <w:rFonts w:ascii="Palatino Linotype" w:eastAsia="Palatino Linotype" w:hAnsi="Palatino Linotype" w:cs="Palatino Linotype"/>
          <w:b/>
          <w:bCs/>
        </w:rPr>
      </w:pPr>
    </w:p>
    <w:p w14:paraId="3ADD8379" w14:textId="77777777" w:rsidR="004358B2" w:rsidRPr="000D7B75" w:rsidRDefault="00C37ACC">
      <w:pPr>
        <w:spacing w:line="360" w:lineRule="auto"/>
        <w:ind w:right="-591"/>
        <w:jc w:val="both"/>
        <w:rPr>
          <w:rFonts w:ascii="Palatino Linotype" w:eastAsia="Palatino Linotype" w:hAnsi="Palatino Linotype" w:cs="Palatino Linotype"/>
        </w:rPr>
      </w:pPr>
      <w:r w:rsidRPr="000D7B75">
        <w:rPr>
          <w:rFonts w:ascii="Palatino Linotype" w:eastAsia="Palatino Linotype" w:hAnsi="Palatino Linotype" w:cs="Palatino Linotype"/>
          <w:b/>
          <w:bCs/>
        </w:rPr>
        <w:t xml:space="preserve">PRIMERO. </w:t>
      </w:r>
      <w:r w:rsidRPr="000D7B75">
        <w:rPr>
          <w:rFonts w:ascii="Palatino Linotype" w:eastAsia="Palatino Linotype" w:hAnsi="Palatino Linotype" w:cs="Palatino Linotype"/>
        </w:rPr>
        <w:t>Resultan infundadas las</w:t>
      </w:r>
      <w:r w:rsidRPr="000D7B75">
        <w:rPr>
          <w:rFonts w:ascii="Palatino Linotype" w:eastAsia="Palatino Linotype" w:hAnsi="Palatino Linotype" w:cs="Palatino Linotype"/>
          <w:b/>
          <w:bCs/>
        </w:rPr>
        <w:t xml:space="preserve"> </w:t>
      </w:r>
      <w:r w:rsidRPr="000D7B75">
        <w:rPr>
          <w:rFonts w:ascii="Palatino Linotype" w:eastAsia="Palatino Linotype" w:hAnsi="Palatino Linotype" w:cs="Palatino Linotype"/>
        </w:rPr>
        <w:t>razones o motivos de inconformidad hechos valer en el recurso de revisión</w:t>
      </w:r>
      <w:r w:rsidRPr="000D7B75">
        <w:rPr>
          <w:rFonts w:ascii="Palatino Linotype" w:eastAsia="Palatino Linotype" w:hAnsi="Palatino Linotype" w:cs="Palatino Linotype"/>
          <w:b/>
          <w:bCs/>
        </w:rPr>
        <w:t xml:space="preserve"> 03433/INFOEM/IP/RR/2026, </w:t>
      </w:r>
      <w:r w:rsidRPr="000D7B75">
        <w:rPr>
          <w:rFonts w:ascii="Palatino Linotype" w:eastAsia="Palatino Linotype" w:hAnsi="Palatino Linotype" w:cs="Palatino Linotype"/>
        </w:rPr>
        <w:t xml:space="preserve">en términos del </w:t>
      </w:r>
      <w:r w:rsidRPr="000D7B75">
        <w:rPr>
          <w:rFonts w:ascii="Palatino Linotype" w:eastAsia="Palatino Linotype" w:hAnsi="Palatino Linotype" w:cs="Palatino Linotype"/>
          <w:b/>
          <w:bCs/>
        </w:rPr>
        <w:t>Considerando</w:t>
      </w:r>
      <w:r w:rsidRPr="000D7B75">
        <w:rPr>
          <w:rFonts w:ascii="Palatino Linotype" w:eastAsia="Palatino Linotype" w:hAnsi="Palatino Linotype" w:cs="Palatino Linotype"/>
        </w:rPr>
        <w:t xml:space="preserve"> </w:t>
      </w:r>
      <w:r w:rsidRPr="000D7B75">
        <w:rPr>
          <w:rFonts w:ascii="Palatino Linotype" w:eastAsia="Palatino Linotype" w:hAnsi="Palatino Linotype" w:cs="Palatino Linotype"/>
          <w:b/>
          <w:bCs/>
        </w:rPr>
        <w:t>CUARTO</w:t>
      </w:r>
      <w:r w:rsidRPr="000D7B75">
        <w:rPr>
          <w:rFonts w:ascii="Palatino Linotype" w:eastAsia="Palatino Linotype" w:hAnsi="Palatino Linotype" w:cs="Palatino Linotype"/>
        </w:rPr>
        <w:t xml:space="preserve"> de la presente resolución.</w:t>
      </w:r>
    </w:p>
    <w:p w14:paraId="5F099E8F" w14:textId="77777777" w:rsidR="004358B2" w:rsidRPr="000D7B75" w:rsidRDefault="004358B2">
      <w:pPr>
        <w:ind w:right="-591"/>
        <w:jc w:val="both"/>
        <w:rPr>
          <w:rFonts w:ascii="Palatino Linotype" w:eastAsia="Palatino Linotype" w:hAnsi="Palatino Linotype" w:cs="Palatino Linotype"/>
        </w:rPr>
      </w:pPr>
    </w:p>
    <w:p w14:paraId="0F14B97B" w14:textId="77777777" w:rsidR="004358B2" w:rsidRPr="000D7B75" w:rsidRDefault="00C37ACC">
      <w:pPr>
        <w:spacing w:line="360" w:lineRule="auto"/>
        <w:ind w:right="-591"/>
        <w:jc w:val="both"/>
        <w:rPr>
          <w:rFonts w:ascii="Palatino Linotype" w:eastAsia="Palatino Linotype" w:hAnsi="Palatino Linotype" w:cs="Palatino Linotype"/>
          <w:b/>
          <w:bCs/>
        </w:rPr>
      </w:pPr>
      <w:r w:rsidRPr="000D7B75">
        <w:rPr>
          <w:rFonts w:ascii="Palatino Linotype" w:eastAsia="Palatino Linotype" w:hAnsi="Palatino Linotype" w:cs="Palatino Linotype"/>
          <w:b/>
          <w:bCs/>
        </w:rPr>
        <w:lastRenderedPageBreak/>
        <w:t>SEGUNDO.</w:t>
      </w:r>
      <w:r w:rsidRPr="000D7B75">
        <w:rPr>
          <w:rFonts w:ascii="Palatino Linotype" w:eastAsia="Palatino Linotype" w:hAnsi="Palatino Linotype" w:cs="Palatino Linotype"/>
          <w:b/>
          <w:bCs/>
          <w:color w:val="2E75B5"/>
        </w:rPr>
        <w:t xml:space="preserve"> </w:t>
      </w:r>
      <w:r w:rsidRPr="000D7B75">
        <w:rPr>
          <w:rFonts w:ascii="Palatino Linotype" w:eastAsia="Palatino Linotype" w:hAnsi="Palatino Linotype" w:cs="Palatino Linotype"/>
        </w:rPr>
        <w:t>Se</w:t>
      </w:r>
      <w:r w:rsidRPr="000D7B75">
        <w:rPr>
          <w:rFonts w:ascii="Palatino Linotype" w:eastAsia="Palatino Linotype" w:hAnsi="Palatino Linotype" w:cs="Palatino Linotype"/>
          <w:b/>
          <w:bCs/>
        </w:rPr>
        <w:t xml:space="preserve"> CONFIRMA </w:t>
      </w:r>
      <w:r w:rsidRPr="000D7B75">
        <w:rPr>
          <w:rFonts w:ascii="Palatino Linotype" w:eastAsia="Palatino Linotype" w:hAnsi="Palatino Linotype" w:cs="Palatino Linotype"/>
        </w:rPr>
        <w:t xml:space="preserve">la respuesta emitida por el </w:t>
      </w:r>
      <w:r w:rsidRPr="000D7B75">
        <w:rPr>
          <w:rFonts w:ascii="Palatino Linotype" w:eastAsia="Palatino Linotype" w:hAnsi="Palatino Linotype" w:cs="Palatino Linotype"/>
          <w:b/>
          <w:bCs/>
        </w:rPr>
        <w:t xml:space="preserve">Sistema de Agua Potable Alcantarillado y Saneamiento de Ecatepec de Morelos </w:t>
      </w:r>
      <w:r w:rsidRPr="000D7B75">
        <w:rPr>
          <w:rFonts w:ascii="Palatino Linotype" w:eastAsia="Palatino Linotype" w:hAnsi="Palatino Linotype" w:cs="Palatino Linotype"/>
        </w:rPr>
        <w:t xml:space="preserve">a la solicitud </w:t>
      </w:r>
      <w:r w:rsidRPr="000D7B75">
        <w:rPr>
          <w:rFonts w:ascii="Palatino Linotype" w:eastAsia="Palatino Linotype" w:hAnsi="Palatino Linotype" w:cs="Palatino Linotype"/>
          <w:b/>
          <w:bCs/>
        </w:rPr>
        <w:t>00023/OASECATEPE/IP/2026.</w:t>
      </w:r>
    </w:p>
    <w:p w14:paraId="291C5BE2" w14:textId="77777777" w:rsidR="004358B2" w:rsidRPr="000D7B75" w:rsidRDefault="004358B2">
      <w:pPr>
        <w:ind w:right="-591"/>
        <w:jc w:val="both"/>
        <w:rPr>
          <w:rFonts w:ascii="Palatino Linotype" w:eastAsia="Palatino Linotype" w:hAnsi="Palatino Linotype" w:cs="Palatino Linotype"/>
          <w:b/>
          <w:bCs/>
        </w:rPr>
      </w:pPr>
    </w:p>
    <w:p w14:paraId="3FFDA96B" w14:textId="77777777" w:rsidR="004358B2" w:rsidRPr="000D7B75" w:rsidRDefault="00C37ACC">
      <w:pPr>
        <w:tabs>
          <w:tab w:val="left" w:pos="8080"/>
        </w:tabs>
        <w:spacing w:line="360" w:lineRule="auto"/>
        <w:ind w:right="-591"/>
        <w:jc w:val="both"/>
        <w:rPr>
          <w:rFonts w:ascii="Palatino Linotype" w:eastAsia="Palatino Linotype" w:hAnsi="Palatino Linotype" w:cs="Palatino Linotype"/>
          <w:b/>
          <w:bCs/>
        </w:rPr>
      </w:pPr>
      <w:r w:rsidRPr="000D7B75">
        <w:rPr>
          <w:rFonts w:ascii="Palatino Linotype" w:eastAsia="Palatino Linotype" w:hAnsi="Palatino Linotype" w:cs="Palatino Linotype"/>
          <w:b/>
          <w:bCs/>
        </w:rPr>
        <w:t xml:space="preserve">TERCERO. NOTIFÍQUESE, </w:t>
      </w:r>
      <w:r w:rsidRPr="000D7B75">
        <w:rPr>
          <w:rFonts w:ascii="Palatino Linotype" w:eastAsia="Palatino Linotype" w:hAnsi="Palatino Linotype" w:cs="Palatino Linotype"/>
        </w:rPr>
        <w:t xml:space="preserve">vía Sistema de Acceso a la Información Mexiquense </w:t>
      </w:r>
      <w:r w:rsidRPr="000D7B75">
        <w:rPr>
          <w:rFonts w:ascii="Palatino Linotype" w:eastAsia="Palatino Linotype" w:hAnsi="Palatino Linotype" w:cs="Palatino Linotype"/>
          <w:b/>
          <w:bCs/>
        </w:rPr>
        <w:t>(SAIMEX),</w:t>
      </w:r>
      <w:r w:rsidRPr="000D7B75">
        <w:rPr>
          <w:rFonts w:ascii="Palatino Linotype" w:eastAsia="Palatino Linotype" w:hAnsi="Palatino Linotype" w:cs="Palatino Linotype"/>
        </w:rPr>
        <w:t xml:space="preserve"> la presente resolución al Titular de la Unidad de Transparencia del </w:t>
      </w:r>
      <w:r w:rsidRPr="000D7B75">
        <w:rPr>
          <w:rFonts w:ascii="Palatino Linotype" w:eastAsia="Palatino Linotype" w:hAnsi="Palatino Linotype" w:cs="Palatino Linotype"/>
          <w:b/>
          <w:bCs/>
        </w:rPr>
        <w:t>SUJETO OBLIGADO.</w:t>
      </w:r>
    </w:p>
    <w:p w14:paraId="0159502E" w14:textId="77777777" w:rsidR="004358B2" w:rsidRPr="000D7B75" w:rsidRDefault="004358B2">
      <w:pPr>
        <w:tabs>
          <w:tab w:val="left" w:pos="8080"/>
        </w:tabs>
        <w:ind w:right="-591"/>
        <w:jc w:val="both"/>
        <w:rPr>
          <w:rFonts w:ascii="Palatino Linotype" w:eastAsia="Palatino Linotype" w:hAnsi="Palatino Linotype" w:cs="Palatino Linotype"/>
          <w:b/>
          <w:bCs/>
        </w:rPr>
      </w:pPr>
    </w:p>
    <w:p w14:paraId="5A65B42D" w14:textId="77777777" w:rsidR="004358B2" w:rsidRPr="000D7B75" w:rsidRDefault="00C37ACC">
      <w:pPr>
        <w:shd w:val="clear" w:color="auto" w:fill="FFFFFF"/>
        <w:spacing w:line="360" w:lineRule="auto"/>
        <w:ind w:right="-591"/>
        <w:jc w:val="both"/>
        <w:rPr>
          <w:rFonts w:ascii="Palatino Linotype" w:eastAsia="Palatino Linotype" w:hAnsi="Palatino Linotype" w:cs="Palatino Linotype"/>
        </w:rPr>
      </w:pPr>
      <w:r w:rsidRPr="000D7B75">
        <w:rPr>
          <w:rFonts w:ascii="Palatino Linotype" w:eastAsia="Palatino Linotype" w:hAnsi="Palatino Linotype" w:cs="Palatino Linotype"/>
          <w:b/>
          <w:bCs/>
        </w:rPr>
        <w:t xml:space="preserve">CUARTO. </w:t>
      </w:r>
      <w:r w:rsidRPr="000D7B75">
        <w:rPr>
          <w:rFonts w:ascii="Palatino Linotype" w:eastAsia="Palatino Linotype" w:hAnsi="Palatino Linotype" w:cs="Palatino Linotype"/>
          <w:b/>
          <w:bCs/>
          <w:color w:val="222222"/>
        </w:rPr>
        <w:t>Notifíquese al RECURRENTE</w:t>
      </w:r>
      <w:r w:rsidRPr="000D7B75">
        <w:rPr>
          <w:rFonts w:ascii="Palatino Linotype" w:eastAsia="Palatino Linotype" w:hAnsi="Palatino Linotype" w:cs="Palatino Linotype"/>
          <w:b/>
          <w:bCs/>
        </w:rPr>
        <w:t xml:space="preserve"> </w:t>
      </w:r>
      <w:r w:rsidRPr="000D7B75">
        <w:rPr>
          <w:rFonts w:ascii="Palatino Linotype" w:eastAsia="Palatino Linotype" w:hAnsi="Palatino Linotype" w:cs="Palatino Linotype"/>
        </w:rPr>
        <w:t xml:space="preserve">la presente resolución a través del </w:t>
      </w:r>
      <w:r w:rsidRPr="000D7B75">
        <w:rPr>
          <w:rFonts w:ascii="Palatino Linotype" w:eastAsia="Palatino Linotype" w:hAnsi="Palatino Linotype" w:cs="Palatino Linotype"/>
          <w:b/>
          <w:bCs/>
        </w:rPr>
        <w:t>SAIMEX.</w:t>
      </w:r>
    </w:p>
    <w:p w14:paraId="0ABDF66C" w14:textId="77777777" w:rsidR="004358B2" w:rsidRPr="000D7B75" w:rsidRDefault="00C37ACC">
      <w:pPr>
        <w:spacing w:before="240" w:after="240" w:line="360" w:lineRule="auto"/>
        <w:ind w:right="-591"/>
        <w:jc w:val="both"/>
        <w:rPr>
          <w:rFonts w:ascii="Palatino Linotype" w:eastAsia="Palatino Linotype" w:hAnsi="Palatino Linotype" w:cs="Palatino Linotype"/>
        </w:rPr>
      </w:pPr>
      <w:r w:rsidRPr="000D7B75">
        <w:rPr>
          <w:rFonts w:ascii="Palatino Linotype" w:eastAsia="Palatino Linotype" w:hAnsi="Palatino Linotype" w:cs="Palatino Linotype"/>
          <w:b/>
          <w:bCs/>
        </w:rPr>
        <w:t>QUINTO.</w:t>
      </w:r>
      <w:r w:rsidRPr="000D7B75">
        <w:rPr>
          <w:rFonts w:ascii="Palatino Linotype" w:eastAsia="Palatino Linotype" w:hAnsi="Palatino Linotype" w:cs="Palatino Linotype"/>
        </w:rPr>
        <w:t xml:space="preserve"> Se hace del conocimiento del </w:t>
      </w:r>
      <w:r w:rsidRPr="000D7B75">
        <w:rPr>
          <w:rFonts w:ascii="Palatino Linotype" w:eastAsia="Palatino Linotype" w:hAnsi="Palatino Linotype" w:cs="Palatino Linotype"/>
          <w:b/>
          <w:bCs/>
          <w:color w:val="222222"/>
        </w:rPr>
        <w:t>RECURRENTE</w:t>
      </w:r>
      <w:r w:rsidRPr="000D7B75">
        <w:rPr>
          <w:rFonts w:ascii="Palatino Linotype" w:eastAsia="Palatino Linotype" w:hAnsi="Palatino Linotype" w:cs="Palatino Linotype"/>
          <w:b/>
          <w:bCs/>
        </w:rPr>
        <w:t xml:space="preserve"> </w:t>
      </w:r>
      <w:r w:rsidRPr="000D7B75">
        <w:rPr>
          <w:rFonts w:ascii="Palatino Linotype" w:eastAsia="Palatino Linotype" w:hAnsi="Palatino Linotype" w:cs="Palatino Linotype"/>
        </w:rPr>
        <w:t>que, de conformidad con lo establecido en el artículo 196 de la Ley de Transparencia y Acceso a la Información Pública del Estado de México y Municipios, en caso de que considere que la resolución le cause algún perjuicio podrá impugnar vía juicio de amparo en los términos de las leyes aplicables.</w:t>
      </w:r>
    </w:p>
    <w:p w14:paraId="691C6A96" w14:textId="77777777" w:rsidR="009708BB" w:rsidRPr="000D7B75" w:rsidRDefault="009708BB">
      <w:pPr>
        <w:spacing w:before="240" w:after="240" w:line="360" w:lineRule="auto"/>
        <w:ind w:right="-591"/>
        <w:jc w:val="both"/>
        <w:rPr>
          <w:rFonts w:ascii="Palatino Linotype" w:eastAsia="Palatino Linotype" w:hAnsi="Palatino Linotype" w:cs="Palatino Linotype"/>
        </w:rPr>
      </w:pPr>
    </w:p>
    <w:p w14:paraId="0231F44E" w14:textId="24938722" w:rsidR="009708BB" w:rsidRPr="000D7B75" w:rsidRDefault="00372FA4" w:rsidP="000D7B75">
      <w:pPr>
        <w:spacing w:before="240" w:after="240" w:line="360" w:lineRule="auto"/>
        <w:ind w:right="-596" w:firstLine="1"/>
        <w:jc w:val="both"/>
        <w:rPr>
          <w:rFonts w:ascii="Palatino Linotype" w:hAnsi="Palatino Linotype"/>
        </w:rPr>
      </w:pPr>
      <w:bookmarkStart w:id="7" w:name="_Hlk99014733"/>
      <w:r w:rsidRPr="000D7B75">
        <w:rPr>
          <w:rFonts w:ascii="Palatino Linotype" w:hAnsi="Palatino Linotype" w:cs="Palatino Linotype"/>
        </w:rPr>
        <w:t>ASÍ LO RESUELVE, POR MAYORÍA</w:t>
      </w:r>
      <w:r w:rsidR="009708BB" w:rsidRPr="000D7B75">
        <w:rPr>
          <w:rFonts w:ascii="Palatino Linotype" w:hAnsi="Palatino Linotype" w:cs="Palatino Linotype"/>
        </w:rPr>
        <w:t xml:space="preserve">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w:t>
      </w:r>
      <w:r w:rsidRPr="000D7B75">
        <w:rPr>
          <w:rFonts w:ascii="Palatino Linotype" w:hAnsi="Palatino Linotype" w:cs="Palatino Linotype"/>
        </w:rPr>
        <w:t xml:space="preserve">EMITIENDO VOTO DISIDENTE </w:t>
      </w:r>
      <w:r w:rsidR="009708BB" w:rsidRPr="000D7B75">
        <w:rPr>
          <w:rFonts w:ascii="Palatino Linotype" w:hAnsi="Palatino Linotype" w:cs="Palatino Linotype"/>
        </w:rPr>
        <w:t>Y GUADALUPE RAMÍREZ PEÑA</w:t>
      </w:r>
      <w:r w:rsidRPr="000D7B75">
        <w:rPr>
          <w:rFonts w:ascii="Palatino Linotype" w:hAnsi="Palatino Linotype" w:cs="Palatino Linotype"/>
        </w:rPr>
        <w:t xml:space="preserve"> EMITIENDO VOTO DISIDENTE</w:t>
      </w:r>
      <w:r w:rsidR="009708BB" w:rsidRPr="000D7B75">
        <w:rPr>
          <w:rFonts w:ascii="Palatino Linotype" w:hAnsi="Palatino Linotype" w:cs="Palatino Linotype"/>
        </w:rPr>
        <w:t xml:space="preserve">; EN LA VIGÉSIMA SESIÓN ORDINARIA, CELEBRADA EL TRES (03) DE JUNIO DE DOS MIL VEINTISÉIS, ANTE EL SECRETARIO TÉCNICO DEL PLENO </w:t>
      </w:r>
      <w:r w:rsidR="009708BB" w:rsidRPr="000D7B75">
        <w:rPr>
          <w:rFonts w:ascii="Palatino Linotype" w:hAnsi="Palatino Linotype" w:cs="Palatino Linotype"/>
          <w:color w:val="000000" w:themeColor="text1"/>
        </w:rPr>
        <w:t>ALEXIS TAPIA RAMÍREZ.</w:t>
      </w:r>
    </w:p>
    <w:bookmarkEnd w:id="7"/>
    <w:p w14:paraId="7688F131" w14:textId="77777777" w:rsidR="004358B2" w:rsidRPr="000D7B75" w:rsidRDefault="004358B2" w:rsidP="009708BB">
      <w:pPr>
        <w:spacing w:line="360" w:lineRule="auto"/>
        <w:ind w:left="-142"/>
        <w:jc w:val="both"/>
        <w:rPr>
          <w:rFonts w:ascii="Palatino Linotype" w:eastAsia="Palatino Linotype" w:hAnsi="Palatino Linotype" w:cs="Palatino Linotype"/>
        </w:rPr>
      </w:pPr>
    </w:p>
    <w:p w14:paraId="7E99D231" w14:textId="77777777" w:rsidR="004358B2" w:rsidRPr="000D7B75" w:rsidRDefault="004358B2">
      <w:pPr>
        <w:spacing w:before="240" w:after="240" w:line="360" w:lineRule="auto"/>
        <w:ind w:right="-591"/>
        <w:jc w:val="both"/>
        <w:rPr>
          <w:rFonts w:ascii="Palatino Linotype" w:eastAsia="Palatino Linotype" w:hAnsi="Palatino Linotype" w:cs="Palatino Linotype"/>
        </w:rPr>
      </w:pPr>
    </w:p>
    <w:p w14:paraId="6E21A97E" w14:textId="77777777" w:rsidR="004358B2" w:rsidRPr="000D7B75" w:rsidRDefault="004358B2">
      <w:pPr>
        <w:spacing w:line="360" w:lineRule="auto"/>
        <w:ind w:right="-591"/>
        <w:rPr>
          <w:rFonts w:ascii="Palatino Linotype" w:eastAsia="Palatino Linotype" w:hAnsi="Palatino Linotype" w:cs="Palatino Linotype"/>
        </w:rPr>
      </w:pPr>
    </w:p>
    <w:p w14:paraId="1C70452E" w14:textId="77777777" w:rsidR="004358B2" w:rsidRPr="000D7B75" w:rsidRDefault="004358B2">
      <w:pPr>
        <w:spacing w:line="360" w:lineRule="auto"/>
        <w:ind w:right="-591"/>
        <w:rPr>
          <w:rFonts w:ascii="Palatino Linotype" w:eastAsia="Palatino Linotype" w:hAnsi="Palatino Linotype" w:cs="Palatino Linotype"/>
        </w:rPr>
      </w:pPr>
    </w:p>
    <w:p w14:paraId="1A1AB9AC" w14:textId="77777777" w:rsidR="004358B2" w:rsidRPr="000D7B75" w:rsidRDefault="004358B2">
      <w:pPr>
        <w:spacing w:line="360" w:lineRule="auto"/>
        <w:ind w:right="-591"/>
        <w:rPr>
          <w:rFonts w:ascii="Palatino Linotype" w:eastAsia="Palatino Linotype" w:hAnsi="Palatino Linotype" w:cs="Palatino Linotype"/>
        </w:rPr>
      </w:pPr>
    </w:p>
    <w:p w14:paraId="0E51CBA9" w14:textId="77777777" w:rsidR="004358B2" w:rsidRPr="000D7B75" w:rsidRDefault="004358B2">
      <w:pPr>
        <w:spacing w:line="360" w:lineRule="auto"/>
        <w:ind w:right="-591"/>
        <w:rPr>
          <w:rFonts w:ascii="Palatino Linotype" w:eastAsia="Palatino Linotype" w:hAnsi="Palatino Linotype" w:cs="Palatino Linotype"/>
        </w:rPr>
      </w:pPr>
    </w:p>
    <w:p w14:paraId="72FED381" w14:textId="77777777" w:rsidR="004358B2" w:rsidRPr="000D7B75" w:rsidRDefault="004358B2">
      <w:pPr>
        <w:spacing w:line="360" w:lineRule="auto"/>
        <w:ind w:right="-591"/>
        <w:rPr>
          <w:rFonts w:ascii="Palatino Linotype" w:eastAsia="Palatino Linotype" w:hAnsi="Palatino Linotype" w:cs="Palatino Linotype"/>
        </w:rPr>
      </w:pPr>
    </w:p>
    <w:p w14:paraId="3504F626" w14:textId="77777777" w:rsidR="004358B2" w:rsidRPr="000D7B75" w:rsidRDefault="004358B2">
      <w:pPr>
        <w:spacing w:line="360" w:lineRule="auto"/>
        <w:ind w:right="-591"/>
        <w:rPr>
          <w:rFonts w:ascii="Palatino Linotype" w:eastAsia="Palatino Linotype" w:hAnsi="Palatino Linotype" w:cs="Palatino Linotype"/>
        </w:rPr>
      </w:pPr>
    </w:p>
    <w:p w14:paraId="1A63D411" w14:textId="77777777" w:rsidR="004358B2" w:rsidRPr="000D7B75" w:rsidRDefault="004358B2">
      <w:pPr>
        <w:spacing w:line="360" w:lineRule="auto"/>
        <w:ind w:right="-591"/>
        <w:rPr>
          <w:rFonts w:ascii="Palatino Linotype" w:eastAsia="Palatino Linotype" w:hAnsi="Palatino Linotype" w:cs="Palatino Linotype"/>
        </w:rPr>
      </w:pPr>
    </w:p>
    <w:p w14:paraId="02CB55DD" w14:textId="77777777" w:rsidR="004358B2" w:rsidRPr="000D7B75" w:rsidRDefault="004358B2">
      <w:pPr>
        <w:spacing w:line="360" w:lineRule="auto"/>
        <w:ind w:right="-591"/>
        <w:rPr>
          <w:rFonts w:ascii="Palatino Linotype" w:eastAsia="Palatino Linotype" w:hAnsi="Palatino Linotype" w:cs="Palatino Linotype"/>
        </w:rPr>
      </w:pPr>
    </w:p>
    <w:p w14:paraId="4DA9AFEA" w14:textId="77777777" w:rsidR="004358B2" w:rsidRPr="000D7B75" w:rsidRDefault="004358B2">
      <w:pPr>
        <w:spacing w:line="360" w:lineRule="auto"/>
        <w:ind w:right="-591"/>
        <w:rPr>
          <w:rFonts w:ascii="Palatino Linotype" w:eastAsia="Palatino Linotype" w:hAnsi="Palatino Linotype" w:cs="Palatino Linotype"/>
        </w:rPr>
      </w:pPr>
    </w:p>
    <w:p w14:paraId="01CE796F" w14:textId="77777777" w:rsidR="004358B2" w:rsidRPr="000D7B75" w:rsidRDefault="004358B2">
      <w:pPr>
        <w:spacing w:line="360" w:lineRule="auto"/>
        <w:ind w:right="-591"/>
        <w:rPr>
          <w:rFonts w:ascii="Palatino Linotype" w:eastAsia="Palatino Linotype" w:hAnsi="Palatino Linotype" w:cs="Palatino Linotype"/>
        </w:rPr>
      </w:pPr>
    </w:p>
    <w:p w14:paraId="69153E23" w14:textId="77777777" w:rsidR="004358B2" w:rsidRPr="000D7B75" w:rsidRDefault="004358B2">
      <w:pPr>
        <w:spacing w:line="360" w:lineRule="auto"/>
        <w:ind w:right="-591"/>
        <w:rPr>
          <w:rFonts w:ascii="Palatino Linotype" w:eastAsia="Palatino Linotype" w:hAnsi="Palatino Linotype" w:cs="Palatino Linotype"/>
        </w:rPr>
      </w:pPr>
    </w:p>
    <w:p w14:paraId="6EFDA200" w14:textId="77777777" w:rsidR="004358B2" w:rsidRPr="000D7B75" w:rsidRDefault="004358B2">
      <w:pPr>
        <w:spacing w:line="360" w:lineRule="auto"/>
        <w:ind w:right="-591"/>
        <w:rPr>
          <w:rFonts w:ascii="Palatino Linotype" w:eastAsia="Palatino Linotype" w:hAnsi="Palatino Linotype" w:cs="Palatino Linotype"/>
        </w:rPr>
      </w:pPr>
    </w:p>
    <w:p w14:paraId="133CD051" w14:textId="77777777" w:rsidR="004358B2" w:rsidRPr="000D7B75" w:rsidRDefault="004358B2">
      <w:pPr>
        <w:spacing w:line="360" w:lineRule="auto"/>
        <w:ind w:right="-591"/>
        <w:rPr>
          <w:rFonts w:ascii="Palatino Linotype" w:eastAsia="Palatino Linotype" w:hAnsi="Palatino Linotype" w:cs="Palatino Linotype"/>
        </w:rPr>
      </w:pPr>
    </w:p>
    <w:p w14:paraId="1F105FB6" w14:textId="77777777" w:rsidR="004358B2" w:rsidRPr="000D7B75" w:rsidRDefault="004358B2">
      <w:pPr>
        <w:spacing w:line="360" w:lineRule="auto"/>
        <w:ind w:right="-591"/>
        <w:rPr>
          <w:rFonts w:ascii="Palatino Linotype" w:eastAsia="Palatino Linotype" w:hAnsi="Palatino Linotype" w:cs="Palatino Linotype"/>
        </w:rPr>
      </w:pPr>
    </w:p>
    <w:p w14:paraId="52348A01" w14:textId="77777777" w:rsidR="004358B2" w:rsidRPr="000D7B75" w:rsidRDefault="004358B2">
      <w:pPr>
        <w:spacing w:line="360" w:lineRule="auto"/>
        <w:ind w:right="-591"/>
        <w:rPr>
          <w:rFonts w:ascii="Palatino Linotype" w:eastAsia="Palatino Linotype" w:hAnsi="Palatino Linotype" w:cs="Palatino Linotype"/>
        </w:rPr>
      </w:pPr>
    </w:p>
    <w:p w14:paraId="449F2DBE" w14:textId="77777777" w:rsidR="004358B2" w:rsidRPr="000D7B75" w:rsidRDefault="004358B2">
      <w:pPr>
        <w:spacing w:line="360" w:lineRule="auto"/>
        <w:ind w:right="-591"/>
        <w:rPr>
          <w:rFonts w:ascii="Palatino Linotype" w:eastAsia="Palatino Linotype" w:hAnsi="Palatino Linotype" w:cs="Palatino Linotype"/>
        </w:rPr>
      </w:pPr>
    </w:p>
    <w:p w14:paraId="29AAA2A6" w14:textId="77777777" w:rsidR="004358B2" w:rsidRPr="000D7B75" w:rsidRDefault="004358B2">
      <w:pPr>
        <w:spacing w:line="360" w:lineRule="auto"/>
        <w:ind w:right="-591"/>
        <w:rPr>
          <w:rFonts w:ascii="Palatino Linotype" w:eastAsia="Palatino Linotype" w:hAnsi="Palatino Linotype" w:cs="Palatino Linotype"/>
        </w:rPr>
      </w:pPr>
    </w:p>
    <w:p w14:paraId="122E7EDE" w14:textId="77777777" w:rsidR="004358B2" w:rsidRPr="000D7B75" w:rsidRDefault="004358B2">
      <w:pPr>
        <w:spacing w:line="360" w:lineRule="auto"/>
        <w:ind w:right="-591"/>
        <w:rPr>
          <w:rFonts w:ascii="Palatino Linotype" w:eastAsia="Palatino Linotype" w:hAnsi="Palatino Linotype" w:cs="Palatino Linotype"/>
        </w:rPr>
      </w:pPr>
    </w:p>
    <w:p w14:paraId="1CC5C5D8" w14:textId="77777777" w:rsidR="004358B2" w:rsidRPr="000D7B75" w:rsidRDefault="004358B2">
      <w:pPr>
        <w:spacing w:line="360" w:lineRule="auto"/>
        <w:ind w:right="-591"/>
        <w:rPr>
          <w:rFonts w:ascii="Palatino Linotype" w:eastAsia="Palatino Linotype" w:hAnsi="Palatino Linotype" w:cs="Palatino Linotype"/>
        </w:rPr>
      </w:pPr>
    </w:p>
    <w:p w14:paraId="6A43B5F9" w14:textId="77777777" w:rsidR="004358B2" w:rsidRPr="000D7B75" w:rsidRDefault="004358B2">
      <w:pPr>
        <w:spacing w:line="360" w:lineRule="auto"/>
        <w:ind w:right="-591"/>
        <w:rPr>
          <w:rFonts w:ascii="Palatino Linotype" w:eastAsia="Palatino Linotype" w:hAnsi="Palatino Linotype" w:cs="Palatino Linotype"/>
        </w:rPr>
      </w:pPr>
      <w:bookmarkStart w:id="8" w:name="_heading=h.wqyvxvuxi88v" w:colFirst="0" w:colLast="0"/>
      <w:bookmarkEnd w:id="8"/>
    </w:p>
    <w:sectPr w:rsidR="004358B2" w:rsidRPr="000D7B75" w:rsidSect="000D7B75">
      <w:headerReference w:type="even" r:id="rId12"/>
      <w:headerReference w:type="default" r:id="rId13"/>
      <w:footerReference w:type="default" r:id="rId14"/>
      <w:headerReference w:type="first" r:id="rId15"/>
      <w:footerReference w:type="first" r:id="rId16"/>
      <w:pgSz w:w="12240" w:h="15840"/>
      <w:pgMar w:top="1843" w:right="1325" w:bottom="1418" w:left="1588" w:header="709" w:footer="919"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A3CCEA2" w14:textId="77777777" w:rsidR="0098006A" w:rsidRDefault="0098006A">
      <w:r>
        <w:separator/>
      </w:r>
    </w:p>
  </w:endnote>
  <w:endnote w:type="continuationSeparator" w:id="0">
    <w:p w14:paraId="4BF821CC" w14:textId="77777777" w:rsidR="0098006A" w:rsidRDefault="009800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Palatino Linotype">
    <w:panose1 w:val="02040502050505030304"/>
    <w:charset w:val="00"/>
    <w:family w:val="roman"/>
    <w:pitch w:val="variable"/>
    <w:sig w:usb0="E0000287" w:usb1="40000013" w:usb2="00000000" w:usb3="00000000" w:csb0="0000019F" w:csb1="00000000"/>
    <w:embedRegular r:id="rId1" w:fontKey="{447F9725-C367-4AD8-93E6-3291792170C9}"/>
    <w:embedBold r:id="rId2" w:fontKey="{1540A8A5-04FA-434D-BD6F-7881F8F1244E}"/>
    <w:embedItalic r:id="rId3" w:fontKey="{B389ECBE-86B7-469C-B2B1-78F1159F2EA4}"/>
    <w:embedBoldItalic r:id="rId4" w:fontKey="{13C67CC3-9FB2-46A7-AA9A-334E0E12F187}"/>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Times New Roman"/>
    <w:charset w:val="00"/>
    <w:family w:val="auto"/>
    <w:pitch w:val="default"/>
    <w:embedRegular r:id="rId5" w:fontKey="{BC0071B7-F806-457E-970B-E85945C6CC50}"/>
  </w:font>
  <w:font w:name="Calibri">
    <w:panose1 w:val="020F0502020204030204"/>
    <w:charset w:val="00"/>
    <w:family w:val="swiss"/>
    <w:pitch w:val="variable"/>
    <w:sig w:usb0="E4002EFF" w:usb1="C200247B" w:usb2="00000009" w:usb3="00000000" w:csb0="000001FF" w:csb1="00000000"/>
    <w:embedRegular r:id="rId6" w:fontKey="{D66417C5-5436-4D48-98C9-36EB65344F59}"/>
  </w:font>
  <w:font w:name="Georgia">
    <w:panose1 w:val="02040502050405020303"/>
    <w:charset w:val="00"/>
    <w:family w:val="roman"/>
    <w:pitch w:val="variable"/>
    <w:sig w:usb0="00000287" w:usb1="00000000" w:usb2="00000000" w:usb3="00000000" w:csb0="0000009F" w:csb1="00000000"/>
    <w:embedItalic r:id="rId7" w:fontKey="{4148E020-C9D0-4555-8D6F-0F0F7FD38ACC}"/>
  </w:font>
  <w:font w:name="Arial">
    <w:panose1 w:val="020B0604020202020204"/>
    <w:charset w:val="00"/>
    <w:family w:val="swiss"/>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Garamond">
    <w:panose1 w:val="02020404030301010803"/>
    <w:charset w:val="00"/>
    <w:family w:val="roman"/>
    <w:pitch w:val="variable"/>
    <w:sig w:usb0="00000287" w:usb1="00000000" w:usb2="00000000" w:usb3="00000000" w:csb0="0000009F" w:csb1="00000000"/>
    <w:embedRegular r:id="rId8" w:fontKey="{B5098E0F-EC08-4854-8E89-33124EEB9896}"/>
  </w:font>
  <w:font w:name="Cambria">
    <w:panose1 w:val="02040503050406030204"/>
    <w:charset w:val="00"/>
    <w:family w:val="roman"/>
    <w:pitch w:val="variable"/>
    <w:sig w:usb0="E00006FF" w:usb1="420024FF" w:usb2="02000000" w:usb3="00000000" w:csb0="0000019F" w:csb1="00000000"/>
    <w:embedRegular r:id="rId9" w:fontKey="{46B4E78E-7939-4DB6-A9F7-246784C08F3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655126" w14:textId="77777777" w:rsidR="004358B2" w:rsidRPr="000D7B75" w:rsidRDefault="00C37ACC">
    <w:pPr>
      <w:pBdr>
        <w:top w:val="nil"/>
        <w:left w:val="nil"/>
        <w:bottom w:val="nil"/>
        <w:right w:val="nil"/>
        <w:between w:val="nil"/>
      </w:pBdr>
      <w:tabs>
        <w:tab w:val="center" w:pos="4419"/>
        <w:tab w:val="right" w:pos="8838"/>
      </w:tabs>
      <w:jc w:val="right"/>
      <w:rPr>
        <w:rFonts w:ascii="Palatino Linotype" w:eastAsia="Palatino Linotype" w:hAnsi="Palatino Linotype" w:cs="Palatino Linotype"/>
        <w:color w:val="000000"/>
        <w:sz w:val="22"/>
        <w:szCs w:val="22"/>
      </w:rPr>
    </w:pPr>
    <w:r w:rsidRPr="000D7B75">
      <w:rPr>
        <w:rFonts w:ascii="Palatino Linotype" w:eastAsia="Palatino Linotype" w:hAnsi="Palatino Linotype" w:cs="Palatino Linotype"/>
        <w:color w:val="000000"/>
        <w:sz w:val="22"/>
        <w:szCs w:val="22"/>
      </w:rPr>
      <w:t xml:space="preserve">Página </w:t>
    </w:r>
    <w:r w:rsidRPr="000D7B75">
      <w:rPr>
        <w:rFonts w:ascii="Palatino Linotype" w:eastAsia="Palatino Linotype" w:hAnsi="Palatino Linotype" w:cs="Palatino Linotype"/>
        <w:bCs/>
        <w:color w:val="000000"/>
        <w:sz w:val="22"/>
        <w:szCs w:val="22"/>
      </w:rPr>
      <w:fldChar w:fldCharType="begin"/>
    </w:r>
    <w:r w:rsidRPr="000D7B75">
      <w:rPr>
        <w:rFonts w:ascii="Palatino Linotype" w:eastAsia="Palatino Linotype" w:hAnsi="Palatino Linotype" w:cs="Palatino Linotype"/>
        <w:bCs/>
        <w:color w:val="000000"/>
        <w:sz w:val="22"/>
        <w:szCs w:val="22"/>
      </w:rPr>
      <w:instrText>PAGE</w:instrText>
    </w:r>
    <w:r w:rsidRPr="000D7B75">
      <w:rPr>
        <w:rFonts w:ascii="Palatino Linotype" w:eastAsia="Palatino Linotype" w:hAnsi="Palatino Linotype" w:cs="Palatino Linotype"/>
        <w:bCs/>
        <w:color w:val="000000"/>
        <w:sz w:val="22"/>
        <w:szCs w:val="22"/>
      </w:rPr>
      <w:fldChar w:fldCharType="separate"/>
    </w:r>
    <w:r w:rsidR="003D52F2">
      <w:rPr>
        <w:rFonts w:ascii="Palatino Linotype" w:eastAsia="Palatino Linotype" w:hAnsi="Palatino Linotype" w:cs="Palatino Linotype"/>
        <w:bCs/>
        <w:noProof/>
        <w:color w:val="000000"/>
        <w:sz w:val="22"/>
        <w:szCs w:val="22"/>
      </w:rPr>
      <w:t>7</w:t>
    </w:r>
    <w:r w:rsidRPr="000D7B75">
      <w:rPr>
        <w:rFonts w:ascii="Palatino Linotype" w:eastAsia="Palatino Linotype" w:hAnsi="Palatino Linotype" w:cs="Palatino Linotype"/>
        <w:bCs/>
        <w:color w:val="000000"/>
        <w:sz w:val="22"/>
        <w:szCs w:val="22"/>
      </w:rPr>
      <w:fldChar w:fldCharType="end"/>
    </w:r>
    <w:r w:rsidRPr="000D7B75">
      <w:rPr>
        <w:rFonts w:ascii="Palatino Linotype" w:eastAsia="Palatino Linotype" w:hAnsi="Palatino Linotype" w:cs="Palatino Linotype"/>
        <w:color w:val="000000"/>
        <w:sz w:val="22"/>
        <w:szCs w:val="22"/>
      </w:rPr>
      <w:t xml:space="preserve"> de </w:t>
    </w:r>
    <w:r w:rsidRPr="000D7B75">
      <w:rPr>
        <w:rFonts w:ascii="Palatino Linotype" w:eastAsia="Palatino Linotype" w:hAnsi="Palatino Linotype" w:cs="Palatino Linotype"/>
        <w:bCs/>
        <w:color w:val="000000"/>
        <w:sz w:val="22"/>
        <w:szCs w:val="22"/>
      </w:rPr>
      <w:fldChar w:fldCharType="begin"/>
    </w:r>
    <w:r w:rsidRPr="000D7B75">
      <w:rPr>
        <w:rFonts w:ascii="Palatino Linotype" w:eastAsia="Palatino Linotype" w:hAnsi="Palatino Linotype" w:cs="Palatino Linotype"/>
        <w:bCs/>
        <w:color w:val="000000"/>
        <w:sz w:val="22"/>
        <w:szCs w:val="22"/>
      </w:rPr>
      <w:instrText>NUMPAGES</w:instrText>
    </w:r>
    <w:r w:rsidRPr="000D7B75">
      <w:rPr>
        <w:rFonts w:ascii="Palatino Linotype" w:eastAsia="Palatino Linotype" w:hAnsi="Palatino Linotype" w:cs="Palatino Linotype"/>
        <w:bCs/>
        <w:color w:val="000000"/>
        <w:sz w:val="22"/>
        <w:szCs w:val="22"/>
      </w:rPr>
      <w:fldChar w:fldCharType="separate"/>
    </w:r>
    <w:r w:rsidR="003D52F2">
      <w:rPr>
        <w:rFonts w:ascii="Palatino Linotype" w:eastAsia="Palatino Linotype" w:hAnsi="Palatino Linotype" w:cs="Palatino Linotype"/>
        <w:bCs/>
        <w:noProof/>
        <w:color w:val="000000"/>
        <w:sz w:val="22"/>
        <w:szCs w:val="22"/>
      </w:rPr>
      <w:t>26</w:t>
    </w:r>
    <w:r w:rsidRPr="000D7B75">
      <w:rPr>
        <w:rFonts w:ascii="Palatino Linotype" w:eastAsia="Palatino Linotype" w:hAnsi="Palatino Linotype" w:cs="Palatino Linotype"/>
        <w:bCs/>
        <w:color w:val="000000"/>
        <w:sz w:val="22"/>
        <w:szCs w:val="22"/>
      </w:rPr>
      <w:fldChar w:fldCharType="end"/>
    </w:r>
  </w:p>
  <w:p w14:paraId="6DE71ABC" w14:textId="77777777" w:rsidR="004358B2" w:rsidRDefault="004358B2">
    <w:pPr>
      <w:pBdr>
        <w:top w:val="nil"/>
        <w:left w:val="nil"/>
        <w:bottom w:val="nil"/>
        <w:right w:val="nil"/>
        <w:between w:val="nil"/>
      </w:pBdr>
      <w:tabs>
        <w:tab w:val="center" w:pos="4419"/>
        <w:tab w:val="right" w:pos="8838"/>
      </w:tabs>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A8364B" w14:textId="77777777" w:rsidR="004358B2" w:rsidRDefault="00C37ACC">
    <w:pPr>
      <w:pBdr>
        <w:top w:val="nil"/>
        <w:left w:val="nil"/>
        <w:bottom w:val="nil"/>
        <w:right w:val="nil"/>
        <w:between w:val="nil"/>
      </w:pBdr>
      <w:tabs>
        <w:tab w:val="center" w:pos="4419"/>
        <w:tab w:val="right" w:pos="8838"/>
      </w:tabs>
      <w:jc w:val="right"/>
      <w:rPr>
        <w:rFonts w:ascii="Palatino Linotype" w:eastAsia="Palatino Linotype" w:hAnsi="Palatino Linotype" w:cs="Palatino Linotype"/>
        <w:color w:val="000000"/>
        <w:sz w:val="22"/>
        <w:szCs w:val="22"/>
      </w:rPr>
    </w:pPr>
    <w:r>
      <w:rPr>
        <w:rFonts w:ascii="Palatino Linotype" w:eastAsia="Palatino Linotype" w:hAnsi="Palatino Linotype" w:cs="Palatino Linotype"/>
        <w:color w:val="000000"/>
        <w:sz w:val="22"/>
        <w:szCs w:val="22"/>
      </w:rPr>
      <w:t xml:space="preserve">Página </w:t>
    </w:r>
    <w:r>
      <w:rPr>
        <w:rFonts w:ascii="Palatino Linotype" w:eastAsia="Palatino Linotype" w:hAnsi="Palatino Linotype" w:cs="Palatino Linotype"/>
        <w:b/>
        <w:bCs/>
        <w:color w:val="000000"/>
        <w:sz w:val="22"/>
        <w:szCs w:val="22"/>
      </w:rPr>
      <w:fldChar w:fldCharType="begin"/>
    </w:r>
    <w:r>
      <w:rPr>
        <w:rFonts w:ascii="Palatino Linotype" w:eastAsia="Palatino Linotype" w:hAnsi="Palatino Linotype" w:cs="Palatino Linotype"/>
        <w:b/>
        <w:bCs/>
        <w:color w:val="000000"/>
        <w:sz w:val="22"/>
        <w:szCs w:val="22"/>
      </w:rPr>
      <w:instrText>PAGE</w:instrText>
    </w:r>
    <w:r>
      <w:rPr>
        <w:rFonts w:ascii="Palatino Linotype" w:eastAsia="Palatino Linotype" w:hAnsi="Palatino Linotype" w:cs="Palatino Linotype"/>
        <w:b/>
        <w:bCs/>
        <w:color w:val="000000"/>
        <w:sz w:val="22"/>
        <w:szCs w:val="22"/>
      </w:rPr>
      <w:fldChar w:fldCharType="separate"/>
    </w:r>
    <w:r w:rsidR="003D52F2">
      <w:rPr>
        <w:rFonts w:ascii="Palatino Linotype" w:eastAsia="Palatino Linotype" w:hAnsi="Palatino Linotype" w:cs="Palatino Linotype"/>
        <w:b/>
        <w:bCs/>
        <w:noProof/>
        <w:color w:val="000000"/>
        <w:sz w:val="22"/>
        <w:szCs w:val="22"/>
      </w:rPr>
      <w:t>1</w:t>
    </w:r>
    <w:r>
      <w:rPr>
        <w:rFonts w:ascii="Palatino Linotype" w:eastAsia="Palatino Linotype" w:hAnsi="Palatino Linotype" w:cs="Palatino Linotype"/>
        <w:b/>
        <w:bCs/>
        <w:color w:val="000000"/>
        <w:sz w:val="22"/>
        <w:szCs w:val="22"/>
      </w:rPr>
      <w:fldChar w:fldCharType="end"/>
    </w:r>
    <w:r>
      <w:rPr>
        <w:rFonts w:ascii="Palatino Linotype" w:eastAsia="Palatino Linotype" w:hAnsi="Palatino Linotype" w:cs="Palatino Linotype"/>
        <w:color w:val="000000"/>
        <w:sz w:val="22"/>
        <w:szCs w:val="22"/>
      </w:rPr>
      <w:t xml:space="preserve"> de </w:t>
    </w:r>
    <w:r>
      <w:rPr>
        <w:rFonts w:ascii="Palatino Linotype" w:eastAsia="Palatino Linotype" w:hAnsi="Palatino Linotype" w:cs="Palatino Linotype"/>
        <w:b/>
        <w:bCs/>
        <w:color w:val="000000"/>
        <w:sz w:val="22"/>
        <w:szCs w:val="22"/>
      </w:rPr>
      <w:fldChar w:fldCharType="begin"/>
    </w:r>
    <w:r>
      <w:rPr>
        <w:rFonts w:ascii="Palatino Linotype" w:eastAsia="Palatino Linotype" w:hAnsi="Palatino Linotype" w:cs="Palatino Linotype"/>
        <w:b/>
        <w:bCs/>
        <w:color w:val="000000"/>
        <w:sz w:val="22"/>
        <w:szCs w:val="22"/>
      </w:rPr>
      <w:instrText>NUMPAGES</w:instrText>
    </w:r>
    <w:r>
      <w:rPr>
        <w:rFonts w:ascii="Palatino Linotype" w:eastAsia="Palatino Linotype" w:hAnsi="Palatino Linotype" w:cs="Palatino Linotype"/>
        <w:b/>
        <w:bCs/>
        <w:color w:val="000000"/>
        <w:sz w:val="22"/>
        <w:szCs w:val="22"/>
      </w:rPr>
      <w:fldChar w:fldCharType="separate"/>
    </w:r>
    <w:r w:rsidR="003D52F2">
      <w:rPr>
        <w:rFonts w:ascii="Palatino Linotype" w:eastAsia="Palatino Linotype" w:hAnsi="Palatino Linotype" w:cs="Palatino Linotype"/>
        <w:b/>
        <w:bCs/>
        <w:noProof/>
        <w:color w:val="000000"/>
        <w:sz w:val="22"/>
        <w:szCs w:val="22"/>
      </w:rPr>
      <w:t>26</w:t>
    </w:r>
    <w:r>
      <w:rPr>
        <w:rFonts w:ascii="Palatino Linotype" w:eastAsia="Palatino Linotype" w:hAnsi="Palatino Linotype" w:cs="Palatino Linotype"/>
        <w:b/>
        <w:bCs/>
        <w:color w:val="000000"/>
        <w:sz w:val="22"/>
        <w:szCs w:val="22"/>
      </w:rPr>
      <w:fldChar w:fldCharType="end"/>
    </w:r>
  </w:p>
  <w:p w14:paraId="1D37B71C" w14:textId="77777777" w:rsidR="004358B2" w:rsidRDefault="004358B2">
    <w:pPr>
      <w:pBdr>
        <w:top w:val="nil"/>
        <w:left w:val="nil"/>
        <w:bottom w:val="nil"/>
        <w:right w:val="nil"/>
        <w:between w:val="nil"/>
      </w:pBdr>
      <w:tabs>
        <w:tab w:val="center" w:pos="4419"/>
        <w:tab w:val="right" w:pos="8838"/>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031DD0C" w14:textId="77777777" w:rsidR="0098006A" w:rsidRDefault="0098006A">
      <w:r>
        <w:separator/>
      </w:r>
    </w:p>
  </w:footnote>
  <w:footnote w:type="continuationSeparator" w:id="0">
    <w:p w14:paraId="72FD48EF" w14:textId="77777777" w:rsidR="0098006A" w:rsidRDefault="0098006A">
      <w:r>
        <w:continuationSeparator/>
      </w:r>
    </w:p>
  </w:footnote>
  <w:footnote w:id="1">
    <w:p w14:paraId="6103DB90" w14:textId="77777777" w:rsidR="004358B2" w:rsidRDefault="00C37ACC">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Convención Americana sobre Derechos Humanos. Artículo 13.</w:t>
      </w:r>
    </w:p>
  </w:footnote>
  <w:footnote w:id="2">
    <w:p w14:paraId="6C0B0F22" w14:textId="77777777" w:rsidR="004358B2" w:rsidRDefault="00C37ACC">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Constitución Política de los Estados Unidos Mexicanos. Artículo sexto, sección A, fracción I.</w:t>
      </w:r>
    </w:p>
  </w:footnote>
  <w:footnote w:id="3">
    <w:p w14:paraId="7F5073CC" w14:textId="77777777" w:rsidR="004358B2" w:rsidRDefault="00C37ACC">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Corte Interamericana de Derechos Humanos. Caso Claude Reyes y otros vs. Chile. Sentencia de 19 de septiembre de 2006. Serie C. No. 151. Párr. 86.</w:t>
      </w:r>
    </w:p>
  </w:footnote>
  <w:footnote w:id="4">
    <w:p w14:paraId="4C776167" w14:textId="77777777" w:rsidR="004358B2" w:rsidRDefault="00C37ACC">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Ibídem. Parr. 87.</w:t>
      </w:r>
    </w:p>
  </w:footnote>
  <w:footnote w:id="5">
    <w:p w14:paraId="1AE095D8" w14:textId="77777777" w:rsidR="004358B2" w:rsidRDefault="00C37ACC">
      <w:pPr>
        <w:pBdr>
          <w:top w:val="nil"/>
          <w:left w:val="nil"/>
          <w:bottom w:val="nil"/>
          <w:right w:val="nil"/>
          <w:between w:val="nil"/>
        </w:pBdr>
        <w:rPr>
          <w:rFonts w:ascii="Calibri" w:eastAsia="Calibri" w:hAnsi="Calibri" w:cs="Calibri"/>
          <w:color w:val="000000"/>
          <w:sz w:val="20"/>
          <w:szCs w:val="20"/>
        </w:rPr>
      </w:pPr>
      <w:r>
        <w:rPr>
          <w:vertAlign w:val="superscript"/>
        </w:rPr>
        <w:footnoteRef/>
      </w:r>
      <w:r>
        <w:rPr>
          <w:rFonts w:ascii="Calibri" w:eastAsia="Calibri" w:hAnsi="Calibri" w:cs="Calibri"/>
          <w:color w:val="000000"/>
          <w:sz w:val="20"/>
          <w:szCs w:val="20"/>
        </w:rPr>
        <w:t xml:space="preserve"> </w:t>
      </w:r>
      <w:hyperlink r:id="rId1">
        <w:r>
          <w:rPr>
            <w:rFonts w:ascii="Calibri" w:eastAsia="Calibri" w:hAnsi="Calibri" w:cs="Calibri"/>
            <w:color w:val="0563C1"/>
            <w:sz w:val="20"/>
            <w:szCs w:val="20"/>
            <w:u w:val="single"/>
          </w:rPr>
          <w:t>https://ecatepec.gob.mx/cabildo-de-ecatepec-aprueba-actualizacion-del-programa-anual-de-obra-publica/</w:t>
        </w:r>
      </w:hyperlink>
      <w:r>
        <w:rPr>
          <w:rFonts w:ascii="Calibri" w:eastAsia="Calibri" w:hAnsi="Calibri" w:cs="Calibri"/>
          <w:color w:val="000000"/>
          <w:sz w:val="20"/>
          <w:szCs w:val="20"/>
        </w:rPr>
        <w:t xml:space="preserve"> consultada el 27/05/2026</w:t>
      </w:r>
    </w:p>
  </w:footnote>
  <w:footnote w:id="6">
    <w:p w14:paraId="34E148C0" w14:textId="77777777" w:rsidR="004358B2" w:rsidRDefault="00C37ACC">
      <w:pPr>
        <w:pBdr>
          <w:top w:val="nil"/>
          <w:left w:val="nil"/>
          <w:bottom w:val="nil"/>
          <w:right w:val="nil"/>
          <w:between w:val="nil"/>
        </w:pBdr>
        <w:jc w:val="both"/>
        <w:rPr>
          <w:rFonts w:ascii="Palatino Linotype" w:eastAsia="Palatino Linotype" w:hAnsi="Palatino Linotype" w:cs="Palatino Linotype"/>
          <w:color w:val="000000"/>
          <w:sz w:val="16"/>
          <w:szCs w:val="16"/>
        </w:rPr>
      </w:pPr>
      <w:r>
        <w:rPr>
          <w:vertAlign w:val="superscript"/>
        </w:rPr>
        <w:footnoteRef/>
      </w:r>
      <w:r>
        <w:rPr>
          <w:rFonts w:ascii="Palatino Linotype" w:eastAsia="Palatino Linotype" w:hAnsi="Palatino Linotype" w:cs="Palatino Linotype"/>
          <w:color w:val="000000"/>
          <w:sz w:val="16"/>
          <w:szCs w:val="16"/>
        </w:rPr>
        <w:t xml:space="preserve"> Tesis [J.]: XX.2o. J/24, </w:t>
      </w:r>
      <w:r>
        <w:rPr>
          <w:rFonts w:ascii="Palatino Linotype" w:eastAsia="Palatino Linotype" w:hAnsi="Palatino Linotype" w:cs="Palatino Linotype"/>
          <w:i/>
          <w:iCs/>
          <w:color w:val="000000"/>
          <w:sz w:val="16"/>
          <w:szCs w:val="16"/>
        </w:rPr>
        <w:t xml:space="preserve">Semanario Judicial de la Federación y su Gaceta, </w:t>
      </w:r>
      <w:r>
        <w:rPr>
          <w:rFonts w:ascii="Palatino Linotype" w:eastAsia="Palatino Linotype" w:hAnsi="Palatino Linotype" w:cs="Palatino Linotype"/>
          <w:color w:val="000000"/>
          <w:sz w:val="16"/>
          <w:szCs w:val="16"/>
        </w:rPr>
        <w:t>Novena Época, Tribunales Colegiados de Circuito, XXIX, Enero de 2009, P. 2470, Registro digital 168124.</w:t>
      </w:r>
    </w:p>
  </w:footnote>
  <w:footnote w:id="7">
    <w:p w14:paraId="41B0B9F4" w14:textId="77777777" w:rsidR="004358B2" w:rsidRDefault="00C37ACC">
      <w:pPr>
        <w:pBdr>
          <w:top w:val="nil"/>
          <w:left w:val="nil"/>
          <w:bottom w:val="nil"/>
          <w:right w:val="nil"/>
          <w:between w:val="nil"/>
        </w:pBdr>
        <w:jc w:val="both"/>
        <w:rPr>
          <w:rFonts w:ascii="Palatino Linotype" w:eastAsia="Palatino Linotype" w:hAnsi="Palatino Linotype" w:cs="Palatino Linotype"/>
          <w:color w:val="000000"/>
          <w:sz w:val="16"/>
          <w:szCs w:val="16"/>
        </w:rPr>
      </w:pPr>
      <w:r>
        <w:rPr>
          <w:vertAlign w:val="superscript"/>
        </w:rPr>
        <w:footnoteRef/>
      </w:r>
      <w:r>
        <w:rPr>
          <w:rFonts w:ascii="Calibri" w:eastAsia="Calibri" w:hAnsi="Calibri" w:cs="Calibri"/>
          <w:color w:val="000000"/>
          <w:sz w:val="20"/>
          <w:szCs w:val="20"/>
        </w:rPr>
        <w:t xml:space="preserve"> </w:t>
      </w:r>
      <w:r>
        <w:rPr>
          <w:rFonts w:ascii="Palatino Linotype" w:eastAsia="Palatino Linotype" w:hAnsi="Palatino Linotype" w:cs="Palatino Linotype"/>
          <w:color w:val="000000"/>
          <w:sz w:val="16"/>
          <w:szCs w:val="16"/>
        </w:rPr>
        <w:t xml:space="preserve">Tesis [A.]: I.7o.A.16 K (10a.), </w:t>
      </w:r>
      <w:r>
        <w:rPr>
          <w:rFonts w:ascii="Palatino Linotype" w:eastAsia="Palatino Linotype" w:hAnsi="Palatino Linotype" w:cs="Palatino Linotype"/>
          <w:i/>
          <w:iCs/>
          <w:color w:val="000000"/>
          <w:sz w:val="16"/>
          <w:szCs w:val="16"/>
        </w:rPr>
        <w:t>Semanario Judicial de la Federación y su Gaceta</w:t>
      </w:r>
      <w:r>
        <w:rPr>
          <w:rFonts w:ascii="Palatino Linotype" w:eastAsia="Palatino Linotype" w:hAnsi="Palatino Linotype" w:cs="Palatino Linotype"/>
          <w:color w:val="000000"/>
          <w:sz w:val="16"/>
          <w:szCs w:val="16"/>
        </w:rPr>
        <w:t>, Décima Época, Tribunales Colegiados de Circuito Libro 7, Junio de 2014, Tomo II, P. 1725,  Registro digital 2004949.</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14B579" w14:textId="77777777" w:rsidR="004358B2" w:rsidRDefault="0098006A">
    <w:pPr>
      <w:pBdr>
        <w:top w:val="nil"/>
        <w:left w:val="nil"/>
        <w:bottom w:val="nil"/>
        <w:right w:val="nil"/>
        <w:between w:val="nil"/>
      </w:pBdr>
      <w:tabs>
        <w:tab w:val="center" w:pos="4419"/>
        <w:tab w:val="right" w:pos="8838"/>
      </w:tabs>
      <w:rPr>
        <w:color w:val="000000"/>
      </w:rPr>
    </w:pPr>
    <w:r>
      <w:rPr>
        <w:color w:val="000000"/>
      </w:rPr>
      <w:pict w14:anchorId="0FEB6A8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49" type="#_x0000_t75" alt="" style="position:absolute;margin-left:0;margin-top:0;width:589.8pt;height:768pt;z-index:-251657728;mso-position-horizontal:center;mso-position-horizontal-relative:margin;mso-position-vertical:center;mso-position-vertical-relative:margin">
          <v:imagedata r:id="rId1" o:title="image5"/>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
      <w:tblW w:w="10290" w:type="dxa"/>
      <w:tblInd w:w="0" w:type="dxa"/>
      <w:tblLayout w:type="fixed"/>
      <w:tblLook w:val="0400" w:firstRow="0" w:lastRow="0" w:firstColumn="0" w:lastColumn="0" w:noHBand="0" w:noVBand="1"/>
    </w:tblPr>
    <w:tblGrid>
      <w:gridCol w:w="2310"/>
      <w:gridCol w:w="7980"/>
    </w:tblGrid>
    <w:tr w:rsidR="004358B2" w14:paraId="391109C3" w14:textId="77777777">
      <w:trPr>
        <w:trHeight w:val="2063"/>
      </w:trPr>
      <w:tc>
        <w:tcPr>
          <w:tcW w:w="2310" w:type="dxa"/>
        </w:tcPr>
        <w:p w14:paraId="20CF5973" w14:textId="0E949A03" w:rsidR="004358B2" w:rsidRDefault="004358B2">
          <w:pPr>
            <w:tabs>
              <w:tab w:val="right" w:pos="4273"/>
            </w:tabs>
            <w:rPr>
              <w:rFonts w:ascii="Garamond" w:eastAsia="Garamond" w:hAnsi="Garamond" w:cs="Garamond"/>
              <w:sz w:val="16"/>
              <w:szCs w:val="16"/>
            </w:rPr>
          </w:pPr>
        </w:p>
      </w:tc>
      <w:tc>
        <w:tcPr>
          <w:tcW w:w="7980" w:type="dxa"/>
        </w:tcPr>
        <w:tbl>
          <w:tblPr>
            <w:tblStyle w:val="a0"/>
            <w:tblW w:w="8207" w:type="dxa"/>
            <w:tblInd w:w="127" w:type="dxa"/>
            <w:tblLayout w:type="fixed"/>
            <w:tblLook w:val="0400" w:firstRow="0" w:lastRow="0" w:firstColumn="0" w:lastColumn="0" w:noHBand="0" w:noVBand="1"/>
          </w:tblPr>
          <w:tblGrid>
            <w:gridCol w:w="2820"/>
            <w:gridCol w:w="5387"/>
          </w:tblGrid>
          <w:tr w:rsidR="004358B2" w14:paraId="5DD0A0FF" w14:textId="77777777" w:rsidTr="000D7B75">
            <w:trPr>
              <w:trHeight w:val="68"/>
            </w:trPr>
            <w:tc>
              <w:tcPr>
                <w:tcW w:w="2820" w:type="dxa"/>
              </w:tcPr>
              <w:p w14:paraId="264853E6" w14:textId="77777777" w:rsidR="004358B2" w:rsidRPr="000D7B75" w:rsidRDefault="00C37ACC" w:rsidP="000D7B75">
                <w:pPr>
                  <w:tabs>
                    <w:tab w:val="right" w:pos="8838"/>
                  </w:tabs>
                  <w:ind w:left="154" w:right="-274"/>
                  <w:rPr>
                    <w:rFonts w:ascii="Palatino Linotype" w:eastAsia="Palatino Linotype" w:hAnsi="Palatino Linotype" w:cs="Palatino Linotype"/>
                    <w:b/>
                    <w:bCs/>
                  </w:rPr>
                </w:pPr>
                <w:r w:rsidRPr="000D7B75">
                  <w:rPr>
                    <w:rFonts w:ascii="Palatino Linotype" w:eastAsia="Palatino Linotype" w:hAnsi="Palatino Linotype" w:cs="Palatino Linotype"/>
                    <w:b/>
                    <w:bCs/>
                  </w:rPr>
                  <w:t>Recurso de Revisión:</w:t>
                </w:r>
              </w:p>
            </w:tc>
            <w:tc>
              <w:tcPr>
                <w:tcW w:w="5387" w:type="dxa"/>
              </w:tcPr>
              <w:p w14:paraId="3FC759E6" w14:textId="77777777" w:rsidR="004358B2" w:rsidRPr="000D7B75" w:rsidRDefault="00C37ACC" w:rsidP="000D7B75">
                <w:pPr>
                  <w:ind w:left="154" w:right="-1512"/>
                  <w:rPr>
                    <w:rFonts w:ascii="Palatino Linotype" w:eastAsia="Palatino Linotype" w:hAnsi="Palatino Linotype" w:cs="Palatino Linotype"/>
                  </w:rPr>
                </w:pPr>
                <w:r w:rsidRPr="000D7B75">
                  <w:rPr>
                    <w:rFonts w:ascii="Palatino Linotype" w:eastAsia="Palatino Linotype" w:hAnsi="Palatino Linotype" w:cs="Palatino Linotype"/>
                  </w:rPr>
                  <w:t>03433/INFOEM/IP/RR/2026</w:t>
                </w:r>
              </w:p>
            </w:tc>
          </w:tr>
          <w:tr w:rsidR="004358B2" w14:paraId="2107D4FA" w14:textId="77777777" w:rsidTr="000D7B75">
            <w:trPr>
              <w:trHeight w:val="135"/>
            </w:trPr>
            <w:tc>
              <w:tcPr>
                <w:tcW w:w="2820" w:type="dxa"/>
              </w:tcPr>
              <w:p w14:paraId="27BD4BAD" w14:textId="77777777" w:rsidR="004358B2" w:rsidRPr="000D7B75" w:rsidRDefault="00C37ACC" w:rsidP="000D7B75">
                <w:pPr>
                  <w:tabs>
                    <w:tab w:val="right" w:pos="8838"/>
                  </w:tabs>
                  <w:ind w:left="154" w:right="-274"/>
                  <w:rPr>
                    <w:rFonts w:ascii="Palatino Linotype" w:eastAsia="Palatino Linotype" w:hAnsi="Palatino Linotype" w:cs="Palatino Linotype"/>
                    <w:b/>
                    <w:bCs/>
                  </w:rPr>
                </w:pPr>
                <w:r w:rsidRPr="000D7B75">
                  <w:rPr>
                    <w:rFonts w:ascii="Palatino Linotype" w:eastAsia="Palatino Linotype" w:hAnsi="Palatino Linotype" w:cs="Palatino Linotype"/>
                    <w:b/>
                    <w:bCs/>
                  </w:rPr>
                  <w:t>Sujeto Obligado:</w:t>
                </w:r>
              </w:p>
            </w:tc>
            <w:tc>
              <w:tcPr>
                <w:tcW w:w="5387" w:type="dxa"/>
              </w:tcPr>
              <w:p w14:paraId="240CFB0D" w14:textId="77777777" w:rsidR="004358B2" w:rsidRPr="000D7B75" w:rsidRDefault="00C37ACC" w:rsidP="000D7B75">
                <w:pPr>
                  <w:tabs>
                    <w:tab w:val="left" w:pos="2834"/>
                  </w:tabs>
                  <w:ind w:left="154" w:right="-810"/>
                  <w:rPr>
                    <w:rFonts w:ascii="Palatino Linotype" w:eastAsia="Palatino Linotype" w:hAnsi="Palatino Linotype" w:cs="Palatino Linotype"/>
                  </w:rPr>
                </w:pPr>
                <w:r w:rsidRPr="000D7B75">
                  <w:rPr>
                    <w:rFonts w:ascii="Palatino Linotype" w:eastAsia="Palatino Linotype" w:hAnsi="Palatino Linotype" w:cs="Palatino Linotype"/>
                  </w:rPr>
                  <w:t>Sistema de Agua Potable Alcantarillado y Saneamiento de Ecatepec de Morelos</w:t>
                </w:r>
              </w:p>
            </w:tc>
          </w:tr>
          <w:tr w:rsidR="004358B2" w14:paraId="327E5C3B" w14:textId="77777777" w:rsidTr="000D7B75">
            <w:trPr>
              <w:trHeight w:val="135"/>
            </w:trPr>
            <w:tc>
              <w:tcPr>
                <w:tcW w:w="2820" w:type="dxa"/>
              </w:tcPr>
              <w:p w14:paraId="44823796" w14:textId="77777777" w:rsidR="004358B2" w:rsidRPr="000D7B75" w:rsidRDefault="00C37ACC" w:rsidP="000D7B75">
                <w:pPr>
                  <w:tabs>
                    <w:tab w:val="right" w:pos="8838"/>
                  </w:tabs>
                  <w:ind w:left="154" w:right="-274"/>
                  <w:rPr>
                    <w:rFonts w:ascii="Palatino Linotype" w:eastAsia="Palatino Linotype" w:hAnsi="Palatino Linotype" w:cs="Palatino Linotype"/>
                    <w:b/>
                    <w:bCs/>
                  </w:rPr>
                </w:pPr>
                <w:r w:rsidRPr="000D7B75">
                  <w:rPr>
                    <w:rFonts w:ascii="Palatino Linotype" w:eastAsia="Palatino Linotype" w:hAnsi="Palatino Linotype" w:cs="Palatino Linotype"/>
                    <w:b/>
                    <w:bCs/>
                  </w:rPr>
                  <w:t>Comisionada ponente:</w:t>
                </w:r>
              </w:p>
            </w:tc>
            <w:tc>
              <w:tcPr>
                <w:tcW w:w="5387" w:type="dxa"/>
              </w:tcPr>
              <w:p w14:paraId="529B5B3E" w14:textId="77777777" w:rsidR="004358B2" w:rsidRPr="000D7B75" w:rsidRDefault="00C37ACC" w:rsidP="000D7B75">
                <w:pPr>
                  <w:ind w:left="154" w:right="-1512"/>
                  <w:rPr>
                    <w:rFonts w:ascii="Palatino Linotype" w:eastAsia="Palatino Linotype" w:hAnsi="Palatino Linotype" w:cs="Palatino Linotype"/>
                  </w:rPr>
                </w:pPr>
                <w:r w:rsidRPr="000D7B75">
                  <w:rPr>
                    <w:rFonts w:ascii="Palatino Linotype" w:eastAsia="Palatino Linotype" w:hAnsi="Palatino Linotype" w:cs="Palatino Linotype"/>
                  </w:rPr>
                  <w:t>María del Rosario Mejía Ayala</w:t>
                </w:r>
              </w:p>
              <w:p w14:paraId="2D084CFD" w14:textId="77777777" w:rsidR="004358B2" w:rsidRPr="000D7B75" w:rsidRDefault="004358B2" w:rsidP="000D7B75">
                <w:pPr>
                  <w:ind w:left="154" w:right="-1512"/>
                  <w:rPr>
                    <w:rFonts w:ascii="Palatino Linotype" w:eastAsia="Palatino Linotype" w:hAnsi="Palatino Linotype" w:cs="Palatino Linotype"/>
                  </w:rPr>
                </w:pPr>
              </w:p>
            </w:tc>
          </w:tr>
        </w:tbl>
        <w:p w14:paraId="34A50080" w14:textId="77777777" w:rsidR="004358B2" w:rsidRDefault="004358B2">
          <w:pPr>
            <w:tabs>
              <w:tab w:val="right" w:pos="8838"/>
            </w:tabs>
            <w:ind w:left="-28"/>
            <w:jc w:val="both"/>
            <w:rPr>
              <w:rFonts w:ascii="Arial" w:eastAsia="Arial" w:hAnsi="Arial" w:cs="Arial"/>
              <w:b/>
              <w:bCs/>
              <w:sz w:val="22"/>
              <w:szCs w:val="22"/>
            </w:rPr>
          </w:pPr>
        </w:p>
      </w:tc>
    </w:tr>
  </w:tbl>
  <w:p w14:paraId="5DB060D2" w14:textId="75E52440" w:rsidR="004358B2" w:rsidRDefault="0098006A">
    <w:pPr>
      <w:pBdr>
        <w:top w:val="nil"/>
        <w:left w:val="nil"/>
        <w:bottom w:val="nil"/>
        <w:right w:val="nil"/>
        <w:between w:val="nil"/>
      </w:pBdr>
      <w:tabs>
        <w:tab w:val="center" w:pos="4419"/>
        <w:tab w:val="right" w:pos="8838"/>
      </w:tabs>
      <w:rPr>
        <w:color w:val="000000"/>
        <w:sz w:val="14"/>
        <w:szCs w:val="14"/>
      </w:rPr>
    </w:pPr>
    <w:r>
      <w:pict w14:anchorId="5561B69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1" type="#_x0000_t75" alt="" style="position:absolute;margin-left:-67.75pt;margin-top:-125.05pt;width:589.8pt;height:768pt;z-index:-251659776;mso-position-horizontal-relative:margin;mso-position-vertical-relative:margin">
          <v:imagedata r:id="rId1" o:title="image5"/>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1"/>
      <w:tblW w:w="10490" w:type="dxa"/>
      <w:tblInd w:w="0" w:type="dxa"/>
      <w:tblLayout w:type="fixed"/>
      <w:tblLook w:val="0400" w:firstRow="0" w:lastRow="0" w:firstColumn="0" w:lastColumn="0" w:noHBand="0" w:noVBand="1"/>
    </w:tblPr>
    <w:tblGrid>
      <w:gridCol w:w="2268"/>
      <w:gridCol w:w="8222"/>
    </w:tblGrid>
    <w:tr w:rsidR="004358B2" w14:paraId="3E91C6F5" w14:textId="77777777" w:rsidTr="000D7B75">
      <w:trPr>
        <w:trHeight w:val="2303"/>
      </w:trPr>
      <w:tc>
        <w:tcPr>
          <w:tcW w:w="2268" w:type="dxa"/>
        </w:tcPr>
        <w:p w14:paraId="53223EBC" w14:textId="299BEA4D" w:rsidR="004358B2" w:rsidRDefault="004358B2">
          <w:pPr>
            <w:tabs>
              <w:tab w:val="right" w:pos="4273"/>
            </w:tabs>
            <w:rPr>
              <w:rFonts w:ascii="Garamond" w:eastAsia="Garamond" w:hAnsi="Garamond" w:cs="Garamond"/>
              <w:sz w:val="22"/>
              <w:szCs w:val="22"/>
            </w:rPr>
          </w:pPr>
        </w:p>
      </w:tc>
      <w:tc>
        <w:tcPr>
          <w:tcW w:w="8222" w:type="dxa"/>
        </w:tcPr>
        <w:tbl>
          <w:tblPr>
            <w:tblStyle w:val="a2"/>
            <w:tblW w:w="7283" w:type="dxa"/>
            <w:tblInd w:w="452" w:type="dxa"/>
            <w:tblLayout w:type="fixed"/>
            <w:tblLook w:val="0400" w:firstRow="0" w:lastRow="0" w:firstColumn="0" w:lastColumn="0" w:noHBand="0" w:noVBand="1"/>
          </w:tblPr>
          <w:tblGrid>
            <w:gridCol w:w="2642"/>
            <w:gridCol w:w="4641"/>
          </w:tblGrid>
          <w:tr w:rsidR="000D7B75" w14:paraId="38C5E435" w14:textId="77777777" w:rsidTr="000D7B75">
            <w:tc>
              <w:tcPr>
                <w:tcW w:w="2642" w:type="dxa"/>
              </w:tcPr>
              <w:p w14:paraId="5E3E3B21" w14:textId="77777777" w:rsidR="000D7B75" w:rsidRPr="000D7B75" w:rsidRDefault="000D7B75">
                <w:pPr>
                  <w:tabs>
                    <w:tab w:val="right" w:pos="8838"/>
                  </w:tabs>
                  <w:ind w:left="-264" w:right="-105" w:firstLine="264"/>
                  <w:jc w:val="both"/>
                  <w:rPr>
                    <w:rFonts w:ascii="Palatino Linotype" w:eastAsia="Palatino Linotype" w:hAnsi="Palatino Linotype" w:cs="Palatino Linotype"/>
                    <w:b/>
                    <w:bCs/>
                  </w:rPr>
                </w:pPr>
                <w:r w:rsidRPr="000D7B75">
                  <w:rPr>
                    <w:rFonts w:ascii="Palatino Linotype" w:eastAsia="Palatino Linotype" w:hAnsi="Palatino Linotype" w:cs="Palatino Linotype"/>
                    <w:b/>
                    <w:bCs/>
                  </w:rPr>
                  <w:t>Recurso de Revisión:</w:t>
                </w:r>
              </w:p>
            </w:tc>
            <w:tc>
              <w:tcPr>
                <w:tcW w:w="4641" w:type="dxa"/>
              </w:tcPr>
              <w:p w14:paraId="146F43D2" w14:textId="77777777" w:rsidR="000D7B75" w:rsidRPr="000D7B75" w:rsidRDefault="000D7B75">
                <w:pPr>
                  <w:spacing w:after="120"/>
                  <w:ind w:right="-340"/>
                  <w:rPr>
                    <w:rFonts w:ascii="Palatino Linotype" w:eastAsia="Palatino Linotype" w:hAnsi="Palatino Linotype" w:cs="Palatino Linotype"/>
                    <w:b/>
                    <w:bCs/>
                  </w:rPr>
                </w:pPr>
                <w:r w:rsidRPr="000D7B75">
                  <w:rPr>
                    <w:rFonts w:ascii="Palatino Linotype" w:eastAsia="Palatino Linotype" w:hAnsi="Palatino Linotype" w:cs="Palatino Linotype"/>
                  </w:rPr>
                  <w:t>03433/INFOEM/IP/RR/2026</w:t>
                </w:r>
              </w:p>
            </w:tc>
          </w:tr>
          <w:tr w:rsidR="000D7B75" w14:paraId="3C5A197C" w14:textId="77777777" w:rsidTr="000D7B75">
            <w:trPr>
              <w:trHeight w:val="144"/>
            </w:trPr>
            <w:tc>
              <w:tcPr>
                <w:tcW w:w="2642" w:type="dxa"/>
              </w:tcPr>
              <w:p w14:paraId="1AD09A13" w14:textId="77777777" w:rsidR="000D7B75" w:rsidRPr="000D7B75" w:rsidRDefault="000D7B75">
                <w:pPr>
                  <w:tabs>
                    <w:tab w:val="right" w:pos="8838"/>
                  </w:tabs>
                  <w:ind w:left="-74" w:right="-105" w:firstLine="74"/>
                  <w:jc w:val="both"/>
                  <w:rPr>
                    <w:rFonts w:ascii="Palatino Linotype" w:eastAsia="Palatino Linotype" w:hAnsi="Palatino Linotype" w:cs="Palatino Linotype"/>
                    <w:b/>
                    <w:bCs/>
                  </w:rPr>
                </w:pPr>
                <w:r w:rsidRPr="000D7B75">
                  <w:rPr>
                    <w:rFonts w:ascii="Palatino Linotype" w:eastAsia="Palatino Linotype" w:hAnsi="Palatino Linotype" w:cs="Palatino Linotype"/>
                    <w:b/>
                    <w:bCs/>
                  </w:rPr>
                  <w:t>Recurrente:</w:t>
                </w:r>
              </w:p>
            </w:tc>
            <w:tc>
              <w:tcPr>
                <w:tcW w:w="4641" w:type="dxa"/>
              </w:tcPr>
              <w:p w14:paraId="4FB3960E" w14:textId="3188980F" w:rsidR="000D7B75" w:rsidRPr="000D7B75" w:rsidRDefault="003D52F2">
                <w:pPr>
                  <w:ind w:right="-340"/>
                  <w:rPr>
                    <w:rFonts w:ascii="Palatino Linotype" w:eastAsia="Palatino Linotype" w:hAnsi="Palatino Linotype" w:cs="Palatino Linotype"/>
                  </w:rPr>
                </w:pPr>
                <w:r>
                  <w:rPr>
                    <w:rFonts w:ascii="Palatino Linotype" w:eastAsia="Palatino Linotype" w:hAnsi="Palatino Linotype" w:cs="Palatino Linotype"/>
                  </w:rPr>
                  <w:t>XXXX</w:t>
                </w:r>
              </w:p>
            </w:tc>
          </w:tr>
          <w:tr w:rsidR="000D7B75" w14:paraId="41F3BF8B" w14:textId="77777777" w:rsidTr="000D7B75">
            <w:trPr>
              <w:trHeight w:val="283"/>
            </w:trPr>
            <w:tc>
              <w:tcPr>
                <w:tcW w:w="2642" w:type="dxa"/>
              </w:tcPr>
              <w:p w14:paraId="67907B91" w14:textId="77777777" w:rsidR="000D7B75" w:rsidRPr="000D7B75" w:rsidRDefault="000D7B75">
                <w:pPr>
                  <w:tabs>
                    <w:tab w:val="right" w:pos="8838"/>
                  </w:tabs>
                  <w:ind w:left="-74" w:right="-105" w:firstLine="74"/>
                  <w:jc w:val="both"/>
                  <w:rPr>
                    <w:rFonts w:ascii="Palatino Linotype" w:eastAsia="Palatino Linotype" w:hAnsi="Palatino Linotype" w:cs="Palatino Linotype"/>
                    <w:b/>
                    <w:bCs/>
                  </w:rPr>
                </w:pPr>
                <w:r w:rsidRPr="000D7B75">
                  <w:rPr>
                    <w:rFonts w:ascii="Palatino Linotype" w:eastAsia="Palatino Linotype" w:hAnsi="Palatino Linotype" w:cs="Palatino Linotype"/>
                    <w:b/>
                    <w:bCs/>
                  </w:rPr>
                  <w:t>Sujeto Obligado:</w:t>
                </w:r>
              </w:p>
            </w:tc>
            <w:tc>
              <w:tcPr>
                <w:tcW w:w="4641" w:type="dxa"/>
              </w:tcPr>
              <w:p w14:paraId="2CE15B7E" w14:textId="77777777" w:rsidR="000D7B75" w:rsidRPr="000D7B75" w:rsidRDefault="000D7B75">
                <w:pPr>
                  <w:spacing w:after="120"/>
                  <w:ind w:right="-340"/>
                  <w:rPr>
                    <w:rFonts w:ascii="Palatino Linotype" w:eastAsia="Palatino Linotype" w:hAnsi="Palatino Linotype" w:cs="Palatino Linotype"/>
                  </w:rPr>
                </w:pPr>
                <w:r w:rsidRPr="000D7B75">
                  <w:rPr>
                    <w:rFonts w:ascii="Palatino Linotype" w:eastAsia="Palatino Linotype" w:hAnsi="Palatino Linotype" w:cs="Palatino Linotype"/>
                  </w:rPr>
                  <w:t>Sistema de Agua Potable Alcantarillado y Saneamiento de Ecatepec de Morelos</w:t>
                </w:r>
              </w:p>
            </w:tc>
          </w:tr>
          <w:tr w:rsidR="000D7B75" w14:paraId="189E4443" w14:textId="77777777" w:rsidTr="000D7B75">
            <w:trPr>
              <w:trHeight w:val="283"/>
            </w:trPr>
            <w:tc>
              <w:tcPr>
                <w:tcW w:w="2642" w:type="dxa"/>
              </w:tcPr>
              <w:p w14:paraId="3F080845" w14:textId="77777777" w:rsidR="000D7B75" w:rsidRPr="000D7B75" w:rsidRDefault="000D7B75">
                <w:pPr>
                  <w:tabs>
                    <w:tab w:val="right" w:pos="8838"/>
                  </w:tabs>
                  <w:ind w:right="-105"/>
                  <w:jc w:val="both"/>
                  <w:rPr>
                    <w:rFonts w:ascii="Palatino Linotype" w:eastAsia="Palatino Linotype" w:hAnsi="Palatino Linotype" w:cs="Palatino Linotype"/>
                    <w:b/>
                    <w:bCs/>
                  </w:rPr>
                </w:pPr>
                <w:r w:rsidRPr="000D7B75">
                  <w:rPr>
                    <w:rFonts w:ascii="Palatino Linotype" w:eastAsia="Palatino Linotype" w:hAnsi="Palatino Linotype" w:cs="Palatino Linotype"/>
                    <w:b/>
                    <w:bCs/>
                  </w:rPr>
                  <w:t>Comisionada ponente:</w:t>
                </w:r>
              </w:p>
            </w:tc>
            <w:tc>
              <w:tcPr>
                <w:tcW w:w="4641" w:type="dxa"/>
              </w:tcPr>
              <w:p w14:paraId="32321190" w14:textId="77777777" w:rsidR="000D7B75" w:rsidRPr="000D7B75" w:rsidRDefault="000D7B75">
                <w:pPr>
                  <w:spacing w:after="120"/>
                  <w:ind w:right="-340"/>
                  <w:rPr>
                    <w:rFonts w:ascii="Palatino Linotype" w:eastAsia="Palatino Linotype" w:hAnsi="Palatino Linotype" w:cs="Palatino Linotype"/>
                  </w:rPr>
                </w:pPr>
                <w:r w:rsidRPr="000D7B75">
                  <w:rPr>
                    <w:rFonts w:ascii="Palatino Linotype" w:eastAsia="Palatino Linotype" w:hAnsi="Palatino Linotype" w:cs="Palatino Linotype"/>
                  </w:rPr>
                  <w:t>María del Rosario Mejía Ayala</w:t>
                </w:r>
              </w:p>
            </w:tc>
          </w:tr>
        </w:tbl>
        <w:p w14:paraId="0AAD89F2" w14:textId="77777777" w:rsidR="004358B2" w:rsidRDefault="004358B2">
          <w:pPr>
            <w:tabs>
              <w:tab w:val="right" w:pos="8838"/>
            </w:tabs>
            <w:ind w:left="-28"/>
            <w:jc w:val="both"/>
            <w:rPr>
              <w:rFonts w:ascii="Arial" w:eastAsia="Arial" w:hAnsi="Arial" w:cs="Arial"/>
              <w:b/>
              <w:bCs/>
              <w:sz w:val="22"/>
              <w:szCs w:val="22"/>
            </w:rPr>
          </w:pPr>
        </w:p>
      </w:tc>
    </w:tr>
  </w:tbl>
  <w:p w14:paraId="798A67C3" w14:textId="5D785CAB" w:rsidR="004358B2" w:rsidRDefault="0098006A">
    <w:pPr>
      <w:pBdr>
        <w:top w:val="nil"/>
        <w:left w:val="nil"/>
        <w:bottom w:val="nil"/>
        <w:right w:val="nil"/>
        <w:between w:val="nil"/>
      </w:pBdr>
      <w:tabs>
        <w:tab w:val="center" w:pos="4419"/>
        <w:tab w:val="right" w:pos="8838"/>
      </w:tabs>
      <w:rPr>
        <w:color w:val="000000"/>
        <w:sz w:val="2"/>
        <w:szCs w:val="2"/>
      </w:rPr>
    </w:pPr>
    <w:r>
      <w:rPr>
        <w:sz w:val="14"/>
        <w:szCs w:val="14"/>
      </w:rPr>
      <w:pict w14:anchorId="20A7D0D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50" type="#_x0000_t75" alt="" style="position:absolute;margin-left:-63.5pt;margin-top:-140.2pt;width:589.8pt;height:768pt;z-index:-251658752;mso-position-horizontal-relative:margin;mso-position-vertical-relative:margin">
          <v:imagedata r:id="rId1" o:title="image5"/>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670AF7"/>
    <w:multiLevelType w:val="multilevel"/>
    <w:tmpl w:val="7A629E88"/>
    <w:lvl w:ilvl="0">
      <w:start w:val="36"/>
      <w:numFmt w:val="decimal"/>
      <w:lvlText w:val="%1."/>
      <w:lvlJc w:val="left"/>
      <w:pPr>
        <w:ind w:left="1495" w:hanging="360"/>
      </w:pPr>
      <w:rPr>
        <w:rFonts w:ascii="Palatino Linotype" w:eastAsia="Palatino Linotype" w:hAnsi="Palatino Linotype" w:cs="Palatino Linotype" w:hint="default"/>
        <w:b/>
        <w:i w:val="0"/>
        <w:color w:val="000000"/>
        <w:sz w:val="24"/>
        <w:szCs w:val="24"/>
      </w:rPr>
    </w:lvl>
    <w:lvl w:ilvl="1">
      <w:start w:val="1"/>
      <w:numFmt w:val="decimal"/>
      <w:lvlText w:val="%2)"/>
      <w:lvlJc w:val="left"/>
      <w:pPr>
        <w:ind w:left="1440" w:hanging="360"/>
      </w:pPr>
      <w:rPr>
        <w:rFonts w:hint="default"/>
        <w:b/>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15:restartNumberingAfterBreak="0">
    <w:nsid w:val="23AA5B22"/>
    <w:multiLevelType w:val="multilevel"/>
    <w:tmpl w:val="EC66AA9A"/>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15:restartNumberingAfterBreak="0">
    <w:nsid w:val="35037E1D"/>
    <w:multiLevelType w:val="multilevel"/>
    <w:tmpl w:val="C99C0166"/>
    <w:lvl w:ilvl="0">
      <w:start w:val="2"/>
      <w:numFmt w:val="bullet"/>
      <w:lvlText w:val="-"/>
      <w:lvlJc w:val="left"/>
      <w:pPr>
        <w:ind w:left="1353" w:hanging="359"/>
      </w:pPr>
      <w:rPr>
        <w:rFonts w:ascii="Palatino Linotype" w:eastAsia="Palatino Linotype" w:hAnsi="Palatino Linotype" w:cs="Palatino Linotype"/>
      </w:rPr>
    </w:lvl>
    <w:lvl w:ilvl="1">
      <w:start w:val="1"/>
      <w:numFmt w:val="bullet"/>
      <w:lvlText w:val="o"/>
      <w:lvlJc w:val="left"/>
      <w:pPr>
        <w:ind w:left="2073" w:hanging="360"/>
      </w:pPr>
      <w:rPr>
        <w:rFonts w:ascii="Courier New" w:eastAsia="Courier New" w:hAnsi="Courier New" w:cs="Courier New"/>
      </w:rPr>
    </w:lvl>
    <w:lvl w:ilvl="2">
      <w:start w:val="1"/>
      <w:numFmt w:val="bullet"/>
      <w:lvlText w:val="▪"/>
      <w:lvlJc w:val="left"/>
      <w:pPr>
        <w:ind w:left="2793" w:hanging="360"/>
      </w:pPr>
      <w:rPr>
        <w:rFonts w:ascii="Noto Sans Symbols" w:eastAsia="Noto Sans Symbols" w:hAnsi="Noto Sans Symbols" w:cs="Noto Sans Symbols"/>
      </w:rPr>
    </w:lvl>
    <w:lvl w:ilvl="3">
      <w:start w:val="1"/>
      <w:numFmt w:val="bullet"/>
      <w:lvlText w:val="●"/>
      <w:lvlJc w:val="left"/>
      <w:pPr>
        <w:ind w:left="3513" w:hanging="360"/>
      </w:pPr>
      <w:rPr>
        <w:rFonts w:ascii="Noto Sans Symbols" w:eastAsia="Noto Sans Symbols" w:hAnsi="Noto Sans Symbols" w:cs="Noto Sans Symbols"/>
      </w:rPr>
    </w:lvl>
    <w:lvl w:ilvl="4">
      <w:start w:val="1"/>
      <w:numFmt w:val="bullet"/>
      <w:lvlText w:val="o"/>
      <w:lvlJc w:val="left"/>
      <w:pPr>
        <w:ind w:left="4233" w:hanging="360"/>
      </w:pPr>
      <w:rPr>
        <w:rFonts w:ascii="Courier New" w:eastAsia="Courier New" w:hAnsi="Courier New" w:cs="Courier New"/>
      </w:rPr>
    </w:lvl>
    <w:lvl w:ilvl="5">
      <w:start w:val="1"/>
      <w:numFmt w:val="bullet"/>
      <w:lvlText w:val="▪"/>
      <w:lvlJc w:val="left"/>
      <w:pPr>
        <w:ind w:left="4953" w:hanging="360"/>
      </w:pPr>
      <w:rPr>
        <w:rFonts w:ascii="Noto Sans Symbols" w:eastAsia="Noto Sans Symbols" w:hAnsi="Noto Sans Symbols" w:cs="Noto Sans Symbols"/>
      </w:rPr>
    </w:lvl>
    <w:lvl w:ilvl="6">
      <w:start w:val="1"/>
      <w:numFmt w:val="bullet"/>
      <w:lvlText w:val="●"/>
      <w:lvlJc w:val="left"/>
      <w:pPr>
        <w:ind w:left="5673" w:hanging="360"/>
      </w:pPr>
      <w:rPr>
        <w:rFonts w:ascii="Noto Sans Symbols" w:eastAsia="Noto Sans Symbols" w:hAnsi="Noto Sans Symbols" w:cs="Noto Sans Symbols"/>
      </w:rPr>
    </w:lvl>
    <w:lvl w:ilvl="7">
      <w:start w:val="1"/>
      <w:numFmt w:val="bullet"/>
      <w:lvlText w:val="o"/>
      <w:lvlJc w:val="left"/>
      <w:pPr>
        <w:ind w:left="6393" w:hanging="360"/>
      </w:pPr>
      <w:rPr>
        <w:rFonts w:ascii="Courier New" w:eastAsia="Courier New" w:hAnsi="Courier New" w:cs="Courier New"/>
      </w:rPr>
    </w:lvl>
    <w:lvl w:ilvl="8">
      <w:start w:val="1"/>
      <w:numFmt w:val="bullet"/>
      <w:lvlText w:val="▪"/>
      <w:lvlJc w:val="left"/>
      <w:pPr>
        <w:ind w:left="7113" w:hanging="360"/>
      </w:pPr>
      <w:rPr>
        <w:rFonts w:ascii="Noto Sans Symbols" w:eastAsia="Noto Sans Symbols" w:hAnsi="Noto Sans Symbols" w:cs="Noto Sans Symbols"/>
      </w:rPr>
    </w:lvl>
  </w:abstractNum>
  <w:abstractNum w:abstractNumId="3" w15:restartNumberingAfterBreak="0">
    <w:nsid w:val="3944373E"/>
    <w:multiLevelType w:val="multilevel"/>
    <w:tmpl w:val="50426B6E"/>
    <w:lvl w:ilvl="0">
      <w:start w:val="35"/>
      <w:numFmt w:val="decimal"/>
      <w:lvlText w:val="%1."/>
      <w:lvlJc w:val="left"/>
      <w:pPr>
        <w:ind w:left="0" w:firstLine="0"/>
      </w:pPr>
      <w:rPr>
        <w:rFonts w:ascii="Palatino Linotype" w:eastAsia="Palatino Linotype" w:hAnsi="Palatino Linotype" w:cs="Palatino Linotype" w:hint="default"/>
        <w:b/>
        <w:i w:val="0"/>
        <w:sz w:val="24"/>
        <w:szCs w:val="24"/>
      </w:rPr>
    </w:lvl>
    <w:lvl w:ilvl="1">
      <w:start w:val="1"/>
      <w:numFmt w:val="lowerLetter"/>
      <w:lvlText w:val="%2)"/>
      <w:lvlJc w:val="left"/>
      <w:pPr>
        <w:ind w:left="1440" w:hanging="360"/>
      </w:pPr>
      <w:rPr>
        <w:rFonts w:hint="default"/>
        <w:b/>
        <w:i w:val="0"/>
      </w:rPr>
    </w:lvl>
    <w:lvl w:ilvl="2">
      <w:start w:val="1"/>
      <w:numFmt w:val="bullet"/>
      <w:lvlText w:val="⮚"/>
      <w:lvlJc w:val="left"/>
      <w:pPr>
        <w:ind w:left="2340" w:hanging="360"/>
      </w:pPr>
      <w:rPr>
        <w:rFonts w:ascii="Noto Sans Symbols" w:eastAsia="Noto Sans Symbols" w:hAnsi="Noto Sans Symbols" w:cs="Noto Sans Symbols" w:hint="default"/>
        <w:strike w:val="0"/>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468766DE"/>
    <w:multiLevelType w:val="multilevel"/>
    <w:tmpl w:val="279A8568"/>
    <w:lvl w:ilvl="0">
      <w:start w:val="11"/>
      <w:numFmt w:val="decimal"/>
      <w:lvlText w:val="%1."/>
      <w:lvlJc w:val="left"/>
      <w:pPr>
        <w:ind w:left="360" w:hanging="360"/>
      </w:pPr>
      <w:rPr>
        <w:rFonts w:ascii="Palatino Linotype" w:eastAsia="Palatino Linotype" w:hAnsi="Palatino Linotype" w:cs="Palatino Linotype"/>
        <w:b/>
        <w:bCs/>
        <w:i w:val="0"/>
        <w:iCs w:val="0"/>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4C1F04CA"/>
    <w:multiLevelType w:val="multilevel"/>
    <w:tmpl w:val="F4446346"/>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4DC67303"/>
    <w:multiLevelType w:val="multilevel"/>
    <w:tmpl w:val="31C01872"/>
    <w:lvl w:ilvl="0">
      <w:start w:val="3"/>
      <w:numFmt w:val="decimal"/>
      <w:lvlText w:val="%1."/>
      <w:lvlJc w:val="left"/>
      <w:pPr>
        <w:ind w:left="644" w:hanging="357"/>
      </w:pPr>
      <w:rPr>
        <w:b/>
        <w:bCs/>
        <w:i w:val="0"/>
        <w:iCs w:val="0"/>
        <w:color w:val="000000"/>
        <w:sz w:val="24"/>
        <w:szCs w:val="24"/>
      </w:rPr>
    </w:lvl>
    <w:lvl w:ilvl="1">
      <w:start w:val="1"/>
      <w:numFmt w:val="upperRoman"/>
      <w:lvlText w:val="%2."/>
      <w:lvlJc w:val="right"/>
      <w:pPr>
        <w:ind w:left="7525" w:hanging="720"/>
      </w:pPr>
    </w:lvl>
    <w:lvl w:ilvl="2">
      <w:start w:val="4"/>
      <w:numFmt w:val="lowerLetter"/>
      <w:lvlText w:val="%3)"/>
      <w:lvlJc w:val="left"/>
      <w:pPr>
        <w:ind w:left="2340" w:hanging="360"/>
      </w:pPr>
    </w:lvl>
    <w:lvl w:ilvl="3">
      <w:start w:val="1"/>
      <w:numFmt w:val="decimal"/>
      <w:lvlText w:val="%4."/>
      <w:lvlJc w:val="left"/>
      <w:pPr>
        <w:ind w:left="2880" w:hanging="360"/>
      </w:pPr>
    </w:lvl>
    <w:lvl w:ilvl="4">
      <w:start w:val="104"/>
      <w:numFmt w:val="decimal"/>
      <w:lvlText w:val="%5"/>
      <w:lvlJc w:val="left"/>
      <w:pPr>
        <w:ind w:left="3600" w:hanging="360"/>
      </w:pPr>
      <w:rPr>
        <w:b/>
        <w:bCs/>
      </w:r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4FD728D8"/>
    <w:multiLevelType w:val="multilevel"/>
    <w:tmpl w:val="5CF6D5E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8" w15:restartNumberingAfterBreak="0">
    <w:nsid w:val="54CE2571"/>
    <w:multiLevelType w:val="multilevel"/>
    <w:tmpl w:val="37ECA838"/>
    <w:lvl w:ilvl="0">
      <w:start w:val="32"/>
      <w:numFmt w:val="decimal"/>
      <w:lvlText w:val="%1."/>
      <w:lvlJc w:val="left"/>
      <w:pPr>
        <w:ind w:left="1495" w:hanging="360"/>
      </w:pPr>
      <w:rPr>
        <w:rFonts w:ascii="Palatino Linotype" w:eastAsia="Palatino Linotype" w:hAnsi="Palatino Linotype" w:cs="Palatino Linotype"/>
        <w:b/>
        <w:bCs/>
        <w:i w:val="0"/>
        <w:iCs w:val="0"/>
        <w:color w:val="000000"/>
        <w:sz w:val="24"/>
        <w:szCs w:val="24"/>
      </w:rPr>
    </w:lvl>
    <w:lvl w:ilvl="1">
      <w:start w:val="1"/>
      <w:numFmt w:val="decimal"/>
      <w:lvlText w:val="%2)"/>
      <w:lvlJc w:val="left"/>
      <w:pPr>
        <w:ind w:left="1440" w:hanging="360"/>
      </w:pPr>
      <w:rPr>
        <w:b/>
        <w:bCs/>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658732E3"/>
    <w:multiLevelType w:val="multilevel"/>
    <w:tmpl w:val="C4CA17D0"/>
    <w:lvl w:ilvl="0">
      <w:start w:val="18"/>
      <w:numFmt w:val="decimal"/>
      <w:lvlText w:val="%1."/>
      <w:lvlJc w:val="left"/>
      <w:pPr>
        <w:ind w:left="644" w:hanging="358"/>
      </w:pPr>
      <w:rPr>
        <w:rFonts w:ascii="Palatino Linotype" w:eastAsia="Palatino Linotype" w:hAnsi="Palatino Linotype" w:cs="Palatino Linotype"/>
        <w:b/>
        <w:bCs/>
        <w:i w:val="0"/>
        <w:iCs w:val="0"/>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1637"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6F5F58DE"/>
    <w:multiLevelType w:val="multilevel"/>
    <w:tmpl w:val="F364E3AE"/>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1" w15:restartNumberingAfterBreak="0">
    <w:nsid w:val="70F239D5"/>
    <w:multiLevelType w:val="multilevel"/>
    <w:tmpl w:val="B39CE1F4"/>
    <w:lvl w:ilvl="0">
      <w:start w:val="1"/>
      <w:numFmt w:val="decimal"/>
      <w:lvlText w:val="%1."/>
      <w:lvlJc w:val="left"/>
      <w:pPr>
        <w:ind w:left="502" w:hanging="360"/>
      </w:pPr>
      <w:rPr>
        <w:rFonts w:ascii="Palatino Linotype" w:eastAsia="Palatino Linotype" w:hAnsi="Palatino Linotype" w:cs="Palatino Linotype"/>
        <w:b/>
        <w:bCs/>
        <w:i w:val="0"/>
        <w:iCs w:val="0"/>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7FF34F0C"/>
    <w:multiLevelType w:val="multilevel"/>
    <w:tmpl w:val="D0A87C5E"/>
    <w:lvl w:ilvl="0">
      <w:start w:val="43"/>
      <w:numFmt w:val="decimal"/>
      <w:lvlText w:val="%1."/>
      <w:lvlJc w:val="left"/>
      <w:pPr>
        <w:ind w:left="1495" w:hanging="360"/>
      </w:pPr>
      <w:rPr>
        <w:rFonts w:ascii="Palatino Linotype" w:eastAsia="Palatino Linotype" w:hAnsi="Palatino Linotype" w:cs="Palatino Linotype" w:hint="default"/>
        <w:b/>
        <w:bCs/>
        <w:i w:val="0"/>
        <w:iCs w:val="0"/>
        <w:color w:val="000000"/>
        <w:sz w:val="24"/>
        <w:szCs w:val="24"/>
      </w:rPr>
    </w:lvl>
    <w:lvl w:ilvl="1">
      <w:start w:val="1"/>
      <w:numFmt w:val="decimal"/>
      <w:lvlText w:val="%2)"/>
      <w:lvlJc w:val="left"/>
      <w:pPr>
        <w:ind w:left="1440" w:hanging="360"/>
      </w:pPr>
      <w:rPr>
        <w:rFonts w:hint="default"/>
        <w:b/>
        <w:bCs/>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abstractNumId w:val="1"/>
  </w:num>
  <w:num w:numId="2">
    <w:abstractNumId w:val="6"/>
  </w:num>
  <w:num w:numId="3">
    <w:abstractNumId w:val="9"/>
  </w:num>
  <w:num w:numId="4">
    <w:abstractNumId w:val="5"/>
  </w:num>
  <w:num w:numId="5">
    <w:abstractNumId w:val="8"/>
  </w:num>
  <w:num w:numId="6">
    <w:abstractNumId w:val="11"/>
  </w:num>
  <w:num w:numId="7">
    <w:abstractNumId w:val="10"/>
  </w:num>
  <w:num w:numId="8">
    <w:abstractNumId w:val="2"/>
  </w:num>
  <w:num w:numId="9">
    <w:abstractNumId w:val="4"/>
  </w:num>
  <w:num w:numId="10">
    <w:abstractNumId w:val="7"/>
  </w:num>
  <w:num w:numId="11">
    <w:abstractNumId w:val="3"/>
  </w:num>
  <w:num w:numId="12">
    <w:abstractNumId w:val="0"/>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embedTrueTypeFonts/>
  <w:defaultTabStop w:val="720"/>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58B2"/>
    <w:rsid w:val="00011509"/>
    <w:rsid w:val="00052CEF"/>
    <w:rsid w:val="00093209"/>
    <w:rsid w:val="000C39F1"/>
    <w:rsid w:val="000D7B75"/>
    <w:rsid w:val="00103A5E"/>
    <w:rsid w:val="001042EC"/>
    <w:rsid w:val="00104BD4"/>
    <w:rsid w:val="001B3B4E"/>
    <w:rsid w:val="001F146D"/>
    <w:rsid w:val="003067F9"/>
    <w:rsid w:val="00372FA4"/>
    <w:rsid w:val="003779F0"/>
    <w:rsid w:val="003A3DBA"/>
    <w:rsid w:val="003D52F2"/>
    <w:rsid w:val="004358B2"/>
    <w:rsid w:val="0043706A"/>
    <w:rsid w:val="004F3E66"/>
    <w:rsid w:val="0058617E"/>
    <w:rsid w:val="0061745A"/>
    <w:rsid w:val="00652D7C"/>
    <w:rsid w:val="006A6DBF"/>
    <w:rsid w:val="006B6372"/>
    <w:rsid w:val="00715BBF"/>
    <w:rsid w:val="00823C86"/>
    <w:rsid w:val="00930B51"/>
    <w:rsid w:val="009708BB"/>
    <w:rsid w:val="0098006A"/>
    <w:rsid w:val="00A41896"/>
    <w:rsid w:val="00A5697B"/>
    <w:rsid w:val="00A86178"/>
    <w:rsid w:val="00A92943"/>
    <w:rsid w:val="00B12604"/>
    <w:rsid w:val="00B321BE"/>
    <w:rsid w:val="00BD488D"/>
    <w:rsid w:val="00BE56C2"/>
    <w:rsid w:val="00C34936"/>
    <w:rsid w:val="00C37ACC"/>
    <w:rsid w:val="00C81F23"/>
    <w:rsid w:val="00CD0563"/>
    <w:rsid w:val="00D11AED"/>
    <w:rsid w:val="00D8000B"/>
    <w:rsid w:val="00E0072B"/>
    <w:rsid w:val="00FA196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77C314A5"/>
  <w15:docId w15:val="{307B48AB-482A-4C42-8A39-9F6187F34E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es-MX"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uiPriority w:val="9"/>
    <w:qFormat/>
    <w:pPr>
      <w:keepNext/>
      <w:keepLines/>
      <w:spacing w:before="240"/>
      <w:outlineLvl w:val="0"/>
    </w:pPr>
    <w:rPr>
      <w:rFonts w:ascii="Calibri" w:eastAsia="Calibri" w:hAnsi="Calibri" w:cs="Calibri"/>
      <w:color w:val="2E75B5"/>
      <w:sz w:val="32"/>
      <w:szCs w:val="32"/>
    </w:rPr>
  </w:style>
  <w:style w:type="paragraph" w:styleId="Ttulo2">
    <w:name w:val="heading 2"/>
    <w:basedOn w:val="Normal"/>
    <w:next w:val="Normal"/>
    <w:uiPriority w:val="9"/>
    <w:unhideWhenUsed/>
    <w:qFormat/>
    <w:pPr>
      <w:keepNext/>
      <w:keepLines/>
      <w:spacing w:before="40" w:line="259" w:lineRule="auto"/>
      <w:outlineLvl w:val="1"/>
    </w:pPr>
    <w:rPr>
      <w:rFonts w:ascii="Calibri" w:eastAsia="Calibri" w:hAnsi="Calibri" w:cs="Calibri"/>
      <w:color w:val="2E75B5"/>
      <w:sz w:val="26"/>
      <w:szCs w:val="26"/>
    </w:rPr>
  </w:style>
  <w:style w:type="paragraph" w:styleId="Ttulo3">
    <w:name w:val="heading 3"/>
    <w:basedOn w:val="Normal"/>
    <w:next w:val="Normal"/>
    <w:uiPriority w:val="9"/>
    <w:semiHidden/>
    <w:unhideWhenUsed/>
    <w:qFormat/>
    <w:pPr>
      <w:keepNext/>
      <w:keepLines/>
      <w:spacing w:before="280" w:after="80"/>
      <w:outlineLvl w:val="2"/>
    </w:pPr>
    <w:rPr>
      <w:b/>
      <w:bCs/>
      <w:sz w:val="28"/>
      <w:szCs w:val="28"/>
    </w:rPr>
  </w:style>
  <w:style w:type="paragraph" w:styleId="Ttulo4">
    <w:name w:val="heading 4"/>
    <w:basedOn w:val="Normal"/>
    <w:next w:val="Normal"/>
    <w:uiPriority w:val="9"/>
    <w:semiHidden/>
    <w:unhideWhenUsed/>
    <w:qFormat/>
    <w:pPr>
      <w:keepNext/>
      <w:keepLines/>
      <w:spacing w:before="240" w:after="40"/>
      <w:outlineLvl w:val="3"/>
    </w:pPr>
    <w:rPr>
      <w:b/>
      <w:bCs/>
    </w:rPr>
  </w:style>
  <w:style w:type="paragraph" w:styleId="Ttulo5">
    <w:name w:val="heading 5"/>
    <w:basedOn w:val="Normal"/>
    <w:next w:val="Normal"/>
    <w:uiPriority w:val="9"/>
    <w:semiHidden/>
    <w:unhideWhenUsed/>
    <w:qFormat/>
    <w:pPr>
      <w:keepNext/>
      <w:keepLines/>
      <w:spacing w:before="220" w:after="40"/>
      <w:outlineLvl w:val="4"/>
    </w:pPr>
    <w:rPr>
      <w:b/>
      <w:bCs/>
      <w:sz w:val="22"/>
      <w:szCs w:val="22"/>
    </w:rPr>
  </w:style>
  <w:style w:type="paragraph" w:styleId="Ttulo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Puesto">
    <w:name w:val="Title"/>
    <w:basedOn w:val="Normal"/>
    <w:next w:val="Normal"/>
    <w:uiPriority w:val="10"/>
    <w:qFormat/>
    <w:pPr>
      <w:keepNext/>
      <w:keepLines/>
      <w:spacing w:before="480" w:after="120"/>
    </w:pPr>
    <w:rPr>
      <w:b/>
      <w:bCs/>
      <w:sz w:val="72"/>
      <w:szCs w:val="72"/>
    </w:rPr>
  </w:style>
  <w:style w:type="paragraph" w:styleId="Subttulo">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
    <w:rPr>
      <w:rFonts w:ascii="Calibri" w:eastAsia="Calibri" w:hAnsi="Calibri" w:cs="Calibri"/>
      <w:color w:val="000000"/>
    </w:rPr>
    <w:tblPr>
      <w:tblStyleRowBandSize w:val="1"/>
      <w:tblStyleColBandSize w:val="1"/>
      <w:tblCellMar>
        <w:top w:w="0" w:type="dxa"/>
        <w:left w:w="115" w:type="dxa"/>
        <w:bottom w:w="0" w:type="dxa"/>
        <w:right w:w="115" w:type="dxa"/>
      </w:tblCellMar>
    </w:tblPr>
  </w:style>
  <w:style w:type="table" w:customStyle="1" w:styleId="a0">
    <w:basedOn w:val="TableNormal"/>
    <w:rPr>
      <w:rFonts w:ascii="Calibri" w:eastAsia="Calibri" w:hAnsi="Calibri" w:cs="Calibri"/>
      <w:color w:val="000000"/>
    </w:rPr>
    <w:tblPr>
      <w:tblStyleRowBandSize w:val="1"/>
      <w:tblStyleColBandSize w:val="1"/>
      <w:tblCellMar>
        <w:top w:w="0" w:type="dxa"/>
        <w:left w:w="115" w:type="dxa"/>
        <w:bottom w:w="0" w:type="dxa"/>
        <w:right w:w="115" w:type="dxa"/>
      </w:tblCellMar>
    </w:tblPr>
  </w:style>
  <w:style w:type="table" w:customStyle="1" w:styleId="a1">
    <w:basedOn w:val="TableNormal"/>
    <w:rPr>
      <w:rFonts w:ascii="Calibri" w:eastAsia="Calibri" w:hAnsi="Calibri" w:cs="Calibri"/>
      <w:color w:val="000000"/>
    </w:rPr>
    <w:tblPr>
      <w:tblStyleRowBandSize w:val="1"/>
      <w:tblStyleColBandSize w:val="1"/>
      <w:tblCellMar>
        <w:top w:w="0" w:type="dxa"/>
        <w:left w:w="115" w:type="dxa"/>
        <w:bottom w:w="0" w:type="dxa"/>
        <w:right w:w="115" w:type="dxa"/>
      </w:tblCellMar>
    </w:tblPr>
  </w:style>
  <w:style w:type="table" w:customStyle="1" w:styleId="a2">
    <w:basedOn w:val="TableNormal"/>
    <w:rPr>
      <w:rFonts w:ascii="Calibri" w:eastAsia="Calibri" w:hAnsi="Calibri" w:cs="Calibri"/>
      <w:color w:val="000000"/>
    </w:rPr>
    <w:tblPr>
      <w:tblStyleRowBandSize w:val="1"/>
      <w:tblStyleColBandSize w:val="1"/>
      <w:tblCellMar>
        <w:top w:w="0" w:type="dxa"/>
        <w:left w:w="115" w:type="dxa"/>
        <w:bottom w:w="0" w:type="dxa"/>
        <w:right w:w="115" w:type="dxa"/>
      </w:tblCellMar>
    </w:tblPr>
  </w:style>
  <w:style w:type="paragraph" w:styleId="Piedepgina">
    <w:name w:val="footer"/>
    <w:basedOn w:val="Normal"/>
    <w:link w:val="PiedepginaCar"/>
    <w:uiPriority w:val="99"/>
    <w:unhideWhenUsed/>
    <w:rsid w:val="00D8000B"/>
    <w:pPr>
      <w:tabs>
        <w:tab w:val="center" w:pos="4419"/>
        <w:tab w:val="right" w:pos="8838"/>
      </w:tabs>
    </w:pPr>
  </w:style>
  <w:style w:type="character" w:customStyle="1" w:styleId="PiedepginaCar">
    <w:name w:val="Pie de página Car"/>
    <w:basedOn w:val="Fuentedeprrafopredeter"/>
    <w:link w:val="Piedepgina"/>
    <w:uiPriority w:val="99"/>
    <w:rsid w:val="00D8000B"/>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A41896"/>
    <w:pPr>
      <w:ind w:left="720"/>
      <w:contextualSpacing/>
    </w:p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1F146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footnotes.xml.rels><?xml version="1.0" encoding="UTF-8" standalone="yes"?>
<Relationships xmlns="http://schemas.openxmlformats.org/package/2006/relationships"><Relationship Id="rId1" Type="http://schemas.openxmlformats.org/officeDocument/2006/relationships/hyperlink" Target="https://ecatepec.gob.mx/cabildo-de-ecatepec-aprueba-actualizacion-del-programa-anual-de-obra-public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_rels/header2.xml.rels><?xml version="1.0" encoding="UTF-8" standalone="yes"?>
<Relationships xmlns="http://schemas.openxmlformats.org/package/2006/relationships"><Relationship Id="rId1" Type="http://schemas.openxmlformats.org/officeDocument/2006/relationships/image" Target="media/image5.jpeg"/></Relationships>
</file>

<file path=word/_rels/header3.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5eGyXm404d+4nnHfUSOplS0IhBQ==">CgMxLjAyCGguZ2pkZ3hzMgloLjMwajB6bGwyCWguMnM4ZXlvMTIJaC4xN2RwOHZ1MgloLjNyZGNyam4yDmgud3F5dnh2dXhpODh2OAByITFIazhHMWtZNzZpVlFpZDhsNFFBQlp0XzF5SHNNYi1JaQ==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26</Pages>
  <Words>6380</Words>
  <Characters>35091</Characters>
  <Application>Microsoft Office Word</Application>
  <DocSecurity>0</DocSecurity>
  <Lines>292</Lines>
  <Paragraphs>82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41389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INFOEM574</dc:creator>
  <cp:lastModifiedBy>Cuenta Microsoft</cp:lastModifiedBy>
  <cp:revision>36</cp:revision>
  <cp:lastPrinted>2026-06-05T16:42:00Z</cp:lastPrinted>
  <dcterms:created xsi:type="dcterms:W3CDTF">2026-06-01T19:52:00Z</dcterms:created>
  <dcterms:modified xsi:type="dcterms:W3CDTF">2026-06-09T23:23:00Z</dcterms:modified>
</cp:coreProperties>
</file>