
<file path=[Content_Types].xml><?xml version="1.0" encoding="utf-8"?>
<Types xmlns="http://schemas.openxmlformats.org/package/2006/content-types">
  <Default Extension="tmp" ContentType="image/png"/>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0B45" w:rsidRPr="00843DDC" w:rsidRDefault="00960B45" w:rsidP="00960B45">
      <w:pPr>
        <w:spacing w:line="360" w:lineRule="auto"/>
        <w:jc w:val="both"/>
        <w:rPr>
          <w:rFonts w:ascii="Palatino Linotype" w:hAnsi="Palatino Linotype"/>
        </w:rPr>
      </w:pPr>
      <w:r w:rsidRPr="00843DDC">
        <w:rPr>
          <w:rFonts w:ascii="Palatino Linotype" w:hAnsi="Palatino Linotype"/>
        </w:rPr>
        <w:t>Resolución del Pleno del Instituto de Transparencia, Acceso a la Información Pública y Protección de Datos Personales del Estado de México y Municipios, con domicilio en Metepec, Estado de México, a diecisiete de junio de dos mil veintiséis.</w:t>
      </w:r>
    </w:p>
    <w:p w:rsidR="00960B45" w:rsidRPr="00843DDC" w:rsidRDefault="00960B45" w:rsidP="00960B45">
      <w:pPr>
        <w:spacing w:line="360" w:lineRule="auto"/>
        <w:jc w:val="both"/>
        <w:rPr>
          <w:rFonts w:ascii="Palatino Linotype" w:hAnsi="Palatino Linotype"/>
        </w:rPr>
      </w:pPr>
    </w:p>
    <w:p w:rsidR="00960B45" w:rsidRPr="00843DDC" w:rsidRDefault="00960B45" w:rsidP="00960B45">
      <w:pPr>
        <w:tabs>
          <w:tab w:val="left" w:pos="1701"/>
        </w:tabs>
        <w:spacing w:before="240" w:line="360" w:lineRule="auto"/>
        <w:jc w:val="both"/>
        <w:rPr>
          <w:rFonts w:ascii="Palatino Linotype" w:hAnsi="Palatino Linotype" w:cs="Arial"/>
          <w:sz w:val="28"/>
        </w:rPr>
      </w:pPr>
      <w:r w:rsidRPr="00843DDC">
        <w:rPr>
          <w:rFonts w:ascii="Palatino Linotype" w:hAnsi="Palatino Linotype" w:cs="Arial"/>
          <w:b/>
        </w:rPr>
        <w:t>VISTO</w:t>
      </w:r>
      <w:r w:rsidRPr="00843DDC">
        <w:rPr>
          <w:rFonts w:ascii="Palatino Linotype" w:hAnsi="Palatino Linotype" w:cs="Arial"/>
        </w:rPr>
        <w:t xml:space="preserve"> el expediente electrónico formado con motivo del recurso de revisión número</w:t>
      </w:r>
      <w:r w:rsidRPr="00843DDC">
        <w:rPr>
          <w:rFonts w:ascii="Palatino Linotype" w:hAnsi="Palatino Linotype" w:cs="Arial"/>
          <w:b/>
        </w:rPr>
        <w:t xml:space="preserve"> </w:t>
      </w:r>
      <w:bookmarkStart w:id="0" w:name="_GoBack"/>
      <w:r w:rsidRPr="00843DDC">
        <w:rPr>
          <w:rFonts w:ascii="Palatino Linotype" w:hAnsi="Palatino Linotype" w:cs="Arial"/>
          <w:b/>
          <w:bCs/>
          <w:lang w:eastAsia="es-MX"/>
        </w:rPr>
        <w:t>09540/INFOEM/IP/RR/2025</w:t>
      </w:r>
      <w:bookmarkEnd w:id="0"/>
      <w:r w:rsidRPr="00843DDC">
        <w:rPr>
          <w:rFonts w:ascii="Palatino Linotype" w:hAnsi="Palatino Linotype" w:cs="Arial"/>
          <w:b/>
          <w:bCs/>
          <w:lang w:eastAsia="es-MX"/>
        </w:rPr>
        <w:t xml:space="preserve">, </w:t>
      </w:r>
      <w:r w:rsidRPr="00843DDC">
        <w:rPr>
          <w:rFonts w:ascii="Palatino Linotype" w:hAnsi="Palatino Linotype"/>
        </w:rPr>
        <w:t xml:space="preserve">interpuesto por </w:t>
      </w:r>
      <w:r w:rsidR="00862EC4">
        <w:rPr>
          <w:rFonts w:ascii="Palatino Linotype" w:hAnsi="Palatino Linotype"/>
          <w:b/>
        </w:rPr>
        <w:t>XXXXXXXXXXXXXXXXXX</w:t>
      </w:r>
      <w:r w:rsidRPr="00843DDC">
        <w:rPr>
          <w:rFonts w:ascii="Palatino Linotype" w:hAnsi="Palatino Linotype"/>
        </w:rPr>
        <w:t xml:space="preserve">, en lo sucesivo la parte </w:t>
      </w:r>
      <w:r w:rsidRPr="00843DDC">
        <w:rPr>
          <w:rFonts w:ascii="Palatino Linotype" w:hAnsi="Palatino Linotype"/>
          <w:b/>
        </w:rPr>
        <w:t>Recurrente</w:t>
      </w:r>
      <w:r w:rsidRPr="00843DDC">
        <w:rPr>
          <w:rFonts w:ascii="Palatino Linotype" w:hAnsi="Palatino Linotype"/>
        </w:rPr>
        <w:t xml:space="preserve">, en contra de la respuesta del </w:t>
      </w:r>
      <w:r w:rsidRPr="00843DDC">
        <w:rPr>
          <w:rFonts w:ascii="Palatino Linotype" w:hAnsi="Palatino Linotype"/>
          <w:b/>
        </w:rPr>
        <w:t>Ayuntamiento de Tenancingo</w:t>
      </w:r>
      <w:r w:rsidRPr="00843DDC">
        <w:rPr>
          <w:rFonts w:ascii="Palatino Linotype" w:hAnsi="Palatino Linotype"/>
        </w:rPr>
        <w:t xml:space="preserve">, en lo subsecuente el </w:t>
      </w:r>
      <w:r w:rsidRPr="00843DDC">
        <w:rPr>
          <w:rFonts w:ascii="Palatino Linotype" w:hAnsi="Palatino Linotype"/>
          <w:b/>
        </w:rPr>
        <w:t>Sujeto Obligado</w:t>
      </w:r>
      <w:r w:rsidRPr="00843DDC">
        <w:rPr>
          <w:rFonts w:ascii="Palatino Linotype" w:hAnsi="Palatino Linotype"/>
        </w:rPr>
        <w:t>, se procede a dictar la presente resolución.</w:t>
      </w:r>
    </w:p>
    <w:p w:rsidR="00960B45" w:rsidRPr="00843DDC" w:rsidRDefault="00960B45" w:rsidP="00960B45">
      <w:pPr>
        <w:pStyle w:val="infoemcitas"/>
        <w:jc w:val="center"/>
        <w:rPr>
          <w:b/>
          <w:bCs/>
          <w:i w:val="0"/>
          <w:iCs/>
          <w:sz w:val="28"/>
          <w:szCs w:val="28"/>
        </w:rPr>
      </w:pPr>
    </w:p>
    <w:p w:rsidR="00960B45" w:rsidRPr="00843DDC" w:rsidRDefault="00960B45" w:rsidP="00960B45">
      <w:pPr>
        <w:pStyle w:val="infoemcitas"/>
        <w:jc w:val="center"/>
        <w:rPr>
          <w:b/>
          <w:bCs/>
          <w:i w:val="0"/>
          <w:iCs/>
          <w:sz w:val="28"/>
          <w:szCs w:val="28"/>
        </w:rPr>
      </w:pPr>
      <w:r w:rsidRPr="00843DDC">
        <w:rPr>
          <w:b/>
          <w:bCs/>
          <w:i w:val="0"/>
          <w:iCs/>
          <w:sz w:val="28"/>
          <w:szCs w:val="28"/>
        </w:rPr>
        <w:t>A N T E C E D E N T E S   D E L   A S U N T O</w:t>
      </w:r>
    </w:p>
    <w:p w:rsidR="00960B45" w:rsidRPr="00843DDC" w:rsidRDefault="00960B45" w:rsidP="00960B45">
      <w:pPr>
        <w:spacing w:before="240" w:after="240" w:line="360" w:lineRule="auto"/>
        <w:jc w:val="both"/>
        <w:rPr>
          <w:rFonts w:ascii="Palatino Linotype" w:hAnsi="Palatino Linotype"/>
        </w:rPr>
      </w:pPr>
      <w:r w:rsidRPr="00843DDC">
        <w:rPr>
          <w:rFonts w:ascii="Palatino Linotype" w:hAnsi="Palatino Linotype" w:cs="Arial"/>
          <w:b/>
          <w:sz w:val="28"/>
        </w:rPr>
        <w:t>PRIMERO.</w:t>
      </w:r>
      <w:r w:rsidRPr="00843DDC">
        <w:rPr>
          <w:rFonts w:ascii="Palatino Linotype" w:hAnsi="Palatino Linotype" w:cs="Arial"/>
        </w:rPr>
        <w:t xml:space="preserve"> </w:t>
      </w:r>
      <w:r w:rsidRPr="00843DDC">
        <w:rPr>
          <w:rFonts w:ascii="Palatino Linotype" w:hAnsi="Palatino Linotype"/>
          <w:b/>
          <w:sz w:val="28"/>
          <w:szCs w:val="28"/>
        </w:rPr>
        <w:t>De la Solicitud de Información.</w:t>
      </w:r>
    </w:p>
    <w:p w:rsidR="00960B45" w:rsidRPr="00843DDC" w:rsidRDefault="00960B45" w:rsidP="00960B45">
      <w:pPr>
        <w:spacing w:before="240" w:line="360" w:lineRule="auto"/>
        <w:jc w:val="both"/>
        <w:rPr>
          <w:rFonts w:ascii="Palatino Linotype" w:hAnsi="Palatino Linotype" w:cs="Arial"/>
        </w:rPr>
      </w:pPr>
      <w:r w:rsidRPr="00843DDC">
        <w:rPr>
          <w:rFonts w:ascii="Palatino Linotype" w:hAnsi="Palatino Linotype" w:cs="Arial"/>
        </w:rPr>
        <w:t xml:space="preserve">Con fecha </w:t>
      </w:r>
      <w:r w:rsidRPr="00843DDC">
        <w:rPr>
          <w:rFonts w:ascii="Palatino Linotype" w:hAnsi="Palatino Linotype" w:cs="Arial"/>
          <w:b/>
        </w:rPr>
        <w:t>nueve de julio de dos mil veinticinco</w:t>
      </w:r>
      <w:r w:rsidRPr="00843DDC">
        <w:rPr>
          <w:rFonts w:ascii="Palatino Linotype" w:hAnsi="Palatino Linotype" w:cs="Arial"/>
        </w:rPr>
        <w:t>, la parte</w:t>
      </w:r>
      <w:r w:rsidRPr="00843DDC">
        <w:rPr>
          <w:rFonts w:ascii="Palatino Linotype" w:hAnsi="Palatino Linotype" w:cs="Arial"/>
          <w:b/>
        </w:rPr>
        <w:t xml:space="preserve"> Recurrente </w:t>
      </w:r>
      <w:r w:rsidRPr="00843DDC">
        <w:rPr>
          <w:rFonts w:ascii="Palatino Linotype" w:hAnsi="Palatino Linotype" w:cs="Arial"/>
        </w:rPr>
        <w:t>presentó a través del Sistema de Acceso a la Información Mexiquense (</w:t>
      </w:r>
      <w:r w:rsidRPr="00843DDC">
        <w:rPr>
          <w:rFonts w:ascii="Palatino Linotype" w:hAnsi="Palatino Linotype" w:cs="Arial"/>
          <w:b/>
        </w:rPr>
        <w:t>SAIMEX)</w:t>
      </w:r>
      <w:r w:rsidRPr="00843DDC">
        <w:rPr>
          <w:rFonts w:ascii="Palatino Linotype" w:hAnsi="Palatino Linotype" w:cs="Arial"/>
        </w:rPr>
        <w:t xml:space="preserve"> ante </w:t>
      </w:r>
      <w:r w:rsidRPr="00843DDC">
        <w:rPr>
          <w:rFonts w:ascii="Palatino Linotype" w:hAnsi="Palatino Linotype" w:cs="Arial"/>
          <w:b/>
        </w:rPr>
        <w:t>El Sujeto Obligado</w:t>
      </w:r>
      <w:r w:rsidRPr="00843DDC">
        <w:rPr>
          <w:rFonts w:ascii="Palatino Linotype" w:hAnsi="Palatino Linotype" w:cs="Arial"/>
        </w:rPr>
        <w:t xml:space="preserve">, solicitud de acceso a la información pública, registrada bajo el número de expediente </w:t>
      </w:r>
      <w:r w:rsidRPr="00843DDC">
        <w:rPr>
          <w:rFonts w:ascii="Palatino Linotype" w:hAnsi="Palatino Linotype" w:cs="Arial"/>
          <w:b/>
        </w:rPr>
        <w:t xml:space="preserve">00472/TENANCIN/IP/2025, </w:t>
      </w:r>
      <w:r w:rsidRPr="00843DDC">
        <w:rPr>
          <w:rFonts w:ascii="Palatino Linotype" w:hAnsi="Palatino Linotype" w:cs="Arial"/>
        </w:rPr>
        <w:t>mediante la cual solicitó información en el tenor siguiente:</w:t>
      </w:r>
    </w:p>
    <w:p w:rsidR="00960B45" w:rsidRPr="00843DDC" w:rsidRDefault="00960B45" w:rsidP="00960B45">
      <w:pPr>
        <w:pStyle w:val="INFOEM"/>
        <w:rPr>
          <w:lang w:val="es-ES_tradnl" w:eastAsia="es-ES"/>
        </w:rPr>
      </w:pPr>
      <w:r w:rsidRPr="00843DDC">
        <w:rPr>
          <w:lang w:val="es-ES_tradnl" w:eastAsia="es-ES"/>
        </w:rPr>
        <w:t>“</w:t>
      </w:r>
      <w:r w:rsidRPr="00843DDC">
        <w:rPr>
          <w:lang w:val="es-ES" w:eastAsia="es-ES"/>
        </w:rPr>
        <w:t xml:space="preserve">Bitácoras mensuales de consumo de gasolina por cada unidad de patrullaje, incluyendo kilometraje y litros cargados, de enero de 2025 a la fecha. Fondos federales, estatales y municipales aplicados específicamente a Seguridad Pública en los años 2023, 2024 y 2025, indicando: Nombre del fondo (ej. FORTASEG, FASP, FEFOM, </w:t>
      </w:r>
      <w:r w:rsidRPr="00843DDC">
        <w:rPr>
          <w:lang w:val="es-ES" w:eastAsia="es-ES"/>
        </w:rPr>
        <w:lastRenderedPageBreak/>
        <w:t>u otros) Monto asignado Monto ejercido Objeto de aplicación Convenios o reglas de operación vigentes copia del acta de cabildo de aprobacion de las acciones, y/o del comite de adquisiciones agregando el acta correspondiente” (</w:t>
      </w:r>
      <w:r w:rsidRPr="00843DDC">
        <w:rPr>
          <w:lang w:val="es-ES_tradnl" w:eastAsia="es-ES"/>
        </w:rPr>
        <w:t>Sic)</w:t>
      </w:r>
    </w:p>
    <w:p w:rsidR="00960B45" w:rsidRPr="00843DDC" w:rsidRDefault="00960B45" w:rsidP="00960B45">
      <w:pPr>
        <w:spacing w:before="240" w:line="360" w:lineRule="auto"/>
        <w:jc w:val="both"/>
        <w:rPr>
          <w:rFonts w:ascii="Palatino Linotype" w:hAnsi="Palatino Linotype"/>
          <w:lang w:val="es-ES_tradnl"/>
        </w:rPr>
      </w:pPr>
      <w:r w:rsidRPr="00843DDC">
        <w:rPr>
          <w:rFonts w:ascii="Palatino Linotype" w:hAnsi="Palatino Linotype"/>
          <w:b/>
          <w:lang w:val="es-ES_tradnl"/>
        </w:rPr>
        <w:t>Modalidad de entrega:</w:t>
      </w:r>
      <w:r w:rsidRPr="00843DDC">
        <w:rPr>
          <w:rFonts w:ascii="Palatino Linotype" w:hAnsi="Palatino Linotype"/>
          <w:lang w:val="es-ES_tradnl"/>
        </w:rPr>
        <w:t xml:space="preserve"> A través del SAIMEX.</w:t>
      </w:r>
    </w:p>
    <w:p w:rsidR="00960B45" w:rsidRPr="00843DDC" w:rsidRDefault="00960B45" w:rsidP="00960B45">
      <w:pPr>
        <w:spacing w:before="240" w:line="360" w:lineRule="auto"/>
        <w:jc w:val="both"/>
        <w:rPr>
          <w:rFonts w:ascii="Palatino Linotype" w:hAnsi="Palatino Linotype" w:cs="Arial"/>
        </w:rPr>
      </w:pPr>
    </w:p>
    <w:p w:rsidR="00960B45" w:rsidRPr="00843DDC" w:rsidRDefault="00960B45" w:rsidP="00960B45">
      <w:pPr>
        <w:spacing w:before="240" w:line="360" w:lineRule="auto"/>
        <w:jc w:val="both"/>
        <w:rPr>
          <w:rFonts w:ascii="Palatino Linotype" w:hAnsi="Palatino Linotype"/>
        </w:rPr>
      </w:pPr>
      <w:r w:rsidRPr="00843DDC">
        <w:rPr>
          <w:rFonts w:ascii="Palatino Linotype" w:hAnsi="Palatino Linotype" w:cs="Arial"/>
          <w:b/>
          <w:sz w:val="28"/>
        </w:rPr>
        <w:t xml:space="preserve">SEGUNDO. De la </w:t>
      </w:r>
      <w:r w:rsidRPr="00843DDC">
        <w:rPr>
          <w:rFonts w:ascii="Palatino Linotype" w:hAnsi="Palatino Linotype" w:cs="Arial"/>
          <w:b/>
          <w:sz w:val="28"/>
          <w:szCs w:val="20"/>
        </w:rPr>
        <w:t>respuesta o entrega de la información.</w:t>
      </w:r>
    </w:p>
    <w:p w:rsidR="00960B45" w:rsidRPr="00843DDC" w:rsidRDefault="00960B45" w:rsidP="00960B45">
      <w:pPr>
        <w:pStyle w:val="Sinespaciado"/>
        <w:spacing w:line="360" w:lineRule="auto"/>
        <w:jc w:val="both"/>
        <w:rPr>
          <w:rFonts w:ascii="Palatino Linotype" w:hAnsi="Palatino Linotype" w:cs="Arial"/>
          <w:b/>
          <w:sz w:val="24"/>
        </w:rPr>
      </w:pPr>
      <w:r w:rsidRPr="00843DDC">
        <w:rPr>
          <w:rFonts w:ascii="Palatino Linotype" w:hAnsi="Palatino Linotype"/>
          <w:sz w:val="24"/>
        </w:rPr>
        <w:t xml:space="preserve">De las constancias que obran en el expediente electrónico, se advierte que el </w:t>
      </w:r>
      <w:r w:rsidRPr="00843DDC">
        <w:rPr>
          <w:rFonts w:ascii="Palatino Linotype" w:hAnsi="Palatino Linotype" w:cs="Arial"/>
          <w:sz w:val="24"/>
        </w:rPr>
        <w:t xml:space="preserve">día </w:t>
      </w:r>
      <w:r w:rsidRPr="00843DDC">
        <w:rPr>
          <w:rFonts w:ascii="Palatino Linotype" w:hAnsi="Palatino Linotype" w:cs="Arial"/>
          <w:b/>
          <w:sz w:val="24"/>
        </w:rPr>
        <w:t>trece de agosto de dos mil veinticinco</w:t>
      </w:r>
      <w:r w:rsidRPr="00843DDC">
        <w:rPr>
          <w:rFonts w:ascii="Palatino Linotype" w:hAnsi="Palatino Linotype" w:cs="Arial"/>
          <w:sz w:val="24"/>
        </w:rPr>
        <w:t xml:space="preserve">, el </w:t>
      </w:r>
      <w:r w:rsidRPr="00843DDC">
        <w:rPr>
          <w:rFonts w:ascii="Palatino Linotype" w:hAnsi="Palatino Linotype" w:cs="Arial"/>
          <w:b/>
          <w:sz w:val="24"/>
        </w:rPr>
        <w:t>Sujeto Obligado</w:t>
      </w:r>
      <w:r w:rsidRPr="00843DDC">
        <w:rPr>
          <w:rFonts w:ascii="Palatino Linotype" w:hAnsi="Palatino Linotype" w:cs="Arial"/>
          <w:sz w:val="24"/>
        </w:rPr>
        <w:t xml:space="preserve"> dio respuesta a la solicitud de información en los siguientes términos: </w:t>
      </w:r>
    </w:p>
    <w:p w:rsidR="00960B45" w:rsidRPr="00843DDC" w:rsidRDefault="00960B45" w:rsidP="00960B45">
      <w:pPr>
        <w:spacing w:line="360" w:lineRule="auto"/>
        <w:jc w:val="both"/>
        <w:rPr>
          <w:rFonts w:ascii="Palatino Linotype" w:hAnsi="Palatino Linotype" w:cs="Arial"/>
        </w:rPr>
      </w:pPr>
    </w:p>
    <w:p w:rsidR="00960B45" w:rsidRPr="00843DDC" w:rsidRDefault="00960B45" w:rsidP="00960B45">
      <w:pPr>
        <w:ind w:left="567" w:right="567"/>
        <w:jc w:val="both"/>
        <w:rPr>
          <w:rFonts w:ascii="Palatino Linotype" w:hAnsi="Palatino Linotype" w:cs="Arial"/>
          <w:i/>
        </w:rPr>
      </w:pPr>
      <w:r w:rsidRPr="00843DDC">
        <w:rPr>
          <w:rFonts w:ascii="Palatino Linotype" w:hAnsi="Palatino Linotype" w:cs="Arial"/>
          <w:i/>
        </w:rPr>
        <w:t>“En respuesta a la solicitud recibida, nos permitimos hacer de su conocimiento que con fundamento en el artículo 53, Fracciones: II, V y VI de la Ley de Transparencia y Acceso a la Información Pública del Estado de México y Municipios, le contestamos que:</w:t>
      </w:r>
    </w:p>
    <w:p w:rsidR="00960B45" w:rsidRPr="00843DDC" w:rsidRDefault="00960B45" w:rsidP="00960B45">
      <w:pPr>
        <w:ind w:left="567" w:right="567"/>
        <w:jc w:val="both"/>
        <w:rPr>
          <w:rFonts w:ascii="Palatino Linotype" w:hAnsi="Palatino Linotype" w:cs="Arial"/>
          <w:i/>
        </w:rPr>
      </w:pPr>
      <w:r w:rsidRPr="00843DDC">
        <w:rPr>
          <w:rFonts w:ascii="Palatino Linotype" w:hAnsi="Palatino Linotype" w:cs="Arial"/>
          <w:i/>
        </w:rPr>
        <w:t xml:space="preserve">Folio de la solicitud: 00472/TENANCIN/IP/2025 Estimado solicitante: Sirva este medio para enviarle un afectuoso saludo, al mismo tiempo con fundamento en el artículo 53 fracciones II, IV y V de la Ley de Transparencia y Acceso a la Información Pública del Estado de México y Municipios, remito la contestación a su solicitud de información, y le informo lo siguiente: Dando atención a su solicitud de información con folio 00472/TENANCIN/IP/2025, se adjunta al presente en archivos PDF, los siguientes documentos: 1.Turno a Servidor Público Habilitado. 2.Respuesta del Servidor Público Habilitado. Archivos en los cuales se precisa todo lo referente a su solicitud de información. Haciendo de su conocimiento que de acuerdo a lo establecido por los artículos 176, 177 y 178 de la Ley de Transparencia y Acceso a la Información Pública del Estado de México y Municipios, podrá ejercer su segunda garantía del Derecho de Acceso a la Información pública, al interponer un recurso de revisión, ante el INFOEM o ante esta Unidad de Transparencia, dentro de los quince días hábiles posteriores a la fecha de recepción de su respuesta, por alguna de las causales establecidas en el artículo 179 de la Ley de Transparencia y Acceso a la Información Pública del Estado de México y Municipios, atendiendo los criterios </w:t>
      </w:r>
      <w:r w:rsidRPr="00843DDC">
        <w:rPr>
          <w:rFonts w:ascii="Palatino Linotype" w:hAnsi="Palatino Linotype" w:cs="Arial"/>
          <w:i/>
        </w:rPr>
        <w:lastRenderedPageBreak/>
        <w:t>señalados en los artículos 180 y 181 de la misma Ley. Sin otro particular por el momento, quedo de Usted. “(Sic).</w:t>
      </w:r>
    </w:p>
    <w:p w:rsidR="00960B45" w:rsidRPr="00843DDC" w:rsidRDefault="00960B45" w:rsidP="00960B45">
      <w:pPr>
        <w:spacing w:line="360" w:lineRule="auto"/>
        <w:ind w:right="567"/>
        <w:jc w:val="both"/>
        <w:rPr>
          <w:rFonts w:ascii="Palatino Linotype" w:hAnsi="Palatino Linotype" w:cs="Arial"/>
        </w:rPr>
      </w:pPr>
    </w:p>
    <w:p w:rsidR="00960B45" w:rsidRPr="00843DDC" w:rsidRDefault="00960B45" w:rsidP="00960B45">
      <w:pPr>
        <w:spacing w:line="360" w:lineRule="auto"/>
        <w:jc w:val="both"/>
        <w:rPr>
          <w:rFonts w:ascii="Palatino Linotype" w:hAnsi="Palatino Linotype" w:cs="Arial"/>
        </w:rPr>
      </w:pPr>
      <w:r w:rsidRPr="00843DDC">
        <w:rPr>
          <w:rFonts w:ascii="Palatino Linotype" w:hAnsi="Palatino Linotype" w:cs="Arial"/>
        </w:rPr>
        <w:t xml:space="preserve">Adicionalmente, el </w:t>
      </w:r>
      <w:r w:rsidRPr="00843DDC">
        <w:rPr>
          <w:rFonts w:ascii="Palatino Linotype" w:hAnsi="Palatino Linotype" w:cs="Arial"/>
          <w:b/>
        </w:rPr>
        <w:t>Sujeto Obligado</w:t>
      </w:r>
      <w:r w:rsidRPr="00843DDC">
        <w:rPr>
          <w:rFonts w:ascii="Palatino Linotype" w:hAnsi="Palatino Linotype" w:cs="Arial"/>
        </w:rPr>
        <w:t xml:space="preserve"> adjuntó el archivo electrónico denominado “</w:t>
      </w:r>
      <w:r w:rsidRPr="00843DDC">
        <w:rPr>
          <w:rFonts w:ascii="Palatino Linotype" w:hAnsi="Palatino Linotype" w:cs="Arial"/>
          <w:b/>
          <w:i/>
        </w:rPr>
        <w:t xml:space="preserve">472.pdf”, </w:t>
      </w:r>
      <w:r w:rsidRPr="00843DDC">
        <w:rPr>
          <w:rFonts w:ascii="Palatino Linotype" w:hAnsi="Palatino Linotype" w:cs="Arial"/>
        </w:rPr>
        <w:t xml:space="preserve">mismo que no se reproduce por ser del conocimiento de las partes, sin embargo, será materia de estudio en el considerando respectivo. </w:t>
      </w:r>
    </w:p>
    <w:p w:rsidR="00960B45" w:rsidRPr="00843DDC" w:rsidRDefault="00960B45" w:rsidP="00960B45">
      <w:pPr>
        <w:spacing w:line="360" w:lineRule="auto"/>
        <w:jc w:val="both"/>
        <w:rPr>
          <w:rFonts w:ascii="Palatino Linotype" w:hAnsi="Palatino Linotype" w:cs="Arial"/>
        </w:rPr>
      </w:pPr>
    </w:p>
    <w:p w:rsidR="00960B45" w:rsidRPr="00843DDC" w:rsidRDefault="00960B45" w:rsidP="00960B45">
      <w:pPr>
        <w:spacing w:before="240" w:line="360" w:lineRule="auto"/>
        <w:jc w:val="both"/>
        <w:rPr>
          <w:rFonts w:ascii="Palatino Linotype" w:hAnsi="Palatino Linotype" w:cs="Arial"/>
          <w:b/>
          <w:sz w:val="28"/>
        </w:rPr>
      </w:pPr>
      <w:r w:rsidRPr="00843DDC">
        <w:rPr>
          <w:rFonts w:ascii="Palatino Linotype" w:hAnsi="Palatino Linotype" w:cs="Arial"/>
          <w:b/>
          <w:sz w:val="28"/>
        </w:rPr>
        <w:t xml:space="preserve">TERCERO. </w:t>
      </w:r>
      <w:r w:rsidRPr="00843DDC">
        <w:rPr>
          <w:rFonts w:ascii="Palatino Linotype" w:hAnsi="Palatino Linotype"/>
          <w:b/>
          <w:sz w:val="28"/>
        </w:rPr>
        <w:t>Del recurso de revisión.</w:t>
      </w:r>
    </w:p>
    <w:p w:rsidR="00960B45" w:rsidRPr="00843DDC" w:rsidRDefault="00960B45" w:rsidP="00960B45">
      <w:pPr>
        <w:spacing w:before="240" w:line="360" w:lineRule="auto"/>
        <w:jc w:val="both"/>
        <w:rPr>
          <w:rFonts w:ascii="Palatino Linotype" w:hAnsi="Palatino Linotype" w:cs="Arial"/>
        </w:rPr>
      </w:pPr>
      <w:r w:rsidRPr="00843DDC">
        <w:rPr>
          <w:rFonts w:ascii="Palatino Linotype" w:hAnsi="Palatino Linotype" w:cs="Arial"/>
        </w:rPr>
        <w:t xml:space="preserve">Inconforme con la respuesta notificada por </w:t>
      </w:r>
      <w:r w:rsidRPr="00843DDC">
        <w:rPr>
          <w:rFonts w:ascii="Palatino Linotype" w:hAnsi="Palatino Linotype" w:cs="Arial"/>
          <w:b/>
        </w:rPr>
        <w:t xml:space="preserve">El Sujeto Obligado, </w:t>
      </w:r>
      <w:r w:rsidRPr="00843DDC">
        <w:rPr>
          <w:rFonts w:ascii="Palatino Linotype" w:hAnsi="Palatino Linotype" w:cs="Arial"/>
        </w:rPr>
        <w:t>el</w:t>
      </w:r>
      <w:r w:rsidRPr="00843DDC">
        <w:rPr>
          <w:rFonts w:ascii="Palatino Linotype" w:hAnsi="Palatino Linotype" w:cs="Arial"/>
          <w:b/>
        </w:rPr>
        <w:t xml:space="preserve"> Recurrente </w:t>
      </w:r>
      <w:r w:rsidRPr="00843DDC">
        <w:rPr>
          <w:rFonts w:ascii="Palatino Linotype" w:hAnsi="Palatino Linotype" w:cs="Arial"/>
        </w:rPr>
        <w:t xml:space="preserve">interpuso recurso de revisión, en fecha </w:t>
      </w:r>
      <w:r w:rsidRPr="00843DDC">
        <w:rPr>
          <w:rFonts w:ascii="Palatino Linotype" w:hAnsi="Palatino Linotype" w:cs="Arial"/>
          <w:b/>
        </w:rPr>
        <w:t>trece de agosto de dos mil veinticinco</w:t>
      </w:r>
      <w:r w:rsidRPr="00843DDC">
        <w:rPr>
          <w:rFonts w:ascii="Palatino Linotype" w:hAnsi="Palatino Linotype" w:cs="Arial"/>
        </w:rPr>
        <w:t xml:space="preserve">, el cual fue registrado en el sistema electrónico con el expediente número </w:t>
      </w:r>
      <w:r w:rsidRPr="00843DDC">
        <w:rPr>
          <w:rFonts w:ascii="Palatino Linotype" w:hAnsi="Palatino Linotype" w:cs="Arial"/>
          <w:b/>
        </w:rPr>
        <w:t xml:space="preserve">09540/INFOEM/IP/RR/2025; </w:t>
      </w:r>
      <w:r w:rsidRPr="00843DDC">
        <w:rPr>
          <w:rFonts w:ascii="Palatino Linotype" w:hAnsi="Palatino Linotype" w:cs="Arial"/>
        </w:rPr>
        <w:t>en los cuales arguye las siguientes manifestaciones:</w:t>
      </w:r>
    </w:p>
    <w:p w:rsidR="00960B45" w:rsidRPr="00843DDC" w:rsidRDefault="00960B45" w:rsidP="00960B45">
      <w:pPr>
        <w:pStyle w:val="Prrafodelista"/>
        <w:numPr>
          <w:ilvl w:val="0"/>
          <w:numId w:val="2"/>
        </w:numPr>
        <w:spacing w:before="240" w:line="360" w:lineRule="auto"/>
        <w:ind w:left="142" w:firstLine="0"/>
        <w:jc w:val="both"/>
        <w:rPr>
          <w:rFonts w:ascii="Palatino Linotype" w:hAnsi="Palatino Linotype" w:cs="Arial"/>
          <w:b/>
          <w:i/>
        </w:rPr>
      </w:pPr>
      <w:r w:rsidRPr="00843DDC">
        <w:rPr>
          <w:rFonts w:ascii="Palatino Linotype" w:hAnsi="Palatino Linotype" w:cs="Arial"/>
          <w:b/>
          <w:i/>
        </w:rPr>
        <w:t xml:space="preserve">Acto impugnado </w:t>
      </w:r>
    </w:p>
    <w:p w:rsidR="00960B45" w:rsidRPr="00843DDC" w:rsidRDefault="00960B45" w:rsidP="00960B45">
      <w:pPr>
        <w:pStyle w:val="INFOEM"/>
        <w:ind w:left="720"/>
      </w:pPr>
      <w:r w:rsidRPr="00843DDC">
        <w:t>“La respuesta otorgada por el sujeto obligado” (sic)</w:t>
      </w:r>
    </w:p>
    <w:p w:rsidR="00960B45" w:rsidRPr="00843DDC" w:rsidRDefault="00960B45" w:rsidP="00960B45">
      <w:pPr>
        <w:pStyle w:val="Prrafodelista"/>
        <w:numPr>
          <w:ilvl w:val="0"/>
          <w:numId w:val="2"/>
        </w:numPr>
        <w:spacing w:before="240" w:line="360" w:lineRule="auto"/>
        <w:ind w:left="142" w:firstLine="0"/>
        <w:jc w:val="both"/>
        <w:rPr>
          <w:rFonts w:ascii="Palatino Linotype" w:hAnsi="Palatino Linotype" w:cs="Arial"/>
          <w:b/>
          <w:i/>
        </w:rPr>
      </w:pPr>
      <w:r w:rsidRPr="00843DDC">
        <w:rPr>
          <w:rFonts w:ascii="Palatino Linotype" w:hAnsi="Palatino Linotype" w:cs="Arial"/>
          <w:b/>
          <w:i/>
        </w:rPr>
        <w:t>Razones o motivos de inconformidad</w:t>
      </w:r>
    </w:p>
    <w:p w:rsidR="00960B45" w:rsidRPr="00843DDC" w:rsidRDefault="00960B45" w:rsidP="00960B45">
      <w:pPr>
        <w:pStyle w:val="INFOEM"/>
        <w:ind w:left="709"/>
      </w:pPr>
      <w:r w:rsidRPr="00843DDC">
        <w:t>“</w:t>
      </w:r>
      <w:r w:rsidRPr="00843DDC">
        <w:rPr>
          <w:lang w:val="es-ES"/>
        </w:rPr>
        <w:t>No turno mi solicitud al área correspondiente además de que en las condiciones de consulta directa menciona que me estarán esperando guardias en la entrada lo cual genera inseguridad para ejercer mi derecho conforme lo establece el sujeto obligado</w:t>
      </w:r>
      <w:r w:rsidRPr="00843DDC">
        <w:t>” (sic)</w:t>
      </w:r>
    </w:p>
    <w:p w:rsidR="00960B45" w:rsidRPr="00843DDC" w:rsidRDefault="00960B45" w:rsidP="00960B45">
      <w:pPr>
        <w:spacing w:before="240" w:line="360" w:lineRule="auto"/>
        <w:jc w:val="both"/>
        <w:rPr>
          <w:rFonts w:ascii="Palatino Linotype" w:hAnsi="Palatino Linotype" w:cs="Arial"/>
        </w:rPr>
      </w:pPr>
    </w:p>
    <w:p w:rsidR="00960B45" w:rsidRPr="00843DDC" w:rsidRDefault="00960B45" w:rsidP="00960B45">
      <w:pPr>
        <w:spacing w:before="240" w:line="360" w:lineRule="auto"/>
        <w:jc w:val="both"/>
        <w:rPr>
          <w:rFonts w:ascii="Palatino Linotype" w:hAnsi="Palatino Linotype" w:cs="Arial"/>
          <w:b/>
        </w:rPr>
      </w:pPr>
      <w:r w:rsidRPr="00843DDC">
        <w:rPr>
          <w:rFonts w:ascii="Palatino Linotype" w:hAnsi="Palatino Linotype" w:cs="Arial"/>
          <w:b/>
          <w:sz w:val="28"/>
        </w:rPr>
        <w:t>CUARTO</w:t>
      </w:r>
      <w:r w:rsidRPr="00843DDC">
        <w:rPr>
          <w:rFonts w:ascii="Palatino Linotype" w:hAnsi="Palatino Linotype" w:cs="Arial"/>
          <w:b/>
        </w:rPr>
        <w:t xml:space="preserve">. </w:t>
      </w:r>
      <w:r w:rsidRPr="00843DDC">
        <w:rPr>
          <w:rFonts w:ascii="Palatino Linotype" w:hAnsi="Palatino Linotype" w:cs="Arial"/>
          <w:b/>
          <w:sz w:val="28"/>
          <w:szCs w:val="28"/>
        </w:rPr>
        <w:t>Del turno y admisión del recurso de revisión.</w:t>
      </w:r>
    </w:p>
    <w:p w:rsidR="00960B45" w:rsidRPr="00843DDC" w:rsidRDefault="00960B45" w:rsidP="00960B45">
      <w:pPr>
        <w:spacing w:before="240" w:line="360" w:lineRule="auto"/>
        <w:jc w:val="both"/>
        <w:rPr>
          <w:rFonts w:ascii="Palatino Linotype" w:hAnsi="Palatino Linotype" w:cs="Arial"/>
          <w:sz w:val="28"/>
        </w:rPr>
      </w:pPr>
      <w:r w:rsidRPr="00843DDC">
        <w:rPr>
          <w:rFonts w:ascii="Palatino Linotype" w:hAnsi="Palatino Linotype"/>
        </w:rPr>
        <w:lastRenderedPageBreak/>
        <w:t xml:space="preserve">El medio de impugnación fue turnado al Comisionado Presidente </w:t>
      </w:r>
      <w:r w:rsidRPr="00843DDC">
        <w:rPr>
          <w:rFonts w:ascii="Palatino Linotype" w:hAnsi="Palatino Linotype"/>
          <w:b/>
        </w:rPr>
        <w:t>José Martínez Vilchis,</w:t>
      </w:r>
      <w:r w:rsidRPr="00843DDC">
        <w:rPr>
          <w:rFonts w:ascii="Palatino Linotype" w:hAnsi="Palatino Linotype"/>
        </w:rPr>
        <w:t xml:space="preserve"> por medio del sistema electrónico SAIMEX, en términos del artículo 185, fracción I, de la Ley de Transparencia y Acceso a la información Pública del Estado de México y Municipios, del cual recayó acuerdo de </w:t>
      </w:r>
      <w:r w:rsidRPr="00843DDC">
        <w:rPr>
          <w:rFonts w:ascii="Palatino Linotype" w:hAnsi="Palatino Linotype"/>
          <w:b/>
        </w:rPr>
        <w:t>admisión</w:t>
      </w:r>
      <w:r w:rsidRPr="00843DDC">
        <w:rPr>
          <w:rFonts w:ascii="Palatino Linotype" w:hAnsi="Palatino Linotype"/>
        </w:rPr>
        <w:t xml:space="preserve"> en fecha </w:t>
      </w:r>
      <w:r w:rsidRPr="00843DDC">
        <w:rPr>
          <w:rFonts w:ascii="Palatino Linotype" w:hAnsi="Palatino Linotype"/>
          <w:b/>
        </w:rPr>
        <w:t>diecinueve de agosto de dos mil veinticinco</w:t>
      </w:r>
      <w:r w:rsidRPr="00843DDC">
        <w:rPr>
          <w:rFonts w:ascii="Palatino Linotype" w:hAnsi="Palatino Linotype"/>
        </w:rPr>
        <w:t>, determinándose en ellos, un plazo de siete días para que las partes manifestaran lo que a su derecho corresponda en términos del numeral ya citado.</w:t>
      </w:r>
    </w:p>
    <w:p w:rsidR="00960B45" w:rsidRPr="00843DDC" w:rsidRDefault="00960B45" w:rsidP="00960B45">
      <w:pPr>
        <w:spacing w:before="240" w:line="360" w:lineRule="auto"/>
        <w:jc w:val="both"/>
        <w:rPr>
          <w:rFonts w:ascii="Palatino Linotype" w:hAnsi="Palatino Linotype" w:cs="Arial"/>
          <w:sz w:val="28"/>
        </w:rPr>
      </w:pPr>
    </w:p>
    <w:p w:rsidR="00960B45" w:rsidRPr="00843DDC" w:rsidRDefault="00960B45" w:rsidP="00960B45">
      <w:pPr>
        <w:pStyle w:val="Prrafodelista"/>
        <w:spacing w:line="360" w:lineRule="auto"/>
        <w:ind w:left="0"/>
        <w:jc w:val="both"/>
        <w:rPr>
          <w:rFonts w:ascii="Palatino Linotype" w:hAnsi="Palatino Linotype" w:cs="Arial"/>
          <w:b/>
          <w:sz w:val="28"/>
          <w:szCs w:val="28"/>
        </w:rPr>
      </w:pPr>
      <w:r w:rsidRPr="00843DDC">
        <w:rPr>
          <w:rFonts w:ascii="Palatino Linotype" w:hAnsi="Palatino Linotype" w:cs="Arial"/>
          <w:b/>
          <w:sz w:val="28"/>
        </w:rPr>
        <w:t>QUINTO</w:t>
      </w:r>
      <w:r w:rsidRPr="00843DDC">
        <w:rPr>
          <w:rFonts w:ascii="Palatino Linotype" w:hAnsi="Palatino Linotype" w:cs="Arial"/>
          <w:b/>
          <w:sz w:val="28"/>
          <w:szCs w:val="28"/>
        </w:rPr>
        <w:t>. De la etapa de instrucción.</w:t>
      </w:r>
    </w:p>
    <w:p w:rsidR="00960B45" w:rsidRPr="00843DDC" w:rsidRDefault="00960B45" w:rsidP="00960B45">
      <w:pPr>
        <w:spacing w:line="360" w:lineRule="auto"/>
        <w:jc w:val="both"/>
        <w:rPr>
          <w:rFonts w:ascii="Palatino Linotype" w:hAnsi="Palatino Linotype"/>
        </w:rPr>
      </w:pPr>
      <w:r w:rsidRPr="00843DDC">
        <w:rPr>
          <w:rFonts w:ascii="Palatino Linotype" w:hAnsi="Palatino Linotype" w:cs="Arial"/>
        </w:rPr>
        <w:t>De las constancias que obran en el expediente electrónico del SAIMEX, se advierte que el Sujeto Obligado fue omiso al rendir su informe justificado. De igual manera, se advierte que el Recurrente</w:t>
      </w:r>
      <w:r w:rsidRPr="00843DDC">
        <w:rPr>
          <w:rFonts w:ascii="Palatino Linotype" w:hAnsi="Palatino Linotype" w:cs="Arial"/>
          <w:b/>
        </w:rPr>
        <w:t>,</w:t>
      </w:r>
      <w:r w:rsidRPr="00843DDC">
        <w:rPr>
          <w:rFonts w:ascii="Palatino Linotype" w:hAnsi="Palatino Linotype" w:cs="Arial"/>
        </w:rPr>
        <w:t xml:space="preserve"> omitió rendir dentro del término de Ley, las manifestaciones que a sus intereses conviniera.</w:t>
      </w:r>
    </w:p>
    <w:p w:rsidR="00960B45" w:rsidRPr="00843DDC" w:rsidRDefault="00960B45" w:rsidP="00960B45">
      <w:pPr>
        <w:spacing w:line="360" w:lineRule="auto"/>
        <w:jc w:val="both"/>
        <w:rPr>
          <w:rFonts w:ascii="Palatino Linotype" w:hAnsi="Palatino Linotype" w:cs="Arial"/>
        </w:rPr>
      </w:pPr>
    </w:p>
    <w:p w:rsidR="00960B45" w:rsidRPr="00843DDC" w:rsidRDefault="00960B45" w:rsidP="00960B45">
      <w:pPr>
        <w:spacing w:line="360" w:lineRule="auto"/>
        <w:jc w:val="both"/>
        <w:rPr>
          <w:rFonts w:ascii="Palatino Linotype" w:hAnsi="Palatino Linotype" w:cs="Arial"/>
        </w:rPr>
      </w:pPr>
      <w:r w:rsidRPr="00843DDC">
        <w:rPr>
          <w:rFonts w:ascii="Palatino Linotype" w:hAnsi="Palatino Linotype" w:cs="Arial"/>
        </w:rPr>
        <w:t>Por lo que al no existir prueba alguna o diligencia que desahogar en el expediente citado al rubro, el Comisionado Ponente acordó el cierre de instrucción, así como la remisión del mismo a efecto de ser resuelto, de conformidad con lo establecido en el artículo 185 fracciones VI y VIII de la Ley de Transparencia y Acceso a la Información Pública del Estado de México y Municipios.</w:t>
      </w:r>
    </w:p>
    <w:p w:rsidR="00960B45" w:rsidRPr="00843DDC" w:rsidRDefault="00960B45" w:rsidP="00960B45">
      <w:pPr>
        <w:spacing w:line="360" w:lineRule="auto"/>
        <w:jc w:val="both"/>
        <w:rPr>
          <w:rFonts w:ascii="Palatino Linotype" w:hAnsi="Palatino Linotype" w:cs="Arial"/>
          <w:b/>
          <w:sz w:val="28"/>
          <w:szCs w:val="28"/>
        </w:rPr>
      </w:pPr>
    </w:p>
    <w:p w:rsidR="00960B45" w:rsidRPr="00843DDC" w:rsidRDefault="00960B45" w:rsidP="00960B45">
      <w:pPr>
        <w:spacing w:line="360" w:lineRule="auto"/>
        <w:jc w:val="both"/>
        <w:rPr>
          <w:rFonts w:ascii="Palatino Linotype" w:hAnsi="Palatino Linotype" w:cs="Arial"/>
          <w:b/>
          <w:sz w:val="28"/>
          <w:szCs w:val="28"/>
        </w:rPr>
      </w:pPr>
      <w:r w:rsidRPr="00843DDC">
        <w:rPr>
          <w:rFonts w:ascii="Palatino Linotype" w:eastAsia="Calibri" w:hAnsi="Palatino Linotype" w:cs="Arial"/>
          <w:b/>
          <w:sz w:val="28"/>
          <w:szCs w:val="28"/>
          <w:lang w:val="es-MX" w:eastAsia="en-US"/>
        </w:rPr>
        <w:t xml:space="preserve">SEXTO. </w:t>
      </w:r>
      <w:r w:rsidRPr="00843DDC">
        <w:rPr>
          <w:rFonts w:ascii="Palatino Linotype" w:hAnsi="Palatino Linotype" w:cs="Arial"/>
          <w:b/>
          <w:sz w:val="28"/>
          <w:szCs w:val="28"/>
        </w:rPr>
        <w:t>Del Cierre de Instrucción.</w:t>
      </w:r>
    </w:p>
    <w:p w:rsidR="00960B45" w:rsidRPr="00843DDC" w:rsidRDefault="00960B45" w:rsidP="00960B45">
      <w:pPr>
        <w:spacing w:line="360" w:lineRule="auto"/>
        <w:jc w:val="both"/>
        <w:rPr>
          <w:rFonts w:ascii="Palatino Linotype" w:hAnsi="Palatino Linotype" w:cs="Arial"/>
          <w:b/>
        </w:rPr>
      </w:pPr>
      <w:r w:rsidRPr="00843DDC">
        <w:rPr>
          <w:rFonts w:ascii="Palatino Linotype" w:hAnsi="Palatino Linotype" w:cs="Arial"/>
        </w:rPr>
        <w:t xml:space="preserve">Por lo que una vez transcurrido el periodo otorgado a las partes de siete días hábiles para realizar sus manifestaciones en el acuerdo de admisión, y no habiendo prueba pendiente por desahogar, ni que documentos que integrar al expediente electrónico, se </w:t>
      </w:r>
      <w:r w:rsidRPr="00843DDC">
        <w:rPr>
          <w:rFonts w:ascii="Palatino Linotype" w:hAnsi="Palatino Linotype" w:cs="Arial"/>
        </w:rPr>
        <w:lastRenderedPageBreak/>
        <w:t xml:space="preserve">decretó el cierre de instrucción en fecha </w:t>
      </w:r>
      <w:r w:rsidRPr="00843DDC">
        <w:rPr>
          <w:rFonts w:ascii="Palatino Linotype" w:hAnsi="Palatino Linotype" w:cs="Arial"/>
          <w:b/>
        </w:rPr>
        <w:t>ocho de octubre de dos mil veinticinco</w:t>
      </w:r>
      <w:r w:rsidRPr="00843DDC">
        <w:rPr>
          <w:rFonts w:ascii="Palatino Linotype" w:hAnsi="Palatino Linotype" w:cs="Arial"/>
        </w:rPr>
        <w:t>, en términos del artículo 185 fracción VI de la Ley de Transparencia y Acceso a la Información Pública del Estado de México y Municipios, ordenándose turnar el expediente a la resolución que en derecho proceda.</w:t>
      </w:r>
    </w:p>
    <w:p w:rsidR="00960B45" w:rsidRPr="00843DDC" w:rsidRDefault="00960B45" w:rsidP="00960B45">
      <w:pPr>
        <w:spacing w:line="360" w:lineRule="auto"/>
        <w:jc w:val="both"/>
        <w:rPr>
          <w:rFonts w:ascii="Palatino Linotype" w:eastAsia="Calibri" w:hAnsi="Palatino Linotype" w:cs="Arial"/>
          <w:b/>
          <w:sz w:val="28"/>
          <w:szCs w:val="28"/>
        </w:rPr>
      </w:pPr>
    </w:p>
    <w:p w:rsidR="00960B45" w:rsidRPr="00843DDC" w:rsidRDefault="00960B45" w:rsidP="00960B45">
      <w:pPr>
        <w:spacing w:line="360" w:lineRule="auto"/>
        <w:jc w:val="both"/>
        <w:rPr>
          <w:rFonts w:ascii="Palatino Linotype" w:eastAsia="Calibri" w:hAnsi="Palatino Linotype" w:cs="Arial"/>
          <w:b/>
          <w:sz w:val="28"/>
          <w:lang w:val="es-ES_tradnl"/>
        </w:rPr>
      </w:pPr>
      <w:r w:rsidRPr="00843DDC">
        <w:rPr>
          <w:rFonts w:ascii="Palatino Linotype" w:hAnsi="Palatino Linotype" w:cs="Arial"/>
          <w:b/>
          <w:sz w:val="28"/>
          <w:szCs w:val="28"/>
        </w:rPr>
        <w:t xml:space="preserve">SÉPTIMO. </w:t>
      </w:r>
      <w:r w:rsidRPr="00843DDC">
        <w:rPr>
          <w:rFonts w:ascii="Palatino Linotype" w:eastAsia="Calibri" w:hAnsi="Palatino Linotype" w:cs="Arial"/>
          <w:b/>
          <w:sz w:val="28"/>
          <w:lang w:val="es-ES_tradnl"/>
        </w:rPr>
        <w:t>De la ampliación del término para resolver.</w:t>
      </w:r>
    </w:p>
    <w:p w:rsidR="00960B45" w:rsidRPr="00843DDC" w:rsidRDefault="00960B45" w:rsidP="00960B45">
      <w:pPr>
        <w:spacing w:line="360" w:lineRule="auto"/>
        <w:jc w:val="both"/>
        <w:rPr>
          <w:rFonts w:ascii="Palatino Linotype" w:hAnsi="Palatino Linotype" w:cs="Arial"/>
        </w:rPr>
      </w:pPr>
      <w:r w:rsidRPr="00843DDC">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843DDC">
        <w:rPr>
          <w:rFonts w:ascii="Palatino Linotype" w:hAnsi="Palatino Linotype" w:cs="Arial"/>
          <w:b/>
        </w:rPr>
        <w:t>ocho de octubre de dos mil veinticinco</w:t>
      </w:r>
      <w:r w:rsidRPr="00843DDC">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rsidR="00960B45" w:rsidRPr="00843DDC" w:rsidRDefault="00960B45" w:rsidP="00960B45">
      <w:pPr>
        <w:spacing w:line="360" w:lineRule="auto"/>
        <w:jc w:val="both"/>
        <w:rPr>
          <w:rFonts w:ascii="Palatino Linotype" w:hAnsi="Palatino Linotype" w:cs="Arial"/>
          <w:b/>
          <w:sz w:val="28"/>
          <w:szCs w:val="28"/>
        </w:rPr>
      </w:pPr>
    </w:p>
    <w:p w:rsidR="00960B45" w:rsidRPr="00843DDC" w:rsidRDefault="00960B45" w:rsidP="00960B45">
      <w:pPr>
        <w:spacing w:line="360" w:lineRule="auto"/>
        <w:jc w:val="center"/>
        <w:rPr>
          <w:rFonts w:ascii="Palatino Linotype" w:hAnsi="Palatino Linotype"/>
          <w:b/>
          <w:bCs/>
          <w:spacing w:val="60"/>
          <w:sz w:val="28"/>
          <w:lang w:val="es-ES_tradnl"/>
        </w:rPr>
      </w:pPr>
      <w:r w:rsidRPr="00843DDC">
        <w:rPr>
          <w:rFonts w:ascii="Palatino Linotype" w:hAnsi="Palatino Linotype"/>
          <w:b/>
          <w:bCs/>
          <w:spacing w:val="60"/>
          <w:sz w:val="28"/>
          <w:lang w:val="es-ES_tradnl"/>
        </w:rPr>
        <w:t>CONSIDERANDO</w:t>
      </w:r>
    </w:p>
    <w:p w:rsidR="00960B45" w:rsidRPr="00843DDC" w:rsidRDefault="00960B45" w:rsidP="00960B45">
      <w:pPr>
        <w:spacing w:before="240" w:line="360" w:lineRule="auto"/>
        <w:jc w:val="both"/>
        <w:rPr>
          <w:rFonts w:ascii="Palatino Linotype" w:hAnsi="Palatino Linotype" w:cs="Arial"/>
          <w:sz w:val="28"/>
          <w:szCs w:val="28"/>
        </w:rPr>
      </w:pPr>
      <w:r w:rsidRPr="00843DDC">
        <w:rPr>
          <w:rFonts w:ascii="Palatino Linotype" w:hAnsi="Palatino Linotype" w:cs="Arial"/>
          <w:b/>
          <w:sz w:val="28"/>
        </w:rPr>
        <w:t>PRIMERO.</w:t>
      </w:r>
      <w:r w:rsidRPr="00843DDC">
        <w:rPr>
          <w:rFonts w:ascii="Palatino Linotype" w:hAnsi="Palatino Linotype" w:cs="Arial"/>
          <w:b/>
        </w:rPr>
        <w:t xml:space="preserve"> </w:t>
      </w:r>
      <w:r w:rsidRPr="00843DDC">
        <w:rPr>
          <w:rFonts w:ascii="Palatino Linotype" w:hAnsi="Palatino Linotype" w:cs="Arial"/>
          <w:b/>
          <w:sz w:val="28"/>
          <w:szCs w:val="28"/>
        </w:rPr>
        <w:t>De la competencia</w:t>
      </w:r>
      <w:r w:rsidRPr="00843DDC">
        <w:rPr>
          <w:rFonts w:ascii="Palatino Linotype" w:hAnsi="Palatino Linotype" w:cs="Arial"/>
          <w:sz w:val="28"/>
          <w:szCs w:val="28"/>
        </w:rPr>
        <w:t>.</w:t>
      </w:r>
    </w:p>
    <w:p w:rsidR="00960B45" w:rsidRPr="00843DDC" w:rsidRDefault="00960B45" w:rsidP="00960B45">
      <w:pPr>
        <w:tabs>
          <w:tab w:val="left" w:pos="3402"/>
        </w:tabs>
        <w:spacing w:line="360" w:lineRule="auto"/>
        <w:jc w:val="both"/>
        <w:rPr>
          <w:rFonts w:ascii="Palatino Linotype" w:hAnsi="Palatino Linotype"/>
        </w:rPr>
      </w:pPr>
      <w:r w:rsidRPr="00843DDC">
        <w:rPr>
          <w:rFonts w:ascii="Palatino Linotype" w:hAnsi="Palatino Linotype"/>
        </w:rPr>
        <w:t xml:space="preserve">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w:t>
      </w:r>
      <w:r w:rsidRPr="00843DDC">
        <w:rPr>
          <w:rFonts w:ascii="Palatino Linotype" w:hAnsi="Palatino Linotype"/>
        </w:rPr>
        <w:lastRenderedPageBreak/>
        <w:t>y 9, fracciones I y XXIII y 11 del Reglamento Interior del Instituto de Transparencia, Acceso a la Información Pública y Protección de Datos Personales del Estado de México y Municipios.</w:t>
      </w:r>
    </w:p>
    <w:p w:rsidR="00960B45" w:rsidRPr="00843DDC" w:rsidRDefault="00960B45" w:rsidP="00960B45">
      <w:pPr>
        <w:spacing w:before="240" w:line="360" w:lineRule="auto"/>
        <w:jc w:val="both"/>
        <w:rPr>
          <w:rFonts w:ascii="Palatino Linotype" w:eastAsia="Calibri" w:hAnsi="Palatino Linotype"/>
          <w:b/>
          <w:color w:val="000000" w:themeColor="text1"/>
        </w:rPr>
      </w:pPr>
    </w:p>
    <w:p w:rsidR="00960B45" w:rsidRPr="00843DDC" w:rsidRDefault="00960B45" w:rsidP="00960B45">
      <w:pPr>
        <w:pStyle w:val="Prrafodelista"/>
        <w:autoSpaceDE w:val="0"/>
        <w:autoSpaceDN w:val="0"/>
        <w:adjustRightInd w:val="0"/>
        <w:spacing w:before="240" w:after="160" w:line="360" w:lineRule="auto"/>
        <w:ind w:left="0"/>
        <w:jc w:val="both"/>
        <w:rPr>
          <w:rFonts w:ascii="Palatino Linotype" w:hAnsi="Palatino Linotype" w:cs="Arial"/>
          <w:b/>
        </w:rPr>
      </w:pPr>
      <w:r w:rsidRPr="00843DDC">
        <w:rPr>
          <w:rFonts w:ascii="Palatino Linotype" w:hAnsi="Palatino Linotype" w:cs="Arial"/>
          <w:b/>
          <w:sz w:val="28"/>
        </w:rPr>
        <w:t>SEGUNDO</w:t>
      </w:r>
      <w:r w:rsidRPr="00843DDC">
        <w:rPr>
          <w:rFonts w:ascii="Palatino Linotype" w:hAnsi="Palatino Linotype" w:cs="Arial"/>
          <w:b/>
        </w:rPr>
        <w:t xml:space="preserve">. </w:t>
      </w:r>
      <w:r w:rsidRPr="00843DDC">
        <w:rPr>
          <w:rFonts w:ascii="Palatino Linotype" w:hAnsi="Palatino Linotype" w:cs="Arial"/>
          <w:b/>
          <w:sz w:val="28"/>
          <w:szCs w:val="28"/>
        </w:rPr>
        <w:t>Sobre los alcances del recurso de revisión.</w:t>
      </w:r>
      <w:r w:rsidRPr="00843DDC">
        <w:rPr>
          <w:rFonts w:ascii="Palatino Linotype" w:hAnsi="Palatino Linotype" w:cs="Arial"/>
          <w:b/>
        </w:rPr>
        <w:t xml:space="preserve"> </w:t>
      </w:r>
    </w:p>
    <w:p w:rsidR="00960B45" w:rsidRPr="00843DDC" w:rsidRDefault="00960B45" w:rsidP="00960B45">
      <w:pPr>
        <w:pStyle w:val="Prrafodelista"/>
        <w:autoSpaceDE w:val="0"/>
        <w:autoSpaceDN w:val="0"/>
        <w:adjustRightInd w:val="0"/>
        <w:spacing w:before="240" w:after="160" w:line="360" w:lineRule="auto"/>
        <w:ind w:left="0"/>
        <w:jc w:val="both"/>
        <w:rPr>
          <w:rFonts w:ascii="Palatino Linotype" w:hAnsi="Palatino Linotype" w:cs="Arial"/>
        </w:rPr>
      </w:pPr>
      <w:r w:rsidRPr="00843DDC">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rsidR="00960B45" w:rsidRPr="00843DDC" w:rsidRDefault="00960B45" w:rsidP="00960B45">
      <w:pPr>
        <w:autoSpaceDE w:val="0"/>
        <w:autoSpaceDN w:val="0"/>
        <w:adjustRightInd w:val="0"/>
        <w:spacing w:before="240" w:line="360" w:lineRule="auto"/>
        <w:jc w:val="both"/>
        <w:rPr>
          <w:rFonts w:ascii="Palatino Linotype" w:hAnsi="Palatino Linotype" w:cs="Arial"/>
        </w:rPr>
      </w:pPr>
      <w:r w:rsidRPr="00843DDC">
        <w:rPr>
          <w:rFonts w:ascii="Palatino Linotype" w:hAnsi="Palatino Linotype" w:cs="Arial"/>
        </w:rPr>
        <w:t>El Recurso de Revisión en estudio contiene los elementos normativos de validez exigidos en la Ley de Transparencia y Acceso a la Información Pública del Estado de México y Municipios, establecidos en el artículo 180 que enuncia:</w:t>
      </w:r>
    </w:p>
    <w:p w:rsidR="00960B45" w:rsidRPr="00843DDC" w:rsidRDefault="00960B45" w:rsidP="00960B45">
      <w:pPr>
        <w:autoSpaceDE w:val="0"/>
        <w:autoSpaceDN w:val="0"/>
        <w:adjustRightInd w:val="0"/>
        <w:spacing w:before="240" w:line="360" w:lineRule="auto"/>
        <w:ind w:left="1134"/>
        <w:jc w:val="both"/>
        <w:rPr>
          <w:rFonts w:ascii="Palatino Linotype" w:hAnsi="Palatino Linotype" w:cs="Arial"/>
          <w:i/>
        </w:rPr>
      </w:pPr>
      <w:r w:rsidRPr="00843DDC">
        <w:rPr>
          <w:rFonts w:ascii="Palatino Linotype" w:hAnsi="Palatino Linotype" w:cs="Arial"/>
          <w:i/>
        </w:rPr>
        <w:t xml:space="preserve">“Artículo 180. El recurso de revisión contendrá: </w:t>
      </w:r>
    </w:p>
    <w:p w:rsidR="00960B45" w:rsidRPr="00843DDC" w:rsidRDefault="00960B45" w:rsidP="00960B45">
      <w:pPr>
        <w:autoSpaceDE w:val="0"/>
        <w:autoSpaceDN w:val="0"/>
        <w:adjustRightInd w:val="0"/>
        <w:ind w:left="1134"/>
        <w:jc w:val="both"/>
        <w:rPr>
          <w:rFonts w:ascii="Palatino Linotype" w:hAnsi="Palatino Linotype" w:cs="Arial"/>
          <w:i/>
          <w:lang w:val="es-ES_tradnl"/>
        </w:rPr>
      </w:pPr>
      <w:r w:rsidRPr="00843DDC">
        <w:rPr>
          <w:rFonts w:ascii="Palatino Linotype" w:hAnsi="Palatino Linotype" w:cs="Arial"/>
          <w:i/>
          <w:lang w:val="es-ES_tradnl"/>
        </w:rPr>
        <w:t xml:space="preserve">I. El sujeto obligado ante la cual se presentó la solicitud; </w:t>
      </w:r>
    </w:p>
    <w:p w:rsidR="00960B45" w:rsidRPr="00843DDC" w:rsidRDefault="00960B45" w:rsidP="00960B45">
      <w:pPr>
        <w:autoSpaceDE w:val="0"/>
        <w:autoSpaceDN w:val="0"/>
        <w:adjustRightInd w:val="0"/>
        <w:ind w:left="1134" w:right="567"/>
        <w:jc w:val="both"/>
        <w:rPr>
          <w:rFonts w:ascii="Palatino Linotype" w:hAnsi="Palatino Linotype" w:cs="Arial"/>
          <w:i/>
          <w:lang w:val="es-ES_tradnl"/>
        </w:rPr>
      </w:pPr>
      <w:r w:rsidRPr="00843DDC">
        <w:rPr>
          <w:rFonts w:ascii="Palatino Linotype" w:hAnsi="Palatino Linotype" w:cs="Arial"/>
          <w:b/>
          <w:i/>
          <w:lang w:val="es-ES_tradnl"/>
        </w:rPr>
        <w:t>II. El nombre del solicitante que recurre</w:t>
      </w:r>
      <w:r w:rsidRPr="00843DDC">
        <w:rPr>
          <w:rFonts w:ascii="Palatino Linotype" w:hAnsi="Palatino Linotype" w:cs="Arial"/>
          <w:i/>
          <w:lang w:val="es-ES_tradnl"/>
        </w:rPr>
        <w:t xml:space="preserve"> o de su representante y, en su caso, del tercero interesado, así como la dirección o medio que señale para recibir notificaciones;</w:t>
      </w:r>
    </w:p>
    <w:p w:rsidR="00960B45" w:rsidRPr="00843DDC" w:rsidRDefault="00960B45" w:rsidP="00960B45">
      <w:pPr>
        <w:autoSpaceDE w:val="0"/>
        <w:autoSpaceDN w:val="0"/>
        <w:adjustRightInd w:val="0"/>
        <w:ind w:left="1134"/>
        <w:jc w:val="both"/>
        <w:rPr>
          <w:rFonts w:ascii="Palatino Linotype" w:hAnsi="Palatino Linotype" w:cs="Arial"/>
          <w:i/>
          <w:lang w:val="es-ES_tradnl"/>
        </w:rPr>
      </w:pPr>
      <w:r w:rsidRPr="00843DDC">
        <w:rPr>
          <w:rFonts w:ascii="Palatino Linotype" w:hAnsi="Palatino Linotype" w:cs="Arial"/>
          <w:i/>
          <w:lang w:val="es-ES_tradnl"/>
        </w:rPr>
        <w:t>III. El número de folio de respuesta de la solicitud de acceso;</w:t>
      </w:r>
    </w:p>
    <w:p w:rsidR="00960B45" w:rsidRPr="00843DDC" w:rsidRDefault="00960B45" w:rsidP="00960B45">
      <w:pPr>
        <w:autoSpaceDE w:val="0"/>
        <w:autoSpaceDN w:val="0"/>
        <w:adjustRightInd w:val="0"/>
        <w:ind w:left="1134" w:right="567"/>
        <w:jc w:val="both"/>
        <w:rPr>
          <w:rFonts w:ascii="Palatino Linotype" w:hAnsi="Palatino Linotype" w:cs="Arial"/>
          <w:i/>
          <w:lang w:val="es-ES_tradnl"/>
        </w:rPr>
      </w:pPr>
      <w:r w:rsidRPr="00843DDC">
        <w:rPr>
          <w:rFonts w:ascii="Palatino Linotype" w:hAnsi="Palatino Linotype" w:cs="Arial"/>
          <w:i/>
          <w:lang w:val="es-ES_tradnl"/>
        </w:rPr>
        <w:lastRenderedPageBreak/>
        <w:t>IV. La fecha en que fue notificada la respuesta al solicitante o tuvo conocimiento del acto reclamado, o de presentación de la solicitud, en caso de falta de respuesta;</w:t>
      </w:r>
    </w:p>
    <w:p w:rsidR="00960B45" w:rsidRPr="00843DDC" w:rsidRDefault="00960B45" w:rsidP="00960B45">
      <w:pPr>
        <w:autoSpaceDE w:val="0"/>
        <w:autoSpaceDN w:val="0"/>
        <w:adjustRightInd w:val="0"/>
        <w:ind w:left="1134" w:right="567"/>
        <w:jc w:val="both"/>
        <w:rPr>
          <w:rFonts w:ascii="Palatino Linotype" w:hAnsi="Palatino Linotype" w:cs="Arial"/>
          <w:i/>
          <w:lang w:val="es-ES_tradnl"/>
        </w:rPr>
      </w:pPr>
      <w:r w:rsidRPr="00843DDC">
        <w:rPr>
          <w:rFonts w:ascii="Palatino Linotype" w:hAnsi="Palatino Linotype" w:cs="Arial"/>
          <w:i/>
          <w:lang w:val="es-ES_tradnl"/>
        </w:rPr>
        <w:t>V. El acto que se recurre;</w:t>
      </w:r>
    </w:p>
    <w:p w:rsidR="00960B45" w:rsidRPr="00843DDC" w:rsidRDefault="00960B45" w:rsidP="00960B45">
      <w:pPr>
        <w:autoSpaceDE w:val="0"/>
        <w:autoSpaceDN w:val="0"/>
        <w:adjustRightInd w:val="0"/>
        <w:ind w:left="1134"/>
        <w:jc w:val="both"/>
        <w:rPr>
          <w:rFonts w:ascii="Palatino Linotype" w:hAnsi="Palatino Linotype" w:cs="Arial"/>
          <w:i/>
          <w:lang w:val="es-ES_tradnl"/>
        </w:rPr>
      </w:pPr>
      <w:r w:rsidRPr="00843DDC">
        <w:rPr>
          <w:rFonts w:ascii="Palatino Linotype" w:hAnsi="Palatino Linotype" w:cs="Arial"/>
          <w:i/>
          <w:lang w:val="es-ES_tradnl"/>
        </w:rPr>
        <w:t>VI. Las razones o motivos de inconformidad;</w:t>
      </w:r>
    </w:p>
    <w:p w:rsidR="00960B45" w:rsidRPr="00843DDC" w:rsidRDefault="00960B45" w:rsidP="00960B45">
      <w:pPr>
        <w:autoSpaceDE w:val="0"/>
        <w:autoSpaceDN w:val="0"/>
        <w:adjustRightInd w:val="0"/>
        <w:ind w:left="1134" w:right="567"/>
        <w:jc w:val="both"/>
        <w:rPr>
          <w:rFonts w:ascii="Palatino Linotype" w:hAnsi="Palatino Linotype" w:cs="Arial"/>
          <w:i/>
          <w:lang w:val="es-ES_tradnl"/>
        </w:rPr>
      </w:pPr>
      <w:r w:rsidRPr="00843DDC">
        <w:rPr>
          <w:rFonts w:ascii="Palatino Linotype" w:hAnsi="Palatino Linotype" w:cs="Arial"/>
          <w:i/>
          <w:lang w:val="es-ES_tradnl"/>
        </w:rPr>
        <w:t xml:space="preserve">VII. La copia de la respuesta que se impugna y, en su caso, de la notificación correspondiente, en el caso de respuesta de la solicitud; y </w:t>
      </w:r>
    </w:p>
    <w:p w:rsidR="00960B45" w:rsidRPr="00843DDC" w:rsidRDefault="00960B45" w:rsidP="00960B45">
      <w:pPr>
        <w:autoSpaceDE w:val="0"/>
        <w:autoSpaceDN w:val="0"/>
        <w:adjustRightInd w:val="0"/>
        <w:ind w:left="1134" w:right="567"/>
        <w:jc w:val="both"/>
        <w:rPr>
          <w:rFonts w:ascii="Palatino Linotype" w:hAnsi="Palatino Linotype" w:cs="Arial"/>
          <w:i/>
          <w:lang w:val="es-ES_tradnl"/>
        </w:rPr>
      </w:pPr>
      <w:r w:rsidRPr="00843DDC">
        <w:rPr>
          <w:rFonts w:ascii="Palatino Linotype" w:hAnsi="Palatino Linotype" w:cs="Arial"/>
          <w:i/>
          <w:lang w:val="es-ES_tradnl"/>
        </w:rPr>
        <w:t xml:space="preserve">VIII. Firma del recurrente, en su caso, cuando se presente por escrito, requisito sin el cual se dará trámite al recurso. </w:t>
      </w:r>
    </w:p>
    <w:p w:rsidR="00960B45" w:rsidRPr="00843DDC" w:rsidRDefault="00960B45" w:rsidP="00960B45">
      <w:pPr>
        <w:autoSpaceDE w:val="0"/>
        <w:autoSpaceDN w:val="0"/>
        <w:adjustRightInd w:val="0"/>
        <w:spacing w:before="240" w:line="276" w:lineRule="auto"/>
        <w:ind w:left="1134" w:right="567"/>
        <w:jc w:val="both"/>
        <w:rPr>
          <w:rFonts w:ascii="Palatino Linotype" w:hAnsi="Palatino Linotype" w:cs="Arial"/>
          <w:i/>
          <w:lang w:val="es-ES_tradnl"/>
        </w:rPr>
      </w:pPr>
      <w:r w:rsidRPr="00843DDC">
        <w:rPr>
          <w:rFonts w:ascii="Palatino Linotype" w:hAnsi="Palatino Linotype" w:cs="Arial"/>
          <w:i/>
          <w:lang w:val="es-ES_tradnl"/>
        </w:rPr>
        <w:t xml:space="preserve">Adicionalmente, se podrán anexar las pruebas y demás elementos que considere procedentes someter a juicio del Instituto. </w:t>
      </w:r>
    </w:p>
    <w:p w:rsidR="00960B45" w:rsidRPr="00843DDC" w:rsidRDefault="00960B45" w:rsidP="00960B45">
      <w:pPr>
        <w:autoSpaceDE w:val="0"/>
        <w:autoSpaceDN w:val="0"/>
        <w:adjustRightInd w:val="0"/>
        <w:spacing w:before="240" w:line="276" w:lineRule="auto"/>
        <w:ind w:left="1134" w:right="567"/>
        <w:jc w:val="both"/>
        <w:rPr>
          <w:rFonts w:ascii="Palatino Linotype" w:hAnsi="Palatino Linotype" w:cs="Arial"/>
          <w:i/>
          <w:lang w:val="es-ES_tradnl"/>
        </w:rPr>
      </w:pPr>
      <w:r w:rsidRPr="00843DDC">
        <w:rPr>
          <w:rFonts w:ascii="Palatino Linotype" w:hAnsi="Palatino Linotype" w:cs="Arial"/>
          <w:i/>
          <w:lang w:val="es-ES_tradnl"/>
        </w:rPr>
        <w:t xml:space="preserve">En ningún caso será necesario que el particular ratifique el recurso de revisión interpuesto. </w:t>
      </w:r>
    </w:p>
    <w:p w:rsidR="00960B45" w:rsidRPr="00843DDC" w:rsidRDefault="00960B45" w:rsidP="00960B45">
      <w:pPr>
        <w:autoSpaceDE w:val="0"/>
        <w:autoSpaceDN w:val="0"/>
        <w:adjustRightInd w:val="0"/>
        <w:spacing w:before="240" w:line="360" w:lineRule="auto"/>
        <w:ind w:left="1134" w:right="567"/>
        <w:jc w:val="both"/>
        <w:rPr>
          <w:rFonts w:ascii="Palatino Linotype" w:hAnsi="Palatino Linotype" w:cs="Arial"/>
        </w:rPr>
      </w:pPr>
      <w:r w:rsidRPr="00843DDC">
        <w:rPr>
          <w:rFonts w:ascii="Palatino Linotype" w:eastAsia="Calibri" w:hAnsi="Palatino Linotype" w:cs="Arial"/>
          <w:b/>
          <w:i/>
        </w:rPr>
        <w:t>En caso de que el recurso se interponga de manera electrónica no será indispensable que contengan los requisitos establecidos en las fracciones II, IV, VII y VIII.”</w:t>
      </w:r>
    </w:p>
    <w:p w:rsidR="00960B45" w:rsidRPr="00843DDC" w:rsidRDefault="00960B45" w:rsidP="00960B45">
      <w:pPr>
        <w:autoSpaceDE w:val="0"/>
        <w:autoSpaceDN w:val="0"/>
        <w:adjustRightInd w:val="0"/>
        <w:spacing w:before="240" w:line="360" w:lineRule="auto"/>
        <w:jc w:val="both"/>
        <w:rPr>
          <w:rFonts w:ascii="Palatino Linotype" w:hAnsi="Palatino Linotype"/>
        </w:rPr>
      </w:pPr>
    </w:p>
    <w:p w:rsidR="00960B45" w:rsidRPr="00843DDC" w:rsidRDefault="00960B45" w:rsidP="00960B45">
      <w:pPr>
        <w:autoSpaceDE w:val="0"/>
        <w:autoSpaceDN w:val="0"/>
        <w:adjustRightInd w:val="0"/>
        <w:spacing w:before="240" w:line="360" w:lineRule="auto"/>
        <w:jc w:val="both"/>
        <w:rPr>
          <w:rFonts w:ascii="Palatino Linotype" w:hAnsi="Palatino Linotype"/>
        </w:rPr>
      </w:pPr>
      <w:r w:rsidRPr="00843DDC">
        <w:rPr>
          <w:rFonts w:ascii="Palatino Linotype" w:hAnsi="Palatino Linotype"/>
        </w:rPr>
        <w:t>Cabe señalar que El Recurrente ejerció de manera anónima su derecho de acceso a la información pública, sin embargo, no es motivo para desechar las solicitudes de acceso a la información pública conforme a lo previsto en el artículo 155, penúltimo párrafo de la Ley de Transparencia y Acceso a la Información Pública del Estado de México y Municipios que señala lo siguiente:</w:t>
      </w:r>
    </w:p>
    <w:tbl>
      <w:tblPr>
        <w:tblStyle w:val="Tablaconcuadrcula1"/>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2"/>
      </w:tblGrid>
      <w:tr w:rsidR="00960B45" w:rsidRPr="00843DDC" w:rsidTr="00837D20">
        <w:trPr>
          <w:trHeight w:val="1360"/>
        </w:trPr>
        <w:tc>
          <w:tcPr>
            <w:tcW w:w="7982" w:type="dxa"/>
          </w:tcPr>
          <w:p w:rsidR="00960B45" w:rsidRPr="00843DDC" w:rsidRDefault="00960B45" w:rsidP="00837D20">
            <w:pPr>
              <w:autoSpaceDE w:val="0"/>
              <w:autoSpaceDN w:val="0"/>
              <w:adjustRightInd w:val="0"/>
              <w:spacing w:before="240" w:line="360" w:lineRule="auto"/>
              <w:jc w:val="both"/>
              <w:rPr>
                <w:rFonts w:ascii="Palatino Linotype" w:hAnsi="Palatino Linotype"/>
                <w:i/>
              </w:rPr>
            </w:pPr>
            <w:r w:rsidRPr="00843DDC">
              <w:rPr>
                <w:rFonts w:ascii="Palatino Linotype" w:hAnsi="Palatino Linotype"/>
                <w:i/>
              </w:rPr>
              <w:t xml:space="preserve">“Las solicitudes anónimas, con nombre incompleto o seudónimo serán procedentes para su trámite por parte del sujeto obligado ante quien se presente. </w:t>
            </w:r>
            <w:r w:rsidRPr="00843DDC">
              <w:rPr>
                <w:rFonts w:ascii="Palatino Linotype" w:hAnsi="Palatino Linotype"/>
                <w:i/>
              </w:rPr>
              <w:lastRenderedPageBreak/>
              <w:t xml:space="preserve">No podrá requerirse información adicional con motivo del nombre proporcionado por el solicitante.” </w:t>
            </w:r>
          </w:p>
        </w:tc>
      </w:tr>
    </w:tbl>
    <w:p w:rsidR="00960B45" w:rsidRPr="00843DDC" w:rsidRDefault="00960B45" w:rsidP="00960B45">
      <w:pPr>
        <w:autoSpaceDE w:val="0"/>
        <w:autoSpaceDN w:val="0"/>
        <w:adjustRightInd w:val="0"/>
        <w:spacing w:before="240" w:line="360" w:lineRule="auto"/>
        <w:jc w:val="both"/>
        <w:rPr>
          <w:rFonts w:ascii="Palatino Linotype" w:hAnsi="Palatino Linotype"/>
        </w:rPr>
      </w:pPr>
      <w:r w:rsidRPr="00843DDC">
        <w:rPr>
          <w:rFonts w:ascii="Palatino Linotype" w:hAnsi="Palatino Linotype"/>
        </w:rPr>
        <w:lastRenderedPageBreak/>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tblGrid>
      <w:tr w:rsidR="00960B45" w:rsidRPr="00843DDC" w:rsidTr="00837D20">
        <w:trPr>
          <w:jc w:val="center"/>
        </w:trPr>
        <w:tc>
          <w:tcPr>
            <w:tcW w:w="8075" w:type="dxa"/>
          </w:tcPr>
          <w:p w:rsidR="00960B45" w:rsidRPr="00843DDC" w:rsidRDefault="00960B45" w:rsidP="00837D20">
            <w:pPr>
              <w:autoSpaceDE w:val="0"/>
              <w:autoSpaceDN w:val="0"/>
              <w:adjustRightInd w:val="0"/>
              <w:spacing w:before="240" w:line="360" w:lineRule="auto"/>
              <w:jc w:val="center"/>
              <w:rPr>
                <w:rFonts w:ascii="Palatino Linotype" w:hAnsi="Palatino Linotype"/>
                <w:b/>
                <w:i/>
              </w:rPr>
            </w:pPr>
            <w:r w:rsidRPr="00843DDC">
              <w:rPr>
                <w:rFonts w:ascii="Palatino Linotype" w:hAnsi="Palatino Linotype"/>
                <w:b/>
                <w:i/>
              </w:rPr>
              <w:t xml:space="preserve">Constitución Política de los Estados Unidos Mexicanos </w:t>
            </w:r>
          </w:p>
          <w:p w:rsidR="00960B45" w:rsidRPr="00843DDC" w:rsidRDefault="00960B45" w:rsidP="00837D20">
            <w:pPr>
              <w:autoSpaceDE w:val="0"/>
              <w:autoSpaceDN w:val="0"/>
              <w:adjustRightInd w:val="0"/>
              <w:spacing w:before="240" w:line="360" w:lineRule="auto"/>
              <w:jc w:val="both"/>
              <w:rPr>
                <w:rFonts w:ascii="Palatino Linotype" w:hAnsi="Palatino Linotype"/>
                <w:i/>
              </w:rPr>
            </w:pPr>
            <w:r w:rsidRPr="00843DDC">
              <w:rPr>
                <w:rFonts w:ascii="Palatino Linotype" w:hAnsi="Palatino Linotype"/>
                <w:i/>
              </w:rPr>
              <w:t xml:space="preserve">“Artículo 6°.-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 </w:t>
            </w:r>
          </w:p>
          <w:p w:rsidR="00960B45" w:rsidRPr="00843DDC" w:rsidRDefault="00960B45" w:rsidP="00837D20">
            <w:pPr>
              <w:autoSpaceDE w:val="0"/>
              <w:autoSpaceDN w:val="0"/>
              <w:adjustRightInd w:val="0"/>
              <w:spacing w:before="240" w:line="360" w:lineRule="auto"/>
              <w:jc w:val="both"/>
              <w:rPr>
                <w:rFonts w:ascii="Palatino Linotype" w:hAnsi="Palatino Linotype"/>
                <w:i/>
              </w:rPr>
            </w:pPr>
            <w:r w:rsidRPr="00843DDC">
              <w:rPr>
                <w:rFonts w:ascii="Palatino Linotype" w:hAnsi="Palatino Linotype"/>
                <w:i/>
              </w:rPr>
              <w:t xml:space="preserve">(…) </w:t>
            </w:r>
          </w:p>
          <w:p w:rsidR="00960B45" w:rsidRPr="00843DDC" w:rsidRDefault="00960B45" w:rsidP="00837D20">
            <w:pPr>
              <w:autoSpaceDE w:val="0"/>
              <w:autoSpaceDN w:val="0"/>
              <w:adjustRightInd w:val="0"/>
              <w:spacing w:before="240" w:line="360" w:lineRule="auto"/>
              <w:jc w:val="both"/>
              <w:rPr>
                <w:rFonts w:ascii="Palatino Linotype" w:hAnsi="Palatino Linotype"/>
                <w:i/>
              </w:rPr>
            </w:pPr>
            <w:r w:rsidRPr="00843DDC">
              <w:rPr>
                <w:rFonts w:ascii="Palatino Linotype" w:hAnsi="Palatino Linotype"/>
                <w:i/>
              </w:rPr>
              <w:t>Para efectos de lo dispuesto en el presente artículo se observará lo siguiente: A. Para el ejercicio del derecho de acceso a la información, la Federación, los Estados y el Distrito Federal, en el ámbito de sus respectivas competencias, se regirán por los siguientes principios y bases:</w:t>
            </w:r>
          </w:p>
          <w:p w:rsidR="00960B45" w:rsidRPr="00843DDC" w:rsidRDefault="00960B45" w:rsidP="00837D20">
            <w:pPr>
              <w:autoSpaceDE w:val="0"/>
              <w:autoSpaceDN w:val="0"/>
              <w:adjustRightInd w:val="0"/>
              <w:spacing w:before="240" w:line="360" w:lineRule="auto"/>
              <w:jc w:val="both"/>
              <w:rPr>
                <w:rFonts w:ascii="Palatino Linotype" w:hAnsi="Palatino Linotype"/>
                <w:i/>
              </w:rPr>
            </w:pPr>
            <w:r w:rsidRPr="00843DDC">
              <w:rPr>
                <w:rFonts w:ascii="Palatino Linotype" w:hAnsi="Palatino Linotype"/>
                <w:i/>
              </w:rPr>
              <w:t xml:space="preserve"> (…) </w:t>
            </w:r>
          </w:p>
          <w:p w:rsidR="00960B45" w:rsidRPr="00843DDC" w:rsidRDefault="00960B45" w:rsidP="00837D20">
            <w:pPr>
              <w:autoSpaceDE w:val="0"/>
              <w:autoSpaceDN w:val="0"/>
              <w:adjustRightInd w:val="0"/>
              <w:spacing w:before="240" w:line="360" w:lineRule="auto"/>
              <w:jc w:val="both"/>
              <w:rPr>
                <w:rFonts w:ascii="Palatino Linotype" w:hAnsi="Palatino Linotype"/>
                <w:i/>
              </w:rPr>
            </w:pPr>
            <w:r w:rsidRPr="00843DDC">
              <w:rPr>
                <w:rFonts w:ascii="Palatino Linotype" w:hAnsi="Palatino Linotype"/>
                <w:i/>
              </w:rPr>
              <w:lastRenderedPageBreak/>
              <w:t>III. Toda persona, sin necesidad de acreditar interés alguno o justificar su utilización, tendrá acceso gratuito a la información pública, a sus datos personales o a la rectificación de éstos.</w:t>
            </w:r>
          </w:p>
          <w:p w:rsidR="00960B45" w:rsidRPr="00843DDC" w:rsidRDefault="00960B45" w:rsidP="00837D20">
            <w:pPr>
              <w:autoSpaceDE w:val="0"/>
              <w:autoSpaceDN w:val="0"/>
              <w:adjustRightInd w:val="0"/>
              <w:spacing w:before="240" w:line="360" w:lineRule="auto"/>
              <w:jc w:val="both"/>
              <w:rPr>
                <w:rFonts w:ascii="Palatino Linotype" w:hAnsi="Palatino Linotype" w:cs="Arial"/>
                <w:i/>
              </w:rPr>
            </w:pPr>
            <w:r w:rsidRPr="00843DDC">
              <w:rPr>
                <w:rFonts w:ascii="Palatino Linotype" w:hAnsi="Palatino Linotype" w:cs="Arial"/>
                <w:i/>
              </w:rPr>
              <w:t>IV. Se establecerán mecanismos de acceso a la información y procedimientos de revisión expeditos que se sustanciarán ante los organismos autónomos especializados e imparciales que establece esta Constitución.”</w:t>
            </w:r>
          </w:p>
          <w:p w:rsidR="00960B45" w:rsidRPr="00843DDC" w:rsidRDefault="00960B45" w:rsidP="00837D20">
            <w:pPr>
              <w:autoSpaceDE w:val="0"/>
              <w:autoSpaceDN w:val="0"/>
              <w:adjustRightInd w:val="0"/>
              <w:spacing w:before="240" w:line="360" w:lineRule="auto"/>
              <w:jc w:val="both"/>
              <w:rPr>
                <w:rFonts w:ascii="Palatino Linotype" w:hAnsi="Palatino Linotype" w:cs="Arial"/>
                <w:b/>
                <w:i/>
              </w:rPr>
            </w:pPr>
            <w:r w:rsidRPr="00843DDC">
              <w:rPr>
                <w:rFonts w:ascii="Palatino Linotype" w:hAnsi="Palatino Linotype" w:cs="Arial"/>
                <w:b/>
                <w:i/>
              </w:rPr>
              <w:t>Constitución Política del Estado Libre y Soberano de México</w:t>
            </w:r>
          </w:p>
          <w:p w:rsidR="00960B45" w:rsidRPr="00843DDC" w:rsidRDefault="00960B45" w:rsidP="00837D20">
            <w:pPr>
              <w:autoSpaceDE w:val="0"/>
              <w:autoSpaceDN w:val="0"/>
              <w:adjustRightInd w:val="0"/>
              <w:spacing w:before="240" w:line="360" w:lineRule="auto"/>
              <w:jc w:val="both"/>
              <w:rPr>
                <w:rFonts w:ascii="Palatino Linotype" w:eastAsia="Calibri" w:hAnsi="Palatino Linotype" w:cs="Arial"/>
                <w:i/>
                <w:lang w:val="es-ES_tradnl" w:eastAsia="es-MX"/>
              </w:rPr>
            </w:pPr>
            <w:r w:rsidRPr="00843DDC">
              <w:rPr>
                <w:rFonts w:ascii="Palatino Linotype" w:eastAsia="Calibri" w:hAnsi="Palatino Linotype" w:cs="Arial"/>
                <w:i/>
                <w:lang w:val="es-ES_tradnl" w:eastAsia="es-MX"/>
              </w:rPr>
              <w:t>“Artículo 5.-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 para su protección, las cuales no podrán restringirse ni suspenderse salvo en los casos y bajo las condiciones que la Constitución Política de los Estados Unidos Mexicanos establece.</w:t>
            </w:r>
          </w:p>
          <w:p w:rsidR="00960B45" w:rsidRPr="00843DDC" w:rsidRDefault="00960B45" w:rsidP="00837D20">
            <w:pPr>
              <w:autoSpaceDE w:val="0"/>
              <w:autoSpaceDN w:val="0"/>
              <w:adjustRightInd w:val="0"/>
              <w:spacing w:before="240" w:line="360" w:lineRule="auto"/>
              <w:jc w:val="both"/>
              <w:rPr>
                <w:rFonts w:ascii="Palatino Linotype" w:eastAsia="Calibri" w:hAnsi="Palatino Linotype" w:cs="Arial"/>
                <w:i/>
                <w:lang w:val="es-ES_tradnl" w:eastAsia="es-MX"/>
              </w:rPr>
            </w:pPr>
            <w:r w:rsidRPr="00843DDC">
              <w:rPr>
                <w:rFonts w:ascii="Palatino Linotype" w:eastAsia="Calibri" w:hAnsi="Palatino Linotype" w:cs="Arial"/>
                <w:i/>
                <w:lang w:val="es-ES_tradnl" w:eastAsia="es-MX"/>
              </w:rPr>
              <w:t>(…)</w:t>
            </w:r>
          </w:p>
          <w:p w:rsidR="00960B45" w:rsidRPr="00843DDC" w:rsidRDefault="00960B45" w:rsidP="00837D20">
            <w:pPr>
              <w:autoSpaceDE w:val="0"/>
              <w:autoSpaceDN w:val="0"/>
              <w:adjustRightInd w:val="0"/>
              <w:spacing w:before="240" w:line="360" w:lineRule="auto"/>
              <w:jc w:val="both"/>
              <w:rPr>
                <w:rFonts w:ascii="Palatino Linotype" w:eastAsia="Calibri" w:hAnsi="Palatino Linotype" w:cs="Arial"/>
                <w:i/>
                <w:lang w:val="es-ES_tradnl" w:eastAsia="es-MX"/>
              </w:rPr>
            </w:pPr>
            <w:r w:rsidRPr="00843DDC">
              <w:rPr>
                <w:rFonts w:ascii="Palatino Linotype" w:eastAsia="Calibri" w:hAnsi="Palatino Linotype" w:cs="Arial"/>
                <w:i/>
                <w:lang w:val="es-ES_tradnl" w:eastAsia="es-MX"/>
              </w:rPr>
              <w:t>Toda persona en el Estado de México, tiene derecho al libre acceso a la información plural y oportuna, así como a buscar recibir y difundir información e ideas de toda índole por cualquier medio de expresión.</w:t>
            </w:r>
          </w:p>
          <w:p w:rsidR="00960B45" w:rsidRPr="00843DDC" w:rsidRDefault="00960B45" w:rsidP="00837D20">
            <w:pPr>
              <w:autoSpaceDE w:val="0"/>
              <w:autoSpaceDN w:val="0"/>
              <w:adjustRightInd w:val="0"/>
              <w:spacing w:before="240" w:line="360" w:lineRule="auto"/>
              <w:jc w:val="both"/>
              <w:rPr>
                <w:rFonts w:ascii="Palatino Linotype" w:eastAsia="Calibri" w:hAnsi="Palatino Linotype" w:cs="Arial"/>
                <w:i/>
                <w:lang w:val="es-ES_tradnl" w:eastAsia="es-MX"/>
              </w:rPr>
            </w:pPr>
            <w:r w:rsidRPr="00843DDC">
              <w:rPr>
                <w:rFonts w:ascii="Palatino Linotype" w:eastAsia="Calibri" w:hAnsi="Palatino Linotype" w:cs="Arial"/>
                <w:i/>
                <w:lang w:val="es-ES_tradnl" w:eastAsia="es-MX"/>
              </w:rPr>
              <w:t>(…)</w:t>
            </w:r>
          </w:p>
          <w:p w:rsidR="00960B45" w:rsidRPr="00843DDC" w:rsidRDefault="00960B45" w:rsidP="00837D20">
            <w:pPr>
              <w:autoSpaceDE w:val="0"/>
              <w:autoSpaceDN w:val="0"/>
              <w:adjustRightInd w:val="0"/>
              <w:spacing w:before="240" w:line="360" w:lineRule="auto"/>
              <w:jc w:val="both"/>
              <w:rPr>
                <w:rFonts w:ascii="Palatino Linotype" w:eastAsia="Calibri" w:hAnsi="Palatino Linotype" w:cs="Arial"/>
                <w:i/>
                <w:lang w:val="es-ES_tradnl" w:eastAsia="es-MX"/>
              </w:rPr>
            </w:pPr>
            <w:r w:rsidRPr="00843DDC">
              <w:rPr>
                <w:rFonts w:ascii="Palatino Linotype" w:eastAsia="Calibri" w:hAnsi="Palatino Linotype" w:cs="Arial"/>
                <w:i/>
                <w:lang w:val="es-ES_tradnl" w:eastAsia="es-MX"/>
              </w:rPr>
              <w:lastRenderedPageBreak/>
              <w:t>El derecho a la información será garantizado por el Estado. La ley establecerá las previsiones que permitan asegurar la protección, el respeto y la difusión de este derecho.</w:t>
            </w:r>
          </w:p>
          <w:p w:rsidR="00960B45" w:rsidRPr="00843DDC" w:rsidRDefault="00960B45" w:rsidP="00837D20">
            <w:pPr>
              <w:autoSpaceDE w:val="0"/>
              <w:autoSpaceDN w:val="0"/>
              <w:adjustRightInd w:val="0"/>
              <w:spacing w:before="240" w:line="360" w:lineRule="auto"/>
              <w:jc w:val="both"/>
              <w:rPr>
                <w:rFonts w:ascii="Palatino Linotype" w:eastAsia="Calibri" w:hAnsi="Palatino Linotype" w:cs="Arial"/>
                <w:i/>
                <w:lang w:val="es-ES_tradnl" w:eastAsia="es-MX"/>
              </w:rPr>
            </w:pPr>
            <w:r w:rsidRPr="00843DDC">
              <w:rPr>
                <w:rFonts w:ascii="Palatino Linotype" w:eastAsia="Calibri" w:hAnsi="Palatino Linotype" w:cs="Arial"/>
                <w:i/>
                <w:lang w:val="es-ES_tradnl" w:eastAsia="es-MX"/>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960B45" w:rsidRPr="00843DDC" w:rsidRDefault="00960B45" w:rsidP="00837D20">
            <w:pPr>
              <w:autoSpaceDE w:val="0"/>
              <w:autoSpaceDN w:val="0"/>
              <w:adjustRightInd w:val="0"/>
              <w:spacing w:before="240" w:line="360" w:lineRule="auto"/>
              <w:jc w:val="both"/>
              <w:rPr>
                <w:rFonts w:ascii="Palatino Linotype" w:eastAsia="Calibri" w:hAnsi="Palatino Linotype" w:cs="Arial"/>
                <w:i/>
                <w:lang w:val="es-ES_tradnl" w:eastAsia="es-MX"/>
              </w:rPr>
            </w:pPr>
            <w:r w:rsidRPr="00843DDC">
              <w:rPr>
                <w:rFonts w:ascii="Palatino Linotype" w:eastAsia="Calibri" w:hAnsi="Palatino Linotype" w:cs="Arial"/>
                <w:i/>
                <w:lang w:val="es-ES_tradnl" w:eastAsia="es-MX"/>
              </w:rPr>
              <w:t>III. Toda persona, sin necesidad de acreditar interés alguno o justificar su utilización, tendrá acceso gratuito a la información pública, a sus datos personales o a la rectificación de éstos;</w:t>
            </w:r>
          </w:p>
          <w:p w:rsidR="00960B45" w:rsidRPr="00843DDC" w:rsidRDefault="00960B45" w:rsidP="00837D20">
            <w:pPr>
              <w:autoSpaceDE w:val="0"/>
              <w:autoSpaceDN w:val="0"/>
              <w:adjustRightInd w:val="0"/>
              <w:spacing w:before="240" w:line="360" w:lineRule="auto"/>
              <w:jc w:val="both"/>
              <w:rPr>
                <w:rFonts w:ascii="Palatino Linotype" w:eastAsia="Calibri" w:hAnsi="Palatino Linotype" w:cs="Arial"/>
                <w:i/>
                <w:lang w:val="es-ES_tradnl" w:eastAsia="es-MX"/>
              </w:rPr>
            </w:pPr>
            <w:r w:rsidRPr="00843DDC">
              <w:rPr>
                <w:rFonts w:ascii="Palatino Linotype" w:eastAsia="Calibri" w:hAnsi="Palatino Linotype" w:cs="Arial"/>
                <w:i/>
                <w:lang w:val="es-ES_tradnl" w:eastAsia="es-MX"/>
              </w:rPr>
              <w:t>IV. Se establecerán mecanismos de acceso a la información y procedimientos de revisión expeditos que se sustanciarán ante el organismo autónomo especializado e imparcial que establece esta Constitución.</w:t>
            </w:r>
          </w:p>
          <w:p w:rsidR="00960B45" w:rsidRPr="00843DDC" w:rsidRDefault="00960B45" w:rsidP="00837D20">
            <w:pPr>
              <w:autoSpaceDE w:val="0"/>
              <w:autoSpaceDN w:val="0"/>
              <w:adjustRightInd w:val="0"/>
              <w:spacing w:before="240" w:line="360" w:lineRule="auto"/>
              <w:jc w:val="both"/>
              <w:rPr>
                <w:rFonts w:ascii="Palatino Linotype" w:hAnsi="Palatino Linotype" w:cs="Arial"/>
                <w:i/>
              </w:rPr>
            </w:pPr>
            <w:r w:rsidRPr="00843DDC">
              <w:rPr>
                <w:rFonts w:ascii="Palatino Linotype" w:hAnsi="Palatino Linotype" w:cs="Arial"/>
                <w:i/>
              </w:rPr>
              <w:t>(…)</w:t>
            </w:r>
          </w:p>
          <w:p w:rsidR="00960B45" w:rsidRPr="00843DDC" w:rsidRDefault="00960B45" w:rsidP="00837D20">
            <w:pPr>
              <w:autoSpaceDE w:val="0"/>
              <w:autoSpaceDN w:val="0"/>
              <w:adjustRightInd w:val="0"/>
              <w:spacing w:before="240" w:line="360" w:lineRule="auto"/>
              <w:jc w:val="both"/>
              <w:rPr>
                <w:rFonts w:ascii="Palatino Linotype" w:hAnsi="Palatino Linotype" w:cs="Arial"/>
                <w:i/>
              </w:rPr>
            </w:pPr>
            <w:r w:rsidRPr="00843DDC">
              <w:rPr>
                <w:rFonts w:ascii="Palatino Linotype" w:hAnsi="Palatino Linotype" w:cs="Arial"/>
                <w:i/>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w:t>
            </w:r>
            <w:r w:rsidRPr="00843DDC">
              <w:rPr>
                <w:rFonts w:ascii="Palatino Linotype" w:hAnsi="Palatino Linotype" w:cs="Arial"/>
                <w:i/>
              </w:rPr>
              <w:lastRenderedPageBreak/>
              <w:t>datos personales en posesión de los sujetos obligados en los términos que establezca la ley. (…)”</w:t>
            </w:r>
          </w:p>
        </w:tc>
      </w:tr>
    </w:tbl>
    <w:p w:rsidR="00960B45" w:rsidRPr="00843DDC" w:rsidRDefault="00960B45" w:rsidP="00960B45">
      <w:pPr>
        <w:autoSpaceDE w:val="0"/>
        <w:autoSpaceDN w:val="0"/>
        <w:adjustRightInd w:val="0"/>
        <w:spacing w:before="240" w:line="360" w:lineRule="auto"/>
        <w:jc w:val="both"/>
        <w:rPr>
          <w:rFonts w:ascii="Palatino Linotype" w:hAnsi="Palatino Linotype"/>
        </w:rPr>
      </w:pPr>
      <w:r w:rsidRPr="00843DDC">
        <w:rPr>
          <w:rFonts w:ascii="Palatino Linotype" w:hAnsi="Palatino Linotype"/>
        </w:rPr>
        <w:lastRenderedPageBreak/>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843DDC">
        <w:rPr>
          <w:rFonts w:ascii="Palatino Linotype" w:hAnsi="Palatino Linotype"/>
          <w:b/>
          <w:u w:val="single"/>
        </w:rPr>
        <w:t>incluso, la solicitud de acceso a la información pueda ser anónima o no contener un nombre que identifique al solicitante o que permita tener certeza sobre su identidad</w:t>
      </w:r>
      <w:r w:rsidRPr="00843DDC">
        <w:rPr>
          <w:rFonts w:ascii="Palatino Linotype" w:hAnsi="Palatino Linotype"/>
        </w:rPr>
        <w:t xml:space="preserve">. </w:t>
      </w:r>
    </w:p>
    <w:p w:rsidR="00960B45" w:rsidRPr="00843DDC" w:rsidRDefault="00960B45" w:rsidP="00960B45">
      <w:pPr>
        <w:autoSpaceDE w:val="0"/>
        <w:autoSpaceDN w:val="0"/>
        <w:adjustRightInd w:val="0"/>
        <w:spacing w:before="240" w:line="360" w:lineRule="auto"/>
        <w:jc w:val="both"/>
        <w:rPr>
          <w:rFonts w:ascii="Palatino Linotype" w:hAnsi="Palatino Linotype"/>
        </w:rPr>
      </w:pPr>
      <w:r w:rsidRPr="00843DDC">
        <w:rPr>
          <w:rFonts w:ascii="Palatino Linotype" w:hAnsi="Palatino Linotype"/>
        </w:rPr>
        <w:t>En conclusión, se cubrieron los requisitos de procedencia y procedibilidad y conforme a las constancias que obran en el expediente.</w:t>
      </w:r>
    </w:p>
    <w:p w:rsidR="00960B45" w:rsidRPr="00843DDC" w:rsidRDefault="00960B45" w:rsidP="00960B45">
      <w:pPr>
        <w:pStyle w:val="Prrafodelista"/>
        <w:autoSpaceDE w:val="0"/>
        <w:autoSpaceDN w:val="0"/>
        <w:adjustRightInd w:val="0"/>
        <w:spacing w:before="240" w:after="160" w:line="360" w:lineRule="auto"/>
        <w:ind w:left="0"/>
        <w:jc w:val="both"/>
        <w:rPr>
          <w:rFonts w:ascii="Palatino Linotype" w:hAnsi="Palatino Linotype" w:cs="Arial"/>
        </w:rPr>
      </w:pPr>
    </w:p>
    <w:p w:rsidR="00960B45" w:rsidRPr="00843DDC" w:rsidRDefault="00960B45" w:rsidP="00960B45">
      <w:pPr>
        <w:pStyle w:val="Prrafodelista"/>
        <w:autoSpaceDE w:val="0"/>
        <w:autoSpaceDN w:val="0"/>
        <w:adjustRightInd w:val="0"/>
        <w:spacing w:before="240" w:after="160" w:line="360" w:lineRule="auto"/>
        <w:ind w:left="0"/>
        <w:jc w:val="both"/>
        <w:rPr>
          <w:rFonts w:ascii="Palatino Linotype" w:hAnsi="Palatino Linotype" w:cs="Arial"/>
          <w:b/>
          <w:sz w:val="28"/>
          <w:szCs w:val="28"/>
        </w:rPr>
      </w:pPr>
      <w:r w:rsidRPr="00843DDC">
        <w:rPr>
          <w:rFonts w:ascii="Palatino Linotype" w:hAnsi="Palatino Linotype" w:cs="Arial"/>
          <w:b/>
          <w:sz w:val="28"/>
        </w:rPr>
        <w:t>TERCERO</w:t>
      </w:r>
      <w:r w:rsidRPr="00843DDC">
        <w:rPr>
          <w:rFonts w:ascii="Palatino Linotype" w:hAnsi="Palatino Linotype" w:cs="Arial"/>
          <w:b/>
        </w:rPr>
        <w:t xml:space="preserve">. </w:t>
      </w:r>
      <w:r w:rsidRPr="00843DDC">
        <w:rPr>
          <w:rFonts w:ascii="Palatino Linotype" w:hAnsi="Palatino Linotype" w:cs="Arial"/>
          <w:b/>
          <w:sz w:val="28"/>
          <w:szCs w:val="28"/>
        </w:rPr>
        <w:t>De las causas de improcedencia.</w:t>
      </w:r>
    </w:p>
    <w:p w:rsidR="00960B45" w:rsidRPr="00843DDC" w:rsidRDefault="00960B45" w:rsidP="00960B45">
      <w:pPr>
        <w:pStyle w:val="Prrafodelista"/>
        <w:autoSpaceDE w:val="0"/>
        <w:autoSpaceDN w:val="0"/>
        <w:adjustRightInd w:val="0"/>
        <w:spacing w:before="240" w:after="160" w:line="360" w:lineRule="auto"/>
        <w:ind w:left="0"/>
        <w:jc w:val="both"/>
        <w:rPr>
          <w:rFonts w:ascii="Palatino Linotype" w:hAnsi="Palatino Linotype" w:cs="Arial"/>
        </w:rPr>
      </w:pPr>
      <w:r w:rsidRPr="00843DDC">
        <w:rPr>
          <w:rFonts w:ascii="Palatino Linotype" w:hAnsi="Palatino Linotype" w:cs="Arial"/>
        </w:rPr>
        <w:t>En el procedimiento de acceso a la información y de los medios de impugnación de la materia, se advierten diversos supuestos de procedibilidad, los cuales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rsidR="00960B45" w:rsidRPr="00843DDC" w:rsidRDefault="00960B45" w:rsidP="00960B45">
      <w:pPr>
        <w:pStyle w:val="Prrafodelista"/>
        <w:autoSpaceDE w:val="0"/>
        <w:autoSpaceDN w:val="0"/>
        <w:adjustRightInd w:val="0"/>
        <w:spacing w:line="360" w:lineRule="auto"/>
        <w:ind w:left="0"/>
        <w:jc w:val="both"/>
        <w:rPr>
          <w:rFonts w:ascii="Palatino Linotype" w:hAnsi="Palatino Linotype" w:cs="Arial"/>
        </w:rPr>
      </w:pPr>
      <w:r w:rsidRPr="00843DDC">
        <w:rPr>
          <w:rFonts w:ascii="Palatino Linotype" w:hAnsi="Palatino Linotype" w:cs="Arial"/>
        </w:rPr>
        <w:t xml:space="preserve">Siendo facultad de este Órgano entrar al estudio de las causas de improcedencia que hagan valer las partes o que se adviertan de oficio por este Resolutor y por ende objeto </w:t>
      </w:r>
      <w:r w:rsidRPr="00843DDC">
        <w:rPr>
          <w:rFonts w:ascii="Palatino Linotype" w:hAnsi="Palatino Linotype" w:cs="Arial"/>
        </w:rPr>
        <w:lastRenderedPageBreak/>
        <w:t>de análisis previo al estudio de fondo del asunto, en los presupuestos procesales sobre el inicio o trámite de un proceso, generando eficacia jurídica en las resoluciones, máxime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843DDC">
        <w:rPr>
          <w:rStyle w:val="Refdenotaalpie"/>
          <w:rFonts w:ascii="Palatino Linotype" w:hAnsi="Palatino Linotype" w:cs="Arial"/>
        </w:rPr>
        <w:footnoteReference w:id="1"/>
      </w:r>
      <w:r w:rsidRPr="00843DDC">
        <w:rPr>
          <w:rFonts w:ascii="Palatino Linotype" w:hAnsi="Palatino Linotype" w:cs="Arial"/>
        </w:rPr>
        <w:t>. Así las cosas, del análisis de los expedientes electrónicos no se advierte ninguna causa de improcedencia que se actualice ni mucho menos alguna hecha valer por alguna de las partes, procediendo al estudio del fondo del asunto, en los siguientes términos.</w:t>
      </w:r>
    </w:p>
    <w:p w:rsidR="00960B45" w:rsidRPr="00843DDC" w:rsidRDefault="00960B45" w:rsidP="00960B45">
      <w:pPr>
        <w:tabs>
          <w:tab w:val="left" w:pos="709"/>
        </w:tabs>
        <w:spacing w:before="240" w:line="360" w:lineRule="auto"/>
        <w:ind w:right="51"/>
        <w:jc w:val="both"/>
        <w:rPr>
          <w:rFonts w:ascii="Palatino Linotype" w:hAnsi="Palatino Linotype"/>
          <w:b/>
          <w:sz w:val="28"/>
          <w:szCs w:val="28"/>
        </w:rPr>
      </w:pPr>
    </w:p>
    <w:p w:rsidR="00960B45" w:rsidRPr="00843DDC" w:rsidRDefault="00960B45" w:rsidP="00960B45">
      <w:pPr>
        <w:tabs>
          <w:tab w:val="left" w:pos="709"/>
        </w:tabs>
        <w:spacing w:before="240" w:line="360" w:lineRule="auto"/>
        <w:ind w:right="51"/>
        <w:jc w:val="both"/>
        <w:rPr>
          <w:rFonts w:ascii="Palatino Linotype" w:hAnsi="Palatino Linotype"/>
          <w:b/>
          <w:sz w:val="28"/>
          <w:szCs w:val="28"/>
        </w:rPr>
      </w:pPr>
      <w:r w:rsidRPr="00843DDC">
        <w:rPr>
          <w:rFonts w:ascii="Palatino Linotype" w:hAnsi="Palatino Linotype"/>
          <w:b/>
          <w:sz w:val="28"/>
          <w:szCs w:val="28"/>
        </w:rPr>
        <w:t xml:space="preserve">CUARTO. Estudio y resolución del asunto </w:t>
      </w:r>
      <w:r w:rsidRPr="00843DDC">
        <w:rPr>
          <w:rFonts w:ascii="Palatino Linotype" w:hAnsi="Palatino Linotype"/>
          <w:b/>
          <w:sz w:val="28"/>
          <w:szCs w:val="28"/>
        </w:rPr>
        <w:tab/>
      </w:r>
    </w:p>
    <w:p w:rsidR="00960B45" w:rsidRPr="00843DDC" w:rsidRDefault="00960B45" w:rsidP="00960B45">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843DDC">
        <w:rPr>
          <w:rFonts w:ascii="Palatino Linotype" w:eastAsia="Palatino Linotype" w:hAnsi="Palatino Linotype" w:cs="Palatino Linotype"/>
          <w:color w:val="000000"/>
        </w:rPr>
        <w:t xml:space="preserve">El análisis y resolución del presente recurso, se funda en el contenido íntegro de las actuaciones que obran en el expediente electrónico, para así estar en posibilidad este Órgano Colegiado de dictar el fallo correspondiente conforme a derecho, tomando en </w:t>
      </w:r>
      <w:r w:rsidRPr="00843DDC">
        <w:rPr>
          <w:rFonts w:ascii="Palatino Linotype" w:eastAsia="Palatino Linotype" w:hAnsi="Palatino Linotype" w:cs="Palatino Linotype"/>
          <w:color w:val="000000"/>
        </w:rPr>
        <w:lastRenderedPageBreak/>
        <w:t>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rsidR="00960B45" w:rsidRPr="00843DDC" w:rsidRDefault="00960B45" w:rsidP="00960B45">
      <w:pPr>
        <w:autoSpaceDE w:val="0"/>
        <w:autoSpaceDN w:val="0"/>
        <w:adjustRightInd w:val="0"/>
        <w:ind w:right="567"/>
        <w:rPr>
          <w:rFonts w:ascii="Palatino Linotype" w:eastAsia="Calibri" w:hAnsi="Palatino Linotype" w:cs="Arial"/>
        </w:rPr>
      </w:pPr>
    </w:p>
    <w:p w:rsidR="00960B45" w:rsidRPr="00843DDC" w:rsidRDefault="00960B45" w:rsidP="00960B45">
      <w:pPr>
        <w:pBdr>
          <w:top w:val="nil"/>
          <w:left w:val="nil"/>
          <w:bottom w:val="nil"/>
          <w:right w:val="nil"/>
          <w:between w:val="nil"/>
        </w:pBdr>
        <w:spacing w:line="360" w:lineRule="auto"/>
        <w:contextualSpacing/>
        <w:jc w:val="both"/>
        <w:rPr>
          <w:rFonts w:ascii="Palatino Linotype" w:eastAsia="Palatino Linotype" w:hAnsi="Palatino Linotype" w:cs="Palatino Linotype"/>
          <w:color w:val="000000"/>
        </w:rPr>
      </w:pPr>
      <w:r w:rsidRPr="00843DDC">
        <w:rPr>
          <w:rFonts w:ascii="Palatino Linotype" w:eastAsia="Palatino Linotype" w:hAnsi="Palatino Linotype" w:cs="Palatino Linotype"/>
          <w:color w:val="000000"/>
        </w:rPr>
        <w:t>Ahora bien, el artículo 179 de la Ley de Transparencia establece las causales para la procedencia del recurso de revisión, tal como se transcribe:</w:t>
      </w:r>
    </w:p>
    <w:p w:rsidR="00960B45" w:rsidRPr="00843DDC" w:rsidRDefault="00960B45" w:rsidP="00960B45">
      <w:pPr>
        <w:pStyle w:val="Citas"/>
        <w:spacing w:before="0" w:after="0" w:line="240" w:lineRule="auto"/>
      </w:pPr>
      <w:r w:rsidRPr="00843DDC">
        <w:rPr>
          <w:b/>
        </w:rPr>
        <w:t>Artículo 179.</w:t>
      </w:r>
      <w:r w:rsidRPr="00843DDC">
        <w:t xml:space="preserve"> El recurso de revisión es un medio de protección que la Ley otorga a los particulares, para hacer valer su derecho de acceso a la información pública, y procederá en contra de las siguientes causas: </w:t>
      </w:r>
    </w:p>
    <w:p w:rsidR="00960B45" w:rsidRPr="00843DDC" w:rsidRDefault="00960B45" w:rsidP="00960B45">
      <w:pPr>
        <w:pStyle w:val="Citas"/>
        <w:numPr>
          <w:ilvl w:val="0"/>
          <w:numId w:val="3"/>
        </w:numPr>
        <w:spacing w:before="0" w:after="0" w:line="240" w:lineRule="auto"/>
      </w:pPr>
      <w:r w:rsidRPr="00843DDC">
        <w:t xml:space="preserve">La negativa a la información solicitada; </w:t>
      </w:r>
    </w:p>
    <w:p w:rsidR="00960B45" w:rsidRPr="00843DDC" w:rsidRDefault="00960B45" w:rsidP="00960B45">
      <w:pPr>
        <w:pStyle w:val="Citas"/>
        <w:numPr>
          <w:ilvl w:val="0"/>
          <w:numId w:val="3"/>
        </w:numPr>
        <w:spacing w:before="0" w:after="0" w:line="240" w:lineRule="auto"/>
      </w:pPr>
      <w:r w:rsidRPr="00843DDC">
        <w:t xml:space="preserve">La clasificación de la información; </w:t>
      </w:r>
    </w:p>
    <w:p w:rsidR="00960B45" w:rsidRPr="00843DDC" w:rsidRDefault="00960B45" w:rsidP="00960B45">
      <w:pPr>
        <w:pStyle w:val="Citas"/>
        <w:numPr>
          <w:ilvl w:val="0"/>
          <w:numId w:val="3"/>
        </w:numPr>
        <w:spacing w:before="0" w:after="0" w:line="240" w:lineRule="auto"/>
      </w:pPr>
      <w:r w:rsidRPr="00843DDC">
        <w:t xml:space="preserve">La declaración de inexistencia de la información; </w:t>
      </w:r>
    </w:p>
    <w:p w:rsidR="00960B45" w:rsidRPr="00843DDC" w:rsidRDefault="00960B45" w:rsidP="00960B45">
      <w:pPr>
        <w:pStyle w:val="Citas"/>
        <w:numPr>
          <w:ilvl w:val="0"/>
          <w:numId w:val="3"/>
        </w:numPr>
        <w:spacing w:before="0" w:after="0" w:line="240" w:lineRule="auto"/>
      </w:pPr>
      <w:r w:rsidRPr="00843DDC">
        <w:t xml:space="preserve">La declaración de incompetencia por el sujeto obligado; </w:t>
      </w:r>
    </w:p>
    <w:p w:rsidR="00960B45" w:rsidRPr="00843DDC" w:rsidRDefault="00960B45" w:rsidP="00960B45">
      <w:pPr>
        <w:pStyle w:val="Citas"/>
        <w:numPr>
          <w:ilvl w:val="0"/>
          <w:numId w:val="3"/>
        </w:numPr>
        <w:spacing w:before="0" w:after="0" w:line="240" w:lineRule="auto"/>
      </w:pPr>
      <w:r w:rsidRPr="00843DDC">
        <w:t xml:space="preserve">La entrega de información incompleta; </w:t>
      </w:r>
    </w:p>
    <w:p w:rsidR="00960B45" w:rsidRPr="00843DDC" w:rsidRDefault="00960B45" w:rsidP="00960B45">
      <w:pPr>
        <w:pStyle w:val="Citas"/>
        <w:numPr>
          <w:ilvl w:val="0"/>
          <w:numId w:val="3"/>
        </w:numPr>
        <w:spacing w:before="0" w:after="0" w:line="240" w:lineRule="auto"/>
      </w:pPr>
      <w:r w:rsidRPr="00843DDC">
        <w:t xml:space="preserve">La entrega de información que no corresponda con lo solicitado; </w:t>
      </w:r>
    </w:p>
    <w:p w:rsidR="00960B45" w:rsidRPr="00843DDC" w:rsidRDefault="00960B45" w:rsidP="00960B45">
      <w:pPr>
        <w:pStyle w:val="Citas"/>
        <w:numPr>
          <w:ilvl w:val="0"/>
          <w:numId w:val="3"/>
        </w:numPr>
        <w:spacing w:before="0" w:after="0" w:line="240" w:lineRule="auto"/>
      </w:pPr>
      <w:r w:rsidRPr="00843DDC">
        <w:t xml:space="preserve">La falta de respuesta a una solicitud de acceso a la información; </w:t>
      </w:r>
    </w:p>
    <w:p w:rsidR="00960B45" w:rsidRPr="00843DDC" w:rsidRDefault="00960B45" w:rsidP="00960B45">
      <w:pPr>
        <w:pStyle w:val="Citas"/>
        <w:numPr>
          <w:ilvl w:val="0"/>
          <w:numId w:val="3"/>
        </w:numPr>
        <w:spacing w:before="0" w:after="0" w:line="240" w:lineRule="auto"/>
        <w:rPr>
          <w:b/>
        </w:rPr>
      </w:pPr>
      <w:r w:rsidRPr="00843DDC">
        <w:rPr>
          <w:b/>
        </w:rPr>
        <w:t xml:space="preserve">La notificación, entrega o puesta a disposición de información en una modalidad o formato distinto al solicitado; </w:t>
      </w:r>
    </w:p>
    <w:p w:rsidR="00960B45" w:rsidRPr="00843DDC" w:rsidRDefault="00960B45" w:rsidP="00960B45">
      <w:pPr>
        <w:pStyle w:val="Citas"/>
        <w:numPr>
          <w:ilvl w:val="0"/>
          <w:numId w:val="3"/>
        </w:numPr>
        <w:spacing w:before="0" w:after="0" w:line="240" w:lineRule="auto"/>
      </w:pPr>
      <w:r w:rsidRPr="00843DDC">
        <w:t xml:space="preserve">La entrega o puesta a disposición de información en un formato incomprensible y/o no accesible para el solicitante; </w:t>
      </w:r>
    </w:p>
    <w:p w:rsidR="00960B45" w:rsidRPr="00843DDC" w:rsidRDefault="00960B45" w:rsidP="00960B45">
      <w:pPr>
        <w:pStyle w:val="Citas"/>
        <w:numPr>
          <w:ilvl w:val="0"/>
          <w:numId w:val="3"/>
        </w:numPr>
        <w:spacing w:before="0" w:after="0" w:line="240" w:lineRule="auto"/>
      </w:pPr>
      <w:r w:rsidRPr="00843DDC">
        <w:t xml:space="preserve">Los costos o tiempos de entrega de la información; </w:t>
      </w:r>
    </w:p>
    <w:p w:rsidR="00960B45" w:rsidRPr="00843DDC" w:rsidRDefault="00960B45" w:rsidP="00960B45">
      <w:pPr>
        <w:pStyle w:val="Citas"/>
        <w:numPr>
          <w:ilvl w:val="0"/>
          <w:numId w:val="3"/>
        </w:numPr>
        <w:spacing w:before="0" w:after="0" w:line="240" w:lineRule="auto"/>
      </w:pPr>
      <w:r w:rsidRPr="00843DDC">
        <w:t xml:space="preserve">La falta de trámite a una solicitud; </w:t>
      </w:r>
    </w:p>
    <w:p w:rsidR="00960B45" w:rsidRPr="00843DDC" w:rsidRDefault="00960B45" w:rsidP="00960B45">
      <w:pPr>
        <w:pStyle w:val="Citas"/>
        <w:numPr>
          <w:ilvl w:val="0"/>
          <w:numId w:val="3"/>
        </w:numPr>
        <w:spacing w:before="0" w:after="0" w:line="240" w:lineRule="auto"/>
      </w:pPr>
      <w:r w:rsidRPr="00843DDC">
        <w:t xml:space="preserve">La negativa a permitir la consulta directa de la información; </w:t>
      </w:r>
    </w:p>
    <w:p w:rsidR="00960B45" w:rsidRPr="00843DDC" w:rsidRDefault="00960B45" w:rsidP="00960B45">
      <w:pPr>
        <w:pStyle w:val="Citas"/>
        <w:numPr>
          <w:ilvl w:val="0"/>
          <w:numId w:val="3"/>
        </w:numPr>
        <w:spacing w:before="0" w:after="0" w:line="240" w:lineRule="auto"/>
      </w:pPr>
      <w:r w:rsidRPr="00843DDC">
        <w:t xml:space="preserve">La falta, deficiencia o insuficiencia de la fundamentación y/o motivación en la respuesta; y </w:t>
      </w:r>
    </w:p>
    <w:p w:rsidR="00960B45" w:rsidRPr="00843DDC" w:rsidRDefault="00960B45" w:rsidP="00960B45">
      <w:pPr>
        <w:pStyle w:val="Citas"/>
        <w:numPr>
          <w:ilvl w:val="0"/>
          <w:numId w:val="3"/>
        </w:numPr>
        <w:spacing w:before="0" w:after="0" w:line="240" w:lineRule="auto"/>
      </w:pPr>
      <w:r w:rsidRPr="00843DDC">
        <w:t xml:space="preserve">La orientación a un trámite específico. </w:t>
      </w:r>
    </w:p>
    <w:p w:rsidR="00960B45" w:rsidRPr="00843DDC" w:rsidRDefault="00960B45" w:rsidP="00960B45">
      <w:pPr>
        <w:pStyle w:val="Citas"/>
        <w:spacing w:before="0" w:after="0" w:line="240" w:lineRule="auto"/>
      </w:pPr>
      <w:r w:rsidRPr="00843DDC">
        <w:t>La respuesta que den los sujetos obligados derivada de la resolución a un recurso de revisión que proceda por las causales señaladas en las fracciones IV, VII, IX, X, XI y XII es susceptible de ser impugnada de nueva cuenta, mediante recurso de revisión, ante el Instituto.</w:t>
      </w:r>
    </w:p>
    <w:p w:rsidR="00960B45" w:rsidRPr="00843DDC" w:rsidRDefault="00960B45" w:rsidP="00960B45">
      <w:pPr>
        <w:autoSpaceDE w:val="0"/>
        <w:autoSpaceDN w:val="0"/>
        <w:adjustRightInd w:val="0"/>
        <w:ind w:right="567"/>
        <w:rPr>
          <w:rFonts w:ascii="Palatino Linotype" w:eastAsia="Calibri" w:hAnsi="Palatino Linotype" w:cs="Arial"/>
        </w:rPr>
      </w:pPr>
    </w:p>
    <w:p w:rsidR="00960B45" w:rsidRPr="00843DDC" w:rsidRDefault="00960B45" w:rsidP="00960B45">
      <w:pPr>
        <w:autoSpaceDE w:val="0"/>
        <w:autoSpaceDN w:val="0"/>
        <w:adjustRightInd w:val="0"/>
        <w:ind w:right="567"/>
        <w:rPr>
          <w:rFonts w:ascii="Palatino Linotype" w:eastAsia="Calibri" w:hAnsi="Palatino Linotype" w:cs="Arial"/>
        </w:rPr>
      </w:pPr>
    </w:p>
    <w:p w:rsidR="00960B45" w:rsidRPr="00843DDC" w:rsidRDefault="00960B45" w:rsidP="00960B45">
      <w:pPr>
        <w:spacing w:line="360" w:lineRule="auto"/>
        <w:jc w:val="both"/>
        <w:rPr>
          <w:rFonts w:ascii="Palatino Linotype" w:hAnsi="Palatino Linotype" w:cs="Tahoma"/>
          <w:bCs/>
        </w:rPr>
      </w:pPr>
      <w:r w:rsidRPr="00843DDC">
        <w:rPr>
          <w:rFonts w:ascii="Palatino Linotype" w:hAnsi="Palatino Linotype" w:cs="Tahoma"/>
          <w:bCs/>
        </w:rPr>
        <w:lastRenderedPageBreak/>
        <w:t xml:space="preserve">Bajo estas líneas argumentativas, al retomar y delimitar los requerimientos del ahora </w:t>
      </w:r>
      <w:r w:rsidRPr="00843DDC">
        <w:rPr>
          <w:rFonts w:ascii="Palatino Linotype" w:hAnsi="Palatino Linotype" w:cs="Tahoma"/>
          <w:b/>
          <w:bCs/>
        </w:rPr>
        <w:t>Recurrente</w:t>
      </w:r>
      <w:r w:rsidRPr="00843DDC">
        <w:rPr>
          <w:rFonts w:ascii="Palatino Linotype" w:hAnsi="Palatino Linotype" w:cs="Tahoma"/>
          <w:bCs/>
        </w:rPr>
        <w:t>, de manera objetiva se precisa que requiere la siguiente información:</w:t>
      </w:r>
    </w:p>
    <w:p w:rsidR="00811B6E" w:rsidRPr="00843DDC" w:rsidRDefault="00811B6E" w:rsidP="00811B6E">
      <w:pPr>
        <w:pStyle w:val="Prrafodelista"/>
        <w:numPr>
          <w:ilvl w:val="0"/>
          <w:numId w:val="5"/>
        </w:numPr>
        <w:spacing w:line="360" w:lineRule="auto"/>
        <w:jc w:val="both"/>
        <w:rPr>
          <w:rFonts w:ascii="Palatino Linotype" w:hAnsi="Palatino Linotype" w:cs="Tahoma"/>
          <w:bCs/>
        </w:rPr>
      </w:pPr>
      <w:r w:rsidRPr="00843DDC">
        <w:rPr>
          <w:rFonts w:ascii="Palatino Linotype" w:hAnsi="Palatino Linotype" w:cs="Tahoma"/>
          <w:bCs/>
        </w:rPr>
        <w:t xml:space="preserve">Bitácoras mensuales de consumo de gasolina por cada unidad de patrullaje, incluyendo kilometraje y litros cargados, de enero de 2025 a la fecha. </w:t>
      </w:r>
    </w:p>
    <w:p w:rsidR="00811B6E" w:rsidRPr="00843DDC" w:rsidRDefault="00811B6E" w:rsidP="00811B6E">
      <w:pPr>
        <w:pStyle w:val="Prrafodelista"/>
        <w:numPr>
          <w:ilvl w:val="0"/>
          <w:numId w:val="5"/>
        </w:numPr>
        <w:spacing w:line="360" w:lineRule="auto"/>
        <w:jc w:val="both"/>
        <w:rPr>
          <w:rFonts w:ascii="Palatino Linotype" w:hAnsi="Palatino Linotype" w:cs="Tahoma"/>
          <w:bCs/>
        </w:rPr>
      </w:pPr>
      <w:r w:rsidRPr="00843DDC">
        <w:rPr>
          <w:rFonts w:ascii="Palatino Linotype" w:hAnsi="Palatino Linotype" w:cs="Tahoma"/>
          <w:bCs/>
        </w:rPr>
        <w:t xml:space="preserve">Fondos federales, estatales y municipales aplicados específicamente a Seguridad Pública en los años 2023, 2024 y 2025, indicando: </w:t>
      </w:r>
    </w:p>
    <w:p w:rsidR="00811B6E" w:rsidRPr="00843DDC" w:rsidRDefault="00811B6E" w:rsidP="00811B6E">
      <w:pPr>
        <w:pStyle w:val="Prrafodelista"/>
        <w:numPr>
          <w:ilvl w:val="0"/>
          <w:numId w:val="6"/>
        </w:numPr>
        <w:spacing w:line="360" w:lineRule="auto"/>
        <w:jc w:val="both"/>
        <w:rPr>
          <w:rFonts w:ascii="Palatino Linotype" w:hAnsi="Palatino Linotype" w:cs="Tahoma"/>
          <w:bCs/>
        </w:rPr>
      </w:pPr>
      <w:r w:rsidRPr="00843DDC">
        <w:rPr>
          <w:rFonts w:ascii="Palatino Linotype" w:hAnsi="Palatino Linotype" w:cs="Tahoma"/>
          <w:bCs/>
        </w:rPr>
        <w:t xml:space="preserve">Nombre del fondo (ej. FORTASEG, FASP, FEFOM, u otros) </w:t>
      </w:r>
    </w:p>
    <w:p w:rsidR="00811B6E" w:rsidRPr="00843DDC" w:rsidRDefault="00811B6E" w:rsidP="00811B6E">
      <w:pPr>
        <w:pStyle w:val="Prrafodelista"/>
        <w:numPr>
          <w:ilvl w:val="0"/>
          <w:numId w:val="6"/>
        </w:numPr>
        <w:spacing w:line="360" w:lineRule="auto"/>
        <w:jc w:val="both"/>
        <w:rPr>
          <w:rFonts w:ascii="Palatino Linotype" w:hAnsi="Palatino Linotype" w:cs="Tahoma"/>
          <w:bCs/>
        </w:rPr>
      </w:pPr>
      <w:r w:rsidRPr="00843DDC">
        <w:rPr>
          <w:rFonts w:ascii="Palatino Linotype" w:hAnsi="Palatino Linotype" w:cs="Tahoma"/>
          <w:bCs/>
        </w:rPr>
        <w:t xml:space="preserve">Monto asignado </w:t>
      </w:r>
    </w:p>
    <w:p w:rsidR="00811B6E" w:rsidRPr="00843DDC" w:rsidRDefault="00811B6E" w:rsidP="00811B6E">
      <w:pPr>
        <w:pStyle w:val="Prrafodelista"/>
        <w:numPr>
          <w:ilvl w:val="0"/>
          <w:numId w:val="6"/>
        </w:numPr>
        <w:spacing w:line="360" w:lineRule="auto"/>
        <w:jc w:val="both"/>
        <w:rPr>
          <w:rFonts w:ascii="Palatino Linotype" w:hAnsi="Palatino Linotype" w:cs="Tahoma"/>
          <w:bCs/>
        </w:rPr>
      </w:pPr>
      <w:r w:rsidRPr="00843DDC">
        <w:rPr>
          <w:rFonts w:ascii="Palatino Linotype" w:hAnsi="Palatino Linotype" w:cs="Tahoma"/>
          <w:bCs/>
        </w:rPr>
        <w:t xml:space="preserve">Monto ejercido </w:t>
      </w:r>
    </w:p>
    <w:p w:rsidR="00811B6E" w:rsidRPr="00843DDC" w:rsidRDefault="00811B6E" w:rsidP="00811B6E">
      <w:pPr>
        <w:pStyle w:val="Prrafodelista"/>
        <w:numPr>
          <w:ilvl w:val="0"/>
          <w:numId w:val="6"/>
        </w:numPr>
        <w:spacing w:line="360" w:lineRule="auto"/>
        <w:jc w:val="both"/>
        <w:rPr>
          <w:rFonts w:ascii="Palatino Linotype" w:hAnsi="Palatino Linotype" w:cs="Tahoma"/>
          <w:bCs/>
        </w:rPr>
      </w:pPr>
      <w:r w:rsidRPr="00843DDC">
        <w:rPr>
          <w:rFonts w:ascii="Palatino Linotype" w:hAnsi="Palatino Linotype" w:cs="Tahoma"/>
          <w:bCs/>
        </w:rPr>
        <w:t xml:space="preserve">Objeto de aplicación </w:t>
      </w:r>
    </w:p>
    <w:p w:rsidR="00960B45" w:rsidRPr="00843DDC" w:rsidRDefault="00811B6E" w:rsidP="00811B6E">
      <w:pPr>
        <w:pStyle w:val="Prrafodelista"/>
        <w:numPr>
          <w:ilvl w:val="0"/>
          <w:numId w:val="6"/>
        </w:numPr>
        <w:spacing w:line="360" w:lineRule="auto"/>
        <w:jc w:val="both"/>
        <w:rPr>
          <w:rFonts w:ascii="Palatino Linotype" w:hAnsi="Palatino Linotype" w:cs="Tahoma"/>
          <w:bCs/>
        </w:rPr>
      </w:pPr>
      <w:r w:rsidRPr="00843DDC">
        <w:rPr>
          <w:rFonts w:ascii="Palatino Linotype" w:hAnsi="Palatino Linotype" w:cs="Tahoma"/>
          <w:bCs/>
        </w:rPr>
        <w:t>Convenios o reglas de operación vigentes copia del acta de cabildo de aprobación de las acciones, y/o del comité de adquisiciones agregando el acta correspondiente</w:t>
      </w:r>
      <w:r w:rsidR="00960B45" w:rsidRPr="00843DDC">
        <w:rPr>
          <w:rFonts w:ascii="Palatino Linotype" w:hAnsi="Palatino Linotype" w:cs="Tahoma"/>
          <w:bCs/>
        </w:rPr>
        <w:t>.</w:t>
      </w:r>
    </w:p>
    <w:p w:rsidR="00960B45" w:rsidRPr="00843DDC" w:rsidRDefault="00960B45" w:rsidP="00960B45">
      <w:pPr>
        <w:spacing w:before="240" w:line="360" w:lineRule="auto"/>
        <w:jc w:val="both"/>
        <w:rPr>
          <w:rFonts w:ascii="Palatino Linotype" w:hAnsi="Palatino Linotype" w:cs="Arial"/>
          <w:b/>
        </w:rPr>
      </w:pPr>
      <w:r w:rsidRPr="00843DDC">
        <w:rPr>
          <w:rFonts w:ascii="Palatino Linotype" w:hAnsi="Palatino Linotype" w:cs="Arial"/>
        </w:rPr>
        <w:t xml:space="preserve">De conformidad con las constancias que obran en el expediente electrónico, se observa que el </w:t>
      </w:r>
      <w:r w:rsidRPr="00843DDC">
        <w:rPr>
          <w:rFonts w:ascii="Palatino Linotype" w:hAnsi="Palatino Linotype" w:cs="Arial"/>
          <w:b/>
        </w:rPr>
        <w:t>Sujeto Obligado</w:t>
      </w:r>
      <w:r w:rsidRPr="00843DDC">
        <w:rPr>
          <w:rFonts w:ascii="Palatino Linotype" w:hAnsi="Palatino Linotype" w:cs="Arial"/>
        </w:rPr>
        <w:t xml:space="preserve"> dio respuesta por medio del sistema SAIMEX, a la solicitud de información</w:t>
      </w:r>
      <w:r w:rsidRPr="00843DDC">
        <w:rPr>
          <w:rFonts w:ascii="Palatino Linotype" w:eastAsia="Palatino Linotype" w:hAnsi="Palatino Linotype" w:cs="Palatino Linotype"/>
          <w:b/>
          <w:color w:val="000000"/>
        </w:rPr>
        <w:t xml:space="preserve"> </w:t>
      </w:r>
      <w:r w:rsidRPr="00843DDC">
        <w:rPr>
          <w:rFonts w:ascii="Palatino Linotype" w:hAnsi="Palatino Linotype" w:cs="Arial"/>
          <w:b/>
        </w:rPr>
        <w:t xml:space="preserve">00472/TENANCIN/IP/2025; </w:t>
      </w:r>
      <w:r w:rsidRPr="00843DDC">
        <w:rPr>
          <w:rFonts w:ascii="Palatino Linotype" w:hAnsi="Palatino Linotype" w:cs="Arial"/>
        </w:rPr>
        <w:t>a través del archivo electrónico</w:t>
      </w:r>
      <w:r w:rsidRPr="00843DDC">
        <w:rPr>
          <w:rFonts w:ascii="Palatino Linotype" w:hAnsi="Palatino Linotype" w:cs="Arial"/>
          <w:b/>
        </w:rPr>
        <w:t>:</w:t>
      </w:r>
    </w:p>
    <w:p w:rsidR="00960B45" w:rsidRPr="00843DDC" w:rsidRDefault="00811B6E" w:rsidP="00811B6E">
      <w:pPr>
        <w:pStyle w:val="Sinespaciado"/>
        <w:numPr>
          <w:ilvl w:val="0"/>
          <w:numId w:val="1"/>
        </w:numPr>
        <w:spacing w:before="240" w:line="360" w:lineRule="auto"/>
        <w:jc w:val="both"/>
        <w:rPr>
          <w:rFonts w:ascii="Palatino Linotype" w:hAnsi="Palatino Linotype" w:cs="Arial"/>
          <w:bCs/>
        </w:rPr>
      </w:pPr>
      <w:r w:rsidRPr="00843DDC">
        <w:rPr>
          <w:rFonts w:ascii="Palatino Linotype" w:hAnsi="Palatino Linotype" w:cs="Arial"/>
          <w:b/>
          <w:i/>
          <w:sz w:val="24"/>
        </w:rPr>
        <w:t>472.pdf</w:t>
      </w:r>
      <w:r w:rsidR="00960B45" w:rsidRPr="00843DDC">
        <w:rPr>
          <w:rFonts w:ascii="Palatino Linotype" w:hAnsi="Palatino Linotype" w:cs="Arial"/>
          <w:b/>
          <w:i/>
          <w:sz w:val="24"/>
        </w:rPr>
        <w:t xml:space="preserve">: </w:t>
      </w:r>
      <w:r w:rsidR="00960B45" w:rsidRPr="00843DDC">
        <w:rPr>
          <w:rFonts w:ascii="Palatino Linotype" w:hAnsi="Palatino Linotype" w:cs="Arial"/>
          <w:sz w:val="24"/>
        </w:rPr>
        <w:t xml:space="preserve">oficio número </w:t>
      </w:r>
      <w:r w:rsidRPr="00843DDC">
        <w:rPr>
          <w:rFonts w:ascii="Palatino Linotype" w:hAnsi="Palatino Linotype" w:cs="Arial"/>
          <w:sz w:val="24"/>
        </w:rPr>
        <w:t>MTM058/DA/749/2025</w:t>
      </w:r>
      <w:r w:rsidR="00960B45" w:rsidRPr="00843DDC">
        <w:rPr>
          <w:rFonts w:ascii="Palatino Linotype" w:hAnsi="Palatino Linotype" w:cs="Arial"/>
          <w:sz w:val="24"/>
        </w:rPr>
        <w:t xml:space="preserve">, firmado por </w:t>
      </w:r>
      <w:r w:rsidRPr="00843DDC">
        <w:rPr>
          <w:rFonts w:ascii="Palatino Linotype" w:hAnsi="Palatino Linotype" w:cs="Arial"/>
          <w:sz w:val="24"/>
        </w:rPr>
        <w:t>la Directora de Administración</w:t>
      </w:r>
      <w:r w:rsidR="00960B45" w:rsidRPr="00843DDC">
        <w:rPr>
          <w:rFonts w:ascii="Palatino Linotype" w:hAnsi="Palatino Linotype" w:cs="Arial"/>
          <w:sz w:val="24"/>
        </w:rPr>
        <w:t xml:space="preserve">, </w:t>
      </w:r>
      <w:r w:rsidRPr="00843DDC">
        <w:rPr>
          <w:rFonts w:ascii="Palatino Linotype" w:hAnsi="Palatino Linotype" w:cs="Arial"/>
          <w:sz w:val="24"/>
        </w:rPr>
        <w:t>por medio del cual</w:t>
      </w:r>
      <w:r w:rsidR="00960B45" w:rsidRPr="00843DDC">
        <w:rPr>
          <w:rFonts w:ascii="Palatino Linotype" w:hAnsi="Palatino Linotype" w:cs="Arial"/>
          <w:sz w:val="24"/>
        </w:rPr>
        <w:t xml:space="preserve"> realiza un cambio </w:t>
      </w:r>
      <w:r w:rsidR="00837D20" w:rsidRPr="00843DDC">
        <w:rPr>
          <w:rFonts w:ascii="Palatino Linotype" w:hAnsi="Palatino Linotype" w:cs="Arial"/>
          <w:sz w:val="24"/>
        </w:rPr>
        <w:t>de modalidad a consulta directa, ya que, la información sobrepasa las capacidades administrativas y humanas, puesto que, únicamente cuenta con una persona que se encarga de dar contestación a los requerimientos de información.</w:t>
      </w:r>
    </w:p>
    <w:p w:rsidR="00960B45" w:rsidRPr="00843DDC" w:rsidRDefault="00960B45" w:rsidP="00960B45">
      <w:pPr>
        <w:pStyle w:val="Sinespaciado"/>
        <w:spacing w:before="240" w:line="360" w:lineRule="auto"/>
        <w:jc w:val="both"/>
        <w:rPr>
          <w:rFonts w:ascii="Palatino Linotype" w:hAnsi="Palatino Linotype" w:cs="Arial"/>
          <w:bCs/>
        </w:rPr>
      </w:pPr>
    </w:p>
    <w:p w:rsidR="00960B45" w:rsidRPr="00843DDC" w:rsidRDefault="00960B45" w:rsidP="00960B45">
      <w:pPr>
        <w:spacing w:line="360" w:lineRule="auto"/>
        <w:jc w:val="both"/>
        <w:rPr>
          <w:rFonts w:ascii="Palatino Linotype" w:hAnsi="Palatino Linotype"/>
          <w:b/>
          <w:i/>
          <w:u w:val="single"/>
        </w:rPr>
      </w:pPr>
      <w:r w:rsidRPr="00843DDC">
        <w:rPr>
          <w:rFonts w:ascii="Palatino Linotype" w:hAnsi="Palatino Linotype" w:cs="Arial"/>
          <w:bCs/>
        </w:rPr>
        <w:lastRenderedPageBreak/>
        <w:t xml:space="preserve">Es así como, derivado de la respuesta emitida por </w:t>
      </w:r>
      <w:r w:rsidRPr="00843DDC">
        <w:rPr>
          <w:rFonts w:ascii="Palatino Linotype" w:hAnsi="Palatino Linotype" w:cs="Arial"/>
          <w:b/>
          <w:bCs/>
        </w:rPr>
        <w:t>El Sujeto Obligado</w:t>
      </w:r>
      <w:r w:rsidRPr="00843DDC">
        <w:rPr>
          <w:rFonts w:ascii="Palatino Linotype" w:hAnsi="Palatino Linotype" w:cs="Arial"/>
          <w:bCs/>
        </w:rPr>
        <w:t xml:space="preserve">, </w:t>
      </w:r>
      <w:r w:rsidRPr="00843DDC">
        <w:rPr>
          <w:rFonts w:ascii="Palatino Linotype" w:hAnsi="Palatino Linotype" w:cs="Arial"/>
          <w:b/>
          <w:bCs/>
        </w:rPr>
        <w:t>el Recurrente</w:t>
      </w:r>
      <w:r w:rsidRPr="00843DDC">
        <w:rPr>
          <w:rFonts w:ascii="Palatino Linotype" w:hAnsi="Palatino Linotype" w:cs="Arial"/>
          <w:bCs/>
        </w:rPr>
        <w:t>, interpuso el presente recurso de revisión, señalando sustancialmente como sus razones o motivos de inconformidad, lo siguiente:</w:t>
      </w:r>
      <w:r w:rsidRPr="00843DDC" w:rsidDel="00107C3B">
        <w:rPr>
          <w:rFonts w:ascii="Palatino Linotype" w:hAnsi="Palatino Linotype"/>
          <w:b/>
          <w:i/>
        </w:rPr>
        <w:t xml:space="preserve"> </w:t>
      </w:r>
      <w:r w:rsidRPr="00843DDC">
        <w:rPr>
          <w:rFonts w:ascii="Palatino Linotype" w:hAnsi="Palatino Linotype"/>
          <w:i/>
        </w:rPr>
        <w:t>“</w:t>
      </w:r>
      <w:r w:rsidR="00837D20" w:rsidRPr="00843DDC">
        <w:rPr>
          <w:rFonts w:ascii="Palatino Linotype" w:hAnsi="Palatino Linotype"/>
          <w:i/>
        </w:rPr>
        <w:t>No turno mi solicitud al área correspondiente además de que en las condiciones de consulta directa menciona que me estarán esperando guardias en la entrada lo cual genera inseguridad para ejercer mi derecho conforme lo establece el sujeto obligado</w:t>
      </w:r>
      <w:r w:rsidRPr="00843DDC">
        <w:rPr>
          <w:rFonts w:ascii="Palatino Linotype" w:hAnsi="Palatino Linotype"/>
          <w:i/>
        </w:rPr>
        <w:t>” (Sic).</w:t>
      </w:r>
    </w:p>
    <w:p w:rsidR="00960B45" w:rsidRPr="00843DDC" w:rsidRDefault="00960B45" w:rsidP="00960B45">
      <w:pPr>
        <w:autoSpaceDE w:val="0"/>
        <w:autoSpaceDN w:val="0"/>
        <w:adjustRightInd w:val="0"/>
        <w:spacing w:line="360" w:lineRule="auto"/>
        <w:jc w:val="both"/>
        <w:rPr>
          <w:rFonts w:ascii="Palatino Linotype" w:eastAsia="Calibri" w:hAnsi="Palatino Linotype" w:cs="Calibri"/>
          <w:lang w:val="es-ES_tradnl" w:eastAsia="es-MX"/>
        </w:rPr>
      </w:pPr>
    </w:p>
    <w:p w:rsidR="00960B45" w:rsidRPr="00843DDC" w:rsidRDefault="00960B45" w:rsidP="00960B45">
      <w:pPr>
        <w:pBdr>
          <w:top w:val="nil"/>
          <w:left w:val="nil"/>
          <w:bottom w:val="nil"/>
          <w:right w:val="nil"/>
          <w:between w:val="nil"/>
        </w:pBdr>
        <w:spacing w:line="360" w:lineRule="auto"/>
        <w:contextualSpacing/>
        <w:jc w:val="both"/>
        <w:rPr>
          <w:rFonts w:ascii="Palatino Linotype" w:eastAsia="Calibri" w:hAnsi="Palatino Linotype" w:cs="Calibri"/>
          <w:szCs w:val="22"/>
          <w:lang w:val="es-ES_tradnl" w:eastAsia="es-MX"/>
        </w:rPr>
      </w:pPr>
      <w:r w:rsidRPr="00843DDC">
        <w:rPr>
          <w:rFonts w:ascii="Palatino Linotype" w:eastAsia="Calibri" w:hAnsi="Palatino Linotype" w:cs="Calibri"/>
          <w:szCs w:val="22"/>
          <w:lang w:val="es-ES_tradnl" w:eastAsia="es-MX"/>
        </w:rPr>
        <w:t>Se debe resaltar que ninguna de las partes realizó manifestaciones durante la etapa de instrucción en el presente procedimiento. En consecuencia, es necesario precisar que, toda vez que el Sujeto Obligado fue omiso de enviar el Informe Justificado ante este Órgano Garante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Órgano Garante conozca y resuelva el recurso de revisión.</w:t>
      </w:r>
    </w:p>
    <w:p w:rsidR="00960B45" w:rsidRPr="00843DDC" w:rsidRDefault="00960B45" w:rsidP="00960B45">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p w:rsidR="00960B45" w:rsidRPr="00843DDC" w:rsidRDefault="00960B45" w:rsidP="00960B45">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r w:rsidRPr="00843DDC">
        <w:rPr>
          <w:rFonts w:ascii="Palatino Linotype" w:eastAsia="Palatino Linotype" w:hAnsi="Palatino Linotype" w:cs="Palatino Linotype"/>
          <w:color w:val="000000"/>
          <w:szCs w:val="22"/>
          <w:lang w:val="es-ES_tradnl" w:eastAsia="es-MX"/>
        </w:rPr>
        <w:t xml:space="preserve">Ahora bien, quedando establecido lo anterior, este Órgano Garante considera viable establecer si la respuesta e informe justificado del Sujeto Obligado colman la pretensión del Recurrente. </w:t>
      </w:r>
    </w:p>
    <w:p w:rsidR="00960B45" w:rsidRPr="00843DDC" w:rsidRDefault="00960B45" w:rsidP="00960B45">
      <w:pPr>
        <w:pBdr>
          <w:top w:val="nil"/>
          <w:left w:val="nil"/>
          <w:bottom w:val="nil"/>
          <w:right w:val="nil"/>
          <w:between w:val="nil"/>
        </w:pBdr>
        <w:spacing w:after="160" w:line="360" w:lineRule="auto"/>
        <w:contextualSpacing/>
        <w:jc w:val="both"/>
        <w:rPr>
          <w:rFonts w:ascii="Palatino Linotype" w:eastAsia="Palatino Linotype" w:hAnsi="Palatino Linotype" w:cs="Palatino Linotype"/>
          <w:color w:val="000000"/>
          <w:szCs w:val="22"/>
          <w:lang w:val="es-ES_tradnl" w:eastAsia="es-MX"/>
        </w:rPr>
      </w:pPr>
    </w:p>
    <w:tbl>
      <w:tblPr>
        <w:tblStyle w:val="Tablaconcuadrcula"/>
        <w:tblW w:w="92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5514"/>
        <w:gridCol w:w="2551"/>
        <w:gridCol w:w="284"/>
        <w:gridCol w:w="851"/>
      </w:tblGrid>
      <w:tr w:rsidR="00960B45" w:rsidRPr="00843DDC" w:rsidTr="00837D20">
        <w:trPr>
          <w:trHeight w:val="327"/>
        </w:trPr>
        <w:tc>
          <w:tcPr>
            <w:tcW w:w="5514" w:type="dxa"/>
            <w:shd w:val="clear" w:color="auto" w:fill="E7E6E6" w:themeFill="background2"/>
          </w:tcPr>
          <w:p w:rsidR="00960B45" w:rsidRPr="00843DDC" w:rsidRDefault="00960B45" w:rsidP="00837D20">
            <w:pPr>
              <w:spacing w:line="360" w:lineRule="auto"/>
              <w:jc w:val="center"/>
              <w:rPr>
                <w:rFonts w:ascii="Palatino Linotype" w:eastAsiaTheme="minorHAnsi" w:hAnsi="Palatino Linotype" w:cstheme="minorBidi"/>
                <w:b/>
                <w:i/>
                <w:color w:val="000000"/>
                <w:sz w:val="22"/>
                <w:szCs w:val="22"/>
                <w:lang w:val="es-MX" w:eastAsia="en-US"/>
              </w:rPr>
            </w:pPr>
            <w:r w:rsidRPr="00843DDC">
              <w:rPr>
                <w:rFonts w:ascii="Palatino Linotype" w:eastAsiaTheme="minorHAnsi" w:hAnsi="Palatino Linotype" w:cstheme="minorBidi"/>
                <w:b/>
                <w:i/>
                <w:color w:val="000000"/>
                <w:sz w:val="22"/>
                <w:szCs w:val="22"/>
                <w:lang w:val="es-MX" w:eastAsia="en-US"/>
              </w:rPr>
              <w:t>Requerimientos</w:t>
            </w:r>
          </w:p>
        </w:tc>
        <w:tc>
          <w:tcPr>
            <w:tcW w:w="2551" w:type="dxa"/>
            <w:shd w:val="clear" w:color="auto" w:fill="E7E6E6" w:themeFill="background2"/>
          </w:tcPr>
          <w:p w:rsidR="00960B45" w:rsidRPr="00843DDC" w:rsidRDefault="00960B45" w:rsidP="00837D20">
            <w:pPr>
              <w:spacing w:line="360" w:lineRule="auto"/>
              <w:jc w:val="center"/>
              <w:rPr>
                <w:rFonts w:ascii="Palatino Linotype" w:eastAsiaTheme="minorHAnsi" w:hAnsi="Palatino Linotype" w:cstheme="minorBidi"/>
                <w:b/>
                <w:i/>
                <w:color w:val="000000"/>
                <w:sz w:val="22"/>
                <w:szCs w:val="22"/>
                <w:lang w:val="es-MX" w:eastAsia="en-US"/>
              </w:rPr>
            </w:pPr>
            <w:r w:rsidRPr="00843DDC">
              <w:rPr>
                <w:rFonts w:ascii="Palatino Linotype" w:eastAsiaTheme="minorHAnsi" w:hAnsi="Palatino Linotype" w:cstheme="minorBidi"/>
                <w:b/>
                <w:i/>
                <w:color w:val="000000"/>
                <w:sz w:val="22"/>
                <w:szCs w:val="22"/>
                <w:lang w:val="es-MX" w:eastAsia="en-US"/>
              </w:rPr>
              <w:t xml:space="preserve">Respuesta </w:t>
            </w:r>
          </w:p>
        </w:tc>
        <w:tc>
          <w:tcPr>
            <w:tcW w:w="1135" w:type="dxa"/>
            <w:gridSpan w:val="2"/>
            <w:shd w:val="clear" w:color="auto" w:fill="E7E6E6" w:themeFill="background2"/>
          </w:tcPr>
          <w:p w:rsidR="00960B45" w:rsidRPr="00843DDC" w:rsidRDefault="00960B45" w:rsidP="00837D20">
            <w:pPr>
              <w:spacing w:line="360" w:lineRule="auto"/>
              <w:jc w:val="center"/>
              <w:rPr>
                <w:rFonts w:ascii="Palatino Linotype" w:eastAsiaTheme="minorHAnsi" w:hAnsi="Palatino Linotype" w:cstheme="minorBidi"/>
                <w:b/>
                <w:i/>
                <w:color w:val="000000"/>
                <w:sz w:val="22"/>
                <w:szCs w:val="22"/>
                <w:lang w:val="es-MX" w:eastAsia="en-US"/>
              </w:rPr>
            </w:pPr>
            <w:r w:rsidRPr="00843DDC">
              <w:rPr>
                <w:rFonts w:ascii="Palatino Linotype" w:eastAsiaTheme="minorHAnsi" w:hAnsi="Palatino Linotype" w:cstheme="minorBidi"/>
                <w:b/>
                <w:i/>
                <w:color w:val="000000"/>
                <w:sz w:val="22"/>
                <w:szCs w:val="22"/>
                <w:lang w:val="es-MX" w:eastAsia="en-US"/>
              </w:rPr>
              <w:t>Colma</w:t>
            </w:r>
          </w:p>
        </w:tc>
      </w:tr>
      <w:tr w:rsidR="00960B45" w:rsidRPr="00843DDC" w:rsidTr="00837D20">
        <w:trPr>
          <w:trHeight w:val="3895"/>
        </w:trPr>
        <w:tc>
          <w:tcPr>
            <w:tcW w:w="5514" w:type="dxa"/>
          </w:tcPr>
          <w:p w:rsidR="00837D20" w:rsidRPr="00843DDC" w:rsidRDefault="00837D20" w:rsidP="00837D20">
            <w:pPr>
              <w:pStyle w:val="Prrafodelista"/>
              <w:numPr>
                <w:ilvl w:val="0"/>
                <w:numId w:val="7"/>
              </w:numPr>
              <w:ind w:left="303" w:hanging="284"/>
              <w:jc w:val="both"/>
              <w:rPr>
                <w:rFonts w:ascii="Palatino Linotype" w:hAnsi="Palatino Linotype" w:cs="Tahoma"/>
                <w:bCs/>
                <w:sz w:val="22"/>
              </w:rPr>
            </w:pPr>
            <w:r w:rsidRPr="00843DDC">
              <w:rPr>
                <w:rFonts w:ascii="Palatino Linotype" w:hAnsi="Palatino Linotype" w:cs="Tahoma"/>
                <w:bCs/>
                <w:sz w:val="22"/>
              </w:rPr>
              <w:lastRenderedPageBreak/>
              <w:t xml:space="preserve">Bitácoras mensuales de consumo de gasolina por cada unidad de patrullaje, incluyendo kilometraje y litros cargados, de enero de 2025 a la fecha. </w:t>
            </w:r>
          </w:p>
          <w:p w:rsidR="00837D20" w:rsidRPr="00843DDC" w:rsidRDefault="00837D20" w:rsidP="00837D20">
            <w:pPr>
              <w:pStyle w:val="Prrafodelista"/>
              <w:numPr>
                <w:ilvl w:val="0"/>
                <w:numId w:val="7"/>
              </w:numPr>
              <w:ind w:left="303" w:hanging="284"/>
              <w:jc w:val="both"/>
              <w:rPr>
                <w:rFonts w:ascii="Palatino Linotype" w:hAnsi="Palatino Linotype" w:cs="Tahoma"/>
                <w:bCs/>
                <w:sz w:val="22"/>
              </w:rPr>
            </w:pPr>
            <w:r w:rsidRPr="00843DDC">
              <w:rPr>
                <w:rFonts w:ascii="Palatino Linotype" w:hAnsi="Palatino Linotype" w:cs="Tahoma"/>
                <w:bCs/>
                <w:sz w:val="22"/>
              </w:rPr>
              <w:t xml:space="preserve">Fondos federales, estatales y municipales aplicados específicamente a Seguridad Pública en los años 2023, 2024 y 2025, indicando: </w:t>
            </w:r>
          </w:p>
          <w:p w:rsidR="00837D20" w:rsidRPr="00843DDC" w:rsidRDefault="00837D20" w:rsidP="00837D20">
            <w:pPr>
              <w:pStyle w:val="Prrafodelista"/>
              <w:numPr>
                <w:ilvl w:val="0"/>
                <w:numId w:val="6"/>
              </w:numPr>
              <w:ind w:left="444" w:hanging="287"/>
              <w:jc w:val="both"/>
              <w:rPr>
                <w:rFonts w:ascii="Palatino Linotype" w:hAnsi="Palatino Linotype" w:cs="Tahoma"/>
                <w:bCs/>
                <w:sz w:val="22"/>
              </w:rPr>
            </w:pPr>
            <w:r w:rsidRPr="00843DDC">
              <w:rPr>
                <w:rFonts w:ascii="Palatino Linotype" w:hAnsi="Palatino Linotype" w:cs="Tahoma"/>
                <w:bCs/>
                <w:sz w:val="22"/>
              </w:rPr>
              <w:t xml:space="preserve">Nombre del fondo (ej. FORTASEG, FASP, FEFOM, u otros) </w:t>
            </w:r>
          </w:p>
          <w:p w:rsidR="00837D20" w:rsidRPr="00843DDC" w:rsidRDefault="00837D20" w:rsidP="00837D20">
            <w:pPr>
              <w:pStyle w:val="Prrafodelista"/>
              <w:numPr>
                <w:ilvl w:val="0"/>
                <w:numId w:val="6"/>
              </w:numPr>
              <w:ind w:left="444" w:hanging="287"/>
              <w:jc w:val="both"/>
              <w:rPr>
                <w:rFonts w:ascii="Palatino Linotype" w:hAnsi="Palatino Linotype" w:cs="Tahoma"/>
                <w:bCs/>
                <w:sz w:val="22"/>
              </w:rPr>
            </w:pPr>
            <w:r w:rsidRPr="00843DDC">
              <w:rPr>
                <w:rFonts w:ascii="Palatino Linotype" w:hAnsi="Palatino Linotype" w:cs="Tahoma"/>
                <w:bCs/>
                <w:sz w:val="22"/>
              </w:rPr>
              <w:t xml:space="preserve">Monto asignado </w:t>
            </w:r>
          </w:p>
          <w:p w:rsidR="00837D20" w:rsidRPr="00843DDC" w:rsidRDefault="00837D20" w:rsidP="00837D20">
            <w:pPr>
              <w:pStyle w:val="Prrafodelista"/>
              <w:numPr>
                <w:ilvl w:val="0"/>
                <w:numId w:val="6"/>
              </w:numPr>
              <w:ind w:left="444" w:hanging="287"/>
              <w:jc w:val="both"/>
              <w:rPr>
                <w:rFonts w:ascii="Palatino Linotype" w:hAnsi="Palatino Linotype" w:cs="Tahoma"/>
                <w:bCs/>
                <w:sz w:val="22"/>
              </w:rPr>
            </w:pPr>
            <w:r w:rsidRPr="00843DDC">
              <w:rPr>
                <w:rFonts w:ascii="Palatino Linotype" w:hAnsi="Palatino Linotype" w:cs="Tahoma"/>
                <w:bCs/>
                <w:sz w:val="22"/>
              </w:rPr>
              <w:t xml:space="preserve">Monto ejercido </w:t>
            </w:r>
          </w:p>
          <w:p w:rsidR="00837D20" w:rsidRPr="00843DDC" w:rsidRDefault="00837D20" w:rsidP="00837D20">
            <w:pPr>
              <w:pStyle w:val="Prrafodelista"/>
              <w:numPr>
                <w:ilvl w:val="0"/>
                <w:numId w:val="6"/>
              </w:numPr>
              <w:ind w:left="444" w:hanging="287"/>
              <w:jc w:val="both"/>
              <w:rPr>
                <w:rFonts w:ascii="Palatino Linotype" w:hAnsi="Palatino Linotype" w:cs="Tahoma"/>
                <w:bCs/>
                <w:sz w:val="22"/>
              </w:rPr>
            </w:pPr>
            <w:r w:rsidRPr="00843DDC">
              <w:rPr>
                <w:rFonts w:ascii="Palatino Linotype" w:hAnsi="Palatino Linotype" w:cs="Tahoma"/>
                <w:bCs/>
                <w:sz w:val="22"/>
              </w:rPr>
              <w:t xml:space="preserve">Objeto de aplicación </w:t>
            </w:r>
          </w:p>
          <w:p w:rsidR="00837D20" w:rsidRPr="00843DDC" w:rsidRDefault="00837D20" w:rsidP="00837D20">
            <w:pPr>
              <w:pStyle w:val="Prrafodelista"/>
              <w:numPr>
                <w:ilvl w:val="0"/>
                <w:numId w:val="6"/>
              </w:numPr>
              <w:ind w:left="444" w:hanging="287"/>
              <w:jc w:val="both"/>
              <w:rPr>
                <w:rFonts w:ascii="Palatino Linotype" w:hAnsi="Palatino Linotype" w:cs="Tahoma"/>
                <w:bCs/>
                <w:sz w:val="22"/>
              </w:rPr>
            </w:pPr>
            <w:r w:rsidRPr="00843DDC">
              <w:rPr>
                <w:rFonts w:ascii="Palatino Linotype" w:hAnsi="Palatino Linotype" w:cs="Tahoma"/>
                <w:bCs/>
                <w:sz w:val="22"/>
              </w:rPr>
              <w:t>Convenios o reglas de operación vigentes copia del acta de cabildo de aprobación de las acciones, y/o del comité de adquisiciones agregando el acta correspondiente.</w:t>
            </w:r>
          </w:p>
          <w:p w:rsidR="00960B45" w:rsidRPr="00843DDC" w:rsidRDefault="00960B45" w:rsidP="00837D20">
            <w:pPr>
              <w:jc w:val="both"/>
              <w:rPr>
                <w:rFonts w:ascii="Palatino Linotype" w:eastAsiaTheme="minorHAnsi" w:hAnsi="Palatino Linotype" w:cstheme="minorBidi"/>
                <w:color w:val="000000"/>
                <w:sz w:val="22"/>
                <w:szCs w:val="20"/>
                <w:lang w:val="es-MX" w:eastAsia="en-US"/>
              </w:rPr>
            </w:pPr>
          </w:p>
        </w:tc>
        <w:tc>
          <w:tcPr>
            <w:tcW w:w="2835" w:type="dxa"/>
            <w:gridSpan w:val="2"/>
          </w:tcPr>
          <w:p w:rsidR="00960B45" w:rsidRPr="00843DDC" w:rsidRDefault="00960B45" w:rsidP="00837D20">
            <w:pPr>
              <w:jc w:val="both"/>
              <w:rPr>
                <w:rFonts w:ascii="Palatino Linotype" w:eastAsiaTheme="minorHAnsi" w:hAnsi="Palatino Linotype" w:cstheme="minorBidi"/>
                <w:color w:val="000000"/>
                <w:sz w:val="22"/>
                <w:szCs w:val="22"/>
                <w:lang w:val="es-MX" w:eastAsia="en-US"/>
              </w:rPr>
            </w:pPr>
            <w:r w:rsidRPr="00843DDC">
              <w:rPr>
                <w:rFonts w:ascii="Palatino Linotype" w:eastAsiaTheme="minorHAnsi" w:hAnsi="Palatino Linotype" w:cstheme="minorBidi"/>
                <w:color w:val="000000"/>
                <w:sz w:val="22"/>
                <w:szCs w:val="22"/>
                <w:lang w:val="es-MX" w:eastAsia="en-US"/>
              </w:rPr>
              <w:t>Consulta directa</w:t>
            </w:r>
          </w:p>
        </w:tc>
        <w:tc>
          <w:tcPr>
            <w:tcW w:w="851" w:type="dxa"/>
          </w:tcPr>
          <w:p w:rsidR="00960B45" w:rsidRPr="00843DDC" w:rsidRDefault="00960B45" w:rsidP="00837D20">
            <w:pPr>
              <w:jc w:val="center"/>
              <w:rPr>
                <w:rFonts w:ascii="Palatino Linotype" w:eastAsiaTheme="minorHAnsi" w:hAnsi="Palatino Linotype" w:cstheme="minorBidi"/>
                <w:i/>
                <w:color w:val="000000"/>
                <w:sz w:val="22"/>
                <w:szCs w:val="22"/>
                <w:lang w:val="es-MX" w:eastAsia="en-US"/>
              </w:rPr>
            </w:pPr>
            <w:r w:rsidRPr="00843DDC">
              <w:rPr>
                <w:rFonts w:ascii="Palatino Linotype" w:eastAsiaTheme="minorHAnsi" w:hAnsi="Palatino Linotype" w:cstheme="minorBidi"/>
                <w:i/>
                <w:color w:val="000000"/>
                <w:sz w:val="22"/>
                <w:szCs w:val="22"/>
                <w:lang w:val="es-MX" w:eastAsia="en-US"/>
              </w:rPr>
              <w:t xml:space="preserve">No </w:t>
            </w:r>
          </w:p>
        </w:tc>
      </w:tr>
    </w:tbl>
    <w:p w:rsidR="00960B45" w:rsidRPr="00843DDC" w:rsidRDefault="00960B45" w:rsidP="00960B45">
      <w:pPr>
        <w:spacing w:line="360" w:lineRule="auto"/>
        <w:jc w:val="both"/>
        <w:rPr>
          <w:rFonts w:ascii="Palatino Linotype" w:eastAsia="Calibri" w:hAnsi="Palatino Linotype" w:cs="Arial"/>
          <w:color w:val="000000"/>
          <w:lang w:val="es-ES_tradnl" w:eastAsia="es-MX"/>
        </w:rPr>
      </w:pPr>
    </w:p>
    <w:p w:rsidR="00960B45" w:rsidRPr="00843DDC" w:rsidRDefault="00960B45" w:rsidP="00960B45">
      <w:pPr>
        <w:autoSpaceDE w:val="0"/>
        <w:autoSpaceDN w:val="0"/>
        <w:adjustRightInd w:val="0"/>
        <w:spacing w:line="360" w:lineRule="auto"/>
        <w:jc w:val="both"/>
        <w:rPr>
          <w:rFonts w:ascii="Palatino Linotype" w:hAnsi="Palatino Linotype" w:cs="Arial"/>
        </w:rPr>
      </w:pPr>
      <w:r w:rsidRPr="00843DDC">
        <w:rPr>
          <w:rFonts w:ascii="Palatino Linotype" w:hAnsi="Palatino Linotype" w:cs="Arial"/>
        </w:rPr>
        <w:t xml:space="preserve">Como podemos apreciar de las documentales en análisis, el sujeto obligado no niega contar con la información solicitada, por el contrario, acepta de forma expresa poseerla, </w:t>
      </w:r>
      <w:r w:rsidRPr="00843DDC">
        <w:rPr>
          <w:rFonts w:ascii="Palatino Linotype" w:hAnsi="Palatino Linotype" w:cs="Arial"/>
          <w:lang w:val="es-419"/>
        </w:rPr>
        <w:t xml:space="preserve">al cambiar de modalidad y manifestar que se le entregará la información en consulta directa, </w:t>
      </w:r>
      <w:r w:rsidRPr="00843DDC">
        <w:rPr>
          <w:rFonts w:ascii="Palatino Linotype" w:hAnsi="Palatino Linotype" w:cs="Arial"/>
        </w:rPr>
        <w:t xml:space="preserve">en consecuencia, se omite el estudio de la fuente obligacional que impone al sujeto obligado a generarla, </w:t>
      </w:r>
      <w:r w:rsidRPr="00843DDC">
        <w:rPr>
          <w:rFonts w:ascii="Palatino Linotype" w:hAnsi="Palatino Linotype" w:cs="Arial"/>
          <w:lang w:val="es-419"/>
        </w:rPr>
        <w:t>administrarla o poseerla</w:t>
      </w:r>
      <w:r w:rsidRPr="00843DDC">
        <w:rPr>
          <w:rFonts w:ascii="Palatino Linotype" w:hAnsi="Palatino Linotype" w:cs="Arial"/>
        </w:rPr>
        <w:t>.</w:t>
      </w:r>
    </w:p>
    <w:p w:rsidR="00960B45" w:rsidRPr="00843DDC" w:rsidRDefault="00960B45" w:rsidP="00960B45">
      <w:pPr>
        <w:tabs>
          <w:tab w:val="left" w:pos="7938"/>
        </w:tabs>
        <w:spacing w:line="360" w:lineRule="auto"/>
        <w:jc w:val="both"/>
        <w:rPr>
          <w:rFonts w:ascii="Palatino Linotype" w:hAnsi="Palatino Linotype" w:cs="Arial"/>
        </w:rPr>
      </w:pPr>
    </w:p>
    <w:p w:rsidR="00960B45" w:rsidRPr="00843DDC" w:rsidRDefault="00960B45" w:rsidP="00960B45">
      <w:pPr>
        <w:tabs>
          <w:tab w:val="left" w:pos="7938"/>
        </w:tabs>
        <w:spacing w:line="360" w:lineRule="auto"/>
        <w:jc w:val="both"/>
        <w:rPr>
          <w:rFonts w:ascii="Palatino Linotype" w:hAnsi="Palatino Linotype" w:cs="Arial"/>
        </w:rPr>
      </w:pPr>
      <w:r w:rsidRPr="00843DDC">
        <w:rPr>
          <w:rFonts w:ascii="Palatino Linotype" w:hAnsi="Palatino Linotype" w:cs="Arial"/>
        </w:rPr>
        <w:t xml:space="preserve">De lo anterior se colige que, el hecho de que el </w:t>
      </w:r>
      <w:r w:rsidRPr="00843DDC">
        <w:rPr>
          <w:rFonts w:ascii="Palatino Linotype" w:hAnsi="Palatino Linotype" w:cs="Arial"/>
          <w:b/>
        </w:rPr>
        <w:t>Sujeto Obligado</w:t>
      </w:r>
      <w:r w:rsidRPr="00843DDC">
        <w:rPr>
          <w:rFonts w:ascii="Palatino Linotype" w:hAnsi="Palatino Linotype" w:cs="Arial"/>
        </w:rPr>
        <w:t xml:space="preserve"> haya manifestado al </w:t>
      </w:r>
      <w:r w:rsidRPr="00843DDC">
        <w:rPr>
          <w:rFonts w:ascii="Palatino Linotype" w:hAnsi="Palatino Linotype" w:cs="Arial"/>
          <w:b/>
        </w:rPr>
        <w:t>Recurrente</w:t>
      </w:r>
      <w:r w:rsidRPr="00843DDC">
        <w:rPr>
          <w:rFonts w:ascii="Palatino Linotype" w:hAnsi="Palatino Linotype" w:cs="Arial"/>
        </w:rPr>
        <w:t xml:space="preserve"> que puede asistir a las instalaciones para acceder a lo solicitado, comprueba fehacientemente que dicha autoridad acepta que la genera, posee y/o administra los documentos solicitados, en ejercicio de sus funciones de derecho público, es decir, no niega la existencia de la información solicitada, por el contrario, se pronuncia respecto de la información requerida, es por ello que se reitera, se asume que posee la información; por lo tanto, el estudio en específico se obvia dado que a nada práctico llevaría el alcance del mismo.</w:t>
      </w:r>
    </w:p>
    <w:p w:rsidR="00960B45" w:rsidRPr="00843DDC" w:rsidRDefault="00960B45" w:rsidP="00960B45">
      <w:pPr>
        <w:tabs>
          <w:tab w:val="left" w:pos="7938"/>
        </w:tabs>
        <w:spacing w:line="360" w:lineRule="auto"/>
        <w:jc w:val="both"/>
        <w:rPr>
          <w:rFonts w:ascii="Palatino Linotype" w:hAnsi="Palatino Linotype" w:cs="Arial"/>
        </w:rPr>
      </w:pPr>
    </w:p>
    <w:p w:rsidR="00960B45" w:rsidRPr="00843DDC" w:rsidRDefault="00960B45" w:rsidP="00960B45">
      <w:pPr>
        <w:tabs>
          <w:tab w:val="left" w:pos="7938"/>
        </w:tabs>
        <w:spacing w:line="360" w:lineRule="auto"/>
        <w:jc w:val="both"/>
        <w:rPr>
          <w:rFonts w:ascii="Palatino Linotype" w:hAnsi="Palatino Linotype" w:cs="Arial"/>
        </w:rPr>
      </w:pPr>
      <w:r w:rsidRPr="00843DDC">
        <w:rPr>
          <w:rFonts w:ascii="Palatino Linotype" w:hAnsi="Palatino Linotype" w:cs="Arial"/>
        </w:rPr>
        <w:t>De hecho, el estudio de la naturaleza jurídica de la información pública solicitada, tiene por objeto determinar si ésta la genera, posee o administra el Sujeto Obligado; sin embargo, en aquellos casos en que éste la asume, implica en automático que la genera, posee o administra; por consiguiente, a nada práctico nos conduciría su estudio, ya que se insiste la información pública solicitada, ya fue asumida por el Sujeto Obligado.</w:t>
      </w:r>
    </w:p>
    <w:p w:rsidR="00960B45" w:rsidRPr="00843DDC" w:rsidRDefault="00960B45" w:rsidP="00960B45">
      <w:pPr>
        <w:tabs>
          <w:tab w:val="left" w:pos="7938"/>
        </w:tabs>
        <w:spacing w:line="360" w:lineRule="auto"/>
        <w:jc w:val="both"/>
        <w:rPr>
          <w:rFonts w:ascii="Palatino Linotype" w:hAnsi="Palatino Linotype" w:cs="Arial"/>
        </w:rPr>
      </w:pPr>
    </w:p>
    <w:p w:rsidR="00960B45" w:rsidRPr="00843DDC" w:rsidRDefault="00960B45" w:rsidP="00960B45">
      <w:pPr>
        <w:tabs>
          <w:tab w:val="left" w:pos="7938"/>
        </w:tabs>
        <w:spacing w:line="360" w:lineRule="auto"/>
        <w:jc w:val="both"/>
        <w:rPr>
          <w:rFonts w:ascii="Palatino Linotype" w:hAnsi="Palatino Linotype" w:cs="Arial"/>
        </w:rPr>
      </w:pPr>
      <w:r w:rsidRPr="00843DDC">
        <w:rPr>
          <w:rFonts w:ascii="Palatino Linotype" w:hAnsi="Palatino Linotype" w:cs="Arial"/>
        </w:rPr>
        <w:t>Ahora bien, respecto del cambio de modalidad, para este Órgano Garante no se justifica dicho cambio, pues no se acredita las imposibilidades del personal para poder entregar la información vía SAIMEX, sólo se refiere que</w:t>
      </w:r>
      <w:r w:rsidRPr="00843DDC">
        <w:rPr>
          <w:rFonts w:ascii="Palatino Linotype" w:hAnsi="Palatino Linotype" w:cs="Arial"/>
          <w:lang w:val="es-419"/>
        </w:rPr>
        <w:t xml:space="preserve"> </w:t>
      </w:r>
      <w:r w:rsidRPr="00843DDC">
        <w:rPr>
          <w:rFonts w:ascii="Palatino Linotype" w:hAnsi="Palatino Linotype" w:cs="Arial"/>
          <w:i/>
          <w:iCs/>
          <w:color w:val="222222"/>
        </w:rPr>
        <w:t>“…</w:t>
      </w:r>
      <w:r w:rsidR="00837D20" w:rsidRPr="00843DDC">
        <w:rPr>
          <w:rFonts w:ascii="Palatino Linotype" w:hAnsi="Palatino Linotype" w:cs="Arial"/>
          <w:i/>
          <w:iCs/>
          <w:color w:val="222222"/>
        </w:rPr>
        <w:t xml:space="preserve"> s</w:t>
      </w:r>
      <w:r w:rsidR="00837D20" w:rsidRPr="00843DDC">
        <w:rPr>
          <w:rFonts w:ascii="Palatino Linotype" w:hAnsi="Palatino Linotype"/>
          <w:i/>
        </w:rPr>
        <w:t xml:space="preserve">obrepasa las capacidades administrativas y humanas de esta Unidad Administrativa, que </w:t>
      </w:r>
      <w:r w:rsidR="00837D20" w:rsidRPr="00843DDC">
        <w:rPr>
          <w:rFonts w:ascii="Palatino Linotype" w:hAnsi="Palatino Linotype"/>
          <w:b/>
          <w:i/>
          <w:u w:val="single"/>
        </w:rPr>
        <w:t>solo cuenta con 1 persona</w:t>
      </w:r>
      <w:r w:rsidR="00837D20" w:rsidRPr="00843DDC">
        <w:rPr>
          <w:rFonts w:ascii="Palatino Linotype" w:hAnsi="Palatino Linotype"/>
          <w:i/>
        </w:rPr>
        <w:t xml:space="preserve"> que se encarga -entre otras cosas-, de dar contestación a los requerimientos de información que se nos presentan</w:t>
      </w:r>
      <w:r w:rsidRPr="00843DDC">
        <w:rPr>
          <w:rFonts w:ascii="Palatino Linotype" w:hAnsi="Palatino Linotype"/>
          <w:i/>
        </w:rPr>
        <w:t>..</w:t>
      </w:r>
      <w:r w:rsidRPr="00843DDC">
        <w:rPr>
          <w:rFonts w:ascii="Palatino Linotype" w:hAnsi="Palatino Linotype" w:cs="Arial"/>
          <w:i/>
          <w:iCs/>
          <w:color w:val="222222"/>
        </w:rPr>
        <w:t>”</w:t>
      </w:r>
      <w:r w:rsidRPr="00843DDC">
        <w:rPr>
          <w:rFonts w:ascii="Palatino Linotype" w:hAnsi="Palatino Linotype" w:cs="Arial"/>
          <w:lang w:val="es-419"/>
        </w:rPr>
        <w:t>, sin embargo, son manifestaciones</w:t>
      </w:r>
      <w:r w:rsidRPr="00843DDC">
        <w:rPr>
          <w:rFonts w:ascii="Palatino Linotype" w:hAnsi="Palatino Linotype" w:cs="Arial"/>
        </w:rPr>
        <w:t xml:space="preserve"> que no le hacen caer en cuenta a este Instituto que efectivamente se intentó subir la información al SAIMEX, y que por alguna cuestión técnica no logró cargarse en dicho sistema electrónico; </w:t>
      </w:r>
      <w:r w:rsidRPr="00843DDC">
        <w:rPr>
          <w:rFonts w:ascii="Palatino Linotype" w:hAnsi="Palatino Linotype" w:cs="Arial"/>
          <w:lang w:val="es-419"/>
        </w:rPr>
        <w:t>e</w:t>
      </w:r>
      <w:r w:rsidRPr="00843DDC">
        <w:rPr>
          <w:rFonts w:ascii="Palatino Linotype" w:hAnsi="Palatino Linotype" w:cs="Arial"/>
        </w:rPr>
        <w:t xml:space="preserve">l </w:t>
      </w:r>
      <w:r w:rsidRPr="00843DDC">
        <w:rPr>
          <w:rFonts w:ascii="Palatino Linotype" w:hAnsi="Palatino Linotype" w:cs="Arial"/>
          <w:b/>
        </w:rPr>
        <w:t>Sujeto Obligado</w:t>
      </w:r>
      <w:r w:rsidRPr="00843DDC">
        <w:rPr>
          <w:rFonts w:ascii="Palatino Linotype" w:hAnsi="Palatino Linotype" w:cs="Arial"/>
        </w:rPr>
        <w:t xml:space="preserve"> no demuestra porque </w:t>
      </w:r>
      <w:r w:rsidRPr="00843DDC">
        <w:rPr>
          <w:rFonts w:ascii="Palatino Linotype" w:hAnsi="Palatino Linotype" w:cs="Arial"/>
          <w:lang w:val="es-419"/>
        </w:rPr>
        <w:t>la información solicitada</w:t>
      </w:r>
      <w:r w:rsidRPr="00843DDC">
        <w:rPr>
          <w:rFonts w:ascii="Palatino Linotype" w:hAnsi="Palatino Linotype" w:cs="Arial"/>
        </w:rPr>
        <w:t xml:space="preserve"> no se puede escanear uno a uno</w:t>
      </w:r>
      <w:r w:rsidRPr="00843DDC">
        <w:rPr>
          <w:rFonts w:ascii="Palatino Linotype" w:hAnsi="Palatino Linotype" w:cs="Arial"/>
          <w:lang w:val="es-419"/>
        </w:rPr>
        <w:t>, guardarlos en un archivo PDF</w:t>
      </w:r>
      <w:r w:rsidRPr="00843DDC">
        <w:rPr>
          <w:rFonts w:ascii="Palatino Linotype" w:hAnsi="Palatino Linotype" w:cs="Arial"/>
        </w:rPr>
        <w:t xml:space="preserve"> y cargarlos al SAIMEX.</w:t>
      </w:r>
    </w:p>
    <w:p w:rsidR="00960B45" w:rsidRPr="00843DDC" w:rsidRDefault="00960B45" w:rsidP="00960B45">
      <w:pPr>
        <w:tabs>
          <w:tab w:val="left" w:pos="7938"/>
        </w:tabs>
        <w:spacing w:line="360" w:lineRule="auto"/>
        <w:jc w:val="center"/>
        <w:rPr>
          <w:rFonts w:ascii="Palatino Linotype" w:hAnsi="Palatino Linotype" w:cs="Arial"/>
        </w:rPr>
      </w:pPr>
    </w:p>
    <w:p w:rsidR="00960B45" w:rsidRPr="00843DDC" w:rsidRDefault="00960B45" w:rsidP="00960B45">
      <w:pPr>
        <w:tabs>
          <w:tab w:val="left" w:pos="7938"/>
        </w:tabs>
        <w:spacing w:line="360" w:lineRule="auto"/>
        <w:jc w:val="both"/>
        <w:rPr>
          <w:rFonts w:ascii="Palatino Linotype" w:hAnsi="Palatino Linotype" w:cs="Arial"/>
        </w:rPr>
      </w:pPr>
      <w:r w:rsidRPr="00843DDC">
        <w:rPr>
          <w:rFonts w:ascii="Palatino Linotype" w:hAnsi="Palatino Linotype" w:cs="Arial"/>
        </w:rPr>
        <w:t>Bajo tal premisa, el numeral 158 de la Ley de Transparencia y Acceso a la Información Pública del Estado de México y Municipios, señala que cuando lo determine el sujeto obligado podrá solicitar el cambio de modalidad a consulta directa, en el supuesto de que la información se encuentre en su posesión y esta implique análisis, estudio o procesamiento de documentos y cuya entrega o reproducción sobrepase las capacidades técnicas, administrativas y humanas, para el cumplimiento de las obligaciones de transparencia,</w:t>
      </w:r>
      <w:r w:rsidRPr="00843DDC">
        <w:rPr>
          <w:rFonts w:ascii="Palatino Linotype" w:hAnsi="Palatino Linotype" w:cs="Arial"/>
          <w:b/>
        </w:rPr>
        <w:t xml:space="preserve"> no siendo óbice mencionar que dicho cambio de </w:t>
      </w:r>
      <w:r w:rsidRPr="00843DDC">
        <w:rPr>
          <w:rFonts w:ascii="Palatino Linotype" w:hAnsi="Palatino Linotype" w:cs="Arial"/>
          <w:b/>
        </w:rPr>
        <w:lastRenderedPageBreak/>
        <w:t>modalidad de entrega deberá de estar debidamente fundado y motivado</w:t>
      </w:r>
      <w:r w:rsidRPr="00843DDC">
        <w:rPr>
          <w:rFonts w:ascii="Palatino Linotype" w:hAnsi="Palatino Linotype" w:cs="Arial"/>
        </w:rPr>
        <w:t>, en el cual se expliquen las razones o motivos del cambio, exceptuando la información clasificada, la cual se deberá de respaldar de igual manera por un acuerdo de clasificación, y que como hasta aquí se ha analizado, no se realizó por parte del sujeto obligado, no esgrimió las razones o motivos por los cuales la entrega o reproducción sobrepasó sus capacidades técnicas, administrativas y humanas.</w:t>
      </w:r>
    </w:p>
    <w:p w:rsidR="00960B45" w:rsidRPr="00843DDC" w:rsidRDefault="00960B45" w:rsidP="00960B45">
      <w:pPr>
        <w:tabs>
          <w:tab w:val="left" w:pos="7938"/>
        </w:tabs>
        <w:spacing w:line="360" w:lineRule="auto"/>
        <w:jc w:val="both"/>
        <w:rPr>
          <w:rFonts w:ascii="Palatino Linotype" w:hAnsi="Palatino Linotype" w:cs="Arial"/>
        </w:rPr>
      </w:pPr>
    </w:p>
    <w:p w:rsidR="00960B45" w:rsidRPr="00843DDC" w:rsidRDefault="00960B45" w:rsidP="00960B45">
      <w:pPr>
        <w:tabs>
          <w:tab w:val="left" w:pos="7938"/>
        </w:tabs>
        <w:spacing w:line="360" w:lineRule="auto"/>
        <w:jc w:val="both"/>
        <w:rPr>
          <w:rFonts w:ascii="Palatino Linotype" w:hAnsi="Palatino Linotype" w:cs="Arial"/>
        </w:rPr>
      </w:pPr>
      <w:r w:rsidRPr="00843DDC">
        <w:rPr>
          <w:rFonts w:ascii="Palatino Linotype" w:hAnsi="Palatino Linotype" w:cs="Arial"/>
        </w:rPr>
        <w:t>Por lo anterior, de la respuesta otorgada por el Sujeto Obligado no se denota que se actualicen los supuestos establecidos en el numeral 158 y 164 de la Ley de Transparencia local vigente.</w:t>
      </w:r>
    </w:p>
    <w:p w:rsidR="00960B45" w:rsidRPr="00843DDC" w:rsidRDefault="00960B45" w:rsidP="00960B45">
      <w:pPr>
        <w:tabs>
          <w:tab w:val="left" w:pos="7938"/>
        </w:tabs>
        <w:spacing w:line="360" w:lineRule="auto"/>
        <w:jc w:val="both"/>
        <w:rPr>
          <w:rFonts w:ascii="Palatino Linotype" w:hAnsi="Palatino Linotype" w:cs="Arial"/>
        </w:rPr>
      </w:pPr>
    </w:p>
    <w:p w:rsidR="00960B45" w:rsidRPr="00843DDC" w:rsidRDefault="00960B45" w:rsidP="00960B45">
      <w:pPr>
        <w:tabs>
          <w:tab w:val="left" w:pos="7938"/>
        </w:tabs>
        <w:spacing w:line="360" w:lineRule="auto"/>
        <w:jc w:val="both"/>
        <w:rPr>
          <w:rFonts w:ascii="Palatino Linotype" w:hAnsi="Palatino Linotype" w:cs="Arial"/>
        </w:rPr>
      </w:pPr>
      <w:r w:rsidRPr="00843DDC">
        <w:rPr>
          <w:rFonts w:ascii="Palatino Linotype" w:hAnsi="Palatino Linotype" w:cs="Arial"/>
        </w:rPr>
        <w:t>Asimismo, no se aprecia que el sujeto obligado haya aportado mayores elementos para justificar el cambio de modalidad.</w:t>
      </w:r>
    </w:p>
    <w:p w:rsidR="00960B45" w:rsidRPr="00843DDC" w:rsidRDefault="00960B45" w:rsidP="00960B45">
      <w:pPr>
        <w:tabs>
          <w:tab w:val="left" w:pos="7938"/>
        </w:tabs>
        <w:spacing w:line="360" w:lineRule="auto"/>
        <w:jc w:val="both"/>
        <w:rPr>
          <w:rFonts w:ascii="Palatino Linotype" w:hAnsi="Palatino Linotype" w:cs="Arial"/>
        </w:rPr>
      </w:pPr>
    </w:p>
    <w:p w:rsidR="00960B45" w:rsidRPr="00843DDC" w:rsidRDefault="00960B45" w:rsidP="00960B45">
      <w:pPr>
        <w:tabs>
          <w:tab w:val="left" w:pos="7938"/>
        </w:tabs>
        <w:spacing w:line="360" w:lineRule="auto"/>
        <w:jc w:val="both"/>
        <w:rPr>
          <w:rFonts w:ascii="Palatino Linotype" w:hAnsi="Palatino Linotype" w:cs="Arial"/>
        </w:rPr>
      </w:pPr>
      <w:r w:rsidRPr="00843DDC">
        <w:rPr>
          <w:rFonts w:ascii="Palatino Linotype" w:eastAsiaTheme="minorHAnsi" w:hAnsi="Palatino Linotype" w:cstheme="minorBidi"/>
          <w:lang w:val="es-MX" w:eastAsia="en-US"/>
        </w:rPr>
        <w:t xml:space="preserve">Ahora bien, se considera que la información no rebasa las capacidades del SAIMEX; por otro lado, el Sistema </w:t>
      </w:r>
      <w:r w:rsidRPr="00843DDC">
        <w:rPr>
          <w:rFonts w:ascii="Palatino Linotype" w:hAnsi="Palatino Linotype" w:cs="Arial"/>
        </w:rPr>
        <w:t xml:space="preserve">soporta un peso máximo </w:t>
      </w:r>
      <w:r w:rsidRPr="00843DDC">
        <w:rPr>
          <w:rFonts w:ascii="Palatino Linotype" w:hAnsi="Palatino Linotype" w:cs="Arial"/>
          <w:b/>
        </w:rPr>
        <w:t>de hasta 500Mb o un equivalente de hasta 8,000 hojas</w:t>
      </w:r>
      <w:r w:rsidRPr="00843DDC">
        <w:rPr>
          <w:rFonts w:ascii="Palatino Linotype" w:hAnsi="Palatino Linotype" w:cs="Arial"/>
        </w:rPr>
        <w:t>, conforme a los Lineamientos para la operación del Sistema de Acceso a la Información Mexiquense (SAIMEX) y del Sistema de Acceso, Rectificación, Cancelación y Oposición de Datos Personales del Estado de México (SARCOEM).</w:t>
      </w:r>
    </w:p>
    <w:p w:rsidR="00960B45" w:rsidRPr="00843DDC" w:rsidRDefault="00960B45" w:rsidP="00960B45">
      <w:pPr>
        <w:tabs>
          <w:tab w:val="left" w:pos="7938"/>
        </w:tabs>
        <w:spacing w:line="360" w:lineRule="auto"/>
        <w:jc w:val="both"/>
        <w:rPr>
          <w:rFonts w:ascii="Palatino Linotype" w:hAnsi="Palatino Linotype" w:cs="Arial"/>
        </w:rPr>
      </w:pPr>
      <w:r w:rsidRPr="00843DDC">
        <w:rPr>
          <w:rFonts w:ascii="Palatino Linotype" w:hAnsi="Palatino Linotype" w:cs="Arial"/>
          <w:noProof/>
          <w:lang w:val="es-MX" w:eastAsia="es-MX"/>
        </w:rPr>
        <w:lastRenderedPageBreak/>
        <mc:AlternateContent>
          <mc:Choice Requires="wps">
            <w:drawing>
              <wp:anchor distT="0" distB="0" distL="114300" distR="114300" simplePos="0" relativeHeight="251659264" behindDoc="0" locked="0" layoutInCell="1" allowOverlap="1" wp14:anchorId="2AD95CED" wp14:editId="6FCEB9C0">
                <wp:simplePos x="0" y="0"/>
                <wp:positionH relativeFrom="column">
                  <wp:posOffset>2005966</wp:posOffset>
                </wp:positionH>
                <wp:positionV relativeFrom="paragraph">
                  <wp:posOffset>934720</wp:posOffset>
                </wp:positionV>
                <wp:extent cx="3695700" cy="266700"/>
                <wp:effectExtent l="19050" t="19050" r="19050" b="19050"/>
                <wp:wrapNone/>
                <wp:docPr id="3" name="Rectángulo 3"/>
                <wp:cNvGraphicFramePr/>
                <a:graphic xmlns:a="http://schemas.openxmlformats.org/drawingml/2006/main">
                  <a:graphicData uri="http://schemas.microsoft.com/office/word/2010/wordprocessingShape">
                    <wps:wsp>
                      <wps:cNvSpPr/>
                      <wps:spPr>
                        <a:xfrm>
                          <a:off x="0" y="0"/>
                          <a:ext cx="3695700" cy="266700"/>
                        </a:xfrm>
                        <a:prstGeom prst="rect">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FF7C8" id="Rectángulo 3" o:spid="_x0000_s1026" style="position:absolute;margin-left:157.95pt;margin-top:73.6pt;width:291pt;height: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" filled="f" strokecolor="red" strokeweight="2.25pt"/>
            </w:pict>
          </mc:Fallback>
        </mc:AlternateContent>
      </w:r>
      <w:r w:rsidRPr="00843DDC">
        <w:rPr>
          <w:rFonts w:ascii="Palatino Linotype" w:hAnsi="Palatino Linotype" w:cs="Arial"/>
          <w:noProof/>
          <w:lang w:val="es-MX" w:eastAsia="es-MX"/>
        </w:rPr>
        <w:drawing>
          <wp:inline distT="0" distB="0" distL="0" distR="0" wp14:anchorId="68B8E9CB" wp14:editId="18EDF215">
            <wp:extent cx="5715798" cy="1867161"/>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0010B0.tmp"/>
                    <pic:cNvPicPr/>
                  </pic:nvPicPr>
                  <pic:blipFill>
                    <a:blip r:embed="rId7">
                      <a:extLst>
                        <a:ext uri="{28A0092B-C50C-407E-A947-70E740481C1C}">
                          <a14:useLocalDpi xmlns:a14="http://schemas.microsoft.com/office/drawing/2010/main" val="0"/>
                        </a:ext>
                      </a:extLst>
                    </a:blip>
                    <a:stretch>
                      <a:fillRect/>
                    </a:stretch>
                  </pic:blipFill>
                  <pic:spPr>
                    <a:xfrm>
                      <a:off x="0" y="0"/>
                      <a:ext cx="5715798" cy="1867161"/>
                    </a:xfrm>
                    <a:prstGeom prst="rect">
                      <a:avLst/>
                    </a:prstGeom>
                  </pic:spPr>
                </pic:pic>
              </a:graphicData>
            </a:graphic>
          </wp:inline>
        </w:drawing>
      </w:r>
    </w:p>
    <w:p w:rsidR="00960B45" w:rsidRPr="00843DDC" w:rsidRDefault="00960B45" w:rsidP="00960B45">
      <w:pPr>
        <w:spacing w:line="360" w:lineRule="auto"/>
        <w:jc w:val="both"/>
        <w:rPr>
          <w:rFonts w:ascii="Palatino Linotype" w:eastAsiaTheme="minorHAnsi" w:hAnsi="Palatino Linotype" w:cstheme="minorBidi"/>
          <w:lang w:val="es-MX" w:eastAsia="en-US"/>
        </w:rPr>
      </w:pPr>
    </w:p>
    <w:p w:rsidR="00960B45" w:rsidRPr="00843DDC" w:rsidRDefault="00960B45" w:rsidP="00960B45">
      <w:pPr>
        <w:spacing w:line="360" w:lineRule="auto"/>
        <w:jc w:val="both"/>
        <w:rPr>
          <w:rFonts w:ascii="Palatino Linotype" w:eastAsiaTheme="minorHAnsi" w:hAnsi="Palatino Linotype" w:cstheme="minorBidi"/>
          <w:lang w:val="es-MX" w:eastAsia="en-US"/>
        </w:rPr>
      </w:pPr>
      <w:r w:rsidRPr="00843DDC">
        <w:rPr>
          <w:rFonts w:ascii="Palatino Linotype" w:eastAsiaTheme="minorHAnsi" w:hAnsi="Palatino Linotype" w:cstheme="minorBidi"/>
          <w:lang w:val="es-MX" w:eastAsia="en-US"/>
        </w:rPr>
        <w:t>Ahora bien, el hoy Recurrente eligió como modalidad de entrega el Sistema SAIMEX, no así por copias o CD-ROM, por lo que el Sujeto Obligado debe entregar la por la vía solicitada, tal como se ilustra:</w:t>
      </w:r>
    </w:p>
    <w:p w:rsidR="00960B45" w:rsidRPr="00843DDC" w:rsidRDefault="00960B45" w:rsidP="00960B45">
      <w:pPr>
        <w:spacing w:line="360" w:lineRule="auto"/>
        <w:jc w:val="center"/>
        <w:rPr>
          <w:rFonts w:ascii="Palatino Linotype" w:eastAsiaTheme="minorHAnsi" w:hAnsi="Palatino Linotype" w:cstheme="minorBidi"/>
          <w:lang w:val="es-MX" w:eastAsia="en-US"/>
        </w:rPr>
      </w:pPr>
      <w:r w:rsidRPr="00843DDC">
        <w:rPr>
          <w:rFonts w:ascii="Palatino Linotype" w:eastAsiaTheme="minorHAnsi" w:hAnsi="Palatino Linotype" w:cstheme="minorBidi"/>
          <w:noProof/>
          <w:lang w:val="es-MX" w:eastAsia="es-MX"/>
        </w:rPr>
        <w:drawing>
          <wp:inline distT="0" distB="0" distL="0" distR="0" wp14:anchorId="7B6CC13A" wp14:editId="163DD7B7">
            <wp:extent cx="4904376" cy="60007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12779" cy="613339"/>
                    </a:xfrm>
                    <a:prstGeom prst="rect">
                      <a:avLst/>
                    </a:prstGeom>
                  </pic:spPr>
                </pic:pic>
              </a:graphicData>
            </a:graphic>
          </wp:inline>
        </w:drawing>
      </w:r>
    </w:p>
    <w:p w:rsidR="00960B45" w:rsidRPr="00843DDC" w:rsidRDefault="00960B45" w:rsidP="00960B45">
      <w:pPr>
        <w:spacing w:line="360" w:lineRule="auto"/>
        <w:jc w:val="both"/>
        <w:rPr>
          <w:rFonts w:ascii="Palatino Linotype" w:eastAsiaTheme="minorHAnsi" w:hAnsi="Palatino Linotype" w:cstheme="minorBidi"/>
          <w:lang w:val="es-MX" w:eastAsia="en-US"/>
        </w:rPr>
      </w:pPr>
    </w:p>
    <w:p w:rsidR="00960B45" w:rsidRPr="00843DDC" w:rsidRDefault="00960B45" w:rsidP="00960B45">
      <w:pPr>
        <w:spacing w:line="360" w:lineRule="auto"/>
        <w:jc w:val="both"/>
        <w:rPr>
          <w:rFonts w:ascii="Palatino Linotype" w:eastAsiaTheme="minorHAnsi" w:hAnsi="Palatino Linotype" w:cstheme="minorBidi"/>
          <w:lang w:val="es-MX" w:eastAsia="en-US"/>
        </w:rPr>
      </w:pPr>
      <w:r w:rsidRPr="00843DDC">
        <w:rPr>
          <w:rFonts w:ascii="Palatino Linotype" w:eastAsiaTheme="minorHAnsi" w:hAnsi="Palatino Linotype" w:cstheme="minorBidi"/>
          <w:lang w:val="es-MX" w:eastAsia="en-US"/>
        </w:rPr>
        <w:t>Finalmente, se exhorta al Sujeto Obligado cumpla con su obligación de proteger y garantizar el derecho humano de acceso a la información pública de los solicitantes.</w:t>
      </w:r>
    </w:p>
    <w:p w:rsidR="00960B45" w:rsidRPr="00843DDC" w:rsidRDefault="00960B45" w:rsidP="00960B45">
      <w:pPr>
        <w:spacing w:line="360" w:lineRule="auto"/>
        <w:jc w:val="both"/>
        <w:rPr>
          <w:rFonts w:ascii="Palatino Linotype" w:eastAsia="Calibri" w:hAnsi="Palatino Linotype" w:cs="Arial"/>
          <w:color w:val="000000"/>
          <w:lang w:val="es-ES_tradnl" w:eastAsia="es-MX"/>
        </w:rPr>
      </w:pPr>
    </w:p>
    <w:p w:rsidR="00960B45" w:rsidRPr="00843DDC" w:rsidRDefault="00960B45" w:rsidP="00960B45">
      <w:pPr>
        <w:spacing w:line="360" w:lineRule="auto"/>
        <w:jc w:val="both"/>
        <w:rPr>
          <w:rFonts w:ascii="Palatino Linotype" w:eastAsia="Calibri" w:hAnsi="Palatino Linotype" w:cs="Arial"/>
          <w:color w:val="000000"/>
          <w:lang w:val="es-ES_tradnl" w:eastAsia="es-MX"/>
        </w:rPr>
      </w:pPr>
      <w:r w:rsidRPr="00843DDC">
        <w:rPr>
          <w:rFonts w:ascii="Palatino Linotype" w:eastAsia="Calibri" w:hAnsi="Palatino Linotype" w:cs="Arial"/>
          <w:color w:val="000000"/>
          <w:lang w:val="es-ES_tradnl" w:eastAsia="es-MX"/>
        </w:rPr>
        <w:t xml:space="preserve">Por su parte, el artículo 18 de la </w:t>
      </w:r>
      <w:r w:rsidRPr="00843DDC">
        <w:rPr>
          <w:rFonts w:ascii="Palatino Linotype" w:hAnsi="Palatino Linotype" w:cs="Arial"/>
          <w:bCs/>
        </w:rPr>
        <w:t>Ley de Transparencia y Acceso a la Información Pública del Estado de México y Municipios, establece que los Sujetos Obligados deberán documentar todo acto que derive de las funciones, facultades y competencias, tal como se transcribe:</w:t>
      </w:r>
    </w:p>
    <w:p w:rsidR="00960B45" w:rsidRPr="00843DDC" w:rsidRDefault="00960B45" w:rsidP="00960B45">
      <w:pPr>
        <w:ind w:left="567" w:right="567"/>
        <w:jc w:val="both"/>
        <w:rPr>
          <w:rFonts w:ascii="Palatino Linotype" w:eastAsia="Calibri" w:hAnsi="Palatino Linotype" w:cs="Arial"/>
          <w:i/>
          <w:color w:val="000000"/>
          <w:sz w:val="2"/>
          <w:lang w:val="es-ES_tradnl" w:eastAsia="es-MX"/>
        </w:rPr>
      </w:pPr>
    </w:p>
    <w:p w:rsidR="00960B45" w:rsidRPr="00843DDC" w:rsidRDefault="00960B45" w:rsidP="00960B45">
      <w:pPr>
        <w:rPr>
          <w:rFonts w:ascii="Palatino Linotype" w:hAnsi="Palatino Linotype" w:cs="Arial"/>
          <w:noProof/>
          <w:color w:val="000000"/>
          <w:lang w:eastAsia="es-MX"/>
        </w:rPr>
      </w:pPr>
    </w:p>
    <w:p w:rsidR="00960B45" w:rsidRPr="00843DDC" w:rsidRDefault="00960B45" w:rsidP="00960B45">
      <w:pPr>
        <w:ind w:left="851" w:right="851"/>
        <w:jc w:val="both"/>
        <w:rPr>
          <w:rFonts w:ascii="Palatino Linotype" w:hAnsi="Palatino Linotype"/>
          <w:b/>
          <w:i/>
          <w:u w:val="single"/>
        </w:rPr>
      </w:pPr>
      <w:r w:rsidRPr="00843DDC">
        <w:rPr>
          <w:rFonts w:ascii="Palatino Linotype" w:hAnsi="Palatino Linotype"/>
          <w:b/>
          <w:i/>
          <w:u w:val="single"/>
        </w:rPr>
        <w:t>Artículo 18. Los sujetos obligados deberán documentar todo acto que derive del ejercicio de sus facultades, competencias o funciones, considerando desde su origen la eventual publicidad y reutilización de la información que generen.</w:t>
      </w:r>
    </w:p>
    <w:p w:rsidR="00960B45" w:rsidRPr="00843DDC" w:rsidRDefault="00960B45" w:rsidP="00960B45">
      <w:pPr>
        <w:spacing w:line="360" w:lineRule="auto"/>
        <w:jc w:val="both"/>
        <w:rPr>
          <w:rFonts w:ascii="Palatino Linotype" w:hAnsi="Palatino Linotype"/>
          <w:color w:val="000000"/>
        </w:rPr>
      </w:pPr>
    </w:p>
    <w:p w:rsidR="00960B45" w:rsidRPr="00843DDC" w:rsidRDefault="00960B45" w:rsidP="00960B45">
      <w:pPr>
        <w:spacing w:line="360" w:lineRule="auto"/>
        <w:jc w:val="both"/>
        <w:rPr>
          <w:rFonts w:ascii="Palatino Linotype" w:hAnsi="Palatino Linotype"/>
          <w:color w:val="000000"/>
        </w:rPr>
      </w:pPr>
      <w:r w:rsidRPr="00843DDC">
        <w:rPr>
          <w:rFonts w:ascii="Palatino Linotype" w:hAnsi="Palatino Linotype"/>
          <w:color w:val="000000"/>
        </w:rPr>
        <w:lastRenderedPageBreak/>
        <w:t>Ahora bien,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rsidR="00960B45" w:rsidRPr="00843DDC" w:rsidRDefault="00960B45" w:rsidP="00960B45">
      <w:pPr>
        <w:spacing w:line="360" w:lineRule="auto"/>
        <w:jc w:val="both"/>
        <w:rPr>
          <w:rFonts w:ascii="Palatino Linotype" w:hAnsi="Palatino Linotype"/>
          <w:color w:val="000000"/>
        </w:rPr>
      </w:pPr>
    </w:p>
    <w:p w:rsidR="00960B45" w:rsidRPr="00843DDC" w:rsidRDefault="00960B45" w:rsidP="00960B45">
      <w:pPr>
        <w:ind w:left="567" w:right="567"/>
        <w:jc w:val="both"/>
        <w:rPr>
          <w:rFonts w:ascii="Palatino Linotype" w:hAnsi="Palatino Linotype"/>
          <w:b/>
          <w:i/>
        </w:rPr>
      </w:pPr>
      <w:r w:rsidRPr="00843DDC">
        <w:rPr>
          <w:rFonts w:ascii="Palatino Linotype" w:hAnsi="Palatino Linotype"/>
          <w:b/>
          <w:i/>
        </w:rPr>
        <w:t>Artículo 6</w:t>
      </w:r>
    </w:p>
    <w:p w:rsidR="00960B45" w:rsidRPr="00843DDC" w:rsidRDefault="00960B45" w:rsidP="00960B45">
      <w:pPr>
        <w:ind w:left="567" w:right="567"/>
        <w:jc w:val="both"/>
        <w:rPr>
          <w:rFonts w:ascii="Palatino Linotype" w:hAnsi="Palatino Linotype"/>
          <w:i/>
        </w:rPr>
      </w:pPr>
      <w:r w:rsidRPr="00843DDC">
        <w:rPr>
          <w:rFonts w:ascii="Palatino Linotype" w:hAnsi="Palatino Linotype"/>
          <w:i/>
        </w:rPr>
        <w:t>…</w:t>
      </w:r>
    </w:p>
    <w:p w:rsidR="00960B45" w:rsidRPr="00843DDC" w:rsidRDefault="00960B45" w:rsidP="00960B45">
      <w:pPr>
        <w:ind w:left="567" w:right="567"/>
        <w:jc w:val="both"/>
        <w:rPr>
          <w:rFonts w:ascii="Palatino Linotype" w:hAnsi="Palatino Linotype"/>
          <w:i/>
        </w:rPr>
      </w:pPr>
      <w:r w:rsidRPr="00843DDC">
        <w:rPr>
          <w:rFonts w:ascii="Palatino Linotype" w:hAnsi="Palatino Linotype"/>
          <w:i/>
        </w:rPr>
        <w:t>Para el ejercicio del derecho de acceso a la información, la Federación, los Estados y el Distrito Federal, en el ámbito de sus respectivas competencias, se regirán por los siguientes principios y bases:</w:t>
      </w:r>
    </w:p>
    <w:p w:rsidR="00960B45" w:rsidRPr="00843DDC" w:rsidRDefault="00960B45" w:rsidP="00960B45">
      <w:pPr>
        <w:ind w:left="567" w:right="567"/>
        <w:jc w:val="both"/>
        <w:rPr>
          <w:rFonts w:ascii="Palatino Linotype" w:hAnsi="Palatino Linotype"/>
          <w:i/>
        </w:rPr>
      </w:pPr>
    </w:p>
    <w:p w:rsidR="00960B45" w:rsidRPr="00843DDC" w:rsidRDefault="00960B45" w:rsidP="00960B45">
      <w:pPr>
        <w:numPr>
          <w:ilvl w:val="0"/>
          <w:numId w:val="4"/>
        </w:numPr>
        <w:ind w:left="993" w:right="567"/>
        <w:jc w:val="both"/>
        <w:rPr>
          <w:rFonts w:ascii="Palatino Linotype" w:hAnsi="Palatino Linotype"/>
          <w:i/>
        </w:rPr>
      </w:pPr>
      <w:r w:rsidRPr="00843DDC">
        <w:rPr>
          <w:rFonts w:ascii="Palatino Linotype" w:hAnsi="Palatino Linotype"/>
          <w:i/>
        </w:rPr>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rsidR="00960B45" w:rsidRPr="00843DDC" w:rsidRDefault="00960B45" w:rsidP="00960B45">
      <w:pPr>
        <w:spacing w:line="360" w:lineRule="auto"/>
        <w:jc w:val="both"/>
        <w:rPr>
          <w:rFonts w:ascii="Palatino Linotype" w:hAnsi="Palatino Linotype"/>
        </w:rPr>
      </w:pPr>
    </w:p>
    <w:p w:rsidR="00960B45" w:rsidRPr="00843DDC" w:rsidRDefault="00960B45" w:rsidP="00960B45">
      <w:pPr>
        <w:spacing w:line="360" w:lineRule="auto"/>
        <w:jc w:val="both"/>
        <w:rPr>
          <w:rFonts w:ascii="Palatino Linotype" w:hAnsi="Palatino Linotype" w:cs="Arial"/>
        </w:rPr>
      </w:pPr>
      <w:r w:rsidRPr="00843DDC">
        <w:rPr>
          <w:rFonts w:ascii="Palatino Linotype" w:hAnsi="Palatino Linotype" w:cs="Arial"/>
        </w:rPr>
        <w:lastRenderedPageBreak/>
        <w:t xml:space="preserve">Por otro lado, en atención a lo dispuesto por los artículos 3, fracción XI, 8 y 12 </w:t>
      </w:r>
      <w:r w:rsidRPr="00843DDC">
        <w:rPr>
          <w:rFonts w:ascii="Palatino Linotype" w:hAnsi="Palatino Linotype" w:cs="Arial"/>
          <w:bCs/>
        </w:rPr>
        <w:t>de la Ley de Transparencia y Acceso a la Información Pública del Estado de México y Municipios</w:t>
      </w:r>
      <w:r w:rsidRPr="00843DDC">
        <w:rPr>
          <w:rFonts w:ascii="Palatino Linotype" w:hAnsi="Palatino Linotype" w:cs="Arial"/>
        </w:rPr>
        <w:t>, los cuales son del tenor literal siguiente:</w:t>
      </w:r>
    </w:p>
    <w:p w:rsidR="00960B45" w:rsidRPr="00843DDC" w:rsidRDefault="00960B45" w:rsidP="00960B45">
      <w:pPr>
        <w:ind w:left="567" w:right="567"/>
        <w:jc w:val="both"/>
        <w:rPr>
          <w:rFonts w:ascii="Palatino Linotype" w:hAnsi="Palatino Linotype"/>
        </w:rPr>
      </w:pPr>
    </w:p>
    <w:p w:rsidR="00960B45" w:rsidRPr="00843DDC" w:rsidRDefault="00960B45" w:rsidP="00960B45">
      <w:pPr>
        <w:ind w:left="851" w:right="851"/>
        <w:jc w:val="both"/>
        <w:rPr>
          <w:rFonts w:ascii="Palatino Linotype" w:hAnsi="Palatino Linotype"/>
          <w:i/>
        </w:rPr>
      </w:pPr>
      <w:r w:rsidRPr="00843DDC">
        <w:rPr>
          <w:rFonts w:ascii="Palatino Linotype" w:hAnsi="Palatino Linotype"/>
          <w:b/>
          <w:bCs/>
          <w:i/>
        </w:rPr>
        <w:t xml:space="preserve">Artículo 3.- </w:t>
      </w:r>
      <w:r w:rsidRPr="00843DDC">
        <w:rPr>
          <w:rFonts w:ascii="Palatino Linotype" w:hAnsi="Palatino Linotype"/>
          <w:i/>
        </w:rPr>
        <w:t>Para los efectos de la presente Ley se entenderá por:</w:t>
      </w:r>
    </w:p>
    <w:p w:rsidR="00960B45" w:rsidRPr="00843DDC" w:rsidRDefault="00960B45" w:rsidP="00960B45">
      <w:pPr>
        <w:ind w:left="851" w:right="851"/>
        <w:jc w:val="both"/>
        <w:rPr>
          <w:rFonts w:ascii="Palatino Linotype" w:hAnsi="Palatino Linotype"/>
          <w:i/>
        </w:rPr>
      </w:pPr>
      <w:r w:rsidRPr="00843DDC">
        <w:rPr>
          <w:rFonts w:ascii="Palatino Linotype" w:hAnsi="Palatino Linotype"/>
          <w:i/>
        </w:rPr>
        <w:t>…</w:t>
      </w:r>
    </w:p>
    <w:p w:rsidR="00960B45" w:rsidRPr="00843DDC" w:rsidRDefault="00960B45" w:rsidP="00960B45">
      <w:pPr>
        <w:ind w:left="851" w:right="851"/>
        <w:jc w:val="both"/>
        <w:rPr>
          <w:rFonts w:ascii="Palatino Linotype" w:hAnsi="Palatino Linotype"/>
          <w:i/>
        </w:rPr>
      </w:pPr>
      <w:r w:rsidRPr="00843DDC">
        <w:rPr>
          <w:rFonts w:ascii="Palatino Linotype" w:hAnsi="Palatino Linotype"/>
          <w:b/>
          <w:i/>
        </w:rPr>
        <w:t>XI.</w:t>
      </w:r>
      <w:r w:rsidRPr="00843DDC">
        <w:rPr>
          <w:rFonts w:ascii="Palatino Linotype" w:hAnsi="Palatino Linotype"/>
          <w:i/>
        </w:rPr>
        <w:t xml:space="preserve"> </w:t>
      </w:r>
      <w:r w:rsidRPr="00843DDC">
        <w:rPr>
          <w:rFonts w:ascii="Palatino Linotype" w:hAnsi="Palatino Linotype"/>
          <w:b/>
          <w:i/>
        </w:rPr>
        <w:t>Documento:</w:t>
      </w:r>
      <w:r w:rsidRPr="00843DDC">
        <w:rPr>
          <w:rFonts w:ascii="Palatino Linotype" w:hAnsi="Palatino Linotype"/>
          <w:i/>
        </w:rPr>
        <w:t xml:space="preserve"> Los expedientes, reportes, estudios, actas, resoluciones, oficios, correspondencia, acuerdos, directivas, directrices, circulares, contratos, convenios, instructivos, notas, memorandos, estadísticas o bien, </w:t>
      </w:r>
      <w:r w:rsidRPr="00843DDC">
        <w:rPr>
          <w:rFonts w:ascii="Palatino Linotype" w:hAnsi="Palatino Linotype"/>
          <w:b/>
          <w:i/>
          <w:u w:val="single"/>
        </w:rPr>
        <w:t>cualquier otro registro que documente el ejercicio de las facultades, funciones y competencias de los sujetos obligados, sus servidores públicos e integrantes, sin importar su fuente o fecha de elaboración.</w:t>
      </w:r>
      <w:r w:rsidRPr="00843DDC">
        <w:rPr>
          <w:rFonts w:ascii="Palatino Linotype" w:hAnsi="Palatino Linotype"/>
          <w:i/>
        </w:rPr>
        <w:t xml:space="preserve"> Los documentos podrán estar en cualquier medio, sea escrito, impreso, sonoro, visual, electrónico, informático u holográfico;</w:t>
      </w:r>
    </w:p>
    <w:p w:rsidR="00960B45" w:rsidRPr="00843DDC" w:rsidRDefault="00960B45" w:rsidP="00960B45">
      <w:pPr>
        <w:ind w:left="851" w:right="851"/>
        <w:jc w:val="both"/>
        <w:rPr>
          <w:rFonts w:ascii="Palatino Linotype" w:hAnsi="Palatino Linotype"/>
          <w:i/>
        </w:rPr>
      </w:pPr>
    </w:p>
    <w:p w:rsidR="00960B45" w:rsidRPr="00843DDC" w:rsidRDefault="00960B45" w:rsidP="00960B45">
      <w:pPr>
        <w:ind w:left="851" w:right="851"/>
        <w:jc w:val="both"/>
        <w:rPr>
          <w:rFonts w:ascii="Palatino Linotype" w:hAnsi="Palatino Linotype"/>
          <w:bCs/>
          <w:i/>
        </w:rPr>
      </w:pPr>
      <w:r w:rsidRPr="00843DDC">
        <w:rPr>
          <w:rFonts w:ascii="Palatino Linotype" w:hAnsi="Palatino Linotype"/>
          <w:b/>
          <w:bCs/>
          <w:i/>
        </w:rPr>
        <w:t>Artículo 4.</w:t>
      </w:r>
      <w:r w:rsidRPr="00843DDC">
        <w:rPr>
          <w:rFonts w:ascii="Palatino Linotype" w:hAnsi="Palatino Linotype"/>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rsidR="00960B45" w:rsidRPr="00843DDC" w:rsidRDefault="00960B45" w:rsidP="00960B45">
      <w:pPr>
        <w:ind w:left="851" w:right="851"/>
        <w:jc w:val="both"/>
        <w:rPr>
          <w:rFonts w:ascii="Palatino Linotype" w:hAnsi="Palatino Linotype"/>
          <w:bCs/>
          <w:i/>
        </w:rPr>
      </w:pPr>
    </w:p>
    <w:p w:rsidR="00960B45" w:rsidRPr="00843DDC" w:rsidRDefault="00960B45" w:rsidP="00960B45">
      <w:pPr>
        <w:ind w:left="851" w:right="851"/>
        <w:jc w:val="both"/>
        <w:rPr>
          <w:rFonts w:ascii="Palatino Linotype" w:hAnsi="Palatino Linotype"/>
          <w:bCs/>
          <w:i/>
        </w:rPr>
      </w:pPr>
      <w:r w:rsidRPr="00843DDC">
        <w:rPr>
          <w:rFonts w:ascii="Palatino Linotype" w:hAnsi="Palatino Linotype"/>
          <w:b/>
          <w:bCs/>
          <w:i/>
          <w:u w:val="single"/>
        </w:rPr>
        <w:t>Toda la información generada, obtenida, adquirida, transformada, administrada o en posesión de los sujetos obligados es pública y accesible de manera permanente a cualquier persona,</w:t>
      </w:r>
      <w:r w:rsidRPr="00843DDC">
        <w:rPr>
          <w:rFonts w:ascii="Palatino Linotype" w:hAnsi="Palatino Linotype"/>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rsidR="00960B45" w:rsidRPr="00843DDC" w:rsidRDefault="00960B45" w:rsidP="00960B45">
      <w:pPr>
        <w:ind w:left="851" w:right="851"/>
        <w:jc w:val="both"/>
        <w:rPr>
          <w:rFonts w:ascii="Palatino Linotype" w:hAnsi="Palatino Linotype"/>
          <w:bCs/>
          <w:i/>
        </w:rPr>
      </w:pPr>
    </w:p>
    <w:p w:rsidR="00960B45" w:rsidRPr="00843DDC" w:rsidRDefault="00960B45" w:rsidP="00960B45">
      <w:pPr>
        <w:ind w:left="851" w:right="851"/>
        <w:jc w:val="both"/>
        <w:rPr>
          <w:rFonts w:ascii="Palatino Linotype" w:hAnsi="Palatino Linotype"/>
          <w:bCs/>
          <w:i/>
        </w:rPr>
      </w:pPr>
      <w:r w:rsidRPr="00843DDC">
        <w:rPr>
          <w:rFonts w:ascii="Palatino Linotype" w:hAnsi="Palatino Linotype"/>
          <w:bCs/>
          <w:i/>
        </w:rPr>
        <w:t>Los sujetos obligados deben poner en práctica, políticas y programas de acceso a la información que se apeguen a criterios de publicidad, veracidad, oportunidad, precisión y suficiencia en beneficio de los solicitantes.</w:t>
      </w:r>
    </w:p>
    <w:p w:rsidR="00960B45" w:rsidRPr="00843DDC" w:rsidRDefault="00960B45" w:rsidP="00960B45">
      <w:pPr>
        <w:ind w:left="851" w:right="851"/>
        <w:jc w:val="both"/>
        <w:rPr>
          <w:rFonts w:ascii="Palatino Linotype" w:hAnsi="Palatino Linotype"/>
          <w:bCs/>
          <w:i/>
        </w:rPr>
      </w:pPr>
    </w:p>
    <w:p w:rsidR="00960B45" w:rsidRPr="00843DDC" w:rsidRDefault="00960B45" w:rsidP="00960B45">
      <w:pPr>
        <w:ind w:left="851" w:right="851"/>
        <w:jc w:val="both"/>
        <w:rPr>
          <w:rFonts w:ascii="Palatino Linotype" w:hAnsi="Palatino Linotype"/>
          <w:i/>
        </w:rPr>
      </w:pPr>
      <w:r w:rsidRPr="00843DDC">
        <w:rPr>
          <w:rFonts w:ascii="Palatino Linotype" w:hAnsi="Palatino Linotype"/>
          <w:b/>
          <w:i/>
        </w:rPr>
        <w:lastRenderedPageBreak/>
        <w:t>Artículo 12.</w:t>
      </w:r>
      <w:r w:rsidRPr="00843DDC">
        <w:rPr>
          <w:rFonts w:ascii="Palatino Linotype" w:hAnsi="Palatino Linotype"/>
          <w:i/>
        </w:rPr>
        <w:t xml:space="preserve"> Quienes generen, recopilen, administren, manejen, procesen, archiven o conserven información pública serán responsables de la misma en los términos de las disposiciones jurídicas aplicables.</w:t>
      </w:r>
    </w:p>
    <w:p w:rsidR="00960B45" w:rsidRPr="00843DDC" w:rsidRDefault="00960B45" w:rsidP="00960B45">
      <w:pPr>
        <w:ind w:left="851" w:right="851"/>
        <w:jc w:val="both"/>
        <w:rPr>
          <w:rFonts w:ascii="Palatino Linotype" w:hAnsi="Palatino Linotype"/>
          <w:i/>
        </w:rPr>
      </w:pPr>
    </w:p>
    <w:p w:rsidR="00960B45" w:rsidRPr="00843DDC" w:rsidRDefault="00960B45" w:rsidP="00960B45">
      <w:pPr>
        <w:ind w:left="851" w:right="851"/>
        <w:jc w:val="both"/>
        <w:rPr>
          <w:rFonts w:ascii="Palatino Linotype" w:hAnsi="Palatino Linotype"/>
          <w:i/>
        </w:rPr>
      </w:pPr>
      <w:r w:rsidRPr="00843DDC">
        <w:rPr>
          <w:rFonts w:ascii="Palatino Linotype" w:hAnsi="Palatino Linotype"/>
          <w:i/>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960B45" w:rsidRPr="00843DDC" w:rsidRDefault="00960B45" w:rsidP="00960B45">
      <w:pPr>
        <w:jc w:val="both"/>
        <w:rPr>
          <w:rFonts w:ascii="Palatino Linotype" w:hAnsi="Palatino Linotype"/>
        </w:rPr>
      </w:pPr>
    </w:p>
    <w:p w:rsidR="00960B45" w:rsidRPr="00843DDC" w:rsidRDefault="00960B45" w:rsidP="00960B45">
      <w:pPr>
        <w:spacing w:line="360" w:lineRule="auto"/>
        <w:jc w:val="both"/>
        <w:rPr>
          <w:rFonts w:ascii="Palatino Linotype" w:eastAsia="Calibri" w:hAnsi="Palatino Linotype" w:cs="Arial"/>
          <w:color w:val="000000"/>
          <w:lang w:val="es-ES_tradnl" w:eastAsia="es-MX"/>
        </w:rPr>
      </w:pPr>
    </w:p>
    <w:p w:rsidR="00960B45" w:rsidRPr="00843DDC" w:rsidRDefault="00960B45" w:rsidP="00960B45">
      <w:pPr>
        <w:spacing w:line="360" w:lineRule="auto"/>
        <w:jc w:val="both"/>
        <w:rPr>
          <w:rFonts w:ascii="Palatino Linotype" w:eastAsia="Calibri" w:hAnsi="Palatino Linotype" w:cs="Arial"/>
          <w:color w:val="000000"/>
          <w:lang w:val="es-ES_tradnl" w:eastAsia="es-MX"/>
        </w:rPr>
      </w:pPr>
      <w:r w:rsidRPr="00843DDC">
        <w:rPr>
          <w:rFonts w:ascii="Palatino Linotype" w:eastAsia="Calibri" w:hAnsi="Palatino Linotype" w:cs="Arial"/>
          <w:color w:val="000000"/>
          <w:lang w:val="es-ES_tradnl" w:eastAsia="es-MX"/>
        </w:rPr>
        <w:t>En síntesis, el derecho de acceso a la información pública se satisface en aquellos casos en que se entregue el soporte documental en que conste la información pública, toda vez que, los Sujetos Obligados</w:t>
      </w:r>
      <w:r w:rsidRPr="00843DDC">
        <w:rPr>
          <w:rFonts w:ascii="Palatino Linotype" w:eastAsia="Calibri" w:hAnsi="Palatino Linotype" w:cs="Arial"/>
          <w:b/>
          <w:color w:val="000000"/>
          <w:lang w:val="es-ES_tradnl" w:eastAsia="es-MX"/>
        </w:rPr>
        <w:t xml:space="preserve"> </w:t>
      </w:r>
      <w:r w:rsidRPr="00843DDC">
        <w:rPr>
          <w:rFonts w:ascii="Palatino Linotype" w:eastAsia="Calibri" w:hAnsi="Palatino Linotype" w:cs="Arial"/>
          <w:color w:val="000000"/>
          <w:lang w:val="es-ES_tradnl" w:eastAsia="es-MX"/>
        </w:rPr>
        <w:t xml:space="preserve">no tienen el deber de generar, poseer o administrar la información pública con el grado de detalle solicitado; esto es, que no tienen el deber de generar un documento </w:t>
      </w:r>
      <w:r w:rsidRPr="00843DDC">
        <w:rPr>
          <w:rFonts w:ascii="Palatino Linotype" w:eastAsia="Calibri" w:hAnsi="Palatino Linotype" w:cs="Arial"/>
          <w:i/>
          <w:color w:val="000000"/>
          <w:lang w:val="es-ES_tradnl" w:eastAsia="es-MX"/>
        </w:rPr>
        <w:t>ad hoc</w:t>
      </w:r>
      <w:r w:rsidRPr="00843DDC">
        <w:rPr>
          <w:rFonts w:ascii="Palatino Linotype" w:eastAsia="Calibri" w:hAnsi="Palatino Linotype" w:cs="Arial"/>
          <w:color w:val="000000"/>
          <w:lang w:val="es-ES_tradnl" w:eastAsia="es-MX"/>
        </w:rPr>
        <w:t>, para satisfacer el derecho de acceso a la información pública.</w:t>
      </w:r>
    </w:p>
    <w:p w:rsidR="00960B45" w:rsidRPr="00843DDC" w:rsidRDefault="00960B45" w:rsidP="00960B45">
      <w:pPr>
        <w:spacing w:line="360" w:lineRule="auto"/>
        <w:jc w:val="both"/>
        <w:rPr>
          <w:rFonts w:ascii="Palatino Linotype" w:eastAsia="Calibri" w:hAnsi="Palatino Linotype" w:cs="Arial"/>
          <w:color w:val="000000"/>
          <w:lang w:val="es-ES_tradnl" w:eastAsia="es-MX"/>
        </w:rPr>
      </w:pPr>
    </w:p>
    <w:p w:rsidR="00960B45" w:rsidRPr="00843DDC" w:rsidRDefault="00960B45" w:rsidP="00960B45">
      <w:pPr>
        <w:spacing w:line="360" w:lineRule="auto"/>
        <w:jc w:val="both"/>
        <w:rPr>
          <w:rFonts w:ascii="Palatino Linotype" w:hAnsi="Palatino Linotype" w:cs="Arial"/>
          <w:noProof/>
          <w:color w:val="000000"/>
          <w:lang w:eastAsia="es-MX"/>
        </w:rPr>
      </w:pPr>
      <w:r w:rsidRPr="00843DDC">
        <w:rPr>
          <w:rFonts w:ascii="Palatino Linotype" w:hAnsi="Palatino Linotype" w:cs="Arial"/>
          <w:noProof/>
          <w:color w:val="000000"/>
          <w:lang w:eastAsia="es-MX"/>
        </w:rPr>
        <w:t xml:space="preserve">Con base en lo anteriormente expuesto, se arriba a la conclusión de que la respuesta del </w:t>
      </w:r>
      <w:r w:rsidRPr="00843DDC">
        <w:rPr>
          <w:rFonts w:ascii="Palatino Linotype" w:hAnsi="Palatino Linotype" w:cs="Arial"/>
          <w:b/>
          <w:noProof/>
          <w:color w:val="000000"/>
          <w:lang w:eastAsia="es-MX"/>
        </w:rPr>
        <w:t xml:space="preserve">Sujeto Obligado </w:t>
      </w:r>
      <w:r w:rsidRPr="00843DDC">
        <w:rPr>
          <w:rFonts w:ascii="Palatino Linotype" w:hAnsi="Palatino Linotype" w:cs="Arial"/>
          <w:noProof/>
          <w:color w:val="000000"/>
          <w:lang w:eastAsia="es-MX"/>
        </w:rPr>
        <w:t>no</w:t>
      </w:r>
      <w:r w:rsidRPr="00843DDC">
        <w:rPr>
          <w:rFonts w:ascii="Palatino Linotype" w:hAnsi="Palatino Linotype" w:cs="Arial"/>
          <w:b/>
          <w:noProof/>
          <w:color w:val="000000"/>
          <w:lang w:eastAsia="es-MX"/>
        </w:rPr>
        <w:t xml:space="preserve"> </w:t>
      </w:r>
      <w:r w:rsidRPr="00843DDC">
        <w:rPr>
          <w:rFonts w:ascii="Palatino Linotype" w:hAnsi="Palatino Linotype" w:cs="Arial"/>
          <w:noProof/>
          <w:color w:val="000000"/>
          <w:lang w:eastAsia="es-MX"/>
        </w:rPr>
        <w:t xml:space="preserve">colmó el derecho de acceso a la información ejercido por el particular. </w:t>
      </w:r>
    </w:p>
    <w:p w:rsidR="00960B45" w:rsidRPr="00843DDC" w:rsidRDefault="00960B45" w:rsidP="00960B45">
      <w:pPr>
        <w:spacing w:line="360" w:lineRule="auto"/>
        <w:jc w:val="both"/>
        <w:rPr>
          <w:rFonts w:ascii="Palatino Linotype" w:hAnsi="Palatino Linotype" w:cs="Arial"/>
          <w:noProof/>
          <w:color w:val="000000"/>
          <w:lang w:eastAsia="es-MX"/>
        </w:rPr>
      </w:pPr>
      <w:r w:rsidRPr="00843DDC">
        <w:rPr>
          <w:rFonts w:ascii="Palatino Linotype" w:hAnsi="Palatino Linotype" w:cs="Arial"/>
          <w:noProof/>
          <w:color w:val="000000"/>
          <w:lang w:eastAsia="es-MX"/>
        </w:rPr>
        <w:t xml:space="preserve"> </w:t>
      </w:r>
    </w:p>
    <w:p w:rsidR="00E87D7E" w:rsidRPr="00843DDC" w:rsidRDefault="00E87D7E" w:rsidP="00E87D7E">
      <w:pPr>
        <w:spacing w:line="360" w:lineRule="auto"/>
        <w:jc w:val="both"/>
        <w:rPr>
          <w:rFonts w:ascii="Palatino Linotype" w:hAnsi="Palatino Linotype" w:cs="Palatino Linotype"/>
          <w:b/>
          <w:i/>
          <w:color w:val="000000"/>
          <w:sz w:val="28"/>
        </w:rPr>
      </w:pPr>
      <w:r w:rsidRPr="00843DDC">
        <w:rPr>
          <w:rFonts w:ascii="Palatino Linotype" w:hAnsi="Palatino Linotype" w:cs="Palatino Linotype"/>
          <w:b/>
          <w:i/>
          <w:color w:val="000000"/>
          <w:sz w:val="28"/>
        </w:rPr>
        <w:t xml:space="preserve">De la Versión Pública </w:t>
      </w:r>
    </w:p>
    <w:p w:rsidR="00E87D7E" w:rsidRPr="00843DDC" w:rsidRDefault="00E87D7E" w:rsidP="00E87D7E">
      <w:pPr>
        <w:tabs>
          <w:tab w:val="left" w:pos="7938"/>
        </w:tabs>
        <w:spacing w:before="240" w:after="240" w:line="360" w:lineRule="auto"/>
        <w:jc w:val="both"/>
        <w:rPr>
          <w:rFonts w:ascii="Palatino Linotype" w:eastAsia="Arial Unicode MS" w:hAnsi="Palatino Linotype" w:cs="Arial"/>
          <w:lang w:val="es-ES_tradnl" w:eastAsia="es-MX"/>
        </w:rPr>
      </w:pPr>
      <w:r w:rsidRPr="00843DDC">
        <w:rPr>
          <w:rFonts w:ascii="Palatino Linotype" w:eastAsia="Arial Unicode MS" w:hAnsi="Palatino Linotype" w:cs="Arial"/>
          <w:lang w:val="es-ES_tradnl" w:eastAsia="es-MX"/>
        </w:rPr>
        <w:t xml:space="preserve">No pasa desapercibido que la información podría contener información susceptible de clasificar, por lo cual, dicha información debe ser clasificada para no vulnerar un derecho intangible. Aunado a que de ser en caso de contar con otra información consistente en datos personales, deberá generarse una versión pública, tal excepción a </w:t>
      </w:r>
      <w:r w:rsidRPr="00843DDC">
        <w:rPr>
          <w:rFonts w:ascii="Palatino Linotype" w:eastAsia="Arial Unicode MS" w:hAnsi="Palatino Linotype" w:cs="Arial"/>
          <w:lang w:val="es-ES_tradnl" w:eastAsia="es-MX"/>
        </w:rPr>
        <w:lastRenderedPageBreak/>
        <w:t>la publicidad, atiende a la coexistencia de datos públicos e información que tenga el carácter de confidencial (datos personales) o reservada, por lo que debe privilegiarse el acceso a la información bajo el principio de máxima divulgación, empero sin violar el derecho a la protección de datos personales, cuyo fundamento legal aplicable se encuentra inmerso en los numerales de la Ley de la materia, que a la letra esgrimen:</w:t>
      </w:r>
    </w:p>
    <w:p w:rsidR="00E87D7E" w:rsidRPr="00843DDC" w:rsidRDefault="00E87D7E" w:rsidP="00E87D7E">
      <w:pPr>
        <w:spacing w:before="240" w:line="360" w:lineRule="auto"/>
        <w:ind w:left="851" w:right="851"/>
        <w:jc w:val="both"/>
        <w:rPr>
          <w:rFonts w:ascii="Palatino Linotype" w:eastAsia="Calibri" w:hAnsi="Palatino Linotype" w:cs="Arial"/>
          <w:i/>
          <w:lang w:val="es-ES_tradnl" w:eastAsia="es-MX"/>
        </w:rPr>
      </w:pPr>
      <w:r w:rsidRPr="00843DDC">
        <w:rPr>
          <w:rFonts w:ascii="Palatino Linotype" w:eastAsia="Calibri" w:hAnsi="Palatino Linotype" w:cs="Arial"/>
          <w:i/>
          <w:lang w:val="es-ES_tradnl" w:eastAsia="es-MX"/>
        </w:rPr>
        <w:t>“Artículo 3. Para los efectos de la presente Ley se entenderá por:</w:t>
      </w:r>
    </w:p>
    <w:p w:rsidR="00E87D7E" w:rsidRPr="00843DDC" w:rsidRDefault="00E87D7E" w:rsidP="00E87D7E">
      <w:pPr>
        <w:spacing w:before="240" w:line="360" w:lineRule="auto"/>
        <w:ind w:left="851" w:right="851"/>
        <w:jc w:val="both"/>
        <w:rPr>
          <w:rFonts w:ascii="Palatino Linotype" w:eastAsia="Calibri" w:hAnsi="Palatino Linotype" w:cs="Arial"/>
          <w:i/>
          <w:lang w:val="es-ES_tradnl" w:eastAsia="es-MX"/>
        </w:rPr>
      </w:pPr>
      <w:r w:rsidRPr="00843DDC">
        <w:rPr>
          <w:rFonts w:ascii="Palatino Linotype" w:eastAsia="Calibri" w:hAnsi="Palatino Linotype" w:cs="Arial"/>
          <w:i/>
          <w:lang w:val="es-ES_tradnl" w:eastAsia="es-MX"/>
        </w:rPr>
        <w:t>(…)</w:t>
      </w:r>
    </w:p>
    <w:p w:rsidR="00E87D7E" w:rsidRPr="00843DDC" w:rsidRDefault="00E87D7E" w:rsidP="00E87D7E">
      <w:pPr>
        <w:spacing w:before="240" w:line="360" w:lineRule="auto"/>
        <w:ind w:left="851" w:right="851"/>
        <w:jc w:val="both"/>
        <w:rPr>
          <w:rFonts w:ascii="Palatino Linotype" w:eastAsia="Calibri" w:hAnsi="Palatino Linotype" w:cs="Arial"/>
          <w:b/>
          <w:i/>
          <w:lang w:val="es-ES_tradnl" w:eastAsia="es-MX"/>
        </w:rPr>
      </w:pPr>
      <w:r w:rsidRPr="00843DDC">
        <w:rPr>
          <w:rFonts w:ascii="Palatino Linotype" w:eastAsia="Calibri" w:hAnsi="Palatino Linotype" w:cs="Arial"/>
          <w:b/>
          <w:i/>
          <w:u w:val="single"/>
          <w:lang w:val="es-ES_tradnl" w:eastAsia="es-MX"/>
        </w:rPr>
        <w:t>IX. Datos personales:</w:t>
      </w:r>
      <w:r w:rsidRPr="00843DDC">
        <w:rPr>
          <w:rFonts w:ascii="Palatino Linotype" w:eastAsia="Calibri" w:hAnsi="Palatino Linotype" w:cs="Arial"/>
          <w:b/>
          <w:i/>
          <w:lang w:val="es-ES_tradnl" w:eastAsia="es-MX"/>
        </w:rPr>
        <w:t xml:space="preserve"> </w:t>
      </w:r>
      <w:r w:rsidRPr="00843DDC">
        <w:rPr>
          <w:rFonts w:ascii="Palatino Linotype" w:eastAsia="Calibri" w:hAnsi="Palatino Linotype" w:cs="Arial"/>
          <w:i/>
          <w:lang w:val="es-ES_tradnl" w:eastAsia="es-MX"/>
        </w:rPr>
        <w:t>La información concerniente a una persona, identificada o identificable según lo dispuesto por la Ley de Protección de Datos Personales del Estado de México;</w:t>
      </w:r>
    </w:p>
    <w:p w:rsidR="00E87D7E" w:rsidRPr="00843DDC" w:rsidRDefault="00E87D7E" w:rsidP="00E87D7E">
      <w:pPr>
        <w:spacing w:before="240" w:line="360" w:lineRule="auto"/>
        <w:ind w:left="851" w:right="851"/>
        <w:jc w:val="both"/>
        <w:rPr>
          <w:rFonts w:ascii="Palatino Linotype" w:eastAsia="Calibri" w:hAnsi="Palatino Linotype" w:cs="Arial"/>
          <w:b/>
          <w:i/>
          <w:lang w:val="es-ES_tradnl" w:eastAsia="es-MX"/>
        </w:rPr>
      </w:pPr>
      <w:r w:rsidRPr="00843DDC">
        <w:rPr>
          <w:rFonts w:ascii="Palatino Linotype" w:eastAsia="Calibri" w:hAnsi="Palatino Linotype" w:cs="Arial"/>
          <w:b/>
          <w:i/>
          <w:lang w:val="es-ES_tradnl" w:eastAsia="es-MX"/>
        </w:rPr>
        <w:t>(…)</w:t>
      </w:r>
    </w:p>
    <w:p w:rsidR="00E87D7E" w:rsidRPr="00843DDC" w:rsidRDefault="00E87D7E" w:rsidP="00E87D7E">
      <w:pPr>
        <w:spacing w:before="240" w:line="360" w:lineRule="auto"/>
        <w:ind w:left="851" w:right="851"/>
        <w:jc w:val="both"/>
        <w:rPr>
          <w:rFonts w:ascii="Palatino Linotype" w:eastAsia="Calibri" w:hAnsi="Palatino Linotype" w:cs="Arial"/>
          <w:b/>
          <w:i/>
          <w:lang w:val="es-ES_tradnl" w:eastAsia="es-MX"/>
        </w:rPr>
      </w:pPr>
      <w:r w:rsidRPr="00843DDC">
        <w:rPr>
          <w:rFonts w:ascii="Palatino Linotype" w:eastAsia="Calibri" w:hAnsi="Palatino Linotype" w:cs="Arial"/>
          <w:b/>
          <w:i/>
          <w:u w:val="single"/>
          <w:lang w:val="es-ES_tradnl" w:eastAsia="es-MX"/>
        </w:rPr>
        <w:t>XLV. Versión pública:</w:t>
      </w:r>
      <w:r w:rsidRPr="00843DDC">
        <w:rPr>
          <w:rFonts w:ascii="Palatino Linotype" w:eastAsia="Calibri" w:hAnsi="Palatino Linotype" w:cs="Arial"/>
          <w:b/>
          <w:i/>
          <w:lang w:val="es-ES_tradnl" w:eastAsia="es-MX"/>
        </w:rPr>
        <w:t xml:space="preserve"> </w:t>
      </w:r>
      <w:r w:rsidRPr="00843DDC">
        <w:rPr>
          <w:rFonts w:ascii="Palatino Linotype" w:eastAsia="Calibri" w:hAnsi="Palatino Linotype" w:cs="Arial"/>
          <w:i/>
          <w:lang w:val="es-ES_tradnl" w:eastAsia="es-MX"/>
        </w:rPr>
        <w:t>Documento en el que se elimine, suprime o borra la información clasificada como reservada o confidencial para permitir su acceso.</w:t>
      </w:r>
    </w:p>
    <w:p w:rsidR="00E87D7E" w:rsidRPr="00843DDC" w:rsidRDefault="00E87D7E" w:rsidP="00E87D7E">
      <w:pPr>
        <w:spacing w:before="240" w:line="360" w:lineRule="auto"/>
        <w:ind w:left="851" w:right="851"/>
        <w:jc w:val="both"/>
        <w:rPr>
          <w:rFonts w:ascii="Palatino Linotype" w:eastAsia="Calibri" w:hAnsi="Palatino Linotype" w:cs="Arial"/>
          <w:b/>
          <w:i/>
          <w:lang w:val="es-ES_tradnl" w:eastAsia="es-MX"/>
        </w:rPr>
      </w:pPr>
      <w:r w:rsidRPr="00843DDC">
        <w:rPr>
          <w:rFonts w:ascii="Palatino Linotype" w:eastAsia="Calibri" w:hAnsi="Palatino Linotype" w:cs="Arial"/>
          <w:i/>
          <w:lang w:val="es-ES_tradnl" w:eastAsia="es-MX"/>
        </w:rPr>
        <w:t xml:space="preserve">Artículo 122. </w:t>
      </w:r>
      <w:r w:rsidRPr="00843DDC">
        <w:rPr>
          <w:rFonts w:ascii="Palatino Linotype" w:eastAsia="Calibri" w:hAnsi="Palatino Linotype" w:cs="Arial"/>
          <w:b/>
          <w:i/>
          <w:u w:val="single"/>
          <w:lang w:val="es-ES_tradnl" w:eastAsia="es-MX"/>
        </w:rPr>
        <w:t>La clasificación es el proceso mediante el cual el sujeto obligado determina que la información en su poder actualiza alguno de los supuestos de reserva o confidencialidad, de conformidad con lo dispuesto en el presente título.</w:t>
      </w:r>
    </w:p>
    <w:p w:rsidR="00E87D7E" w:rsidRPr="00843DDC" w:rsidRDefault="00E87D7E" w:rsidP="00E87D7E">
      <w:pPr>
        <w:spacing w:before="240" w:line="360" w:lineRule="auto"/>
        <w:ind w:left="851" w:right="851"/>
        <w:jc w:val="both"/>
        <w:rPr>
          <w:rFonts w:ascii="Palatino Linotype" w:eastAsia="Calibri" w:hAnsi="Palatino Linotype" w:cs="Arial"/>
          <w:i/>
          <w:lang w:val="es-ES_tradnl" w:eastAsia="es-MX"/>
        </w:rPr>
      </w:pPr>
      <w:r w:rsidRPr="00843DDC">
        <w:rPr>
          <w:rFonts w:ascii="Palatino Linotype" w:eastAsia="Calibri" w:hAnsi="Palatino Linotype" w:cs="Arial"/>
          <w:i/>
          <w:lang w:val="es-ES_tradnl" w:eastAsia="es-MX"/>
        </w:rPr>
        <w:t>[…]</w:t>
      </w:r>
    </w:p>
    <w:p w:rsidR="00E87D7E" w:rsidRPr="00843DDC" w:rsidRDefault="00E87D7E" w:rsidP="00E87D7E">
      <w:pPr>
        <w:spacing w:before="240" w:line="360" w:lineRule="auto"/>
        <w:ind w:left="851" w:right="851"/>
        <w:jc w:val="both"/>
        <w:rPr>
          <w:rFonts w:ascii="Palatino Linotype" w:eastAsia="Calibri" w:hAnsi="Palatino Linotype" w:cs="Arial"/>
          <w:i/>
          <w:lang w:val="es-ES_tradnl" w:eastAsia="es-MX"/>
        </w:rPr>
      </w:pPr>
      <w:r w:rsidRPr="00843DDC">
        <w:rPr>
          <w:rFonts w:ascii="Palatino Linotype" w:eastAsia="Calibri" w:hAnsi="Palatino Linotype" w:cs="Arial"/>
          <w:i/>
          <w:lang w:val="es-ES_tradnl" w:eastAsia="es-MX"/>
        </w:rPr>
        <w:t>Artículo 132. La clasificación de la información se llevará a cabo en el momento en que:</w:t>
      </w:r>
    </w:p>
    <w:p w:rsidR="00E87D7E" w:rsidRPr="00843DDC" w:rsidRDefault="00E87D7E" w:rsidP="00E87D7E">
      <w:pPr>
        <w:spacing w:before="240" w:line="360" w:lineRule="auto"/>
        <w:ind w:left="851" w:right="851"/>
        <w:jc w:val="both"/>
        <w:rPr>
          <w:rFonts w:ascii="Palatino Linotype" w:eastAsia="Calibri" w:hAnsi="Palatino Linotype" w:cs="Arial"/>
          <w:i/>
          <w:lang w:val="es-ES_tradnl" w:eastAsia="es-MX"/>
        </w:rPr>
      </w:pPr>
      <w:r w:rsidRPr="00843DDC">
        <w:rPr>
          <w:rFonts w:ascii="Palatino Linotype" w:eastAsia="Calibri" w:hAnsi="Palatino Linotype" w:cs="Arial"/>
          <w:i/>
          <w:lang w:val="es-ES_tradnl" w:eastAsia="es-MX"/>
        </w:rPr>
        <w:lastRenderedPageBreak/>
        <w:t>[…]</w:t>
      </w:r>
    </w:p>
    <w:p w:rsidR="00E87D7E" w:rsidRPr="00843DDC" w:rsidRDefault="00E87D7E" w:rsidP="00E87D7E">
      <w:pPr>
        <w:spacing w:before="240" w:line="360" w:lineRule="auto"/>
        <w:ind w:left="851" w:right="851"/>
        <w:jc w:val="both"/>
        <w:rPr>
          <w:rFonts w:ascii="Palatino Linotype" w:eastAsia="Calibri" w:hAnsi="Palatino Linotype" w:cs="Arial"/>
          <w:b/>
          <w:i/>
          <w:u w:val="single"/>
          <w:lang w:val="es-ES_tradnl" w:eastAsia="es-MX"/>
        </w:rPr>
      </w:pPr>
      <w:r w:rsidRPr="00843DDC">
        <w:rPr>
          <w:rFonts w:ascii="Palatino Linotype" w:eastAsia="Calibri" w:hAnsi="Palatino Linotype" w:cs="Arial"/>
          <w:b/>
          <w:i/>
          <w:u w:val="single"/>
          <w:lang w:val="es-ES_tradnl" w:eastAsia="es-MX"/>
        </w:rPr>
        <w:t>II. Se determine mediante resolución de autoridad competente; o</w:t>
      </w:r>
    </w:p>
    <w:p w:rsidR="00E87D7E" w:rsidRPr="00843DDC" w:rsidRDefault="00E87D7E" w:rsidP="00E87D7E">
      <w:pPr>
        <w:spacing w:before="240" w:line="360" w:lineRule="auto"/>
        <w:ind w:left="851" w:right="851"/>
        <w:jc w:val="both"/>
        <w:rPr>
          <w:rFonts w:ascii="Palatino Linotype" w:eastAsia="Calibri" w:hAnsi="Palatino Linotype" w:cs="Arial"/>
          <w:b/>
          <w:i/>
          <w:lang w:val="es-ES_tradnl" w:eastAsia="es-MX"/>
        </w:rPr>
      </w:pPr>
      <w:r w:rsidRPr="00843DDC">
        <w:rPr>
          <w:rFonts w:ascii="Palatino Linotype" w:eastAsia="Calibri" w:hAnsi="Palatino Linotype" w:cs="Arial"/>
          <w:b/>
          <w:i/>
          <w:lang w:val="es-ES_tradnl" w:eastAsia="es-MX"/>
        </w:rPr>
        <w:t>(…)</w:t>
      </w:r>
    </w:p>
    <w:p w:rsidR="00E87D7E" w:rsidRPr="00843DDC" w:rsidRDefault="00E87D7E" w:rsidP="00E87D7E">
      <w:pPr>
        <w:spacing w:before="240" w:line="360" w:lineRule="auto"/>
        <w:ind w:left="851" w:right="851"/>
        <w:jc w:val="both"/>
        <w:rPr>
          <w:rFonts w:ascii="Palatino Linotype" w:eastAsia="Calibri" w:hAnsi="Palatino Linotype" w:cs="Arial"/>
          <w:b/>
          <w:i/>
          <w:lang w:val="es-ES_tradnl" w:eastAsia="es-MX"/>
        </w:rPr>
      </w:pPr>
      <w:r w:rsidRPr="00843DDC">
        <w:rPr>
          <w:rFonts w:ascii="Palatino Linotype" w:eastAsia="Calibri" w:hAnsi="Palatino Linotype" w:cs="Arial"/>
          <w:i/>
          <w:lang w:val="es-ES_tradnl" w:eastAsia="es-MX"/>
        </w:rPr>
        <w:t>Artículo 137.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w:t>
      </w:r>
      <w:r w:rsidRPr="00843DDC">
        <w:rPr>
          <w:rFonts w:ascii="Palatino Linotype" w:eastAsia="Calibri" w:hAnsi="Palatino Linotype" w:cs="Arial"/>
          <w:b/>
          <w:i/>
          <w:lang w:val="es-ES_tradnl" w:eastAsia="es-MX"/>
        </w:rPr>
        <w:t xml:space="preserve"> </w:t>
      </w:r>
      <w:r w:rsidRPr="00843DDC">
        <w:rPr>
          <w:rFonts w:ascii="Palatino Linotype" w:eastAsia="Calibri" w:hAnsi="Palatino Linotype" w:cs="Arial"/>
          <w:b/>
          <w:i/>
          <w:u w:val="single"/>
          <w:lang w:val="es-ES_tradnl" w:eastAsia="es-MX"/>
        </w:rPr>
        <w:t xml:space="preserve">de manera genérica y fundando y motivando su clasificación.” </w:t>
      </w:r>
      <w:r w:rsidRPr="00843DDC">
        <w:rPr>
          <w:rFonts w:ascii="Palatino Linotype" w:eastAsia="Calibri" w:hAnsi="Palatino Linotype" w:cs="Arial"/>
          <w:b/>
          <w:i/>
          <w:lang w:val="es-ES_tradnl" w:eastAsia="es-MX"/>
        </w:rPr>
        <w:t>[Sic]</w:t>
      </w:r>
    </w:p>
    <w:p w:rsidR="00E87D7E" w:rsidRPr="00843DDC" w:rsidRDefault="00E87D7E" w:rsidP="00E87D7E">
      <w:pPr>
        <w:spacing w:line="360" w:lineRule="auto"/>
        <w:ind w:right="51"/>
        <w:jc w:val="both"/>
        <w:rPr>
          <w:rFonts w:ascii="Palatino Linotype" w:eastAsia="Arial Unicode MS" w:hAnsi="Palatino Linotype" w:cs="Arial"/>
          <w:lang w:val="es-ES_tradnl" w:eastAsia="es-MX"/>
        </w:rPr>
      </w:pPr>
    </w:p>
    <w:p w:rsidR="00E87D7E" w:rsidRPr="00843DDC" w:rsidRDefault="00E87D7E" w:rsidP="00E87D7E">
      <w:pPr>
        <w:spacing w:line="360" w:lineRule="auto"/>
        <w:ind w:right="51"/>
        <w:jc w:val="both"/>
        <w:rPr>
          <w:rFonts w:ascii="Palatino Linotype" w:eastAsia="Arial Unicode MS" w:hAnsi="Palatino Linotype" w:cs="Arial"/>
          <w:lang w:val="es-ES_tradnl" w:eastAsia="es-MX"/>
        </w:rPr>
      </w:pPr>
      <w:r w:rsidRPr="00843DDC">
        <w:rPr>
          <w:rFonts w:ascii="Palatino Linotype" w:eastAsia="Calibri" w:hAnsi="Palatino Linotype" w:cs="Arial"/>
          <w:lang w:val="es-ES_tradnl" w:eastAsia="es-MX"/>
        </w:rPr>
        <w:t xml:space="preserve">Lo anterior, sólo en caso de advertir información susceptible de clasificar, por ende, resulta necesario que el Comité de Transparencia del Sujeto Obligado emita el Acuerdo de Clasificación correspondiente que sustente la versión pública, el cual deberá cumplir cabalmente las formalidades previstas en el artículo 137 de la Ley de Transparencia y Acceso a la Información Pública del Estado de México y Municipios, así como los numerales aplicables de los </w:t>
      </w:r>
      <w:r w:rsidRPr="00843DDC">
        <w:rPr>
          <w:rFonts w:ascii="Palatino Linotype" w:eastAsia="Calibri" w:hAnsi="Palatino Linotype" w:cs="Arial"/>
          <w:b/>
          <w:lang w:val="es-ES_tradnl" w:eastAsia="es-MX"/>
        </w:rPr>
        <w:t>LINEAMIENTOS GENERALES EN MATERIA DE CLASIFICACIÓN Y DESCLASIFICACIÓN DE LA INFORMACIÓN, ASÍ COMO PARA LA ELABORACIÓN DE VERSIONES PÚBLICAS,</w:t>
      </w:r>
      <w:r w:rsidRPr="00843DDC">
        <w:rPr>
          <w:rFonts w:ascii="Palatino Linotype" w:eastAsia="Calibri" w:hAnsi="Palatino Linotype" w:cs="Arial"/>
          <w:lang w:val="es-ES_tradnl" w:eastAsia="es-MX"/>
        </w:rPr>
        <w:t xml:space="preserve"> publicados en el Diario Oficial de la Federación en fecha quince de abril de dos mil dieciséis, mediante Acuerdo del Consejo Nacional del Sistema Nacional de Transparencia, Acceso a la Información Pública y Protección de Datos Personales.</w:t>
      </w:r>
    </w:p>
    <w:p w:rsidR="00E87D7E" w:rsidRPr="00843DDC" w:rsidRDefault="00E87D7E" w:rsidP="00960B45">
      <w:pPr>
        <w:spacing w:line="360" w:lineRule="auto"/>
        <w:jc w:val="both"/>
        <w:rPr>
          <w:rFonts w:ascii="Palatino Linotype" w:hAnsi="Palatino Linotype" w:cs="Arial"/>
          <w:noProof/>
          <w:color w:val="000000"/>
          <w:lang w:eastAsia="es-MX"/>
        </w:rPr>
      </w:pPr>
    </w:p>
    <w:p w:rsidR="00960B45" w:rsidRPr="00843DDC" w:rsidRDefault="00960B45" w:rsidP="00960B45">
      <w:pPr>
        <w:spacing w:line="360" w:lineRule="auto"/>
        <w:ind w:right="51"/>
        <w:jc w:val="both"/>
        <w:rPr>
          <w:rFonts w:ascii="Palatino Linotype" w:eastAsiaTheme="minorHAnsi" w:hAnsi="Palatino Linotype" w:cstheme="minorBidi"/>
          <w:lang w:val="es-MX" w:eastAsia="en-US"/>
        </w:rPr>
      </w:pPr>
      <w:r w:rsidRPr="00843DDC">
        <w:rPr>
          <w:rFonts w:ascii="Palatino Linotype" w:eastAsiaTheme="minorHAnsi" w:hAnsi="Palatino Linotype" w:cstheme="minorBidi"/>
          <w:lang w:val="es-MX" w:eastAsia="en-US"/>
        </w:rPr>
        <w:lastRenderedPageBreak/>
        <w:t xml:space="preserve">En mérito de lo expuesto en líneas anteriores, al resultar parcialmente fundados los motivos de inconformidad vertidos por </w:t>
      </w:r>
      <w:r w:rsidRPr="00843DDC">
        <w:rPr>
          <w:rFonts w:ascii="Palatino Linotype" w:eastAsiaTheme="minorHAnsi" w:hAnsi="Palatino Linotype" w:cstheme="minorBidi"/>
          <w:b/>
          <w:lang w:val="es-MX" w:eastAsia="en-US"/>
        </w:rPr>
        <w:t>el Recurrente</w:t>
      </w:r>
      <w:r w:rsidRPr="00843DDC">
        <w:rPr>
          <w:rFonts w:ascii="Palatino Linotype" w:eastAsiaTheme="minorHAnsi" w:hAnsi="Palatino Linotype" w:cstheme="minorBidi"/>
          <w:lang w:val="es-MX" w:eastAsia="en-US"/>
        </w:rPr>
        <w:t xml:space="preserve">, con fundamento en la primera hipótesis del artículo 186 fracción III de la Ley de Transparencia y Acceso a la Información Pública del Estado de México y Municipios, se </w:t>
      </w:r>
      <w:r w:rsidRPr="00843DDC">
        <w:rPr>
          <w:rFonts w:ascii="Palatino Linotype" w:eastAsiaTheme="minorHAnsi" w:hAnsi="Palatino Linotype" w:cstheme="minorBidi"/>
          <w:b/>
          <w:lang w:val="es-MX" w:eastAsia="en-US"/>
        </w:rPr>
        <w:t xml:space="preserve">REVOCA </w:t>
      </w:r>
      <w:r w:rsidRPr="00843DDC">
        <w:rPr>
          <w:rFonts w:ascii="Palatino Linotype" w:eastAsiaTheme="minorHAnsi" w:hAnsi="Palatino Linotype" w:cstheme="minorBidi"/>
          <w:lang w:val="es-MX" w:eastAsia="en-US"/>
        </w:rPr>
        <w:t xml:space="preserve">la respuesta emitida a la solicitud de información </w:t>
      </w:r>
      <w:r w:rsidRPr="00843DDC">
        <w:rPr>
          <w:rFonts w:ascii="Palatino Linotype" w:hAnsi="Palatino Linotype"/>
          <w:b/>
          <w:bCs/>
        </w:rPr>
        <w:t>00472/TENANCIN/IP/2025</w:t>
      </w:r>
      <w:r w:rsidRPr="00843DDC">
        <w:rPr>
          <w:rFonts w:ascii="Palatino Linotype" w:eastAsiaTheme="minorHAnsi" w:hAnsi="Palatino Linotype"/>
          <w:b/>
          <w:bCs/>
        </w:rPr>
        <w:t>,</w:t>
      </w:r>
      <w:r w:rsidRPr="00843DDC">
        <w:rPr>
          <w:rFonts w:ascii="Palatino Linotype" w:eastAsiaTheme="minorHAnsi" w:hAnsi="Palatino Linotype" w:cs="Arial"/>
          <w:lang w:val="es-MX" w:eastAsia="en-US"/>
        </w:rPr>
        <w:t xml:space="preserve"> </w:t>
      </w:r>
      <w:r w:rsidRPr="00843DDC">
        <w:rPr>
          <w:rFonts w:ascii="Palatino Linotype" w:eastAsiaTheme="minorHAnsi" w:hAnsi="Palatino Linotype" w:cstheme="minorBidi"/>
          <w:lang w:val="es-MX" w:eastAsia="en-US"/>
        </w:rPr>
        <w:t>que ha sido materia del presente fallo.</w:t>
      </w:r>
    </w:p>
    <w:p w:rsidR="00960B45" w:rsidRPr="00843DDC" w:rsidRDefault="00960B45" w:rsidP="00960B45">
      <w:pPr>
        <w:spacing w:line="360" w:lineRule="auto"/>
        <w:jc w:val="both"/>
        <w:rPr>
          <w:rFonts w:ascii="Palatino Linotype" w:eastAsiaTheme="minorHAnsi" w:hAnsi="Palatino Linotype" w:cstheme="minorBidi"/>
          <w:lang w:val="es-MX" w:eastAsia="en-US"/>
        </w:rPr>
      </w:pPr>
    </w:p>
    <w:p w:rsidR="00960B45" w:rsidRPr="00843DDC" w:rsidRDefault="00960B45" w:rsidP="00960B45">
      <w:pPr>
        <w:spacing w:line="360" w:lineRule="auto"/>
        <w:jc w:val="both"/>
        <w:rPr>
          <w:rFonts w:ascii="Palatino Linotype" w:hAnsi="Palatino Linotype"/>
          <w:lang w:val="es-MX"/>
        </w:rPr>
      </w:pPr>
      <w:r w:rsidRPr="00843DDC">
        <w:rPr>
          <w:rFonts w:ascii="Palatino Linotype" w:hAnsi="Palatino Linotype"/>
          <w:lang w:val="es-MX"/>
        </w:rPr>
        <w:t>Por lo antes expuesto y fundado es de resolverse y,</w:t>
      </w:r>
    </w:p>
    <w:p w:rsidR="00960B45" w:rsidRPr="00843DDC" w:rsidRDefault="00960B45" w:rsidP="00960B45">
      <w:pPr>
        <w:spacing w:line="360" w:lineRule="auto"/>
        <w:jc w:val="both"/>
        <w:rPr>
          <w:rFonts w:ascii="Palatino Linotype" w:hAnsi="Palatino Linotype"/>
          <w:lang w:val="es-MX"/>
        </w:rPr>
      </w:pPr>
    </w:p>
    <w:p w:rsidR="00960B45" w:rsidRPr="00843DDC" w:rsidRDefault="00960B45" w:rsidP="00960B45">
      <w:pPr>
        <w:spacing w:line="360" w:lineRule="auto"/>
        <w:jc w:val="center"/>
        <w:rPr>
          <w:rFonts w:ascii="Palatino Linotype" w:hAnsi="Palatino Linotype"/>
          <w:bCs/>
          <w:spacing w:val="60"/>
          <w:lang w:val="es-ES_tradnl"/>
        </w:rPr>
      </w:pPr>
      <w:r w:rsidRPr="00843DDC">
        <w:rPr>
          <w:rFonts w:ascii="Palatino Linotype" w:hAnsi="Palatino Linotype"/>
          <w:b/>
          <w:bCs/>
          <w:spacing w:val="60"/>
          <w:sz w:val="28"/>
          <w:lang w:val="es-ES_tradnl"/>
        </w:rPr>
        <w:t>SE    RESUELVE</w:t>
      </w:r>
    </w:p>
    <w:p w:rsidR="00960B45" w:rsidRPr="00843DDC" w:rsidRDefault="00960B45" w:rsidP="00960B45">
      <w:pPr>
        <w:spacing w:line="360" w:lineRule="auto"/>
        <w:jc w:val="both"/>
        <w:rPr>
          <w:rFonts w:ascii="Palatino Linotype" w:hAnsi="Palatino Linotype" w:cs="Arial"/>
        </w:rPr>
      </w:pPr>
      <w:r w:rsidRPr="00843DDC">
        <w:rPr>
          <w:rFonts w:ascii="Palatino Linotype" w:hAnsi="Palatino Linotype" w:cs="Arial"/>
          <w:b/>
          <w:sz w:val="28"/>
          <w:szCs w:val="28"/>
        </w:rPr>
        <w:t>PRIMERO</w:t>
      </w:r>
      <w:r w:rsidRPr="00843DDC">
        <w:rPr>
          <w:rFonts w:ascii="Palatino Linotype" w:hAnsi="Palatino Linotype" w:cs="Arial"/>
          <w:sz w:val="32"/>
          <w:szCs w:val="28"/>
        </w:rPr>
        <w:t>.</w:t>
      </w:r>
      <w:r w:rsidRPr="00843DDC">
        <w:rPr>
          <w:rFonts w:ascii="Palatino Linotype" w:hAnsi="Palatino Linotype" w:cs="Arial"/>
        </w:rPr>
        <w:t xml:space="preserve"> Se</w:t>
      </w:r>
      <w:r w:rsidRPr="00843DDC">
        <w:rPr>
          <w:rFonts w:ascii="Palatino Linotype" w:hAnsi="Palatino Linotype" w:cs="Arial"/>
          <w:b/>
        </w:rPr>
        <w:t xml:space="preserve"> REVOCA </w:t>
      </w:r>
      <w:r w:rsidRPr="00843DDC">
        <w:rPr>
          <w:rFonts w:ascii="Palatino Linotype" w:hAnsi="Palatino Linotype" w:cs="Arial"/>
        </w:rPr>
        <w:t xml:space="preserve">la respuesta del </w:t>
      </w:r>
      <w:r w:rsidRPr="00843DDC">
        <w:rPr>
          <w:rFonts w:ascii="Palatino Linotype" w:hAnsi="Palatino Linotype" w:cs="Arial"/>
          <w:b/>
        </w:rPr>
        <w:t>Sujeto Obligado</w:t>
      </w:r>
      <w:r w:rsidRPr="00843DDC">
        <w:rPr>
          <w:rFonts w:ascii="Palatino Linotype" w:hAnsi="Palatino Linotype" w:cs="Arial"/>
        </w:rPr>
        <w:t xml:space="preserve"> a la solicitud de acceso a la información pública</w:t>
      </w:r>
      <w:r w:rsidRPr="00843DDC">
        <w:rPr>
          <w:rFonts w:ascii="Palatino Linotype" w:hAnsi="Palatino Linotype" w:cs="Arial"/>
          <w:b/>
        </w:rPr>
        <w:t xml:space="preserve"> </w:t>
      </w:r>
      <w:r w:rsidRPr="00843DDC">
        <w:rPr>
          <w:rFonts w:ascii="Palatino Linotype" w:hAnsi="Palatino Linotype"/>
          <w:b/>
          <w:bCs/>
        </w:rPr>
        <w:t>00472/TENANCIN/IP/2025</w:t>
      </w:r>
      <w:r w:rsidRPr="00843DDC">
        <w:rPr>
          <w:rFonts w:ascii="Palatino Linotype" w:hAnsi="Palatino Linotype" w:cs="Arial"/>
        </w:rPr>
        <w:t>,</w:t>
      </w:r>
      <w:r w:rsidRPr="00843DDC">
        <w:rPr>
          <w:rFonts w:ascii="Palatino Linotype" w:hAnsi="Palatino Linotype" w:cs="Tahoma"/>
          <w:b/>
        </w:rPr>
        <w:t xml:space="preserve"> </w:t>
      </w:r>
      <w:r w:rsidRPr="00843DDC">
        <w:rPr>
          <w:rFonts w:ascii="Palatino Linotype" w:hAnsi="Palatino Linotype" w:cs="Arial"/>
        </w:rPr>
        <w:t>por resultar fundados</w:t>
      </w:r>
      <w:r w:rsidRPr="00843DDC">
        <w:rPr>
          <w:rFonts w:ascii="Palatino Linotype" w:hAnsi="Palatino Linotype" w:cs="Arial"/>
          <w:b/>
        </w:rPr>
        <w:t xml:space="preserve"> </w:t>
      </w:r>
      <w:r w:rsidRPr="00843DDC">
        <w:rPr>
          <w:rFonts w:ascii="Palatino Linotype" w:hAnsi="Palatino Linotype" w:cs="Arial"/>
        </w:rPr>
        <w:t xml:space="preserve">los motivos de inconformidad vertidos por la parte </w:t>
      </w:r>
      <w:r w:rsidRPr="00843DDC">
        <w:rPr>
          <w:rFonts w:ascii="Palatino Linotype" w:hAnsi="Palatino Linotype" w:cs="Arial"/>
          <w:b/>
        </w:rPr>
        <w:t>Recurrente</w:t>
      </w:r>
      <w:r w:rsidRPr="00843DDC">
        <w:rPr>
          <w:rFonts w:ascii="Palatino Linotype" w:hAnsi="Palatino Linotype" w:cs="Arial"/>
        </w:rPr>
        <w:t>, en términos del considerando</w:t>
      </w:r>
      <w:r w:rsidRPr="00843DDC">
        <w:rPr>
          <w:rFonts w:ascii="Palatino Linotype" w:hAnsi="Palatino Linotype" w:cs="Arial"/>
          <w:b/>
        </w:rPr>
        <w:t xml:space="preserve"> CUARTO </w:t>
      </w:r>
      <w:r w:rsidRPr="00843DDC">
        <w:rPr>
          <w:rFonts w:ascii="Palatino Linotype" w:hAnsi="Palatino Linotype" w:cs="Arial"/>
        </w:rPr>
        <w:t>de la presente Resolución.</w:t>
      </w:r>
    </w:p>
    <w:p w:rsidR="00960B45" w:rsidRPr="00843DDC" w:rsidRDefault="00960B45" w:rsidP="00960B45">
      <w:pPr>
        <w:spacing w:line="360" w:lineRule="auto"/>
        <w:jc w:val="both"/>
        <w:rPr>
          <w:rFonts w:ascii="Palatino Linotype" w:hAnsi="Palatino Linotype" w:cs="Arial"/>
        </w:rPr>
      </w:pPr>
    </w:p>
    <w:p w:rsidR="00960B45" w:rsidRPr="00843DDC" w:rsidRDefault="00960B45" w:rsidP="00960B45">
      <w:pPr>
        <w:spacing w:line="360" w:lineRule="auto"/>
        <w:jc w:val="both"/>
        <w:rPr>
          <w:rFonts w:ascii="Palatino Linotype" w:hAnsi="Palatino Linotype" w:cs="Arial"/>
        </w:rPr>
      </w:pPr>
      <w:r w:rsidRPr="00843DDC">
        <w:rPr>
          <w:rFonts w:ascii="Palatino Linotype" w:hAnsi="Palatino Linotype" w:cs="Arial"/>
          <w:b/>
          <w:sz w:val="28"/>
        </w:rPr>
        <w:t>SEGUNDO</w:t>
      </w:r>
      <w:r w:rsidRPr="00843DDC">
        <w:rPr>
          <w:rFonts w:ascii="Palatino Linotype" w:hAnsi="Palatino Linotype" w:cs="Arial"/>
          <w:b/>
        </w:rPr>
        <w:t>.</w:t>
      </w:r>
      <w:r w:rsidRPr="00843DDC">
        <w:rPr>
          <w:rFonts w:ascii="Palatino Linotype" w:hAnsi="Palatino Linotype" w:cs="Tahoma"/>
        </w:rPr>
        <w:t xml:space="preserve"> Se </w:t>
      </w:r>
      <w:r w:rsidRPr="00843DDC">
        <w:rPr>
          <w:rFonts w:ascii="Palatino Linotype" w:hAnsi="Palatino Linotype" w:cs="Tahoma"/>
          <w:b/>
        </w:rPr>
        <w:t>ORDENA</w:t>
      </w:r>
      <w:r w:rsidRPr="00843DDC">
        <w:rPr>
          <w:rFonts w:ascii="Palatino Linotype" w:hAnsi="Palatino Linotype" w:cs="Tahoma"/>
        </w:rPr>
        <w:t xml:space="preserve"> al </w:t>
      </w:r>
      <w:r w:rsidRPr="00843DDC">
        <w:rPr>
          <w:rFonts w:ascii="Palatino Linotype" w:hAnsi="Palatino Linotype" w:cs="Tahoma"/>
          <w:b/>
        </w:rPr>
        <w:t>Sujeto Obligado,</w:t>
      </w:r>
      <w:r w:rsidRPr="00843DDC">
        <w:rPr>
          <w:rFonts w:ascii="Palatino Linotype" w:hAnsi="Palatino Linotype" w:cs="Tahoma"/>
        </w:rPr>
        <w:t xml:space="preserve"> haga entrega a la parte </w:t>
      </w:r>
      <w:r w:rsidRPr="00843DDC">
        <w:rPr>
          <w:rFonts w:ascii="Palatino Linotype" w:hAnsi="Palatino Linotype" w:cs="Tahoma"/>
          <w:b/>
        </w:rPr>
        <w:t>Recurrente</w:t>
      </w:r>
      <w:r w:rsidRPr="00843DDC">
        <w:rPr>
          <w:rFonts w:ascii="Palatino Linotype" w:hAnsi="Palatino Linotype" w:cs="Tahoma"/>
        </w:rPr>
        <w:t>, a través del Sistema de Acceso a la Información Mexiquense (</w:t>
      </w:r>
      <w:r w:rsidRPr="00843DDC">
        <w:rPr>
          <w:rFonts w:ascii="Palatino Linotype" w:hAnsi="Palatino Linotype" w:cs="Tahoma"/>
          <w:b/>
        </w:rPr>
        <w:t>SAIMEX</w:t>
      </w:r>
      <w:r w:rsidR="00837D20" w:rsidRPr="00843DDC">
        <w:rPr>
          <w:rFonts w:ascii="Palatino Linotype" w:hAnsi="Palatino Linotype" w:cs="Tahoma"/>
        </w:rPr>
        <w:t>)</w:t>
      </w:r>
      <w:r w:rsidRPr="00843DDC">
        <w:rPr>
          <w:rFonts w:ascii="Palatino Linotype" w:hAnsi="Palatino Linotype" w:cs="Arial"/>
        </w:rPr>
        <w:t xml:space="preserve">, </w:t>
      </w:r>
      <w:r w:rsidR="00837D20" w:rsidRPr="00843DDC">
        <w:rPr>
          <w:rFonts w:ascii="Palatino Linotype" w:hAnsi="Palatino Linotype" w:cs="Arial"/>
        </w:rPr>
        <w:t>en versión pública de ser procedente, los documentos que den cuenta de lo siguiente:</w:t>
      </w:r>
    </w:p>
    <w:p w:rsidR="00837D20" w:rsidRPr="00843DDC" w:rsidRDefault="00837D20" w:rsidP="00837D20">
      <w:pPr>
        <w:pStyle w:val="Prrafodelista"/>
        <w:numPr>
          <w:ilvl w:val="0"/>
          <w:numId w:val="8"/>
        </w:numPr>
        <w:spacing w:line="360" w:lineRule="auto"/>
        <w:jc w:val="both"/>
        <w:rPr>
          <w:rFonts w:ascii="Palatino Linotype" w:hAnsi="Palatino Linotype" w:cs="Tahoma"/>
          <w:bCs/>
        </w:rPr>
      </w:pPr>
      <w:r w:rsidRPr="00843DDC">
        <w:rPr>
          <w:rFonts w:ascii="Palatino Linotype" w:hAnsi="Palatino Linotype" w:cs="Tahoma"/>
          <w:bCs/>
        </w:rPr>
        <w:t xml:space="preserve">Bitácoras mensuales de consumo de gasolina por cada unidad de patrullaje, incluyendo kilometraje y litros cargados, del </w:t>
      </w:r>
      <w:r w:rsidRPr="00843DDC">
        <w:rPr>
          <w:rFonts w:ascii="Palatino Linotype" w:hAnsi="Palatino Linotype" w:cs="Arial"/>
        </w:rPr>
        <w:t>primero de enero al nueve de julio de dos mil veinticinco</w:t>
      </w:r>
      <w:r w:rsidR="00E87D7E" w:rsidRPr="00843DDC">
        <w:rPr>
          <w:rFonts w:ascii="Palatino Linotype" w:hAnsi="Palatino Linotype" w:cs="Arial"/>
        </w:rPr>
        <w:t>.</w:t>
      </w:r>
    </w:p>
    <w:p w:rsidR="00837D20" w:rsidRPr="00843DDC" w:rsidRDefault="00837D20" w:rsidP="00837D20">
      <w:pPr>
        <w:pStyle w:val="Prrafodelista"/>
        <w:numPr>
          <w:ilvl w:val="0"/>
          <w:numId w:val="8"/>
        </w:numPr>
        <w:spacing w:line="360" w:lineRule="auto"/>
        <w:jc w:val="both"/>
        <w:rPr>
          <w:rFonts w:ascii="Palatino Linotype" w:hAnsi="Palatino Linotype" w:cs="Tahoma"/>
          <w:bCs/>
        </w:rPr>
      </w:pPr>
      <w:r w:rsidRPr="00843DDC">
        <w:rPr>
          <w:rFonts w:ascii="Palatino Linotype" w:hAnsi="Palatino Linotype" w:cs="Tahoma"/>
          <w:bCs/>
        </w:rPr>
        <w:t xml:space="preserve">Fondos federales, estatales y municipales aplicados específicamente a Seguridad Pública en los años 2023, 2024 y del 01 de enero al 09 de julio 2025, indicando: </w:t>
      </w:r>
    </w:p>
    <w:p w:rsidR="00E87D7E" w:rsidRPr="00843DDC" w:rsidRDefault="00E87D7E" w:rsidP="00837D20">
      <w:pPr>
        <w:pStyle w:val="Prrafodelista"/>
        <w:numPr>
          <w:ilvl w:val="0"/>
          <w:numId w:val="6"/>
        </w:numPr>
        <w:spacing w:line="360" w:lineRule="auto"/>
        <w:jc w:val="both"/>
        <w:rPr>
          <w:rFonts w:ascii="Palatino Linotype" w:hAnsi="Palatino Linotype" w:cs="Tahoma"/>
          <w:bCs/>
        </w:rPr>
      </w:pPr>
      <w:r w:rsidRPr="00843DDC">
        <w:rPr>
          <w:rFonts w:ascii="Palatino Linotype" w:hAnsi="Palatino Linotype" w:cs="Tahoma"/>
          <w:bCs/>
        </w:rPr>
        <w:lastRenderedPageBreak/>
        <w:t>Nombre del fondo</w:t>
      </w:r>
    </w:p>
    <w:p w:rsidR="00837D20" w:rsidRPr="00843DDC" w:rsidRDefault="00837D20" w:rsidP="00837D20">
      <w:pPr>
        <w:pStyle w:val="Prrafodelista"/>
        <w:numPr>
          <w:ilvl w:val="0"/>
          <w:numId w:val="6"/>
        </w:numPr>
        <w:spacing w:line="360" w:lineRule="auto"/>
        <w:jc w:val="both"/>
        <w:rPr>
          <w:rFonts w:ascii="Palatino Linotype" w:hAnsi="Palatino Linotype" w:cs="Tahoma"/>
          <w:bCs/>
        </w:rPr>
      </w:pPr>
      <w:r w:rsidRPr="00843DDC">
        <w:rPr>
          <w:rFonts w:ascii="Palatino Linotype" w:hAnsi="Palatino Linotype" w:cs="Tahoma"/>
          <w:bCs/>
        </w:rPr>
        <w:t xml:space="preserve">Monto asignado </w:t>
      </w:r>
    </w:p>
    <w:p w:rsidR="00837D20" w:rsidRPr="00843DDC" w:rsidRDefault="00837D20" w:rsidP="00837D20">
      <w:pPr>
        <w:pStyle w:val="Prrafodelista"/>
        <w:numPr>
          <w:ilvl w:val="0"/>
          <w:numId w:val="6"/>
        </w:numPr>
        <w:spacing w:line="360" w:lineRule="auto"/>
        <w:jc w:val="both"/>
        <w:rPr>
          <w:rFonts w:ascii="Palatino Linotype" w:hAnsi="Palatino Linotype" w:cs="Tahoma"/>
          <w:bCs/>
        </w:rPr>
      </w:pPr>
      <w:r w:rsidRPr="00843DDC">
        <w:rPr>
          <w:rFonts w:ascii="Palatino Linotype" w:hAnsi="Palatino Linotype" w:cs="Tahoma"/>
          <w:bCs/>
        </w:rPr>
        <w:t xml:space="preserve">Monto ejercido </w:t>
      </w:r>
    </w:p>
    <w:p w:rsidR="00837D20" w:rsidRPr="00843DDC" w:rsidRDefault="00837D20" w:rsidP="00837D20">
      <w:pPr>
        <w:pStyle w:val="Prrafodelista"/>
        <w:numPr>
          <w:ilvl w:val="0"/>
          <w:numId w:val="6"/>
        </w:numPr>
        <w:spacing w:line="360" w:lineRule="auto"/>
        <w:jc w:val="both"/>
        <w:rPr>
          <w:rFonts w:ascii="Palatino Linotype" w:hAnsi="Palatino Linotype" w:cs="Tahoma"/>
          <w:bCs/>
        </w:rPr>
      </w:pPr>
      <w:r w:rsidRPr="00843DDC">
        <w:rPr>
          <w:rFonts w:ascii="Palatino Linotype" w:hAnsi="Palatino Linotype" w:cs="Tahoma"/>
          <w:bCs/>
        </w:rPr>
        <w:t xml:space="preserve">Objeto de aplicación </w:t>
      </w:r>
    </w:p>
    <w:p w:rsidR="00E87D7E" w:rsidRPr="00843DDC" w:rsidRDefault="00837D20" w:rsidP="00837D20">
      <w:pPr>
        <w:pStyle w:val="Prrafodelista"/>
        <w:numPr>
          <w:ilvl w:val="0"/>
          <w:numId w:val="6"/>
        </w:numPr>
        <w:spacing w:line="360" w:lineRule="auto"/>
        <w:jc w:val="both"/>
        <w:rPr>
          <w:rFonts w:ascii="Palatino Linotype" w:hAnsi="Palatino Linotype" w:cs="Tahoma"/>
          <w:bCs/>
        </w:rPr>
      </w:pPr>
      <w:r w:rsidRPr="00843DDC">
        <w:rPr>
          <w:rFonts w:ascii="Palatino Linotype" w:hAnsi="Palatino Linotype" w:cs="Tahoma"/>
          <w:bCs/>
        </w:rPr>
        <w:t xml:space="preserve">Convenios o reglas de operación vigentes </w:t>
      </w:r>
    </w:p>
    <w:p w:rsidR="00837D20" w:rsidRPr="00843DDC" w:rsidRDefault="00E87D7E" w:rsidP="00837D20">
      <w:pPr>
        <w:pStyle w:val="Prrafodelista"/>
        <w:numPr>
          <w:ilvl w:val="0"/>
          <w:numId w:val="6"/>
        </w:numPr>
        <w:spacing w:line="360" w:lineRule="auto"/>
        <w:jc w:val="both"/>
        <w:rPr>
          <w:rFonts w:ascii="Palatino Linotype" w:hAnsi="Palatino Linotype" w:cs="Tahoma"/>
          <w:bCs/>
        </w:rPr>
      </w:pPr>
      <w:r w:rsidRPr="00843DDC">
        <w:rPr>
          <w:rFonts w:ascii="Palatino Linotype" w:hAnsi="Palatino Linotype" w:cs="Tahoma"/>
          <w:bCs/>
        </w:rPr>
        <w:t>A</w:t>
      </w:r>
      <w:r w:rsidR="00837D20" w:rsidRPr="00843DDC">
        <w:rPr>
          <w:rFonts w:ascii="Palatino Linotype" w:hAnsi="Palatino Linotype" w:cs="Tahoma"/>
          <w:bCs/>
        </w:rPr>
        <w:t>cta de cabildo de aprobación de las acciones, y/o del comité de adquisiciones agregando el acta correspondiente.</w:t>
      </w:r>
    </w:p>
    <w:p w:rsidR="00E87D7E" w:rsidRPr="00843DDC" w:rsidRDefault="00E87D7E" w:rsidP="00E87D7E">
      <w:pPr>
        <w:pStyle w:val="INFOEM"/>
      </w:pPr>
      <w:r w:rsidRPr="00843DDC">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rsidR="00960B45" w:rsidRPr="00843DDC" w:rsidRDefault="00960B45" w:rsidP="00960B45">
      <w:pPr>
        <w:spacing w:line="360" w:lineRule="auto"/>
        <w:jc w:val="both"/>
        <w:rPr>
          <w:rFonts w:ascii="Palatino Linotype" w:hAnsi="Palatino Linotype" w:cs="Arial"/>
          <w:b/>
          <w:sz w:val="28"/>
        </w:rPr>
      </w:pPr>
    </w:p>
    <w:p w:rsidR="00960B45" w:rsidRPr="00843DDC" w:rsidRDefault="00960B45" w:rsidP="00960B45">
      <w:pPr>
        <w:spacing w:line="360" w:lineRule="auto"/>
        <w:jc w:val="both"/>
        <w:rPr>
          <w:rFonts w:ascii="Palatino Linotype" w:hAnsi="Palatino Linotype" w:cs="Tahoma"/>
          <w:bCs/>
        </w:rPr>
      </w:pPr>
      <w:r w:rsidRPr="00843DDC">
        <w:rPr>
          <w:rFonts w:ascii="Palatino Linotype" w:hAnsi="Palatino Linotype" w:cs="Arial"/>
          <w:b/>
          <w:sz w:val="28"/>
        </w:rPr>
        <w:t>TERCERO</w:t>
      </w:r>
      <w:r w:rsidRPr="00843DDC">
        <w:rPr>
          <w:rFonts w:ascii="Palatino Linotype" w:hAnsi="Palatino Linotype" w:cs="Arial"/>
          <w:b/>
        </w:rPr>
        <w:t>.</w:t>
      </w:r>
      <w:r w:rsidRPr="00843DDC">
        <w:rPr>
          <w:rFonts w:ascii="Palatino Linotype" w:hAnsi="Palatino Linotype" w:cs="Arial"/>
        </w:rPr>
        <w:t xml:space="preserve"> </w:t>
      </w:r>
      <w:r w:rsidRPr="00843DDC">
        <w:rPr>
          <w:rFonts w:ascii="Palatino Linotype" w:hAnsi="Palatino Linotype" w:cs="Tahoma"/>
          <w:b/>
        </w:rPr>
        <w:t xml:space="preserve">NOTIFÍQUESE </w:t>
      </w:r>
      <w:r w:rsidRPr="00843DDC">
        <w:rPr>
          <w:rFonts w:ascii="Palatino Linotype" w:hAnsi="Palatino Linotype" w:cs="Arial"/>
        </w:rPr>
        <w:t xml:space="preserve">a través del Sistema de Acceso a la Información Mexiquense </w:t>
      </w:r>
      <w:r w:rsidRPr="00843DDC">
        <w:rPr>
          <w:rFonts w:ascii="Palatino Linotype" w:hAnsi="Palatino Linotype" w:cs="Arial"/>
          <w:b/>
        </w:rPr>
        <w:t>(SAIMEX)</w:t>
      </w:r>
      <w:r w:rsidRPr="00843DDC">
        <w:rPr>
          <w:rFonts w:ascii="Palatino Linotype" w:hAnsi="Palatino Linotype" w:cs="Arial"/>
        </w:rPr>
        <w:t xml:space="preserve">, </w:t>
      </w:r>
      <w:r w:rsidRPr="00843DDC">
        <w:rPr>
          <w:rFonts w:ascii="Palatino Linotype" w:hAnsi="Palatino Linotype" w:cs="Tahoma"/>
        </w:rPr>
        <w:t xml:space="preserve">la presente Resolución al Titular de la Unidad de Transparencia del </w:t>
      </w:r>
      <w:r w:rsidRPr="00843DDC">
        <w:rPr>
          <w:rFonts w:ascii="Palatino Linotype" w:hAnsi="Palatino Linotype" w:cs="Tahoma"/>
          <w:b/>
        </w:rPr>
        <w:t>Sujeto Obligado</w:t>
      </w:r>
      <w:r w:rsidRPr="00843DDC">
        <w:rPr>
          <w:rFonts w:ascii="Palatino Linotype" w:hAnsi="Palatino Linotype" w:cs="Tahoma"/>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w:t>
      </w:r>
      <w:r w:rsidRPr="00843DDC">
        <w:rPr>
          <w:rFonts w:ascii="Palatino Linotype" w:eastAsia="Palatino Linotype" w:hAnsi="Palatino Linotype" w:cs="Palatino Linotype"/>
          <w:b/>
          <w:color w:val="000000"/>
          <w:lang w:val="es-ES_tradnl" w:eastAsia="es-MX"/>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960B45" w:rsidRPr="00843DDC" w:rsidRDefault="00960B45" w:rsidP="00960B45">
      <w:pPr>
        <w:spacing w:line="360" w:lineRule="auto"/>
        <w:ind w:right="-595"/>
        <w:jc w:val="both"/>
        <w:rPr>
          <w:rFonts w:ascii="Palatino Linotype" w:hAnsi="Palatino Linotype" w:cs="Tahoma"/>
          <w:bCs/>
        </w:rPr>
      </w:pPr>
    </w:p>
    <w:p w:rsidR="00960B45" w:rsidRPr="00843DDC" w:rsidRDefault="00960B45" w:rsidP="00960B45">
      <w:pPr>
        <w:autoSpaceDE w:val="0"/>
        <w:autoSpaceDN w:val="0"/>
        <w:adjustRightInd w:val="0"/>
        <w:spacing w:line="360" w:lineRule="auto"/>
        <w:jc w:val="both"/>
        <w:rPr>
          <w:rFonts w:ascii="Palatino Linotype" w:hAnsi="Palatino Linotype" w:cs="Arial"/>
        </w:rPr>
      </w:pPr>
      <w:r w:rsidRPr="00843DDC">
        <w:rPr>
          <w:rFonts w:ascii="Palatino Linotype" w:hAnsi="Palatino Linotype" w:cs="Arial"/>
          <w:b/>
          <w:sz w:val="28"/>
          <w:szCs w:val="28"/>
        </w:rPr>
        <w:t>CUARTO.</w:t>
      </w:r>
      <w:r w:rsidRPr="00843DDC">
        <w:rPr>
          <w:rFonts w:ascii="Palatino Linotype" w:hAnsi="Palatino Linotype" w:cs="Arial"/>
          <w:b/>
        </w:rPr>
        <w:t xml:space="preserve"> </w:t>
      </w:r>
      <w:r w:rsidRPr="00843DDC">
        <w:rPr>
          <w:rFonts w:ascii="Palatino Linotype" w:hAnsi="Palatino Linotype" w:cs="Arial"/>
        </w:rPr>
        <w:t xml:space="preserve">De conformidad con el artículo 198 de la Ley de Transparencia y Acceso a la Información Pública del Estado de México y Municipios, de considerarlo procedente, el </w:t>
      </w:r>
      <w:r w:rsidRPr="00843DDC">
        <w:rPr>
          <w:rFonts w:ascii="Palatino Linotype" w:hAnsi="Palatino Linotype" w:cs="Arial"/>
          <w:b/>
        </w:rPr>
        <w:t>Sujeto Obligado</w:t>
      </w:r>
      <w:r w:rsidRPr="00843DDC">
        <w:rPr>
          <w:rFonts w:ascii="Palatino Linotype" w:hAnsi="Palatino Linotype" w:cs="Arial"/>
        </w:rPr>
        <w:t xml:space="preserve"> de manera fundada y motivada, podrá solicitar una ampliación de plazo para el cumplimiento de la presente resolución.</w:t>
      </w:r>
    </w:p>
    <w:p w:rsidR="00960B45" w:rsidRPr="00843DDC" w:rsidRDefault="00960B45" w:rsidP="00960B45">
      <w:pPr>
        <w:autoSpaceDE w:val="0"/>
        <w:autoSpaceDN w:val="0"/>
        <w:adjustRightInd w:val="0"/>
        <w:spacing w:line="360" w:lineRule="auto"/>
        <w:jc w:val="both"/>
        <w:rPr>
          <w:rFonts w:ascii="Palatino Linotype" w:hAnsi="Palatino Linotype" w:cs="Arial"/>
        </w:rPr>
      </w:pPr>
    </w:p>
    <w:p w:rsidR="00960B45" w:rsidRPr="00843DDC" w:rsidRDefault="00960B45" w:rsidP="00960B45">
      <w:pPr>
        <w:autoSpaceDE w:val="0"/>
        <w:autoSpaceDN w:val="0"/>
        <w:adjustRightInd w:val="0"/>
        <w:spacing w:line="360" w:lineRule="auto"/>
        <w:jc w:val="both"/>
        <w:rPr>
          <w:rFonts w:ascii="Palatino Linotype" w:hAnsi="Palatino Linotype" w:cs="Arial"/>
        </w:rPr>
      </w:pPr>
      <w:r w:rsidRPr="00843DDC">
        <w:rPr>
          <w:rFonts w:ascii="Palatino Linotype" w:hAnsi="Palatino Linotype"/>
          <w:b/>
          <w:sz w:val="28"/>
          <w:szCs w:val="28"/>
        </w:rPr>
        <w:t>QUINTO</w:t>
      </w:r>
      <w:r w:rsidRPr="00843DDC">
        <w:rPr>
          <w:rFonts w:ascii="Palatino Linotype" w:hAnsi="Palatino Linotype"/>
          <w:b/>
        </w:rPr>
        <w:t xml:space="preserve">. </w:t>
      </w:r>
      <w:r w:rsidRPr="00843DDC">
        <w:rPr>
          <w:rFonts w:ascii="Palatino Linotype" w:hAnsi="Palatino Linotype" w:cs="Arial"/>
          <w:b/>
        </w:rPr>
        <w:t>NOTIFÍQUESE</w:t>
      </w:r>
      <w:r w:rsidRPr="00843DDC">
        <w:rPr>
          <w:rFonts w:ascii="Palatino Linotype" w:hAnsi="Palatino Linotype" w:cs="Arial"/>
        </w:rPr>
        <w:t xml:space="preserve"> a través del Sistema de Acceso a la Información Mexiquense </w:t>
      </w:r>
      <w:r w:rsidRPr="00843DDC">
        <w:rPr>
          <w:rFonts w:ascii="Palatino Linotype" w:hAnsi="Palatino Linotype" w:cs="Arial"/>
          <w:b/>
        </w:rPr>
        <w:t>(SAIMEX)</w:t>
      </w:r>
      <w:r w:rsidRPr="00843DDC">
        <w:rPr>
          <w:rFonts w:ascii="Palatino Linotype" w:hAnsi="Palatino Linotype" w:cs="Arial"/>
        </w:rPr>
        <w:t xml:space="preserve">, al </w:t>
      </w:r>
      <w:r w:rsidRPr="00843DDC">
        <w:rPr>
          <w:rFonts w:ascii="Palatino Linotype" w:hAnsi="Palatino Linotype" w:cs="Arial"/>
          <w:b/>
        </w:rPr>
        <w:t>Recurrente</w:t>
      </w:r>
      <w:r w:rsidRPr="00843DDC">
        <w:rPr>
          <w:rFonts w:ascii="Palatino Linotype" w:hAnsi="Palatino Linotype" w:cs="Arial"/>
        </w:rPr>
        <w:t xml:space="preserve"> y hágasele del conocimiento que en caso de considerar que le causa algún perjuicio, podrá promover el Juicio de Amparo en los términos de las leyes aplicables, de acuerdo a lo estipulado por el artículo 196 de la Ley de Transparencia y Acceso a la Información Pública del Estado de México y Municipios.</w:t>
      </w:r>
    </w:p>
    <w:p w:rsidR="00960B45" w:rsidRPr="00843DDC" w:rsidRDefault="00960B45" w:rsidP="00960B45">
      <w:pPr>
        <w:spacing w:line="360" w:lineRule="auto"/>
        <w:jc w:val="both"/>
        <w:rPr>
          <w:rFonts w:ascii="Palatino Linotype" w:hAnsi="Palatino Linotype" w:cs="Arial"/>
        </w:rPr>
      </w:pPr>
    </w:p>
    <w:p w:rsidR="00960B45" w:rsidRPr="00843DDC" w:rsidRDefault="00960B45" w:rsidP="00960B45">
      <w:pPr>
        <w:spacing w:line="360" w:lineRule="auto"/>
        <w:jc w:val="both"/>
        <w:rPr>
          <w:rFonts w:ascii="Palatino Linotype" w:hAnsi="Palatino Linotype" w:cs="Arial"/>
        </w:rPr>
      </w:pPr>
      <w:r w:rsidRPr="00843DDC">
        <w:rPr>
          <w:rFonts w:ascii="Palatino Linotype" w:hAnsi="Palatino Linotype" w:cs="Arial"/>
        </w:rPr>
        <w:t>ASÍ LO RESUELVE, POR UNANIMIDAD DE VOTOS EL PLENO DEL</w:t>
      </w:r>
      <w:r w:rsidRPr="00843DDC">
        <w:rPr>
          <w:rFonts w:ascii="Palatino Linotype" w:eastAsia="Arial Unicode MS" w:hAnsi="Palatino Linotype" w:cs="Arial"/>
        </w:rPr>
        <w:t xml:space="preserve"> INSTITUTO DE TRANSPARENCIA, ACCESO A LA INFORMACIÓN PÚBLICA Y PROTECCIÓN DE DATOS PERSONALES DEL ESTADO DE MÉXICO Y MUNICIPIOS</w:t>
      </w:r>
      <w:r w:rsidRPr="00843DDC">
        <w:rPr>
          <w:rFonts w:ascii="Palatino Linotype" w:hAnsi="Palatino Linotype" w:cs="Arial"/>
        </w:rPr>
        <w:t>, CONFORMADO POR LOS COMISIONADOS JOSÉ MARTÍNEZ VILCHIS, MARÍA DEL ROSARIO MEJÍA AYALA, SHARON CRISTINA MORALES MARTÍNEZ, LUIS GUSTAVO PARRA NORIEGA Y GUADALUPE RAMÍREZ PEÑA</w:t>
      </w:r>
      <w:r w:rsidR="008D3667" w:rsidRPr="00843DDC">
        <w:rPr>
          <w:rFonts w:ascii="Palatino Linotype" w:hAnsi="Palatino Linotype" w:cs="Arial"/>
        </w:rPr>
        <w:t xml:space="preserve"> (EMITE VOTO PARTICULAR)</w:t>
      </w:r>
      <w:r w:rsidRPr="00843DDC">
        <w:rPr>
          <w:rFonts w:ascii="Palatino Linotype" w:hAnsi="Palatino Linotype" w:cs="Arial"/>
        </w:rPr>
        <w:t xml:space="preserve">, EN LA </w:t>
      </w:r>
      <w:r w:rsidR="00E87D7E" w:rsidRPr="00843DDC">
        <w:rPr>
          <w:rFonts w:ascii="Palatino Linotype" w:hAnsi="Palatino Linotype" w:cs="Arial"/>
        </w:rPr>
        <w:t>VIGÉS</w:t>
      </w:r>
      <w:r w:rsidRPr="00843DDC">
        <w:rPr>
          <w:rFonts w:ascii="Palatino Linotype" w:hAnsi="Palatino Linotype" w:cs="Arial"/>
        </w:rPr>
        <w:t xml:space="preserve">IMA </w:t>
      </w:r>
      <w:r w:rsidR="00E87D7E" w:rsidRPr="00843DDC">
        <w:rPr>
          <w:rFonts w:ascii="Palatino Linotype" w:hAnsi="Palatino Linotype" w:cs="Arial"/>
        </w:rPr>
        <w:t>SEGUNDA</w:t>
      </w:r>
      <w:r w:rsidRPr="00843DDC">
        <w:rPr>
          <w:rFonts w:ascii="Palatino Linotype" w:hAnsi="Palatino Linotype" w:cs="Arial"/>
        </w:rPr>
        <w:t xml:space="preserve"> SESIÓN ORDINARIA CELEBRADA EL </w:t>
      </w:r>
      <w:r w:rsidR="00E87D7E" w:rsidRPr="00843DDC">
        <w:rPr>
          <w:rFonts w:ascii="Palatino Linotype" w:hAnsi="Palatino Linotype" w:cs="Arial"/>
        </w:rPr>
        <w:t>DIECISIETE DE JUNIO</w:t>
      </w:r>
      <w:r w:rsidRPr="00843DDC">
        <w:rPr>
          <w:rFonts w:ascii="Palatino Linotype" w:hAnsi="Palatino Linotype" w:cs="Arial"/>
        </w:rPr>
        <w:t xml:space="preserve"> DE DOS MIL VEINTISÉIS, ANTE EL SECRETARIO TÉCNICO DEL PLENO, ALEXIS TAPIA RAMÍREZ. --------------------------------------------------------------------------------------------------------------------------------------------------------------</w:t>
      </w:r>
    </w:p>
    <w:p w:rsidR="00960B45" w:rsidRDefault="00960B45" w:rsidP="00960B45">
      <w:pPr>
        <w:spacing w:line="360" w:lineRule="auto"/>
        <w:jc w:val="both"/>
        <w:rPr>
          <w:rFonts w:ascii="Palatino Linotype" w:hAnsi="Palatino Linotype" w:cs="Arial"/>
          <w:sz w:val="16"/>
        </w:rPr>
      </w:pPr>
      <w:r w:rsidRPr="00843DDC">
        <w:rPr>
          <w:rFonts w:ascii="Palatino Linotype" w:hAnsi="Palatino Linotype" w:cs="Arial"/>
          <w:sz w:val="16"/>
        </w:rPr>
        <w:t>JMV/CCR/LMST</w:t>
      </w:r>
    </w:p>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960B45" w:rsidRDefault="00960B45" w:rsidP="00960B45"/>
    <w:p w:rsidR="001A48F9" w:rsidRDefault="001A48F9"/>
    <w:sectPr w:rsidR="001A48F9" w:rsidSect="00837D20">
      <w:headerReference w:type="default" r:id="rId9"/>
      <w:footerReference w:type="default" r:id="rId10"/>
      <w:headerReference w:type="first" r:id="rId11"/>
      <w:footerReference w:type="first" r:id="rId12"/>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5A13" w:rsidRDefault="00C65A13" w:rsidP="00960B45">
      <w:r>
        <w:separator/>
      </w:r>
    </w:p>
  </w:endnote>
  <w:endnote w:type="continuationSeparator" w:id="0">
    <w:p w:rsidR="00C65A13" w:rsidRDefault="00C65A13" w:rsidP="00960B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D20" w:rsidRPr="00A2780F" w:rsidRDefault="00837D20" w:rsidP="00837D20">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862EC4">
      <w:rPr>
        <w:rFonts w:ascii="Arial" w:hAnsi="Arial" w:cs="Arial"/>
        <w:b/>
        <w:bCs/>
        <w:noProof/>
        <w:sz w:val="20"/>
        <w:szCs w:val="20"/>
      </w:rPr>
      <w:t>4</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862EC4">
      <w:rPr>
        <w:rFonts w:ascii="Arial" w:hAnsi="Arial" w:cs="Arial"/>
        <w:b/>
        <w:bCs/>
        <w:noProof/>
        <w:sz w:val="20"/>
        <w:szCs w:val="20"/>
      </w:rPr>
      <w:t>28</w:t>
    </w:r>
    <w:r w:rsidRPr="00986599">
      <w:rPr>
        <w:rFonts w:ascii="Arial" w:hAnsi="Arial" w:cs="Arial"/>
        <w:b/>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37D20" w:rsidRPr="00070856" w:rsidRDefault="00837D20" w:rsidP="00837D20">
    <w:pPr>
      <w:pStyle w:val="Piedepgina"/>
      <w:jc w:val="right"/>
      <w:rPr>
        <w:rFonts w:ascii="Arial" w:hAnsi="Arial" w:cs="Arial"/>
        <w:sz w:val="20"/>
        <w:szCs w:val="20"/>
      </w:rPr>
    </w:pPr>
    <w:r>
      <w:rPr>
        <w:rFonts w:ascii="Arial" w:hAnsi="Arial" w:cs="Arial"/>
        <w:b/>
        <w:bCs/>
        <w:sz w:val="20"/>
        <w:szCs w:val="20"/>
      </w:rPr>
      <w:t xml:space="preserve">Página </w:t>
    </w:r>
    <w:r w:rsidRPr="00986599">
      <w:rPr>
        <w:rFonts w:ascii="Arial" w:hAnsi="Arial" w:cs="Arial"/>
        <w:b/>
        <w:bCs/>
        <w:sz w:val="20"/>
        <w:szCs w:val="20"/>
      </w:rPr>
      <w:fldChar w:fldCharType="begin"/>
    </w:r>
    <w:r w:rsidRPr="00986599">
      <w:rPr>
        <w:rFonts w:ascii="Arial" w:hAnsi="Arial" w:cs="Arial"/>
        <w:b/>
        <w:bCs/>
        <w:sz w:val="20"/>
        <w:szCs w:val="20"/>
      </w:rPr>
      <w:instrText>PAGE</w:instrText>
    </w:r>
    <w:r w:rsidRPr="00986599">
      <w:rPr>
        <w:rFonts w:ascii="Arial" w:hAnsi="Arial" w:cs="Arial"/>
        <w:b/>
        <w:bCs/>
        <w:sz w:val="20"/>
        <w:szCs w:val="20"/>
      </w:rPr>
      <w:fldChar w:fldCharType="separate"/>
    </w:r>
    <w:r w:rsidR="00862EC4">
      <w:rPr>
        <w:rFonts w:ascii="Arial" w:hAnsi="Arial" w:cs="Arial"/>
        <w:b/>
        <w:bCs/>
        <w:noProof/>
        <w:sz w:val="20"/>
        <w:szCs w:val="20"/>
      </w:rPr>
      <w:t>1</w:t>
    </w:r>
    <w:r w:rsidRPr="00986599">
      <w:rPr>
        <w:rFonts w:ascii="Arial" w:hAnsi="Arial" w:cs="Arial"/>
        <w:b/>
        <w:bCs/>
        <w:sz w:val="20"/>
        <w:szCs w:val="20"/>
      </w:rPr>
      <w:fldChar w:fldCharType="end"/>
    </w:r>
    <w:r w:rsidRPr="00986599">
      <w:rPr>
        <w:rFonts w:ascii="Arial" w:hAnsi="Arial" w:cs="Arial"/>
        <w:sz w:val="20"/>
        <w:szCs w:val="20"/>
      </w:rPr>
      <w:t xml:space="preserve"> de </w:t>
    </w:r>
    <w:r w:rsidRPr="00986599">
      <w:rPr>
        <w:rFonts w:ascii="Arial" w:hAnsi="Arial" w:cs="Arial"/>
        <w:b/>
        <w:bCs/>
        <w:sz w:val="20"/>
        <w:szCs w:val="20"/>
      </w:rPr>
      <w:fldChar w:fldCharType="begin"/>
    </w:r>
    <w:r w:rsidRPr="00986599">
      <w:rPr>
        <w:rFonts w:ascii="Arial" w:hAnsi="Arial" w:cs="Arial"/>
        <w:b/>
        <w:bCs/>
        <w:sz w:val="20"/>
        <w:szCs w:val="20"/>
      </w:rPr>
      <w:instrText>NUMPAGES</w:instrText>
    </w:r>
    <w:r w:rsidRPr="00986599">
      <w:rPr>
        <w:rFonts w:ascii="Arial" w:hAnsi="Arial" w:cs="Arial"/>
        <w:b/>
        <w:bCs/>
        <w:sz w:val="20"/>
        <w:szCs w:val="20"/>
      </w:rPr>
      <w:fldChar w:fldCharType="separate"/>
    </w:r>
    <w:r w:rsidR="00862EC4">
      <w:rPr>
        <w:rFonts w:ascii="Arial" w:hAnsi="Arial" w:cs="Arial"/>
        <w:b/>
        <w:bCs/>
        <w:noProof/>
        <w:sz w:val="20"/>
        <w:szCs w:val="20"/>
      </w:rPr>
      <w:t>28</w:t>
    </w:r>
    <w:r w:rsidRPr="00986599">
      <w:rPr>
        <w:rFonts w:ascii="Arial" w:hAnsi="Arial" w:cs="Arial"/>
        <w:b/>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5A13" w:rsidRDefault="00C65A13" w:rsidP="00960B45">
      <w:r>
        <w:separator/>
      </w:r>
    </w:p>
  </w:footnote>
  <w:footnote w:type="continuationSeparator" w:id="0">
    <w:p w:rsidR="00C65A13" w:rsidRDefault="00C65A13" w:rsidP="00960B45">
      <w:r>
        <w:continuationSeparator/>
      </w:r>
    </w:p>
  </w:footnote>
  <w:footnote w:id="1">
    <w:p w:rsidR="00837D20" w:rsidRPr="005552A8" w:rsidRDefault="00837D20" w:rsidP="00960B45">
      <w:pPr>
        <w:jc w:val="both"/>
        <w:rPr>
          <w:rFonts w:ascii="Palatino Linotype" w:hAnsi="Palatino Linotype"/>
          <w:b/>
          <w:bCs/>
          <w:i/>
          <w:sz w:val="16"/>
          <w:szCs w:val="16"/>
          <w:lang w:eastAsia="es-MX"/>
        </w:rPr>
      </w:pPr>
      <w:r>
        <w:rPr>
          <w:rStyle w:val="Refdenotaalpie"/>
        </w:rPr>
        <w:footnoteRef/>
      </w:r>
      <w:r>
        <w:t xml:space="preserve"> </w:t>
      </w:r>
      <w:r w:rsidRPr="005552A8">
        <w:rPr>
          <w:rFonts w:ascii="Palatino Linotype" w:hAnsi="Palatino Linotype"/>
          <w:b/>
          <w:bCs/>
          <w:i/>
          <w:sz w:val="16"/>
          <w:szCs w:val="16"/>
        </w:rPr>
        <w:t>IMPROCEDENCIA Y SOBRESEIMIENTO EN EL JUICIO DE AMPARO. LAS CAUSAS PREVISTAS EN LOS ARTÍCULOS 73 Y 74 DE LA LEY DE LA MATERIA, RESPECTIVAMENTE, NO SON INCOMPATIBLES CON EL ARTÍCULO 25.1 DE LA CONVENCIÓN AMERICANA SOBRE DERECHOS HUMANOS.</w:t>
      </w:r>
    </w:p>
    <w:p w:rsidR="00837D20" w:rsidRPr="005552A8" w:rsidRDefault="00837D20" w:rsidP="00960B45">
      <w:pPr>
        <w:jc w:val="both"/>
        <w:rPr>
          <w:rFonts w:ascii="Palatino Linotype" w:hAnsi="Palatino Linotype"/>
          <w:i/>
          <w:sz w:val="16"/>
          <w:szCs w:val="16"/>
        </w:rPr>
      </w:pPr>
      <w:r w:rsidRPr="005552A8">
        <w:rPr>
          <w:rFonts w:ascii="Palatino Linotype" w:hAnsi="Palatino Linotype"/>
          <w:i/>
          <w:sz w:val="16"/>
          <w:szCs w:val="16"/>
        </w:rPr>
        <w:t>Del examen de compatibilidad de los artículos</w:t>
      </w:r>
      <w:r w:rsidRPr="005552A8">
        <w:rPr>
          <w:rStyle w:val="apple-converted-space"/>
          <w:rFonts w:ascii="Palatino Linotype" w:hAnsi="Palatino Linotype"/>
          <w:i/>
          <w:sz w:val="16"/>
          <w:szCs w:val="16"/>
        </w:rPr>
        <w:t> </w:t>
      </w:r>
      <w:hyperlink r:id="rId1" w:history="1">
        <w:r w:rsidRPr="005552A8">
          <w:rPr>
            <w:rStyle w:val="Hipervnculo"/>
            <w:rFonts w:ascii="Palatino Linotype" w:hAnsi="Palatino Linotype"/>
            <w:i/>
            <w:sz w:val="16"/>
            <w:szCs w:val="16"/>
          </w:rPr>
          <w:t>73 y 74 de la Ley de Amparo</w:t>
        </w:r>
      </w:hyperlink>
      <w:r w:rsidRPr="005552A8">
        <w:rPr>
          <w:rStyle w:val="apple-converted-space"/>
          <w:rFonts w:ascii="Palatino Linotype" w:hAnsi="Palatino Linotype"/>
          <w:i/>
          <w:sz w:val="16"/>
          <w:szCs w:val="16"/>
        </w:rPr>
        <w:t> </w:t>
      </w:r>
      <w:r w:rsidRPr="005552A8">
        <w:rPr>
          <w:rFonts w:ascii="Palatino Linotype" w:hAnsi="Palatino Linotype"/>
          <w:i/>
          <w:sz w:val="16"/>
          <w:szCs w:val="16"/>
        </w:rPr>
        <w:t>con el artículo</w:t>
      </w:r>
      <w:r w:rsidRPr="005552A8">
        <w:rPr>
          <w:rStyle w:val="apple-converted-space"/>
          <w:rFonts w:ascii="Palatino Linotype" w:hAnsi="Palatino Linotype"/>
          <w:i/>
          <w:sz w:val="16"/>
          <w:szCs w:val="16"/>
        </w:rPr>
        <w:t> </w:t>
      </w:r>
      <w:hyperlink r:id="rId2" w:history="1">
        <w:r w:rsidRPr="005552A8">
          <w:rPr>
            <w:rStyle w:val="Hipervnculo"/>
            <w:rFonts w:ascii="Palatino Linotype" w:hAnsi="Palatino Linotype"/>
            <w:i/>
            <w:sz w:val="16"/>
            <w:szCs w:val="16"/>
          </w:rPr>
          <w:t>25.1 de la Convención Americana sobre Derechos Humanos</w:t>
        </w:r>
      </w:hyperlink>
      <w:r w:rsidRPr="005552A8">
        <w:rPr>
          <w:rStyle w:val="apple-converted-space"/>
          <w:rFonts w:ascii="Palatino Linotype" w:hAnsi="Palatino Linotype"/>
          <w:i/>
          <w:sz w:val="16"/>
          <w:szCs w:val="16"/>
        </w:rPr>
        <w:t> </w:t>
      </w:r>
      <w:r w:rsidRPr="005552A8">
        <w:rPr>
          <w:rFonts w:ascii="Palatino Linotype" w:hAnsi="Palatino Linotype"/>
          <w:b/>
          <w:i/>
          <w:sz w:val="16"/>
          <w:szCs w:val="16"/>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5552A8">
        <w:rPr>
          <w:rFonts w:ascii="Palatino Linotype" w:hAnsi="Palatino Linotype"/>
          <w:i/>
          <w:sz w:val="16"/>
          <w:szCs w:val="16"/>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872" w:type="dxa"/>
      <w:tblInd w:w="1200" w:type="dxa"/>
      <w:tblLayout w:type="fixed"/>
      <w:tblLook w:val="04A0" w:firstRow="1" w:lastRow="0" w:firstColumn="1" w:lastColumn="0" w:noHBand="0" w:noVBand="1"/>
    </w:tblPr>
    <w:tblGrid>
      <w:gridCol w:w="3620"/>
      <w:gridCol w:w="4252"/>
    </w:tblGrid>
    <w:tr w:rsidR="00837D20" w:rsidRPr="008F2CCC" w:rsidTr="00837D20">
      <w:tc>
        <w:tcPr>
          <w:tcW w:w="3620" w:type="dxa"/>
          <w:shd w:val="clear" w:color="auto" w:fill="auto"/>
        </w:tcPr>
        <w:p w:rsidR="00837D20" w:rsidRPr="007E5FC4" w:rsidRDefault="00837D20" w:rsidP="00837D20">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252" w:type="dxa"/>
          <w:shd w:val="clear" w:color="auto" w:fill="auto"/>
          <w:vAlign w:val="center"/>
        </w:tcPr>
        <w:p w:rsidR="00837D20" w:rsidRPr="00664658" w:rsidRDefault="00837D20" w:rsidP="00960B45">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09540/INFOEM/IP/RR/2025</w:t>
          </w:r>
        </w:p>
      </w:tc>
    </w:tr>
    <w:tr w:rsidR="00837D20" w:rsidRPr="008F2CCC" w:rsidTr="00837D20">
      <w:tc>
        <w:tcPr>
          <w:tcW w:w="3620" w:type="dxa"/>
          <w:shd w:val="clear" w:color="auto" w:fill="auto"/>
        </w:tcPr>
        <w:p w:rsidR="00837D20" w:rsidRPr="007E5FC4" w:rsidRDefault="00837D20" w:rsidP="00837D20">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252" w:type="dxa"/>
          <w:shd w:val="clear" w:color="auto" w:fill="auto"/>
          <w:vAlign w:val="center"/>
        </w:tcPr>
        <w:p w:rsidR="00837D20" w:rsidRPr="00664658" w:rsidRDefault="00837D20" w:rsidP="00837D20">
          <w:pPr>
            <w:spacing w:line="276" w:lineRule="auto"/>
            <w:jc w:val="right"/>
            <w:rPr>
              <w:rFonts w:ascii="Palatino Linotype" w:hAnsi="Palatino Linotype"/>
              <w:b/>
              <w:sz w:val="22"/>
              <w:szCs w:val="22"/>
              <w:lang w:val="es-ES_tradnl"/>
            </w:rPr>
          </w:pPr>
          <w:r w:rsidRPr="00960B45">
            <w:rPr>
              <w:rFonts w:ascii="Palatino Linotype" w:hAnsi="Palatino Linotype"/>
              <w:b/>
            </w:rPr>
            <w:t>Ayuntamiento de Tenancingo</w:t>
          </w:r>
        </w:p>
      </w:tc>
    </w:tr>
    <w:tr w:rsidR="00837D20" w:rsidRPr="008F2CCC" w:rsidTr="00837D20">
      <w:trPr>
        <w:trHeight w:val="228"/>
      </w:trPr>
      <w:tc>
        <w:tcPr>
          <w:tcW w:w="3620" w:type="dxa"/>
          <w:shd w:val="clear" w:color="auto" w:fill="auto"/>
        </w:tcPr>
        <w:p w:rsidR="00837D20" w:rsidRPr="007E5FC4" w:rsidRDefault="00837D20" w:rsidP="00837D20">
          <w:pPr>
            <w:spacing w:line="276"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252" w:type="dxa"/>
          <w:shd w:val="clear" w:color="auto" w:fill="auto"/>
        </w:tcPr>
        <w:p w:rsidR="00837D20" w:rsidRPr="00664658" w:rsidRDefault="00837D20" w:rsidP="00837D20">
          <w:pPr>
            <w:spacing w:line="276"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837D20" w:rsidRDefault="00837D20" w:rsidP="00837D20">
    <w:pPr>
      <w:pStyle w:val="Encabezado"/>
      <w:tabs>
        <w:tab w:val="clear" w:pos="4252"/>
        <w:tab w:val="clear" w:pos="8504"/>
        <w:tab w:val="left" w:pos="2326"/>
      </w:tabs>
      <w:rPr>
        <w:rFonts w:ascii="Palatino Linotype" w:hAnsi="Palatino Linotype"/>
        <w:sz w:val="20"/>
      </w:rPr>
    </w:pPr>
  </w:p>
  <w:p w:rsidR="00837D20" w:rsidRPr="001779E0" w:rsidRDefault="00837D20" w:rsidP="00837D20">
    <w:pPr>
      <w:pStyle w:val="Encabezado"/>
      <w:tabs>
        <w:tab w:val="clear" w:pos="4252"/>
        <w:tab w:val="clear" w:pos="8504"/>
        <w:tab w:val="left" w:pos="2326"/>
      </w:tabs>
      <w:rPr>
        <w:rFonts w:ascii="Palatino Linotype" w:hAnsi="Palatino Linotype"/>
        <w:sz w:val="20"/>
      </w:rPr>
    </w:pPr>
    <w:r>
      <w:rPr>
        <w:rFonts w:ascii="Palatino Linotype" w:hAnsi="Palatino Linotype" w:cs="Arial"/>
        <w:b/>
        <w:noProof/>
        <w:szCs w:val="20"/>
        <w:lang w:val="es-MX" w:eastAsia="es-MX"/>
      </w:rPr>
      <w:drawing>
        <wp:anchor distT="0" distB="0" distL="114300" distR="114300" simplePos="0" relativeHeight="251660288" behindDoc="1" locked="0" layoutInCell="0" allowOverlap="1" wp14:anchorId="1F018639" wp14:editId="1886EF55">
          <wp:simplePos x="0" y="0"/>
          <wp:positionH relativeFrom="page">
            <wp:align>left</wp:align>
          </wp:positionH>
          <wp:positionV relativeFrom="page">
            <wp:posOffset>35560</wp:posOffset>
          </wp:positionV>
          <wp:extent cx="7705725" cy="10048875"/>
          <wp:effectExtent l="0" t="0" r="9525" b="9525"/>
          <wp:wrapNone/>
          <wp:docPr id="7" name="Imagen 7"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1635" w:type="dxa"/>
      <w:tblLayout w:type="fixed"/>
      <w:tblLook w:val="04A0" w:firstRow="1" w:lastRow="0" w:firstColumn="1" w:lastColumn="0" w:noHBand="0" w:noVBand="1"/>
    </w:tblPr>
    <w:tblGrid>
      <w:gridCol w:w="2977"/>
      <w:gridCol w:w="4536"/>
    </w:tblGrid>
    <w:tr w:rsidR="00837D20" w:rsidRPr="008F2CCC" w:rsidTr="00837D20">
      <w:tc>
        <w:tcPr>
          <w:tcW w:w="2977" w:type="dxa"/>
          <w:shd w:val="clear" w:color="auto" w:fill="auto"/>
        </w:tcPr>
        <w:p w:rsidR="00837D20" w:rsidRPr="007E5FC4" w:rsidRDefault="00837D20" w:rsidP="00837D20">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Recurso de revisión:</w:t>
          </w:r>
        </w:p>
      </w:tc>
      <w:tc>
        <w:tcPr>
          <w:tcW w:w="4536" w:type="dxa"/>
          <w:shd w:val="clear" w:color="auto" w:fill="auto"/>
          <w:vAlign w:val="center"/>
        </w:tcPr>
        <w:p w:rsidR="00837D20" w:rsidRPr="008F2CCC" w:rsidRDefault="00837D20" w:rsidP="00960B45">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09540/INFOEM/IP/RR/2025</w:t>
          </w:r>
        </w:p>
      </w:tc>
    </w:tr>
    <w:tr w:rsidR="00837D20" w:rsidRPr="008F2CCC" w:rsidTr="00837D20">
      <w:tc>
        <w:tcPr>
          <w:tcW w:w="2977" w:type="dxa"/>
          <w:shd w:val="clear" w:color="auto" w:fill="auto"/>
          <w:vAlign w:val="center"/>
        </w:tcPr>
        <w:p w:rsidR="00837D20" w:rsidRPr="007E5FC4" w:rsidRDefault="00837D20" w:rsidP="00837D20">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Recurrente:</w:t>
          </w:r>
        </w:p>
      </w:tc>
      <w:tc>
        <w:tcPr>
          <w:tcW w:w="4536" w:type="dxa"/>
          <w:shd w:val="clear" w:color="auto" w:fill="auto"/>
          <w:vAlign w:val="center"/>
        </w:tcPr>
        <w:p w:rsidR="00837D20" w:rsidRPr="008F2CCC" w:rsidRDefault="00862EC4" w:rsidP="00837D20">
          <w:pPr>
            <w:spacing w:line="360" w:lineRule="auto"/>
            <w:jc w:val="right"/>
            <w:rPr>
              <w:rFonts w:ascii="Palatino Linotype" w:hAnsi="Palatino Linotype"/>
              <w:b/>
              <w:sz w:val="22"/>
              <w:szCs w:val="22"/>
              <w:lang w:val="es-ES_tradnl"/>
            </w:rPr>
          </w:pPr>
          <w:r>
            <w:rPr>
              <w:rFonts w:ascii="Palatino Linotype" w:hAnsi="Palatino Linotype"/>
              <w:b/>
              <w:bCs/>
              <w:sz w:val="22"/>
              <w:szCs w:val="22"/>
            </w:rPr>
            <w:t>XXXXXXXXXXXXX</w:t>
          </w:r>
          <w:r w:rsidR="00837D20">
            <w:rPr>
              <w:rFonts w:ascii="Palatino Linotype" w:hAnsi="Palatino Linotype"/>
              <w:b/>
              <w:sz w:val="22"/>
              <w:szCs w:val="22"/>
              <w:lang w:val="es-ES_tradnl"/>
            </w:rPr>
            <w:t xml:space="preserve"> </w:t>
          </w:r>
        </w:p>
      </w:tc>
    </w:tr>
    <w:tr w:rsidR="00837D20" w:rsidRPr="008F2CCC" w:rsidTr="00837D20">
      <w:trPr>
        <w:trHeight w:val="228"/>
      </w:trPr>
      <w:tc>
        <w:tcPr>
          <w:tcW w:w="2977" w:type="dxa"/>
          <w:shd w:val="clear" w:color="auto" w:fill="auto"/>
        </w:tcPr>
        <w:p w:rsidR="00837D20" w:rsidRPr="007E5FC4" w:rsidRDefault="00837D20" w:rsidP="00837D20">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Sujeto Obligado:</w:t>
          </w:r>
        </w:p>
      </w:tc>
      <w:tc>
        <w:tcPr>
          <w:tcW w:w="4536" w:type="dxa"/>
          <w:shd w:val="clear" w:color="auto" w:fill="auto"/>
          <w:vAlign w:val="center"/>
        </w:tcPr>
        <w:p w:rsidR="00837D20" w:rsidRPr="00DC41C8" w:rsidRDefault="00837D20" w:rsidP="00837D20">
          <w:pPr>
            <w:spacing w:line="360" w:lineRule="auto"/>
            <w:jc w:val="right"/>
            <w:rPr>
              <w:rFonts w:ascii="Palatino Linotype" w:hAnsi="Palatino Linotype"/>
              <w:b/>
              <w:sz w:val="22"/>
              <w:szCs w:val="22"/>
            </w:rPr>
          </w:pPr>
          <w:r w:rsidRPr="00960B45">
            <w:rPr>
              <w:rFonts w:ascii="Palatino Linotype" w:hAnsi="Palatino Linotype"/>
              <w:b/>
              <w:sz w:val="22"/>
              <w:szCs w:val="22"/>
            </w:rPr>
            <w:t>Ayuntamiento de Tenancingo</w:t>
          </w:r>
        </w:p>
      </w:tc>
    </w:tr>
    <w:tr w:rsidR="00837D20" w:rsidRPr="008F2CCC" w:rsidTr="00837D20">
      <w:tc>
        <w:tcPr>
          <w:tcW w:w="2977" w:type="dxa"/>
          <w:shd w:val="clear" w:color="auto" w:fill="auto"/>
        </w:tcPr>
        <w:p w:rsidR="00837D20" w:rsidRPr="007E5FC4" w:rsidRDefault="00837D20" w:rsidP="00837D20">
          <w:pPr>
            <w:spacing w:line="360" w:lineRule="auto"/>
            <w:jc w:val="right"/>
            <w:rPr>
              <w:rFonts w:ascii="Palatino Linotype" w:hAnsi="Palatino Linotype"/>
              <w:sz w:val="22"/>
              <w:szCs w:val="22"/>
              <w:lang w:val="es-ES_tradnl"/>
            </w:rPr>
          </w:pPr>
          <w:r w:rsidRPr="007E5FC4">
            <w:rPr>
              <w:rFonts w:ascii="Palatino Linotype" w:hAnsi="Palatino Linotype"/>
              <w:sz w:val="22"/>
              <w:szCs w:val="22"/>
              <w:lang w:val="es-ES_tradnl"/>
            </w:rPr>
            <w:t>Comisionado Ponente:</w:t>
          </w:r>
        </w:p>
      </w:tc>
      <w:tc>
        <w:tcPr>
          <w:tcW w:w="4536" w:type="dxa"/>
          <w:shd w:val="clear" w:color="auto" w:fill="auto"/>
        </w:tcPr>
        <w:p w:rsidR="00837D20" w:rsidRPr="008F2CCC" w:rsidRDefault="00837D20" w:rsidP="00837D20">
          <w:pPr>
            <w:spacing w:line="360" w:lineRule="auto"/>
            <w:jc w:val="right"/>
            <w:rPr>
              <w:rFonts w:ascii="Palatino Linotype" w:hAnsi="Palatino Linotype"/>
              <w:b/>
              <w:sz w:val="22"/>
              <w:szCs w:val="22"/>
              <w:lang w:val="es-ES_tradnl"/>
            </w:rPr>
          </w:pPr>
          <w:r>
            <w:rPr>
              <w:rFonts w:ascii="Palatino Linotype" w:hAnsi="Palatino Linotype"/>
              <w:b/>
              <w:sz w:val="22"/>
              <w:szCs w:val="22"/>
              <w:lang w:val="es-ES_tradnl"/>
            </w:rPr>
            <w:t>José Martínez Vilchis</w:t>
          </w:r>
        </w:p>
      </w:tc>
    </w:tr>
  </w:tbl>
  <w:p w:rsidR="00837D20" w:rsidRPr="009F1AB6" w:rsidRDefault="00837D20">
    <w:pPr>
      <w:pStyle w:val="Encabezado"/>
      <w:rPr>
        <w:sz w:val="10"/>
      </w:rPr>
    </w:pPr>
    <w:r>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B985351" wp14:editId="6DC1102E">
          <wp:simplePos x="0" y="0"/>
          <wp:positionH relativeFrom="page">
            <wp:align>left</wp:align>
          </wp:positionH>
          <wp:positionV relativeFrom="page">
            <wp:align>top</wp:align>
          </wp:positionV>
          <wp:extent cx="7705725" cy="10048875"/>
          <wp:effectExtent l="0" t="0" r="9525" b="9525"/>
          <wp:wrapNone/>
          <wp:docPr id="4" name="Imagen 4"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60E7A"/>
    <w:multiLevelType w:val="hybridMultilevel"/>
    <w:tmpl w:val="22DA709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C4A1608"/>
    <w:multiLevelType w:val="hybridMultilevel"/>
    <w:tmpl w:val="E1065DF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1B763CCF"/>
    <w:multiLevelType w:val="hybridMultilevel"/>
    <w:tmpl w:val="C3729D98"/>
    <w:lvl w:ilvl="0" w:tplc="714CCD26">
      <w:start w:val="1"/>
      <w:numFmt w:val="upperRoman"/>
      <w:lvlText w:val="%1."/>
      <w:lvlJc w:val="left"/>
      <w:pPr>
        <w:ind w:left="1571" w:hanging="720"/>
      </w:pPr>
      <w:rPr>
        <w:rFonts w:hint="default"/>
        <w:b w:val="0"/>
      </w:rPr>
    </w:lvl>
    <w:lvl w:ilvl="1" w:tplc="080A0019" w:tentative="1">
      <w:start w:val="1"/>
      <w:numFmt w:val="lowerLetter"/>
      <w:lvlText w:val="%2."/>
      <w:lvlJc w:val="left"/>
      <w:pPr>
        <w:ind w:left="1931" w:hanging="360"/>
      </w:pPr>
    </w:lvl>
    <w:lvl w:ilvl="2" w:tplc="080A001B" w:tentative="1">
      <w:start w:val="1"/>
      <w:numFmt w:val="lowerRoman"/>
      <w:lvlText w:val="%3."/>
      <w:lvlJc w:val="right"/>
      <w:pPr>
        <w:ind w:left="2651" w:hanging="180"/>
      </w:pPr>
    </w:lvl>
    <w:lvl w:ilvl="3" w:tplc="080A000F" w:tentative="1">
      <w:start w:val="1"/>
      <w:numFmt w:val="decimal"/>
      <w:lvlText w:val="%4."/>
      <w:lvlJc w:val="left"/>
      <w:pPr>
        <w:ind w:left="3371" w:hanging="360"/>
      </w:pPr>
    </w:lvl>
    <w:lvl w:ilvl="4" w:tplc="080A0019" w:tentative="1">
      <w:start w:val="1"/>
      <w:numFmt w:val="lowerLetter"/>
      <w:lvlText w:val="%5."/>
      <w:lvlJc w:val="left"/>
      <w:pPr>
        <w:ind w:left="4091" w:hanging="360"/>
      </w:pPr>
    </w:lvl>
    <w:lvl w:ilvl="5" w:tplc="080A001B" w:tentative="1">
      <w:start w:val="1"/>
      <w:numFmt w:val="lowerRoman"/>
      <w:lvlText w:val="%6."/>
      <w:lvlJc w:val="right"/>
      <w:pPr>
        <w:ind w:left="4811" w:hanging="180"/>
      </w:pPr>
    </w:lvl>
    <w:lvl w:ilvl="6" w:tplc="080A000F" w:tentative="1">
      <w:start w:val="1"/>
      <w:numFmt w:val="decimal"/>
      <w:lvlText w:val="%7."/>
      <w:lvlJc w:val="left"/>
      <w:pPr>
        <w:ind w:left="5531" w:hanging="360"/>
      </w:pPr>
    </w:lvl>
    <w:lvl w:ilvl="7" w:tplc="080A0019" w:tentative="1">
      <w:start w:val="1"/>
      <w:numFmt w:val="lowerLetter"/>
      <w:lvlText w:val="%8."/>
      <w:lvlJc w:val="left"/>
      <w:pPr>
        <w:ind w:left="6251" w:hanging="360"/>
      </w:pPr>
    </w:lvl>
    <w:lvl w:ilvl="8" w:tplc="080A001B" w:tentative="1">
      <w:start w:val="1"/>
      <w:numFmt w:val="lowerRoman"/>
      <w:lvlText w:val="%9."/>
      <w:lvlJc w:val="right"/>
      <w:pPr>
        <w:ind w:left="6971" w:hanging="180"/>
      </w:pPr>
    </w:lvl>
  </w:abstractNum>
  <w:abstractNum w:abstractNumId="3" w15:restartNumberingAfterBreak="0">
    <w:nsid w:val="1DC42E03"/>
    <w:multiLevelType w:val="hybridMultilevel"/>
    <w:tmpl w:val="DB56F1D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C2F523E"/>
    <w:multiLevelType w:val="hybridMultilevel"/>
    <w:tmpl w:val="FE6C17A0"/>
    <w:lvl w:ilvl="0" w:tplc="B3E4D56A">
      <w:start w:val="1"/>
      <w:numFmt w:val="decimal"/>
      <w:lvlText w:val="%1."/>
      <w:lvlJc w:val="left"/>
      <w:pPr>
        <w:ind w:left="720" w:hanging="360"/>
      </w:pPr>
      <w:rPr>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CF86C0A"/>
    <w:multiLevelType w:val="hybridMultilevel"/>
    <w:tmpl w:val="2C9CC07C"/>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30CF2C4D"/>
    <w:multiLevelType w:val="hybridMultilevel"/>
    <w:tmpl w:val="8834BD4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67932D5F"/>
    <w:multiLevelType w:val="hybridMultilevel"/>
    <w:tmpl w:val="E8B8622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1"/>
  </w:num>
  <w:num w:numId="3">
    <w:abstractNumId w:val="2"/>
  </w:num>
  <w:num w:numId="4">
    <w:abstractNumId w:val="6"/>
  </w:num>
  <w:num w:numId="5">
    <w:abstractNumId w:val="0"/>
  </w:num>
  <w:num w:numId="6">
    <w:abstractNumId w:val="5"/>
  </w:num>
  <w:num w:numId="7">
    <w:abstractNumId w:val="3"/>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0B45"/>
    <w:rsid w:val="000D69B0"/>
    <w:rsid w:val="001A48F9"/>
    <w:rsid w:val="00811B6E"/>
    <w:rsid w:val="00837D20"/>
    <w:rsid w:val="00843DDC"/>
    <w:rsid w:val="00862EC4"/>
    <w:rsid w:val="008D3667"/>
    <w:rsid w:val="00960B45"/>
    <w:rsid w:val="00C65A13"/>
    <w:rsid w:val="00E87D7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0D1699-FBB5-4906-936E-2C54EEFD7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60B45"/>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60B45"/>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960B45"/>
    <w:rPr>
      <w:rFonts w:eastAsiaTheme="minorEastAsia"/>
      <w:sz w:val="24"/>
      <w:szCs w:val="24"/>
      <w:lang w:val="es-ES_tradnl" w:eastAsia="es-ES"/>
    </w:rPr>
  </w:style>
  <w:style w:type="paragraph" w:styleId="Piedepgina">
    <w:name w:val="footer"/>
    <w:basedOn w:val="Normal"/>
    <w:link w:val="PiedepginaCar"/>
    <w:uiPriority w:val="99"/>
    <w:unhideWhenUsed/>
    <w:rsid w:val="00960B45"/>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960B4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60B4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60B45"/>
    <w:rPr>
      <w:rFonts w:ascii="Times New Roman" w:eastAsia="Times New Roman" w:hAnsi="Times New Roman" w:cs="Times New Roman"/>
      <w:sz w:val="24"/>
      <w:szCs w:val="24"/>
      <w:lang w:val="es-ES" w:eastAsia="es-ES"/>
    </w:rPr>
  </w:style>
  <w:style w:type="paragraph" w:styleId="Sinespaciado">
    <w:name w:val="No Spacing"/>
    <w:aliases w:val="Francesa,INAI"/>
    <w:link w:val="SinespaciadoCar"/>
    <w:uiPriority w:val="1"/>
    <w:qFormat/>
    <w:rsid w:val="00960B45"/>
    <w:pPr>
      <w:spacing w:after="0" w:line="240" w:lineRule="auto"/>
    </w:pPr>
  </w:style>
  <w:style w:type="character" w:customStyle="1" w:styleId="SinespaciadoCar">
    <w:name w:val="Sin espaciado Car"/>
    <w:aliases w:val="Francesa Car,INAI Car"/>
    <w:link w:val="Sinespaciado"/>
    <w:uiPriority w:val="1"/>
    <w:locked/>
    <w:rsid w:val="00960B45"/>
  </w:style>
  <w:style w:type="character" w:styleId="Hipervnculo">
    <w:name w:val="Hyperlink"/>
    <w:aliases w:val="Hipervínculo1,Hipervínculo11,Hipervínculo12,Hipervínculo13,Hipervínculo14,Hipervínculo15"/>
    <w:basedOn w:val="Fuentedeprrafopredeter"/>
    <w:uiPriority w:val="99"/>
    <w:unhideWhenUsed/>
    <w:rsid w:val="00960B45"/>
    <w:rPr>
      <w:color w:val="0563C1" w:themeColor="hyperlink"/>
      <w:u w:val="single"/>
    </w:rPr>
  </w:style>
  <w:style w:type="paragraph" w:customStyle="1" w:styleId="INFOEM">
    <w:name w:val="INFOEM"/>
    <w:basedOn w:val="Normal"/>
    <w:qFormat/>
    <w:rsid w:val="00960B45"/>
    <w:pPr>
      <w:spacing w:before="240" w:after="160" w:line="360" w:lineRule="auto"/>
      <w:ind w:left="851" w:right="851"/>
      <w:jc w:val="both"/>
    </w:pPr>
    <w:rPr>
      <w:rFonts w:ascii="Palatino Linotype" w:eastAsiaTheme="minorHAnsi" w:hAnsi="Palatino Linotype" w:cstheme="minorBidi"/>
      <w:i/>
      <w:sz w:val="22"/>
      <w:szCs w:val="14"/>
      <w:lang w:val="es-MX" w:eastAsia="en-US"/>
    </w:rPr>
  </w:style>
  <w:style w:type="character" w:customStyle="1" w:styleId="apple-converted-space">
    <w:name w:val="apple-converted-space"/>
    <w:basedOn w:val="Fuentedeprrafopredeter"/>
    <w:rsid w:val="00960B45"/>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60B45"/>
    <w:rPr>
      <w:vertAlign w:val="superscript"/>
    </w:rPr>
  </w:style>
  <w:style w:type="paragraph" w:customStyle="1" w:styleId="infoemcitas">
    <w:name w:val="infoem citas"/>
    <w:basedOn w:val="Normal"/>
    <w:qFormat/>
    <w:rsid w:val="00960B45"/>
    <w:pPr>
      <w:spacing w:before="240" w:after="160" w:line="360" w:lineRule="auto"/>
      <w:ind w:left="851" w:right="851"/>
      <w:jc w:val="both"/>
    </w:pPr>
    <w:rPr>
      <w:rFonts w:ascii="Palatino Linotype" w:eastAsiaTheme="minorHAnsi" w:hAnsi="Palatino Linotype" w:cstheme="minorBidi"/>
      <w:i/>
      <w:sz w:val="22"/>
      <w:szCs w:val="22"/>
      <w:lang w:val="es-MX" w:eastAsia="en-US"/>
    </w:rPr>
  </w:style>
  <w:style w:type="table" w:styleId="Tablaconcuadrcula">
    <w:name w:val="Table Grid"/>
    <w:basedOn w:val="Tablanormal"/>
    <w:uiPriority w:val="39"/>
    <w:rsid w:val="0096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960B4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as">
    <w:name w:val="Citas"/>
    <w:basedOn w:val="Normal"/>
    <w:qFormat/>
    <w:rsid w:val="00960B45"/>
    <w:pPr>
      <w:spacing w:before="240" w:after="160" w:line="360" w:lineRule="auto"/>
      <w:ind w:left="851" w:right="851"/>
      <w:jc w:val="both"/>
    </w:pPr>
    <w:rPr>
      <w:rFonts w:ascii="Palatino Linotype" w:eastAsiaTheme="minorHAnsi" w:hAnsi="Palatino Linotype" w:cs="Arial"/>
      <w:i/>
      <w:sz w:val="22"/>
      <w:szCs w:val="22"/>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mp"/><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28</Pages>
  <Words>5985</Words>
  <Characters>32921</Characters>
  <Application>Microsoft Office Word</Application>
  <DocSecurity>0</DocSecurity>
  <Lines>274</Lines>
  <Paragraphs>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5</cp:revision>
  <cp:lastPrinted>2026-06-18T15:16:00Z</cp:lastPrinted>
  <dcterms:created xsi:type="dcterms:W3CDTF">2026-06-08T19:42:00Z</dcterms:created>
  <dcterms:modified xsi:type="dcterms:W3CDTF">2026-06-23T19:17:00Z</dcterms:modified>
</cp:coreProperties>
</file>