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68C" w:rsidRDefault="003352D4" w:rsidP="003440BA">
      <w:pPr>
        <w:tabs>
          <w:tab w:val="left" w:pos="0"/>
        </w:tabs>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tres (03) de junio de dos mil veintiséis.</w:t>
      </w:r>
      <w:r>
        <w:rPr>
          <w:rFonts w:ascii="Palatino Linotype" w:eastAsia="Palatino Linotype" w:hAnsi="Palatino Linotype" w:cs="Palatino Linotype"/>
        </w:rPr>
        <w:t xml:space="preserve"> </w:t>
      </w:r>
    </w:p>
    <w:p w:rsidR="0049068C" w:rsidRDefault="0049068C" w:rsidP="003440BA">
      <w:pPr>
        <w:tabs>
          <w:tab w:val="left" w:pos="0"/>
        </w:tabs>
        <w:spacing w:line="360" w:lineRule="auto"/>
        <w:ind w:right="-28"/>
        <w:jc w:val="both"/>
        <w:rPr>
          <w:rFonts w:ascii="Palatino Linotype" w:eastAsia="Palatino Linotype" w:hAnsi="Palatino Linotype" w:cs="Palatino Linotype"/>
        </w:rPr>
      </w:pPr>
    </w:p>
    <w:p w:rsidR="0049068C" w:rsidRDefault="003352D4" w:rsidP="003440BA">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11993/INFOEM/IP/RR/2025, </w:t>
      </w:r>
      <w:r>
        <w:rPr>
          <w:rFonts w:ascii="Palatino Linotype" w:eastAsia="Palatino Linotype" w:hAnsi="Palatino Linotype" w:cs="Palatino Linotype"/>
        </w:rPr>
        <w:t xml:space="preserve">promovido por </w:t>
      </w:r>
      <w:r w:rsidR="001E1988">
        <w:rPr>
          <w:rFonts w:ascii="Palatino Linotype" w:eastAsia="Palatino Linotype" w:hAnsi="Palatino Linotype" w:cs="Palatino Linotype"/>
          <w:b/>
          <w:bCs/>
        </w:rPr>
        <w:t>XXXX</w:t>
      </w:r>
      <w:r>
        <w:rPr>
          <w:rFonts w:ascii="Palatino Linotype" w:eastAsia="Palatino Linotype" w:hAnsi="Palatino Linotype" w:cs="Palatino Linotype"/>
        </w:rPr>
        <w:t xml:space="preserve">, a quien en lo sucesivo se le identificara como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el Oro,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 </w:t>
      </w:r>
      <w:r>
        <w:rPr>
          <w:rFonts w:ascii="Palatino Linotype" w:eastAsia="Palatino Linotype" w:hAnsi="Palatino Linotype" w:cs="Palatino Linotype"/>
        </w:rPr>
        <w:t xml:space="preserve">se procede a dictar la presente resolución, con base en los siguientes: </w:t>
      </w:r>
    </w:p>
    <w:p w:rsidR="0049068C" w:rsidRDefault="0049068C" w:rsidP="003440BA">
      <w:pPr>
        <w:spacing w:line="360" w:lineRule="auto"/>
        <w:ind w:right="-28"/>
        <w:jc w:val="both"/>
        <w:rPr>
          <w:rFonts w:ascii="Palatino Linotype" w:eastAsia="Palatino Linotype" w:hAnsi="Palatino Linotype" w:cs="Palatino Linotype"/>
        </w:rPr>
      </w:pPr>
    </w:p>
    <w:p w:rsidR="0049068C" w:rsidRDefault="003352D4" w:rsidP="003440BA">
      <w:pPr>
        <w:keepNext/>
        <w:keepLines/>
        <w:tabs>
          <w:tab w:val="left" w:pos="0"/>
        </w:tabs>
        <w:spacing w:line="360" w:lineRule="auto"/>
        <w:ind w:right="-28"/>
        <w:jc w:val="center"/>
        <w:rPr>
          <w:rFonts w:ascii="Palatino Linotype" w:eastAsia="Palatino Linotype" w:hAnsi="Palatino Linotype" w:cs="Palatino Linotype"/>
          <w:b/>
          <w:bCs/>
        </w:rPr>
      </w:pPr>
      <w:bookmarkStart w:id="0" w:name="_heading=h.wjih6ukha6pp" w:colFirst="0" w:colLast="0"/>
      <w:bookmarkEnd w:id="0"/>
      <w:r>
        <w:rPr>
          <w:rFonts w:ascii="Palatino Linotype" w:eastAsia="Palatino Linotype" w:hAnsi="Palatino Linotype" w:cs="Palatino Linotype"/>
          <w:b/>
          <w:bCs/>
        </w:rPr>
        <w:t>A N T E C E D E N T E S</w:t>
      </w:r>
    </w:p>
    <w:p w:rsidR="0049068C" w:rsidRDefault="0049068C" w:rsidP="003440BA">
      <w:pPr>
        <w:keepNext/>
        <w:keepLines/>
        <w:tabs>
          <w:tab w:val="left" w:pos="0"/>
        </w:tabs>
        <w:spacing w:line="360" w:lineRule="auto"/>
        <w:ind w:right="-28"/>
        <w:jc w:val="center"/>
        <w:rPr>
          <w:rFonts w:ascii="Palatino Linotype" w:eastAsia="Palatino Linotype" w:hAnsi="Palatino Linotype" w:cs="Palatino Linotype"/>
          <w:b/>
          <w:bCs/>
        </w:rPr>
      </w:pPr>
    </w:p>
    <w:p w:rsidR="0049068C" w:rsidRDefault="003352D4" w:rsidP="003440BA">
      <w:pPr>
        <w:numPr>
          <w:ilvl w:val="0"/>
          <w:numId w:val="1"/>
        </w:numPr>
        <w:tabs>
          <w:tab w:val="left" w:pos="0"/>
        </w:tabs>
        <w:spacing w:line="360" w:lineRule="auto"/>
        <w:ind w:left="0" w:right="-28"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diez de septiembre de dos mil veinticinco</w:t>
      </w:r>
      <w:r>
        <w:rPr>
          <w:rFonts w:ascii="Palatino Linotype" w:eastAsia="Palatino Linotype" w:hAnsi="Palatino Linotype" w:cs="Palatino Linotype"/>
        </w:rPr>
        <w:t>, el</w:t>
      </w:r>
      <w:r>
        <w:rPr>
          <w:rFonts w:ascii="Palatino Linotype" w:eastAsia="Palatino Linotype" w:hAnsi="Palatino Linotype" w:cs="Palatino Linotype"/>
          <w:b/>
          <w:bCs/>
        </w:rPr>
        <w:t xml:space="preserve"> </w:t>
      </w:r>
      <w:r>
        <w:rPr>
          <w:rFonts w:ascii="Palatino Linotype" w:eastAsia="Palatino Linotype" w:hAnsi="Palatino Linotype" w:cs="Palatino Linotype"/>
        </w:rPr>
        <w:t>solicitante</w:t>
      </w:r>
      <w:r>
        <w:rPr>
          <w:rFonts w:ascii="Palatino Linotype" w:eastAsia="Palatino Linotype" w:hAnsi="Palatino Linotype" w:cs="Palatino Linotype"/>
          <w:b/>
          <w:bCs/>
        </w:rPr>
        <w:t xml:space="preserve">  </w:t>
      </w:r>
      <w:r>
        <w:rPr>
          <w:rFonts w:ascii="Palatino Linotype" w:eastAsia="Palatino Linotype" w:hAnsi="Palatino Linotype" w:cs="Palatino Linotype"/>
        </w:rPr>
        <w:t>presentó</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Sistema de Acceso a la Información Mexiquense (SAIMEX), la solicitud de información pública registrada con el número </w:t>
      </w:r>
      <w:r>
        <w:rPr>
          <w:rFonts w:ascii="Palatino Linotype" w:eastAsia="Palatino Linotype" w:hAnsi="Palatino Linotype" w:cs="Palatino Linotype"/>
          <w:b/>
          <w:bCs/>
        </w:rPr>
        <w:t> 00127/ELORO/IP/2025</w:t>
      </w:r>
      <w:r>
        <w:rPr>
          <w:rFonts w:ascii="Palatino Linotype" w:eastAsia="Palatino Linotype" w:hAnsi="Palatino Linotype" w:cs="Palatino Linotype"/>
        </w:rPr>
        <w:t>, en la que se solicitó:</w:t>
      </w:r>
    </w:p>
    <w:p w:rsidR="0049068C" w:rsidRDefault="0049068C" w:rsidP="003440BA">
      <w:pPr>
        <w:tabs>
          <w:tab w:val="left" w:pos="0"/>
        </w:tabs>
        <w:spacing w:line="360" w:lineRule="auto"/>
        <w:ind w:left="360" w:right="-28"/>
        <w:jc w:val="both"/>
        <w:rPr>
          <w:rFonts w:ascii="Palatino Linotype" w:eastAsia="Palatino Linotype" w:hAnsi="Palatino Linotype" w:cs="Palatino Linotype"/>
        </w:rPr>
      </w:pPr>
    </w:p>
    <w:p w:rsidR="0049068C" w:rsidRDefault="003352D4" w:rsidP="003440BA">
      <w:pPr>
        <w:tabs>
          <w:tab w:val="left" w:pos="0"/>
        </w:tabs>
        <w:spacing w:line="360" w:lineRule="auto"/>
        <w:ind w:left="567" w:right="-2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color w:val="000000"/>
        </w:rPr>
        <w:t>Solicito que informe el Síndico Municipal de El Oro, Ubaldo Velázquez Piedra, cuales fueron las comisiones edilicias que le fueron asignadas, cuando fue la instalación de las mismas, en cuales comisiones participa y que adjunte el acta de cabildo en la que le fueron asignadas, el acta de instalación de cada una de las sesiones de las comisiones y todas las actas de las comisiones que le fueron asignadas y en las que participa</w:t>
      </w:r>
      <w:r>
        <w:rPr>
          <w:rFonts w:ascii="Palatino Linotype" w:eastAsia="Palatino Linotype" w:hAnsi="Palatino Linotype" w:cs="Palatino Linotype"/>
          <w:i/>
          <w:iCs/>
        </w:rPr>
        <w:t>” (Sic)</w:t>
      </w:r>
    </w:p>
    <w:p w:rsidR="0049068C" w:rsidRDefault="0049068C" w:rsidP="003440BA">
      <w:pPr>
        <w:tabs>
          <w:tab w:val="left" w:pos="0"/>
        </w:tabs>
        <w:spacing w:line="360" w:lineRule="auto"/>
        <w:ind w:right="-28"/>
        <w:jc w:val="both"/>
        <w:rPr>
          <w:rFonts w:ascii="Palatino Linotype" w:eastAsia="Palatino Linotype" w:hAnsi="Palatino Linotype" w:cs="Palatino Linotype"/>
        </w:rPr>
      </w:pPr>
    </w:p>
    <w:p w:rsidR="0049068C" w:rsidRDefault="003352D4" w:rsidP="003440BA">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Se hace constar que se señaló como modalidad de entrega de la información a través de SAIMEX.</w:t>
      </w:r>
    </w:p>
    <w:p w:rsidR="0049068C" w:rsidRDefault="003352D4" w:rsidP="003440BA">
      <w:pPr>
        <w:numPr>
          <w:ilvl w:val="0"/>
          <w:numId w:val="1"/>
        </w:numPr>
        <w:tabs>
          <w:tab w:val="left" w:pos="0"/>
        </w:tabs>
        <w:spacing w:line="360" w:lineRule="auto"/>
        <w:ind w:left="0" w:right="-28" w:firstLine="0"/>
        <w:jc w:val="both"/>
      </w:pPr>
      <w:r>
        <w:rPr>
          <w:rFonts w:ascii="Palatino Linotype" w:eastAsia="Palatino Linotype" w:hAnsi="Palatino Linotype" w:cs="Palatino Linotype"/>
        </w:rPr>
        <w:lastRenderedPageBreak/>
        <w:t xml:space="preserve">El </w:t>
      </w:r>
      <w:r>
        <w:rPr>
          <w:rFonts w:ascii="Palatino Linotype" w:eastAsia="Palatino Linotype" w:hAnsi="Palatino Linotype" w:cs="Palatino Linotype"/>
          <w:b/>
          <w:bCs/>
        </w:rPr>
        <w:t>veintinueve de septiembre de dos mil veinticinco</w:t>
      </w:r>
      <w:r>
        <w:rPr>
          <w:rFonts w:ascii="Palatino Linotype" w:eastAsia="Palatino Linotype" w:hAnsi="Palatino Linotype" w:cs="Palatino Linotype"/>
        </w:rPr>
        <w:t>, el Sujeto Obligado dio respuesta a la solicitud de información en el siguiente sentido:</w:t>
      </w:r>
    </w:p>
    <w:p w:rsidR="0049068C" w:rsidRDefault="0049068C" w:rsidP="003440BA">
      <w:pPr>
        <w:tabs>
          <w:tab w:val="left" w:pos="0"/>
        </w:tabs>
        <w:spacing w:line="360" w:lineRule="auto"/>
        <w:ind w:right="-28"/>
        <w:jc w:val="both"/>
        <w:rPr>
          <w:rFonts w:ascii="Palatino Linotype" w:eastAsia="Palatino Linotype" w:hAnsi="Palatino Linotype" w:cs="Palatino Linotype"/>
        </w:rPr>
      </w:pPr>
    </w:p>
    <w:tbl>
      <w:tblPr>
        <w:tblStyle w:val="a"/>
        <w:tblW w:w="7500" w:type="dxa"/>
        <w:jc w:val="center"/>
        <w:tblInd w:w="0" w:type="dxa"/>
        <w:tblLayout w:type="fixed"/>
        <w:tblLook w:val="0400" w:firstRow="0" w:lastRow="0" w:firstColumn="0" w:lastColumn="0" w:noHBand="0" w:noVBand="1"/>
      </w:tblPr>
      <w:tblGrid>
        <w:gridCol w:w="7500"/>
      </w:tblGrid>
      <w:tr w:rsidR="0049068C">
        <w:trPr>
          <w:trHeight w:val="287"/>
          <w:jc w:val="center"/>
        </w:trPr>
        <w:tc>
          <w:tcPr>
            <w:tcW w:w="7500" w:type="dxa"/>
            <w:vAlign w:val="center"/>
          </w:tcPr>
          <w:p w:rsidR="0049068C" w:rsidRDefault="003352D4" w:rsidP="003440BA">
            <w:pPr>
              <w:ind w:right="-28"/>
              <w:jc w:val="right"/>
              <w:rPr>
                <w:rFonts w:ascii="Palatino Linotype" w:eastAsia="Palatino Linotype" w:hAnsi="Palatino Linotype" w:cs="Palatino Linotype"/>
                <w:i/>
                <w:iCs/>
              </w:rPr>
            </w:pPr>
            <w:r>
              <w:rPr>
                <w:rFonts w:ascii="Palatino Linotype" w:eastAsia="Palatino Linotype" w:hAnsi="Palatino Linotype" w:cs="Palatino Linotype"/>
                <w:i/>
                <w:iCs/>
              </w:rPr>
              <w:t>“el Oro, México a 29 de Septiembre de 2025</w:t>
            </w:r>
          </w:p>
        </w:tc>
      </w:tr>
      <w:tr w:rsidR="0049068C">
        <w:trPr>
          <w:trHeight w:val="287"/>
          <w:jc w:val="center"/>
        </w:trPr>
        <w:tc>
          <w:tcPr>
            <w:tcW w:w="7500" w:type="dxa"/>
            <w:vAlign w:val="center"/>
          </w:tcPr>
          <w:p w:rsidR="0049068C" w:rsidRDefault="003352D4" w:rsidP="003440BA">
            <w:pPr>
              <w:ind w:right="-28"/>
              <w:jc w:val="right"/>
              <w:rPr>
                <w:rFonts w:ascii="Palatino Linotype" w:eastAsia="Palatino Linotype" w:hAnsi="Palatino Linotype" w:cs="Palatino Linotype"/>
                <w:i/>
                <w:iCs/>
              </w:rPr>
            </w:pPr>
            <w:r>
              <w:rPr>
                <w:rFonts w:ascii="Palatino Linotype" w:eastAsia="Palatino Linotype" w:hAnsi="Palatino Linotype" w:cs="Palatino Linotype"/>
                <w:i/>
                <w:iCs/>
              </w:rPr>
              <w:t>Nombre del solicitante: C. Solicitante</w:t>
            </w:r>
          </w:p>
        </w:tc>
      </w:tr>
      <w:tr w:rsidR="0049068C">
        <w:trPr>
          <w:trHeight w:val="287"/>
          <w:jc w:val="center"/>
        </w:trPr>
        <w:tc>
          <w:tcPr>
            <w:tcW w:w="7500" w:type="dxa"/>
            <w:vAlign w:val="center"/>
          </w:tcPr>
          <w:p w:rsidR="0049068C" w:rsidRDefault="003352D4" w:rsidP="003440BA">
            <w:pPr>
              <w:ind w:right="-28"/>
              <w:jc w:val="right"/>
              <w:rPr>
                <w:rFonts w:ascii="Palatino Linotype" w:eastAsia="Palatino Linotype" w:hAnsi="Palatino Linotype" w:cs="Palatino Linotype"/>
                <w:i/>
                <w:iCs/>
              </w:rPr>
            </w:pPr>
            <w:r>
              <w:rPr>
                <w:rFonts w:ascii="Palatino Linotype" w:eastAsia="Palatino Linotype" w:hAnsi="Palatino Linotype" w:cs="Palatino Linotype"/>
                <w:i/>
                <w:iCs/>
              </w:rPr>
              <w:t>Folio de la solicitud: 00127/ELORO/IP/2025</w:t>
            </w:r>
          </w:p>
        </w:tc>
      </w:tr>
      <w:tr w:rsidR="0049068C">
        <w:trPr>
          <w:trHeight w:val="431"/>
          <w:jc w:val="center"/>
        </w:trPr>
        <w:tc>
          <w:tcPr>
            <w:tcW w:w="7500" w:type="dxa"/>
            <w:vAlign w:val="center"/>
          </w:tcPr>
          <w:p w:rsidR="0049068C" w:rsidRDefault="0049068C" w:rsidP="003440BA">
            <w:pPr>
              <w:ind w:right="-28"/>
              <w:jc w:val="right"/>
              <w:rPr>
                <w:rFonts w:ascii="Palatino Linotype" w:eastAsia="Palatino Linotype" w:hAnsi="Palatino Linotype" w:cs="Palatino Linotype"/>
                <w:i/>
                <w:iCs/>
              </w:rPr>
            </w:pPr>
          </w:p>
        </w:tc>
      </w:tr>
      <w:tr w:rsidR="0049068C">
        <w:trPr>
          <w:trHeight w:val="143"/>
          <w:jc w:val="center"/>
        </w:trPr>
        <w:tc>
          <w:tcPr>
            <w:tcW w:w="7500" w:type="dxa"/>
            <w:vAlign w:val="center"/>
          </w:tcPr>
          <w:p w:rsidR="0049068C" w:rsidRDefault="0049068C" w:rsidP="003440BA">
            <w:pPr>
              <w:ind w:right="-28"/>
              <w:jc w:val="center"/>
              <w:rPr>
                <w:rFonts w:ascii="Palatino Linotype" w:eastAsia="Palatino Linotype" w:hAnsi="Palatino Linotype" w:cs="Palatino Linotype"/>
                <w:i/>
                <w:iCs/>
              </w:rPr>
            </w:pPr>
          </w:p>
        </w:tc>
      </w:tr>
      <w:tr w:rsidR="0049068C">
        <w:trPr>
          <w:trHeight w:val="359"/>
          <w:jc w:val="center"/>
        </w:trPr>
        <w:tc>
          <w:tcPr>
            <w:tcW w:w="7500" w:type="dxa"/>
            <w:vAlign w:val="center"/>
          </w:tcPr>
          <w:p w:rsidR="0049068C" w:rsidRDefault="0049068C" w:rsidP="003440BA">
            <w:pPr>
              <w:ind w:right="-28"/>
              <w:rPr>
                <w:rFonts w:ascii="Palatino Linotype" w:eastAsia="Palatino Linotype" w:hAnsi="Palatino Linotype" w:cs="Palatino Linotype"/>
                <w:i/>
                <w:iCs/>
              </w:rPr>
            </w:pPr>
          </w:p>
        </w:tc>
      </w:tr>
      <w:tr w:rsidR="0049068C">
        <w:trPr>
          <w:trHeight w:val="143"/>
          <w:jc w:val="center"/>
        </w:trPr>
        <w:tc>
          <w:tcPr>
            <w:tcW w:w="7500" w:type="dxa"/>
            <w:vAlign w:val="center"/>
          </w:tcPr>
          <w:p w:rsidR="0049068C" w:rsidRDefault="003352D4" w:rsidP="003440BA">
            <w:pPr>
              <w:ind w:right="-28"/>
              <w:jc w:val="both"/>
              <w:rPr>
                <w:rFonts w:ascii="Palatino Linotype" w:eastAsia="Palatino Linotype" w:hAnsi="Palatino Linotype" w:cs="Palatino Linotype"/>
                <w:i/>
                <w:iCs/>
              </w:rPr>
            </w:pPr>
            <w:r>
              <w:rPr>
                <w:rFonts w:ascii="Palatino Linotype" w:eastAsia="Palatino Linotype" w:hAnsi="Palatino Linotype" w:cs="Palatino Linotype"/>
                <w:i/>
                <w:iCs/>
              </w:rPr>
              <w:t>Dando cumplimiento en tiempo y forma a lo establecido por la legislación vigente y con fundamento en el Art. 12 de la Ley de Transparencia y Acceso a la Información Pública del Estado de México y Municipios se adjunta al presente 1 archivo en formato PDF así como 1 carpeta comprimida .ZIP (contienen 5 archivos en formato PDF), como respuesta brindada por el área correspondiente a su solicitud de información. SE ACLARA QUE LA INFORMACIÓN ENTREGADA ES LA ÚNICA CON LA QUE ESTE SUJETO OBLIGADO CUENTA DE ACUERDO A SUS FACULTADES, FUNCIONES O ATRIBUCIONES, LA CUAL SE ENTREGA EN EL ESTADO EN QUE SE ENCUENTRA de conformidad con el artículo antes mencionado que a la letra indica “…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tc>
      </w:tr>
      <w:tr w:rsidR="0049068C">
        <w:trPr>
          <w:trHeight w:val="359"/>
          <w:jc w:val="center"/>
        </w:trPr>
        <w:tc>
          <w:tcPr>
            <w:tcW w:w="7500" w:type="dxa"/>
            <w:vAlign w:val="center"/>
          </w:tcPr>
          <w:p w:rsidR="0049068C" w:rsidRDefault="0049068C" w:rsidP="003440BA">
            <w:pPr>
              <w:ind w:right="-28"/>
              <w:rPr>
                <w:rFonts w:ascii="Palatino Linotype" w:eastAsia="Palatino Linotype" w:hAnsi="Palatino Linotype" w:cs="Palatino Linotype"/>
                <w:i/>
                <w:iCs/>
              </w:rPr>
            </w:pPr>
          </w:p>
        </w:tc>
      </w:tr>
      <w:tr w:rsidR="0049068C">
        <w:trPr>
          <w:trHeight w:val="143"/>
          <w:jc w:val="center"/>
        </w:trPr>
        <w:tc>
          <w:tcPr>
            <w:tcW w:w="7500" w:type="dxa"/>
            <w:vAlign w:val="center"/>
          </w:tcPr>
          <w:p w:rsidR="0049068C" w:rsidRDefault="0049068C" w:rsidP="003440BA">
            <w:pPr>
              <w:ind w:right="-28"/>
              <w:jc w:val="center"/>
              <w:rPr>
                <w:rFonts w:ascii="Palatino Linotype" w:eastAsia="Palatino Linotype" w:hAnsi="Palatino Linotype" w:cs="Palatino Linotype"/>
                <w:i/>
                <w:iCs/>
              </w:rPr>
            </w:pPr>
          </w:p>
        </w:tc>
      </w:tr>
      <w:tr w:rsidR="0049068C">
        <w:trPr>
          <w:trHeight w:val="143"/>
          <w:jc w:val="center"/>
        </w:trPr>
        <w:tc>
          <w:tcPr>
            <w:tcW w:w="7500" w:type="dxa"/>
            <w:vAlign w:val="center"/>
          </w:tcPr>
          <w:p w:rsidR="0049068C" w:rsidRDefault="0049068C" w:rsidP="003440BA">
            <w:pPr>
              <w:ind w:right="-28"/>
              <w:rPr>
                <w:rFonts w:ascii="Palatino Linotype" w:eastAsia="Palatino Linotype" w:hAnsi="Palatino Linotype" w:cs="Palatino Linotype"/>
                <w:i/>
                <w:iCs/>
              </w:rPr>
            </w:pPr>
          </w:p>
        </w:tc>
      </w:tr>
      <w:tr w:rsidR="0049068C">
        <w:trPr>
          <w:trHeight w:val="143"/>
          <w:jc w:val="center"/>
        </w:trPr>
        <w:tc>
          <w:tcPr>
            <w:tcW w:w="7500" w:type="dxa"/>
            <w:vAlign w:val="center"/>
          </w:tcPr>
          <w:p w:rsidR="0049068C" w:rsidRDefault="003352D4" w:rsidP="003440BA">
            <w:pPr>
              <w:ind w:right="-28"/>
              <w:rPr>
                <w:rFonts w:ascii="Palatino Linotype" w:eastAsia="Palatino Linotype" w:hAnsi="Palatino Linotype" w:cs="Palatino Linotype"/>
                <w:i/>
                <w:iCs/>
              </w:rPr>
            </w:pPr>
            <w:r>
              <w:rPr>
                <w:rFonts w:ascii="Palatino Linotype" w:eastAsia="Palatino Linotype" w:hAnsi="Palatino Linotype" w:cs="Palatino Linotype"/>
                <w:i/>
                <w:iCs/>
              </w:rPr>
              <w:t>ATENTAMENTE</w:t>
            </w:r>
          </w:p>
        </w:tc>
      </w:tr>
      <w:tr w:rsidR="0049068C">
        <w:trPr>
          <w:trHeight w:val="215"/>
          <w:jc w:val="center"/>
        </w:trPr>
        <w:tc>
          <w:tcPr>
            <w:tcW w:w="7500" w:type="dxa"/>
            <w:vAlign w:val="center"/>
          </w:tcPr>
          <w:p w:rsidR="0049068C" w:rsidRDefault="0049068C" w:rsidP="003440BA">
            <w:pPr>
              <w:ind w:right="-28"/>
              <w:rPr>
                <w:rFonts w:ascii="Palatino Linotype" w:eastAsia="Palatino Linotype" w:hAnsi="Palatino Linotype" w:cs="Palatino Linotype"/>
                <w:i/>
                <w:iCs/>
              </w:rPr>
            </w:pPr>
          </w:p>
        </w:tc>
      </w:tr>
      <w:tr w:rsidR="0049068C">
        <w:trPr>
          <w:trHeight w:val="143"/>
          <w:jc w:val="center"/>
        </w:trPr>
        <w:tc>
          <w:tcPr>
            <w:tcW w:w="7500" w:type="dxa"/>
            <w:vAlign w:val="center"/>
          </w:tcPr>
          <w:p w:rsidR="0049068C" w:rsidRDefault="003352D4" w:rsidP="003440BA">
            <w:pPr>
              <w:ind w:right="-28"/>
              <w:rPr>
                <w:rFonts w:ascii="Palatino Linotype" w:eastAsia="Palatino Linotype" w:hAnsi="Palatino Linotype" w:cs="Palatino Linotype"/>
                <w:i/>
                <w:iCs/>
              </w:rPr>
            </w:pPr>
            <w:r>
              <w:rPr>
                <w:rFonts w:ascii="Palatino Linotype" w:eastAsia="Palatino Linotype" w:hAnsi="Palatino Linotype" w:cs="Palatino Linotype"/>
                <w:i/>
                <w:iCs/>
              </w:rPr>
              <w:t>ING. JOSE DANIEL POSADAS MEJIA”</w:t>
            </w:r>
          </w:p>
        </w:tc>
      </w:tr>
    </w:tbl>
    <w:p w:rsidR="0049068C" w:rsidRDefault="0049068C" w:rsidP="003440BA">
      <w:pPr>
        <w:tabs>
          <w:tab w:val="left" w:pos="0"/>
        </w:tabs>
        <w:spacing w:line="360" w:lineRule="auto"/>
        <w:ind w:right="-28"/>
        <w:jc w:val="both"/>
        <w:rPr>
          <w:rFonts w:ascii="Palatino Linotype" w:eastAsia="Palatino Linotype" w:hAnsi="Palatino Linotype" w:cs="Palatino Linotype"/>
        </w:rPr>
      </w:pPr>
    </w:p>
    <w:p w:rsidR="0049068C" w:rsidRDefault="003352D4" w:rsidP="003440BA">
      <w:pPr>
        <w:numPr>
          <w:ilvl w:val="0"/>
          <w:numId w:val="2"/>
        </w:num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bookmarkStart w:id="1" w:name="_heading=h.tclxq4mbiwkm" w:colFirst="0" w:colLast="0"/>
      <w:bookmarkEnd w:id="1"/>
      <w:r>
        <w:rPr>
          <w:rFonts w:ascii="Palatino Linotype" w:eastAsia="Palatino Linotype" w:hAnsi="Palatino Linotype" w:cs="Palatino Linotype"/>
          <w:color w:val="000000"/>
        </w:rPr>
        <w:t xml:space="preserve">A la respuesta se </w:t>
      </w:r>
      <w:r>
        <w:rPr>
          <w:rFonts w:ascii="Palatino Linotype" w:eastAsia="Palatino Linotype" w:hAnsi="Palatino Linotype" w:cs="Palatino Linotype"/>
        </w:rPr>
        <w:t>adjuntan</w:t>
      </w:r>
      <w:r>
        <w:rPr>
          <w:rFonts w:ascii="Palatino Linotype" w:eastAsia="Palatino Linotype" w:hAnsi="Palatino Linotype" w:cs="Palatino Linotype"/>
          <w:color w:val="000000"/>
        </w:rPr>
        <w:t xml:space="preserve"> los archivos que se describen enseguida:</w:t>
      </w:r>
    </w:p>
    <w:p w:rsidR="0049068C" w:rsidRDefault="00B379DB" w:rsidP="003440BA">
      <w:pPr>
        <w:numPr>
          <w:ilvl w:val="0"/>
          <w:numId w:val="3"/>
        </w:num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hyperlink r:id="rId8">
        <w:r w:rsidR="003352D4">
          <w:rPr>
            <w:rFonts w:ascii="Palatino Linotype" w:eastAsia="Palatino Linotype" w:hAnsi="Palatino Linotype" w:cs="Palatino Linotype"/>
            <w:b/>
            <w:bCs/>
            <w:color w:val="000000"/>
            <w:u w:val="single"/>
          </w:rPr>
          <w:t>Anexo 00127.zip</w:t>
        </w:r>
      </w:hyperlink>
      <w:r w:rsidR="003352D4">
        <w:rPr>
          <w:rFonts w:ascii="Palatino Linotype" w:eastAsia="Palatino Linotype" w:hAnsi="Palatino Linotype" w:cs="Palatino Linotype"/>
          <w:color w:val="000000"/>
        </w:rPr>
        <w:t xml:space="preserve"> el cual contiene los siguientes documentos:</w:t>
      </w:r>
    </w:p>
    <w:p w:rsidR="0049068C" w:rsidRDefault="003352D4" w:rsidP="003440BA">
      <w:pPr>
        <w:numPr>
          <w:ilvl w:val="0"/>
          <w:numId w:val="4"/>
        </w:num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ACTA DE CABILDO DE LA SEPTIMA SESION 20FEB LIMITES TERRITORIALES. pdf</w:t>
      </w:r>
      <w:r>
        <w:rPr>
          <w:rFonts w:ascii="Palatino Linotype" w:eastAsia="Palatino Linotype" w:hAnsi="Palatino Linotype" w:cs="Palatino Linotype"/>
          <w:color w:val="000000"/>
        </w:rPr>
        <w:t xml:space="preserve">: acta de la séptima sesión ordinaria de cabildo. </w:t>
      </w:r>
    </w:p>
    <w:p w:rsidR="0049068C" w:rsidRDefault="003352D4" w:rsidP="003440BA">
      <w:pPr>
        <w:numPr>
          <w:ilvl w:val="0"/>
          <w:numId w:val="4"/>
        </w:num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ACTA DE INST DE LIMITES.pdf</w:t>
      </w:r>
      <w:r>
        <w:rPr>
          <w:rFonts w:ascii="Palatino Linotype" w:eastAsia="Palatino Linotype" w:hAnsi="Palatino Linotype" w:cs="Palatino Linotype"/>
          <w:color w:val="000000"/>
        </w:rPr>
        <w:t xml:space="preserve">: acta de instalación de la comisión municipal de límites territoriales del Ayuntamiento de El Oro. </w:t>
      </w:r>
    </w:p>
    <w:p w:rsidR="0049068C" w:rsidRDefault="003352D4" w:rsidP="003440BA">
      <w:pPr>
        <w:numPr>
          <w:ilvl w:val="0"/>
          <w:numId w:val="4"/>
        </w:num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ACTA DE LA </w:t>
      </w:r>
      <w:r>
        <w:rPr>
          <w:rFonts w:ascii="Palatino Linotype" w:eastAsia="Palatino Linotype" w:hAnsi="Palatino Linotype" w:cs="Palatino Linotype"/>
          <w:b/>
          <w:bCs/>
        </w:rPr>
        <w:t>INSTALACIÓN</w:t>
      </w:r>
      <w:r>
        <w:rPr>
          <w:rFonts w:ascii="Palatino Linotype" w:eastAsia="Palatino Linotype" w:hAnsi="Palatino Linotype" w:cs="Palatino Linotype"/>
          <w:b/>
          <w:bCs/>
          <w:color w:val="000000"/>
        </w:rPr>
        <w:t xml:space="preserve"> Y PRIMERA SESION DE LA COMISION EDILICIA DE HACIENDA.pdf</w:t>
      </w:r>
      <w:r>
        <w:rPr>
          <w:rFonts w:ascii="Palatino Linotype" w:eastAsia="Palatino Linotype" w:hAnsi="Palatino Linotype" w:cs="Palatino Linotype"/>
          <w:color w:val="000000"/>
        </w:rPr>
        <w:t xml:space="preserve">: Acta de </w:t>
      </w:r>
      <w:r>
        <w:rPr>
          <w:rFonts w:ascii="Palatino Linotype" w:eastAsia="Palatino Linotype" w:hAnsi="Palatino Linotype" w:cs="Palatino Linotype"/>
        </w:rPr>
        <w:t>instalación y</w:t>
      </w:r>
      <w:r>
        <w:rPr>
          <w:rFonts w:ascii="Palatino Linotype" w:eastAsia="Palatino Linotype" w:hAnsi="Palatino Linotype" w:cs="Palatino Linotype"/>
          <w:color w:val="000000"/>
        </w:rPr>
        <w:t xml:space="preserve"> primera sesión de la comisión edilicia de hacienda del Ayuntamiento de el Oro. </w:t>
      </w:r>
    </w:p>
    <w:p w:rsidR="0049068C" w:rsidRDefault="003352D4" w:rsidP="003440BA">
      <w:pPr>
        <w:numPr>
          <w:ilvl w:val="0"/>
          <w:numId w:val="4"/>
        </w:num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ACTA No. 2 9 DE ENERO CABILDO.pdf</w:t>
      </w:r>
      <w:r>
        <w:rPr>
          <w:rFonts w:ascii="Palatino Linotype" w:eastAsia="Palatino Linotype" w:hAnsi="Palatino Linotype" w:cs="Palatino Linotype"/>
          <w:color w:val="000000"/>
        </w:rPr>
        <w:t xml:space="preserve">: Acta de la Segunda Sesión Ordinaria de Cabildo. </w:t>
      </w:r>
    </w:p>
    <w:p w:rsidR="0049068C" w:rsidRDefault="003352D4" w:rsidP="003440BA">
      <w:pPr>
        <w:numPr>
          <w:ilvl w:val="0"/>
          <w:numId w:val="4"/>
        </w:num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SEGUNDA SESIÓN DE LA COMISIÓN EDILICIA DE HACIENDA</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pdf</w:t>
      </w:r>
      <w:r>
        <w:rPr>
          <w:rFonts w:ascii="Palatino Linotype" w:eastAsia="Palatino Linotype" w:hAnsi="Palatino Linotype" w:cs="Palatino Linotype"/>
          <w:color w:val="000000"/>
        </w:rPr>
        <w:t xml:space="preserve">: Acta de la Segunda Sesión de la Comisión Edilicia de hacienda del Ayuntamiento de </w:t>
      </w:r>
      <w:r>
        <w:rPr>
          <w:rFonts w:ascii="Palatino Linotype" w:eastAsia="Palatino Linotype" w:hAnsi="Palatino Linotype" w:cs="Palatino Linotype"/>
        </w:rPr>
        <w:t>El Oro</w:t>
      </w:r>
      <w:r>
        <w:rPr>
          <w:rFonts w:ascii="Palatino Linotype" w:eastAsia="Palatino Linotype" w:hAnsi="Palatino Linotype" w:cs="Palatino Linotype"/>
          <w:color w:val="000000"/>
        </w:rPr>
        <w:t xml:space="preserve">. </w:t>
      </w:r>
    </w:p>
    <w:p w:rsidR="0049068C" w:rsidRDefault="00B379DB" w:rsidP="003440BA">
      <w:pPr>
        <w:numPr>
          <w:ilvl w:val="0"/>
          <w:numId w:val="3"/>
        </w:num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hyperlink r:id="rId9">
        <w:r w:rsidR="003352D4">
          <w:rPr>
            <w:rFonts w:ascii="Palatino Linotype" w:eastAsia="Palatino Linotype" w:hAnsi="Palatino Linotype" w:cs="Palatino Linotype"/>
            <w:b/>
            <w:bCs/>
            <w:color w:val="000000"/>
            <w:u w:val="single"/>
          </w:rPr>
          <w:t>00127.PDF</w:t>
        </w:r>
      </w:hyperlink>
      <w:r w:rsidR="003352D4">
        <w:rPr>
          <w:rFonts w:ascii="Palatino Linotype" w:eastAsia="Palatino Linotype" w:hAnsi="Palatino Linotype" w:cs="Palatino Linotype"/>
          <w:color w:val="000000"/>
        </w:rPr>
        <w:t>: oficio número SINMUN/09/141/2025 de fecha veinticuatro de septiembre de dos mil veinticinco, suscrito por el Síndico Municipal en el que señaló:</w:t>
      </w:r>
    </w:p>
    <w:p w:rsidR="0049068C" w:rsidRDefault="003352D4" w:rsidP="003440BA">
      <w:pPr>
        <w:pBdr>
          <w:top w:val="nil"/>
          <w:left w:val="nil"/>
          <w:bottom w:val="nil"/>
          <w:right w:val="nil"/>
          <w:between w:val="nil"/>
        </w:pBdr>
        <w:tabs>
          <w:tab w:val="left" w:pos="0"/>
        </w:tabs>
        <w:spacing w:line="360" w:lineRule="auto"/>
        <w:ind w:left="144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“Comisiones edilicias asignadas:</w:t>
      </w:r>
    </w:p>
    <w:p w:rsidR="0049068C" w:rsidRDefault="003352D4" w:rsidP="003440BA">
      <w:pPr>
        <w:pBdr>
          <w:top w:val="nil"/>
          <w:left w:val="nil"/>
          <w:bottom w:val="nil"/>
          <w:right w:val="nil"/>
          <w:between w:val="nil"/>
        </w:pBdr>
        <w:tabs>
          <w:tab w:val="left" w:pos="0"/>
        </w:tabs>
        <w:spacing w:line="360" w:lineRule="auto"/>
        <w:ind w:left="144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Fueron asignadas en la segunda sesión ordinaria de cabildo de fecha nueve de enero de 2025 punto de la orden del dia No. VI acuerdo sexto. Acta 2</w:t>
      </w:r>
    </w:p>
    <w:p w:rsidR="0049068C" w:rsidRDefault="003352D4" w:rsidP="003440BA">
      <w:pPr>
        <w:pBdr>
          <w:top w:val="nil"/>
          <w:left w:val="nil"/>
          <w:bottom w:val="nil"/>
          <w:right w:val="nil"/>
          <w:between w:val="nil"/>
        </w:pBdr>
        <w:tabs>
          <w:tab w:val="left" w:pos="0"/>
        </w:tabs>
        <w:spacing w:line="360" w:lineRule="auto"/>
        <w:ind w:left="144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Hacienda municipal</w:t>
      </w:r>
    </w:p>
    <w:p w:rsidR="0049068C" w:rsidRDefault="003352D4" w:rsidP="003440BA">
      <w:pPr>
        <w:pBdr>
          <w:top w:val="nil"/>
          <w:left w:val="nil"/>
          <w:bottom w:val="nil"/>
          <w:right w:val="nil"/>
          <w:between w:val="nil"/>
        </w:pBdr>
        <w:tabs>
          <w:tab w:val="left" w:pos="0"/>
        </w:tabs>
        <w:spacing w:line="360" w:lineRule="auto"/>
        <w:ind w:left="144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Prevención social de la violencia y la delincuencia.</w:t>
      </w:r>
    </w:p>
    <w:p w:rsidR="0049068C" w:rsidRDefault="003352D4" w:rsidP="003440BA">
      <w:pPr>
        <w:pBdr>
          <w:top w:val="nil"/>
          <w:left w:val="nil"/>
          <w:bottom w:val="nil"/>
          <w:right w:val="nil"/>
          <w:between w:val="nil"/>
        </w:pBdr>
        <w:tabs>
          <w:tab w:val="left" w:pos="0"/>
        </w:tabs>
        <w:spacing w:line="360" w:lineRule="auto"/>
        <w:ind w:left="144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Fue asignada en la séptima sesión ordinaria de cabildo de fecha veinte de febrero de 2025 punto de la orden del dia No. XIV acuerdo decimo segundo. Acta 7</w:t>
      </w:r>
    </w:p>
    <w:p w:rsidR="0049068C" w:rsidRDefault="003352D4" w:rsidP="003440BA">
      <w:pPr>
        <w:pBdr>
          <w:top w:val="nil"/>
          <w:left w:val="nil"/>
          <w:bottom w:val="nil"/>
          <w:right w:val="nil"/>
          <w:between w:val="nil"/>
        </w:pBdr>
        <w:tabs>
          <w:tab w:val="left" w:pos="0"/>
        </w:tabs>
        <w:spacing w:line="360" w:lineRule="auto"/>
        <w:ind w:left="144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Limites territoriales.</w:t>
      </w:r>
    </w:p>
    <w:p w:rsidR="0049068C" w:rsidRDefault="003352D4" w:rsidP="003440BA">
      <w:pPr>
        <w:pBdr>
          <w:top w:val="nil"/>
          <w:left w:val="nil"/>
          <w:bottom w:val="nil"/>
          <w:right w:val="nil"/>
          <w:between w:val="nil"/>
        </w:pBdr>
        <w:tabs>
          <w:tab w:val="left" w:pos="0"/>
        </w:tabs>
        <w:spacing w:line="360" w:lineRule="auto"/>
        <w:ind w:left="1440" w:right="-2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ANEXOS</w:t>
      </w:r>
    </w:p>
    <w:p w:rsidR="0049068C" w:rsidRDefault="003352D4" w:rsidP="003440BA">
      <w:pPr>
        <w:pBdr>
          <w:top w:val="nil"/>
          <w:left w:val="nil"/>
          <w:bottom w:val="nil"/>
          <w:right w:val="nil"/>
          <w:between w:val="nil"/>
        </w:pBdr>
        <w:tabs>
          <w:tab w:val="left" w:pos="0"/>
        </w:tabs>
        <w:spacing w:line="360" w:lineRule="auto"/>
        <w:ind w:left="144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ACTAS DE CABILDOS 2 Y 7.</w:t>
      </w:r>
    </w:p>
    <w:p w:rsidR="0049068C" w:rsidRDefault="003352D4" w:rsidP="003440BA">
      <w:pPr>
        <w:pBdr>
          <w:top w:val="nil"/>
          <w:left w:val="nil"/>
          <w:bottom w:val="nil"/>
          <w:right w:val="nil"/>
          <w:between w:val="nil"/>
        </w:pBdr>
        <w:tabs>
          <w:tab w:val="left" w:pos="0"/>
        </w:tabs>
        <w:spacing w:line="360" w:lineRule="auto"/>
        <w:ind w:left="1440" w:right="-28"/>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ACTAS DE INSTALACIÓN Y DE SESIONES DE LAS COMISIONES”. </w:t>
      </w:r>
    </w:p>
    <w:p w:rsidR="0049068C" w:rsidRDefault="0049068C" w:rsidP="003440BA">
      <w:pPr>
        <w:tabs>
          <w:tab w:val="left" w:pos="0"/>
        </w:tabs>
        <w:spacing w:line="360" w:lineRule="auto"/>
        <w:ind w:right="-28"/>
        <w:jc w:val="both"/>
        <w:rPr>
          <w:rFonts w:ascii="Palatino Linotype" w:eastAsia="Palatino Linotype" w:hAnsi="Palatino Linotype" w:cs="Palatino Linotype"/>
        </w:rPr>
      </w:pPr>
    </w:p>
    <w:p w:rsidR="0049068C" w:rsidRDefault="003352D4" w:rsidP="003440BA">
      <w:pPr>
        <w:numPr>
          <w:ilvl w:val="0"/>
          <w:numId w:val="1"/>
        </w:numPr>
        <w:pBdr>
          <w:top w:val="nil"/>
          <w:left w:val="nil"/>
          <w:bottom w:val="nil"/>
          <w:right w:val="nil"/>
          <w:between w:val="nil"/>
        </w:pBdr>
        <w:tabs>
          <w:tab w:val="left" w:pos="0"/>
        </w:tabs>
        <w:spacing w:line="360" w:lineRule="auto"/>
        <w:ind w:left="0" w:right="-28"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lo sucesivo el </w:t>
      </w:r>
      <w:r>
        <w:rPr>
          <w:rFonts w:ascii="Palatino Linotype" w:eastAsia="Palatino Linotype" w:hAnsi="Palatino Linotype" w:cs="Palatino Linotype"/>
          <w:b/>
          <w:bCs/>
          <w:color w:val="000000"/>
        </w:rPr>
        <w:t>dieciséis de octubre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el solicitante interpuso el recurso de revisión, señalando como:</w:t>
      </w:r>
    </w:p>
    <w:p w:rsidR="0049068C" w:rsidRDefault="0049068C" w:rsidP="003440BA">
      <w:p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b/>
          <w:bCs/>
          <w:color w:val="000000"/>
        </w:rPr>
      </w:pPr>
    </w:p>
    <w:p w:rsidR="0049068C" w:rsidRDefault="003352D4" w:rsidP="003440BA">
      <w:pPr>
        <w:numPr>
          <w:ilvl w:val="0"/>
          <w:numId w:val="7"/>
        </w:numPr>
        <w:tabs>
          <w:tab w:val="left" w:pos="851"/>
          <w:tab w:val="left" w:pos="8222"/>
        </w:tabs>
        <w:spacing w:line="360" w:lineRule="auto"/>
        <w:ind w:left="708" w:right="-28"/>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i/>
          <w:iCs/>
        </w:rPr>
        <w:t xml:space="preserve"> </w:t>
      </w:r>
      <w:r>
        <w:rPr>
          <w:rFonts w:ascii="Palatino Linotype" w:eastAsia="Palatino Linotype" w:hAnsi="Palatino Linotype" w:cs="Palatino Linotype"/>
        </w:rPr>
        <w:t>“</w:t>
      </w:r>
      <w:r>
        <w:rPr>
          <w:rFonts w:ascii="Palatino Linotype" w:eastAsia="Palatino Linotype" w:hAnsi="Palatino Linotype" w:cs="Palatino Linotype"/>
          <w:i/>
          <w:iCs/>
          <w:color w:val="000000"/>
        </w:rPr>
        <w:t>el oficio de respuesta SINMUN/09/141/2025 de Septiembre 24 de 2025”</w:t>
      </w:r>
      <w:r>
        <w:rPr>
          <w:rFonts w:ascii="Palatino Linotype" w:eastAsia="Palatino Linotype" w:hAnsi="Palatino Linotype" w:cs="Palatino Linotype"/>
          <w:i/>
          <w:iCs/>
        </w:rPr>
        <w:t xml:space="preserve"> (Sic) </w:t>
      </w:r>
    </w:p>
    <w:p w:rsidR="0049068C" w:rsidRDefault="0049068C" w:rsidP="003440BA">
      <w:pPr>
        <w:tabs>
          <w:tab w:val="left" w:pos="0"/>
        </w:tabs>
        <w:spacing w:line="360" w:lineRule="auto"/>
        <w:ind w:left="708" w:right="-28" w:hanging="360"/>
        <w:rPr>
          <w:rFonts w:ascii="Palatino Linotype" w:eastAsia="Palatino Linotype" w:hAnsi="Palatino Linotype" w:cs="Palatino Linotype"/>
          <w:i/>
          <w:iCs/>
        </w:rPr>
      </w:pPr>
    </w:p>
    <w:p w:rsidR="0049068C" w:rsidRDefault="003352D4" w:rsidP="003440BA">
      <w:pPr>
        <w:numPr>
          <w:ilvl w:val="0"/>
          <w:numId w:val="6"/>
        </w:numPr>
        <w:tabs>
          <w:tab w:val="left" w:pos="851"/>
        </w:tabs>
        <w:spacing w:line="360" w:lineRule="auto"/>
        <w:ind w:left="708" w:right="-28"/>
        <w:jc w:val="both"/>
        <w:rPr>
          <w:rFonts w:ascii="Palatino Linotype" w:eastAsia="Palatino Linotype" w:hAnsi="Palatino Linotype" w:cs="Palatino Linotype"/>
        </w:rPr>
      </w:pPr>
      <w:r>
        <w:rPr>
          <w:rFonts w:ascii="Palatino Linotype" w:eastAsia="Palatino Linotype" w:hAnsi="Palatino Linotype" w:cs="Palatino Linotype"/>
          <w:b/>
          <w:bCs/>
        </w:rPr>
        <w:t xml:space="preserve">Razones o Motivos de inconformidad: </w:t>
      </w:r>
      <w:r>
        <w:rPr>
          <w:rFonts w:ascii="Palatino Linotype" w:eastAsia="Palatino Linotype" w:hAnsi="Palatino Linotype" w:cs="Palatino Linotype"/>
        </w:rPr>
        <w:t>“</w:t>
      </w:r>
      <w:r>
        <w:rPr>
          <w:rFonts w:ascii="Palatino Linotype" w:eastAsia="Palatino Linotype" w:hAnsi="Palatino Linotype" w:cs="Palatino Linotype"/>
          <w:i/>
          <w:iCs/>
        </w:rPr>
        <w:t>La información está incompleta, ya que si bien es cierto presenta algunos anexos, las actas que agrega no contiene el soporte documental de los puntos que se trataron y mucho menos se encuentran descritos en las actas” (sic)</w:t>
      </w:r>
    </w:p>
    <w:p w:rsidR="0049068C" w:rsidRDefault="003352D4" w:rsidP="003440BA">
      <w:pPr>
        <w:numPr>
          <w:ilvl w:val="0"/>
          <w:numId w:val="5"/>
        </w:numPr>
        <w:spacing w:before="280" w:after="280"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A la interposición del recurso se remitió el archivo </w:t>
      </w:r>
      <w:hyperlink r:id="rId10">
        <w:r>
          <w:rPr>
            <w:rFonts w:ascii="Palatino Linotype" w:eastAsia="Palatino Linotype" w:hAnsi="Palatino Linotype" w:cs="Palatino Linotype"/>
            <w:b/>
            <w:bCs/>
            <w:color w:val="000000"/>
            <w:u w:val="single"/>
          </w:rPr>
          <w:t>00127.PDF</w:t>
        </w:r>
      </w:hyperlink>
      <w:r>
        <w:rPr>
          <w:rFonts w:ascii="Palatino Linotype" w:eastAsia="Palatino Linotype" w:hAnsi="Palatino Linotype" w:cs="Palatino Linotype"/>
        </w:rPr>
        <w:t xml:space="preserve">, remitido por el Sujeto Obligado en respuesta. </w:t>
      </w:r>
    </w:p>
    <w:p w:rsidR="0049068C" w:rsidRDefault="003352D4" w:rsidP="003440BA">
      <w:pPr>
        <w:numPr>
          <w:ilvl w:val="0"/>
          <w:numId w:val="1"/>
        </w:numPr>
        <w:spacing w:line="360" w:lineRule="auto"/>
        <w:ind w:left="0" w:right="-28" w:firstLine="0"/>
        <w:jc w:val="both"/>
        <w:rPr>
          <w:color w:val="000000"/>
        </w:rPr>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turna a la </w:t>
      </w:r>
      <w:r>
        <w:rPr>
          <w:rFonts w:ascii="Palatino Linotype" w:eastAsia="Palatino Linotype" w:hAnsi="Palatino Linotype" w:cs="Palatino Linotype"/>
          <w:b/>
          <w:bCs/>
        </w:rPr>
        <w:t>Comisionada María del Rosario Mejía Ayala,</w:t>
      </w:r>
      <w:r>
        <w:rPr>
          <w:rFonts w:ascii="Palatino Linotype" w:eastAsia="Palatino Linotype" w:hAnsi="Palatino Linotype" w:cs="Palatino Linotype"/>
        </w:rPr>
        <w:t xml:space="preserve"> para su análisis.</w:t>
      </w:r>
    </w:p>
    <w:p w:rsidR="0049068C" w:rsidRDefault="0049068C" w:rsidP="003440BA">
      <w:pPr>
        <w:spacing w:line="360" w:lineRule="auto"/>
        <w:ind w:right="-28"/>
        <w:jc w:val="both"/>
        <w:rPr>
          <w:rFonts w:ascii="Palatino Linotype" w:eastAsia="Palatino Linotype" w:hAnsi="Palatino Linotype" w:cs="Palatino Linotype"/>
          <w:i/>
          <w:iCs/>
          <w:color w:val="000000"/>
        </w:rPr>
      </w:pPr>
    </w:p>
    <w:p w:rsidR="0049068C" w:rsidRDefault="003352D4" w:rsidP="003440BA">
      <w:pPr>
        <w:numPr>
          <w:ilvl w:val="0"/>
          <w:numId w:val="1"/>
        </w:numPr>
        <w:spacing w:line="360" w:lineRule="auto"/>
        <w:ind w:left="0" w:right="-28" w:firstLine="0"/>
        <w:jc w:val="both"/>
        <w:rPr>
          <w:color w:val="000000"/>
        </w:rPr>
      </w:pPr>
      <w:r>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Pr>
          <w:rFonts w:ascii="Palatino Linotype" w:eastAsia="Palatino Linotype" w:hAnsi="Palatino Linotype" w:cs="Palatino Linotype"/>
          <w:b/>
          <w:bCs/>
        </w:rPr>
        <w:t xml:space="preserve">veinte de octubre  de dos mil </w:t>
      </w:r>
      <w:r>
        <w:rPr>
          <w:rFonts w:ascii="Palatino Linotype" w:eastAsia="Palatino Linotype" w:hAnsi="Palatino Linotype" w:cs="Palatino Linotype"/>
          <w:b/>
          <w:bCs/>
        </w:rPr>
        <w:lastRenderedPageBreak/>
        <w:t>veinticinco</w:t>
      </w:r>
      <w:r>
        <w:rPr>
          <w:rFonts w:ascii="Palatino Linotype" w:eastAsia="Palatino Linotype" w:hAnsi="Palatino Linotype" w:cs="Palatino Linotype"/>
        </w:rPr>
        <w:t xml:space="preserve">, puso a disposición de las partes el expediente electrónico vía Sistema de Acceso a la Información Mexiquense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  </w:t>
      </w:r>
    </w:p>
    <w:p w:rsidR="0049068C" w:rsidRDefault="0049068C" w:rsidP="003440BA">
      <w:pPr>
        <w:pBdr>
          <w:top w:val="nil"/>
          <w:left w:val="nil"/>
          <w:bottom w:val="nil"/>
          <w:right w:val="nil"/>
          <w:between w:val="nil"/>
        </w:pBdr>
        <w:spacing w:line="360" w:lineRule="auto"/>
        <w:ind w:left="720" w:right="-28"/>
        <w:rPr>
          <w:rFonts w:ascii="Palatino Linotype" w:eastAsia="Palatino Linotype" w:hAnsi="Palatino Linotype" w:cs="Palatino Linotype"/>
          <w:color w:val="000000"/>
        </w:rPr>
      </w:pPr>
    </w:p>
    <w:p w:rsidR="0049068C" w:rsidRDefault="003352D4" w:rsidP="003440BA">
      <w:pPr>
        <w:numPr>
          <w:ilvl w:val="0"/>
          <w:numId w:val="1"/>
        </w:numPr>
        <w:spacing w:line="360" w:lineRule="auto"/>
        <w:ind w:left="0" w:right="-28"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 las constancias que obran en el expediente electrónico SAIMEX, se advierte que el particular no realizó manifestaciones que a su derecho conviniera; por su parte, el Sujeto Obligado entregó informe justificado el veintitrés de octubre de dos mil veinticinco, mismo que fue puesto a la vista del Recurrente el veintiséis de mayo de dos mil veintiséis, a través del archivo electrónico denominado </w:t>
      </w:r>
      <w:hyperlink r:id="rId11">
        <w:r>
          <w:rPr>
            <w:rFonts w:ascii="Palatino Linotype" w:eastAsia="Palatino Linotype" w:hAnsi="Palatino Linotype" w:cs="Palatino Linotype"/>
            <w:b/>
            <w:bCs/>
            <w:color w:val="0563C1"/>
            <w:u w:val="single"/>
          </w:rPr>
          <w:t>Sindicatura complementa.pdf</w:t>
        </w:r>
      </w:hyperlink>
      <w:r>
        <w:rPr>
          <w:rFonts w:ascii="Palatino Linotype" w:eastAsia="Palatino Linotype" w:hAnsi="Palatino Linotype" w:cs="Palatino Linotype"/>
        </w:rPr>
        <w:t xml:space="preserve">, en el que ratificó su respuesta. </w:t>
      </w:r>
    </w:p>
    <w:p w:rsidR="0049068C" w:rsidRDefault="0049068C" w:rsidP="003440BA">
      <w:pPr>
        <w:ind w:right="-28"/>
        <w:rPr>
          <w:rFonts w:ascii="Palatino Linotype" w:eastAsia="Palatino Linotype" w:hAnsi="Palatino Linotype" w:cs="Palatino Linotype"/>
          <w:color w:val="000000"/>
        </w:rPr>
      </w:pPr>
    </w:p>
    <w:p w:rsidR="0049068C" w:rsidRDefault="003352D4" w:rsidP="003440BA">
      <w:pPr>
        <w:numPr>
          <w:ilvl w:val="0"/>
          <w:numId w:val="1"/>
        </w:numPr>
        <w:spacing w:line="360" w:lineRule="auto"/>
        <w:ind w:left="0" w:right="-28"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diez de abril de dos mil veintiséis</w:t>
      </w:r>
      <w:r>
        <w:rPr>
          <w:rFonts w:ascii="Palatino Linotype" w:eastAsia="Palatino Linotype" w:hAnsi="Palatino Linotype" w:cs="Palatino Linotype"/>
          <w:color w:val="000000"/>
        </w:rPr>
        <w:t xml:space="preserve">, se notificó el acuerdo a través del cual se aprobó la ampliación de plazo para emitir la resolución por un periodo de quince días. </w:t>
      </w:r>
    </w:p>
    <w:p w:rsidR="0049068C" w:rsidRDefault="0049068C" w:rsidP="003440BA">
      <w:pPr>
        <w:pBdr>
          <w:top w:val="nil"/>
          <w:left w:val="nil"/>
          <w:bottom w:val="nil"/>
          <w:right w:val="nil"/>
          <w:between w:val="nil"/>
        </w:pBdr>
        <w:ind w:left="720" w:right="-28"/>
        <w:rPr>
          <w:rFonts w:ascii="Palatino Linotype" w:eastAsia="Palatino Linotype" w:hAnsi="Palatino Linotype" w:cs="Palatino Linotype"/>
          <w:i/>
          <w:iCs/>
          <w:color w:val="000000"/>
        </w:rPr>
      </w:pPr>
    </w:p>
    <w:p w:rsidR="0049068C" w:rsidRDefault="003352D4" w:rsidP="003440BA">
      <w:pPr>
        <w:numPr>
          <w:ilvl w:val="0"/>
          <w:numId w:val="1"/>
        </w:numPr>
        <w:spacing w:line="360" w:lineRule="auto"/>
        <w:ind w:left="0" w:right="-28"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primero de junio de dos mil veintiséis,</w:t>
      </w:r>
      <w:r>
        <w:rPr>
          <w:rFonts w:ascii="Palatino Linotype" w:eastAsia="Palatino Linotype" w:hAnsi="Palatino Linotype" w:cs="Palatino Linotype"/>
          <w:color w:val="000000"/>
        </w:rPr>
        <w:t xml:space="preserve"> se notificó acuerdo mediante el cual se decretó el cierre de instrucción.  </w:t>
      </w:r>
    </w:p>
    <w:p w:rsidR="0049068C" w:rsidRDefault="0049068C" w:rsidP="003440BA">
      <w:pPr>
        <w:spacing w:line="360" w:lineRule="auto"/>
        <w:ind w:right="-28"/>
        <w:jc w:val="both"/>
        <w:rPr>
          <w:rFonts w:ascii="Palatino Linotype" w:eastAsia="Palatino Linotype" w:hAnsi="Palatino Linotype" w:cs="Palatino Linotype"/>
          <w:b/>
          <w:bCs/>
        </w:rPr>
      </w:pPr>
    </w:p>
    <w:p w:rsidR="0049068C" w:rsidRDefault="003352D4" w:rsidP="003440BA">
      <w:pPr>
        <w:keepNext/>
        <w:keepLines/>
        <w:spacing w:line="360" w:lineRule="auto"/>
        <w:ind w:right="-28"/>
        <w:jc w:val="center"/>
        <w:rPr>
          <w:rFonts w:ascii="Palatino Linotype" w:eastAsia="Palatino Linotype" w:hAnsi="Palatino Linotype" w:cs="Palatino Linotype"/>
          <w:b/>
          <w:bCs/>
        </w:rPr>
      </w:pPr>
      <w:bookmarkStart w:id="2" w:name="_heading=h.wwav9mblhtv6" w:colFirst="0" w:colLast="0"/>
      <w:bookmarkEnd w:id="2"/>
      <w:r>
        <w:rPr>
          <w:rFonts w:ascii="Palatino Linotype" w:eastAsia="Palatino Linotype" w:hAnsi="Palatino Linotype" w:cs="Palatino Linotype"/>
          <w:b/>
          <w:bCs/>
        </w:rPr>
        <w:t>C O N S I D E R A N D O</w:t>
      </w:r>
    </w:p>
    <w:p w:rsidR="0049068C" w:rsidRDefault="0049068C" w:rsidP="003440BA">
      <w:pPr>
        <w:keepNext/>
        <w:keepLines/>
        <w:spacing w:line="360" w:lineRule="auto"/>
        <w:ind w:right="-28"/>
        <w:jc w:val="center"/>
        <w:rPr>
          <w:rFonts w:ascii="Palatino Linotype" w:eastAsia="Palatino Linotype" w:hAnsi="Palatino Linotype" w:cs="Palatino Linotype"/>
          <w:b/>
          <w:bCs/>
        </w:rPr>
      </w:pPr>
    </w:p>
    <w:p w:rsidR="0049068C" w:rsidRDefault="003352D4" w:rsidP="003440BA">
      <w:pPr>
        <w:keepNext/>
        <w:keepLines/>
        <w:spacing w:line="360" w:lineRule="auto"/>
        <w:ind w:right="-28"/>
        <w:rPr>
          <w:rFonts w:ascii="Palatino Linotype" w:eastAsia="Palatino Linotype" w:hAnsi="Palatino Linotype" w:cs="Palatino Linotype"/>
          <w:b/>
          <w:bCs/>
        </w:rPr>
      </w:pPr>
      <w:bookmarkStart w:id="3" w:name="_heading=h.pfot3wdu5omy" w:colFirst="0" w:colLast="0"/>
      <w:bookmarkEnd w:id="3"/>
      <w:r>
        <w:rPr>
          <w:rFonts w:ascii="Palatino Linotype" w:eastAsia="Palatino Linotype" w:hAnsi="Palatino Linotype" w:cs="Palatino Linotype"/>
          <w:b/>
          <w:bCs/>
        </w:rPr>
        <w:t>PRIMERO. De la competencia.</w:t>
      </w:r>
    </w:p>
    <w:p w:rsidR="0049068C" w:rsidRPr="009B4FBA" w:rsidRDefault="003352D4" w:rsidP="009B4FBA">
      <w:pPr>
        <w:numPr>
          <w:ilvl w:val="0"/>
          <w:numId w:val="1"/>
        </w:numPr>
        <w:pBdr>
          <w:top w:val="nil"/>
          <w:left w:val="nil"/>
          <w:bottom w:val="nil"/>
          <w:right w:val="nil"/>
          <w:between w:val="nil"/>
        </w:pBdr>
        <w:spacing w:before="240" w:after="240"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w:t>
      </w:r>
      <w:r w:rsidRPr="00E8719E">
        <w:rPr>
          <w:rFonts w:ascii="Palatino Linotype" w:eastAsia="Palatino Linotype" w:hAnsi="Palatino Linotype" w:cs="Palatino Linotype"/>
          <w:color w:val="000000"/>
        </w:rPr>
        <w:t xml:space="preserve">de Datos Personales del Estado de México y Municipios, es competente para conocer y resolver del presente recurso de conformidad con el artículo: 6, apartado A, fracción IV de la </w:t>
      </w:r>
      <w:r w:rsidRPr="00E8719E">
        <w:rPr>
          <w:rFonts w:ascii="Palatino Linotype" w:eastAsia="Palatino Linotype" w:hAnsi="Palatino Linotype" w:cs="Palatino Linotype"/>
          <w:b/>
          <w:bCs/>
          <w:color w:val="000000"/>
        </w:rPr>
        <w:t>Constitución Política de los Estados Unidos Mexicanos</w:t>
      </w:r>
      <w:r w:rsidRPr="00E8719E">
        <w:rPr>
          <w:rFonts w:ascii="Palatino Linotype" w:eastAsia="Palatino Linotype" w:hAnsi="Palatino Linotype" w:cs="Palatino Linotype"/>
          <w:color w:val="000000"/>
        </w:rPr>
        <w:t xml:space="preserve">; 5, </w:t>
      </w:r>
      <w:r w:rsidR="003440BA" w:rsidRPr="00E8719E">
        <w:rPr>
          <w:rFonts w:ascii="Palatino Linotype" w:eastAsia="Palatino Linotype" w:hAnsi="Palatino Linotype" w:cs="Palatino Linotype"/>
          <w:color w:val="000000"/>
        </w:rPr>
        <w:t xml:space="preserve">párrafos cuadragésimo cuarto, cuadragésimo </w:t>
      </w:r>
      <w:r w:rsidR="003440BA" w:rsidRPr="00E8719E">
        <w:rPr>
          <w:rFonts w:ascii="Palatino Linotype" w:eastAsia="Palatino Linotype" w:hAnsi="Palatino Linotype" w:cs="Palatino Linotype"/>
          <w:color w:val="000000"/>
        </w:rPr>
        <w:lastRenderedPageBreak/>
        <w:t>quinto,</w:t>
      </w:r>
      <w:r w:rsidR="009B4FBA" w:rsidRPr="00E8719E">
        <w:rPr>
          <w:rFonts w:ascii="Palatino Linotype" w:eastAsia="Palatino Linotype" w:hAnsi="Palatino Linotype" w:cs="Palatino Linotype"/>
          <w:color w:val="000000"/>
        </w:rPr>
        <w:t xml:space="preserve"> cuadragésimo sexto</w:t>
      </w:r>
      <w:r w:rsidRPr="00E8719E">
        <w:rPr>
          <w:rFonts w:ascii="Palatino Linotype" w:eastAsia="Palatino Linotype" w:hAnsi="Palatino Linotype" w:cs="Palatino Linotype"/>
          <w:color w:val="000000"/>
        </w:rPr>
        <w:t>, fracciones IV y V, de</w:t>
      </w:r>
      <w:r w:rsidRPr="009B4FBA">
        <w:rPr>
          <w:rFonts w:ascii="Palatino Linotype" w:eastAsia="Palatino Linotype" w:hAnsi="Palatino Linotype" w:cs="Palatino Linotype"/>
          <w:color w:val="000000"/>
        </w:rPr>
        <w:t xml:space="preserve"> la </w:t>
      </w:r>
      <w:r w:rsidRPr="009B4FBA">
        <w:rPr>
          <w:rFonts w:ascii="Palatino Linotype" w:eastAsia="Palatino Linotype" w:hAnsi="Palatino Linotype" w:cs="Palatino Linotype"/>
          <w:b/>
          <w:bCs/>
          <w:color w:val="000000"/>
        </w:rPr>
        <w:t>Constitución Política del Estado Libre y Soberano de México</w:t>
      </w:r>
      <w:r w:rsidRPr="009B4FBA">
        <w:rPr>
          <w:rFonts w:ascii="Palatino Linotype" w:eastAsia="Palatino Linotype" w:hAnsi="Palatino Linotype" w:cs="Palatino Linotype"/>
          <w:color w:val="000000"/>
        </w:rPr>
        <w:t xml:space="preserve">; artículos 1, 2 fracción II, 13, 29, 36 fracciones I y II, 176, 178, 179, 181 párrafo tercero y 185 de la </w:t>
      </w:r>
      <w:r w:rsidRPr="009B4FBA">
        <w:rPr>
          <w:rFonts w:ascii="Palatino Linotype" w:eastAsia="Palatino Linotype" w:hAnsi="Palatino Linotype" w:cs="Palatino Linotype"/>
          <w:b/>
          <w:bCs/>
          <w:color w:val="000000"/>
        </w:rPr>
        <w:t>Ley de Transparencia y Acceso a la Información Pública del Estado de México y Municipios</w:t>
      </w:r>
      <w:r w:rsidRPr="009B4FBA">
        <w:rPr>
          <w:rFonts w:ascii="Palatino Linotype" w:eastAsia="Palatino Linotype" w:hAnsi="Palatino Linotype" w:cs="Palatino Linotype"/>
          <w:color w:val="000000"/>
        </w:rPr>
        <w:t xml:space="preserve">; y 7, 9 fracciones I y XXIII, y 11 del </w:t>
      </w:r>
      <w:r w:rsidRPr="009B4FBA">
        <w:rPr>
          <w:rFonts w:ascii="Palatino Linotype" w:eastAsia="Palatino Linotype" w:hAnsi="Palatino Linotype" w:cs="Palatino Linotype"/>
          <w:b/>
          <w:bCs/>
          <w:color w:val="000000"/>
        </w:rPr>
        <w:t>Reglamento Interior del Instituto de Transparencia, Acceso a la Información Pública y Protección de Datos Personales del Estado de México y Municipios.</w:t>
      </w:r>
    </w:p>
    <w:p w:rsidR="0049068C" w:rsidRDefault="003352D4" w:rsidP="003440BA">
      <w:pPr>
        <w:keepNext/>
        <w:keepLines/>
        <w:spacing w:line="360" w:lineRule="auto"/>
        <w:ind w:right="-28"/>
        <w:rPr>
          <w:rFonts w:ascii="Palatino Linotype" w:eastAsia="Palatino Linotype" w:hAnsi="Palatino Linotype" w:cs="Palatino Linotype"/>
          <w:b/>
          <w:bCs/>
        </w:rPr>
      </w:pPr>
      <w:bookmarkStart w:id="4" w:name="_heading=h.8w2cx2q0hzcd" w:colFirst="0" w:colLast="0"/>
      <w:bookmarkEnd w:id="4"/>
      <w:r>
        <w:rPr>
          <w:rFonts w:ascii="Palatino Linotype" w:eastAsia="Palatino Linotype" w:hAnsi="Palatino Linotype" w:cs="Palatino Linotype"/>
          <w:b/>
          <w:bCs/>
        </w:rPr>
        <w:t>SEGUNDO. De la oportunidad y procedencia.</w:t>
      </w:r>
    </w:p>
    <w:p w:rsidR="0049068C" w:rsidRDefault="003352D4" w:rsidP="003440BA">
      <w:pPr>
        <w:numPr>
          <w:ilvl w:val="0"/>
          <w:numId w:val="1"/>
        </w:numPr>
        <w:spacing w:line="360" w:lineRule="auto"/>
        <w:ind w:left="0" w:right="-28"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día </w:t>
      </w:r>
      <w:r>
        <w:rPr>
          <w:rFonts w:ascii="Palatino Linotype" w:eastAsia="Palatino Linotype" w:hAnsi="Palatino Linotype" w:cs="Palatino Linotype"/>
          <w:b/>
          <w:bCs/>
        </w:rPr>
        <w:t>veintinueve de septiembre de dos mil veinticinco</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treinta de septiembre al veinte de octubre de dos mil veinticinco</w:t>
      </w:r>
      <w:r>
        <w:rPr>
          <w:rFonts w:ascii="Palatino Linotype" w:eastAsia="Palatino Linotype" w:hAnsi="Palatino Linotype" w:cs="Palatino Linotype"/>
        </w:rPr>
        <w:t xml:space="preserve">, de acuerdo al calendario oficial del Instituto de Transparencia del Estado de México y Municipios; en consecuencia, si el particular presentó su inconformidad el  </w:t>
      </w:r>
      <w:r>
        <w:rPr>
          <w:rFonts w:ascii="Palatino Linotype" w:eastAsia="Palatino Linotype" w:hAnsi="Palatino Linotype" w:cs="Palatino Linotype"/>
          <w:b/>
          <w:bCs/>
        </w:rPr>
        <w:t>dieciséis de octubre de dos mil veinticinco</w:t>
      </w:r>
      <w:r>
        <w:rPr>
          <w:rFonts w:ascii="Palatino Linotype" w:eastAsia="Palatino Linotype" w:hAnsi="Palatino Linotype" w:cs="Palatino Linotype"/>
        </w:rPr>
        <w:t xml:space="preserv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vigente.</w:t>
      </w:r>
    </w:p>
    <w:p w:rsidR="0049068C" w:rsidRDefault="0049068C" w:rsidP="003440BA">
      <w:pPr>
        <w:ind w:right="-28"/>
        <w:rPr>
          <w:rFonts w:ascii="Palatino Linotype" w:eastAsia="Palatino Linotype" w:hAnsi="Palatino Linotype" w:cs="Palatino Linotype"/>
        </w:rPr>
      </w:pPr>
    </w:p>
    <w:p w:rsidR="0049068C" w:rsidRDefault="003352D4" w:rsidP="003440BA">
      <w:pPr>
        <w:numPr>
          <w:ilvl w:val="0"/>
          <w:numId w:val="1"/>
        </w:numPr>
        <w:spacing w:line="360" w:lineRule="auto"/>
        <w:ind w:left="0" w:right="-28" w:firstLine="0"/>
        <w:jc w:val="both"/>
        <w:rPr>
          <w:rFonts w:ascii="Palatino Linotype" w:eastAsia="Palatino Linotype" w:hAnsi="Palatino Linotype" w:cs="Palatino Linotype"/>
          <w:b/>
          <w:bCs/>
        </w:rPr>
      </w:pPr>
      <w:bookmarkStart w:id="5" w:name="_heading=h.994j88e3s5dl" w:colFirst="0" w:colLast="0"/>
      <w:bookmarkEnd w:id="5"/>
      <w:r>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9068C" w:rsidRDefault="0049068C" w:rsidP="003440BA">
      <w:pPr>
        <w:pBdr>
          <w:top w:val="nil"/>
          <w:left w:val="nil"/>
          <w:bottom w:val="nil"/>
          <w:right w:val="nil"/>
          <w:between w:val="nil"/>
        </w:pBdr>
        <w:ind w:left="720" w:right="-28"/>
        <w:rPr>
          <w:rFonts w:ascii="Palatino Linotype" w:eastAsia="Palatino Linotype" w:hAnsi="Palatino Linotype" w:cs="Palatino Linotype"/>
          <w:b/>
          <w:bCs/>
          <w:color w:val="000000"/>
        </w:rPr>
      </w:pPr>
    </w:p>
    <w:p w:rsidR="00574272" w:rsidRDefault="00574272" w:rsidP="003440BA">
      <w:pPr>
        <w:pBdr>
          <w:top w:val="nil"/>
          <w:left w:val="nil"/>
          <w:bottom w:val="nil"/>
          <w:right w:val="nil"/>
          <w:between w:val="nil"/>
        </w:pBdr>
        <w:ind w:left="720" w:right="-28"/>
        <w:rPr>
          <w:rFonts w:ascii="Palatino Linotype" w:eastAsia="Palatino Linotype" w:hAnsi="Palatino Linotype" w:cs="Palatino Linotype"/>
          <w:b/>
          <w:bCs/>
          <w:color w:val="000000"/>
        </w:rPr>
      </w:pPr>
    </w:p>
    <w:p w:rsidR="00574272" w:rsidRDefault="00574272" w:rsidP="003440BA">
      <w:pPr>
        <w:pBdr>
          <w:top w:val="nil"/>
          <w:left w:val="nil"/>
          <w:bottom w:val="nil"/>
          <w:right w:val="nil"/>
          <w:between w:val="nil"/>
        </w:pBdr>
        <w:ind w:left="720" w:right="-28"/>
        <w:rPr>
          <w:rFonts w:ascii="Palatino Linotype" w:eastAsia="Palatino Linotype" w:hAnsi="Palatino Linotype" w:cs="Palatino Linotype"/>
          <w:b/>
          <w:bCs/>
          <w:color w:val="000000"/>
        </w:rPr>
      </w:pPr>
    </w:p>
    <w:p w:rsidR="00574272" w:rsidRDefault="00574272" w:rsidP="003440BA">
      <w:pPr>
        <w:pBdr>
          <w:top w:val="nil"/>
          <w:left w:val="nil"/>
          <w:bottom w:val="nil"/>
          <w:right w:val="nil"/>
          <w:between w:val="nil"/>
        </w:pBdr>
        <w:ind w:left="720" w:right="-28"/>
        <w:rPr>
          <w:rFonts w:ascii="Palatino Linotype" w:eastAsia="Palatino Linotype" w:hAnsi="Palatino Linotype" w:cs="Palatino Linotype"/>
          <w:b/>
          <w:bCs/>
          <w:color w:val="000000"/>
        </w:rPr>
      </w:pPr>
    </w:p>
    <w:p w:rsidR="0049068C" w:rsidRDefault="003352D4" w:rsidP="003440BA">
      <w:pPr>
        <w:spacing w:line="360" w:lineRule="auto"/>
        <w:ind w:right="-28"/>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TER</w:t>
      </w:r>
      <w:bookmarkStart w:id="6" w:name="_GoBack"/>
      <w:bookmarkEnd w:id="6"/>
      <w:r>
        <w:rPr>
          <w:rFonts w:ascii="Palatino Linotype" w:eastAsia="Palatino Linotype" w:hAnsi="Palatino Linotype" w:cs="Palatino Linotype"/>
          <w:b/>
          <w:bCs/>
        </w:rPr>
        <w:t>CERO. De las causales del sobreseimiento.</w:t>
      </w:r>
    </w:p>
    <w:p w:rsidR="0049068C" w:rsidRDefault="003352D4" w:rsidP="003440BA">
      <w:pPr>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Pr>
          <w:rFonts w:ascii="Palatino Linotype" w:eastAsia="Palatino Linotype" w:hAnsi="Palatino Linotype" w:cs="Palatino Linotype"/>
          <w:b/>
          <w:bCs/>
          <w:color w:val="000000"/>
          <w:u w:val="single"/>
        </w:rPr>
        <w:t>sobreseimiento</w:t>
      </w:r>
      <w:r>
        <w:rPr>
          <w:rFonts w:ascii="Palatino Linotype" w:eastAsia="Palatino Linotype" w:hAnsi="Palatino Linotype" w:cs="Palatino Linotype"/>
          <w:color w:val="000000"/>
        </w:rPr>
        <w:t xml:space="preserve">; y, en su caso, ordenar la entrega de la información respecto a la falta de respuesta por parte del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w:t>
      </w:r>
    </w:p>
    <w:p w:rsidR="0049068C" w:rsidRDefault="0049068C" w:rsidP="003440BA">
      <w:pPr>
        <w:pBdr>
          <w:top w:val="nil"/>
          <w:left w:val="nil"/>
          <w:bottom w:val="nil"/>
          <w:right w:val="nil"/>
          <w:between w:val="nil"/>
        </w:pBdr>
        <w:spacing w:line="360" w:lineRule="auto"/>
        <w:ind w:right="-28"/>
        <w:jc w:val="both"/>
        <w:rPr>
          <w:rFonts w:ascii="Palatino Linotype" w:eastAsia="Palatino Linotype" w:hAnsi="Palatino Linotype" w:cs="Palatino Linotype"/>
          <w:b/>
          <w:bCs/>
          <w:color w:val="000000"/>
        </w:rPr>
      </w:pPr>
    </w:p>
    <w:p w:rsidR="0049068C" w:rsidRDefault="003352D4" w:rsidP="003440BA">
      <w:pPr>
        <w:keepNext/>
        <w:keepLines/>
        <w:numPr>
          <w:ilvl w:val="0"/>
          <w:numId w:val="1"/>
        </w:numPr>
        <w:pBdr>
          <w:top w:val="nil"/>
          <w:left w:val="nil"/>
          <w:bottom w:val="nil"/>
          <w:right w:val="nil"/>
          <w:between w:val="nil"/>
        </w:pBdr>
        <w:spacing w:line="360" w:lineRule="auto"/>
        <w:ind w:left="0" w:right="-28" w:firstLine="0"/>
        <w:jc w:val="both"/>
        <w:rPr>
          <w:color w:val="000000"/>
        </w:rPr>
      </w:pPr>
      <w:bookmarkStart w:id="7" w:name="_heading=h.6rura12tjdh9" w:colFirst="0" w:colLast="0"/>
      <w:bookmarkEnd w:id="7"/>
      <w:r>
        <w:rPr>
          <w:rFonts w:ascii="Palatino Linotype" w:eastAsia="Palatino Linotype" w:hAnsi="Palatino Linotype" w:cs="Palatino Linotype"/>
          <w:color w:val="000000"/>
        </w:rPr>
        <w:t xml:space="preserve">Así, debemos recordar que el particular solicitó conocer las comisiones asignadas al Síndico Municipal, las actas de designación de las comisiones, las actas de instalación de las comisiones y actas de las comisiones. </w:t>
      </w:r>
    </w:p>
    <w:p w:rsidR="0049068C" w:rsidRDefault="003352D4" w:rsidP="003440BA">
      <w:pPr>
        <w:numPr>
          <w:ilvl w:val="0"/>
          <w:numId w:val="1"/>
        </w:numPr>
        <w:tabs>
          <w:tab w:val="left" w:pos="0"/>
        </w:tabs>
        <w:spacing w:before="240" w:line="360" w:lineRule="auto"/>
        <w:ind w:left="0" w:right="-28" w:firstLine="0"/>
        <w:jc w:val="both"/>
      </w:pPr>
      <w:r>
        <w:rPr>
          <w:rFonts w:ascii="Palatino Linotype" w:eastAsia="Palatino Linotype" w:hAnsi="Palatino Linotype" w:cs="Palatino Linotype"/>
        </w:rPr>
        <w:t>En respuesta, el Sujeto Obligado señaló las comisiones que le fueron asignadas al Síndico Municipal, y remitió las actas de designación y de instalación de las comisiones, posteriormente, el Recurrente se inconforma por las siguientes razones:</w:t>
      </w:r>
    </w:p>
    <w:p w:rsidR="0049068C" w:rsidRDefault="003352D4" w:rsidP="003440BA">
      <w:pPr>
        <w:numPr>
          <w:ilvl w:val="0"/>
          <w:numId w:val="8"/>
        </w:numPr>
        <w:tabs>
          <w:tab w:val="left" w:pos="851"/>
        </w:tabs>
        <w:spacing w:line="360" w:lineRule="auto"/>
        <w:ind w:left="708" w:right="-28"/>
        <w:jc w:val="both"/>
        <w:rPr>
          <w:rFonts w:ascii="Palatino Linotype" w:eastAsia="Palatino Linotype" w:hAnsi="Palatino Linotype" w:cs="Palatino Linotype"/>
        </w:rPr>
      </w:pPr>
      <w:r>
        <w:rPr>
          <w:rFonts w:ascii="Palatino Linotype" w:eastAsia="Palatino Linotype" w:hAnsi="Palatino Linotype" w:cs="Palatino Linotype"/>
          <w:b/>
          <w:bCs/>
        </w:rPr>
        <w:t xml:space="preserve">Razones o Motivos de inconformidad: </w:t>
      </w:r>
      <w:r>
        <w:rPr>
          <w:rFonts w:ascii="Palatino Linotype" w:eastAsia="Palatino Linotype" w:hAnsi="Palatino Linotype" w:cs="Palatino Linotype"/>
        </w:rPr>
        <w:t>“</w:t>
      </w:r>
      <w:r>
        <w:rPr>
          <w:rFonts w:ascii="Palatino Linotype" w:eastAsia="Palatino Linotype" w:hAnsi="Palatino Linotype" w:cs="Palatino Linotype"/>
          <w:i/>
          <w:iCs/>
        </w:rPr>
        <w:t>La información está incompleta, ya que si bien es cierto presenta algunos anexos, las actas que agrega no contiene el soporte documental de los puntos que se trataron y mucho menos se encuentran descritos en las actas” (sic)</w:t>
      </w:r>
    </w:p>
    <w:p w:rsidR="0049068C" w:rsidRDefault="003352D4" w:rsidP="003440BA">
      <w:pPr>
        <w:numPr>
          <w:ilvl w:val="0"/>
          <w:numId w:val="1"/>
        </w:numPr>
        <w:pBdr>
          <w:top w:val="nil"/>
          <w:left w:val="nil"/>
          <w:bottom w:val="nil"/>
          <w:right w:val="nil"/>
          <w:between w:val="nil"/>
        </w:pBdr>
        <w:spacing w:before="240" w:line="360" w:lineRule="auto"/>
        <w:ind w:left="0" w:right="-28" w:firstLine="0"/>
        <w:jc w:val="both"/>
        <w:rPr>
          <w:color w:val="000000"/>
        </w:rPr>
      </w:pPr>
      <w:r>
        <w:rPr>
          <w:rFonts w:ascii="Palatino Linotype" w:eastAsia="Palatino Linotype" w:hAnsi="Palatino Linotype" w:cs="Palatino Linotype"/>
          <w:color w:val="000000"/>
        </w:rPr>
        <w:t xml:space="preserve">Ahora bien, la inconformidad del RECURRENTE radica en que la información remitida es incompleta, respecto de las actas remitidas en respuesta; en este caso,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49068C" w:rsidRDefault="0049068C" w:rsidP="003440B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49068C" w:rsidRDefault="003352D4" w:rsidP="003440BA">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lastRenderedPageBreak/>
        <w:t>Sirve de sustento, la tesis jurisprudencial número VI.3o.C. J/60, publicada en el Semanario Judicial de la Federación y su Gaceta bajo el número de registro 176,608 que a la letra dice:</w:t>
      </w:r>
    </w:p>
    <w:p w:rsidR="0049068C" w:rsidRDefault="003352D4" w:rsidP="003440BA">
      <w:pPr>
        <w:pBdr>
          <w:top w:val="nil"/>
          <w:left w:val="nil"/>
          <w:bottom w:val="nil"/>
          <w:right w:val="nil"/>
          <w:between w:val="nil"/>
        </w:pBdr>
        <w:spacing w:line="360" w:lineRule="auto"/>
        <w:ind w:left="851"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“ACTOS CONSENTIDOS. SON LOS QUE NO SE IMPUGNAN MEDIANTE EL RECURSO IDÓNEO.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49068C" w:rsidRDefault="0049068C" w:rsidP="003440BA">
      <w:pPr>
        <w:pBdr>
          <w:top w:val="nil"/>
          <w:left w:val="nil"/>
          <w:bottom w:val="nil"/>
          <w:right w:val="nil"/>
          <w:between w:val="nil"/>
        </w:pBdr>
        <w:spacing w:line="360" w:lineRule="auto"/>
        <w:ind w:left="851" w:right="-28"/>
        <w:jc w:val="both"/>
        <w:rPr>
          <w:rFonts w:ascii="Palatino Linotype" w:eastAsia="Palatino Linotype" w:hAnsi="Palatino Linotype" w:cs="Palatino Linotype"/>
          <w:i/>
          <w:iCs/>
          <w:color w:val="000000"/>
        </w:rPr>
      </w:pPr>
    </w:p>
    <w:p w:rsidR="0049068C" w:rsidRDefault="003352D4" w:rsidP="003440BA">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Lo anterior es así, debido a que cuando el particular impugnó la respuesta del SUJETO OBLIGADO, y no expresó razón o motivo de inconformidad en contra de lo que se le hizo entrega, por tanto, estos deben declararse atendidos, pues se entiende que EL RECURRENTE está conforme con la respuesta proporcionada por EL SUJETO OBLIGADO, al no contravenir la misma. </w:t>
      </w:r>
    </w:p>
    <w:p w:rsidR="0049068C" w:rsidRDefault="0049068C" w:rsidP="003440B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49068C" w:rsidRDefault="003352D4" w:rsidP="003440BA">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Atento a ello, es importante traer a contexto la Tesis Jurisprudencial Número 3ª./J.7/91, Publicada en el Semanario Judicial de la Federación y su Gaceta bajo el número de registro 174,177, que establece lo siguiente:</w:t>
      </w:r>
    </w:p>
    <w:p w:rsidR="0049068C" w:rsidRDefault="003352D4" w:rsidP="003440BA">
      <w:pPr>
        <w:pBdr>
          <w:top w:val="nil"/>
          <w:left w:val="nil"/>
          <w:bottom w:val="nil"/>
          <w:right w:val="nil"/>
          <w:between w:val="nil"/>
        </w:pBdr>
        <w:spacing w:after="240" w:line="360" w:lineRule="auto"/>
        <w:ind w:left="851"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“REVISIÓN EN AMPARO. LOS RESOLUTIVOS NO COMBATIDOS DEBEN DECLARARSE FIRMES.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w:t>
      </w:r>
      <w:r>
        <w:rPr>
          <w:rFonts w:ascii="Palatino Linotype" w:eastAsia="Palatino Linotype" w:hAnsi="Palatino Linotype" w:cs="Palatino Linotype"/>
          <w:i/>
          <w:iCs/>
          <w:color w:val="000000"/>
        </w:rPr>
        <w:lastRenderedPageBreak/>
        <w:t>reflejarse en la parte considerativa y en los resolutivos debe confirmarse la sentencia recurrida en la parte correspondiente.”</w:t>
      </w:r>
    </w:p>
    <w:p w:rsidR="0049068C" w:rsidRDefault="003352D4" w:rsidP="003440BA">
      <w:pPr>
        <w:numPr>
          <w:ilvl w:val="0"/>
          <w:numId w:val="1"/>
        </w:numPr>
        <w:spacing w:line="360" w:lineRule="auto"/>
        <w:ind w:left="0" w:right="-28" w:firstLine="0"/>
        <w:jc w:val="both"/>
      </w:pPr>
      <w:r>
        <w:rPr>
          <w:rFonts w:ascii="Palatino Linotype" w:eastAsia="Palatino Linotype" w:hAnsi="Palatino Linotype" w:cs="Palatino Linotype"/>
        </w:rPr>
        <w:t>Conforme al Criterio establecido, es improcedente entrar al análisis de las partes de la respuesta del Sujeto Obligado que no fueron impugnadas por el Recurrente; por lo que, en el presente caso, se tiene por consentida parte de la información proporcionada por el Ente Recurrido, en respuesta. En este contexto, se concluye que la inconformidad del Recurrente es por las actas remitidas en respuesta, en específico, porque no contienen anexos y puntos que se trataron.</w:t>
      </w:r>
    </w:p>
    <w:p w:rsidR="0049068C" w:rsidRDefault="0049068C" w:rsidP="003440BA">
      <w:pPr>
        <w:spacing w:line="360" w:lineRule="auto"/>
        <w:ind w:right="-28"/>
        <w:jc w:val="both"/>
        <w:rPr>
          <w:rFonts w:ascii="Palatino Linotype" w:eastAsia="Palatino Linotype" w:hAnsi="Palatino Linotype" w:cs="Palatino Linotype"/>
        </w:rPr>
      </w:pPr>
    </w:p>
    <w:p w:rsidR="0049068C" w:rsidRDefault="003352D4" w:rsidP="003440BA">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Al respecto, conviene señalar que se realizó una revisión a las actas remitidas en respuesta y contienen los puntos a tratar, es decir, que se encuentran completas, Por otro lado, la inconformidad del Recurrente que refiere “</w:t>
      </w:r>
      <w:r>
        <w:rPr>
          <w:rFonts w:ascii="Palatino Linotype" w:eastAsia="Palatino Linotype" w:hAnsi="Palatino Linotype" w:cs="Palatino Linotype"/>
          <w:i/>
          <w:iCs/>
          <w:color w:val="000000"/>
        </w:rPr>
        <w:t xml:space="preserve">las actas que agrega no contiene el soporte documental de los puntos que se trataron”, </w:t>
      </w:r>
      <w:r>
        <w:rPr>
          <w:rFonts w:ascii="Palatino Linotype" w:eastAsia="Palatino Linotype" w:hAnsi="Palatino Linotype" w:cs="Palatino Linotype"/>
          <w:color w:val="000000"/>
        </w:rPr>
        <w:t>este Órgano Garante advierte que se desprenden nuevos requerimientos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mismos que no pueden ser atendidos dado que </w:t>
      </w:r>
      <w:r>
        <w:rPr>
          <w:rFonts w:ascii="Palatino Linotype" w:eastAsia="Palatino Linotype" w:hAnsi="Palatino Linotype" w:cs="Palatino Linotype"/>
          <w:b/>
          <w:bCs/>
          <w:color w:val="000000"/>
        </w:rPr>
        <w:t xml:space="preserve">no fueron solicitados inicialmente, a lo que se le conoce también como plus petitio. </w:t>
      </w:r>
    </w:p>
    <w:p w:rsidR="0049068C" w:rsidRDefault="0049068C" w:rsidP="003440BA">
      <w:p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p>
    <w:p w:rsidR="0049068C" w:rsidRDefault="003352D4" w:rsidP="003440BA">
      <w:pPr>
        <w:numPr>
          <w:ilvl w:val="0"/>
          <w:numId w:val="1"/>
        </w:numPr>
        <w:pBdr>
          <w:top w:val="nil"/>
          <w:left w:val="nil"/>
          <w:bottom w:val="nil"/>
          <w:right w:val="nil"/>
          <w:between w:val="nil"/>
        </w:pBdr>
        <w:tabs>
          <w:tab w:val="left" w:pos="0"/>
        </w:tabs>
        <w:spacing w:line="360" w:lineRule="auto"/>
        <w:ind w:left="0" w:right="-28" w:firstLine="0"/>
        <w:jc w:val="both"/>
        <w:rPr>
          <w:color w:val="000000"/>
        </w:rPr>
      </w:pPr>
      <w:r>
        <w:rPr>
          <w:rFonts w:ascii="Palatino Linotype" w:eastAsia="Palatino Linotype" w:hAnsi="Palatino Linotype" w:cs="Palatino Linotype"/>
          <w:color w:val="000000"/>
        </w:rPr>
        <w:t xml:space="preserve">En ese sentido, es procedente señalar que el hoy Recurrente, en un inicio solicitó únicamente las actas y posteriormente a través del recurso de revisión pretende obtener anexos. En ese contexto, la información requerida a través del Recurso de </w:t>
      </w:r>
      <w:r>
        <w:rPr>
          <w:rFonts w:ascii="Palatino Linotype" w:eastAsia="Palatino Linotype" w:hAnsi="Palatino Linotype" w:cs="Palatino Linotype"/>
        </w:rPr>
        <w:t>Revisión</w:t>
      </w:r>
      <w:r>
        <w:rPr>
          <w:rFonts w:ascii="Palatino Linotype" w:eastAsia="Palatino Linotype" w:hAnsi="Palatino Linotype" w:cs="Palatino Linotype"/>
          <w:color w:val="000000"/>
        </w:rPr>
        <w:t xml:space="preserve">, se trata de nuevos requerimientos, los cuales no pueden ser atendidos por no haber sido requeridos en la solicitud primigenia.  Sirve de apoyo a lo anterior por analogía, la Jurisprudencia No. 29 visible a foja 19 del Apéndice al Semanario Judicial de la Federación 1917-1995, </w:t>
      </w:r>
      <w:r>
        <w:rPr>
          <w:rFonts w:ascii="Palatino Linotype" w:eastAsia="Palatino Linotype" w:hAnsi="Palatino Linotype" w:cs="Palatino Linotype"/>
        </w:rPr>
        <w:t>Tomo</w:t>
      </w:r>
      <w:r>
        <w:rPr>
          <w:rFonts w:ascii="Palatino Linotype" w:eastAsia="Palatino Linotype" w:hAnsi="Palatino Linotype" w:cs="Palatino Linotype"/>
          <w:color w:val="000000"/>
        </w:rPr>
        <w:t xml:space="preserve"> VI, Materia Común, Primera Parte, Tesis de la Suprema Corte de Justicia, que enseña:</w:t>
      </w:r>
    </w:p>
    <w:p w:rsidR="0049068C" w:rsidRDefault="003352D4" w:rsidP="003440BA">
      <w:pPr>
        <w:pBdr>
          <w:top w:val="nil"/>
          <w:left w:val="nil"/>
          <w:bottom w:val="nil"/>
          <w:right w:val="nil"/>
          <w:between w:val="nil"/>
        </w:pBdr>
        <w:spacing w:line="360" w:lineRule="auto"/>
        <w:ind w:left="720" w:right="-2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w:t>
      </w:r>
      <w:r>
        <w:rPr>
          <w:rFonts w:ascii="Palatino Linotype" w:eastAsia="Palatino Linotype" w:hAnsi="Palatino Linotype" w:cs="Palatino Linotype"/>
          <w:i/>
          <w:iCs/>
          <w:color w:val="000000"/>
        </w:rPr>
        <w:t>AGRAVIOS EN LA REVISION. DEBEN ESTAR EN RELACION DIRECTA CON LOS FUNDAMENTOS Y CONSIDERACIONES DE LA SENTENCIA.-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r>
        <w:rPr>
          <w:rFonts w:ascii="Palatino Linotype" w:eastAsia="Palatino Linotype" w:hAnsi="Palatino Linotype" w:cs="Palatino Linotype"/>
          <w:b/>
          <w:bCs/>
          <w:color w:val="000000"/>
        </w:rPr>
        <w:t>"</w:t>
      </w:r>
    </w:p>
    <w:p w:rsidR="0049068C" w:rsidRDefault="0049068C" w:rsidP="003440BA">
      <w:pPr>
        <w:pBdr>
          <w:top w:val="nil"/>
          <w:left w:val="nil"/>
          <w:bottom w:val="nil"/>
          <w:right w:val="nil"/>
          <w:between w:val="nil"/>
        </w:pBdr>
        <w:spacing w:line="360" w:lineRule="auto"/>
        <w:ind w:left="720" w:right="-28"/>
        <w:jc w:val="both"/>
        <w:rPr>
          <w:rFonts w:ascii="Palatino Linotype" w:eastAsia="Palatino Linotype" w:hAnsi="Palatino Linotype" w:cs="Palatino Linotype"/>
          <w:color w:val="000000"/>
        </w:rPr>
      </w:pPr>
    </w:p>
    <w:p w:rsidR="0049068C" w:rsidRDefault="003352D4" w:rsidP="003440BA">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Asimismo, cabe por analogía en el presente asunto el fallo emitido por el Segundo Tribunal Colegiado del Cuarto Circuito, recaído en el amparo directo 277/88, que establece:</w:t>
      </w:r>
    </w:p>
    <w:p w:rsidR="0049068C" w:rsidRDefault="003352D4" w:rsidP="003440BA">
      <w:pPr>
        <w:pBdr>
          <w:top w:val="nil"/>
          <w:left w:val="nil"/>
          <w:bottom w:val="nil"/>
          <w:right w:val="nil"/>
          <w:between w:val="nil"/>
        </w:pBdr>
        <w:spacing w:line="360" w:lineRule="auto"/>
        <w:ind w:left="720" w:right="-2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w:t>
      </w:r>
      <w:r>
        <w:rPr>
          <w:rFonts w:ascii="Palatino Linotype" w:eastAsia="Palatino Linotype" w:hAnsi="Palatino Linotype" w:cs="Palatino Linotype"/>
          <w:i/>
          <w:iCs/>
          <w:color w:val="000000"/>
        </w:rPr>
        <w:t xml:space="preserve">JUICIO DE NULIDAD LITIS EN EL. Interpretación de los artículos 215 y 237 DEL CÓDIGO FISCAL DE LA FEDERACIÓN.- El actual Código Fiscal de la Federación no contempla literalmente la hipótesis legal regulada en el artículo 219 del Código Fiscal de 1967, en el que se estima que la resolución impugnada deberá ser apreciada en los términos en que lo fue ante la autoridad administrativa; sin embargo el artículo 237 de dicho ordenamiento en vigor establece que las sentencias del Tribunal Fiscal de la Federación se fundarán en derecho y examinarán todos y cada uno de los puntos controvertidos, del acto impugnado de donde se sigue que, interpretando conjuntamente los artículos 215 y 237, del Código Fiscal vigente, la autoridad en su contestación a la demanda no podrá cambiar los fundamentos de derecho dados en la resolución y, por su parte, la actora no podrá introducir en su demanda cuestiones diversas a las planteadas originalmente ante la autoridad administrativa, pues de seguirse un criterio contrario, el juzgador tendría que analizar el acto combatido a la luz de argumentos que no fueron del conocimiento de la autoridad o, en su caso, de aquéllos que no fueron expuestos en la propia </w:t>
      </w:r>
      <w:r>
        <w:rPr>
          <w:rFonts w:ascii="Palatino Linotype" w:eastAsia="Palatino Linotype" w:hAnsi="Palatino Linotype" w:cs="Palatino Linotype"/>
          <w:i/>
          <w:iCs/>
          <w:color w:val="000000"/>
        </w:rPr>
        <w:lastRenderedPageBreak/>
        <w:t>resolución, con lo cual no se examinarían todos y cada uno de los hechos y puntos controvertidos del acto impugnado, tal como establece el artículo 237 mencionado. Por último cabe señalar que dicha regla admite la excepción relativa a cuestiones y pruebas supervenientes- Visible en el S.J.F., Octava Época, Tomo VII, enero de 1991, pág. 294.</w:t>
      </w:r>
      <w:r>
        <w:rPr>
          <w:rFonts w:ascii="Palatino Linotype" w:eastAsia="Palatino Linotype" w:hAnsi="Palatino Linotype" w:cs="Palatino Linotype"/>
          <w:b/>
          <w:bCs/>
          <w:color w:val="000000"/>
        </w:rPr>
        <w:t>”</w:t>
      </w:r>
    </w:p>
    <w:p w:rsidR="0049068C" w:rsidRDefault="0049068C" w:rsidP="003440BA">
      <w:pPr>
        <w:pBdr>
          <w:top w:val="nil"/>
          <w:left w:val="nil"/>
          <w:bottom w:val="nil"/>
          <w:right w:val="nil"/>
          <w:between w:val="nil"/>
        </w:pBdr>
        <w:ind w:left="720" w:right="-28"/>
        <w:jc w:val="both"/>
        <w:rPr>
          <w:rFonts w:ascii="Palatino Linotype" w:eastAsia="Palatino Linotype" w:hAnsi="Palatino Linotype" w:cs="Palatino Linotype"/>
          <w:b/>
          <w:bCs/>
          <w:color w:val="000000"/>
        </w:rPr>
      </w:pPr>
    </w:p>
    <w:p w:rsidR="0049068C" w:rsidRDefault="003352D4" w:rsidP="003440BA">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Por lo anterior, se establece que, el recurso de revisión presentado por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no debe variar el fondo de la litis, de tal manera que, los argumentos planteados por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su inconformidad respecto de los puntos materia del presente análisis, resultan notoriamente improcedentes, pues este Órgano Garante se encuentra imposibilitado para satisfacer requerimientos que no fueron formulados en tiempo y forma.</w:t>
      </w:r>
    </w:p>
    <w:p w:rsidR="0049068C" w:rsidRDefault="0049068C" w:rsidP="003440B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49068C" w:rsidRDefault="003352D4" w:rsidP="003440BA">
      <w:pPr>
        <w:numPr>
          <w:ilvl w:val="0"/>
          <w:numId w:val="1"/>
        </w:numPr>
        <w:pBdr>
          <w:top w:val="nil"/>
          <w:left w:val="nil"/>
          <w:bottom w:val="nil"/>
          <w:right w:val="nil"/>
          <w:between w:val="nil"/>
        </w:pBdr>
        <w:shd w:val="clear" w:color="auto" w:fill="FFFFFF"/>
        <w:spacing w:line="360" w:lineRule="auto"/>
        <w:ind w:left="0" w:right="-28" w:firstLine="0"/>
        <w:jc w:val="both"/>
        <w:rPr>
          <w:color w:val="000000"/>
        </w:rPr>
      </w:pPr>
      <w:r>
        <w:rPr>
          <w:rFonts w:ascii="Palatino Linotype" w:eastAsia="Palatino Linotype" w:hAnsi="Palatino Linotype" w:cs="Palatino Linotype"/>
          <w:color w:val="000000"/>
        </w:rPr>
        <w:t>Tiene aplicación al respecto por analogía, la tesis aislada número I.8o.A.136 A, de la Novena Época, publicada en el Semanario Oficial de la Federación y su Gaceta Tomo XXIX, Marzo de 2009, página 2887, con número de registro 167607, que lleva por rubro y texto los siguientes:</w:t>
      </w:r>
    </w:p>
    <w:p w:rsidR="0049068C" w:rsidRDefault="003352D4" w:rsidP="003440BA">
      <w:pPr>
        <w:pBdr>
          <w:top w:val="nil"/>
          <w:left w:val="nil"/>
          <w:bottom w:val="nil"/>
          <w:right w:val="nil"/>
          <w:between w:val="nil"/>
        </w:pBdr>
        <w:shd w:val="clear" w:color="auto" w:fill="FFFFFF"/>
        <w:spacing w:line="360" w:lineRule="auto"/>
        <w:ind w:left="851" w:right="-2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O SEAN DISTINTOS A LOS DE SU PETICIÓN INICIAL. </w:t>
      </w:r>
      <w:r>
        <w:rPr>
          <w:rFonts w:ascii="Palatino Linotype" w:eastAsia="Palatino Linotype" w:hAnsi="Palatino Linotype" w:cs="Palatino Linotype"/>
          <w:i/>
          <w:iCs/>
          <w:color w:val="000000"/>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w:t>
      </w:r>
      <w:r>
        <w:rPr>
          <w:rFonts w:ascii="Palatino Linotype" w:eastAsia="Palatino Linotype" w:hAnsi="Palatino Linotype" w:cs="Palatino Linotype"/>
          <w:i/>
          <w:iCs/>
          <w:color w:val="000000"/>
        </w:rPr>
        <w:lastRenderedPageBreak/>
        <w:t>constitucionales autónomos o con autonomía legal y cualquier otra entidad federal, así como que toda la información gubernamental a que se refiere dicha ley es pública y los particulares tendrán acceso a ella en los términos que en ésta se señalen y que, por otra parte, el precepto 6de la propia legislación prevé el principio de máxima publicidad y disponibilidad de la información en posesión de los sujetos obligados; también lo es que ello no implica que tales numerales deban interpretarse en el sentido de permitir al gobernado que a su arbitrio solicite copia de documentos que no obren en los expedientes de los sujetos obligados, o sean distintos a los de su petición inicial, pues ello contravendría el artículo 42 de la citada ley, que señala que las dependencias y entidades sólo estarán obligadas a entregar los documentos que se encuentren en sus archivos -los solicitados- y que la obligación de acceso a la información se dará por cumplida cuando se pongan a disposición del solicitante para consulta en el sitio donde se encuentren.</w:t>
      </w:r>
      <w:r>
        <w:rPr>
          <w:rFonts w:ascii="Palatino Linotype" w:eastAsia="Palatino Linotype" w:hAnsi="Palatino Linotype" w:cs="Palatino Linotype"/>
          <w:i/>
          <w:iCs/>
          <w:color w:val="000000"/>
        </w:rPr>
        <w:br/>
        <w:t>OCTAVO TRIBUNAL COLEGIADO EN MATERIA ADMINISTRATIVA DEL PRIMER CIRCUITO.</w:t>
      </w:r>
      <w:r>
        <w:rPr>
          <w:rFonts w:ascii="Palatino Linotype" w:eastAsia="Palatino Linotype" w:hAnsi="Palatino Linotype" w:cs="Palatino Linotype"/>
          <w:b/>
          <w:bCs/>
          <w:i/>
          <w:iCs/>
          <w:color w:val="000000"/>
        </w:rPr>
        <w:t>”</w:t>
      </w:r>
    </w:p>
    <w:p w:rsidR="0049068C" w:rsidRDefault="0049068C" w:rsidP="003440BA">
      <w:pPr>
        <w:pBdr>
          <w:top w:val="nil"/>
          <w:left w:val="nil"/>
          <w:bottom w:val="nil"/>
          <w:right w:val="nil"/>
          <w:between w:val="nil"/>
        </w:pBdr>
        <w:shd w:val="clear" w:color="auto" w:fill="FFFFFF"/>
        <w:spacing w:line="276" w:lineRule="auto"/>
        <w:ind w:left="851" w:right="-28"/>
        <w:jc w:val="both"/>
        <w:rPr>
          <w:rFonts w:ascii="Palatino Linotype" w:eastAsia="Palatino Linotype" w:hAnsi="Palatino Linotype" w:cs="Palatino Linotype"/>
          <w:b/>
          <w:bCs/>
          <w:color w:val="000000"/>
        </w:rPr>
      </w:pPr>
    </w:p>
    <w:p w:rsidR="0049068C" w:rsidRDefault="003352D4" w:rsidP="003440BA">
      <w:pPr>
        <w:numPr>
          <w:ilvl w:val="0"/>
          <w:numId w:val="1"/>
        </w:numPr>
        <w:pBdr>
          <w:top w:val="nil"/>
          <w:left w:val="nil"/>
          <w:bottom w:val="nil"/>
          <w:right w:val="nil"/>
          <w:between w:val="nil"/>
        </w:pBdr>
        <w:shd w:val="clear" w:color="auto" w:fill="FFFFFF"/>
        <w:spacing w:line="360" w:lineRule="auto"/>
        <w:ind w:left="0" w:right="-28" w:firstLine="0"/>
        <w:jc w:val="both"/>
        <w:rPr>
          <w:color w:val="000000"/>
        </w:rPr>
      </w:pPr>
      <w:r>
        <w:rPr>
          <w:rFonts w:ascii="Palatino Linotype" w:eastAsia="Palatino Linotype" w:hAnsi="Palatino Linotype" w:cs="Palatino Linotype"/>
          <w:color w:val="000000"/>
        </w:rPr>
        <w:t xml:space="preserve">Así mismo ha sido criterio del Instituto Nacional de Transparencia, Acceso a la Información y Protección de Datos Personales bajo el número 27/10, que </w:t>
      </w:r>
      <w:r>
        <w:rPr>
          <w:rFonts w:ascii="Palatino Linotype" w:eastAsia="Palatino Linotype" w:hAnsi="Palatino Linotype" w:cs="Palatino Linotype"/>
          <w:color w:val="000000"/>
          <w:u w:val="single"/>
        </w:rPr>
        <w:t>resulta improcedente ampliar las solicitudes de información pública o de datos personales a través de la interposición del recurso de revisión</w:t>
      </w:r>
      <w:r>
        <w:rPr>
          <w:rFonts w:ascii="Palatino Linotype" w:eastAsia="Palatino Linotype" w:hAnsi="Palatino Linotype" w:cs="Palatino Linotype"/>
          <w:color w:val="000000"/>
        </w:rPr>
        <w:t xml:space="preserve">, como se estima acontece en el presente asunto, al aumentar datos a la solicitud inicial, </w:t>
      </w:r>
      <w:r>
        <w:rPr>
          <w:rFonts w:ascii="Palatino Linotype" w:eastAsia="Palatino Linotype" w:hAnsi="Palatino Linotype" w:cs="Palatino Linotype"/>
          <w:b/>
          <w:bCs/>
          <w:color w:val="000000"/>
        </w:rPr>
        <w:t>por lo que se insiste no se puede entrar al estudio de la información novedosa</w:t>
      </w:r>
      <w:r>
        <w:rPr>
          <w:rFonts w:ascii="Palatino Linotype" w:eastAsia="Palatino Linotype" w:hAnsi="Palatino Linotype" w:cs="Palatino Linotype"/>
          <w:color w:val="000000"/>
        </w:rPr>
        <w:t>, criterio que es de la literalidad siguiente:</w:t>
      </w:r>
    </w:p>
    <w:p w:rsidR="0049068C" w:rsidRDefault="003352D4" w:rsidP="003440BA">
      <w:pPr>
        <w:pBdr>
          <w:top w:val="nil"/>
          <w:left w:val="nil"/>
          <w:bottom w:val="nil"/>
          <w:right w:val="nil"/>
          <w:between w:val="nil"/>
        </w:pBdr>
        <w:shd w:val="clear" w:color="auto" w:fill="FFFFFF"/>
        <w:spacing w:line="360" w:lineRule="auto"/>
        <w:ind w:left="851"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color w:val="000000"/>
        </w:rPr>
        <w:t>“Es improcedente ampliar las solicitudes de acceso a información pública o datos personales, a través de la interposición del recurso de revisión.</w:t>
      </w:r>
      <w:r>
        <w:rPr>
          <w:rFonts w:ascii="Palatino Linotype" w:eastAsia="Palatino Linotype" w:hAnsi="Palatino Linotype" w:cs="Palatino Linotype"/>
          <w:i/>
          <w:iCs/>
          <w:color w:val="000000"/>
        </w:rPr>
        <w:t xml:space="preserve"> En aquellos casos en los que los recurrentes amplíen los alcances de su solicitud de información o acceso a datos personales a través de su recurso de revisión, esta ampliación no podrá constituir materia del </w:t>
      </w:r>
      <w:r>
        <w:rPr>
          <w:rFonts w:ascii="Palatino Linotype" w:eastAsia="Palatino Linotype" w:hAnsi="Palatino Linotype" w:cs="Palatino Linotype"/>
          <w:i/>
          <w:iCs/>
          <w:color w:val="000000"/>
        </w:rPr>
        <w:lastRenderedPageBreak/>
        <w:t>procedimiento a sustanciarse por el Instituto Federal de Acceso a la Información y Protección de Datos. Lo anterior, sin perjuicio de que los recurrentes puedan ejercer su derecho a realizar una nueva solicitud en términos de la Ley de la materia.</w:t>
      </w:r>
    </w:p>
    <w:p w:rsidR="0049068C" w:rsidRDefault="003352D4" w:rsidP="003440BA">
      <w:pPr>
        <w:pBdr>
          <w:top w:val="nil"/>
          <w:left w:val="nil"/>
          <w:bottom w:val="nil"/>
          <w:right w:val="nil"/>
          <w:between w:val="nil"/>
        </w:pBdr>
        <w:shd w:val="clear" w:color="auto" w:fill="FFFFFF"/>
        <w:spacing w:line="360" w:lineRule="auto"/>
        <w:ind w:left="851" w:right="-2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Expedientes: 5871/08 Secretaría de Educación Pública – Alonso Gómez-Robledo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w:t>
      </w:r>
      <w:r>
        <w:rPr>
          <w:rFonts w:ascii="Palatino Linotype" w:eastAsia="Palatino Linotype" w:hAnsi="Palatino Linotype" w:cs="Palatino Linotype"/>
          <w:b/>
          <w:bCs/>
          <w:i/>
          <w:iCs/>
          <w:color w:val="000000"/>
        </w:rPr>
        <w:t>”</w:t>
      </w:r>
    </w:p>
    <w:p w:rsidR="0049068C" w:rsidRDefault="0049068C" w:rsidP="003440BA">
      <w:pPr>
        <w:pBdr>
          <w:top w:val="nil"/>
          <w:left w:val="nil"/>
          <w:bottom w:val="nil"/>
          <w:right w:val="nil"/>
          <w:between w:val="nil"/>
        </w:pBdr>
        <w:shd w:val="clear" w:color="auto" w:fill="FFFFFF"/>
        <w:ind w:left="720" w:right="-28"/>
        <w:jc w:val="both"/>
        <w:rPr>
          <w:rFonts w:ascii="Palatino Linotype" w:eastAsia="Palatino Linotype" w:hAnsi="Palatino Linotype" w:cs="Palatino Linotype"/>
          <w:b/>
          <w:bCs/>
          <w:color w:val="000000"/>
        </w:rPr>
      </w:pPr>
    </w:p>
    <w:p w:rsidR="0049068C" w:rsidRDefault="003352D4" w:rsidP="003440BA">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En tal virtud, resulta procedente </w:t>
      </w:r>
      <w:r>
        <w:rPr>
          <w:rFonts w:ascii="Palatino Linotype" w:eastAsia="Palatino Linotype" w:hAnsi="Palatino Linotype" w:cs="Palatino Linotype"/>
          <w:b/>
          <w:bCs/>
          <w:color w:val="000000"/>
        </w:rPr>
        <w:t>DESECHAR</w:t>
      </w:r>
      <w:r>
        <w:rPr>
          <w:rFonts w:ascii="Palatino Linotype" w:eastAsia="Palatino Linotype" w:hAnsi="Palatino Linotype" w:cs="Palatino Linotype"/>
          <w:color w:val="000000"/>
        </w:rPr>
        <w:t xml:space="preserve"> el presente recurso, en términos del artículo 191, fracción VII de la de la Ley de Transparencia y Acceso a la Información Pública del Estado de México y Municipios, que literalmente establece:</w:t>
      </w:r>
    </w:p>
    <w:p w:rsidR="0049068C" w:rsidRDefault="003352D4" w:rsidP="003440BA">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191. </w:t>
      </w:r>
      <w:r>
        <w:rPr>
          <w:rFonts w:ascii="Palatino Linotype" w:eastAsia="Palatino Linotype" w:hAnsi="Palatino Linotype" w:cs="Palatino Linotype"/>
          <w:i/>
          <w:iCs/>
          <w:color w:val="000000"/>
        </w:rPr>
        <w:t>El recurso será desechado por improcedente cuando:</w:t>
      </w:r>
    </w:p>
    <w:p w:rsidR="0049068C" w:rsidRDefault="003352D4" w:rsidP="003440BA">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w:t>
      </w:r>
    </w:p>
    <w:p w:rsidR="0049068C" w:rsidRDefault="003352D4" w:rsidP="003440BA">
      <w:pPr>
        <w:pBdr>
          <w:top w:val="nil"/>
          <w:left w:val="nil"/>
          <w:bottom w:val="nil"/>
          <w:right w:val="nil"/>
          <w:between w:val="nil"/>
        </w:pBdr>
        <w:spacing w:line="360" w:lineRule="auto"/>
        <w:ind w:left="720"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VII. </w:t>
      </w:r>
      <w:r>
        <w:rPr>
          <w:rFonts w:ascii="Palatino Linotype" w:eastAsia="Palatino Linotype" w:hAnsi="Palatino Linotype" w:cs="Palatino Linotype"/>
          <w:i/>
          <w:iCs/>
          <w:color w:val="000000"/>
        </w:rPr>
        <w:t>El recurrente amplíe su solicitud en el recurso de revisión, únicamente respecto de los nuevos contenidos.</w:t>
      </w:r>
    </w:p>
    <w:p w:rsidR="0049068C" w:rsidRDefault="003352D4" w:rsidP="003440BA">
      <w:pPr>
        <w:pBdr>
          <w:top w:val="nil"/>
          <w:left w:val="nil"/>
          <w:bottom w:val="nil"/>
          <w:right w:val="nil"/>
          <w:between w:val="nil"/>
        </w:pBdr>
        <w:spacing w:line="360" w:lineRule="auto"/>
        <w:ind w:left="720" w:right="-2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w:t>
      </w:r>
    </w:p>
    <w:p w:rsidR="0049068C" w:rsidRDefault="0049068C" w:rsidP="003440BA">
      <w:pPr>
        <w:pBdr>
          <w:top w:val="nil"/>
          <w:left w:val="nil"/>
          <w:bottom w:val="nil"/>
          <w:right w:val="nil"/>
          <w:between w:val="nil"/>
        </w:pBdr>
        <w:ind w:left="720" w:right="-28"/>
        <w:jc w:val="both"/>
        <w:rPr>
          <w:rFonts w:ascii="Palatino Linotype" w:eastAsia="Palatino Linotype" w:hAnsi="Palatino Linotype" w:cs="Palatino Linotype"/>
          <w:i/>
          <w:iCs/>
          <w:color w:val="000000"/>
        </w:rPr>
      </w:pPr>
    </w:p>
    <w:p w:rsidR="0049068C" w:rsidRDefault="003352D4" w:rsidP="003440BA">
      <w:pPr>
        <w:numPr>
          <w:ilvl w:val="0"/>
          <w:numId w:val="1"/>
        </w:numPr>
        <w:pBdr>
          <w:top w:val="nil"/>
          <w:left w:val="nil"/>
          <w:bottom w:val="nil"/>
          <w:right w:val="nil"/>
          <w:between w:val="nil"/>
        </w:pBdr>
        <w:spacing w:line="360" w:lineRule="auto"/>
        <w:ind w:left="0" w:right="-28" w:firstLine="0"/>
        <w:jc w:val="both"/>
        <w:rPr>
          <w:color w:val="000000"/>
        </w:rPr>
      </w:pPr>
      <w:r>
        <w:rPr>
          <w:rFonts w:ascii="Palatino Linotype" w:eastAsia="Palatino Linotype" w:hAnsi="Palatino Linotype" w:cs="Palatino Linotype"/>
          <w:color w:val="000000"/>
        </w:rPr>
        <w:t xml:space="preserve">No obstante lo anterior, </w:t>
      </w:r>
      <w:r>
        <w:rPr>
          <w:rFonts w:ascii="Palatino Linotype" w:eastAsia="Palatino Linotype" w:hAnsi="Palatino Linotype" w:cs="Palatino Linotype"/>
          <w:b/>
          <w:bCs/>
          <w:color w:val="000000"/>
        </w:rPr>
        <w:t>se dejan a salvo los derechos del RECURRENTE para ejercitar su derecho de acceso a la información pública, realizando una nueva solicitud respecto de la información requerida mediante el recurso de revisión</w:t>
      </w:r>
      <w:r>
        <w:rPr>
          <w:rFonts w:ascii="Palatino Linotype" w:eastAsia="Palatino Linotype" w:hAnsi="Palatino Linotype" w:cs="Palatino Linotype"/>
          <w:color w:val="000000"/>
        </w:rPr>
        <w:t>.</w:t>
      </w:r>
    </w:p>
    <w:p w:rsidR="0049068C" w:rsidRDefault="0049068C" w:rsidP="003440BA">
      <w:pPr>
        <w:pBdr>
          <w:top w:val="nil"/>
          <w:left w:val="nil"/>
          <w:bottom w:val="nil"/>
          <w:right w:val="nil"/>
          <w:between w:val="nil"/>
        </w:pBdr>
        <w:tabs>
          <w:tab w:val="left" w:pos="567"/>
        </w:tabs>
        <w:spacing w:line="360" w:lineRule="auto"/>
        <w:ind w:right="-28"/>
        <w:jc w:val="both"/>
        <w:rPr>
          <w:rFonts w:ascii="Palatino Linotype" w:eastAsia="Palatino Linotype" w:hAnsi="Palatino Linotype" w:cs="Palatino Linotype"/>
          <w:color w:val="000000"/>
        </w:rPr>
      </w:pPr>
    </w:p>
    <w:p w:rsidR="0049068C" w:rsidRDefault="003352D4" w:rsidP="003440BA">
      <w:pPr>
        <w:numPr>
          <w:ilvl w:val="0"/>
          <w:numId w:val="1"/>
        </w:numPr>
        <w:pBdr>
          <w:top w:val="nil"/>
          <w:left w:val="nil"/>
          <w:bottom w:val="nil"/>
          <w:right w:val="nil"/>
          <w:between w:val="nil"/>
        </w:pBdr>
        <w:tabs>
          <w:tab w:val="left" w:pos="567"/>
        </w:tabs>
        <w:spacing w:line="360" w:lineRule="auto"/>
        <w:ind w:left="0" w:right="-28" w:firstLine="0"/>
        <w:jc w:val="both"/>
        <w:rPr>
          <w:color w:val="000000"/>
        </w:rPr>
      </w:pPr>
      <w:r>
        <w:rPr>
          <w:rFonts w:ascii="Palatino Linotype" w:eastAsia="Palatino Linotype" w:hAnsi="Palatino Linotype" w:cs="Palatino Linotype"/>
          <w:color w:val="000000"/>
        </w:rPr>
        <w:t xml:space="preserve">Al no actualizar ninguna causal de procedencia, el recurso de revisión deben ser desechados por improcedentes; sin embargo, una vez admitido, procederá el sobreseimiento </w:t>
      </w:r>
      <w:r>
        <w:rPr>
          <w:rFonts w:ascii="Palatino Linotype" w:eastAsia="Palatino Linotype" w:hAnsi="Palatino Linotype" w:cs="Palatino Linotype"/>
          <w:color w:val="000000"/>
        </w:rPr>
        <w:lastRenderedPageBreak/>
        <w:t>de acuerdo a lo que establece el artículo 192 fracción IV, de la multicitada Ley de Transparencia:</w:t>
      </w:r>
    </w:p>
    <w:p w:rsidR="0049068C" w:rsidRDefault="003352D4" w:rsidP="003440BA">
      <w:pPr>
        <w:pBdr>
          <w:top w:val="nil"/>
          <w:left w:val="nil"/>
          <w:bottom w:val="nil"/>
          <w:right w:val="nil"/>
          <w:between w:val="nil"/>
        </w:pBdr>
        <w:tabs>
          <w:tab w:val="left" w:pos="567"/>
        </w:tabs>
        <w:spacing w:line="360" w:lineRule="auto"/>
        <w:ind w:left="567"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192. El recurso será sobreseído, en todo o en parte, cuando una vez admitido, se actualicen alguno de los siguientes supuestos:</w:t>
      </w:r>
    </w:p>
    <w:p w:rsidR="0049068C" w:rsidRDefault="003352D4" w:rsidP="003440BA">
      <w:pPr>
        <w:pBdr>
          <w:top w:val="nil"/>
          <w:left w:val="nil"/>
          <w:bottom w:val="nil"/>
          <w:right w:val="nil"/>
          <w:between w:val="nil"/>
        </w:pBdr>
        <w:tabs>
          <w:tab w:val="left" w:pos="567"/>
        </w:tabs>
        <w:spacing w:line="360" w:lineRule="auto"/>
        <w:ind w:left="567"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El recurrente se desista expresamente del recurso; </w:t>
      </w:r>
    </w:p>
    <w:p w:rsidR="0049068C" w:rsidRDefault="003352D4" w:rsidP="003440BA">
      <w:pPr>
        <w:pBdr>
          <w:top w:val="nil"/>
          <w:left w:val="nil"/>
          <w:bottom w:val="nil"/>
          <w:right w:val="nil"/>
          <w:between w:val="nil"/>
        </w:pBdr>
        <w:tabs>
          <w:tab w:val="left" w:pos="567"/>
        </w:tabs>
        <w:spacing w:line="360" w:lineRule="auto"/>
        <w:ind w:left="567"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El recurrente fallezca o, tratándose de personas jurídicas colectivas, se disuelva; </w:t>
      </w:r>
    </w:p>
    <w:p w:rsidR="0049068C" w:rsidRDefault="003352D4" w:rsidP="003440BA">
      <w:pPr>
        <w:pBdr>
          <w:top w:val="nil"/>
          <w:left w:val="nil"/>
          <w:bottom w:val="nil"/>
          <w:right w:val="nil"/>
          <w:between w:val="nil"/>
        </w:pBdr>
        <w:tabs>
          <w:tab w:val="left" w:pos="567"/>
        </w:tabs>
        <w:spacing w:line="360" w:lineRule="auto"/>
        <w:ind w:left="567"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El sujeto obligado responsable del acto lo modifique o revoque de tal manera que el recurso de revisión quede sin materia; </w:t>
      </w:r>
    </w:p>
    <w:p w:rsidR="0049068C" w:rsidRDefault="003352D4" w:rsidP="003440BA">
      <w:pPr>
        <w:pBdr>
          <w:top w:val="nil"/>
          <w:left w:val="nil"/>
          <w:bottom w:val="nil"/>
          <w:right w:val="nil"/>
          <w:between w:val="nil"/>
        </w:pBdr>
        <w:tabs>
          <w:tab w:val="left" w:pos="567"/>
        </w:tabs>
        <w:spacing w:line="360" w:lineRule="auto"/>
        <w:ind w:left="567" w:right="-2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IV. Admitido el recurso de revisión, aparezca alguna causal de improcedencia en los términos de la presente Ley; y </w:t>
      </w:r>
    </w:p>
    <w:p w:rsidR="0049068C" w:rsidRDefault="003352D4" w:rsidP="003440BA">
      <w:pPr>
        <w:pBdr>
          <w:top w:val="nil"/>
          <w:left w:val="nil"/>
          <w:bottom w:val="nil"/>
          <w:right w:val="nil"/>
          <w:between w:val="nil"/>
        </w:pBdr>
        <w:tabs>
          <w:tab w:val="left" w:pos="567"/>
        </w:tabs>
        <w:spacing w:line="360" w:lineRule="auto"/>
        <w:ind w:left="567" w:right="-2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 Cuando por cualquier motivo quede sin materia el recurso.</w:t>
      </w:r>
    </w:p>
    <w:p w:rsidR="0049068C" w:rsidRDefault="0049068C" w:rsidP="003440BA">
      <w:pPr>
        <w:pBdr>
          <w:top w:val="nil"/>
          <w:left w:val="nil"/>
          <w:bottom w:val="nil"/>
          <w:right w:val="nil"/>
          <w:between w:val="nil"/>
        </w:pBdr>
        <w:tabs>
          <w:tab w:val="left" w:pos="567"/>
        </w:tabs>
        <w:spacing w:line="360" w:lineRule="auto"/>
        <w:ind w:right="-28"/>
        <w:jc w:val="both"/>
        <w:rPr>
          <w:rFonts w:ascii="Palatino Linotype" w:eastAsia="Palatino Linotype" w:hAnsi="Palatino Linotype" w:cs="Palatino Linotype"/>
          <w:color w:val="000000"/>
        </w:rPr>
      </w:pPr>
    </w:p>
    <w:p w:rsidR="0049068C" w:rsidRDefault="003352D4" w:rsidP="003440BA">
      <w:pPr>
        <w:numPr>
          <w:ilvl w:val="0"/>
          <w:numId w:val="1"/>
        </w:numPr>
        <w:pBdr>
          <w:top w:val="nil"/>
          <w:left w:val="nil"/>
          <w:bottom w:val="nil"/>
          <w:right w:val="nil"/>
          <w:between w:val="nil"/>
        </w:pBdr>
        <w:tabs>
          <w:tab w:val="left" w:pos="0"/>
        </w:tabs>
        <w:spacing w:line="360" w:lineRule="auto"/>
        <w:ind w:left="0" w:right="-28" w:firstLine="0"/>
        <w:jc w:val="both"/>
        <w:rPr>
          <w:color w:val="000000"/>
        </w:rPr>
      </w:pPr>
      <w:r>
        <w:rPr>
          <w:rFonts w:ascii="Palatino Linotype" w:eastAsia="Palatino Linotype" w:hAnsi="Palatino Linotype" w:cs="Palatino Linotype"/>
          <w:color w:val="000000"/>
        </w:rPr>
        <w:t>Es así que, el recurso de revisión actualiza la causal de sobreseimiento establecida en la fracción IV del artículo 192, en relación a las fracciones III del artículo 191, ambos de la Ley de Transparencia y Acceso a la Información Pública del Estado de México y Municipios.</w:t>
      </w:r>
    </w:p>
    <w:p w:rsidR="0049068C" w:rsidRDefault="0049068C" w:rsidP="003440BA">
      <w:p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p>
    <w:p w:rsidR="0049068C" w:rsidRDefault="003352D4" w:rsidP="003440BA">
      <w:pPr>
        <w:numPr>
          <w:ilvl w:val="0"/>
          <w:numId w:val="1"/>
        </w:numPr>
        <w:pBdr>
          <w:top w:val="nil"/>
          <w:left w:val="nil"/>
          <w:bottom w:val="nil"/>
          <w:right w:val="nil"/>
          <w:between w:val="nil"/>
        </w:pBdr>
        <w:tabs>
          <w:tab w:val="left" w:pos="0"/>
        </w:tabs>
        <w:spacing w:line="360" w:lineRule="auto"/>
        <w:ind w:left="0" w:right="-28" w:firstLine="0"/>
        <w:jc w:val="both"/>
        <w:rPr>
          <w:color w:val="000000"/>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49068C" w:rsidRDefault="003352D4" w:rsidP="003440BA">
      <w:pPr>
        <w:pStyle w:val="Ttulo1"/>
        <w:spacing w:line="360" w:lineRule="auto"/>
        <w:ind w:right="-28"/>
        <w:jc w:val="center"/>
        <w:rPr>
          <w:rFonts w:ascii="Palatino Linotype" w:eastAsia="Palatino Linotype" w:hAnsi="Palatino Linotype" w:cs="Palatino Linotype"/>
          <w:b/>
          <w:bCs/>
          <w:color w:val="000000"/>
          <w:sz w:val="24"/>
          <w:szCs w:val="24"/>
        </w:rPr>
      </w:pPr>
      <w:bookmarkStart w:id="8" w:name="_heading=h.uvl7ztqhbt7x" w:colFirst="0" w:colLast="0"/>
      <w:bookmarkEnd w:id="8"/>
      <w:r>
        <w:rPr>
          <w:rFonts w:ascii="Palatino Linotype" w:eastAsia="Palatino Linotype" w:hAnsi="Palatino Linotype" w:cs="Palatino Linotype"/>
          <w:b/>
          <w:bCs/>
          <w:color w:val="000000"/>
          <w:sz w:val="24"/>
          <w:szCs w:val="24"/>
        </w:rPr>
        <w:t>R E S O L U T I V O S</w:t>
      </w:r>
    </w:p>
    <w:p w:rsidR="0049068C" w:rsidRDefault="0049068C" w:rsidP="003440BA">
      <w:pPr>
        <w:ind w:right="-28"/>
      </w:pPr>
    </w:p>
    <w:p w:rsidR="0049068C" w:rsidRDefault="003352D4" w:rsidP="003440BA">
      <w:pPr>
        <w:spacing w:after="240" w:line="360" w:lineRule="auto"/>
        <w:ind w:right="-28"/>
        <w:jc w:val="both"/>
        <w:rPr>
          <w:rFonts w:ascii="Palatino Linotype" w:eastAsia="Palatino Linotype" w:hAnsi="Palatino Linotype" w:cs="Palatino Linotype"/>
        </w:rPr>
      </w:pPr>
      <w:bookmarkStart w:id="9" w:name="_heading=h.8vqg59tf58yk" w:colFirst="0" w:colLast="0"/>
      <w:bookmarkEnd w:id="9"/>
      <w:r>
        <w:rPr>
          <w:rFonts w:ascii="Palatino Linotype" w:eastAsia="Palatino Linotype" w:hAnsi="Palatino Linotype" w:cs="Palatino Linotype"/>
          <w:b/>
          <w:bCs/>
        </w:rPr>
        <w:t>PRIMERO.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 xml:space="preserve">SOBRESEE el </w:t>
      </w:r>
      <w:r>
        <w:rPr>
          <w:rFonts w:ascii="Palatino Linotype" w:eastAsia="Palatino Linotype" w:hAnsi="Palatino Linotype" w:cs="Palatino Linotype"/>
        </w:rPr>
        <w:t xml:space="preserve">recurso de revisión número </w:t>
      </w:r>
      <w:r>
        <w:rPr>
          <w:rFonts w:ascii="Palatino Linotype" w:eastAsia="Palatino Linotype" w:hAnsi="Palatino Linotype" w:cs="Palatino Linotype"/>
          <w:b/>
          <w:bCs/>
        </w:rPr>
        <w:t>11993/INFOEM/IP/RR/2025</w:t>
      </w:r>
      <w:r>
        <w:rPr>
          <w:rFonts w:ascii="Palatino Linotype" w:eastAsia="Palatino Linotype" w:hAnsi="Palatino Linotype" w:cs="Palatino Linotype"/>
        </w:rPr>
        <w:t xml:space="preserve">, por ser improcedente conforme al artículo </w:t>
      </w:r>
      <w:r>
        <w:rPr>
          <w:rFonts w:ascii="Palatino Linotype" w:eastAsia="Palatino Linotype" w:hAnsi="Palatino Linotype" w:cs="Palatino Linotype"/>
          <w:b/>
          <w:bCs/>
        </w:rPr>
        <w:t>192 fracción IV</w:t>
      </w:r>
      <w:r>
        <w:rPr>
          <w:rFonts w:ascii="Palatino Linotype" w:eastAsia="Palatino Linotype" w:hAnsi="Palatino Linotype" w:cs="Palatino Linotype"/>
        </w:rPr>
        <w:t xml:space="preserve">, de la Ley de Transparencia y Acceso a la Información Pública del Estado de México y Municipios, en términos del </w:t>
      </w:r>
      <w:r>
        <w:rPr>
          <w:rFonts w:ascii="Palatino Linotype" w:eastAsia="Palatino Linotype" w:hAnsi="Palatino Linotype" w:cs="Palatino Linotype"/>
          <w:b/>
          <w:bCs/>
        </w:rPr>
        <w:t>Considerando TERCERO</w:t>
      </w:r>
      <w:r>
        <w:rPr>
          <w:rFonts w:ascii="Palatino Linotype" w:eastAsia="Palatino Linotype" w:hAnsi="Palatino Linotype" w:cs="Palatino Linotype"/>
        </w:rPr>
        <w:t xml:space="preserve"> de la presente resolución.</w:t>
      </w:r>
    </w:p>
    <w:p w:rsidR="0049068C" w:rsidRDefault="004F6DF0" w:rsidP="003440BA">
      <w:pPr>
        <w:pBdr>
          <w:top w:val="nil"/>
          <w:left w:val="nil"/>
          <w:bottom w:val="nil"/>
          <w:right w:val="nil"/>
          <w:between w:val="nil"/>
        </w:pBdr>
        <w:spacing w:after="240" w:line="360" w:lineRule="auto"/>
        <w:ind w:right="-2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SEGUNDO. Notifíquese</w:t>
      </w:r>
      <w:r w:rsidR="003352D4">
        <w:rPr>
          <w:rFonts w:ascii="Palatino Linotype" w:eastAsia="Palatino Linotype" w:hAnsi="Palatino Linotype" w:cs="Palatino Linotype"/>
          <w:b/>
          <w:bCs/>
          <w:color w:val="000000"/>
        </w:rPr>
        <w:t xml:space="preserve"> </w:t>
      </w:r>
      <w:r w:rsidR="003352D4">
        <w:rPr>
          <w:rFonts w:ascii="Palatino Linotype" w:eastAsia="Palatino Linotype" w:hAnsi="Palatino Linotype" w:cs="Palatino Linotype"/>
          <w:color w:val="000000"/>
        </w:rPr>
        <w:t xml:space="preserve">a través del Sistema de Acceso a la Información Mexiquense </w:t>
      </w:r>
      <w:r w:rsidR="003352D4">
        <w:rPr>
          <w:rFonts w:ascii="Palatino Linotype" w:eastAsia="Palatino Linotype" w:hAnsi="Palatino Linotype" w:cs="Palatino Linotype"/>
          <w:b/>
          <w:bCs/>
          <w:color w:val="000000"/>
        </w:rPr>
        <w:t xml:space="preserve">(SAIMEX) </w:t>
      </w:r>
      <w:r w:rsidR="003352D4">
        <w:rPr>
          <w:rFonts w:ascii="Palatino Linotype" w:eastAsia="Palatino Linotype" w:hAnsi="Palatino Linotype" w:cs="Palatino Linotype"/>
          <w:color w:val="000000"/>
        </w:rPr>
        <w:t>la presente resolución al Titular de la Unidad de Transparencia del</w:t>
      </w:r>
      <w:r w:rsidR="003352D4">
        <w:rPr>
          <w:rFonts w:ascii="Palatino Linotype" w:eastAsia="Palatino Linotype" w:hAnsi="Palatino Linotype" w:cs="Palatino Linotype"/>
          <w:b/>
          <w:bCs/>
          <w:color w:val="000000"/>
        </w:rPr>
        <w:t xml:space="preserve"> SUJETO OBLIGADO. </w:t>
      </w:r>
    </w:p>
    <w:p w:rsidR="0049068C" w:rsidRDefault="003352D4" w:rsidP="003440BA">
      <w:pPr>
        <w:pBdr>
          <w:top w:val="nil"/>
          <w:left w:val="nil"/>
          <w:bottom w:val="nil"/>
          <w:right w:val="nil"/>
          <w:between w:val="nil"/>
        </w:pBdr>
        <w:spacing w:after="240"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TERCERO. Notifíquese al RECURRENTE </w:t>
      </w:r>
      <w:r>
        <w:rPr>
          <w:rFonts w:ascii="Palatino Linotype" w:eastAsia="Palatino Linotype" w:hAnsi="Palatino Linotype" w:cs="Palatino Linotype"/>
          <w:color w:val="000000"/>
        </w:rPr>
        <w:t xml:space="preserve">la presente resolución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w:t>
      </w:r>
    </w:p>
    <w:p w:rsidR="0049068C" w:rsidRDefault="003352D4" w:rsidP="003440B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CUARTO.</w:t>
      </w:r>
      <w:r>
        <w:rPr>
          <w:rFonts w:ascii="Palatino Linotype" w:eastAsia="Palatino Linotype" w:hAnsi="Palatino Linotype" w:cs="Palatino Linotype"/>
          <w:color w:val="000000"/>
        </w:rPr>
        <w:t xml:space="preserve"> Se hace del conocimiento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que, de conformidad con lo establecido en el artículo 196 de la Ley de Transparencia y Acceso a la Información Pública del Estado de México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49068C" w:rsidRDefault="0049068C" w:rsidP="003440BA">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4F6DF0" w:rsidRPr="003E2295" w:rsidRDefault="004F6DF0" w:rsidP="004F6DF0">
      <w:pPr>
        <w:spacing w:before="240" w:after="240" w:line="360" w:lineRule="auto"/>
        <w:ind w:firstLine="1"/>
        <w:jc w:val="both"/>
        <w:rPr>
          <w:rFonts w:ascii="Palatino Linotype" w:hAnsi="Palatino Linotype"/>
        </w:rPr>
      </w:pPr>
      <w:bookmarkStart w:id="10"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49068C" w:rsidRDefault="0049068C" w:rsidP="003440BA">
      <w:pPr>
        <w:spacing w:line="360" w:lineRule="auto"/>
        <w:ind w:right="-28"/>
      </w:pPr>
    </w:p>
    <w:p w:rsidR="0049068C" w:rsidRDefault="0049068C" w:rsidP="003440BA">
      <w:pPr>
        <w:spacing w:line="360" w:lineRule="auto"/>
        <w:ind w:right="-28"/>
      </w:pPr>
    </w:p>
    <w:p w:rsidR="0049068C" w:rsidRDefault="0049068C" w:rsidP="003440BA">
      <w:pPr>
        <w:spacing w:line="360" w:lineRule="auto"/>
        <w:ind w:right="-28"/>
      </w:pPr>
    </w:p>
    <w:p w:rsidR="0049068C" w:rsidRDefault="0049068C" w:rsidP="003440BA">
      <w:pPr>
        <w:spacing w:line="360" w:lineRule="auto"/>
        <w:ind w:right="-28"/>
      </w:pPr>
    </w:p>
    <w:p w:rsidR="0049068C" w:rsidRDefault="0049068C" w:rsidP="003440BA">
      <w:pPr>
        <w:spacing w:line="360" w:lineRule="auto"/>
        <w:ind w:right="-28"/>
      </w:pPr>
    </w:p>
    <w:p w:rsidR="0049068C" w:rsidRDefault="0049068C" w:rsidP="003440BA">
      <w:pPr>
        <w:spacing w:line="360" w:lineRule="auto"/>
        <w:ind w:right="-28"/>
      </w:pPr>
    </w:p>
    <w:p w:rsidR="0049068C" w:rsidRDefault="0049068C" w:rsidP="003440BA">
      <w:pPr>
        <w:spacing w:line="360" w:lineRule="auto"/>
        <w:ind w:right="-28"/>
      </w:pPr>
    </w:p>
    <w:p w:rsidR="0049068C" w:rsidRDefault="0049068C" w:rsidP="003440BA">
      <w:pPr>
        <w:spacing w:line="360" w:lineRule="auto"/>
        <w:ind w:right="-28"/>
      </w:pPr>
    </w:p>
    <w:p w:rsidR="0049068C" w:rsidRDefault="0049068C" w:rsidP="003440BA">
      <w:pPr>
        <w:spacing w:line="360" w:lineRule="auto"/>
        <w:ind w:right="-28"/>
      </w:pPr>
    </w:p>
    <w:p w:rsidR="0049068C" w:rsidRDefault="0049068C" w:rsidP="003440BA">
      <w:pPr>
        <w:ind w:right="-28"/>
      </w:pPr>
    </w:p>
    <w:p w:rsidR="0049068C" w:rsidRDefault="0049068C" w:rsidP="003440BA">
      <w:pPr>
        <w:ind w:right="-28"/>
      </w:pPr>
    </w:p>
    <w:p w:rsidR="0049068C" w:rsidRDefault="0049068C" w:rsidP="003440BA">
      <w:pPr>
        <w:ind w:right="-28"/>
      </w:pPr>
    </w:p>
    <w:p w:rsidR="0049068C" w:rsidRDefault="0049068C" w:rsidP="003440BA">
      <w:pPr>
        <w:ind w:right="-28"/>
      </w:pPr>
    </w:p>
    <w:p w:rsidR="0049068C" w:rsidRDefault="0049068C" w:rsidP="003440BA">
      <w:pPr>
        <w:ind w:right="-28"/>
      </w:pPr>
    </w:p>
    <w:sectPr w:rsidR="0049068C" w:rsidSect="00574272">
      <w:headerReference w:type="even" r:id="rId12"/>
      <w:headerReference w:type="default" r:id="rId13"/>
      <w:footerReference w:type="default" r:id="rId14"/>
      <w:headerReference w:type="first" r:id="rId15"/>
      <w:footerReference w:type="first" r:id="rId16"/>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9DB" w:rsidRDefault="00B379DB">
      <w:r>
        <w:separator/>
      </w:r>
    </w:p>
  </w:endnote>
  <w:endnote w:type="continuationSeparator" w:id="0">
    <w:p w:rsidR="00B379DB" w:rsidRDefault="00B3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F6F7BCC0-20C2-44CA-85A7-6A5E7F5F2C2B}"/>
    <w:embedBold r:id="rId2" w:fontKey="{0202B0CA-ACAD-4FF2-8613-0F81DD650D5C}"/>
    <w:embedItalic r:id="rId3" w:fontKey="{3F7D87D9-AF13-4CFD-97A8-6B7E46E08DB1}"/>
    <w:embedBoldItalic r:id="rId4" w:fontKey="{5086D2ED-2CB6-4E88-A5EA-1C5DF098AADC}"/>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A6773A59-A124-4BEF-81FC-91E78F52A9B2}"/>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694811B4-C1A0-4A4A-84A9-7A6EE0B4036C}"/>
    <w:embedBold r:id="rId7" w:fontKey="{E8FD693C-228A-4C3D-AB57-346C7F98AF02}"/>
  </w:font>
  <w:font w:name="Georgia">
    <w:panose1 w:val="02040502050405020303"/>
    <w:charset w:val="00"/>
    <w:family w:val="roman"/>
    <w:pitch w:val="variable"/>
    <w:sig w:usb0="00000287" w:usb1="00000000" w:usb2="00000000" w:usb3="00000000" w:csb0="0000009F" w:csb1="00000000"/>
    <w:embedItalic r:id="rId8" w:fontKey="{0875CA3A-2747-4AC1-BA33-D02AE705B405}"/>
  </w:font>
  <w:font w:name="Garamond">
    <w:panose1 w:val="02020404030301010803"/>
    <w:charset w:val="00"/>
    <w:family w:val="roman"/>
    <w:pitch w:val="variable"/>
    <w:sig w:usb0="00000287" w:usb1="00000000" w:usb2="00000000" w:usb3="00000000" w:csb0="0000009F" w:csb1="00000000"/>
    <w:embedRegular r:id="rId9" w:fontKey="{C3621AF6-9F1A-43A7-A10E-67784C45E51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4EF8561A-8DCB-43B6-AE29-7A5BA33FB7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68C" w:rsidRPr="00574272" w:rsidRDefault="003352D4">
    <w:pPr>
      <w:pBdr>
        <w:top w:val="nil"/>
        <w:left w:val="nil"/>
        <w:bottom w:val="nil"/>
        <w:right w:val="nil"/>
        <w:between w:val="nil"/>
      </w:pBdr>
      <w:tabs>
        <w:tab w:val="center" w:pos="4419"/>
        <w:tab w:val="right" w:pos="8838"/>
      </w:tabs>
      <w:jc w:val="right"/>
      <w:rPr>
        <w:rFonts w:asciiTheme="majorHAnsi" w:hAnsiTheme="majorHAnsi" w:cstheme="majorHAnsi"/>
        <w:color w:val="000000"/>
        <w:sz w:val="22"/>
      </w:rPr>
    </w:pPr>
    <w:r w:rsidRPr="00574272">
      <w:rPr>
        <w:rFonts w:asciiTheme="majorHAnsi" w:hAnsiTheme="majorHAnsi" w:cstheme="majorHAnsi"/>
        <w:color w:val="000000"/>
        <w:sz w:val="22"/>
      </w:rPr>
      <w:t xml:space="preserve">Página </w:t>
    </w:r>
    <w:r w:rsidRPr="00574272">
      <w:rPr>
        <w:rFonts w:asciiTheme="majorHAnsi" w:hAnsiTheme="majorHAnsi" w:cstheme="majorHAnsi"/>
        <w:b/>
        <w:bCs/>
        <w:color w:val="000000"/>
        <w:sz w:val="22"/>
      </w:rPr>
      <w:fldChar w:fldCharType="begin"/>
    </w:r>
    <w:r w:rsidRPr="00574272">
      <w:rPr>
        <w:rFonts w:asciiTheme="majorHAnsi" w:hAnsiTheme="majorHAnsi" w:cstheme="majorHAnsi"/>
        <w:b/>
        <w:bCs/>
        <w:color w:val="000000"/>
        <w:sz w:val="22"/>
      </w:rPr>
      <w:instrText>PAGE</w:instrText>
    </w:r>
    <w:r w:rsidRPr="00574272">
      <w:rPr>
        <w:rFonts w:asciiTheme="majorHAnsi" w:hAnsiTheme="majorHAnsi" w:cstheme="majorHAnsi"/>
        <w:b/>
        <w:bCs/>
        <w:color w:val="000000"/>
        <w:sz w:val="22"/>
      </w:rPr>
      <w:fldChar w:fldCharType="separate"/>
    </w:r>
    <w:r w:rsidR="001E1988">
      <w:rPr>
        <w:rFonts w:asciiTheme="majorHAnsi" w:hAnsiTheme="majorHAnsi" w:cstheme="majorHAnsi"/>
        <w:b/>
        <w:bCs/>
        <w:noProof/>
        <w:color w:val="000000"/>
        <w:sz w:val="22"/>
      </w:rPr>
      <w:t>7</w:t>
    </w:r>
    <w:r w:rsidRPr="00574272">
      <w:rPr>
        <w:rFonts w:asciiTheme="majorHAnsi" w:hAnsiTheme="majorHAnsi" w:cstheme="majorHAnsi"/>
        <w:b/>
        <w:bCs/>
        <w:color w:val="000000"/>
        <w:sz w:val="22"/>
      </w:rPr>
      <w:fldChar w:fldCharType="end"/>
    </w:r>
    <w:r w:rsidRPr="00574272">
      <w:rPr>
        <w:rFonts w:asciiTheme="majorHAnsi" w:hAnsiTheme="majorHAnsi" w:cstheme="majorHAnsi"/>
        <w:color w:val="000000"/>
        <w:sz w:val="22"/>
      </w:rPr>
      <w:t xml:space="preserve"> de </w:t>
    </w:r>
    <w:r w:rsidRPr="00574272">
      <w:rPr>
        <w:rFonts w:asciiTheme="majorHAnsi" w:hAnsiTheme="majorHAnsi" w:cstheme="majorHAnsi"/>
        <w:b/>
        <w:bCs/>
        <w:color w:val="000000"/>
        <w:sz w:val="22"/>
      </w:rPr>
      <w:fldChar w:fldCharType="begin"/>
    </w:r>
    <w:r w:rsidRPr="00574272">
      <w:rPr>
        <w:rFonts w:asciiTheme="majorHAnsi" w:hAnsiTheme="majorHAnsi" w:cstheme="majorHAnsi"/>
        <w:b/>
        <w:bCs/>
        <w:color w:val="000000"/>
        <w:sz w:val="22"/>
      </w:rPr>
      <w:instrText>NUMPAGES</w:instrText>
    </w:r>
    <w:r w:rsidRPr="00574272">
      <w:rPr>
        <w:rFonts w:asciiTheme="majorHAnsi" w:hAnsiTheme="majorHAnsi" w:cstheme="majorHAnsi"/>
        <w:b/>
        <w:bCs/>
        <w:color w:val="000000"/>
        <w:sz w:val="22"/>
      </w:rPr>
      <w:fldChar w:fldCharType="separate"/>
    </w:r>
    <w:r w:rsidR="001E1988">
      <w:rPr>
        <w:rFonts w:asciiTheme="majorHAnsi" w:hAnsiTheme="majorHAnsi" w:cstheme="majorHAnsi"/>
        <w:b/>
        <w:bCs/>
        <w:noProof/>
        <w:color w:val="000000"/>
        <w:sz w:val="22"/>
      </w:rPr>
      <w:t>16</w:t>
    </w:r>
    <w:r w:rsidRPr="00574272">
      <w:rPr>
        <w:rFonts w:asciiTheme="majorHAnsi" w:hAnsiTheme="majorHAnsi" w:cstheme="majorHAnsi"/>
        <w:b/>
        <w:bCs/>
        <w:color w:val="000000"/>
        <w:sz w:val="22"/>
      </w:rPr>
      <w:fldChar w:fldCharType="end"/>
    </w:r>
  </w:p>
  <w:p w:rsidR="0049068C" w:rsidRDefault="0049068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68C" w:rsidRDefault="003352D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1E1988">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1E1988">
      <w:rPr>
        <w:rFonts w:ascii="Palatino Linotype" w:eastAsia="Palatino Linotype" w:hAnsi="Palatino Linotype" w:cs="Palatino Linotype"/>
        <w:b/>
        <w:bCs/>
        <w:noProof/>
        <w:color w:val="000000"/>
        <w:sz w:val="22"/>
        <w:szCs w:val="22"/>
      </w:rPr>
      <w:t>16</w:t>
    </w:r>
    <w:r>
      <w:rPr>
        <w:rFonts w:ascii="Palatino Linotype" w:eastAsia="Palatino Linotype" w:hAnsi="Palatino Linotype" w:cs="Palatino Linotype"/>
        <w:b/>
        <w:bCs/>
        <w:color w:val="000000"/>
        <w:sz w:val="22"/>
        <w:szCs w:val="22"/>
      </w:rPr>
      <w:fldChar w:fldCharType="end"/>
    </w:r>
  </w:p>
  <w:p w:rsidR="0049068C" w:rsidRDefault="0049068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9DB" w:rsidRDefault="00B379DB">
      <w:r>
        <w:separator/>
      </w:r>
    </w:p>
  </w:footnote>
  <w:footnote w:type="continuationSeparator" w:id="0">
    <w:p w:rsidR="00B379DB" w:rsidRDefault="00B37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68C" w:rsidRDefault="00B379D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348" w:type="dxa"/>
      <w:tblInd w:w="0" w:type="dxa"/>
      <w:tblLayout w:type="fixed"/>
      <w:tblLook w:val="0400" w:firstRow="0" w:lastRow="0" w:firstColumn="0" w:lastColumn="0" w:noHBand="0" w:noVBand="1"/>
    </w:tblPr>
    <w:tblGrid>
      <w:gridCol w:w="2268"/>
      <w:gridCol w:w="8080"/>
    </w:tblGrid>
    <w:tr w:rsidR="0049068C" w:rsidTr="00574272">
      <w:trPr>
        <w:trHeight w:val="1435"/>
      </w:trPr>
      <w:tc>
        <w:tcPr>
          <w:tcW w:w="2268" w:type="dxa"/>
          <w:shd w:val="clear" w:color="auto" w:fill="auto"/>
        </w:tcPr>
        <w:p w:rsidR="0049068C" w:rsidRDefault="0049068C">
          <w:pPr>
            <w:tabs>
              <w:tab w:val="right" w:pos="4273"/>
            </w:tabs>
            <w:rPr>
              <w:rFonts w:ascii="Garamond" w:eastAsia="Garamond" w:hAnsi="Garamond" w:cs="Garamond"/>
              <w:sz w:val="16"/>
              <w:szCs w:val="16"/>
            </w:rPr>
          </w:pPr>
        </w:p>
      </w:tc>
      <w:tc>
        <w:tcPr>
          <w:tcW w:w="8080" w:type="dxa"/>
          <w:shd w:val="clear" w:color="auto" w:fill="auto"/>
        </w:tcPr>
        <w:tbl>
          <w:tblPr>
            <w:tblStyle w:val="a1"/>
            <w:tblW w:w="7087" w:type="dxa"/>
            <w:tblInd w:w="1303" w:type="dxa"/>
            <w:tblLayout w:type="fixed"/>
            <w:tblLook w:val="0400" w:firstRow="0" w:lastRow="0" w:firstColumn="0" w:lastColumn="0" w:noHBand="0" w:noVBand="1"/>
          </w:tblPr>
          <w:tblGrid>
            <w:gridCol w:w="2807"/>
            <w:gridCol w:w="4280"/>
          </w:tblGrid>
          <w:tr w:rsidR="0049068C" w:rsidTr="00574272">
            <w:trPr>
              <w:trHeight w:val="150"/>
            </w:trPr>
            <w:tc>
              <w:tcPr>
                <w:tcW w:w="2807" w:type="dxa"/>
                <w:shd w:val="clear" w:color="auto" w:fill="auto"/>
              </w:tcPr>
              <w:p w:rsidR="0049068C" w:rsidRDefault="003352D4">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80" w:type="dxa"/>
                <w:shd w:val="clear" w:color="auto" w:fill="auto"/>
              </w:tcPr>
              <w:p w:rsidR="0049068C" w:rsidRDefault="003352D4">
                <w:pPr>
                  <w:ind w:right="-1680"/>
                  <w:jc w:val="both"/>
                  <w:rPr>
                    <w:rFonts w:ascii="Palatino Linotype" w:eastAsia="Palatino Linotype" w:hAnsi="Palatino Linotype" w:cs="Palatino Linotype"/>
                  </w:rPr>
                </w:pPr>
                <w:r>
                  <w:rPr>
                    <w:rFonts w:ascii="Palatino Linotype" w:eastAsia="Palatino Linotype" w:hAnsi="Palatino Linotype" w:cs="Palatino Linotype"/>
                  </w:rPr>
                  <w:t>11993/INFOEM/IP/RR/2025</w:t>
                </w:r>
              </w:p>
            </w:tc>
          </w:tr>
          <w:tr w:rsidR="0049068C" w:rsidTr="00574272">
            <w:trPr>
              <w:trHeight w:val="293"/>
            </w:trPr>
            <w:tc>
              <w:tcPr>
                <w:tcW w:w="2807" w:type="dxa"/>
                <w:shd w:val="clear" w:color="auto" w:fill="auto"/>
              </w:tcPr>
              <w:p w:rsidR="0049068C" w:rsidRDefault="003352D4">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80" w:type="dxa"/>
                <w:shd w:val="clear" w:color="auto" w:fill="auto"/>
              </w:tcPr>
              <w:p w:rsidR="0049068C" w:rsidRDefault="003352D4">
                <w:pPr>
                  <w:ind w:right="-1680"/>
                  <w:jc w:val="both"/>
                  <w:rPr>
                    <w:rFonts w:ascii="Palatino Linotype" w:eastAsia="Palatino Linotype" w:hAnsi="Palatino Linotype" w:cs="Palatino Linotype"/>
                  </w:rPr>
                </w:pPr>
                <w:r>
                  <w:rPr>
                    <w:rFonts w:ascii="Palatino Linotype" w:eastAsia="Palatino Linotype" w:hAnsi="Palatino Linotype" w:cs="Palatino Linotype"/>
                  </w:rPr>
                  <w:t>Ayuntamiento de el Oro</w:t>
                </w:r>
              </w:p>
            </w:tc>
          </w:tr>
          <w:tr w:rsidR="0049068C" w:rsidTr="00574272">
            <w:trPr>
              <w:trHeight w:val="295"/>
            </w:trPr>
            <w:tc>
              <w:tcPr>
                <w:tcW w:w="2807" w:type="dxa"/>
                <w:shd w:val="clear" w:color="auto" w:fill="auto"/>
              </w:tcPr>
              <w:p w:rsidR="0049068C" w:rsidRDefault="003352D4">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80" w:type="dxa"/>
                <w:shd w:val="clear" w:color="auto" w:fill="auto"/>
              </w:tcPr>
              <w:p w:rsidR="0049068C" w:rsidRDefault="003352D4" w:rsidP="00574272">
                <w:pPr>
                  <w:tabs>
                    <w:tab w:val="right" w:pos="8838"/>
                  </w:tabs>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49068C" w:rsidRDefault="0049068C">
                <w:pPr>
                  <w:tabs>
                    <w:tab w:val="right" w:pos="8838"/>
                  </w:tabs>
                  <w:ind w:right="-1680"/>
                  <w:jc w:val="both"/>
                  <w:rPr>
                    <w:rFonts w:ascii="Palatino Linotype" w:eastAsia="Palatino Linotype" w:hAnsi="Palatino Linotype" w:cs="Palatino Linotype"/>
                  </w:rPr>
                </w:pPr>
              </w:p>
            </w:tc>
          </w:tr>
        </w:tbl>
        <w:p w:rsidR="0049068C" w:rsidRDefault="0049068C">
          <w:pPr>
            <w:tabs>
              <w:tab w:val="right" w:pos="8838"/>
            </w:tabs>
            <w:ind w:left="-28"/>
            <w:jc w:val="both"/>
            <w:rPr>
              <w:rFonts w:ascii="Arial" w:eastAsia="Arial" w:hAnsi="Arial" w:cs="Arial"/>
              <w:b/>
              <w:bCs/>
              <w:sz w:val="22"/>
              <w:szCs w:val="22"/>
            </w:rPr>
          </w:pPr>
        </w:p>
      </w:tc>
    </w:tr>
  </w:tbl>
  <w:p w:rsidR="0049068C" w:rsidRDefault="00B379DB">
    <w:pPr>
      <w:pBdr>
        <w:top w:val="nil"/>
        <w:left w:val="nil"/>
        <w:bottom w:val="nil"/>
        <w:right w:val="nil"/>
        <w:between w:val="nil"/>
      </w:pBdr>
      <w:tabs>
        <w:tab w:val="center" w:pos="4419"/>
        <w:tab w:val="right" w:pos="8838"/>
      </w:tabs>
      <w:rPr>
        <w:color w:val="000000"/>
        <w:sz w:val="14"/>
        <w:szCs w:val="1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55.85pt;margin-top:-123.15pt;width:589.8pt;height:768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623" w:type="dxa"/>
      <w:tblInd w:w="0" w:type="dxa"/>
      <w:tblLayout w:type="fixed"/>
      <w:tblLook w:val="0400" w:firstRow="0" w:lastRow="0" w:firstColumn="0" w:lastColumn="0" w:noHBand="0" w:noVBand="1"/>
    </w:tblPr>
    <w:tblGrid>
      <w:gridCol w:w="2265"/>
      <w:gridCol w:w="8358"/>
    </w:tblGrid>
    <w:tr w:rsidR="0049068C">
      <w:trPr>
        <w:trHeight w:val="1435"/>
      </w:trPr>
      <w:tc>
        <w:tcPr>
          <w:tcW w:w="2265" w:type="dxa"/>
          <w:shd w:val="clear" w:color="auto" w:fill="auto"/>
        </w:tcPr>
        <w:p w:rsidR="0049068C" w:rsidRDefault="0049068C">
          <w:pPr>
            <w:tabs>
              <w:tab w:val="right" w:pos="4273"/>
            </w:tabs>
            <w:rPr>
              <w:rFonts w:ascii="Garamond" w:eastAsia="Garamond" w:hAnsi="Garamond" w:cs="Garamond"/>
              <w:sz w:val="22"/>
              <w:szCs w:val="22"/>
            </w:rPr>
          </w:pPr>
        </w:p>
      </w:tc>
      <w:tc>
        <w:tcPr>
          <w:tcW w:w="8358" w:type="dxa"/>
          <w:shd w:val="clear" w:color="auto" w:fill="auto"/>
        </w:tcPr>
        <w:tbl>
          <w:tblPr>
            <w:tblStyle w:val="a3"/>
            <w:tblW w:w="8055" w:type="dxa"/>
            <w:tblInd w:w="40" w:type="dxa"/>
            <w:tblLayout w:type="fixed"/>
            <w:tblLook w:val="0400" w:firstRow="0" w:lastRow="0" w:firstColumn="0" w:lastColumn="0" w:noHBand="0" w:noVBand="1"/>
          </w:tblPr>
          <w:tblGrid>
            <w:gridCol w:w="4230"/>
            <w:gridCol w:w="3825"/>
          </w:tblGrid>
          <w:tr w:rsidR="0049068C">
            <w:trPr>
              <w:trHeight w:val="144"/>
            </w:trPr>
            <w:tc>
              <w:tcPr>
                <w:tcW w:w="4230" w:type="dxa"/>
                <w:shd w:val="clear" w:color="auto" w:fill="auto"/>
              </w:tcPr>
              <w:p w:rsidR="0049068C" w:rsidRDefault="003352D4">
                <w:pPr>
                  <w:tabs>
                    <w:tab w:val="right" w:pos="8838"/>
                  </w:tabs>
                  <w:ind w:left="1133"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825" w:type="dxa"/>
                <w:shd w:val="clear" w:color="auto" w:fill="auto"/>
              </w:tcPr>
              <w:p w:rsidR="0049068C" w:rsidRDefault="003352D4">
                <w:pPr>
                  <w:tabs>
                    <w:tab w:val="right" w:pos="8838"/>
                  </w:tabs>
                  <w:ind w:left="21" w:right="-1658"/>
                  <w:jc w:val="both"/>
                  <w:rPr>
                    <w:rFonts w:ascii="Palatino Linotype" w:eastAsia="Palatino Linotype" w:hAnsi="Palatino Linotype" w:cs="Palatino Linotype"/>
                  </w:rPr>
                </w:pPr>
                <w:r>
                  <w:rPr>
                    <w:rFonts w:ascii="Palatino Linotype" w:eastAsia="Palatino Linotype" w:hAnsi="Palatino Linotype" w:cs="Palatino Linotype"/>
                  </w:rPr>
                  <w:t>11993/INFOEM/IP/RR/2025</w:t>
                </w:r>
              </w:p>
            </w:tc>
          </w:tr>
          <w:tr w:rsidR="0049068C">
            <w:trPr>
              <w:trHeight w:val="144"/>
            </w:trPr>
            <w:tc>
              <w:tcPr>
                <w:tcW w:w="4230" w:type="dxa"/>
                <w:shd w:val="clear" w:color="auto" w:fill="auto"/>
              </w:tcPr>
              <w:p w:rsidR="0049068C" w:rsidRDefault="003352D4">
                <w:pPr>
                  <w:tabs>
                    <w:tab w:val="right" w:pos="8838"/>
                  </w:tabs>
                  <w:ind w:left="1133"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825" w:type="dxa"/>
                <w:shd w:val="clear" w:color="auto" w:fill="auto"/>
              </w:tcPr>
              <w:p w:rsidR="0049068C" w:rsidRDefault="001E1988">
                <w:pPr>
                  <w:tabs>
                    <w:tab w:val="left" w:pos="3122"/>
                    <w:tab w:val="right" w:pos="8838"/>
                  </w:tabs>
                  <w:ind w:left="21" w:right="-1658"/>
                  <w:jc w:val="both"/>
                  <w:rPr>
                    <w:rFonts w:ascii="Palatino Linotype" w:eastAsia="Palatino Linotype" w:hAnsi="Palatino Linotype" w:cs="Palatino Linotype"/>
                  </w:rPr>
                </w:pPr>
                <w:r>
                  <w:rPr>
                    <w:rFonts w:ascii="Palatino Linotype" w:eastAsia="Palatino Linotype" w:hAnsi="Palatino Linotype" w:cs="Palatino Linotype"/>
                  </w:rPr>
                  <w:t>XXXX</w:t>
                </w:r>
              </w:p>
            </w:tc>
          </w:tr>
          <w:tr w:rsidR="0049068C">
            <w:trPr>
              <w:trHeight w:val="283"/>
            </w:trPr>
            <w:tc>
              <w:tcPr>
                <w:tcW w:w="4230" w:type="dxa"/>
                <w:shd w:val="clear" w:color="auto" w:fill="auto"/>
              </w:tcPr>
              <w:p w:rsidR="0049068C" w:rsidRDefault="003352D4">
                <w:pPr>
                  <w:tabs>
                    <w:tab w:val="right" w:pos="8838"/>
                  </w:tabs>
                  <w:ind w:left="1133"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825" w:type="dxa"/>
                <w:shd w:val="clear" w:color="auto" w:fill="auto"/>
              </w:tcPr>
              <w:p w:rsidR="0049068C" w:rsidRDefault="003352D4">
                <w:pPr>
                  <w:tabs>
                    <w:tab w:val="left" w:pos="2834"/>
                    <w:tab w:val="right" w:pos="8838"/>
                  </w:tabs>
                  <w:ind w:left="21" w:right="-1658"/>
                  <w:jc w:val="both"/>
                  <w:rPr>
                    <w:rFonts w:ascii="Palatino Linotype" w:eastAsia="Palatino Linotype" w:hAnsi="Palatino Linotype" w:cs="Palatino Linotype"/>
                  </w:rPr>
                </w:pPr>
                <w:r>
                  <w:rPr>
                    <w:rFonts w:ascii="Palatino Linotype" w:eastAsia="Palatino Linotype" w:hAnsi="Palatino Linotype" w:cs="Palatino Linotype"/>
                  </w:rPr>
                  <w:t>Ayuntamiento de el Oro</w:t>
                </w:r>
              </w:p>
            </w:tc>
          </w:tr>
          <w:tr w:rsidR="0049068C">
            <w:trPr>
              <w:trHeight w:val="283"/>
            </w:trPr>
            <w:tc>
              <w:tcPr>
                <w:tcW w:w="4230" w:type="dxa"/>
                <w:shd w:val="clear" w:color="auto" w:fill="auto"/>
              </w:tcPr>
              <w:p w:rsidR="0049068C" w:rsidRDefault="003352D4">
                <w:pPr>
                  <w:tabs>
                    <w:tab w:val="right" w:pos="8838"/>
                  </w:tabs>
                  <w:ind w:left="1133"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825" w:type="dxa"/>
                <w:shd w:val="clear" w:color="auto" w:fill="auto"/>
              </w:tcPr>
              <w:p w:rsidR="0049068C" w:rsidRDefault="003352D4">
                <w:pPr>
                  <w:tabs>
                    <w:tab w:val="right" w:pos="8838"/>
                  </w:tabs>
                  <w:ind w:right="-1658"/>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49068C" w:rsidRDefault="0049068C">
                <w:pPr>
                  <w:ind w:left="21" w:right="-1658"/>
                  <w:jc w:val="both"/>
                  <w:rPr>
                    <w:rFonts w:ascii="Palatino Linotype" w:eastAsia="Palatino Linotype" w:hAnsi="Palatino Linotype" w:cs="Palatino Linotype"/>
                  </w:rPr>
                </w:pPr>
              </w:p>
            </w:tc>
          </w:tr>
        </w:tbl>
        <w:p w:rsidR="0049068C" w:rsidRDefault="0049068C">
          <w:pPr>
            <w:tabs>
              <w:tab w:val="right" w:pos="8838"/>
            </w:tabs>
            <w:ind w:left="-28"/>
            <w:jc w:val="both"/>
            <w:rPr>
              <w:rFonts w:ascii="Arial" w:eastAsia="Arial" w:hAnsi="Arial" w:cs="Arial"/>
              <w:b/>
              <w:bCs/>
              <w:sz w:val="22"/>
              <w:szCs w:val="22"/>
            </w:rPr>
          </w:pPr>
        </w:p>
      </w:tc>
    </w:tr>
  </w:tbl>
  <w:p w:rsidR="0049068C" w:rsidRDefault="00B379DB">
    <w:pPr>
      <w:pBdr>
        <w:top w:val="nil"/>
        <w:left w:val="nil"/>
        <w:bottom w:val="nil"/>
        <w:right w:val="nil"/>
        <w:between w:val="nil"/>
      </w:pBdr>
      <w:tabs>
        <w:tab w:val="center" w:pos="4419"/>
        <w:tab w:val="right" w:pos="8838"/>
      </w:tabs>
      <w:rPr>
        <w:color w:val="000000"/>
        <w:sz w:val="2"/>
        <w:szCs w:val="2"/>
      </w:rPr>
    </w:pPr>
    <w:r>
      <w:rPr>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59.25pt;margin-top:-123.8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77D16"/>
    <w:multiLevelType w:val="multilevel"/>
    <w:tmpl w:val="05CCDC06"/>
    <w:lvl w:ilvl="0">
      <w:start w:val="12"/>
      <w:numFmt w:val="bullet"/>
      <w:lvlText w:val="-"/>
      <w:lvlJc w:val="left"/>
      <w:pPr>
        <w:ind w:left="1440" w:hanging="360"/>
      </w:pPr>
      <w:rPr>
        <w:rFonts w:ascii="Palatino Linotype" w:eastAsia="Palatino Linotype" w:hAnsi="Palatino Linotype" w:cs="Palatino Linotype"/>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3912758"/>
    <w:multiLevelType w:val="multilevel"/>
    <w:tmpl w:val="41526A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A0F3D05"/>
    <w:multiLevelType w:val="multilevel"/>
    <w:tmpl w:val="65D65F4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C75FD0"/>
    <w:multiLevelType w:val="multilevel"/>
    <w:tmpl w:val="DA0A2A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75557C7"/>
    <w:multiLevelType w:val="multilevel"/>
    <w:tmpl w:val="8BCEC22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5" w15:restartNumberingAfterBreak="0">
    <w:nsid w:val="513D4F73"/>
    <w:multiLevelType w:val="multilevel"/>
    <w:tmpl w:val="85EE8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6BB7D00"/>
    <w:multiLevelType w:val="multilevel"/>
    <w:tmpl w:val="7CB48D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773E68B2"/>
    <w:multiLevelType w:val="multilevel"/>
    <w:tmpl w:val="9CD419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5"/>
  </w:num>
  <w:num w:numId="3">
    <w:abstractNumId w:val="0"/>
  </w:num>
  <w:num w:numId="4">
    <w:abstractNumId w:val="4"/>
  </w:num>
  <w:num w:numId="5">
    <w:abstractNumId w:val="1"/>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68C"/>
    <w:rsid w:val="001E1988"/>
    <w:rsid w:val="003352D4"/>
    <w:rsid w:val="003440BA"/>
    <w:rsid w:val="0049068C"/>
    <w:rsid w:val="004C3643"/>
    <w:rsid w:val="004F6DF0"/>
    <w:rsid w:val="005625BD"/>
    <w:rsid w:val="00574272"/>
    <w:rsid w:val="007831DC"/>
    <w:rsid w:val="00962B97"/>
    <w:rsid w:val="009B4FBA"/>
    <w:rsid w:val="00AF37FD"/>
    <w:rsid w:val="00B379DB"/>
    <w:rsid w:val="00C63E8F"/>
    <w:rsid w:val="00E871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8FE394D-6A50-4694-B2C2-78F50DC11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4F6DF0"/>
    <w:pPr>
      <w:tabs>
        <w:tab w:val="center" w:pos="4419"/>
        <w:tab w:val="right" w:pos="8838"/>
      </w:tabs>
    </w:pPr>
  </w:style>
  <w:style w:type="character" w:customStyle="1" w:styleId="PiedepginaCar">
    <w:name w:val="Pie de página Car"/>
    <w:basedOn w:val="Fuentedeprrafopredeter"/>
    <w:link w:val="Piedepgina"/>
    <w:uiPriority w:val="99"/>
    <w:rsid w:val="004F6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576662.pag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imex.org.mx/saimex/solicitud/downloadAttach/2600012.pag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aimex.org.mx/saimex/solicitud/downloadAttach/2593428.page" TargetMode="External"/><Relationship Id="rId4" Type="http://schemas.openxmlformats.org/officeDocument/2006/relationships/settings" Target="settings.xml"/><Relationship Id="rId9" Type="http://schemas.openxmlformats.org/officeDocument/2006/relationships/hyperlink" Target="https://www.saimex.org.mx/saimex/solicitud/downloadAttach/2576663.page"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v55XkspK0tC+32z6w6oDsPEKCA==">CgMxLjAyDmgud2ppaDZ1a2hhNnBwMg5oLnRjbHhxNG1iaXdrbTIOaC53d2F2OW1ibGh0djYyDmgucGZvdDN3ZHU1b215Mg5oLjh3MmN4MnEwaHpjZDIOaC45OTRqODhlM3M1ZGwyDmguNnJ1cmExMnRqZGg5Mg5oLnV2bDd6dHFoYnQ3eDIOaC44dnFnNTl0ZjU4eWs4AHIhMU5qdkxiQmlUQmprSVQ5ckNCMW9fSEpwa05XR01wanEz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3693</Words>
  <Characters>20315</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2026-06-05T16:48:00Z</cp:lastPrinted>
  <dcterms:created xsi:type="dcterms:W3CDTF">2026-06-01T19:44:00Z</dcterms:created>
  <dcterms:modified xsi:type="dcterms:W3CDTF">2026-06-10T00:08:00Z</dcterms:modified>
</cp:coreProperties>
</file>