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ED9F4C" w14:textId="2BB2E291" w:rsidR="00C877F6" w:rsidRPr="00A57D42" w:rsidRDefault="00F36565" w:rsidP="00F45A48">
      <w:pPr>
        <w:spacing w:line="360" w:lineRule="auto"/>
        <w:ind w:right="49" w:hanging="22"/>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Resolución del Pleno del Instituto de Transparencia, Acceso a la Información Pública y Protección de Datos Personales del Estado de México y Municipios, con domicilio en Metepec, Estado de México, de fecha </w:t>
      </w:r>
      <w:r w:rsidR="00515D25" w:rsidRPr="00A57D42">
        <w:rPr>
          <w:rFonts w:ascii="Palatino Linotype" w:eastAsia="Palatino Linotype" w:hAnsi="Palatino Linotype" w:cs="Palatino Linotype"/>
          <w:b/>
          <w:sz w:val="22"/>
          <w:szCs w:val="22"/>
        </w:rPr>
        <w:t>diecinueve</w:t>
      </w:r>
      <w:r w:rsidR="00D52078" w:rsidRPr="00A57D42">
        <w:rPr>
          <w:rFonts w:ascii="Palatino Linotype" w:eastAsia="Palatino Linotype" w:hAnsi="Palatino Linotype" w:cs="Palatino Linotype"/>
          <w:b/>
          <w:sz w:val="22"/>
          <w:szCs w:val="22"/>
        </w:rPr>
        <w:t xml:space="preserve"> de </w:t>
      </w:r>
      <w:r w:rsidR="00403AAA" w:rsidRPr="00A57D42">
        <w:rPr>
          <w:rFonts w:ascii="Palatino Linotype" w:eastAsia="Palatino Linotype" w:hAnsi="Palatino Linotype" w:cs="Palatino Linotype"/>
          <w:b/>
          <w:sz w:val="22"/>
          <w:szCs w:val="22"/>
        </w:rPr>
        <w:t>marzo</w:t>
      </w:r>
      <w:r w:rsidRPr="00A57D42">
        <w:rPr>
          <w:rFonts w:ascii="Palatino Linotype" w:eastAsia="Palatino Linotype" w:hAnsi="Palatino Linotype" w:cs="Palatino Linotype"/>
          <w:sz w:val="22"/>
          <w:szCs w:val="22"/>
        </w:rPr>
        <w:t xml:space="preserve"> </w:t>
      </w:r>
      <w:r w:rsidR="000C6DFE" w:rsidRPr="00A57D42">
        <w:rPr>
          <w:rFonts w:ascii="Palatino Linotype" w:eastAsia="Palatino Linotype" w:hAnsi="Palatino Linotype" w:cs="Palatino Linotype"/>
          <w:b/>
          <w:sz w:val="22"/>
          <w:szCs w:val="22"/>
        </w:rPr>
        <w:t>de dos mil veintiséis.</w:t>
      </w:r>
    </w:p>
    <w:p w14:paraId="7F051BA5" w14:textId="77777777" w:rsidR="00C877F6" w:rsidRPr="00A57D42" w:rsidRDefault="00C877F6" w:rsidP="00F45A48">
      <w:pPr>
        <w:spacing w:line="360" w:lineRule="auto"/>
        <w:ind w:right="49"/>
        <w:jc w:val="both"/>
        <w:rPr>
          <w:rFonts w:ascii="Palatino Linotype" w:eastAsia="Palatino Linotype" w:hAnsi="Palatino Linotype" w:cs="Palatino Linotype"/>
          <w:sz w:val="22"/>
          <w:szCs w:val="22"/>
        </w:rPr>
      </w:pPr>
    </w:p>
    <w:p w14:paraId="02027E82" w14:textId="6873AA27" w:rsidR="00C877F6" w:rsidRPr="00A57D42" w:rsidRDefault="00F36565" w:rsidP="00F45A48">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VISTO </w:t>
      </w:r>
      <w:r w:rsidRPr="00A57D42">
        <w:rPr>
          <w:rFonts w:ascii="Palatino Linotype" w:eastAsia="Palatino Linotype" w:hAnsi="Palatino Linotype" w:cs="Palatino Linotype"/>
          <w:sz w:val="22"/>
          <w:szCs w:val="22"/>
        </w:rPr>
        <w:t xml:space="preserve">el expediente relativo al recurso de revisión </w:t>
      </w:r>
      <w:r w:rsidR="00E66014" w:rsidRPr="00A57D42">
        <w:rPr>
          <w:rFonts w:ascii="Palatino Linotype" w:eastAsia="Palatino Linotype" w:hAnsi="Palatino Linotype" w:cs="Palatino Linotype"/>
          <w:b/>
          <w:sz w:val="22"/>
          <w:szCs w:val="22"/>
        </w:rPr>
        <w:t>09444/INFOEM/IP/RR/2025</w:t>
      </w:r>
      <w:r w:rsidRPr="00A57D42">
        <w:rPr>
          <w:rFonts w:ascii="Palatino Linotype" w:eastAsia="Palatino Linotype" w:hAnsi="Palatino Linotype" w:cs="Palatino Linotype"/>
          <w:b/>
          <w:sz w:val="22"/>
          <w:szCs w:val="22"/>
        </w:rPr>
        <w:t xml:space="preserve">, </w:t>
      </w:r>
      <w:r w:rsidRPr="00A57D42">
        <w:rPr>
          <w:rFonts w:ascii="Palatino Linotype" w:eastAsia="Palatino Linotype" w:hAnsi="Palatino Linotype" w:cs="Palatino Linotype"/>
          <w:sz w:val="22"/>
          <w:szCs w:val="22"/>
        </w:rPr>
        <w:t>interpuesto por</w:t>
      </w:r>
      <w:r w:rsidR="00737A90" w:rsidRPr="00A57D42">
        <w:rPr>
          <w:rFonts w:ascii="Palatino Linotype" w:eastAsia="Palatino Linotype" w:hAnsi="Palatino Linotype" w:cs="Palatino Linotype"/>
          <w:sz w:val="22"/>
          <w:szCs w:val="22"/>
        </w:rPr>
        <w:t xml:space="preserve"> </w:t>
      </w:r>
      <w:r w:rsidR="00D72FA2" w:rsidRPr="00D72FA2">
        <w:rPr>
          <w:rFonts w:ascii="Palatino Linotype" w:eastAsia="Palatino Linotype" w:hAnsi="Palatino Linotype" w:cs="Palatino Linotype"/>
          <w:b/>
          <w:sz w:val="22"/>
          <w:szCs w:val="22"/>
        </w:rPr>
        <w:t>XXXXX XXXXXX XXXXXXXX</w:t>
      </w:r>
      <w:r w:rsidR="00737A90" w:rsidRPr="00D72FA2">
        <w:rPr>
          <w:rFonts w:ascii="Palatino Linotype" w:eastAsia="Palatino Linotype" w:hAnsi="Palatino Linotype" w:cs="Palatino Linotype"/>
          <w:b/>
          <w:sz w:val="22"/>
          <w:szCs w:val="22"/>
        </w:rPr>
        <w:t>,</w:t>
      </w:r>
      <w:bookmarkStart w:id="0" w:name="_GoBack"/>
      <w:bookmarkEnd w:id="0"/>
      <w:r w:rsidR="00737A90"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sz w:val="22"/>
          <w:szCs w:val="22"/>
        </w:rPr>
        <w:t xml:space="preserve">en lo sucesivo la parte </w:t>
      </w:r>
      <w:r w:rsidRPr="00A57D42">
        <w:rPr>
          <w:rFonts w:ascii="Palatino Linotype" w:eastAsia="Palatino Linotype" w:hAnsi="Palatino Linotype" w:cs="Palatino Linotype"/>
          <w:b/>
          <w:sz w:val="22"/>
          <w:szCs w:val="22"/>
        </w:rPr>
        <w:t>Recurrente</w:t>
      </w:r>
      <w:r w:rsidRPr="00A57D42">
        <w:rPr>
          <w:rFonts w:ascii="Palatino Linotype" w:eastAsia="Palatino Linotype" w:hAnsi="Palatino Linotype" w:cs="Palatino Linotype"/>
          <w:sz w:val="22"/>
          <w:szCs w:val="22"/>
        </w:rPr>
        <w:t xml:space="preserve">, en contra de la respuesta a la solicitud de información por parte del </w:t>
      </w:r>
      <w:r w:rsidR="00E66014" w:rsidRPr="00A57D42">
        <w:rPr>
          <w:rFonts w:ascii="Palatino Linotype" w:eastAsia="Palatino Linotype" w:hAnsi="Palatino Linotype" w:cs="Palatino Linotype"/>
          <w:b/>
          <w:sz w:val="22"/>
          <w:szCs w:val="22"/>
        </w:rPr>
        <w:t>Ayuntamiento de el Oro</w:t>
      </w:r>
      <w:r w:rsidRPr="00A57D42">
        <w:rPr>
          <w:rFonts w:ascii="Palatino Linotype" w:eastAsia="Palatino Linotype" w:hAnsi="Palatino Linotype" w:cs="Palatino Linotype"/>
          <w:sz w:val="22"/>
          <w:szCs w:val="22"/>
        </w:rPr>
        <w:t xml:space="preserve">, en lo sucesivo el </w:t>
      </w:r>
      <w:r w:rsidRPr="00A57D42">
        <w:rPr>
          <w:rFonts w:ascii="Palatino Linotype" w:eastAsia="Palatino Linotype" w:hAnsi="Palatino Linotype" w:cs="Palatino Linotype"/>
          <w:b/>
          <w:sz w:val="22"/>
          <w:szCs w:val="22"/>
        </w:rPr>
        <w:t xml:space="preserve">Sujeto Obligado; </w:t>
      </w:r>
      <w:r w:rsidRPr="00A57D42">
        <w:rPr>
          <w:rFonts w:ascii="Palatino Linotype" w:eastAsia="Palatino Linotype" w:hAnsi="Palatino Linotype" w:cs="Palatino Linotype"/>
          <w:sz w:val="22"/>
          <w:szCs w:val="22"/>
        </w:rPr>
        <w:t>se procede a dictar la presente resolución, con base en lo siguiente.</w:t>
      </w:r>
    </w:p>
    <w:p w14:paraId="34BBF48E" w14:textId="77777777" w:rsidR="00C877F6" w:rsidRPr="00A57D42" w:rsidRDefault="00C877F6" w:rsidP="00F45A48">
      <w:pPr>
        <w:spacing w:line="360" w:lineRule="auto"/>
        <w:ind w:right="49"/>
        <w:jc w:val="both"/>
        <w:rPr>
          <w:rFonts w:ascii="Palatino Linotype" w:eastAsia="Palatino Linotype" w:hAnsi="Palatino Linotype" w:cs="Palatino Linotype"/>
          <w:sz w:val="22"/>
          <w:szCs w:val="22"/>
        </w:rPr>
      </w:pPr>
    </w:p>
    <w:p w14:paraId="29A1AF53" w14:textId="5EB2DA70" w:rsidR="00C877F6" w:rsidRPr="00A57D42" w:rsidRDefault="00F36565" w:rsidP="00F45A48">
      <w:pPr>
        <w:spacing w:line="360" w:lineRule="auto"/>
        <w:ind w:right="49"/>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I.</w:t>
      </w:r>
      <w:r w:rsidRPr="00A57D42">
        <w:rPr>
          <w:rFonts w:ascii="Palatino Linotype" w:eastAsia="Palatino Linotype" w:hAnsi="Palatino Linotype" w:cs="Palatino Linotype"/>
          <w:b/>
          <w:sz w:val="22"/>
          <w:szCs w:val="22"/>
        </w:rPr>
        <w:tab/>
        <w:t>A N T E C E D E N T E S</w:t>
      </w:r>
      <w:r w:rsidR="005C74CB" w:rsidRPr="00A57D42">
        <w:rPr>
          <w:rFonts w:ascii="Palatino Linotype" w:eastAsia="Palatino Linotype" w:hAnsi="Palatino Linotype" w:cs="Palatino Linotype"/>
          <w:b/>
          <w:sz w:val="22"/>
          <w:szCs w:val="22"/>
        </w:rPr>
        <w:t xml:space="preserve"> </w:t>
      </w:r>
    </w:p>
    <w:p w14:paraId="3ACFD56D" w14:textId="77777777" w:rsidR="00C877F6" w:rsidRPr="00A57D42" w:rsidRDefault="00C877F6" w:rsidP="00F45A48">
      <w:pPr>
        <w:spacing w:line="360" w:lineRule="auto"/>
        <w:ind w:right="49"/>
        <w:jc w:val="both"/>
        <w:rPr>
          <w:rFonts w:ascii="Palatino Linotype" w:eastAsia="Palatino Linotype" w:hAnsi="Palatino Linotype" w:cs="Palatino Linotype"/>
          <w:sz w:val="22"/>
          <w:szCs w:val="22"/>
        </w:rPr>
      </w:pPr>
    </w:p>
    <w:p w14:paraId="523B7B02" w14:textId="699AEBBA"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1.</w:t>
      </w:r>
      <w:r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 xml:space="preserve">Solicitud </w:t>
      </w:r>
      <w:r w:rsidR="00D3382D" w:rsidRPr="00A57D42">
        <w:rPr>
          <w:rFonts w:ascii="Palatino Linotype" w:eastAsia="Palatino Linotype" w:hAnsi="Palatino Linotype" w:cs="Palatino Linotype"/>
          <w:b/>
          <w:sz w:val="22"/>
          <w:szCs w:val="22"/>
        </w:rPr>
        <w:t xml:space="preserve">de </w:t>
      </w:r>
      <w:r w:rsidR="009456FA" w:rsidRPr="00A57D42">
        <w:rPr>
          <w:rFonts w:ascii="Palatino Linotype" w:eastAsia="Palatino Linotype" w:hAnsi="Palatino Linotype" w:cs="Palatino Linotype"/>
          <w:b/>
          <w:sz w:val="22"/>
          <w:szCs w:val="22"/>
        </w:rPr>
        <w:t xml:space="preserve">Acceso a la Información. El </w:t>
      </w:r>
      <w:r w:rsidR="00E66014" w:rsidRPr="00A57D42">
        <w:rPr>
          <w:rFonts w:ascii="Palatino Linotype" w:eastAsia="Palatino Linotype" w:hAnsi="Palatino Linotype" w:cs="Palatino Linotype"/>
          <w:b/>
          <w:sz w:val="22"/>
          <w:szCs w:val="22"/>
        </w:rPr>
        <w:t>veinte de junio</w:t>
      </w:r>
      <w:r w:rsidRPr="00A57D42">
        <w:rPr>
          <w:rFonts w:ascii="Palatino Linotype" w:eastAsia="Palatino Linotype" w:hAnsi="Palatino Linotype" w:cs="Palatino Linotype"/>
          <w:b/>
          <w:sz w:val="22"/>
          <w:szCs w:val="22"/>
        </w:rPr>
        <w:t xml:space="preserve"> de dos mil veinticinco</w:t>
      </w:r>
      <w:r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LA PARTE</w:t>
      </w:r>
      <w:r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RECURRENTE</w:t>
      </w:r>
      <w:r w:rsidRPr="00A57D42">
        <w:rPr>
          <w:rFonts w:ascii="Palatino Linotype" w:eastAsia="Palatino Linotype" w:hAnsi="Palatino Linotype" w:cs="Palatino Linotype"/>
          <w:sz w:val="22"/>
          <w:szCs w:val="22"/>
        </w:rPr>
        <w:t xml:space="preserve"> formuló solicitud de acceso a información pública a través del </w:t>
      </w:r>
      <w:r w:rsidRPr="00A57D42">
        <w:rPr>
          <w:rFonts w:ascii="Palatino Linotype" w:eastAsia="Palatino Linotype" w:hAnsi="Palatino Linotype" w:cs="Palatino Linotype"/>
          <w:b/>
          <w:sz w:val="22"/>
          <w:szCs w:val="22"/>
        </w:rPr>
        <w:t>SAIMEX</w:t>
      </w:r>
      <w:r w:rsidR="0055158C"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sz w:val="22"/>
          <w:szCs w:val="22"/>
        </w:rPr>
        <w:t xml:space="preserve">en la que requirió lo siguiente: </w:t>
      </w:r>
    </w:p>
    <w:p w14:paraId="4EEACF59"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21215815" w14:textId="51B78D2E" w:rsidR="00C877F6" w:rsidRPr="00A57D42" w:rsidRDefault="00F36565" w:rsidP="00F45A48">
      <w:pPr>
        <w:numPr>
          <w:ilvl w:val="0"/>
          <w:numId w:val="2"/>
        </w:numPr>
        <w:pBdr>
          <w:top w:val="nil"/>
          <w:left w:val="nil"/>
          <w:bottom w:val="nil"/>
          <w:right w:val="nil"/>
          <w:between w:val="nil"/>
        </w:pBdr>
        <w:spacing w:line="360" w:lineRule="auto"/>
        <w:ind w:left="567" w:right="49"/>
        <w:jc w:val="both"/>
        <w:rPr>
          <w:rFonts w:ascii="Palatino Linotype" w:eastAsia="Palatino Linotype" w:hAnsi="Palatino Linotype" w:cs="Palatino Linotype"/>
          <w:b/>
          <w:sz w:val="22"/>
          <w:szCs w:val="22"/>
        </w:rPr>
      </w:pPr>
      <w:bookmarkStart w:id="1" w:name="_heading=h.3znysh7" w:colFirst="0" w:colLast="0"/>
      <w:bookmarkEnd w:id="1"/>
      <w:r w:rsidRPr="00A57D42">
        <w:rPr>
          <w:rFonts w:ascii="Palatino Linotype" w:eastAsia="Palatino Linotype" w:hAnsi="Palatino Linotype" w:cs="Palatino Linotype"/>
          <w:b/>
          <w:sz w:val="22"/>
          <w:szCs w:val="22"/>
        </w:rPr>
        <w:t>0</w:t>
      </w:r>
      <w:r w:rsidR="00E66014" w:rsidRPr="00A57D42">
        <w:rPr>
          <w:rFonts w:ascii="Palatino Linotype" w:eastAsia="Palatino Linotype" w:hAnsi="Palatino Linotype" w:cs="Palatino Linotype"/>
          <w:b/>
          <w:sz w:val="22"/>
          <w:szCs w:val="22"/>
        </w:rPr>
        <w:t>0082</w:t>
      </w:r>
      <w:r w:rsidRPr="00A57D42">
        <w:rPr>
          <w:rFonts w:ascii="Palatino Linotype" w:eastAsia="Palatino Linotype" w:hAnsi="Palatino Linotype" w:cs="Palatino Linotype"/>
          <w:b/>
          <w:sz w:val="22"/>
          <w:szCs w:val="22"/>
        </w:rPr>
        <w:t>/</w:t>
      </w:r>
      <w:r w:rsidR="00E66014" w:rsidRPr="00A57D42">
        <w:rPr>
          <w:rFonts w:ascii="Palatino Linotype" w:eastAsia="Palatino Linotype" w:hAnsi="Palatino Linotype" w:cs="Palatino Linotype"/>
          <w:b/>
          <w:sz w:val="22"/>
          <w:szCs w:val="22"/>
        </w:rPr>
        <w:t>ELORO</w:t>
      </w:r>
      <w:r w:rsidRPr="00A57D42">
        <w:rPr>
          <w:rFonts w:ascii="Palatino Linotype" w:eastAsia="Palatino Linotype" w:hAnsi="Palatino Linotype" w:cs="Palatino Linotype"/>
          <w:b/>
          <w:sz w:val="22"/>
          <w:szCs w:val="22"/>
        </w:rPr>
        <w:t>/IP/2025</w:t>
      </w:r>
    </w:p>
    <w:p w14:paraId="173CF3CD" w14:textId="0E09E84F" w:rsidR="00C877F6" w:rsidRPr="00A57D42" w:rsidRDefault="00F36565" w:rsidP="00F45A48">
      <w:pPr>
        <w:spacing w:line="276" w:lineRule="auto"/>
        <w:ind w:left="567" w:right="843"/>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i/>
          <w:sz w:val="22"/>
          <w:szCs w:val="22"/>
        </w:rPr>
        <w:t>"</w:t>
      </w:r>
      <w:r w:rsidR="00E66014" w:rsidRPr="00A57D42">
        <w:rPr>
          <w:rFonts w:ascii="Palatino Linotype" w:hAnsi="Palatino Linotype"/>
          <w:sz w:val="22"/>
          <w:szCs w:val="22"/>
        </w:rPr>
        <w:t xml:space="preserve"> </w:t>
      </w:r>
      <w:r w:rsidR="00E66014" w:rsidRPr="00A57D42">
        <w:rPr>
          <w:rFonts w:ascii="Palatino Linotype" w:eastAsia="Palatino Linotype" w:hAnsi="Palatino Linotype" w:cs="Palatino Linotype"/>
          <w:i/>
          <w:sz w:val="22"/>
          <w:szCs w:val="22"/>
        </w:rPr>
        <w:t xml:space="preserve">I. FUNDAMENTOS JURÍDICOS Con fundamento en el artículo 6° de la Constitución Política de los Estados Unidos Mexicanos, los artículos 7, 8, 127 y demás aplicables de la Ley General de Transparencia y Acceso a la Información Pública, así como en la Ley de Transparencia y Acceso a la Información Pública del Estado de México y Municipios, y en la Ley de Responsabilidades Administrativas del Estado de México y Municipios, específicamente en los artículos que regulan las conductas que constituyen abuso de autoridad, violación a los principios de legalidad, imparcialidad, eficiencia y transparencia, presento la siguiente solicitud de información pública para fines de investigación ciudadana. </w:t>
      </w:r>
      <w:r w:rsidR="00E66014" w:rsidRPr="00A57D42">
        <w:rPr>
          <w:rFonts w:eastAsia="Palatino Linotype"/>
          <w:i/>
          <w:sz w:val="22"/>
          <w:szCs w:val="22"/>
        </w:rPr>
        <w:t>⸻</w:t>
      </w:r>
      <w:r w:rsidR="00E66014" w:rsidRPr="00A57D42">
        <w:rPr>
          <w:rFonts w:ascii="Palatino Linotype" w:eastAsia="Palatino Linotype" w:hAnsi="Palatino Linotype" w:cs="Palatino Linotype"/>
          <w:i/>
          <w:sz w:val="22"/>
          <w:szCs w:val="22"/>
        </w:rPr>
        <w:t xml:space="preserve"> II. OBJETO DE LA SOLICITUD Solicito el acceso a información que permita la integración de un expediente ciudadano de investigación </w:t>
      </w:r>
      <w:r w:rsidR="00E66014" w:rsidRPr="00A57D42">
        <w:rPr>
          <w:rFonts w:ascii="Palatino Linotype" w:eastAsia="Palatino Linotype" w:hAnsi="Palatino Linotype" w:cs="Palatino Linotype"/>
          <w:i/>
          <w:sz w:val="22"/>
          <w:szCs w:val="22"/>
        </w:rPr>
        <w:lastRenderedPageBreak/>
        <w:t xml:space="preserve">respecto a posibles actos constitutivos de abuso de autoridad, deficiencias en la toma de decisiones administrativas y nombramientos irregulares de titulares sin experiencia ni certificaciones legales durante el periodo comprendido entre el 1 de enero y el 30 de junio de 2025. El propósito es documentar, analizar y evaluar la legalidad, racionalidad y conformidad con los principios administrativos vigentes de las decisiones, acciones, omisiones y designaciones adoptadas en dicho periodo. </w:t>
      </w:r>
      <w:r w:rsidR="00E66014" w:rsidRPr="00A57D42">
        <w:rPr>
          <w:rFonts w:eastAsia="Palatino Linotype"/>
          <w:i/>
          <w:sz w:val="22"/>
          <w:szCs w:val="22"/>
        </w:rPr>
        <w:t>⸻</w:t>
      </w:r>
      <w:r w:rsidR="00E66014" w:rsidRPr="00A57D42">
        <w:rPr>
          <w:rFonts w:ascii="Palatino Linotype" w:eastAsia="Palatino Linotype" w:hAnsi="Palatino Linotype" w:cs="Palatino Linotype"/>
          <w:i/>
          <w:sz w:val="22"/>
          <w:szCs w:val="22"/>
        </w:rPr>
        <w:t xml:space="preserve"> III. INFORMACIÓN REQUERIDA 1. Relación y copia certificada de todos los acuerdos, decretos, órdenes, circulares, resoluciones y demás actos administrativos emitidos o suscritos por la Presidenta Municipal y/o el Secretario durante el periodo indicado, que impliquen decisiones de gestión, administración o ejecución de funciones públicas. 2. Documentación probatoria y soporte legal de cada acto o decisión, con la fundamentación jurídica, técnica y presupuestal correspondiente. 3. Registro de denuncias, quejas o inconformidades formales presentadas ante el Ayuntamiento o la Contraloría Municipal relacionadas con presuntos abusos de autoridad, uso indebido de funciones, actos arbitrarios o decisiones ilegales atribuidas a la Presidenta Municipal y/o al Secretario, incluyendo el estado y resultados de dichas investigaciones o procedimientos. 4. Informes internos o auditorías, incluyendo resultados preliminares o finales, que aborden conductas irregulares o posibles faltas administrativas en la gestión administrativa y la toma de decisiones. 5. Relación de procedimientos administrativos disciplinarios, sanciones o medidas correctivas que se hayan aplicado o iniciado en contra de la Presidenta Municipal y/o el Secretario durante el periodo solicitado. 6. Actas de sesiones de Cabildo y otros órganos colegiados donde se hayan discutido, aprobado o cuestionado decisiones relevantes tomadas por dichos servidores públicos. 7. Relación de nombramientos de titulares de áreas, direcciones o dependencias, incluyendo: • Nombre completo del titular designado. • Fecha de nombramiento. • Perfil profesional, experiencia y certificaciones requeridas por la ley para el cargo. • Justificación y documentación que acredite que los titulares cumplen con los requisitos legales de experiencia y certificación. • En su caso, información sobre nombramientos realizados sin que los titulares acrediten experiencia ni certificaciones exigidas por la normatividad aplicable. </w:t>
      </w:r>
      <w:r w:rsidR="00E66014" w:rsidRPr="00A57D42">
        <w:rPr>
          <w:rFonts w:eastAsia="Palatino Linotype"/>
          <w:i/>
          <w:sz w:val="22"/>
          <w:szCs w:val="22"/>
        </w:rPr>
        <w:t>⸻</w:t>
      </w:r>
      <w:r w:rsidR="00E66014" w:rsidRPr="00A57D42">
        <w:rPr>
          <w:rFonts w:ascii="Palatino Linotype" w:eastAsia="Palatino Linotype" w:hAnsi="Palatino Linotype" w:cs="Palatino Linotype"/>
          <w:i/>
          <w:sz w:val="22"/>
          <w:szCs w:val="22"/>
        </w:rPr>
        <w:t xml:space="preserve"> IV. FORMATO Y MEDIO DE ENTREGA Solicito que la información sea entregada en formatos digitales editables (PDF, DOCX, XLSX) y puesta a disposición a través del Sistema de Acceso a la Información Mexiquense (SAIMEX). </w:t>
      </w:r>
      <w:r w:rsidR="00E66014" w:rsidRPr="00A57D42">
        <w:rPr>
          <w:rFonts w:eastAsia="Palatino Linotype"/>
          <w:i/>
          <w:sz w:val="22"/>
          <w:szCs w:val="22"/>
        </w:rPr>
        <w:t>⸻</w:t>
      </w:r>
      <w:r w:rsidR="00E66014" w:rsidRPr="00A57D42">
        <w:rPr>
          <w:rFonts w:ascii="Palatino Linotype" w:eastAsia="Palatino Linotype" w:hAnsi="Palatino Linotype" w:cs="Palatino Linotype"/>
          <w:i/>
          <w:sz w:val="22"/>
          <w:szCs w:val="22"/>
        </w:rPr>
        <w:t xml:space="preserve"> V. CONSIDERACIONES • La información solicitada es pública y se relaciona directamente con el ejercicio del poder público y la administración municipal, </w:t>
      </w:r>
      <w:r w:rsidR="00E66014" w:rsidRPr="00A57D42">
        <w:rPr>
          <w:rFonts w:ascii="Palatino Linotype" w:eastAsia="Palatino Linotype" w:hAnsi="Palatino Linotype" w:cs="Palatino Linotype"/>
          <w:i/>
          <w:sz w:val="22"/>
          <w:szCs w:val="22"/>
        </w:rPr>
        <w:lastRenderedPageBreak/>
        <w:t xml:space="preserve">por lo que debe ser proporcionada bajo los principios de máxima publicidad y transparencia. • En caso de que alguna información se considere reservada o clasificada, solicito se expongan los fundamentos legales y se informe sobre la procedencia de ejercer recursos de revisión. </w:t>
      </w:r>
      <w:r w:rsidR="00E66014" w:rsidRPr="00A57D42">
        <w:rPr>
          <w:rFonts w:eastAsia="Palatino Linotype"/>
          <w:i/>
          <w:sz w:val="22"/>
          <w:szCs w:val="22"/>
        </w:rPr>
        <w:t>⸻</w:t>
      </w:r>
      <w:r w:rsidR="00E66014" w:rsidRPr="00A57D42">
        <w:rPr>
          <w:rFonts w:ascii="Palatino Linotype" w:eastAsia="Palatino Linotype" w:hAnsi="Palatino Linotype" w:cs="Palatino Linotype"/>
          <w:i/>
          <w:sz w:val="22"/>
          <w:szCs w:val="22"/>
        </w:rPr>
        <w:t xml:space="preserve"> Agradezco la atención a la presente solicitud y quedo a la espera de su respuesta dentro de los plazos establecidos por la ley.</w:t>
      </w:r>
      <w:r w:rsidR="0055158C"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 (Sic.)</w:t>
      </w:r>
    </w:p>
    <w:p w14:paraId="1861AE9B" w14:textId="77777777" w:rsidR="00C877F6" w:rsidRPr="00A57D42" w:rsidRDefault="00C877F6" w:rsidP="00F45A48">
      <w:pPr>
        <w:spacing w:line="360" w:lineRule="auto"/>
        <w:ind w:left="567" w:right="843"/>
        <w:jc w:val="both"/>
        <w:rPr>
          <w:rFonts w:ascii="Palatino Linotype" w:eastAsia="Palatino Linotype" w:hAnsi="Palatino Linotype" w:cs="Palatino Linotype"/>
          <w:i/>
          <w:sz w:val="22"/>
          <w:szCs w:val="22"/>
        </w:rPr>
      </w:pPr>
    </w:p>
    <w:p w14:paraId="76742D72" w14:textId="77777777" w:rsidR="00C877F6" w:rsidRPr="00A57D42" w:rsidRDefault="00F36565" w:rsidP="00F45A48">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Modalidad elegida para la entrega de la información:</w:t>
      </w:r>
      <w:r w:rsidRPr="00A57D42">
        <w:rPr>
          <w:rFonts w:ascii="Palatino Linotype" w:eastAsia="Palatino Linotype" w:hAnsi="Palatino Linotype" w:cs="Palatino Linotype"/>
          <w:sz w:val="22"/>
          <w:szCs w:val="22"/>
        </w:rPr>
        <w:t xml:space="preserve"> a través del Sistema de Acceso a la Información Mexiquense (SAIMEX).</w:t>
      </w:r>
    </w:p>
    <w:p w14:paraId="62007702" w14:textId="77777777" w:rsidR="00C877F6" w:rsidRPr="00A57D42" w:rsidRDefault="00C877F6" w:rsidP="00F45A48">
      <w:pPr>
        <w:widowControl w:val="0"/>
        <w:spacing w:line="360" w:lineRule="auto"/>
        <w:jc w:val="both"/>
        <w:rPr>
          <w:rFonts w:ascii="Palatino Linotype" w:eastAsia="Palatino Linotype" w:hAnsi="Palatino Linotype" w:cs="Palatino Linotype"/>
          <w:b/>
          <w:sz w:val="22"/>
          <w:szCs w:val="22"/>
        </w:rPr>
      </w:pPr>
    </w:p>
    <w:p w14:paraId="46E266A9" w14:textId="624C21CE" w:rsidR="00C877F6" w:rsidRPr="00A57D42" w:rsidRDefault="00F36565" w:rsidP="00F45A48">
      <w:pPr>
        <w:widowControl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2. Respuesta.</w:t>
      </w:r>
      <w:r w:rsidRPr="00A57D42">
        <w:rPr>
          <w:rFonts w:ascii="Palatino Linotype" w:eastAsia="Palatino Linotype" w:hAnsi="Palatino Linotype" w:cs="Palatino Linotype"/>
          <w:sz w:val="22"/>
          <w:szCs w:val="22"/>
        </w:rPr>
        <w:t xml:space="preserve"> El </w:t>
      </w:r>
      <w:r w:rsidR="00E66014" w:rsidRPr="00A57D42">
        <w:rPr>
          <w:rFonts w:ascii="Palatino Linotype" w:eastAsia="Palatino Linotype" w:hAnsi="Palatino Linotype" w:cs="Palatino Linotype"/>
          <w:b/>
          <w:sz w:val="22"/>
          <w:szCs w:val="22"/>
        </w:rPr>
        <w:t>once</w:t>
      </w:r>
      <w:r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 xml:space="preserve">de </w:t>
      </w:r>
      <w:r w:rsidR="00E66014" w:rsidRPr="00A57D42">
        <w:rPr>
          <w:rFonts w:ascii="Palatino Linotype" w:eastAsia="Palatino Linotype" w:hAnsi="Palatino Linotype" w:cs="Palatino Linotype"/>
          <w:b/>
          <w:sz w:val="22"/>
          <w:szCs w:val="22"/>
        </w:rPr>
        <w:t>julio</w:t>
      </w:r>
      <w:r w:rsidR="009456FA" w:rsidRPr="00A57D42">
        <w:rPr>
          <w:rFonts w:ascii="Palatino Linotype" w:eastAsia="Palatino Linotype" w:hAnsi="Palatino Linotype" w:cs="Palatino Linotype"/>
          <w:b/>
          <w:sz w:val="22"/>
          <w:szCs w:val="22"/>
        </w:rPr>
        <w:t xml:space="preserve"> </w:t>
      </w:r>
      <w:r w:rsidRPr="00A57D42">
        <w:rPr>
          <w:rFonts w:ascii="Palatino Linotype" w:eastAsia="Palatino Linotype" w:hAnsi="Palatino Linotype" w:cs="Palatino Linotype"/>
          <w:b/>
          <w:sz w:val="22"/>
          <w:szCs w:val="22"/>
        </w:rPr>
        <w:t>de dos mil veinticinco</w:t>
      </w:r>
      <w:r w:rsidRPr="00A57D42">
        <w:rPr>
          <w:rFonts w:ascii="Palatino Linotype" w:eastAsia="Palatino Linotype" w:hAnsi="Palatino Linotype" w:cs="Palatino Linotype"/>
          <w:sz w:val="22"/>
          <w:szCs w:val="22"/>
        </w:rPr>
        <w:t>, el Sujeto Obligado dio respuesta a la solicitud en los siguientes términos:</w:t>
      </w:r>
    </w:p>
    <w:p w14:paraId="7689408D" w14:textId="77777777" w:rsidR="00C877F6" w:rsidRPr="00A57D42" w:rsidRDefault="00C877F6" w:rsidP="00F45A48">
      <w:pPr>
        <w:widowControl w:val="0"/>
        <w:spacing w:line="360" w:lineRule="auto"/>
        <w:jc w:val="both"/>
        <w:rPr>
          <w:rFonts w:ascii="Palatino Linotype" w:eastAsia="Palatino Linotype" w:hAnsi="Palatino Linotype" w:cs="Palatino Linotype"/>
          <w:sz w:val="22"/>
          <w:szCs w:val="22"/>
        </w:rPr>
      </w:pPr>
    </w:p>
    <w:p w14:paraId="1E62B831" w14:textId="77777777" w:rsidR="00E66014" w:rsidRPr="00A57D42" w:rsidRDefault="00F36565" w:rsidP="00E66014">
      <w:pPr>
        <w:widowControl w:val="0"/>
        <w:spacing w:line="360" w:lineRule="auto"/>
        <w:ind w:left="567" w:right="843"/>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00E66014" w:rsidRPr="00A57D42">
        <w:rPr>
          <w:rFonts w:ascii="Palatino Linotype" w:eastAsia="Palatino Linotype" w:hAnsi="Palatino Linotype" w:cs="Palatino Linotype"/>
          <w:i/>
          <w:sz w:val="22"/>
          <w:szCs w:val="22"/>
        </w:rPr>
        <w:t>Dando cumplimiento en tiempo y forma a lo establecido por la legislación vigente y con fundamento en el Art. 12 de la Ley de Transparencia y Acceso a la Información Pública del Estado de México y Municipios se adjuntan al presente 8 archivos en formato PDF, así como 1 carpeta comprimida .ZIP (contiene archivos en formato PDF) como respuesta brindada por las áreas correspondientes a su solicitud de información. SE ACLARA QUE LA INFORMACIÓN ENTREGADA ES LA ÚNICA CON LA QUE ESTE SUJETO OBLIGADO CUENTA DE ACUERDO A SUS FACULTADES, FUNCIONES O ATRIBUCIONES, LA CUAL SE ENTREGA EN EL ESTADO EN QUE SE ENCUENTRA de conformidad con el artículo antes mencionado que a la letra indica “…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La clasificación total de la información como reservada y parcial como confidencial para la elaboración de la versión pública de la presente respuesta fue confirmada mediante Acuerdo ACTA/08/CT/2025/QUINTO y ACTA/08/CT/2025/SEXTO. Así mismo se informa que para obtener la información en Copias Certificadas correspondiente al punto 1 de su solicitud, deberá cubrir la cuota correspondiente y entregar el comprobante de pago en las instalaciones de la Unidad de Transparencia del Ayuntamiento de El Oro, México, ubicadas en Av. del Ferrocarril SN Col. Centro El Oro, México, Parte Alta del Mercado Municipal “Álvaro Obregón” en un horario de Lunes a Viernes de 9:00 a 15:00 hrs. Sin embargo privilegiando el derecho de acceso a la información pública éste Sujeto Obligado le entrega vía SAIMEX toda la información solicitada SIN CERTIFICACIÓN.</w:t>
      </w:r>
    </w:p>
    <w:p w14:paraId="4C40FFF9" w14:textId="77777777" w:rsidR="00E66014" w:rsidRPr="00A57D42" w:rsidRDefault="00E66014" w:rsidP="00E66014">
      <w:pPr>
        <w:widowControl w:val="0"/>
        <w:spacing w:line="360" w:lineRule="auto"/>
        <w:ind w:left="567" w:right="843"/>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ATENTAMENTE</w:t>
      </w:r>
    </w:p>
    <w:p w14:paraId="7858BA1C" w14:textId="74A8DAEE" w:rsidR="00C877F6" w:rsidRPr="00A57D42" w:rsidRDefault="00E66014" w:rsidP="00E66014">
      <w:pPr>
        <w:widowControl w:val="0"/>
        <w:spacing w:line="360" w:lineRule="auto"/>
        <w:ind w:left="567" w:right="843"/>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ING. JOSE DANIEL POSADAS MEJIA</w:t>
      </w:r>
      <w:r w:rsidR="00287278" w:rsidRPr="00A57D42">
        <w:rPr>
          <w:rFonts w:ascii="Palatino Linotype" w:eastAsia="Palatino Linotype" w:hAnsi="Palatino Linotype" w:cs="Palatino Linotype"/>
          <w:i/>
          <w:sz w:val="22"/>
          <w:szCs w:val="22"/>
        </w:rPr>
        <w:t>”</w:t>
      </w:r>
    </w:p>
    <w:p w14:paraId="7C751FDF" w14:textId="77777777" w:rsidR="009456FA" w:rsidRPr="00A57D42" w:rsidRDefault="009456FA" w:rsidP="00F45A48">
      <w:pPr>
        <w:widowControl w:val="0"/>
        <w:spacing w:line="360" w:lineRule="auto"/>
        <w:ind w:left="567" w:right="843"/>
        <w:jc w:val="both"/>
        <w:rPr>
          <w:rFonts w:ascii="Palatino Linotype" w:eastAsia="Palatino Linotype" w:hAnsi="Palatino Linotype" w:cs="Palatino Linotype"/>
          <w:i/>
          <w:sz w:val="22"/>
          <w:szCs w:val="22"/>
        </w:rPr>
      </w:pPr>
    </w:p>
    <w:p w14:paraId="369D8218" w14:textId="77777777" w:rsidR="00D42C47" w:rsidRPr="00A57D42" w:rsidRDefault="00F36565" w:rsidP="00F45A48">
      <w:pPr>
        <w:widowControl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El Sujeto Obligado adjunt</w:t>
      </w:r>
      <w:r w:rsidR="000D6BF4" w:rsidRPr="00A57D42">
        <w:rPr>
          <w:rFonts w:ascii="Palatino Linotype" w:eastAsia="Palatino Linotype" w:hAnsi="Palatino Linotype" w:cs="Palatino Linotype"/>
          <w:sz w:val="22"/>
          <w:szCs w:val="22"/>
        </w:rPr>
        <w:t xml:space="preserve">ó </w:t>
      </w:r>
      <w:r w:rsidR="00D42C47" w:rsidRPr="00A57D42">
        <w:rPr>
          <w:rFonts w:ascii="Palatino Linotype" w:eastAsia="Palatino Linotype" w:hAnsi="Palatino Linotype" w:cs="Palatino Linotype"/>
          <w:sz w:val="22"/>
          <w:szCs w:val="22"/>
        </w:rPr>
        <w:t>los documentos electrónicos siguientes:</w:t>
      </w:r>
    </w:p>
    <w:p w14:paraId="05AA89CB" w14:textId="77777777" w:rsidR="00D42C47" w:rsidRPr="00A57D42" w:rsidRDefault="00D42C47" w:rsidP="00F45A48">
      <w:pPr>
        <w:widowControl w:val="0"/>
        <w:spacing w:line="360" w:lineRule="auto"/>
        <w:jc w:val="both"/>
        <w:rPr>
          <w:rFonts w:ascii="Palatino Linotype" w:eastAsia="Palatino Linotype" w:hAnsi="Palatino Linotype" w:cs="Palatino Linotype"/>
          <w:sz w:val="22"/>
          <w:szCs w:val="22"/>
        </w:rPr>
      </w:pPr>
    </w:p>
    <w:p w14:paraId="2C8992D2" w14:textId="32586249"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00082-secretaria.PDF: </w:t>
      </w:r>
      <w:r w:rsidRPr="00A57D42">
        <w:rPr>
          <w:rFonts w:ascii="Palatino Linotype" w:eastAsia="Palatino Linotype" w:hAnsi="Palatino Linotype" w:cs="Palatino Linotype"/>
          <w:sz w:val="22"/>
          <w:szCs w:val="22"/>
        </w:rPr>
        <w:t>Oficio suscrito por el Secretario del Ayuntamiento mediante el cual refiere que entrega las actas de las sesiones que contienen las decisiones tomadas por el Cabildo.</w:t>
      </w:r>
    </w:p>
    <w:p w14:paraId="34D245A7" w14:textId="3CAED87D"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PM-CIM-0349-2025.PDF</w:t>
      </w:r>
      <w:r w:rsidRPr="00A57D42">
        <w:rPr>
          <w:rFonts w:ascii="Palatino Linotype" w:eastAsia="Palatino Linotype" w:hAnsi="Palatino Linotype" w:cs="Palatino Linotype"/>
          <w:sz w:val="22"/>
          <w:szCs w:val="22"/>
        </w:rPr>
        <w:t xml:space="preserve">: Oficio suscrito por el Titular del Órgano Interno de Control mediante el cual refiere que los procedimientos de responsabilidades administrativas se encuentran en trámite, por lo que es información clasificada como reservada y se desarrolla la prueba de daño. </w:t>
      </w:r>
    </w:p>
    <w:p w14:paraId="01C6D676" w14:textId="085BC5A8"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Acta8CT-2025.PDF</w:t>
      </w:r>
      <w:r w:rsidR="00F43FED" w:rsidRPr="00A57D42">
        <w:rPr>
          <w:rFonts w:ascii="Palatino Linotype" w:eastAsia="Palatino Linotype" w:hAnsi="Palatino Linotype" w:cs="Palatino Linotype"/>
          <w:b/>
          <w:sz w:val="22"/>
          <w:szCs w:val="22"/>
        </w:rPr>
        <w:t xml:space="preserve">: </w:t>
      </w:r>
      <w:r w:rsidR="00F43FED" w:rsidRPr="00A57D42">
        <w:rPr>
          <w:rFonts w:ascii="Palatino Linotype" w:eastAsia="Palatino Linotype" w:hAnsi="Palatino Linotype" w:cs="Palatino Linotype"/>
          <w:sz w:val="22"/>
          <w:szCs w:val="22"/>
        </w:rPr>
        <w:t xml:space="preserve">Acta de la Octava Sesión Ordinaria del Comité de Transparencia </w:t>
      </w:r>
      <w:r w:rsidR="00E14D21" w:rsidRPr="00A57D42">
        <w:rPr>
          <w:rFonts w:ascii="Palatino Linotype" w:eastAsia="Palatino Linotype" w:hAnsi="Palatino Linotype" w:cs="Palatino Linotype"/>
          <w:sz w:val="22"/>
          <w:szCs w:val="22"/>
        </w:rPr>
        <w:t>que sustenta las versiones públicas y se confirma la clasificación como información reservada.</w:t>
      </w:r>
    </w:p>
    <w:p w14:paraId="441E2896" w14:textId="01FA66D2"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AnexoVP.pdf</w:t>
      </w:r>
      <w:r w:rsidR="00E14D21" w:rsidRPr="00A57D42">
        <w:rPr>
          <w:rFonts w:ascii="Palatino Linotype" w:eastAsia="Palatino Linotype" w:hAnsi="Palatino Linotype" w:cs="Palatino Linotype"/>
          <w:b/>
          <w:sz w:val="22"/>
          <w:szCs w:val="22"/>
        </w:rPr>
        <w:t xml:space="preserve">: </w:t>
      </w:r>
      <w:r w:rsidR="00E14D21" w:rsidRPr="00A57D42">
        <w:rPr>
          <w:rFonts w:ascii="Palatino Linotype" w:eastAsia="Palatino Linotype" w:hAnsi="Palatino Linotype" w:cs="Palatino Linotype"/>
          <w:sz w:val="22"/>
          <w:szCs w:val="22"/>
        </w:rPr>
        <w:t>Contiene el cuadro de clasificación.</w:t>
      </w:r>
    </w:p>
    <w:p w14:paraId="5407D36B" w14:textId="2A14D418"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Pago Certificacion 00082 Punto1.pdf</w:t>
      </w:r>
      <w:r w:rsidR="00571FCC" w:rsidRPr="00A57D42">
        <w:rPr>
          <w:rFonts w:ascii="Palatino Linotype" w:eastAsia="Palatino Linotype" w:hAnsi="Palatino Linotype" w:cs="Palatino Linotype"/>
          <w:b/>
          <w:sz w:val="22"/>
          <w:szCs w:val="22"/>
        </w:rPr>
        <w:t xml:space="preserve">: </w:t>
      </w:r>
      <w:r w:rsidR="00571FCC" w:rsidRPr="00A57D42">
        <w:rPr>
          <w:rFonts w:ascii="Palatino Linotype" w:eastAsia="Palatino Linotype" w:hAnsi="Palatino Linotype" w:cs="Palatino Linotype"/>
          <w:sz w:val="22"/>
          <w:szCs w:val="22"/>
        </w:rPr>
        <w:t>Documento sin número de oficio suscrito por el Titular de la Unidad de Transparencia mediante el cual refiere que para la entrega de copias certificadas, el Sujeto Obligado deberá cubrir el siguiente costo:</w:t>
      </w:r>
    </w:p>
    <w:p w14:paraId="7C195BCE" w14:textId="00391DB6" w:rsidR="00571FCC" w:rsidRPr="00A57D42" w:rsidRDefault="00571FCC" w:rsidP="00571FCC">
      <w:pPr>
        <w:widowControl w:val="0"/>
        <w:spacing w:line="360" w:lineRule="auto"/>
        <w:ind w:left="70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2A357ACD" wp14:editId="0007016D">
            <wp:extent cx="5756275" cy="9194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275" cy="919480"/>
                    </a:xfrm>
                    <a:prstGeom prst="rect">
                      <a:avLst/>
                    </a:prstGeom>
                  </pic:spPr>
                </pic:pic>
              </a:graphicData>
            </a:graphic>
          </wp:inline>
        </w:drawing>
      </w:r>
    </w:p>
    <w:p w14:paraId="27CE7463" w14:textId="7258CC82" w:rsidR="00571FCC" w:rsidRPr="00A57D42" w:rsidRDefault="00571FCC" w:rsidP="00571FCC">
      <w:pPr>
        <w:widowControl w:val="0"/>
        <w:spacing w:line="360" w:lineRule="auto"/>
        <w:ind w:left="70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refiere que la entrega de la información sin costo, se proporciona a través del SAIMEX.</w:t>
      </w:r>
    </w:p>
    <w:p w14:paraId="4B4680F1" w14:textId="09130669"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anexo 00082-secretaria.zip</w:t>
      </w:r>
      <w:r w:rsidR="00571FCC" w:rsidRPr="00A57D42">
        <w:rPr>
          <w:rFonts w:ascii="Palatino Linotype" w:eastAsia="Palatino Linotype" w:hAnsi="Palatino Linotype" w:cs="Palatino Linotype"/>
          <w:b/>
          <w:sz w:val="22"/>
          <w:szCs w:val="22"/>
        </w:rPr>
        <w:t xml:space="preserve">: </w:t>
      </w:r>
      <w:r w:rsidR="00571FCC" w:rsidRPr="00A57D42">
        <w:rPr>
          <w:rFonts w:ascii="Palatino Linotype" w:eastAsia="Palatino Linotype" w:hAnsi="Palatino Linotype" w:cs="Palatino Linotype"/>
          <w:sz w:val="22"/>
          <w:szCs w:val="22"/>
        </w:rPr>
        <w:t>Contiene un total de 23 actas de cabildo de los meses de enero a junio de dos mil veinticinco.</w:t>
      </w:r>
    </w:p>
    <w:p w14:paraId="6ACD8BEB" w14:textId="475BFC2B"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00082-OM.PDF</w:t>
      </w:r>
      <w:r w:rsidR="00F067E2" w:rsidRPr="00A57D42">
        <w:rPr>
          <w:rFonts w:ascii="Palatino Linotype" w:eastAsia="Palatino Linotype" w:hAnsi="Palatino Linotype" w:cs="Palatino Linotype"/>
          <w:b/>
          <w:sz w:val="22"/>
          <w:szCs w:val="22"/>
        </w:rPr>
        <w:t xml:space="preserve">: </w:t>
      </w:r>
      <w:r w:rsidR="00F067E2" w:rsidRPr="00A57D42">
        <w:rPr>
          <w:rFonts w:ascii="Palatino Linotype" w:eastAsia="Palatino Linotype" w:hAnsi="Palatino Linotype" w:cs="Palatino Linotype"/>
          <w:sz w:val="22"/>
          <w:szCs w:val="22"/>
        </w:rPr>
        <w:t>Documento integrado por dieciocho páginas que contiene una serie de certificaciones de servidores públicos en versión pública, así como un recuadro con nombre, área de adscripción, fecha de nombramiento, perfil profesional y certificación.</w:t>
      </w:r>
    </w:p>
    <w:p w14:paraId="6A7DA590" w14:textId="144FF181"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OM-170-2025.PDF</w:t>
      </w:r>
      <w:r w:rsidR="00F067E2" w:rsidRPr="00A57D42">
        <w:rPr>
          <w:rFonts w:ascii="Palatino Linotype" w:eastAsia="Palatino Linotype" w:hAnsi="Palatino Linotype" w:cs="Palatino Linotype"/>
          <w:b/>
          <w:sz w:val="22"/>
          <w:szCs w:val="22"/>
        </w:rPr>
        <w:t xml:space="preserve">: </w:t>
      </w:r>
      <w:r w:rsidR="00F067E2" w:rsidRPr="00A57D42">
        <w:rPr>
          <w:rFonts w:ascii="Palatino Linotype" w:eastAsia="Palatino Linotype" w:hAnsi="Palatino Linotype" w:cs="Palatino Linotype"/>
          <w:sz w:val="22"/>
          <w:szCs w:val="22"/>
        </w:rPr>
        <w:t>Oficio suscrito por el Oficial Mayor, mediante el cual refiere que los certificados de competencia laboral de los Titulares de las Unidades Administrativas contienen datos personales, por lo que solicita que el Comité de Transparencia confirme la clasificación de los mismos y se emitan las versiones públicas.</w:t>
      </w:r>
    </w:p>
    <w:p w14:paraId="22C16557" w14:textId="03B82C40" w:rsidR="00E66014" w:rsidRPr="00A57D42" w:rsidRDefault="00E66014" w:rsidP="008414EE">
      <w:pPr>
        <w:pStyle w:val="Prrafodelista"/>
        <w:widowControl w:val="0"/>
        <w:numPr>
          <w:ilvl w:val="0"/>
          <w:numId w:val="7"/>
        </w:numPr>
        <w:spacing w:line="360" w:lineRule="auto"/>
        <w:ind w:left="709" w:hanging="283"/>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00082-OIC.PDF</w:t>
      </w:r>
      <w:r w:rsidR="00F067E2" w:rsidRPr="00A57D42">
        <w:rPr>
          <w:rFonts w:ascii="Palatino Linotype" w:eastAsia="Palatino Linotype" w:hAnsi="Palatino Linotype" w:cs="Palatino Linotype"/>
          <w:b/>
          <w:sz w:val="22"/>
          <w:szCs w:val="22"/>
        </w:rPr>
        <w:t xml:space="preserve">: </w:t>
      </w:r>
      <w:r w:rsidR="005C5472" w:rsidRPr="00A57D42">
        <w:rPr>
          <w:rFonts w:ascii="Palatino Linotype" w:eastAsia="Palatino Linotype" w:hAnsi="Palatino Linotype" w:cs="Palatino Linotype"/>
          <w:sz w:val="22"/>
          <w:szCs w:val="22"/>
        </w:rPr>
        <w:t xml:space="preserve">Oficio </w:t>
      </w:r>
      <w:r w:rsidR="001A48B6" w:rsidRPr="00A57D42">
        <w:rPr>
          <w:rFonts w:ascii="Palatino Linotype" w:eastAsia="Palatino Linotype" w:hAnsi="Palatino Linotype" w:cs="Palatino Linotype"/>
          <w:sz w:val="22"/>
          <w:szCs w:val="22"/>
        </w:rPr>
        <w:t xml:space="preserve">suscrito por el Titular del Órgano Interno de Control mediante el cual refiere que la información relacionada </w:t>
      </w:r>
      <w:r w:rsidR="00FB3C4B" w:rsidRPr="00A57D42">
        <w:rPr>
          <w:rFonts w:ascii="Palatino Linotype" w:eastAsia="Palatino Linotype" w:hAnsi="Palatino Linotype" w:cs="Palatino Linotype"/>
          <w:sz w:val="22"/>
          <w:szCs w:val="22"/>
        </w:rPr>
        <w:t>con el</w:t>
      </w:r>
      <w:r w:rsidR="005A0E7B" w:rsidRPr="00A57D42">
        <w:rPr>
          <w:rFonts w:ascii="Palatino Linotype" w:eastAsia="Palatino Linotype" w:hAnsi="Palatino Linotype" w:cs="Palatino Linotype"/>
          <w:sz w:val="22"/>
          <w:szCs w:val="22"/>
        </w:rPr>
        <w:t xml:space="preserve"> registro de denuncias quejas o denuncias contienen el nombre del servidor público y datos personales del quejoso por lo que este Sujeto Obligado sólo puede proporcionar la información de procedimientos concluidos. </w:t>
      </w:r>
      <w:r w:rsidR="00F270BF" w:rsidRPr="00A57D42">
        <w:rPr>
          <w:rFonts w:ascii="Palatino Linotype" w:eastAsia="Palatino Linotype" w:hAnsi="Palatino Linotype" w:cs="Palatino Linotype"/>
          <w:sz w:val="22"/>
          <w:szCs w:val="22"/>
        </w:rPr>
        <w:t>Asimismo, refiere que hasta el momento no se cuenta con procedimientos concluidos sobre presuntos abusos de autoridad, uso indebido de funciones, actos arbitrarios o decisiones ilegales ya que se encuentran en trámite.</w:t>
      </w:r>
    </w:p>
    <w:p w14:paraId="705970C7" w14:textId="77777777" w:rsidR="00E66014" w:rsidRPr="00A57D42" w:rsidRDefault="00E66014" w:rsidP="00E66014">
      <w:pPr>
        <w:pStyle w:val="Prrafodelista"/>
        <w:widowControl w:val="0"/>
        <w:spacing w:line="360" w:lineRule="auto"/>
        <w:ind w:left="709"/>
        <w:jc w:val="both"/>
        <w:rPr>
          <w:rFonts w:ascii="Palatino Linotype" w:eastAsia="Palatino Linotype" w:hAnsi="Palatino Linotype" w:cs="Palatino Linotype"/>
          <w:b/>
          <w:sz w:val="22"/>
          <w:szCs w:val="22"/>
        </w:rPr>
      </w:pPr>
    </w:p>
    <w:p w14:paraId="4DA0D391" w14:textId="1F1045BD"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3. Del Recurso de Revisión. </w:t>
      </w:r>
      <w:r w:rsidRPr="00A57D42">
        <w:rPr>
          <w:rFonts w:ascii="Palatino Linotype" w:eastAsia="Palatino Linotype" w:hAnsi="Palatino Linotype" w:cs="Palatino Linotype"/>
          <w:sz w:val="22"/>
          <w:szCs w:val="22"/>
        </w:rPr>
        <w:t>Inconforme con la respuesta del</w:t>
      </w:r>
      <w:r w:rsidRPr="00A57D42">
        <w:rPr>
          <w:rFonts w:ascii="Palatino Linotype" w:eastAsia="Palatino Linotype" w:hAnsi="Palatino Linotype" w:cs="Palatino Linotype"/>
          <w:b/>
          <w:sz w:val="22"/>
          <w:szCs w:val="22"/>
        </w:rPr>
        <w:t xml:space="preserve"> SUJETO OBLIGADO, </w:t>
      </w:r>
      <w:r w:rsidRPr="00A57D42">
        <w:rPr>
          <w:rFonts w:ascii="Palatino Linotype" w:eastAsia="Palatino Linotype" w:hAnsi="Palatino Linotype" w:cs="Palatino Linotype"/>
          <w:sz w:val="22"/>
          <w:szCs w:val="22"/>
        </w:rPr>
        <w:t xml:space="preserve">el </w:t>
      </w:r>
      <w:r w:rsidR="00A27CA5" w:rsidRPr="00A57D42">
        <w:rPr>
          <w:rFonts w:ascii="Palatino Linotype" w:eastAsia="Palatino Linotype" w:hAnsi="Palatino Linotype" w:cs="Palatino Linotype"/>
          <w:b/>
          <w:sz w:val="22"/>
          <w:szCs w:val="22"/>
        </w:rPr>
        <w:t>d</w:t>
      </w:r>
      <w:r w:rsidR="00F270BF" w:rsidRPr="00A57D42">
        <w:rPr>
          <w:rFonts w:ascii="Palatino Linotype" w:eastAsia="Palatino Linotype" w:hAnsi="Palatino Linotype" w:cs="Palatino Linotype"/>
          <w:b/>
          <w:sz w:val="22"/>
          <w:szCs w:val="22"/>
        </w:rPr>
        <w:t>o</w:t>
      </w:r>
      <w:r w:rsidR="00515D25" w:rsidRPr="00A57D42">
        <w:rPr>
          <w:rFonts w:ascii="Palatino Linotype" w:eastAsia="Palatino Linotype" w:hAnsi="Palatino Linotype" w:cs="Palatino Linotype"/>
          <w:b/>
          <w:sz w:val="22"/>
          <w:szCs w:val="22"/>
        </w:rPr>
        <w:t>ce</w:t>
      </w:r>
      <w:r w:rsidR="005B4F46" w:rsidRPr="00A57D42">
        <w:rPr>
          <w:rFonts w:ascii="Palatino Linotype" w:eastAsia="Palatino Linotype" w:hAnsi="Palatino Linotype" w:cs="Palatino Linotype"/>
          <w:b/>
          <w:sz w:val="22"/>
          <w:szCs w:val="22"/>
        </w:rPr>
        <w:t xml:space="preserve"> </w:t>
      </w:r>
      <w:r w:rsidRPr="00A57D42">
        <w:rPr>
          <w:rFonts w:ascii="Palatino Linotype" w:eastAsia="Palatino Linotype" w:hAnsi="Palatino Linotype" w:cs="Palatino Linotype"/>
          <w:sz w:val="22"/>
          <w:szCs w:val="22"/>
        </w:rPr>
        <w:t>d</w:t>
      </w:r>
      <w:r w:rsidRPr="00A57D42">
        <w:rPr>
          <w:rFonts w:ascii="Palatino Linotype" w:eastAsia="Palatino Linotype" w:hAnsi="Palatino Linotype" w:cs="Palatino Linotype"/>
          <w:b/>
          <w:sz w:val="22"/>
          <w:szCs w:val="22"/>
        </w:rPr>
        <w:t xml:space="preserve">e </w:t>
      </w:r>
      <w:r w:rsidR="00F270BF" w:rsidRPr="00A57D42">
        <w:rPr>
          <w:rFonts w:ascii="Palatino Linotype" w:eastAsia="Palatino Linotype" w:hAnsi="Palatino Linotype" w:cs="Palatino Linotype"/>
          <w:b/>
          <w:sz w:val="22"/>
          <w:szCs w:val="22"/>
        </w:rPr>
        <w:t>agosto</w:t>
      </w:r>
      <w:r w:rsidRPr="00A57D42">
        <w:rPr>
          <w:rFonts w:ascii="Palatino Linotype" w:eastAsia="Palatino Linotype" w:hAnsi="Palatino Linotype" w:cs="Palatino Linotype"/>
          <w:b/>
          <w:sz w:val="22"/>
          <w:szCs w:val="22"/>
        </w:rPr>
        <w:t xml:space="preserve"> de dos mil veinticinco, LA PARTE RECURRENTE </w:t>
      </w:r>
      <w:r w:rsidRPr="00A57D42">
        <w:rPr>
          <w:rFonts w:ascii="Palatino Linotype" w:eastAsia="Palatino Linotype" w:hAnsi="Palatino Linotype" w:cs="Palatino Linotype"/>
          <w:sz w:val="22"/>
          <w:szCs w:val="22"/>
        </w:rPr>
        <w:t>interpuso el recurso de revisión</w:t>
      </w:r>
      <w:r w:rsidR="00A06A0C"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sz w:val="22"/>
          <w:szCs w:val="22"/>
        </w:rPr>
        <w:t xml:space="preserve">mediante el cual y manifestó lo siguiente: </w:t>
      </w:r>
    </w:p>
    <w:p w14:paraId="36671519" w14:textId="3273CBA7" w:rsidR="00C877F6" w:rsidRPr="00A57D42" w:rsidRDefault="00F36565" w:rsidP="00F270BF">
      <w:pPr>
        <w:pStyle w:val="Listaconvietas3"/>
        <w:rPr>
          <w:rFonts w:ascii="Palatino Linotype" w:eastAsia="Palatino Linotype" w:hAnsi="Palatino Linotype"/>
          <w:sz w:val="22"/>
          <w:szCs w:val="22"/>
        </w:rPr>
      </w:pPr>
      <w:r w:rsidRPr="00A57D42">
        <w:rPr>
          <w:rFonts w:ascii="Palatino Linotype" w:eastAsia="Palatino Linotype" w:hAnsi="Palatino Linotype"/>
          <w:b/>
          <w:sz w:val="22"/>
          <w:szCs w:val="22"/>
        </w:rPr>
        <w:t>Acto Impugnado:</w:t>
      </w:r>
      <w:r w:rsidRPr="00A57D42">
        <w:rPr>
          <w:rFonts w:ascii="Palatino Linotype" w:eastAsia="Palatino Linotype" w:hAnsi="Palatino Linotype"/>
          <w:sz w:val="22"/>
          <w:szCs w:val="22"/>
        </w:rPr>
        <w:t xml:space="preserve"> “</w:t>
      </w:r>
      <w:r w:rsidR="00F270BF" w:rsidRPr="00A57D42">
        <w:rPr>
          <w:rFonts w:ascii="Palatino Linotype" w:eastAsia="Palatino Linotype" w:hAnsi="Palatino Linotype" w:cs="Palatino Linotype"/>
          <w:i/>
          <w:sz w:val="22"/>
          <w:szCs w:val="22"/>
        </w:rPr>
        <w:t>La respuesta</w:t>
      </w:r>
      <w:r w:rsidRPr="00A57D42">
        <w:rPr>
          <w:rFonts w:ascii="Palatino Linotype" w:eastAsia="Palatino Linotype" w:hAnsi="Palatino Linotype"/>
          <w:sz w:val="22"/>
          <w:szCs w:val="22"/>
        </w:rPr>
        <w:t>” (Sic.)</w:t>
      </w:r>
    </w:p>
    <w:p w14:paraId="2BA13102" w14:textId="77777777" w:rsidR="00C877F6" w:rsidRPr="00A57D42" w:rsidRDefault="00C877F6" w:rsidP="00F45A48">
      <w:pPr>
        <w:pBdr>
          <w:top w:val="nil"/>
          <w:left w:val="nil"/>
          <w:bottom w:val="nil"/>
          <w:right w:val="nil"/>
          <w:between w:val="nil"/>
        </w:pBdr>
        <w:spacing w:line="276" w:lineRule="auto"/>
        <w:ind w:left="720" w:right="560"/>
        <w:jc w:val="both"/>
        <w:rPr>
          <w:rFonts w:ascii="Palatino Linotype" w:eastAsia="Palatino Linotype" w:hAnsi="Palatino Linotype" w:cs="Palatino Linotype"/>
          <w:i/>
          <w:sz w:val="22"/>
          <w:szCs w:val="22"/>
        </w:rPr>
      </w:pPr>
    </w:p>
    <w:p w14:paraId="61E1D3CB" w14:textId="26CD52AA" w:rsidR="00C877F6" w:rsidRPr="00A57D42" w:rsidRDefault="00F36565" w:rsidP="00F270BF">
      <w:pPr>
        <w:pStyle w:val="Listaconvietas3"/>
        <w:rPr>
          <w:rFonts w:ascii="Palatino Linotype" w:eastAsia="Palatino Linotype" w:hAnsi="Palatino Linotype"/>
          <w:sz w:val="22"/>
          <w:szCs w:val="22"/>
        </w:rPr>
      </w:pPr>
      <w:r w:rsidRPr="00A57D42">
        <w:rPr>
          <w:rFonts w:ascii="Palatino Linotype" w:eastAsia="Palatino Linotype" w:hAnsi="Palatino Linotype"/>
          <w:b/>
          <w:sz w:val="22"/>
          <w:szCs w:val="22"/>
        </w:rPr>
        <w:t>Motivo de inconformidad:</w:t>
      </w:r>
      <w:r w:rsidRPr="00A57D42">
        <w:rPr>
          <w:rFonts w:ascii="Palatino Linotype" w:eastAsia="Palatino Linotype" w:hAnsi="Palatino Linotype"/>
          <w:sz w:val="22"/>
          <w:szCs w:val="22"/>
        </w:rPr>
        <w:t xml:space="preserve"> “</w:t>
      </w:r>
      <w:r w:rsidR="00F270BF" w:rsidRPr="00A57D42">
        <w:rPr>
          <w:rFonts w:ascii="Palatino Linotype" w:eastAsia="Palatino Linotype" w:hAnsi="Palatino Linotype" w:cs="Palatino Linotype"/>
          <w:i/>
          <w:sz w:val="22"/>
          <w:szCs w:val="22"/>
        </w:rPr>
        <w:t>Información incompleta.</w:t>
      </w:r>
      <w:r w:rsidRPr="00A57D42">
        <w:rPr>
          <w:rFonts w:ascii="Palatino Linotype" w:eastAsia="Palatino Linotype" w:hAnsi="Palatino Linotype"/>
          <w:sz w:val="22"/>
          <w:szCs w:val="22"/>
        </w:rPr>
        <w:t>” (Sic.)</w:t>
      </w:r>
    </w:p>
    <w:p w14:paraId="5FFC28A4" w14:textId="77777777" w:rsidR="00422637" w:rsidRPr="00A57D42" w:rsidRDefault="00422637" w:rsidP="00F45A48">
      <w:pPr>
        <w:pStyle w:val="Prrafodelista"/>
        <w:rPr>
          <w:rFonts w:ascii="Palatino Linotype" w:eastAsia="Palatino Linotype" w:hAnsi="Palatino Linotype" w:cs="Palatino Linotype"/>
          <w:i/>
          <w:sz w:val="22"/>
          <w:szCs w:val="22"/>
        </w:rPr>
      </w:pPr>
    </w:p>
    <w:p w14:paraId="2F870A2F" w14:textId="77777777" w:rsidR="00C877F6" w:rsidRPr="00A57D42" w:rsidRDefault="00C877F6" w:rsidP="00F45A48">
      <w:pPr>
        <w:pBdr>
          <w:top w:val="nil"/>
          <w:left w:val="nil"/>
          <w:bottom w:val="nil"/>
          <w:right w:val="nil"/>
          <w:between w:val="nil"/>
        </w:pBdr>
        <w:ind w:left="720"/>
        <w:rPr>
          <w:rFonts w:ascii="Palatino Linotype" w:eastAsia="Palatino Linotype" w:hAnsi="Palatino Linotype" w:cs="Palatino Linotype"/>
          <w:i/>
          <w:sz w:val="22"/>
          <w:szCs w:val="22"/>
        </w:rPr>
      </w:pPr>
    </w:p>
    <w:p w14:paraId="6A9E7514" w14:textId="398961A0"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4. Turno. </w:t>
      </w:r>
      <w:r w:rsidRPr="00A57D42">
        <w:rPr>
          <w:rFonts w:ascii="Palatino Linotype" w:eastAsia="Palatino Linotype" w:hAnsi="Palatino Linotype" w:cs="Palatino Linotype"/>
          <w:sz w:val="22"/>
          <w:szCs w:val="22"/>
        </w:rPr>
        <w:t xml:space="preserve">De conformidad con el artículo 185, fracción I de la Ley de Transparencia y Acceso a la Información Pública del Estado de México y Municipios, el recurso de revisión número </w:t>
      </w:r>
      <w:r w:rsidR="00E66014" w:rsidRPr="00A57D42">
        <w:rPr>
          <w:rFonts w:ascii="Palatino Linotype" w:eastAsia="Palatino Linotype" w:hAnsi="Palatino Linotype" w:cs="Palatino Linotype"/>
          <w:b/>
          <w:sz w:val="22"/>
          <w:szCs w:val="22"/>
        </w:rPr>
        <w:t>09444/INFOEM/IP/RR/2025</w:t>
      </w:r>
      <w:r w:rsidRPr="00A57D42">
        <w:rPr>
          <w:rFonts w:ascii="Palatino Linotype" w:eastAsia="Palatino Linotype" w:hAnsi="Palatino Linotype" w:cs="Palatino Linotype"/>
          <w:sz w:val="22"/>
          <w:szCs w:val="22"/>
        </w:rPr>
        <w:t xml:space="preserve">, se turnó por el sistema electrónico del Instituto de Transparencia, Acceso a la Información Pública y Protección de Datos Personales del Estado de México y Municipios, a la Comisionada </w:t>
      </w:r>
      <w:r w:rsidRPr="00A57D42">
        <w:rPr>
          <w:rFonts w:ascii="Palatino Linotype" w:eastAsia="Palatino Linotype" w:hAnsi="Palatino Linotype" w:cs="Palatino Linotype"/>
          <w:b/>
          <w:sz w:val="22"/>
          <w:szCs w:val="22"/>
        </w:rPr>
        <w:t>Guadalupe Ramírez Peña</w:t>
      </w:r>
      <w:r w:rsidRPr="00A57D42">
        <w:rPr>
          <w:rFonts w:ascii="Palatino Linotype" w:eastAsia="Palatino Linotype" w:hAnsi="Palatino Linotype" w:cs="Palatino Linotype"/>
          <w:sz w:val="22"/>
          <w:szCs w:val="22"/>
        </w:rPr>
        <w:t>, para su análisis, estudio, elaboración del proyecto y presentación ante el Pleno de este Instituto.</w:t>
      </w:r>
    </w:p>
    <w:p w14:paraId="5BFE6F75"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4B06CA9F" w14:textId="6A6C5D15" w:rsidR="00C877F6" w:rsidRPr="00A57D42" w:rsidRDefault="00F36565" w:rsidP="00F45A48">
      <w:pPr>
        <w:spacing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5. Admisión. </w:t>
      </w:r>
      <w:r w:rsidRPr="00A57D42">
        <w:rPr>
          <w:rFonts w:ascii="Palatino Linotype" w:eastAsia="Palatino Linotype" w:hAnsi="Palatino Linotype" w:cs="Palatino Linotype"/>
          <w:sz w:val="22"/>
          <w:szCs w:val="22"/>
        </w:rPr>
        <w:t xml:space="preserve">El </w:t>
      </w:r>
      <w:r w:rsidR="00F270BF" w:rsidRPr="00A57D42">
        <w:rPr>
          <w:rFonts w:ascii="Palatino Linotype" w:eastAsia="Palatino Linotype" w:hAnsi="Palatino Linotype" w:cs="Palatino Linotype"/>
          <w:b/>
          <w:sz w:val="22"/>
          <w:szCs w:val="22"/>
        </w:rPr>
        <w:t>quince</w:t>
      </w:r>
      <w:r w:rsidR="00E9121D" w:rsidRPr="00A57D42">
        <w:rPr>
          <w:rFonts w:ascii="Palatino Linotype" w:eastAsia="Palatino Linotype" w:hAnsi="Palatino Linotype" w:cs="Palatino Linotype"/>
          <w:b/>
          <w:sz w:val="22"/>
          <w:szCs w:val="22"/>
        </w:rPr>
        <w:t xml:space="preserve"> de </w:t>
      </w:r>
      <w:r w:rsidR="00F270BF" w:rsidRPr="00A57D42">
        <w:rPr>
          <w:rFonts w:ascii="Palatino Linotype" w:eastAsia="Palatino Linotype" w:hAnsi="Palatino Linotype" w:cs="Palatino Linotype"/>
          <w:b/>
          <w:sz w:val="22"/>
          <w:szCs w:val="22"/>
        </w:rPr>
        <w:t>agosto</w:t>
      </w:r>
      <w:r w:rsidRPr="00A57D42">
        <w:rPr>
          <w:rFonts w:ascii="Palatino Linotype" w:eastAsia="Palatino Linotype" w:hAnsi="Palatino Linotype" w:cs="Palatino Linotype"/>
          <w:b/>
          <w:sz w:val="22"/>
          <w:szCs w:val="22"/>
        </w:rPr>
        <w:t xml:space="preserve"> de dos mil veinticinco</w:t>
      </w:r>
      <w:r w:rsidRPr="00A57D42">
        <w:rPr>
          <w:rFonts w:ascii="Palatino Linotype" w:eastAsia="Palatino Linotype" w:hAnsi="Palatino Linotype" w:cs="Palatino Linotype"/>
          <w:sz w:val="22"/>
          <w:szCs w:val="22"/>
        </w:rPr>
        <w:t>, en términos de lo dispuesto en el artículo 185 fracciones I, II y IV de la Ley de Transparencia y Acceso a la Información Pública del Estado de México y Municipios, se admitió a trámite el recurso de revisión</w:t>
      </w:r>
      <w:r w:rsidRPr="00A57D42">
        <w:rPr>
          <w:rFonts w:ascii="Palatino Linotype" w:eastAsia="Palatino Linotype" w:hAnsi="Palatino Linotype" w:cs="Palatino Linotype"/>
          <w:b/>
          <w:sz w:val="22"/>
          <w:szCs w:val="22"/>
        </w:rPr>
        <w:t>.</w:t>
      </w:r>
      <w:r w:rsidR="005A668A" w:rsidRPr="00A57D42">
        <w:rPr>
          <w:rFonts w:ascii="Palatino Linotype" w:eastAsia="Palatino Linotype" w:hAnsi="Palatino Linotype" w:cs="Palatino Linotype"/>
          <w:b/>
          <w:sz w:val="22"/>
          <w:szCs w:val="22"/>
        </w:rPr>
        <w:t xml:space="preserve"> </w:t>
      </w:r>
    </w:p>
    <w:p w14:paraId="5E981DE9" w14:textId="77777777" w:rsidR="00C877F6" w:rsidRPr="00A57D42" w:rsidRDefault="00C877F6" w:rsidP="00F45A48">
      <w:pPr>
        <w:spacing w:line="360" w:lineRule="auto"/>
        <w:jc w:val="both"/>
        <w:rPr>
          <w:rFonts w:ascii="Palatino Linotype" w:eastAsia="Palatino Linotype" w:hAnsi="Palatino Linotype" w:cs="Palatino Linotype"/>
          <w:b/>
          <w:sz w:val="22"/>
          <w:szCs w:val="22"/>
        </w:rPr>
      </w:pPr>
    </w:p>
    <w:p w14:paraId="6CD43E6C" w14:textId="0A9C87BD" w:rsidR="00F270BF"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6. Manifestaciones.</w:t>
      </w:r>
      <w:r w:rsidRPr="00A57D42">
        <w:rPr>
          <w:rFonts w:ascii="Palatino Linotype" w:eastAsia="Palatino Linotype" w:hAnsi="Palatino Linotype" w:cs="Palatino Linotype"/>
          <w:sz w:val="22"/>
          <w:szCs w:val="22"/>
        </w:rPr>
        <w:t xml:space="preserve"> De las constancias que obran en el expediente electrónico del SAIMEX, se advierte que el Sujeto Obligado rindió su informe justificado, el </w:t>
      </w:r>
      <w:r w:rsidR="00AF6DAF" w:rsidRPr="00A57D42">
        <w:rPr>
          <w:rFonts w:ascii="Palatino Linotype" w:eastAsia="Palatino Linotype" w:hAnsi="Palatino Linotype" w:cs="Palatino Linotype"/>
          <w:b/>
          <w:sz w:val="22"/>
          <w:szCs w:val="22"/>
        </w:rPr>
        <w:t>veint</w:t>
      </w:r>
      <w:r w:rsidR="00A27CA5" w:rsidRPr="00A57D42">
        <w:rPr>
          <w:rFonts w:ascii="Palatino Linotype" w:eastAsia="Palatino Linotype" w:hAnsi="Palatino Linotype" w:cs="Palatino Linotype"/>
          <w:b/>
          <w:sz w:val="22"/>
          <w:szCs w:val="22"/>
        </w:rPr>
        <w:t>ic</w:t>
      </w:r>
      <w:r w:rsidR="00F270BF" w:rsidRPr="00A57D42">
        <w:rPr>
          <w:rFonts w:ascii="Palatino Linotype" w:eastAsia="Palatino Linotype" w:hAnsi="Palatino Linotype" w:cs="Palatino Linotype"/>
          <w:b/>
          <w:sz w:val="22"/>
          <w:szCs w:val="22"/>
        </w:rPr>
        <w:t>inco</w:t>
      </w:r>
      <w:r w:rsidR="00631C21" w:rsidRPr="00A57D42">
        <w:rPr>
          <w:rFonts w:ascii="Palatino Linotype" w:eastAsia="Palatino Linotype" w:hAnsi="Palatino Linotype" w:cs="Palatino Linotype"/>
          <w:sz w:val="22"/>
          <w:szCs w:val="22"/>
        </w:rPr>
        <w:t xml:space="preserve"> </w:t>
      </w:r>
      <w:r w:rsidR="00F94226" w:rsidRPr="00A57D42">
        <w:rPr>
          <w:rFonts w:ascii="Palatino Linotype" w:eastAsia="Palatino Linotype" w:hAnsi="Palatino Linotype" w:cs="Palatino Linotype"/>
          <w:b/>
          <w:sz w:val="22"/>
          <w:szCs w:val="22"/>
        </w:rPr>
        <w:t xml:space="preserve">de </w:t>
      </w:r>
      <w:r w:rsidR="00631C21" w:rsidRPr="00A57D42">
        <w:rPr>
          <w:rFonts w:ascii="Palatino Linotype" w:eastAsia="Palatino Linotype" w:hAnsi="Palatino Linotype" w:cs="Palatino Linotype"/>
          <w:b/>
          <w:sz w:val="22"/>
          <w:szCs w:val="22"/>
        </w:rPr>
        <w:t>agosto</w:t>
      </w:r>
      <w:r w:rsidR="007861D5" w:rsidRPr="00A57D42">
        <w:rPr>
          <w:rFonts w:ascii="Palatino Linotype" w:eastAsia="Palatino Linotype" w:hAnsi="Palatino Linotype" w:cs="Palatino Linotype"/>
          <w:sz w:val="22"/>
          <w:szCs w:val="22"/>
        </w:rPr>
        <w:t xml:space="preserve"> </w:t>
      </w:r>
      <w:r w:rsidR="00E111DF" w:rsidRPr="00A57D42">
        <w:rPr>
          <w:rFonts w:ascii="Palatino Linotype" w:eastAsia="Palatino Linotype" w:hAnsi="Palatino Linotype" w:cs="Palatino Linotype"/>
          <w:b/>
          <w:sz w:val="22"/>
          <w:szCs w:val="22"/>
        </w:rPr>
        <w:t>de</w:t>
      </w:r>
      <w:r w:rsidRPr="00A57D42">
        <w:rPr>
          <w:rFonts w:ascii="Palatino Linotype" w:eastAsia="Palatino Linotype" w:hAnsi="Palatino Linotype" w:cs="Palatino Linotype"/>
          <w:b/>
          <w:sz w:val="22"/>
          <w:szCs w:val="22"/>
        </w:rPr>
        <w:t xml:space="preserve"> dos mil veinticinco,</w:t>
      </w:r>
      <w:r w:rsidRPr="00A57D42">
        <w:rPr>
          <w:rFonts w:ascii="Palatino Linotype" w:eastAsia="Palatino Linotype" w:hAnsi="Palatino Linotype" w:cs="Palatino Linotype"/>
          <w:sz w:val="22"/>
          <w:szCs w:val="22"/>
        </w:rPr>
        <w:t xml:space="preserve"> a través del </w:t>
      </w:r>
      <w:r w:rsidR="00A27CA5" w:rsidRPr="00A57D42">
        <w:rPr>
          <w:rFonts w:ascii="Palatino Linotype" w:eastAsia="Palatino Linotype" w:hAnsi="Palatino Linotype" w:cs="Palatino Linotype"/>
          <w:sz w:val="22"/>
          <w:szCs w:val="22"/>
        </w:rPr>
        <w:t xml:space="preserve">cual </w:t>
      </w:r>
      <w:r w:rsidR="00F270BF" w:rsidRPr="00A57D42">
        <w:rPr>
          <w:rFonts w:ascii="Palatino Linotype" w:eastAsia="Palatino Linotype" w:hAnsi="Palatino Linotype" w:cs="Palatino Linotype"/>
          <w:sz w:val="22"/>
          <w:szCs w:val="22"/>
        </w:rPr>
        <w:t>ratifica la respuesta inicial y, además, adjunta los acuerdos certificados de cabildo de enero al treinta de junio de dos mil veinticinco, aprobados y publicados en la Gaceta de Gobierno.</w:t>
      </w:r>
      <w:r w:rsidR="0059298C" w:rsidRPr="00A57D42">
        <w:rPr>
          <w:rFonts w:ascii="Palatino Linotype" w:eastAsia="Palatino Linotype" w:hAnsi="Palatino Linotype" w:cs="Palatino Linotype"/>
          <w:sz w:val="22"/>
          <w:szCs w:val="22"/>
        </w:rPr>
        <w:t xml:space="preserve"> </w:t>
      </w:r>
      <w:r w:rsidR="0059298C" w:rsidRPr="00A57D42">
        <w:rPr>
          <w:rFonts w:ascii="Palatino Linotype" w:eastAsia="Palatino Linotype" w:hAnsi="Palatino Linotype" w:cs="Palatino Linotype"/>
          <w:b/>
          <w:sz w:val="22"/>
          <w:szCs w:val="22"/>
        </w:rPr>
        <w:t>El informe justificado se puso a disposición del Recurrente el nueve de marzo de dos mil veintiséis.</w:t>
      </w:r>
    </w:p>
    <w:p w14:paraId="2CA70345" w14:textId="77777777" w:rsidR="00F270BF" w:rsidRPr="00A57D42" w:rsidRDefault="00F270BF" w:rsidP="00F45A48">
      <w:pPr>
        <w:spacing w:line="360" w:lineRule="auto"/>
        <w:jc w:val="both"/>
        <w:rPr>
          <w:rFonts w:ascii="Palatino Linotype" w:eastAsia="Palatino Linotype" w:hAnsi="Palatino Linotype" w:cs="Palatino Linotype"/>
          <w:sz w:val="22"/>
          <w:szCs w:val="22"/>
        </w:rPr>
      </w:pPr>
    </w:p>
    <w:p w14:paraId="16288D25" w14:textId="71BBEAA0" w:rsidR="008360A2" w:rsidRPr="00A57D42" w:rsidRDefault="008360A2" w:rsidP="00F45A48">
      <w:p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7. Ampliación de plazo. El </w:t>
      </w:r>
      <w:r w:rsidR="0059298C" w:rsidRPr="00A57D42">
        <w:rPr>
          <w:rFonts w:ascii="Palatino Linotype" w:eastAsia="Palatino Linotype" w:hAnsi="Palatino Linotype" w:cs="Palatino Linotype"/>
          <w:b/>
          <w:sz w:val="22"/>
          <w:szCs w:val="22"/>
        </w:rPr>
        <w:t>nueve</w:t>
      </w:r>
      <w:r w:rsidRPr="00A57D42">
        <w:rPr>
          <w:rFonts w:ascii="Palatino Linotype" w:eastAsia="Palatino Linotype" w:hAnsi="Palatino Linotype" w:cs="Palatino Linotype"/>
          <w:b/>
          <w:sz w:val="22"/>
          <w:szCs w:val="22"/>
        </w:rPr>
        <w:t xml:space="preserve"> de </w:t>
      </w:r>
      <w:r w:rsidR="0059298C" w:rsidRPr="00A57D42">
        <w:rPr>
          <w:rFonts w:ascii="Palatino Linotype" w:eastAsia="Palatino Linotype" w:hAnsi="Palatino Linotype" w:cs="Palatino Linotype"/>
          <w:b/>
          <w:sz w:val="22"/>
          <w:szCs w:val="22"/>
        </w:rPr>
        <w:t>marzo</w:t>
      </w:r>
      <w:r w:rsidRPr="00A57D42">
        <w:rPr>
          <w:rFonts w:ascii="Palatino Linotype" w:eastAsia="Palatino Linotype" w:hAnsi="Palatino Linotype" w:cs="Palatino Linotype"/>
          <w:b/>
          <w:sz w:val="22"/>
          <w:szCs w:val="22"/>
        </w:rPr>
        <w:t xml:space="preserve"> de dos mil veintiséis</w:t>
      </w:r>
      <w:r w:rsidRPr="00A57D42">
        <w:rPr>
          <w:rFonts w:ascii="Palatino Linotype" w:eastAsia="Palatino Linotype" w:hAnsi="Palatino Linotype" w:cs="Palatino Linotype"/>
          <w:sz w:val="22"/>
          <w:szCs w:val="22"/>
        </w:rPr>
        <w:t>, se amplió el término para resolver el recurso de revisión en términos del artículo 181 párrafo tercero de la Ley de Transparencia y Acceso a la Información Pública del Estado de México y Municipios.</w:t>
      </w:r>
    </w:p>
    <w:p w14:paraId="2CBB9434"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Este organismo garante no pasa por alto justificar, que el plazo para emitir la resolución en el presente asunto encuentra justificación en el alto número de recursos de revisión recibidos, circunstancia atípica que ha rebasado las capacidades técnicas y humanas del personal encargado de la proyección de las resoluciones a dichos medios de impugnación.</w:t>
      </w:r>
    </w:p>
    <w:p w14:paraId="33316339"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ello, es menester precisar que si bien se ha excedido el plazo para resolver el presente medio de impugnación, de conformidad con la ley de la materia, el plazo para emitir la resolución se encuentra justificada en los elementos para medir la razonabilidad de asuntos conforme a los parámetros establecidos por diversos órganos jurisdiccionales federales, aplicables también en procedimientos análogos, como el que nos ocupa.</w:t>
      </w:r>
    </w:p>
    <w:p w14:paraId="08B8591D"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233F6FBD"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53AE5859"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Por ello, excepcionalmente, si un asunto es resuelto con posterioridad a los plazos señalados por la norma debe analizarse la razonabilidad del tiempo necesario para su resolución atentos a los siguientes criterios: </w:t>
      </w:r>
    </w:p>
    <w:p w14:paraId="628036BE" w14:textId="77777777" w:rsidR="008360A2" w:rsidRPr="00A57D42" w:rsidRDefault="008360A2" w:rsidP="008414EE">
      <w:pPr>
        <w:numPr>
          <w:ilvl w:val="0"/>
          <w:numId w:val="4"/>
        </w:numPr>
        <w:tabs>
          <w:tab w:val="left" w:pos="993"/>
        </w:tabs>
        <w:spacing w:before="240" w:after="240" w:line="360" w:lineRule="auto"/>
        <w:ind w:left="567" w:right="900" w:firstLine="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Complejidad del Asunto:</w:t>
      </w:r>
      <w:r w:rsidRPr="00A57D42">
        <w:rPr>
          <w:rFonts w:ascii="Palatino Linotype" w:eastAsia="Palatino Linotype" w:hAnsi="Palatino Linotype" w:cs="Palatino Linotype"/>
          <w:sz w:val="22"/>
          <w:szCs w:val="22"/>
        </w:rPr>
        <w:t xml:space="preserve"> La complejidad de la prueba, la pluralidad de sujetos procesales, el tiempo transcurrido, las características y contexto del recurso. </w:t>
      </w:r>
    </w:p>
    <w:p w14:paraId="6BC10876" w14:textId="77777777" w:rsidR="008360A2" w:rsidRPr="00A57D42" w:rsidRDefault="008360A2" w:rsidP="008414EE">
      <w:pPr>
        <w:numPr>
          <w:ilvl w:val="0"/>
          <w:numId w:val="4"/>
        </w:numPr>
        <w:tabs>
          <w:tab w:val="left" w:pos="993"/>
        </w:tabs>
        <w:spacing w:before="240" w:after="240" w:line="360" w:lineRule="auto"/>
        <w:ind w:left="567" w:right="900" w:firstLine="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Actividad Procesal del interesado</w:t>
      </w:r>
      <w:r w:rsidRPr="00A57D42">
        <w:rPr>
          <w:rFonts w:ascii="Palatino Linotype" w:eastAsia="Palatino Linotype" w:hAnsi="Palatino Linotype" w:cs="Palatino Linotype"/>
          <w:sz w:val="22"/>
          <w:szCs w:val="22"/>
        </w:rPr>
        <w:t>. Acciones u omisiones del interesado.</w:t>
      </w:r>
    </w:p>
    <w:p w14:paraId="676E9738" w14:textId="77777777" w:rsidR="008360A2" w:rsidRPr="00A57D42" w:rsidRDefault="008360A2" w:rsidP="008414EE">
      <w:pPr>
        <w:numPr>
          <w:ilvl w:val="0"/>
          <w:numId w:val="4"/>
        </w:numPr>
        <w:tabs>
          <w:tab w:val="left" w:pos="993"/>
        </w:tabs>
        <w:spacing w:before="240" w:after="240" w:line="360" w:lineRule="auto"/>
        <w:ind w:left="567" w:right="900" w:firstLine="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Conducta de la Autoridad:</w:t>
      </w:r>
      <w:r w:rsidRPr="00A57D42">
        <w:rPr>
          <w:rFonts w:ascii="Palatino Linotype" w:eastAsia="Palatino Linotype" w:hAnsi="Palatino Linotype" w:cs="Palatino Linotype"/>
          <w:sz w:val="22"/>
          <w:szCs w:val="22"/>
        </w:rPr>
        <w:t xml:space="preserve"> Las Acciones u omisiones realizadas en el procedimiento. Así como si la autoridad actuó con la debida diligencia.</w:t>
      </w:r>
    </w:p>
    <w:p w14:paraId="18AC1F08" w14:textId="77777777" w:rsidR="008360A2" w:rsidRPr="00A57D42" w:rsidRDefault="008360A2" w:rsidP="008414EE">
      <w:pPr>
        <w:numPr>
          <w:ilvl w:val="0"/>
          <w:numId w:val="4"/>
        </w:numPr>
        <w:tabs>
          <w:tab w:val="left" w:pos="993"/>
        </w:tabs>
        <w:spacing w:before="240" w:after="240" w:line="360" w:lineRule="auto"/>
        <w:ind w:left="567" w:right="900" w:firstLine="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La afectación generada en la situación jurídica de la persona involucrada en el proceso:</w:t>
      </w:r>
      <w:r w:rsidRPr="00A57D42">
        <w:rPr>
          <w:rFonts w:ascii="Palatino Linotype" w:eastAsia="Palatino Linotype" w:hAnsi="Palatino Linotype" w:cs="Palatino Linotype"/>
          <w:sz w:val="22"/>
          <w:szCs w:val="22"/>
        </w:rPr>
        <w:t xml:space="preserve"> Violación a sus derechos humanos.</w:t>
      </w:r>
    </w:p>
    <w:p w14:paraId="1E2F27A9"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12114940"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Argumento que encuentra sustento en la jurisprudencia P./J. 32/92 emitida por el Pleno de la Suprema Corte de Justicia de la Nación de rubro </w:t>
      </w:r>
      <w:r w:rsidRPr="00A57D42">
        <w:rPr>
          <w:rFonts w:ascii="Palatino Linotype" w:eastAsia="Palatino Linotype" w:hAnsi="Palatino Linotype" w:cs="Palatino Linotype"/>
          <w:i/>
          <w:sz w:val="22"/>
          <w:szCs w:val="22"/>
        </w:rPr>
        <w:t>“TÉRMINOS PROCESALES. PARA DETERMINAR SI UN FUNCIONARIO JUDICIAL ACTUÓ INDEBIDAMENTE POR NO RESPETARLOS SE DEBE ATENDER AL PRESUPUESTO QUE CONSIDERÓ EL LEGISLADOR AL FIJARLOS Y LAS CARACTERÍSTICAS DEL CASO.”</w:t>
      </w:r>
      <w:r w:rsidRPr="00A57D42">
        <w:rPr>
          <w:rFonts w:ascii="Palatino Linotype" w:eastAsia="Palatino Linotype" w:hAnsi="Palatino Linotype" w:cs="Palatino Linotype"/>
          <w:sz w:val="22"/>
          <w:szCs w:val="22"/>
        </w:rPr>
        <w:t>, visible en la Gaceta del Seminario Judicial de la Federación con el registro digital 205635.</w:t>
      </w:r>
    </w:p>
    <w:p w14:paraId="3C33E156"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2D5865DA"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Al respecto, también son de considerar los criterios sostenidos por el Cuarto Tribunal Colegiado en Materia Administrativa del Primer Circuito, cuyos rubros y datos de identificación son los siguientes:</w:t>
      </w:r>
    </w:p>
    <w:p w14:paraId="33482C38" w14:textId="77777777" w:rsidR="008360A2" w:rsidRPr="00A57D42" w:rsidRDefault="008360A2" w:rsidP="00F45A48">
      <w:pPr>
        <w:spacing w:before="240" w:after="240" w:line="360" w:lineRule="auto"/>
        <w:ind w:left="851" w:right="90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i/>
          <w:sz w:val="22"/>
          <w:szCs w:val="22"/>
        </w:rPr>
        <w:t>“PLAZO RAZONABLE PARA RESOLVER. DIMENSIÓN Y EFECTOS DE ESTE CONCEPTO CUANDO SE ADUCE EXCESIVA CARGA DE TRABAJO</w:t>
      </w: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sz w:val="22"/>
          <w:szCs w:val="22"/>
        </w:rPr>
        <w:t xml:space="preserve"> consultable en el Seminario Judicial de la Federación y su gaceta, con el registro digital 2002351.</w:t>
      </w:r>
    </w:p>
    <w:p w14:paraId="72D539E1" w14:textId="77777777" w:rsidR="008360A2" w:rsidRPr="00A57D42" w:rsidRDefault="008360A2" w:rsidP="00F45A48">
      <w:pPr>
        <w:spacing w:before="240" w:after="240" w:line="360" w:lineRule="auto"/>
        <w:ind w:left="851" w:right="90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sidRPr="00A57D42">
        <w:rPr>
          <w:rFonts w:ascii="Palatino Linotype" w:eastAsia="Palatino Linotype" w:hAnsi="Palatino Linotype" w:cs="Palatino Linotype"/>
          <w:sz w:val="22"/>
          <w:szCs w:val="22"/>
        </w:rPr>
        <w:t>, visible en el Seminario Judicial de la Federación y su gaceta, con el registro digital 2002350.</w:t>
      </w:r>
    </w:p>
    <w:p w14:paraId="791A6F43" w14:textId="77777777" w:rsidR="008360A2" w:rsidRPr="00A57D42" w:rsidRDefault="008360A2"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ello, este organismo garante comprometido con la tutela de los derechos humanos confiados, señala que este exceso del plazo legal para resolver el presente asunto, resulta de carácter excepcional.</w:t>
      </w:r>
    </w:p>
    <w:p w14:paraId="646D2EDF" w14:textId="59AB6856" w:rsidR="00C877F6" w:rsidRPr="00A57D42" w:rsidRDefault="008360A2" w:rsidP="00F45A48">
      <w:pPr>
        <w:pBdr>
          <w:top w:val="nil"/>
          <w:left w:val="nil"/>
          <w:bottom w:val="nil"/>
          <w:right w:val="nil"/>
          <w:between w:val="nil"/>
        </w:pBd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8</w:t>
      </w:r>
      <w:r w:rsidR="00F36565" w:rsidRPr="00A57D42">
        <w:rPr>
          <w:rFonts w:ascii="Palatino Linotype" w:eastAsia="Palatino Linotype" w:hAnsi="Palatino Linotype" w:cs="Palatino Linotype"/>
          <w:b/>
          <w:sz w:val="22"/>
          <w:szCs w:val="22"/>
        </w:rPr>
        <w:t>. Cierre de instrucción</w:t>
      </w:r>
      <w:r w:rsidR="00F36565" w:rsidRPr="00A57D42">
        <w:rPr>
          <w:rFonts w:ascii="Palatino Linotype" w:eastAsia="Palatino Linotype" w:hAnsi="Palatino Linotype" w:cs="Palatino Linotype"/>
          <w:sz w:val="22"/>
          <w:szCs w:val="22"/>
        </w:rPr>
        <w:t xml:space="preserve">. En fecha </w:t>
      </w:r>
      <w:r w:rsidR="002305A4" w:rsidRPr="00A57D42">
        <w:rPr>
          <w:rFonts w:ascii="Palatino Linotype" w:eastAsia="Palatino Linotype" w:hAnsi="Palatino Linotype" w:cs="Palatino Linotype"/>
          <w:b/>
          <w:sz w:val="22"/>
          <w:szCs w:val="22"/>
        </w:rPr>
        <w:t>diecinueve</w:t>
      </w:r>
      <w:r w:rsidR="00F94226" w:rsidRPr="00A57D42">
        <w:rPr>
          <w:rFonts w:ascii="Palatino Linotype" w:eastAsia="Palatino Linotype" w:hAnsi="Palatino Linotype" w:cs="Palatino Linotype"/>
          <w:sz w:val="22"/>
          <w:szCs w:val="22"/>
        </w:rPr>
        <w:t xml:space="preserve"> </w:t>
      </w:r>
      <w:r w:rsidR="00F36565" w:rsidRPr="00A57D42">
        <w:rPr>
          <w:rFonts w:ascii="Palatino Linotype" w:eastAsia="Palatino Linotype" w:hAnsi="Palatino Linotype" w:cs="Palatino Linotype"/>
          <w:b/>
          <w:sz w:val="22"/>
          <w:szCs w:val="22"/>
        </w:rPr>
        <w:t xml:space="preserve">de </w:t>
      </w:r>
      <w:r w:rsidR="00631C21" w:rsidRPr="00A57D42">
        <w:rPr>
          <w:rFonts w:ascii="Palatino Linotype" w:eastAsia="Palatino Linotype" w:hAnsi="Palatino Linotype" w:cs="Palatino Linotype"/>
          <w:b/>
          <w:sz w:val="22"/>
          <w:szCs w:val="22"/>
        </w:rPr>
        <w:t>marzo</w:t>
      </w:r>
      <w:r w:rsidR="00F36565" w:rsidRPr="00A57D42">
        <w:rPr>
          <w:rFonts w:ascii="Palatino Linotype" w:eastAsia="Palatino Linotype" w:hAnsi="Palatino Linotype" w:cs="Palatino Linotype"/>
          <w:b/>
          <w:sz w:val="22"/>
          <w:szCs w:val="22"/>
        </w:rPr>
        <w:t xml:space="preserve"> de dos mil veinti</w:t>
      </w:r>
      <w:r w:rsidR="00E111DF" w:rsidRPr="00A57D42">
        <w:rPr>
          <w:rFonts w:ascii="Palatino Linotype" w:eastAsia="Palatino Linotype" w:hAnsi="Palatino Linotype" w:cs="Palatino Linotype"/>
          <w:b/>
          <w:sz w:val="22"/>
          <w:szCs w:val="22"/>
        </w:rPr>
        <w:t>séis</w:t>
      </w:r>
      <w:r w:rsidR="00F36565" w:rsidRPr="00A57D42">
        <w:rPr>
          <w:rFonts w:ascii="Palatino Linotype" w:eastAsia="Palatino Linotype" w:hAnsi="Palatino Linotype" w:cs="Palatino Linotype"/>
          <w:sz w:val="22"/>
          <w:szCs w:val="22"/>
        </w:rPr>
        <w:t>, la Comisionada Ponente determinó el cierre de instrucción en términos de la fracción VI del artículo 185 de la Ley de Transparencia y Acceso a la Información Pública del Estado de México y Municipios.</w:t>
      </w:r>
    </w:p>
    <w:p w14:paraId="4BAC11C7" w14:textId="77777777" w:rsidR="00C877F6" w:rsidRPr="00A57D42" w:rsidRDefault="00C877F6" w:rsidP="00F45A48">
      <w:pPr>
        <w:spacing w:line="360" w:lineRule="auto"/>
        <w:ind w:right="49"/>
        <w:jc w:val="both"/>
        <w:rPr>
          <w:rFonts w:ascii="Palatino Linotype" w:eastAsia="Palatino Linotype" w:hAnsi="Palatino Linotype" w:cs="Palatino Linotype"/>
          <w:sz w:val="22"/>
          <w:szCs w:val="22"/>
        </w:rPr>
      </w:pPr>
    </w:p>
    <w:p w14:paraId="2332E74C" w14:textId="1BEBEA7B" w:rsidR="00C877F6" w:rsidRPr="00A57D42" w:rsidRDefault="00F36565" w:rsidP="00F45A48">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Debido a que fue</w:t>
      </w:r>
      <w:r w:rsidR="008D5D61" w:rsidRPr="00A57D42">
        <w:rPr>
          <w:rFonts w:ascii="Palatino Linotype" w:eastAsia="Palatino Linotype" w:hAnsi="Palatino Linotype" w:cs="Palatino Linotype"/>
          <w:sz w:val="22"/>
          <w:szCs w:val="22"/>
        </w:rPr>
        <w:t xml:space="preserve"> debidamente sustanciado</w:t>
      </w:r>
      <w:r w:rsidRPr="00A57D42">
        <w:rPr>
          <w:rFonts w:ascii="Palatino Linotype" w:eastAsia="Palatino Linotype" w:hAnsi="Palatino Linotype" w:cs="Palatino Linotype"/>
          <w:sz w:val="22"/>
          <w:szCs w:val="22"/>
        </w:rPr>
        <w:t xml:space="preserve"> </w:t>
      </w:r>
      <w:r w:rsidR="008D5D61" w:rsidRPr="00A57D42">
        <w:rPr>
          <w:rFonts w:ascii="Palatino Linotype" w:eastAsia="Palatino Linotype" w:hAnsi="Palatino Linotype" w:cs="Palatino Linotype"/>
          <w:sz w:val="22"/>
          <w:szCs w:val="22"/>
        </w:rPr>
        <w:tab/>
        <w:t>el</w:t>
      </w:r>
      <w:r w:rsidRPr="00A57D42">
        <w:rPr>
          <w:rFonts w:ascii="Palatino Linotype" w:eastAsia="Palatino Linotype" w:hAnsi="Palatino Linotype" w:cs="Palatino Linotype"/>
          <w:sz w:val="22"/>
          <w:szCs w:val="22"/>
        </w:rPr>
        <w:t xml:space="preserve"> expediente electrónico y no existe diligencia pendiente de desahogo, se emite la Resolución que conforme a Derecho proceda, de acuerdo con los siguientes: </w:t>
      </w:r>
    </w:p>
    <w:p w14:paraId="76DFC1EA" w14:textId="77777777" w:rsidR="008360A2" w:rsidRPr="00A57D42" w:rsidRDefault="008360A2" w:rsidP="00F45A48">
      <w:pPr>
        <w:spacing w:line="360" w:lineRule="auto"/>
        <w:ind w:right="49"/>
        <w:jc w:val="both"/>
        <w:rPr>
          <w:rFonts w:ascii="Palatino Linotype" w:eastAsia="Palatino Linotype" w:hAnsi="Palatino Linotype" w:cs="Palatino Linotype"/>
          <w:sz w:val="22"/>
          <w:szCs w:val="22"/>
        </w:rPr>
      </w:pPr>
    </w:p>
    <w:p w14:paraId="17694FE8" w14:textId="549072A2" w:rsidR="00C877F6" w:rsidRPr="00A57D42" w:rsidRDefault="00F36565" w:rsidP="00F45A48">
      <w:pPr>
        <w:spacing w:line="360" w:lineRule="auto"/>
        <w:ind w:left="720" w:right="49" w:hanging="720"/>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II.</w:t>
      </w:r>
      <w:r w:rsidRPr="00A57D42">
        <w:rPr>
          <w:rFonts w:ascii="Palatino Linotype" w:eastAsia="Palatino Linotype" w:hAnsi="Palatino Linotype" w:cs="Palatino Linotype"/>
          <w:b/>
          <w:sz w:val="22"/>
          <w:szCs w:val="22"/>
        </w:rPr>
        <w:tab/>
        <w:t>C O N S I D E R A N D O:</w:t>
      </w:r>
      <w:r w:rsidR="00351E01" w:rsidRPr="00A57D42">
        <w:rPr>
          <w:rFonts w:ascii="Palatino Linotype" w:eastAsia="Palatino Linotype" w:hAnsi="Palatino Linotype" w:cs="Palatino Linotype"/>
          <w:b/>
          <w:sz w:val="22"/>
          <w:szCs w:val="22"/>
        </w:rPr>
        <w:t xml:space="preserve"> </w:t>
      </w:r>
    </w:p>
    <w:p w14:paraId="3E2B3FBD" w14:textId="77777777" w:rsidR="00C877F6" w:rsidRPr="00A57D42" w:rsidRDefault="00C877F6" w:rsidP="00F45A48">
      <w:pPr>
        <w:spacing w:line="360" w:lineRule="auto"/>
        <w:ind w:right="49"/>
        <w:jc w:val="both"/>
        <w:rPr>
          <w:rFonts w:ascii="Palatino Linotype" w:eastAsia="Palatino Linotype" w:hAnsi="Palatino Linotype" w:cs="Palatino Linotype"/>
          <w:sz w:val="22"/>
          <w:szCs w:val="22"/>
        </w:rPr>
      </w:pPr>
    </w:p>
    <w:p w14:paraId="1C3901F1"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Primero. Competencia.</w:t>
      </w:r>
      <w:r w:rsidRPr="00A57D42">
        <w:rPr>
          <w:rFonts w:ascii="Palatino Linotype" w:eastAsia="Palatino Linotype" w:hAnsi="Palatino Linotype" w:cs="Palatino Linotype"/>
          <w:sz w:val="22"/>
          <w:szCs w:val="22"/>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cuadragésimo cuarto, cuadragésimo quinto, cuadragésimo sexto, fracciones IV y V de la Constitución Política del Estado Libre y Soberano de México; Transitorio Cuarto, párrafo segundo del Decreto número 198 de la “LXII” Legislatura del Estado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14:paraId="520C2A94" w14:textId="77777777"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Segundo. Oportunidad y Procedibilidad del Recurso de Revisión. </w:t>
      </w:r>
      <w:r w:rsidRPr="00A57D42">
        <w:rPr>
          <w:rFonts w:ascii="Palatino Linotype" w:eastAsia="Palatino Linotype" w:hAnsi="Palatino Linotype" w:cs="Palatino Linotype"/>
          <w:sz w:val="22"/>
          <w:szCs w:val="22"/>
        </w:rPr>
        <w:t>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37CA5A2A" w14:textId="77777777"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Al respecto la Ley de Transparencia y Acceso a la Información Pública del Estado de México y Municipios, establece lo siguiente:</w:t>
      </w:r>
    </w:p>
    <w:p w14:paraId="68F1D466" w14:textId="77777777" w:rsidR="00C877F6" w:rsidRPr="00A57D42" w:rsidRDefault="00F36565" w:rsidP="00F45A48">
      <w:pPr>
        <w:spacing w:line="360" w:lineRule="auto"/>
        <w:ind w:left="851" w:right="900"/>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 xml:space="preserve">“Artículo 178. </w:t>
      </w:r>
      <w:r w:rsidRPr="00A57D42">
        <w:rPr>
          <w:rFonts w:ascii="Palatino Linotype" w:eastAsia="Palatino Linotype" w:hAnsi="Palatino Linotype" w:cs="Palatino Linotype"/>
          <w:i/>
          <w:sz w:val="22"/>
          <w:szCs w:val="22"/>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06E3069" w14:textId="1B92890E" w:rsidR="00C877F6" w:rsidRPr="00A57D42" w:rsidRDefault="00F36565" w:rsidP="00F45A48">
      <w:pPr>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Del precepto legal transcrito, se desprende que cuando los solicitantes de información en el ejercicio del derecho de acceso a la información no se encuentren satisfechos con la información entregada por los sujetos obligados, podrán interponer recurso de revisión de manera directa o por medios electrónicos dentro de los quince días hábiles siguientes a la fecha de notificación de la respuesta, y, toda vez que el </w:t>
      </w:r>
      <w:r w:rsidRPr="00A57D42">
        <w:rPr>
          <w:rFonts w:ascii="Palatino Linotype" w:eastAsia="Palatino Linotype" w:hAnsi="Palatino Linotype" w:cs="Palatino Linotype"/>
          <w:b/>
          <w:sz w:val="22"/>
          <w:szCs w:val="22"/>
        </w:rPr>
        <w:t>SUJETO OBLIGADO</w:t>
      </w:r>
      <w:r w:rsidRPr="00A57D42">
        <w:rPr>
          <w:rFonts w:ascii="Palatino Linotype" w:eastAsia="Palatino Linotype" w:hAnsi="Palatino Linotype" w:cs="Palatino Linotype"/>
          <w:sz w:val="22"/>
          <w:szCs w:val="22"/>
        </w:rPr>
        <w:t xml:space="preserve"> remitió la respuesta a la solicitud de información el día</w:t>
      </w:r>
      <w:r w:rsidR="00E9121D" w:rsidRPr="00A57D42">
        <w:rPr>
          <w:rFonts w:ascii="Palatino Linotype" w:eastAsia="Palatino Linotype" w:hAnsi="Palatino Linotype" w:cs="Palatino Linotype"/>
          <w:sz w:val="22"/>
          <w:szCs w:val="22"/>
        </w:rPr>
        <w:t xml:space="preserve"> </w:t>
      </w:r>
      <w:r w:rsidR="0059298C" w:rsidRPr="00A57D42">
        <w:rPr>
          <w:rFonts w:ascii="Palatino Linotype" w:eastAsia="Palatino Linotype" w:hAnsi="Palatino Linotype" w:cs="Palatino Linotype"/>
          <w:b/>
          <w:sz w:val="22"/>
          <w:szCs w:val="22"/>
        </w:rPr>
        <w:t>once</w:t>
      </w:r>
      <w:r w:rsidR="00E9121D" w:rsidRPr="00A57D42">
        <w:rPr>
          <w:rFonts w:ascii="Palatino Linotype" w:eastAsia="Palatino Linotype" w:hAnsi="Palatino Linotype" w:cs="Palatino Linotype"/>
          <w:b/>
          <w:sz w:val="22"/>
          <w:szCs w:val="22"/>
        </w:rPr>
        <w:t xml:space="preserve"> de </w:t>
      </w:r>
      <w:r w:rsidR="0059298C" w:rsidRPr="00A57D42">
        <w:rPr>
          <w:rFonts w:ascii="Palatino Linotype" w:eastAsia="Palatino Linotype" w:hAnsi="Palatino Linotype" w:cs="Palatino Linotype"/>
          <w:b/>
          <w:sz w:val="22"/>
          <w:szCs w:val="22"/>
        </w:rPr>
        <w:t>julio</w:t>
      </w:r>
      <w:r w:rsidR="00E9121D"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 xml:space="preserve">de dos mil veinticinco, </w:t>
      </w:r>
      <w:r w:rsidRPr="00A57D42">
        <w:rPr>
          <w:rFonts w:ascii="Palatino Linotype" w:eastAsia="Palatino Linotype" w:hAnsi="Palatino Linotype" w:cs="Palatino Linotype"/>
          <w:sz w:val="22"/>
          <w:szCs w:val="22"/>
        </w:rPr>
        <w:t xml:space="preserve">mientras que el recurso de revisión interpuesto por la parte </w:t>
      </w:r>
      <w:r w:rsidRPr="00A57D42">
        <w:rPr>
          <w:rFonts w:ascii="Palatino Linotype" w:eastAsia="Palatino Linotype" w:hAnsi="Palatino Linotype" w:cs="Palatino Linotype"/>
          <w:b/>
          <w:sz w:val="22"/>
          <w:szCs w:val="22"/>
        </w:rPr>
        <w:t>RECURRENTE</w:t>
      </w:r>
      <w:r w:rsidRPr="00A57D42">
        <w:rPr>
          <w:rFonts w:ascii="Palatino Linotype" w:eastAsia="Palatino Linotype" w:hAnsi="Palatino Linotype" w:cs="Palatino Linotype"/>
          <w:sz w:val="22"/>
          <w:szCs w:val="22"/>
        </w:rPr>
        <w:t>, se tuvo por presentado el</w:t>
      </w:r>
      <w:r w:rsidR="00E9121D" w:rsidRPr="00A57D42">
        <w:rPr>
          <w:rFonts w:ascii="Palatino Linotype" w:eastAsia="Palatino Linotype" w:hAnsi="Palatino Linotype" w:cs="Palatino Linotype"/>
          <w:sz w:val="22"/>
          <w:szCs w:val="22"/>
        </w:rPr>
        <w:t xml:space="preserve"> </w:t>
      </w:r>
      <w:r w:rsidR="0059298C" w:rsidRPr="00A57D42">
        <w:rPr>
          <w:rFonts w:ascii="Palatino Linotype" w:eastAsia="Palatino Linotype" w:hAnsi="Palatino Linotype" w:cs="Palatino Linotype"/>
          <w:b/>
          <w:sz w:val="22"/>
          <w:szCs w:val="22"/>
        </w:rPr>
        <w:t>doce</w:t>
      </w:r>
      <w:r w:rsidR="00E9121D" w:rsidRPr="00A57D42">
        <w:rPr>
          <w:rFonts w:ascii="Palatino Linotype" w:eastAsia="Palatino Linotype" w:hAnsi="Palatino Linotype" w:cs="Palatino Linotype"/>
          <w:b/>
          <w:sz w:val="22"/>
          <w:szCs w:val="22"/>
        </w:rPr>
        <w:t xml:space="preserve"> de </w:t>
      </w:r>
      <w:r w:rsidR="0059298C" w:rsidRPr="00A57D42">
        <w:rPr>
          <w:rFonts w:ascii="Palatino Linotype" w:eastAsia="Palatino Linotype" w:hAnsi="Palatino Linotype" w:cs="Palatino Linotype"/>
          <w:b/>
          <w:sz w:val="22"/>
          <w:szCs w:val="22"/>
        </w:rPr>
        <w:t>agosto</w:t>
      </w:r>
      <w:r w:rsidRPr="00A57D42">
        <w:rPr>
          <w:rFonts w:ascii="Palatino Linotype" w:eastAsia="Palatino Linotype" w:hAnsi="Palatino Linotype" w:cs="Palatino Linotype"/>
          <w:b/>
          <w:sz w:val="22"/>
          <w:szCs w:val="22"/>
        </w:rPr>
        <w:t xml:space="preserve"> del año dos mil veinticinco</w:t>
      </w:r>
      <w:r w:rsidRPr="00A57D42">
        <w:rPr>
          <w:rFonts w:ascii="Palatino Linotype" w:eastAsia="Palatino Linotype" w:hAnsi="Palatino Linotype" w:cs="Palatino Linotype"/>
          <w:sz w:val="22"/>
          <w:szCs w:val="22"/>
        </w:rPr>
        <w:t xml:space="preserve">; esto es, al </w:t>
      </w:r>
      <w:r w:rsidR="00E9121D" w:rsidRPr="00A57D42">
        <w:rPr>
          <w:rFonts w:ascii="Palatino Linotype" w:eastAsia="Palatino Linotype" w:hAnsi="Palatino Linotype" w:cs="Palatino Linotype"/>
          <w:b/>
          <w:sz w:val="22"/>
          <w:szCs w:val="22"/>
        </w:rPr>
        <w:t>décimo segundo</w:t>
      </w:r>
      <w:r w:rsidR="00312042"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 xml:space="preserve">día hábil </w:t>
      </w:r>
      <w:r w:rsidRPr="00A57D42">
        <w:rPr>
          <w:rFonts w:ascii="Palatino Linotype" w:eastAsia="Palatino Linotype" w:hAnsi="Palatino Linotype" w:cs="Palatino Linotype"/>
          <w:sz w:val="22"/>
          <w:szCs w:val="22"/>
        </w:rPr>
        <w:t>siguiente al que se tuvo conocimiento de la respuesta respectivamente.</w:t>
      </w:r>
    </w:p>
    <w:p w14:paraId="3E440070" w14:textId="77777777" w:rsidR="00C877F6" w:rsidRPr="00A57D42" w:rsidRDefault="00F36565" w:rsidP="00F45A48">
      <w:pPr>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Así también,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7CD30A84" w14:textId="2E44EFC1"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resulta procedente la interposición del recurso de revisión al rubro anotado, toda vez que se actualiza las hipótesis prevista</w:t>
      </w:r>
      <w:r w:rsidR="00923A7C" w:rsidRPr="00A57D42">
        <w:rPr>
          <w:rFonts w:ascii="Palatino Linotype" w:eastAsia="Palatino Linotype" w:hAnsi="Palatino Linotype" w:cs="Palatino Linotype"/>
          <w:sz w:val="22"/>
          <w:szCs w:val="22"/>
        </w:rPr>
        <w:t xml:space="preserve">s en el artículo 179, fracción </w:t>
      </w:r>
      <w:r w:rsidR="0059298C" w:rsidRPr="00A57D42">
        <w:rPr>
          <w:rFonts w:ascii="Palatino Linotype" w:eastAsia="Palatino Linotype" w:hAnsi="Palatino Linotype" w:cs="Palatino Linotype"/>
          <w:sz w:val="22"/>
          <w:szCs w:val="22"/>
        </w:rPr>
        <w:t>V</w:t>
      </w:r>
      <w:r w:rsidR="00517589"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sz w:val="22"/>
          <w:szCs w:val="22"/>
        </w:rPr>
        <w:t>de la ley de la materia, que a la letra dice:</w:t>
      </w:r>
    </w:p>
    <w:p w14:paraId="47475447" w14:textId="77777777" w:rsidR="00C877F6" w:rsidRPr="00A57D42" w:rsidRDefault="00F36565" w:rsidP="00F45A48">
      <w:pPr>
        <w:spacing w:line="360" w:lineRule="auto"/>
        <w:ind w:left="851" w:right="1041"/>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 xml:space="preserve">Artículo 179. </w:t>
      </w:r>
      <w:r w:rsidRPr="00A57D42">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14:paraId="1678F80B" w14:textId="3EE0E15E" w:rsidR="00C877F6" w:rsidRPr="00A57D42" w:rsidRDefault="00F36565" w:rsidP="00F45A48">
      <w:pPr>
        <w:spacing w:line="360" w:lineRule="auto"/>
        <w:ind w:left="851" w:right="1041"/>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25AE7E34" w14:textId="306F0D78" w:rsidR="0059298C" w:rsidRPr="00A57D42" w:rsidRDefault="0059298C" w:rsidP="00F45A48">
      <w:pPr>
        <w:spacing w:line="360" w:lineRule="auto"/>
        <w:ind w:left="851" w:right="1041"/>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V. La entrega de información incompleta;</w:t>
      </w:r>
    </w:p>
    <w:p w14:paraId="2F6472C9" w14:textId="3918E54A" w:rsidR="0059298C" w:rsidRPr="00A57D42" w:rsidRDefault="0059298C" w:rsidP="00F45A48">
      <w:pPr>
        <w:spacing w:line="360" w:lineRule="auto"/>
        <w:ind w:left="851" w:right="1041"/>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1A2EB9D0" w14:textId="77777777"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Tercero. Materia de la revisión. </w:t>
      </w:r>
      <w:r w:rsidRPr="00A57D42">
        <w:rPr>
          <w:rFonts w:ascii="Palatino Linotype" w:eastAsia="Palatino Linotype" w:hAnsi="Palatino Linotype" w:cs="Palatino Linotype"/>
          <w:sz w:val="22"/>
          <w:szCs w:val="22"/>
        </w:rPr>
        <w:t xml:space="preserve">De la revisión a las constancias y documentos que obran en el expediente electrónico se advierte, que el tema sobre el que este Organismo Garante de Transparencia y Acceso a la Información se pronunciará será: </w:t>
      </w:r>
      <w:r w:rsidRPr="00A57D42">
        <w:rPr>
          <w:rFonts w:ascii="Palatino Linotype" w:eastAsia="Palatino Linotype" w:hAnsi="Palatino Linotype" w:cs="Palatino Linotype"/>
          <w:b/>
          <w:sz w:val="22"/>
          <w:szCs w:val="22"/>
        </w:rPr>
        <w:t xml:space="preserve">verificar si la respuesta otorgada por el Sujeto Obligado es adecuada y suficiente para satisfacer el derecho de acceso a la información pública </w:t>
      </w:r>
      <w:r w:rsidRPr="00A57D42">
        <w:rPr>
          <w:rFonts w:ascii="Palatino Linotype" w:eastAsia="Palatino Linotype" w:hAnsi="Palatino Linotype" w:cs="Palatino Linotype"/>
          <w:sz w:val="22"/>
          <w:szCs w:val="22"/>
        </w:rPr>
        <w:t xml:space="preserve">de la parte </w:t>
      </w:r>
      <w:r w:rsidRPr="00A57D42">
        <w:rPr>
          <w:rFonts w:ascii="Palatino Linotype" w:eastAsia="Palatino Linotype" w:hAnsi="Palatino Linotype" w:cs="Palatino Linotype"/>
          <w:b/>
          <w:sz w:val="22"/>
          <w:szCs w:val="22"/>
        </w:rPr>
        <w:t>Recurrente</w:t>
      </w:r>
      <w:r w:rsidRPr="00A57D42">
        <w:rPr>
          <w:rFonts w:ascii="Palatino Linotype" w:eastAsia="Palatino Linotype" w:hAnsi="Palatino Linotype" w:cs="Palatino Linotype"/>
          <w:sz w:val="22"/>
          <w:szCs w:val="22"/>
        </w:rPr>
        <w:t>, o en su defecto, en caso de ser procedente, ordenar la entrega de información.</w:t>
      </w:r>
    </w:p>
    <w:p w14:paraId="0D9B22BA"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Cuarto. Estudio del asunto. </w:t>
      </w:r>
      <w:r w:rsidRPr="00A57D42">
        <w:rPr>
          <w:rFonts w:ascii="Palatino Linotype" w:eastAsia="Palatino Linotype" w:hAnsi="Palatino Linotype" w:cs="Palatino Linotype"/>
          <w:sz w:val="22"/>
          <w:szCs w:val="22"/>
        </w:rPr>
        <w:t xml:space="preserve">En principio, es conveniente analizar si la respuesta del </w:t>
      </w:r>
      <w:r w:rsidRPr="00A57D42">
        <w:rPr>
          <w:rFonts w:ascii="Palatino Linotype" w:eastAsia="Palatino Linotype" w:hAnsi="Palatino Linotype" w:cs="Palatino Linotype"/>
          <w:b/>
          <w:sz w:val="22"/>
          <w:szCs w:val="22"/>
        </w:rPr>
        <w:t>SUJETO OBLIGADO</w:t>
      </w:r>
      <w:r w:rsidRPr="00A57D42">
        <w:rPr>
          <w:rFonts w:ascii="Palatino Linotype" w:eastAsia="Palatino Linotype" w:hAnsi="Palatino Linotype" w:cs="Palatino Linotype"/>
          <w:sz w:val="22"/>
          <w:szCs w:val="22"/>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14:paraId="138FFBF6"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15C1BD4C" w14:textId="77777777" w:rsidR="00C877F6" w:rsidRPr="00A57D42" w:rsidRDefault="00F36565" w:rsidP="00F45A48">
      <w:pPr>
        <w:spacing w:line="276" w:lineRule="auto"/>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Artículo 4</w:t>
      </w:r>
      <w:r w:rsidRPr="00A57D42">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4487D78A" w14:textId="77777777" w:rsidR="00C877F6" w:rsidRPr="00A57D42" w:rsidRDefault="00F36565" w:rsidP="00F45A48">
      <w:pPr>
        <w:spacing w:line="276" w:lineRule="auto"/>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A57D42">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2A649530" w14:textId="77777777" w:rsidR="00C877F6" w:rsidRPr="00A57D42" w:rsidRDefault="00F36565" w:rsidP="00F45A48">
      <w:pPr>
        <w:spacing w:line="276" w:lineRule="auto"/>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A57D42">
        <w:rPr>
          <w:rFonts w:ascii="Palatino Linotype" w:eastAsia="Palatino Linotype" w:hAnsi="Palatino Linotype" w:cs="Palatino Linotype"/>
          <w:i/>
          <w:sz w:val="22"/>
          <w:szCs w:val="22"/>
        </w:rPr>
        <w:t>.”</w:t>
      </w:r>
    </w:p>
    <w:p w14:paraId="6FBC13EC" w14:textId="77777777" w:rsidR="00C877F6" w:rsidRPr="00A57D42" w:rsidRDefault="00C877F6" w:rsidP="00F45A48">
      <w:pPr>
        <w:spacing w:line="276" w:lineRule="auto"/>
        <w:jc w:val="both"/>
        <w:rPr>
          <w:rFonts w:ascii="Palatino Linotype" w:eastAsia="Palatino Linotype" w:hAnsi="Palatino Linotype" w:cs="Palatino Linotype"/>
          <w:sz w:val="22"/>
          <w:szCs w:val="22"/>
        </w:rPr>
      </w:pPr>
    </w:p>
    <w:p w14:paraId="1D553B80"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14:paraId="69D84D3A"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2A179EF6" w14:textId="77777777" w:rsidR="00C877F6" w:rsidRPr="00A57D42" w:rsidRDefault="00F36565" w:rsidP="00F45A48">
      <w:pPr>
        <w:spacing w:line="276" w:lineRule="auto"/>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“Artículo 12.-</w:t>
      </w:r>
      <w:r w:rsidRPr="00A57D42">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673A04A1" w14:textId="77777777" w:rsidR="00C877F6" w:rsidRPr="00A57D42" w:rsidRDefault="00C877F6" w:rsidP="00F45A48">
      <w:pPr>
        <w:spacing w:line="276" w:lineRule="auto"/>
        <w:ind w:left="567" w:right="616"/>
        <w:jc w:val="both"/>
        <w:rPr>
          <w:rFonts w:ascii="Palatino Linotype" w:eastAsia="Palatino Linotype" w:hAnsi="Palatino Linotype" w:cs="Palatino Linotype"/>
          <w:i/>
          <w:sz w:val="22"/>
          <w:szCs w:val="22"/>
        </w:rPr>
      </w:pPr>
    </w:p>
    <w:p w14:paraId="37D07658" w14:textId="77777777" w:rsidR="00C877F6" w:rsidRPr="00A57D42" w:rsidRDefault="00F36565" w:rsidP="00F45A48">
      <w:pPr>
        <w:spacing w:line="276" w:lineRule="auto"/>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A57D42">
        <w:rPr>
          <w:rFonts w:ascii="Palatino Linotype" w:eastAsia="Palatino Linotype" w:hAnsi="Palatino Linotype" w:cs="Palatino Linotype"/>
          <w:i/>
          <w:sz w:val="22"/>
          <w:szCs w:val="22"/>
        </w:rPr>
        <w:t xml:space="preserve">. </w:t>
      </w:r>
      <w:r w:rsidRPr="00A57D42">
        <w:rPr>
          <w:rFonts w:ascii="Palatino Linotype" w:eastAsia="Palatino Linotype" w:hAnsi="Palatino Linotype" w:cs="Palatino Linotype"/>
          <w:b/>
          <w:i/>
          <w:sz w:val="22"/>
          <w:szCs w:val="22"/>
        </w:rPr>
        <w:t xml:space="preserve">La obligación de proporcionar información no comprende el procesamiento de la misma, ni el presentarla conforme al interés del solicitante; no estarán obligados a generarla, resumirla, efectuar cálculos o practicar investigaciones.” </w:t>
      </w:r>
    </w:p>
    <w:p w14:paraId="5358F059" w14:textId="77777777" w:rsidR="00C877F6" w:rsidRPr="00A57D42" w:rsidRDefault="00C877F6" w:rsidP="00F45A48">
      <w:pPr>
        <w:spacing w:line="360" w:lineRule="auto"/>
        <w:ind w:right="-93"/>
        <w:jc w:val="both"/>
        <w:rPr>
          <w:rFonts w:ascii="Palatino Linotype" w:eastAsia="Palatino Linotype" w:hAnsi="Palatino Linotype" w:cs="Palatino Linotype"/>
          <w:sz w:val="22"/>
          <w:szCs w:val="22"/>
        </w:rPr>
      </w:pPr>
    </w:p>
    <w:p w14:paraId="16097321" w14:textId="77777777" w:rsidR="00C877F6" w:rsidRPr="00A57D42" w:rsidRDefault="00F36565" w:rsidP="00F45A48">
      <w:pPr>
        <w:spacing w:line="360" w:lineRule="auto"/>
        <w:ind w:right="-93"/>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solo se concretaran a proporcionar la información solicitada que tengan en su poder en el estado que se encuentran, sin necesidad de concretarse al interés o términos específicos del solicitante.</w:t>
      </w:r>
    </w:p>
    <w:p w14:paraId="039288F1" w14:textId="77777777" w:rsidR="00C877F6" w:rsidRPr="00A57D42" w:rsidRDefault="00C877F6" w:rsidP="00F45A48">
      <w:pPr>
        <w:spacing w:line="360" w:lineRule="auto"/>
        <w:ind w:right="-93"/>
        <w:jc w:val="both"/>
        <w:rPr>
          <w:rFonts w:ascii="Palatino Linotype" w:eastAsia="Palatino Linotype" w:hAnsi="Palatino Linotype" w:cs="Palatino Linotype"/>
          <w:sz w:val="22"/>
          <w:szCs w:val="22"/>
        </w:rPr>
      </w:pPr>
    </w:p>
    <w:p w14:paraId="279C31C3" w14:textId="77777777" w:rsidR="00C877F6" w:rsidRPr="00A57D42" w:rsidRDefault="00F36565" w:rsidP="00F45A48">
      <w:pPr>
        <w:spacing w:line="360" w:lineRule="auto"/>
        <w:ind w:right="-93"/>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Sirve de apoyo a lo anterior, el criterio orientador 03-17, expuesto por el entonces Instituto Nacional de Transparencia, Acceso a la Información y Protección de Datos Personales, que dice:</w:t>
      </w:r>
      <w:r w:rsidRPr="00A57D42">
        <w:rPr>
          <w:rFonts w:ascii="Palatino Linotype" w:eastAsia="Palatino Linotype" w:hAnsi="Palatino Linotype" w:cs="Palatino Linotype"/>
          <w:b/>
          <w:sz w:val="22"/>
          <w:szCs w:val="22"/>
        </w:rPr>
        <w:t xml:space="preserve"> </w:t>
      </w:r>
    </w:p>
    <w:p w14:paraId="2E2DBFC3" w14:textId="77777777" w:rsidR="00C877F6" w:rsidRPr="00A57D42" w:rsidRDefault="00C877F6" w:rsidP="00F45A48">
      <w:pPr>
        <w:spacing w:line="360" w:lineRule="auto"/>
        <w:jc w:val="both"/>
        <w:rPr>
          <w:rFonts w:ascii="Palatino Linotype" w:eastAsia="Palatino Linotype" w:hAnsi="Palatino Linotype" w:cs="Palatino Linotype"/>
          <w:b/>
          <w:sz w:val="22"/>
          <w:szCs w:val="22"/>
        </w:rPr>
      </w:pPr>
    </w:p>
    <w:p w14:paraId="2C225EFA"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No existe obligación de elaborar documentos ad hoc para atender las solicitudes de acceso a la información.</w:t>
      </w:r>
      <w:r w:rsidRPr="00A57D42">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 </w:t>
      </w:r>
    </w:p>
    <w:p w14:paraId="3DA26D12" w14:textId="77777777" w:rsidR="00C877F6" w:rsidRPr="00A57D42" w:rsidRDefault="00C877F6" w:rsidP="00F45A48">
      <w:pPr>
        <w:spacing w:line="360" w:lineRule="auto"/>
        <w:ind w:right="-93"/>
        <w:jc w:val="both"/>
        <w:rPr>
          <w:rFonts w:ascii="Palatino Linotype" w:eastAsia="Palatino Linotype" w:hAnsi="Palatino Linotype" w:cs="Palatino Linotype"/>
          <w:sz w:val="22"/>
          <w:szCs w:val="22"/>
        </w:rPr>
      </w:pPr>
    </w:p>
    <w:p w14:paraId="1B3F139F"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5DE08A8F"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0A307AF3" w14:textId="77777777" w:rsidR="00C877F6" w:rsidRPr="00A57D42" w:rsidRDefault="00F36565" w:rsidP="00F45A48">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00E97E71" w14:textId="77777777" w:rsidR="00C877F6" w:rsidRPr="00A57D42" w:rsidRDefault="00C877F6" w:rsidP="00F45A48">
      <w:pPr>
        <w:spacing w:line="360" w:lineRule="auto"/>
        <w:ind w:right="49"/>
        <w:jc w:val="both"/>
        <w:rPr>
          <w:rFonts w:ascii="Palatino Linotype" w:eastAsia="Palatino Linotype" w:hAnsi="Palatino Linotype" w:cs="Palatino Linotype"/>
          <w:sz w:val="22"/>
          <w:szCs w:val="22"/>
        </w:rPr>
      </w:pPr>
    </w:p>
    <w:p w14:paraId="18A47771"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7886DAFA" w14:textId="77777777" w:rsidR="00C877F6" w:rsidRPr="00A57D42" w:rsidRDefault="00C877F6" w:rsidP="00F45A48">
      <w:pPr>
        <w:spacing w:line="360" w:lineRule="auto"/>
        <w:ind w:left="567" w:right="616"/>
        <w:jc w:val="both"/>
        <w:rPr>
          <w:rFonts w:ascii="Palatino Linotype" w:eastAsia="Palatino Linotype" w:hAnsi="Palatino Linotype" w:cs="Palatino Linotype"/>
          <w:i/>
          <w:sz w:val="22"/>
          <w:szCs w:val="22"/>
        </w:rPr>
      </w:pPr>
    </w:p>
    <w:p w14:paraId="688BA59C"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 xml:space="preserve">Artículo 3. </w:t>
      </w:r>
      <w:r w:rsidRPr="00A57D42">
        <w:rPr>
          <w:rFonts w:ascii="Palatino Linotype" w:eastAsia="Palatino Linotype" w:hAnsi="Palatino Linotype" w:cs="Palatino Linotype"/>
          <w:i/>
          <w:sz w:val="22"/>
          <w:szCs w:val="22"/>
        </w:rPr>
        <w:t>Para los efectos de la presente Ley se entenderá por:</w:t>
      </w:r>
    </w:p>
    <w:p w14:paraId="505D52C6"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273D4E7F"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XI. Documento:</w:t>
      </w:r>
      <w:r w:rsidRPr="00A57D42">
        <w:rPr>
          <w:rFonts w:ascii="Palatino Linotype" w:eastAsia="Palatino Linotype" w:hAnsi="Palatino Linotype" w:cs="Palatino Linotype"/>
          <w:i/>
          <w:sz w:val="22"/>
          <w:szCs w:val="22"/>
        </w:rPr>
        <w:t xml:space="preserve"> Los expedientes, reportes, estudios, actas</w:t>
      </w:r>
      <w:r w:rsidRPr="00A57D42">
        <w:rPr>
          <w:rFonts w:ascii="Palatino Linotype" w:eastAsia="Palatino Linotype" w:hAnsi="Palatino Linotype" w:cs="Palatino Linotype"/>
          <w:b/>
          <w:i/>
          <w:sz w:val="22"/>
          <w:szCs w:val="22"/>
        </w:rPr>
        <w:t>,</w:t>
      </w:r>
      <w:r w:rsidRPr="00A57D42">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w:t>
      </w:r>
    </w:p>
    <w:p w14:paraId="75F92C6F" w14:textId="77777777" w:rsidR="00C877F6" w:rsidRPr="00A57D42" w:rsidRDefault="00C877F6" w:rsidP="00F45A48">
      <w:pPr>
        <w:spacing w:line="360" w:lineRule="auto"/>
        <w:ind w:left="851" w:right="899"/>
        <w:jc w:val="both"/>
        <w:rPr>
          <w:rFonts w:ascii="Palatino Linotype" w:eastAsia="Palatino Linotype" w:hAnsi="Palatino Linotype" w:cs="Palatino Linotype"/>
          <w:sz w:val="22"/>
          <w:szCs w:val="22"/>
        </w:rPr>
      </w:pPr>
    </w:p>
    <w:p w14:paraId="732A9768"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43FF5F00"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36EC6455" w14:textId="77777777" w:rsidR="00C877F6" w:rsidRPr="00A57D42" w:rsidRDefault="00F36565" w:rsidP="00F45A48">
      <w:pPr>
        <w:ind w:left="567" w:right="616"/>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b/>
          <w:sz w:val="22"/>
          <w:szCs w:val="22"/>
        </w:rPr>
        <w:t>“</w:t>
      </w:r>
      <w:r w:rsidRPr="00A57D42">
        <w:rPr>
          <w:rFonts w:ascii="Palatino Linotype" w:eastAsia="Palatino Linotype" w:hAnsi="Palatino Linotype" w:cs="Palatino Linotype"/>
          <w:b/>
          <w:i/>
          <w:sz w:val="22"/>
          <w:szCs w:val="22"/>
        </w:rPr>
        <w:t>CRITERIO 0002-11. INFORMACIÓN PÚBLICA, CONCEPTO DE, EN MATERIA DE TRANSPARENCIA. INTERPRETACIÓN SISTEMÁTICA DE LOS ARTÍCULOS 2°, FRACCIÓN V, XV, Y XVI, 3°, 4°, 11 Y 41.</w:t>
      </w:r>
      <w:r w:rsidRPr="00A57D42">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5D1E8D9"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En consecuencia el acceso a la información se refiere a que se cumplan cualquiera de los siguientes tres supuestos:</w:t>
      </w:r>
    </w:p>
    <w:p w14:paraId="00DE89C1"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14:paraId="74575813" w14:textId="77777777" w:rsidR="00C877F6" w:rsidRPr="00A57D42" w:rsidRDefault="00F36565" w:rsidP="00F45A48">
      <w:pPr>
        <w:ind w:left="567" w:right="616"/>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14:paraId="55DABC20" w14:textId="77777777" w:rsidR="00C877F6" w:rsidRPr="00A57D42" w:rsidRDefault="00F36565" w:rsidP="00F45A48">
      <w:pPr>
        <w:ind w:left="567" w:right="616"/>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b/>
          <w:i/>
          <w:sz w:val="22"/>
          <w:szCs w:val="22"/>
        </w:rPr>
        <w:t xml:space="preserve">3) Que se trate de información registrada en cualquier soporte documental, que en ejercicio de las atribuciones conferidas, se encuentre en posesión de los Sujetos Obligados.” </w:t>
      </w:r>
    </w:p>
    <w:p w14:paraId="436FFA4E" w14:textId="77777777" w:rsidR="00C877F6" w:rsidRPr="00A57D42" w:rsidRDefault="00C877F6" w:rsidP="00F45A48">
      <w:pPr>
        <w:tabs>
          <w:tab w:val="left" w:pos="8647"/>
        </w:tabs>
        <w:spacing w:line="360" w:lineRule="auto"/>
        <w:jc w:val="both"/>
        <w:rPr>
          <w:rFonts w:ascii="Palatino Linotype" w:eastAsia="Palatino Linotype" w:hAnsi="Palatino Linotype" w:cs="Palatino Linotype"/>
          <w:b/>
          <w:sz w:val="22"/>
          <w:szCs w:val="22"/>
        </w:rPr>
      </w:pPr>
    </w:p>
    <w:p w14:paraId="43077791" w14:textId="5B18CB33" w:rsidR="009839EA" w:rsidRPr="00A57D42" w:rsidRDefault="00F36565"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Del análisis de la solicitud de información motivo del recurso de revisión que ahora se resuelve, </w:t>
      </w:r>
      <w:r w:rsidR="008E4A90" w:rsidRPr="00A57D42">
        <w:rPr>
          <w:rFonts w:ascii="Palatino Linotype" w:eastAsia="Palatino Linotype" w:hAnsi="Palatino Linotype" w:cs="Palatino Linotype"/>
          <w:sz w:val="22"/>
          <w:szCs w:val="22"/>
        </w:rPr>
        <w:t xml:space="preserve">se tiene que el Recurrente solicitó al </w:t>
      </w:r>
      <w:r w:rsidR="00E66014" w:rsidRPr="00A57D42">
        <w:rPr>
          <w:rFonts w:ascii="Palatino Linotype" w:eastAsia="Palatino Linotype" w:hAnsi="Palatino Linotype" w:cs="Palatino Linotype"/>
          <w:b/>
          <w:sz w:val="22"/>
          <w:szCs w:val="22"/>
        </w:rPr>
        <w:t>Ayuntamiento de el Oro</w:t>
      </w:r>
      <w:r w:rsidR="00985944" w:rsidRPr="00A57D42">
        <w:rPr>
          <w:rFonts w:ascii="Palatino Linotype" w:eastAsia="Palatino Linotype" w:hAnsi="Palatino Linotype" w:cs="Palatino Linotype"/>
          <w:b/>
          <w:sz w:val="22"/>
          <w:szCs w:val="22"/>
        </w:rPr>
        <w:t xml:space="preserve"> </w:t>
      </w:r>
      <w:r w:rsidR="00985944" w:rsidRPr="00A57D42">
        <w:rPr>
          <w:rFonts w:ascii="Palatino Linotype" w:eastAsia="Palatino Linotype" w:hAnsi="Palatino Linotype" w:cs="Palatino Linotype"/>
          <w:sz w:val="22"/>
          <w:szCs w:val="22"/>
        </w:rPr>
        <w:t xml:space="preserve">información </w:t>
      </w:r>
      <w:r w:rsidR="009839EA" w:rsidRPr="00A57D42">
        <w:rPr>
          <w:rFonts w:ascii="Palatino Linotype" w:eastAsia="Palatino Linotype" w:hAnsi="Palatino Linotype" w:cs="Palatino Linotype"/>
          <w:sz w:val="22"/>
          <w:szCs w:val="22"/>
        </w:rPr>
        <w:t xml:space="preserve">la siguiente información del uno de enero al treinta de junio de dos mil veinticinco. </w:t>
      </w:r>
    </w:p>
    <w:tbl>
      <w:tblPr>
        <w:tblStyle w:val="Tablaconcuadrcula"/>
        <w:tblW w:w="8926" w:type="dxa"/>
        <w:tblLook w:val="04A0" w:firstRow="1" w:lastRow="0" w:firstColumn="1" w:lastColumn="0" w:noHBand="0" w:noVBand="1"/>
      </w:tblPr>
      <w:tblGrid>
        <w:gridCol w:w="4248"/>
        <w:gridCol w:w="2694"/>
        <w:gridCol w:w="1984"/>
      </w:tblGrid>
      <w:tr w:rsidR="00D97859" w:rsidRPr="00A57D42" w14:paraId="4BD5D8EA" w14:textId="77777777" w:rsidTr="00F45A48">
        <w:tc>
          <w:tcPr>
            <w:tcW w:w="4248" w:type="dxa"/>
            <w:shd w:val="clear" w:color="auto" w:fill="E7E6E6" w:themeFill="background2"/>
          </w:tcPr>
          <w:p w14:paraId="2AD89E35" w14:textId="067050EF" w:rsidR="00985944" w:rsidRPr="00A57D42" w:rsidRDefault="00985944"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Requerimiento</w:t>
            </w:r>
          </w:p>
        </w:tc>
        <w:tc>
          <w:tcPr>
            <w:tcW w:w="2694" w:type="dxa"/>
            <w:shd w:val="clear" w:color="auto" w:fill="E7E6E6" w:themeFill="background2"/>
          </w:tcPr>
          <w:p w14:paraId="533A21E2" w14:textId="18E7BA62" w:rsidR="00985944" w:rsidRPr="00A57D42" w:rsidRDefault="00985944"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Respuesta</w:t>
            </w:r>
          </w:p>
        </w:tc>
        <w:tc>
          <w:tcPr>
            <w:tcW w:w="1984" w:type="dxa"/>
            <w:shd w:val="clear" w:color="auto" w:fill="E7E6E6" w:themeFill="background2"/>
          </w:tcPr>
          <w:p w14:paraId="7832B1A4" w14:textId="539258C4" w:rsidR="00985944" w:rsidRPr="00A57D42" w:rsidRDefault="00985944"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¿Colma?</w:t>
            </w:r>
          </w:p>
        </w:tc>
      </w:tr>
      <w:tr w:rsidR="00D97859" w:rsidRPr="00A57D42" w14:paraId="230194A4" w14:textId="77777777" w:rsidTr="00F45A48">
        <w:tc>
          <w:tcPr>
            <w:tcW w:w="4248" w:type="dxa"/>
          </w:tcPr>
          <w:p w14:paraId="65EF580E" w14:textId="242DFABF" w:rsidR="00985944" w:rsidRPr="00A57D42" w:rsidRDefault="009839EA" w:rsidP="009839EA">
            <w:pPr>
              <w:spacing w:after="240" w:line="360" w:lineRule="auto"/>
              <w:jc w:val="both"/>
              <w:rPr>
                <w:rFonts w:ascii="Palatino Linotype" w:eastAsia="Palatino Linotype" w:hAnsi="Palatino Linotype" w:cs="Palatino Linotype"/>
                <w:b/>
                <w:sz w:val="22"/>
                <w:szCs w:val="22"/>
              </w:rPr>
            </w:pPr>
            <w:r w:rsidRPr="00A57D42">
              <w:rPr>
                <w:rFonts w:ascii="Palatino Linotype" w:hAnsi="Palatino Linotype"/>
                <w:sz w:val="22"/>
                <w:szCs w:val="22"/>
              </w:rPr>
              <w:t xml:space="preserve">1. Relación y copia certificada de todos los acuerdos, decretos, órdenes, circulares, resoluciones y demás actos administrativos emitidos o suscritos por la Presidenta Municipal y/o el Secretario durante el periodo indicado, que impliquen decisiones de gestión, administración o ejecución de funciones públicas. </w:t>
            </w:r>
          </w:p>
        </w:tc>
        <w:tc>
          <w:tcPr>
            <w:tcW w:w="2694" w:type="dxa"/>
          </w:tcPr>
          <w:p w14:paraId="67E045E7" w14:textId="56742D54" w:rsidR="00272298" w:rsidRPr="00A57D42" w:rsidRDefault="00272298"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Refiere que los documentos requeridos son las actas de cabildo, las cuales se entregan vía SAIMEX y para copias certificadas se indica el monto a cubrir.</w:t>
            </w:r>
          </w:p>
          <w:p w14:paraId="2A120321" w14:textId="20D0CD44" w:rsidR="00272298" w:rsidRPr="00A57D42" w:rsidRDefault="00272298" w:rsidP="00F45A48">
            <w:pPr>
              <w:spacing w:after="240" w:line="360" w:lineRule="auto"/>
              <w:jc w:val="both"/>
              <w:rPr>
                <w:rFonts w:ascii="Palatino Linotype" w:eastAsia="Palatino Linotype" w:hAnsi="Palatino Linotype" w:cs="Palatino Linotype"/>
                <w:sz w:val="22"/>
                <w:szCs w:val="22"/>
              </w:rPr>
            </w:pPr>
          </w:p>
        </w:tc>
        <w:tc>
          <w:tcPr>
            <w:tcW w:w="1984" w:type="dxa"/>
          </w:tcPr>
          <w:p w14:paraId="100ECE00" w14:textId="107A86E7" w:rsidR="00985944" w:rsidRPr="00A57D42" w:rsidRDefault="00272298"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Parcialmente</w:t>
            </w:r>
          </w:p>
        </w:tc>
      </w:tr>
      <w:tr w:rsidR="00D97859" w:rsidRPr="00A57D42" w14:paraId="0AC2FB49" w14:textId="77777777" w:rsidTr="00F45A48">
        <w:tc>
          <w:tcPr>
            <w:tcW w:w="4248" w:type="dxa"/>
          </w:tcPr>
          <w:p w14:paraId="0EB02BBA" w14:textId="6B5C6F79" w:rsidR="00985944" w:rsidRPr="00A57D42" w:rsidRDefault="009839EA" w:rsidP="009839EA">
            <w:pPr>
              <w:spacing w:after="240" w:line="360" w:lineRule="auto"/>
              <w:jc w:val="both"/>
              <w:rPr>
                <w:rFonts w:ascii="Palatino Linotype" w:eastAsia="Palatino Linotype" w:hAnsi="Palatino Linotype" w:cs="Palatino Linotype"/>
                <w:b/>
                <w:sz w:val="22"/>
                <w:szCs w:val="22"/>
              </w:rPr>
            </w:pPr>
            <w:r w:rsidRPr="00A57D42">
              <w:rPr>
                <w:rFonts w:ascii="Palatino Linotype" w:hAnsi="Palatino Linotype"/>
                <w:sz w:val="22"/>
                <w:szCs w:val="22"/>
              </w:rPr>
              <w:t xml:space="preserve">2. Documentación probatoria y soporte legal de cada acto o decisión, con la fundamentación jurídica, técnica y presupuestal correspondiente. </w:t>
            </w:r>
          </w:p>
        </w:tc>
        <w:tc>
          <w:tcPr>
            <w:tcW w:w="2694" w:type="dxa"/>
          </w:tcPr>
          <w:p w14:paraId="178A3160" w14:textId="1A50904D" w:rsidR="00985944" w:rsidRPr="00A57D42" w:rsidRDefault="00272298"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Refiere que los documentos requeridos son las actas de cabildo, las cuales se entregan vía SAIMEX y para copias certificadas se indica el monto a cubrir.</w:t>
            </w:r>
          </w:p>
        </w:tc>
        <w:tc>
          <w:tcPr>
            <w:tcW w:w="1984" w:type="dxa"/>
          </w:tcPr>
          <w:p w14:paraId="2B94E932" w14:textId="7DD7A1C4" w:rsidR="00985944" w:rsidRPr="00A57D42" w:rsidRDefault="006D47FF"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Si colma </w:t>
            </w:r>
          </w:p>
        </w:tc>
      </w:tr>
      <w:tr w:rsidR="00D97859" w:rsidRPr="00A57D42" w14:paraId="7D82A9C4" w14:textId="77777777" w:rsidTr="00F45A48">
        <w:tc>
          <w:tcPr>
            <w:tcW w:w="4248" w:type="dxa"/>
          </w:tcPr>
          <w:p w14:paraId="752EC402" w14:textId="02CC091A" w:rsidR="00985944" w:rsidRPr="00A57D42" w:rsidRDefault="009839EA" w:rsidP="009839EA">
            <w:pPr>
              <w:spacing w:after="240" w:line="360" w:lineRule="auto"/>
              <w:jc w:val="both"/>
              <w:rPr>
                <w:rFonts w:ascii="Palatino Linotype" w:eastAsia="Palatino Linotype" w:hAnsi="Palatino Linotype" w:cs="Palatino Linotype"/>
                <w:b/>
                <w:sz w:val="22"/>
                <w:szCs w:val="22"/>
              </w:rPr>
            </w:pPr>
            <w:r w:rsidRPr="00A57D42">
              <w:rPr>
                <w:rFonts w:ascii="Palatino Linotype" w:hAnsi="Palatino Linotype"/>
                <w:sz w:val="22"/>
                <w:szCs w:val="22"/>
              </w:rPr>
              <w:t xml:space="preserve">3. Registro de denuncias, quejas o inconformidades formales presentadas ante el Ayuntamiento o la Contraloría Municipal relacionadas con presuntos abusos de autoridad, uso indebido de funciones, actos arbitrarios o decisiones ilegales atribuidas a la Presidenta Municipal y/o al Secretario, incluyendo el estado y resultados de dichas investigaciones o procedimientos. </w:t>
            </w:r>
          </w:p>
        </w:tc>
        <w:tc>
          <w:tcPr>
            <w:tcW w:w="2694" w:type="dxa"/>
          </w:tcPr>
          <w:p w14:paraId="1E226C2D" w14:textId="55F97D07" w:rsidR="00985944" w:rsidRPr="00A57D42" w:rsidRDefault="006D47FF"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Se encuentran en trámite.</w:t>
            </w:r>
          </w:p>
        </w:tc>
        <w:tc>
          <w:tcPr>
            <w:tcW w:w="1984" w:type="dxa"/>
          </w:tcPr>
          <w:p w14:paraId="299CC01C" w14:textId="239CC08D" w:rsidR="00985944" w:rsidRPr="00A57D42" w:rsidRDefault="006D47FF"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No colma</w:t>
            </w:r>
          </w:p>
        </w:tc>
      </w:tr>
      <w:tr w:rsidR="00D97859" w:rsidRPr="00A57D42" w14:paraId="1B380469" w14:textId="77777777" w:rsidTr="00F45A48">
        <w:tc>
          <w:tcPr>
            <w:tcW w:w="4248" w:type="dxa"/>
          </w:tcPr>
          <w:p w14:paraId="18B7BBDE" w14:textId="669060AD" w:rsidR="00985944" w:rsidRPr="00A57D42" w:rsidRDefault="009839EA" w:rsidP="009839EA">
            <w:pPr>
              <w:spacing w:after="240" w:line="360" w:lineRule="auto"/>
              <w:jc w:val="both"/>
              <w:rPr>
                <w:rFonts w:ascii="Palatino Linotype" w:eastAsia="Palatino Linotype" w:hAnsi="Palatino Linotype" w:cs="Palatino Linotype"/>
                <w:b/>
                <w:sz w:val="22"/>
                <w:szCs w:val="22"/>
              </w:rPr>
            </w:pPr>
            <w:r w:rsidRPr="00A57D42">
              <w:rPr>
                <w:rFonts w:ascii="Palatino Linotype" w:hAnsi="Palatino Linotype"/>
                <w:sz w:val="22"/>
                <w:szCs w:val="22"/>
              </w:rPr>
              <w:t xml:space="preserve">4. Informes internos o auditorías, incluyendo resultados preliminares o finales, que aborden conductas irregulares o posibles faltas administrativas en la gestión administrativa y la toma de decisiones. </w:t>
            </w:r>
          </w:p>
        </w:tc>
        <w:tc>
          <w:tcPr>
            <w:tcW w:w="2694" w:type="dxa"/>
          </w:tcPr>
          <w:p w14:paraId="5BAEEA45" w14:textId="052B2B9C" w:rsidR="00985944" w:rsidRPr="00A57D42" w:rsidRDefault="00AD209C"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No hubo pronunciamiento </w:t>
            </w:r>
          </w:p>
        </w:tc>
        <w:tc>
          <w:tcPr>
            <w:tcW w:w="1984" w:type="dxa"/>
          </w:tcPr>
          <w:p w14:paraId="605E42DD" w14:textId="2EBFD186" w:rsidR="00985944" w:rsidRPr="00A57D42" w:rsidRDefault="00AD209C"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No colma</w:t>
            </w:r>
          </w:p>
        </w:tc>
      </w:tr>
      <w:tr w:rsidR="00D97859" w:rsidRPr="00A57D42" w14:paraId="00B920DD" w14:textId="77777777" w:rsidTr="00F45A48">
        <w:tc>
          <w:tcPr>
            <w:tcW w:w="4248" w:type="dxa"/>
          </w:tcPr>
          <w:p w14:paraId="4F0DE7BE" w14:textId="1E1B3E00" w:rsidR="00985944" w:rsidRPr="00A57D42" w:rsidRDefault="009839EA" w:rsidP="009839EA">
            <w:pPr>
              <w:spacing w:after="240" w:line="360" w:lineRule="auto"/>
              <w:jc w:val="both"/>
              <w:rPr>
                <w:rFonts w:ascii="Palatino Linotype" w:eastAsia="Palatino Linotype" w:hAnsi="Palatino Linotype" w:cs="Palatino Linotype"/>
                <w:b/>
                <w:sz w:val="22"/>
                <w:szCs w:val="22"/>
              </w:rPr>
            </w:pPr>
            <w:r w:rsidRPr="00A57D42">
              <w:rPr>
                <w:rFonts w:ascii="Palatino Linotype" w:hAnsi="Palatino Linotype"/>
                <w:sz w:val="22"/>
                <w:szCs w:val="22"/>
              </w:rPr>
              <w:t xml:space="preserve">5. Relación de procedimientos administrativos disciplinarios, sanciones o medidas correctivas que se hayan aplicado o iniciado en contra de la Presidenta Municipal y/o el Secretario durante el periodo solicitado. </w:t>
            </w:r>
          </w:p>
        </w:tc>
        <w:tc>
          <w:tcPr>
            <w:tcW w:w="2694" w:type="dxa"/>
          </w:tcPr>
          <w:p w14:paraId="63803552" w14:textId="14E2694A" w:rsidR="00985944" w:rsidRPr="00A57D42" w:rsidRDefault="001162BC"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Los procedimientos se encuentran en trámite.</w:t>
            </w:r>
          </w:p>
        </w:tc>
        <w:tc>
          <w:tcPr>
            <w:tcW w:w="1984" w:type="dxa"/>
          </w:tcPr>
          <w:p w14:paraId="488A67B3" w14:textId="462F2677" w:rsidR="00985944" w:rsidRPr="00A57D42" w:rsidRDefault="001162BC"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No colma</w:t>
            </w:r>
          </w:p>
        </w:tc>
      </w:tr>
      <w:tr w:rsidR="00D97859" w:rsidRPr="00A57D42" w14:paraId="07E7DD70" w14:textId="77777777" w:rsidTr="00F45A48">
        <w:tc>
          <w:tcPr>
            <w:tcW w:w="4248" w:type="dxa"/>
          </w:tcPr>
          <w:p w14:paraId="592E61CD" w14:textId="5B392AA5" w:rsidR="00985944" w:rsidRPr="00A57D42" w:rsidRDefault="009839EA" w:rsidP="009839EA">
            <w:pPr>
              <w:spacing w:after="240" w:line="360" w:lineRule="auto"/>
              <w:jc w:val="both"/>
              <w:rPr>
                <w:rFonts w:ascii="Palatino Linotype" w:eastAsia="Palatino Linotype" w:hAnsi="Palatino Linotype" w:cs="Palatino Linotype"/>
                <w:b/>
                <w:sz w:val="22"/>
                <w:szCs w:val="22"/>
              </w:rPr>
            </w:pPr>
            <w:r w:rsidRPr="00A57D42">
              <w:rPr>
                <w:rFonts w:ascii="Palatino Linotype" w:hAnsi="Palatino Linotype"/>
                <w:sz w:val="22"/>
                <w:szCs w:val="22"/>
              </w:rPr>
              <w:t xml:space="preserve">6. Actas de sesiones de Cabildo y otros órganos colegiados donde se hayan discutido, aprobado o cuestionado decisiones relevantes tomadas por dichos servidores públicos. </w:t>
            </w:r>
          </w:p>
        </w:tc>
        <w:tc>
          <w:tcPr>
            <w:tcW w:w="2694" w:type="dxa"/>
          </w:tcPr>
          <w:p w14:paraId="636AD30F" w14:textId="0AB6D16C" w:rsidR="00985944" w:rsidRPr="00A57D42" w:rsidRDefault="006D47FF"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Se entregaron las actas de cabildo</w:t>
            </w:r>
          </w:p>
        </w:tc>
        <w:tc>
          <w:tcPr>
            <w:tcW w:w="1984" w:type="dxa"/>
          </w:tcPr>
          <w:p w14:paraId="142FC6BC" w14:textId="263DD412" w:rsidR="00985944" w:rsidRPr="00A57D42" w:rsidRDefault="006D47FF" w:rsidP="00F45A48">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Si colma</w:t>
            </w:r>
          </w:p>
        </w:tc>
      </w:tr>
      <w:tr w:rsidR="009839EA" w:rsidRPr="00A57D42" w14:paraId="3696861D" w14:textId="77777777" w:rsidTr="00F45A48">
        <w:tc>
          <w:tcPr>
            <w:tcW w:w="4248" w:type="dxa"/>
          </w:tcPr>
          <w:p w14:paraId="39A33BFF" w14:textId="77777777" w:rsidR="009839EA" w:rsidRPr="00A57D42" w:rsidRDefault="009839EA" w:rsidP="00F45A48">
            <w:pPr>
              <w:spacing w:after="240" w:line="360" w:lineRule="auto"/>
              <w:jc w:val="both"/>
              <w:rPr>
                <w:rFonts w:ascii="Palatino Linotype" w:hAnsi="Palatino Linotype"/>
                <w:sz w:val="22"/>
                <w:szCs w:val="22"/>
              </w:rPr>
            </w:pPr>
            <w:r w:rsidRPr="00A57D42">
              <w:rPr>
                <w:rFonts w:ascii="Palatino Linotype" w:hAnsi="Palatino Linotype"/>
                <w:sz w:val="22"/>
                <w:szCs w:val="22"/>
              </w:rPr>
              <w:t xml:space="preserve">7. Relación de nombramientos de titulares de áreas, direcciones o dependencias, incluyendo: </w:t>
            </w:r>
          </w:p>
          <w:p w14:paraId="1E09279E" w14:textId="60418F18" w:rsidR="001162BC" w:rsidRPr="00A57D42" w:rsidRDefault="009839EA" w:rsidP="00F45A48">
            <w:pPr>
              <w:spacing w:after="240" w:line="360" w:lineRule="auto"/>
              <w:jc w:val="both"/>
              <w:rPr>
                <w:rFonts w:ascii="Palatino Linotype" w:hAnsi="Palatino Linotype"/>
                <w:sz w:val="22"/>
                <w:szCs w:val="22"/>
              </w:rPr>
            </w:pPr>
            <w:r w:rsidRPr="00A57D42">
              <w:rPr>
                <w:rFonts w:ascii="Palatino Linotype" w:hAnsi="Palatino Linotype"/>
                <w:sz w:val="22"/>
                <w:szCs w:val="22"/>
              </w:rPr>
              <w:t>• Nombre completo del titular designado. • Fecha de nombramiento.</w:t>
            </w:r>
          </w:p>
          <w:p w14:paraId="4E1B7C7C" w14:textId="77777777" w:rsidR="001162BC" w:rsidRPr="00A57D42" w:rsidRDefault="001162BC" w:rsidP="00F45A48">
            <w:pPr>
              <w:spacing w:after="240" w:line="360" w:lineRule="auto"/>
              <w:jc w:val="both"/>
              <w:rPr>
                <w:rFonts w:ascii="Palatino Linotype" w:hAnsi="Palatino Linotype"/>
                <w:sz w:val="22"/>
                <w:szCs w:val="22"/>
              </w:rPr>
            </w:pPr>
          </w:p>
          <w:p w14:paraId="008566EC" w14:textId="36D350EE" w:rsidR="009839EA" w:rsidRPr="00A57D42" w:rsidRDefault="009839EA" w:rsidP="00F45A48">
            <w:pPr>
              <w:spacing w:after="240" w:line="360" w:lineRule="auto"/>
              <w:jc w:val="both"/>
              <w:rPr>
                <w:rFonts w:ascii="Palatino Linotype" w:hAnsi="Palatino Linotype"/>
                <w:sz w:val="22"/>
                <w:szCs w:val="22"/>
              </w:rPr>
            </w:pPr>
            <w:r w:rsidRPr="00A57D42">
              <w:rPr>
                <w:rFonts w:ascii="Palatino Linotype" w:hAnsi="Palatino Linotype"/>
                <w:sz w:val="22"/>
                <w:szCs w:val="22"/>
              </w:rPr>
              <w:t>• Perfil profesional, experiencia y certificaciones requeridas por la ley para el cargo.</w:t>
            </w:r>
          </w:p>
          <w:p w14:paraId="0F83890D" w14:textId="78695B43" w:rsidR="001162BC" w:rsidRPr="00A57D42" w:rsidRDefault="001162BC" w:rsidP="00F45A48">
            <w:pPr>
              <w:spacing w:after="240" w:line="360" w:lineRule="auto"/>
              <w:jc w:val="both"/>
              <w:rPr>
                <w:rFonts w:ascii="Palatino Linotype" w:hAnsi="Palatino Linotype"/>
                <w:sz w:val="22"/>
                <w:szCs w:val="22"/>
              </w:rPr>
            </w:pPr>
          </w:p>
          <w:p w14:paraId="7CDF0156" w14:textId="124344F1" w:rsidR="00437E24" w:rsidRPr="00A57D42" w:rsidRDefault="00437E24" w:rsidP="00F45A48">
            <w:pPr>
              <w:spacing w:after="240" w:line="360" w:lineRule="auto"/>
              <w:jc w:val="both"/>
              <w:rPr>
                <w:rFonts w:ascii="Palatino Linotype" w:hAnsi="Palatino Linotype"/>
                <w:sz w:val="22"/>
                <w:szCs w:val="22"/>
              </w:rPr>
            </w:pPr>
          </w:p>
          <w:p w14:paraId="39B89F67" w14:textId="77777777" w:rsidR="00437E24" w:rsidRPr="00A57D42" w:rsidRDefault="00437E24" w:rsidP="00F45A48">
            <w:pPr>
              <w:spacing w:after="240" w:line="360" w:lineRule="auto"/>
              <w:jc w:val="both"/>
              <w:rPr>
                <w:rFonts w:ascii="Palatino Linotype" w:hAnsi="Palatino Linotype"/>
                <w:sz w:val="22"/>
                <w:szCs w:val="22"/>
              </w:rPr>
            </w:pPr>
          </w:p>
          <w:p w14:paraId="1D6CA8AC" w14:textId="1A76905F" w:rsidR="009839EA" w:rsidRPr="00A57D42" w:rsidRDefault="009839EA" w:rsidP="00F45A48">
            <w:pPr>
              <w:spacing w:after="240" w:line="360" w:lineRule="auto"/>
              <w:jc w:val="both"/>
              <w:rPr>
                <w:rFonts w:ascii="Palatino Linotype" w:hAnsi="Palatino Linotype"/>
                <w:sz w:val="22"/>
                <w:szCs w:val="22"/>
              </w:rPr>
            </w:pPr>
            <w:r w:rsidRPr="00A57D42">
              <w:rPr>
                <w:rFonts w:ascii="Palatino Linotype" w:hAnsi="Palatino Linotype"/>
                <w:sz w:val="22"/>
                <w:szCs w:val="22"/>
              </w:rPr>
              <w:t>• Justificación y documentación que acredite que los titulares cumplen con los requisitos legales de experiencia y certificación.</w:t>
            </w:r>
          </w:p>
          <w:p w14:paraId="442D6FB2" w14:textId="65F5C3E2" w:rsidR="001162BC" w:rsidRPr="00A57D42" w:rsidRDefault="00437E24" w:rsidP="00F45A48">
            <w:pPr>
              <w:spacing w:after="240" w:line="360" w:lineRule="auto"/>
              <w:jc w:val="both"/>
              <w:rPr>
                <w:rFonts w:ascii="Palatino Linotype" w:hAnsi="Palatino Linotype"/>
                <w:sz w:val="22"/>
                <w:szCs w:val="22"/>
              </w:rPr>
            </w:pPr>
            <w:r w:rsidRPr="00A57D42">
              <w:rPr>
                <w:rFonts w:ascii="Palatino Linotype" w:hAnsi="Palatino Linotype"/>
                <w:sz w:val="22"/>
                <w:szCs w:val="22"/>
              </w:rPr>
              <w:t>´</w:t>
            </w:r>
          </w:p>
          <w:p w14:paraId="20689430" w14:textId="77777777" w:rsidR="00437E24" w:rsidRPr="00A57D42" w:rsidRDefault="00437E24" w:rsidP="00F45A48">
            <w:pPr>
              <w:spacing w:after="240" w:line="360" w:lineRule="auto"/>
              <w:jc w:val="both"/>
              <w:rPr>
                <w:rFonts w:ascii="Palatino Linotype" w:hAnsi="Palatino Linotype"/>
                <w:sz w:val="22"/>
                <w:szCs w:val="22"/>
              </w:rPr>
            </w:pPr>
          </w:p>
          <w:p w14:paraId="46469B53" w14:textId="634D5081" w:rsidR="009839EA" w:rsidRPr="00A57D42" w:rsidRDefault="009839EA" w:rsidP="00F45A48">
            <w:pPr>
              <w:spacing w:after="240" w:line="360" w:lineRule="auto"/>
              <w:jc w:val="both"/>
              <w:rPr>
                <w:rFonts w:ascii="Palatino Linotype" w:hAnsi="Palatino Linotype"/>
                <w:sz w:val="22"/>
                <w:szCs w:val="22"/>
              </w:rPr>
            </w:pPr>
            <w:r w:rsidRPr="00A57D42">
              <w:rPr>
                <w:rFonts w:ascii="Palatino Linotype" w:hAnsi="Palatino Linotype"/>
                <w:sz w:val="22"/>
                <w:szCs w:val="22"/>
              </w:rPr>
              <w:t>• En su caso, información sobre nombramientos realizados sin que los titulares acrediten experiencia ni certificaciones exigidas por la normatividad aplicable.</w:t>
            </w:r>
          </w:p>
        </w:tc>
        <w:tc>
          <w:tcPr>
            <w:tcW w:w="2694" w:type="dxa"/>
          </w:tcPr>
          <w:p w14:paraId="2B184A4E" w14:textId="7D98EC91" w:rsidR="006E6F7D" w:rsidRPr="00A57D42" w:rsidRDefault="006E6F7D" w:rsidP="00F45A48">
            <w:pPr>
              <w:spacing w:after="240" w:line="360" w:lineRule="auto"/>
              <w:jc w:val="both"/>
              <w:rPr>
                <w:rFonts w:ascii="Palatino Linotype" w:eastAsia="Palatino Linotype" w:hAnsi="Palatino Linotype" w:cs="Palatino Linotype"/>
                <w:b/>
                <w:sz w:val="22"/>
                <w:szCs w:val="22"/>
              </w:rPr>
            </w:pPr>
          </w:p>
          <w:p w14:paraId="4E0DF957" w14:textId="2B050A99" w:rsidR="00437E24" w:rsidRPr="00A57D42" w:rsidRDefault="00437E24" w:rsidP="00F45A48">
            <w:pPr>
              <w:spacing w:after="240" w:line="360" w:lineRule="auto"/>
              <w:jc w:val="both"/>
              <w:rPr>
                <w:rFonts w:ascii="Palatino Linotype" w:eastAsia="Palatino Linotype" w:hAnsi="Palatino Linotype" w:cs="Palatino Linotype"/>
                <w:b/>
                <w:sz w:val="22"/>
                <w:szCs w:val="22"/>
              </w:rPr>
            </w:pPr>
          </w:p>
          <w:p w14:paraId="7A70CE8D" w14:textId="781A8200" w:rsidR="001162BC" w:rsidRPr="00A57D42" w:rsidRDefault="001162BC"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Entregó la</w:t>
            </w:r>
            <w:r w:rsidR="00766F72" w:rsidRPr="00A57D42">
              <w:rPr>
                <w:rFonts w:ascii="Palatino Linotype" w:eastAsia="Palatino Linotype" w:hAnsi="Palatino Linotype" w:cs="Palatino Linotype"/>
                <w:b/>
                <w:sz w:val="22"/>
                <w:szCs w:val="22"/>
              </w:rPr>
              <w:t xml:space="preserve"> relación de nombramientos y </w:t>
            </w:r>
            <w:r w:rsidRPr="00A57D42">
              <w:rPr>
                <w:rFonts w:ascii="Palatino Linotype" w:eastAsia="Palatino Linotype" w:hAnsi="Palatino Linotype" w:cs="Palatino Linotype"/>
                <w:b/>
                <w:sz w:val="22"/>
                <w:szCs w:val="22"/>
              </w:rPr>
              <w:t xml:space="preserve">fecha del nombramiento </w:t>
            </w:r>
          </w:p>
          <w:p w14:paraId="2BFA2BBE" w14:textId="77777777" w:rsidR="00437E24" w:rsidRPr="00A57D42" w:rsidRDefault="00437E24" w:rsidP="00F45A48">
            <w:pPr>
              <w:spacing w:after="240" w:line="360" w:lineRule="auto"/>
              <w:jc w:val="both"/>
              <w:rPr>
                <w:rFonts w:ascii="Palatino Linotype" w:eastAsia="Palatino Linotype" w:hAnsi="Palatino Linotype" w:cs="Palatino Linotype"/>
                <w:b/>
                <w:sz w:val="22"/>
                <w:szCs w:val="22"/>
              </w:rPr>
            </w:pPr>
          </w:p>
          <w:p w14:paraId="5CF7F486" w14:textId="77777777" w:rsidR="001162BC" w:rsidRPr="00A57D42" w:rsidRDefault="001162BC"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Entregó el perfil profesional</w:t>
            </w:r>
            <w:r w:rsidR="00D54714" w:rsidRPr="00A57D42">
              <w:rPr>
                <w:rFonts w:ascii="Palatino Linotype" w:eastAsia="Palatino Linotype" w:hAnsi="Palatino Linotype" w:cs="Palatino Linotype"/>
                <w:b/>
                <w:sz w:val="22"/>
                <w:szCs w:val="22"/>
              </w:rPr>
              <w:t xml:space="preserve"> y certificaciones</w:t>
            </w:r>
            <w:r w:rsidRPr="00A57D42">
              <w:rPr>
                <w:rFonts w:ascii="Palatino Linotype" w:eastAsia="Palatino Linotype" w:hAnsi="Palatino Linotype" w:cs="Palatino Linotype"/>
                <w:b/>
                <w:sz w:val="22"/>
                <w:szCs w:val="22"/>
              </w:rPr>
              <w:t xml:space="preserve">. No entregó </w:t>
            </w:r>
            <w:r w:rsidR="00D54714" w:rsidRPr="00A57D42">
              <w:rPr>
                <w:rFonts w:ascii="Palatino Linotype" w:eastAsia="Palatino Linotype" w:hAnsi="Palatino Linotype" w:cs="Palatino Linotype"/>
                <w:b/>
                <w:sz w:val="22"/>
                <w:szCs w:val="22"/>
              </w:rPr>
              <w:t xml:space="preserve">experiencia. </w:t>
            </w:r>
          </w:p>
          <w:p w14:paraId="09996D19" w14:textId="77777777" w:rsidR="00D54714" w:rsidRPr="00A57D42" w:rsidRDefault="00D54714" w:rsidP="00F45A48">
            <w:pPr>
              <w:spacing w:after="240" w:line="360" w:lineRule="auto"/>
              <w:jc w:val="both"/>
              <w:rPr>
                <w:rFonts w:ascii="Palatino Linotype" w:eastAsia="Palatino Linotype" w:hAnsi="Palatino Linotype" w:cs="Palatino Linotype"/>
                <w:b/>
                <w:sz w:val="22"/>
                <w:szCs w:val="22"/>
              </w:rPr>
            </w:pPr>
          </w:p>
          <w:p w14:paraId="351D5F3C" w14:textId="77777777" w:rsidR="006E6F7D" w:rsidRPr="00A57D42" w:rsidRDefault="006E6F7D" w:rsidP="00F45A48">
            <w:pPr>
              <w:spacing w:after="240" w:line="360" w:lineRule="auto"/>
              <w:jc w:val="both"/>
              <w:rPr>
                <w:rFonts w:ascii="Palatino Linotype" w:eastAsia="Palatino Linotype" w:hAnsi="Palatino Linotype" w:cs="Palatino Linotype"/>
                <w:b/>
                <w:sz w:val="22"/>
                <w:szCs w:val="22"/>
              </w:rPr>
            </w:pPr>
          </w:p>
          <w:p w14:paraId="6FCAA38C" w14:textId="77777777" w:rsidR="00D54714" w:rsidRPr="00A57D42" w:rsidRDefault="00D54714"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Entregó certificaciones. </w:t>
            </w:r>
          </w:p>
          <w:p w14:paraId="4BF11FB4" w14:textId="77777777" w:rsidR="00D54714" w:rsidRPr="00A57D42" w:rsidRDefault="00D54714" w:rsidP="00F45A48">
            <w:pPr>
              <w:spacing w:after="240" w:line="360" w:lineRule="auto"/>
              <w:jc w:val="both"/>
              <w:rPr>
                <w:rFonts w:ascii="Palatino Linotype" w:eastAsia="Palatino Linotype" w:hAnsi="Palatino Linotype" w:cs="Palatino Linotype"/>
                <w:b/>
                <w:sz w:val="22"/>
                <w:szCs w:val="22"/>
              </w:rPr>
            </w:pPr>
          </w:p>
          <w:p w14:paraId="1F2CEA36" w14:textId="77777777" w:rsidR="006E6F7D" w:rsidRPr="00A57D42" w:rsidRDefault="006E6F7D" w:rsidP="00F45A48">
            <w:pPr>
              <w:spacing w:after="240" w:line="360" w:lineRule="auto"/>
              <w:jc w:val="both"/>
              <w:rPr>
                <w:rFonts w:ascii="Palatino Linotype" w:eastAsia="Palatino Linotype" w:hAnsi="Palatino Linotype" w:cs="Palatino Linotype"/>
                <w:b/>
                <w:sz w:val="22"/>
                <w:szCs w:val="22"/>
              </w:rPr>
            </w:pPr>
          </w:p>
          <w:p w14:paraId="1921EC44" w14:textId="77777777" w:rsidR="006E6F7D" w:rsidRPr="00A57D42" w:rsidRDefault="006E6F7D" w:rsidP="00F45A48">
            <w:pPr>
              <w:spacing w:after="240" w:line="360" w:lineRule="auto"/>
              <w:jc w:val="both"/>
              <w:rPr>
                <w:rFonts w:ascii="Palatino Linotype" w:eastAsia="Palatino Linotype" w:hAnsi="Palatino Linotype" w:cs="Palatino Linotype"/>
                <w:b/>
                <w:sz w:val="22"/>
                <w:szCs w:val="22"/>
              </w:rPr>
            </w:pPr>
          </w:p>
          <w:p w14:paraId="6AB43AF5" w14:textId="77777777" w:rsidR="00D54714" w:rsidRPr="00A57D42" w:rsidRDefault="00D54714" w:rsidP="00D54714">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No hubo pronunciamiento </w:t>
            </w:r>
          </w:p>
          <w:p w14:paraId="1F46A9E3" w14:textId="77777777" w:rsidR="005C0DE2" w:rsidRPr="00A57D42" w:rsidRDefault="005C0DE2" w:rsidP="00D54714">
            <w:pPr>
              <w:spacing w:after="240" w:line="360" w:lineRule="auto"/>
              <w:jc w:val="both"/>
              <w:rPr>
                <w:rFonts w:ascii="Palatino Linotype" w:eastAsia="Palatino Linotype" w:hAnsi="Palatino Linotype" w:cs="Palatino Linotype"/>
                <w:b/>
                <w:sz w:val="22"/>
                <w:szCs w:val="22"/>
              </w:rPr>
            </w:pPr>
          </w:p>
          <w:p w14:paraId="1DC190E7" w14:textId="4571AD97" w:rsidR="005C0DE2" w:rsidRPr="00A57D42" w:rsidRDefault="005C0DE2" w:rsidP="00D54714">
            <w:pPr>
              <w:spacing w:after="240" w:line="360" w:lineRule="auto"/>
              <w:jc w:val="both"/>
              <w:rPr>
                <w:rFonts w:ascii="Palatino Linotype" w:eastAsia="Palatino Linotype" w:hAnsi="Palatino Linotype" w:cs="Palatino Linotype"/>
                <w:b/>
                <w:sz w:val="22"/>
                <w:szCs w:val="22"/>
              </w:rPr>
            </w:pPr>
          </w:p>
        </w:tc>
        <w:tc>
          <w:tcPr>
            <w:tcW w:w="1984" w:type="dxa"/>
          </w:tcPr>
          <w:p w14:paraId="5DE761E9" w14:textId="77777777" w:rsidR="006E6F7D" w:rsidRPr="00A57D42" w:rsidRDefault="006E6F7D" w:rsidP="001162BC">
            <w:pPr>
              <w:spacing w:after="240" w:line="360" w:lineRule="auto"/>
              <w:jc w:val="center"/>
              <w:rPr>
                <w:rFonts w:ascii="Palatino Linotype" w:eastAsia="Palatino Linotype" w:hAnsi="Palatino Linotype" w:cs="Palatino Linotype"/>
                <w:b/>
                <w:sz w:val="22"/>
                <w:szCs w:val="22"/>
              </w:rPr>
            </w:pPr>
          </w:p>
          <w:p w14:paraId="10A3FDBE" w14:textId="77777777" w:rsidR="006E6F7D" w:rsidRPr="00A57D42" w:rsidRDefault="006E6F7D" w:rsidP="001162BC">
            <w:pPr>
              <w:spacing w:after="240" w:line="360" w:lineRule="auto"/>
              <w:jc w:val="center"/>
              <w:rPr>
                <w:rFonts w:ascii="Palatino Linotype" w:eastAsia="Palatino Linotype" w:hAnsi="Palatino Linotype" w:cs="Palatino Linotype"/>
                <w:b/>
                <w:sz w:val="22"/>
                <w:szCs w:val="22"/>
              </w:rPr>
            </w:pPr>
          </w:p>
          <w:p w14:paraId="277804E7" w14:textId="5F85B481" w:rsidR="001162BC" w:rsidRPr="00A57D42" w:rsidRDefault="00EB6A1E" w:rsidP="001162BC">
            <w:pPr>
              <w:spacing w:after="240" w:line="360" w:lineRule="auto"/>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Si colma</w:t>
            </w:r>
          </w:p>
          <w:p w14:paraId="4260D847" w14:textId="77777777" w:rsidR="00D54714" w:rsidRPr="00A57D42" w:rsidRDefault="00D54714" w:rsidP="001162BC">
            <w:pPr>
              <w:spacing w:after="240" w:line="360" w:lineRule="auto"/>
              <w:jc w:val="center"/>
              <w:rPr>
                <w:rFonts w:ascii="Palatino Linotype" w:eastAsia="Palatino Linotype" w:hAnsi="Palatino Linotype" w:cs="Palatino Linotype"/>
                <w:b/>
                <w:sz w:val="22"/>
                <w:szCs w:val="22"/>
              </w:rPr>
            </w:pPr>
          </w:p>
          <w:p w14:paraId="68008E8B" w14:textId="77777777" w:rsidR="00437E24" w:rsidRPr="00A57D42" w:rsidRDefault="00437E24" w:rsidP="00D54714">
            <w:pPr>
              <w:spacing w:after="240" w:line="360" w:lineRule="auto"/>
              <w:rPr>
                <w:rFonts w:ascii="Palatino Linotype" w:eastAsia="Palatino Linotype" w:hAnsi="Palatino Linotype" w:cs="Palatino Linotype"/>
                <w:b/>
                <w:sz w:val="22"/>
                <w:szCs w:val="22"/>
              </w:rPr>
            </w:pPr>
          </w:p>
          <w:p w14:paraId="7D998B25" w14:textId="376CE7AC" w:rsidR="00D54714" w:rsidRPr="00A57D42" w:rsidRDefault="00D54714" w:rsidP="00D54714">
            <w:pPr>
              <w:spacing w:after="240" w:line="360" w:lineRule="auto"/>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Falta la experiencia.</w:t>
            </w:r>
          </w:p>
          <w:p w14:paraId="42DB516B" w14:textId="77777777" w:rsidR="006E6F7D" w:rsidRPr="00A57D42" w:rsidRDefault="006E6F7D" w:rsidP="00D54714">
            <w:pPr>
              <w:spacing w:after="240" w:line="360" w:lineRule="auto"/>
              <w:rPr>
                <w:rFonts w:ascii="Palatino Linotype" w:eastAsia="Palatino Linotype" w:hAnsi="Palatino Linotype" w:cs="Palatino Linotype"/>
                <w:b/>
                <w:sz w:val="22"/>
                <w:szCs w:val="22"/>
              </w:rPr>
            </w:pPr>
          </w:p>
          <w:p w14:paraId="72CF60CA" w14:textId="77777777" w:rsidR="006E6F7D" w:rsidRPr="00A57D42" w:rsidRDefault="006E6F7D" w:rsidP="00D54714">
            <w:pPr>
              <w:spacing w:after="240" w:line="360" w:lineRule="auto"/>
              <w:rPr>
                <w:rFonts w:ascii="Palatino Linotype" w:eastAsia="Palatino Linotype" w:hAnsi="Palatino Linotype" w:cs="Palatino Linotype"/>
                <w:b/>
                <w:sz w:val="22"/>
                <w:szCs w:val="22"/>
              </w:rPr>
            </w:pPr>
          </w:p>
          <w:p w14:paraId="02DD375F" w14:textId="1A71EA0E" w:rsidR="00D54714" w:rsidRPr="00A57D42" w:rsidRDefault="006E6F7D" w:rsidP="00D54714">
            <w:pPr>
              <w:spacing w:after="240" w:line="360" w:lineRule="auto"/>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Parcialmente faltan certificaciones y el documento donde conste la experiencia.</w:t>
            </w:r>
          </w:p>
          <w:p w14:paraId="0D2B4E11" w14:textId="7D9F4BF1" w:rsidR="005C0DE2" w:rsidRPr="00A57D42" w:rsidRDefault="005C0DE2" w:rsidP="00D54714">
            <w:pPr>
              <w:spacing w:after="240" w:line="360" w:lineRule="auto"/>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No colma</w:t>
            </w:r>
          </w:p>
          <w:p w14:paraId="25E0A7EA" w14:textId="0D722A3A" w:rsidR="00D54714" w:rsidRPr="00A57D42" w:rsidRDefault="00D54714" w:rsidP="00D54714">
            <w:pPr>
              <w:spacing w:after="240" w:line="360" w:lineRule="auto"/>
              <w:rPr>
                <w:rFonts w:ascii="Palatino Linotype" w:eastAsia="Palatino Linotype" w:hAnsi="Palatino Linotype" w:cs="Palatino Linotype"/>
                <w:b/>
                <w:sz w:val="22"/>
                <w:szCs w:val="22"/>
              </w:rPr>
            </w:pPr>
          </w:p>
        </w:tc>
      </w:tr>
    </w:tbl>
    <w:p w14:paraId="332E65BC" w14:textId="77777777" w:rsidR="00985944" w:rsidRPr="00A57D42" w:rsidRDefault="00985944" w:rsidP="00F45A48">
      <w:pPr>
        <w:spacing w:after="240" w:line="360" w:lineRule="auto"/>
        <w:jc w:val="both"/>
        <w:rPr>
          <w:rFonts w:ascii="Palatino Linotype" w:eastAsia="Palatino Linotype" w:hAnsi="Palatino Linotype" w:cs="Palatino Linotype"/>
          <w:b/>
          <w:sz w:val="22"/>
          <w:szCs w:val="22"/>
        </w:rPr>
      </w:pPr>
    </w:p>
    <w:p w14:paraId="1FBCA953" w14:textId="0F3EF1BF" w:rsidR="00272298" w:rsidRPr="00A57D42" w:rsidRDefault="009F6FA9"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Respecto a los puntos 1, 2 y 6, el Sujeto Obligado refiere que dicha información se localiza en las actas de cabildo, las cuales se proporcionaron en </w:t>
      </w:r>
      <w:r w:rsidR="002224BB" w:rsidRPr="00A57D42">
        <w:rPr>
          <w:rFonts w:ascii="Palatino Linotype" w:eastAsia="Palatino Linotype" w:hAnsi="Palatino Linotype" w:cs="Palatino Linotype"/>
          <w:sz w:val="22"/>
          <w:szCs w:val="22"/>
        </w:rPr>
        <w:t>respuesta de enero a junio de dos mil veinticinco, siendo un total de veintitrés actas de cabildo; se inserta imagen de referencia:</w:t>
      </w:r>
    </w:p>
    <w:p w14:paraId="5C3BE15E" w14:textId="30ED7C41" w:rsidR="002224BB" w:rsidRPr="00A57D42" w:rsidRDefault="002224BB" w:rsidP="002224BB">
      <w:pPr>
        <w:spacing w:after="240" w:line="360" w:lineRule="auto"/>
        <w:jc w:val="center"/>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21C48482" wp14:editId="062CF56C">
            <wp:extent cx="1722474" cy="387746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38079" cy="3912592"/>
                    </a:xfrm>
                    <a:prstGeom prst="rect">
                      <a:avLst/>
                    </a:prstGeom>
                  </pic:spPr>
                </pic:pic>
              </a:graphicData>
            </a:graphic>
          </wp:inline>
        </w:drawing>
      </w:r>
    </w:p>
    <w:p w14:paraId="23B89658" w14:textId="34792048" w:rsidR="00272298" w:rsidRPr="00A57D42" w:rsidRDefault="00D71C79"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Cabe señalar que, quien dio respuesta es el Secretario del Ayuntamiento,</w:t>
      </w:r>
      <w:r w:rsidR="000821E5" w:rsidRPr="00A57D42">
        <w:rPr>
          <w:rFonts w:ascii="Palatino Linotype" w:eastAsia="Palatino Linotype" w:hAnsi="Palatino Linotype" w:cs="Palatino Linotype"/>
          <w:sz w:val="22"/>
          <w:szCs w:val="22"/>
        </w:rPr>
        <w:t xml:space="preserve"> área que de acuerdo a la Ley Orgánica Municipal del Estado de México tiene las siguientes atribuciones:</w:t>
      </w:r>
    </w:p>
    <w:p w14:paraId="7CA2F4B5" w14:textId="77777777" w:rsidR="000821E5" w:rsidRPr="00A57D42" w:rsidRDefault="000821E5" w:rsidP="00187E84">
      <w:pPr>
        <w:spacing w:after="240" w:line="360" w:lineRule="auto"/>
        <w:ind w:left="567" w:right="843"/>
        <w:jc w:val="both"/>
        <w:rPr>
          <w:rFonts w:ascii="Palatino Linotype" w:hAnsi="Palatino Linotype"/>
          <w:i/>
          <w:sz w:val="22"/>
          <w:szCs w:val="22"/>
        </w:rPr>
      </w:pPr>
      <w:r w:rsidRPr="00A57D42">
        <w:rPr>
          <w:rFonts w:ascii="Palatino Linotype" w:hAnsi="Palatino Linotype"/>
          <w:i/>
          <w:sz w:val="22"/>
          <w:szCs w:val="22"/>
        </w:rPr>
        <w:t xml:space="preserve">Artículo 91.- La Secretaría del Ayuntamiento estará a cargo de un Secretario, el que, sin ser miembro del mismo, deberá ser nombrado por el propio Ayuntamiento a propuesta del Presidente Municipal como lo marca el artículo 31 de la presente ley. Sus faltas temporales serán cubiertas por quien designe el Ayuntamiento y sus atribuciones son las siguientes: </w:t>
      </w:r>
    </w:p>
    <w:p w14:paraId="25D84426" w14:textId="1292B3C6"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I. Asistir a las sesiones del ayuntamiento y levantar las actas correspondientes;</w:t>
      </w:r>
    </w:p>
    <w:p w14:paraId="21077BB0" w14:textId="77777777"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II. Emitir los citatorios para la celebración de las sesiones de cabildo, convocadas legalmente; </w:t>
      </w:r>
    </w:p>
    <w:p w14:paraId="00F4357C" w14:textId="77777777" w:rsidR="000821E5" w:rsidRPr="00A57D42" w:rsidRDefault="000821E5" w:rsidP="00187E84">
      <w:pPr>
        <w:spacing w:after="240" w:line="360" w:lineRule="auto"/>
        <w:ind w:left="567" w:right="843"/>
        <w:jc w:val="both"/>
        <w:rPr>
          <w:rFonts w:ascii="Palatino Linotype" w:hAnsi="Palatino Linotype"/>
          <w:i/>
          <w:sz w:val="22"/>
          <w:szCs w:val="22"/>
        </w:rPr>
      </w:pPr>
      <w:r w:rsidRPr="00A57D42">
        <w:rPr>
          <w:rFonts w:ascii="Palatino Linotype" w:hAnsi="Palatino Linotype"/>
          <w:i/>
          <w:sz w:val="22"/>
          <w:szCs w:val="22"/>
        </w:rPr>
        <w:t xml:space="preserve">III. Dar cuenta en la primera sesión de cada mes, del número y contenido de los expedientes pasados a comisión, con mención de los que hayan sido resueltos y de los pendientes; </w:t>
      </w:r>
    </w:p>
    <w:p w14:paraId="2D01AE67" w14:textId="77777777"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IV. Llevar y conservar los libros de actas de cabildo, obteniendo las firmas de los asistentes a las sesiones; </w:t>
      </w:r>
    </w:p>
    <w:p w14:paraId="0986F06B" w14:textId="77777777"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V. Validar con su firma, los documentos oficiales emanados del ayuntamiento o de cualquiera de sus miembros; </w:t>
      </w:r>
    </w:p>
    <w:p w14:paraId="7AE8DF56" w14:textId="77777777"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VI. Tener a su cargo el archivo general del ayuntamiento; </w:t>
      </w:r>
    </w:p>
    <w:p w14:paraId="6592F189" w14:textId="52CCD642"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VII. Controlar y distribuir la correspondencia oficial del ayuntamiento, dando cuenta diaria al presidente municipal para acordar su trámite; </w:t>
      </w:r>
    </w:p>
    <w:p w14:paraId="760F89EB" w14:textId="77777777"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VIII. Publicar los reglamentos, circulares y demás disposiciones municipales de observancia general; </w:t>
      </w:r>
    </w:p>
    <w:p w14:paraId="17449119" w14:textId="4D2AE844" w:rsidR="000821E5" w:rsidRPr="00A57D42" w:rsidRDefault="000821E5" w:rsidP="00187E84">
      <w:pPr>
        <w:spacing w:after="240" w:line="360" w:lineRule="auto"/>
        <w:ind w:left="567" w:right="843"/>
        <w:jc w:val="both"/>
        <w:rPr>
          <w:rFonts w:ascii="Palatino Linotype" w:hAnsi="Palatino Linotype"/>
          <w:b/>
          <w:i/>
          <w:sz w:val="22"/>
          <w:szCs w:val="22"/>
        </w:rPr>
      </w:pPr>
      <w:r w:rsidRPr="00A57D42">
        <w:rPr>
          <w:rFonts w:ascii="Palatino Linotype" w:hAnsi="Palatino Linotype"/>
          <w:b/>
          <w:i/>
          <w:sz w:val="22"/>
          <w:szCs w:val="22"/>
        </w:rPr>
        <w:t xml:space="preserve">IX. Compilar leyes, decretos, reglamentos, periódicos oficiales del estado, circulares y órdenes relativas a los distintos sectores de la administración pública municipal; </w:t>
      </w:r>
    </w:p>
    <w:p w14:paraId="74BB1F0C" w14:textId="18DBE6B9" w:rsidR="000821E5" w:rsidRPr="00A57D42" w:rsidRDefault="00187E84"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w:t>
      </w:r>
    </w:p>
    <w:p w14:paraId="372C012E" w14:textId="77777777" w:rsidR="00A62289" w:rsidRPr="00A57D42" w:rsidRDefault="00187E84"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Entre las atribuciones del Secretario del Ayuntamiento está asistir a las sesiones de cabildo, levantar y resguardar las actas de las mismas, las cuales contienen los acuerdos adoptados por la máxima autoridad municipal, así como validar los documentos oficiales emanados por los integrantes del cabildo</w:t>
      </w:r>
      <w:r w:rsidR="00A62289" w:rsidRPr="00A57D42">
        <w:rPr>
          <w:rFonts w:ascii="Palatino Linotype" w:eastAsia="Palatino Linotype" w:hAnsi="Palatino Linotype" w:cs="Palatino Linotype"/>
          <w:sz w:val="22"/>
          <w:szCs w:val="22"/>
        </w:rPr>
        <w:t>.</w:t>
      </w:r>
    </w:p>
    <w:p w14:paraId="68A7119D" w14:textId="77777777" w:rsidR="00A62289" w:rsidRPr="00A57D42" w:rsidRDefault="00A62289" w:rsidP="00F45A48">
      <w:pPr>
        <w:spacing w:after="240" w:line="360" w:lineRule="auto"/>
        <w:jc w:val="both"/>
        <w:rPr>
          <w:rFonts w:ascii="Palatino Linotype" w:eastAsia="Palatino Linotype" w:hAnsi="Palatino Linotype" w:cs="Palatino Linotype"/>
          <w:sz w:val="22"/>
          <w:szCs w:val="22"/>
        </w:rPr>
      </w:pPr>
    </w:p>
    <w:p w14:paraId="142C8FCE" w14:textId="08982026" w:rsidR="00A62289" w:rsidRPr="00A57D42" w:rsidRDefault="00A62289"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Además, a través del informe justificado, se proporcionó un documento que se integra de sesenta y dos páginas que contienen los acuerdos certificados de cabildo de enero al treinta de junio de dos mil veinticinco; se inserta una imagen aleatoria del contenido del documento:</w:t>
      </w:r>
    </w:p>
    <w:p w14:paraId="5E986633" w14:textId="5E2818A2" w:rsidR="00A62289" w:rsidRPr="00A57D42" w:rsidRDefault="00A62289"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4345DE29" wp14:editId="1106D824">
            <wp:extent cx="5756275" cy="458089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275" cy="4580890"/>
                    </a:xfrm>
                    <a:prstGeom prst="rect">
                      <a:avLst/>
                    </a:prstGeom>
                  </pic:spPr>
                </pic:pic>
              </a:graphicData>
            </a:graphic>
          </wp:inline>
        </w:drawing>
      </w:r>
    </w:p>
    <w:p w14:paraId="4AFFB8CA" w14:textId="345C7BB0" w:rsidR="00A62289" w:rsidRPr="00A57D42" w:rsidRDefault="00A62289" w:rsidP="00A62289">
      <w:pPr>
        <w:pBdr>
          <w:top w:val="nil"/>
          <w:left w:val="nil"/>
          <w:bottom w:val="nil"/>
          <w:right w:val="nil"/>
          <w:between w:val="nil"/>
        </w:pBd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Por lo anterior, al haber existido un pronunciamiento por parte del Servidor Público Habilitado, siendo el área de la Secretaría del Ayuntamiento, es que se tiene que se siguió con ello el procedimiento para la atención a las solicitudes de acceso a la información, establecido en los artículos 151, 160, 162, 163, 164, 165 y 166, de la Ley de Transparencia y Acceso a la Información Pública del Estado de México y Municipios:  </w:t>
      </w:r>
    </w:p>
    <w:p w14:paraId="4F61084E" w14:textId="77777777" w:rsidR="00A62289" w:rsidRPr="00A57D42" w:rsidRDefault="00A62289" w:rsidP="00CF1172">
      <w:pPr>
        <w:spacing w:after="240"/>
        <w:ind w:left="28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Las Unidades de Transparencia de los sujetos obligados deben garantizar las medidas y condiciones de accesibilidad para que toda persona pueda ejercer el derecho de acceso a la información; por lo que, son las responsables de hacer las notificaciones correspondientes, además de llevar a cabo todas las gestiones necesarias para facilitar el acceso de la información; </w:t>
      </w:r>
    </w:p>
    <w:p w14:paraId="588879E4" w14:textId="77777777" w:rsidR="00A62289" w:rsidRPr="00A57D42" w:rsidRDefault="00A62289" w:rsidP="00CF1172">
      <w:pPr>
        <w:spacing w:after="240"/>
        <w:ind w:left="28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La respuesta a los requerimientos informativos, deberá notificarse al interesado en el menor tiempo posible, que no podrá exceder de quince días hábiles, contados a partir del día siguiente a la presentación de esta.  </w:t>
      </w:r>
    </w:p>
    <w:p w14:paraId="06B90CB4" w14:textId="77777777" w:rsidR="00A62289" w:rsidRPr="00A57D42" w:rsidRDefault="00A62289" w:rsidP="00CF1172">
      <w:pPr>
        <w:spacing w:after="240"/>
        <w:ind w:left="28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Excepcionalmente, el plazo referido podrá ampliarse por siete días hábiles más, cuando existan razones fundadas y motivadas, a través del Comité de Transparencia; </w:t>
      </w:r>
    </w:p>
    <w:p w14:paraId="042905F3" w14:textId="77777777" w:rsidR="00A62289" w:rsidRPr="00A57D42" w:rsidRDefault="00A62289" w:rsidP="00CF1172">
      <w:pPr>
        <w:spacing w:after="240"/>
        <w:ind w:left="28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Las Unidades de Transparencia garantizarán que las solicitudes se turnen a todas las áreas competentes que cuenten con la información o deban tenerla de acuerdo a sus facultades, funciones y atribuciones, para que realicen una búsqueda exhaustiva y razonable de la documentación solicitada, con el fin de que proporcionen las expresiones documentales que se encuentren en sus archivos o que estén constreñidos a elaborar; </w:t>
      </w:r>
    </w:p>
    <w:p w14:paraId="34D5E35D" w14:textId="77777777" w:rsidR="00A62289" w:rsidRPr="00A57D42" w:rsidRDefault="00A62289" w:rsidP="00CF1172">
      <w:pPr>
        <w:spacing w:after="240"/>
        <w:ind w:left="28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El acceso se dará en la modalidad de entrega y en su caso, de envío elegido por la solicitante, cuando no pueda entregarse en dicha modalidad, el Sujeto Obligado deberá ofrecer otras; por lo cual, deberá fundar y motivar la necesidad de modificar el medio de entrega; y </w:t>
      </w:r>
    </w:p>
    <w:p w14:paraId="0C804772" w14:textId="77777777" w:rsidR="00A62289" w:rsidRPr="00A57D42" w:rsidRDefault="00A62289" w:rsidP="00CF1172">
      <w:pPr>
        <w:spacing w:after="240"/>
        <w:ind w:left="28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Las Unidades de Transparencia, tendrán disponible la información requerida durante un plazo mínimo de sesenta días hábiles, contados a partir de que la solicitante hubiere realizado, en su caso, el pago respectivo, el cual deberá efectuarse en un plazo no mayor a treinta días hábiles; por lo que, una vez transcurrida dicha temporalidad, los Sujetos Obligados darán por concluida la solicitud y procederán de ser el caso, a la destrucción del material; </w:t>
      </w:r>
    </w:p>
    <w:p w14:paraId="7B6C627D" w14:textId="49B399D0" w:rsidR="00272298" w:rsidRPr="00A57D42" w:rsidRDefault="00A62289" w:rsidP="00CF1172">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este orden de ideas, se reitera que la solicitud al turnarse a la unidad administrativa que cuentan con atribuciones para generar, administrar o poseer la información </w:t>
      </w:r>
      <w:r w:rsidR="00CF1172" w:rsidRPr="00A57D42">
        <w:rPr>
          <w:rFonts w:ascii="Palatino Linotype" w:eastAsia="Palatino Linotype" w:hAnsi="Palatino Linotype" w:cs="Palatino Linotype"/>
          <w:sz w:val="22"/>
          <w:szCs w:val="22"/>
        </w:rPr>
        <w:t>requerida por el particular</w:t>
      </w:r>
      <w:r w:rsidR="00CF1172" w:rsidRPr="00A57D42">
        <w:rPr>
          <w:rFonts w:ascii="Palatino Linotype" w:eastAsia="Palatino Linotype" w:hAnsi="Palatino Linotype" w:cs="Palatino Linotype"/>
          <w:strike/>
          <w:sz w:val="22"/>
          <w:szCs w:val="22"/>
        </w:rPr>
        <w:t>,</w:t>
      </w:r>
      <w:r w:rsidRPr="00A57D42">
        <w:rPr>
          <w:rFonts w:ascii="Palatino Linotype" w:eastAsia="Palatino Linotype" w:hAnsi="Palatino Linotype" w:cs="Palatino Linotype"/>
          <w:sz w:val="22"/>
          <w:szCs w:val="22"/>
        </w:rPr>
        <w:t xml:space="preserve"> es que se acreditó la correcta búsqueda exhaustiva y razonable de la información.</w:t>
      </w:r>
    </w:p>
    <w:p w14:paraId="1F5A5865" w14:textId="77777777" w:rsidR="00CF1172" w:rsidRPr="00A57D42" w:rsidRDefault="00CF1172" w:rsidP="00CF1172">
      <w:pPr>
        <w:spacing w:line="360" w:lineRule="auto"/>
        <w:jc w:val="both"/>
        <w:rPr>
          <w:rFonts w:ascii="Palatino Linotype" w:eastAsia="Palatino Linotype" w:hAnsi="Palatino Linotype" w:cs="Palatino Linotype"/>
          <w:sz w:val="22"/>
          <w:szCs w:val="22"/>
        </w:rPr>
      </w:pPr>
    </w:p>
    <w:p w14:paraId="5B01EA6C" w14:textId="555D00BE" w:rsidR="00A62289" w:rsidRPr="00A57D42" w:rsidRDefault="00A62289"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Además, al haber entregado la información respecto a </w:t>
      </w:r>
      <w:r w:rsidR="00B0171C" w:rsidRPr="00A57D42">
        <w:rPr>
          <w:rFonts w:ascii="Palatino Linotype" w:eastAsia="Palatino Linotype" w:hAnsi="Palatino Linotype" w:cs="Palatino Linotype"/>
          <w:sz w:val="22"/>
          <w:szCs w:val="22"/>
        </w:rPr>
        <w:t>los siguientes puntos, es que se tiene que colman en su totalidad los identificados c</w:t>
      </w:r>
      <w:r w:rsidR="00D56DA2" w:rsidRPr="00A57D42">
        <w:rPr>
          <w:rFonts w:ascii="Palatino Linotype" w:eastAsia="Palatino Linotype" w:hAnsi="Palatino Linotype" w:cs="Palatino Linotype"/>
          <w:sz w:val="22"/>
          <w:szCs w:val="22"/>
        </w:rPr>
        <w:t>on los numerales 2 y 6; sin embargo, para el caso del requerimiento identificado con el numeral 1, no escapa de la óptica de este organismo garante que el particular solicitó la información también en copias certificadas.</w:t>
      </w:r>
    </w:p>
    <w:p w14:paraId="1549AD28" w14:textId="77777777" w:rsidR="00FA2C83" w:rsidRPr="00A57D42" w:rsidRDefault="00FA2C83" w:rsidP="00FA2C83">
      <w:pPr>
        <w:suppressAutoHyphens/>
        <w:spacing w:before="240" w:after="240" w:line="360" w:lineRule="auto"/>
        <w:ind w:right="49"/>
        <w:jc w:val="both"/>
        <w:rPr>
          <w:rFonts w:ascii="Palatino Linotype" w:eastAsia="Calibri" w:hAnsi="Palatino Linotype"/>
          <w:sz w:val="22"/>
          <w:szCs w:val="22"/>
          <w:lang w:eastAsia="en-US"/>
        </w:rPr>
      </w:pPr>
      <w:r w:rsidRPr="00A57D42">
        <w:rPr>
          <w:rFonts w:ascii="Palatino Linotype" w:eastAsia="Palatino Linotype" w:hAnsi="Palatino Linotype" w:cs="Palatino Linotype"/>
          <w:sz w:val="22"/>
          <w:szCs w:val="22"/>
        </w:rPr>
        <w:t>Por lo que se refiere a la entrega mediante</w:t>
      </w:r>
      <w:r w:rsidRPr="00A57D42">
        <w:rPr>
          <w:rFonts w:ascii="Palatino Linotype" w:eastAsia="Palatino Linotype" w:hAnsi="Palatino Linotype" w:cs="Palatino Linotype"/>
          <w:b/>
          <w:sz w:val="22"/>
          <w:szCs w:val="22"/>
        </w:rPr>
        <w:t xml:space="preserve"> copia certificada</w:t>
      </w:r>
      <w:r w:rsidRPr="00A57D42">
        <w:rPr>
          <w:rFonts w:ascii="Palatino Linotype" w:eastAsia="Palatino Linotype" w:hAnsi="Palatino Linotype" w:cs="Palatino Linotype"/>
          <w:sz w:val="22"/>
          <w:szCs w:val="22"/>
        </w:rPr>
        <w:t xml:space="preserve">, </w:t>
      </w:r>
      <w:r w:rsidRPr="00A57D42">
        <w:rPr>
          <w:rFonts w:ascii="Palatino Linotype" w:eastAsia="Batang" w:hAnsi="Palatino Linotype" w:cs="Arial"/>
          <w:iCs/>
          <w:sz w:val="22"/>
          <w:szCs w:val="22"/>
          <w:lang w:val="es-AR"/>
        </w:rPr>
        <w:t xml:space="preserve">es importante que este Instituto le haga de conocimiento que </w:t>
      </w:r>
      <w:r w:rsidRPr="00A57D42">
        <w:rPr>
          <w:rFonts w:ascii="Palatino Linotype" w:hAnsi="Palatino Linotype"/>
          <w:sz w:val="22"/>
          <w:szCs w:val="22"/>
        </w:rPr>
        <w:t xml:space="preserve">dicha entrega </w:t>
      </w:r>
      <w:r w:rsidRPr="00A57D42">
        <w:rPr>
          <w:rFonts w:ascii="Palatino Linotype" w:hAnsi="Palatino Linotype"/>
          <w:b/>
          <w:bCs/>
          <w:sz w:val="22"/>
          <w:szCs w:val="22"/>
        </w:rPr>
        <w:t xml:space="preserve">deviene con costo, </w:t>
      </w:r>
      <w:r w:rsidRPr="00A57D42">
        <w:rPr>
          <w:rFonts w:ascii="Palatino Linotype" w:hAnsi="Palatino Linotype"/>
          <w:sz w:val="22"/>
          <w:szCs w:val="22"/>
        </w:rPr>
        <w:t>mismo que</w:t>
      </w:r>
      <w:r w:rsidRPr="00A57D42">
        <w:rPr>
          <w:rFonts w:ascii="Palatino Linotype" w:eastAsia="Calibri" w:hAnsi="Palatino Linotype" w:cs="Arial"/>
          <w:sz w:val="22"/>
          <w:szCs w:val="22"/>
          <w:lang w:eastAsia="en-US"/>
        </w:rPr>
        <w:t xml:space="preserve"> se encuentra previsto en el artículo 174 fracción III de la Ley de Transparencia y Acceso a la Información Pública del Estado de México y Municipios, el cual dispone </w:t>
      </w:r>
      <w:r w:rsidRPr="00A57D42">
        <w:rPr>
          <w:rFonts w:ascii="Palatino Linotype" w:eastAsia="Calibri" w:hAnsi="Palatino Linotype"/>
          <w:sz w:val="22"/>
          <w:szCs w:val="22"/>
          <w:lang w:eastAsia="en-US"/>
        </w:rPr>
        <w:t>en caso de existir costos para obtener la información deberán cubrirse de manera previa a la entrega y no podrán ser superiores a la suma de la certificación de los documentos.</w:t>
      </w:r>
    </w:p>
    <w:p w14:paraId="46848FBA" w14:textId="77777777" w:rsidR="00FA2C83" w:rsidRPr="00A57D42" w:rsidRDefault="00FA2C83" w:rsidP="00FA2C83">
      <w:pPr>
        <w:suppressAutoHyphens/>
        <w:spacing w:before="240" w:after="240" w:line="360" w:lineRule="auto"/>
        <w:ind w:right="49"/>
        <w:jc w:val="both"/>
        <w:rPr>
          <w:rFonts w:ascii="Palatino Linotype" w:eastAsia="Calibri" w:hAnsi="Palatino Linotype"/>
          <w:sz w:val="22"/>
          <w:szCs w:val="22"/>
          <w:lang w:eastAsia="en-US"/>
        </w:rPr>
      </w:pPr>
      <w:r w:rsidRPr="00A57D42">
        <w:rPr>
          <w:rFonts w:ascii="Palatino Linotype" w:eastAsia="Calibri" w:hAnsi="Palatino Linotype"/>
          <w:sz w:val="22"/>
          <w:szCs w:val="22"/>
          <w:lang w:eastAsia="en-US"/>
        </w:rPr>
        <w:t>Las cuotas de los derechos aplicables deberán establecerse, en su caso, en el Código Financiero del Estado de México y Municipios y demás disposiciones jurídicas aplicables, las cuales se publicarán en los sitios de internet de los sujetos obligados. En su determinación se deberá considerar que los montos permitan o faciliten el ejercicio del derecho de acceso a la información.</w:t>
      </w:r>
    </w:p>
    <w:p w14:paraId="668AB540" w14:textId="77777777" w:rsidR="00FA2C83" w:rsidRPr="00A57D42" w:rsidRDefault="00FA2C83" w:rsidP="00FA2C83">
      <w:pPr>
        <w:suppressAutoHyphens/>
        <w:spacing w:before="240" w:after="240" w:line="360" w:lineRule="auto"/>
        <w:ind w:right="49"/>
        <w:jc w:val="both"/>
        <w:rPr>
          <w:rFonts w:ascii="Palatino Linotype" w:hAnsi="Palatino Linotype"/>
          <w:iCs/>
          <w:sz w:val="22"/>
          <w:szCs w:val="22"/>
        </w:rPr>
      </w:pPr>
      <w:r w:rsidRPr="00A57D42">
        <w:rPr>
          <w:rFonts w:ascii="Palatino Linotype" w:hAnsi="Palatino Linotype"/>
          <w:iCs/>
          <w:sz w:val="22"/>
          <w:szCs w:val="22"/>
        </w:rPr>
        <w:t>Lo anterior, tomando en cuenta lo dispuesto por el Código Financiero del Estado de México y Municipios, el cual regula la actividad financiera estatal y municipal, entendiendo a dicha actividad la que comprende la obtención, administración y aplicación de los ingresos públicos, así como lo conducente a la transparencia y difusión de la información financiera relativa al presupuesto, ejercicio, evaluación y rendición de cuentas, en apego a las disposiciones aplicables en la materia.</w:t>
      </w:r>
    </w:p>
    <w:p w14:paraId="72583A8E" w14:textId="77777777" w:rsidR="00FA2C83" w:rsidRPr="00A57D42" w:rsidRDefault="00FA2C83" w:rsidP="00FA2C83">
      <w:pPr>
        <w:suppressAutoHyphens/>
        <w:spacing w:before="240" w:after="240" w:line="360" w:lineRule="auto"/>
        <w:ind w:right="49"/>
        <w:jc w:val="both"/>
        <w:rPr>
          <w:rFonts w:ascii="Palatino Linotype" w:hAnsi="Palatino Linotype"/>
          <w:iCs/>
          <w:sz w:val="22"/>
          <w:szCs w:val="22"/>
        </w:rPr>
      </w:pPr>
      <w:r w:rsidRPr="00A57D42">
        <w:rPr>
          <w:rFonts w:ascii="Palatino Linotype" w:hAnsi="Palatino Linotype"/>
          <w:iCs/>
          <w:sz w:val="22"/>
          <w:szCs w:val="22"/>
        </w:rPr>
        <w:t>Por tanto, se tiene que el artículo 7, del Código referido establece que, para cubrir el gasto público y demás obligaciones a su cargo, el Estado y los Municipios percibirán en cada ejercicio fiscal los impuestos, derechos, aportaciones de mejoras, productos, aprovechamientos, ingresos derivados de la coordinación hacendaria, e ingresos provenientes de financiamientos, establecidos en la Ley de ingresos. Asimismo, el artículo 9 en su fracción II define a los derechos como las contraprestaciones establecidas en este Código que deben pagar las personas físicas y jurídicas colectivas, por el uso o aprovechamiento de los bienes del domino público de la Entidad, así como por recibir servicios que preste, el Estado, sus organismos y Municipios en funciones de derecho público.</w:t>
      </w:r>
    </w:p>
    <w:p w14:paraId="3DCB3F6A" w14:textId="77777777" w:rsidR="00FA2C83" w:rsidRPr="00A57D42" w:rsidRDefault="00FA2C83" w:rsidP="00FA2C83">
      <w:pPr>
        <w:spacing w:before="240" w:after="240" w:line="360" w:lineRule="auto"/>
        <w:ind w:firstLine="1"/>
        <w:jc w:val="both"/>
        <w:rPr>
          <w:rFonts w:ascii="Palatino Linotype" w:hAnsi="Palatino Linotype"/>
          <w:iCs/>
          <w:sz w:val="22"/>
          <w:szCs w:val="22"/>
        </w:rPr>
      </w:pPr>
      <w:r w:rsidRPr="00A57D42">
        <w:rPr>
          <w:rFonts w:ascii="Palatino Linotype" w:hAnsi="Palatino Linotype"/>
          <w:iCs/>
          <w:sz w:val="22"/>
          <w:szCs w:val="22"/>
        </w:rPr>
        <w:t>Así, se tiene que el cobro por la certificación de los documentos a entregar, es un ingreso al que tienen derecho los municipios y su destino es cubrir el gasto público y demás obligaciones a su cargo, toda vez que es una ganancia lícita que se debe obtener con el cumplimiento de la obligación del Recurrente a realizar el pago establecido en el artículo 148 del Código Financiero:</w:t>
      </w:r>
    </w:p>
    <w:p w14:paraId="394C99A7" w14:textId="77777777" w:rsidR="00FA2C83" w:rsidRPr="00A57D42" w:rsidRDefault="00FA2C83" w:rsidP="00FA2C83">
      <w:pPr>
        <w:spacing w:before="240" w:after="240" w:line="360" w:lineRule="auto"/>
        <w:ind w:firstLine="1"/>
        <w:jc w:val="center"/>
        <w:rPr>
          <w:rFonts w:ascii="Palatino Linotype" w:hAnsi="Palatino Linotype"/>
          <w:iCs/>
          <w:sz w:val="22"/>
          <w:szCs w:val="22"/>
        </w:rPr>
      </w:pPr>
      <w:r w:rsidRPr="00A57D42">
        <w:rPr>
          <w:rFonts w:ascii="Palatino Linotype" w:hAnsi="Palatino Linotype"/>
          <w:iCs/>
          <w:noProof/>
          <w:sz w:val="22"/>
          <w:szCs w:val="22"/>
        </w:rPr>
        <w:drawing>
          <wp:inline distT="0" distB="0" distL="0" distR="0" wp14:anchorId="0F0ADAC4" wp14:editId="63324096">
            <wp:extent cx="5242173" cy="4021394"/>
            <wp:effectExtent l="0" t="0" r="317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60357" cy="4112056"/>
                    </a:xfrm>
                    <a:prstGeom prst="rect">
                      <a:avLst/>
                    </a:prstGeom>
                  </pic:spPr>
                </pic:pic>
              </a:graphicData>
            </a:graphic>
          </wp:inline>
        </w:drawing>
      </w:r>
    </w:p>
    <w:p w14:paraId="4AAF74D5" w14:textId="77777777" w:rsidR="00FA2C83" w:rsidRPr="00A57D42" w:rsidRDefault="00FA2C83" w:rsidP="00FA2C83">
      <w:pPr>
        <w:spacing w:before="100" w:beforeAutospacing="1" w:after="100" w:afterAutospacing="1" w:line="360" w:lineRule="auto"/>
        <w:ind w:firstLine="1"/>
        <w:jc w:val="both"/>
        <w:rPr>
          <w:rFonts w:ascii="Palatino Linotype" w:hAnsi="Palatino Linotype"/>
          <w:iCs/>
          <w:sz w:val="22"/>
          <w:szCs w:val="22"/>
        </w:rPr>
      </w:pPr>
      <w:r w:rsidRPr="00A57D42">
        <w:rPr>
          <w:rFonts w:ascii="Palatino Linotype" w:hAnsi="Palatino Linotype"/>
          <w:iCs/>
          <w:sz w:val="22"/>
          <w:szCs w:val="22"/>
        </w:rPr>
        <w:t>Del precepto legal en cita, se advierten los costos que deben observarse y realizar el respectivo cobro.</w:t>
      </w:r>
    </w:p>
    <w:p w14:paraId="4821EF10" w14:textId="77777777" w:rsidR="00FA2C83" w:rsidRPr="00A57D42" w:rsidRDefault="00FA2C83" w:rsidP="00FA2C83">
      <w:pPr>
        <w:spacing w:before="100" w:beforeAutospacing="1" w:after="100" w:afterAutospacing="1" w:line="360" w:lineRule="auto"/>
        <w:jc w:val="both"/>
        <w:rPr>
          <w:rFonts w:ascii="Palatino Linotype" w:eastAsia="Calibri" w:hAnsi="Palatino Linotype"/>
          <w:sz w:val="22"/>
          <w:szCs w:val="22"/>
          <w:lang w:eastAsia="en-US"/>
        </w:rPr>
      </w:pPr>
      <w:r w:rsidRPr="00A57D42">
        <w:rPr>
          <w:rFonts w:ascii="Palatino Linotype" w:eastAsia="Calibri" w:hAnsi="Palatino Linotype" w:cs="Arial"/>
          <w:sz w:val="22"/>
          <w:szCs w:val="22"/>
          <w:lang w:eastAsia="en-US"/>
        </w:rPr>
        <w:t xml:space="preserve">Dicha modalidad de entrega en copias certificadas no implica que se tenga que acudir ante un </w:t>
      </w:r>
      <w:r w:rsidRPr="00A57D42">
        <w:rPr>
          <w:rFonts w:ascii="Palatino Linotype" w:eastAsia="Calibri" w:hAnsi="Palatino Linotype"/>
          <w:sz w:val="22"/>
          <w:szCs w:val="22"/>
          <w:lang w:eastAsia="en-US"/>
        </w:rPr>
        <w:t>notario o fedatario público, sino que faculta a los servidores públicos para que expidan certificaciones de los documentos solicitados que obran en los archivos de las dependencias o entidades en copia simple u original según sea el caso.</w:t>
      </w:r>
    </w:p>
    <w:p w14:paraId="58DD10ED" w14:textId="77777777" w:rsidR="00FA2C83" w:rsidRPr="00A57D42" w:rsidRDefault="00FA2C83" w:rsidP="00FA2C83">
      <w:pPr>
        <w:spacing w:after="160" w:line="360" w:lineRule="auto"/>
        <w:jc w:val="both"/>
        <w:rPr>
          <w:rFonts w:ascii="Palatino Linotype" w:eastAsia="Calibri" w:hAnsi="Palatino Linotype"/>
          <w:sz w:val="22"/>
          <w:szCs w:val="22"/>
          <w:lang w:eastAsia="en-US"/>
        </w:rPr>
      </w:pPr>
      <w:r w:rsidRPr="00A57D42">
        <w:rPr>
          <w:rFonts w:ascii="Palatino Linotype" w:eastAsia="Calibri" w:hAnsi="Palatino Linotype" w:cs="Arial"/>
          <w:sz w:val="22"/>
          <w:szCs w:val="22"/>
        </w:rPr>
        <w:t xml:space="preserve">Al respecto, </w:t>
      </w:r>
      <w:r w:rsidRPr="00A57D42">
        <w:rPr>
          <w:rFonts w:ascii="Palatino Linotype" w:eastAsia="Calibri" w:hAnsi="Palatino Linotype"/>
          <w:sz w:val="22"/>
          <w:szCs w:val="22"/>
          <w:lang w:eastAsia="en-US"/>
        </w:rPr>
        <w:t xml:space="preserve">el Poder Judicial de la Federación ha establecido que los servidores públicos tendrán la facultad para la expedición de copias respecto de los documentos que obren en sus archivos, y que el derecho de los particulares de solicitar copias es respecto de los documentos que obran en las oficinas públicas. </w:t>
      </w:r>
    </w:p>
    <w:p w14:paraId="33DF4551" w14:textId="77777777" w:rsidR="00FA2C83" w:rsidRPr="00A57D42" w:rsidRDefault="00FA2C83" w:rsidP="00FA2C83">
      <w:pPr>
        <w:spacing w:after="160" w:line="360" w:lineRule="auto"/>
        <w:jc w:val="both"/>
        <w:rPr>
          <w:rFonts w:ascii="Palatino Linotype" w:eastAsia="Calibri" w:hAnsi="Palatino Linotype" w:cs="Arial"/>
          <w:sz w:val="22"/>
          <w:szCs w:val="22"/>
          <w:lang w:eastAsia="en-US"/>
        </w:rPr>
      </w:pPr>
      <w:r w:rsidRPr="00A57D42">
        <w:rPr>
          <w:rFonts w:ascii="Palatino Linotype" w:eastAsia="Calibri" w:hAnsi="Palatino Linotype"/>
          <w:sz w:val="22"/>
          <w:szCs w:val="22"/>
          <w:lang w:eastAsia="en-US"/>
        </w:rPr>
        <w:t>Por otra parte, la Suprema Corte de Justicia de la Nación también ha establecido el derecho de los particulares de solicitar copia o testimonio de documentos o piezas que obran en las oficinas públicas y por ende la obligación de las autoridades, de expedir las copias certificadas que les soliciten</w:t>
      </w:r>
      <w:r w:rsidRPr="00A57D42">
        <w:rPr>
          <w:rFonts w:ascii="Palatino Linotype" w:eastAsia="Calibri" w:hAnsi="Palatino Linotype" w:cs="Arial"/>
          <w:sz w:val="22"/>
          <w:szCs w:val="22"/>
          <w:lang w:eastAsia="en-US"/>
        </w:rPr>
        <w:t>.</w:t>
      </w:r>
      <w:r w:rsidRPr="00A57D42">
        <w:rPr>
          <w:rFonts w:ascii="Palatino Linotype" w:eastAsia="Calibri" w:hAnsi="Palatino Linotype" w:cs="Arial"/>
          <w:sz w:val="22"/>
          <w:szCs w:val="22"/>
          <w:vertAlign w:val="superscript"/>
          <w:lang w:eastAsia="en-US"/>
        </w:rPr>
        <w:footnoteReference w:id="1"/>
      </w:r>
    </w:p>
    <w:p w14:paraId="1772F983" w14:textId="77777777" w:rsidR="00FA2C83" w:rsidRPr="00A57D42" w:rsidRDefault="00FA2C83" w:rsidP="00FA2C83">
      <w:pPr>
        <w:spacing w:after="160" w:line="360" w:lineRule="auto"/>
        <w:jc w:val="both"/>
        <w:rPr>
          <w:rFonts w:ascii="Palatino Linotype" w:eastAsia="Calibri" w:hAnsi="Palatino Linotype"/>
          <w:sz w:val="22"/>
          <w:szCs w:val="22"/>
          <w:lang w:eastAsia="en-US"/>
        </w:rPr>
      </w:pPr>
      <w:r w:rsidRPr="00A57D42">
        <w:rPr>
          <w:rFonts w:ascii="Palatino Linotype" w:eastAsia="Calibri" w:hAnsi="Palatino Linotype"/>
          <w:sz w:val="22"/>
          <w:szCs w:val="22"/>
          <w:lang w:eastAsia="en-US"/>
        </w:rPr>
        <w:t>Sirve de fundamentación a lo antes expresado, el criterio 2/09 del entonces Instituto Federal de Acceso a la Información Pública y Protección de Datos Personales que se transcribe a continuación para la claridad de las razones que justifican la actuación de este órgano garante.</w:t>
      </w:r>
    </w:p>
    <w:p w14:paraId="30DADC33" w14:textId="77777777" w:rsidR="00FA2C83" w:rsidRPr="00A57D42" w:rsidRDefault="00FA2C83" w:rsidP="00FA2C83">
      <w:pPr>
        <w:spacing w:after="160" w:line="256" w:lineRule="auto"/>
        <w:ind w:left="851" w:right="616"/>
        <w:jc w:val="both"/>
        <w:rPr>
          <w:rFonts w:ascii="Palatino Linotype" w:eastAsia="Calibri" w:hAnsi="Palatino Linotype"/>
          <w:i/>
          <w:sz w:val="22"/>
          <w:szCs w:val="22"/>
          <w:lang w:eastAsia="en-US"/>
        </w:rPr>
      </w:pPr>
      <w:r w:rsidRPr="00A57D42">
        <w:rPr>
          <w:rFonts w:ascii="Palatino Linotype" w:eastAsia="Calibri" w:hAnsi="Palatino Linotype"/>
          <w:b/>
          <w:i/>
          <w:sz w:val="22"/>
          <w:szCs w:val="22"/>
          <w:lang w:eastAsia="en-US"/>
        </w:rPr>
        <w:t>“Copias certificadas. La certificación prevista en la Ley Federal de Transparencia y Acceso a la Información Pública Gubernamental corrobora que el documento es una copia fiel del que obra en los archivos de la dependencia o entidad.</w:t>
      </w:r>
      <w:r w:rsidRPr="00A57D42">
        <w:rPr>
          <w:rFonts w:ascii="Palatino Linotype" w:eastAsia="Calibri" w:hAnsi="Palatino Linotype"/>
          <w:i/>
          <w:sz w:val="22"/>
          <w:szCs w:val="22"/>
          <w:lang w:eastAsia="en-US"/>
        </w:rPr>
        <w:t xml:space="preserve"> El artículo 40, fracción IV de la Ley Federal de Transparencia y Acceso a la Información Pública Gubernamental prevé la posibilidad de que el solicitante elija que la entrega de la información sea en copias certificadas. Por su parte, el artículo 44 de la misma ley establece, entre otras cuestiones, que las respuestas a solicitudes se deberán atender en la mayor medida de lo posible a la solicitud del interesado. Considerando que el artículo 1° de la ley en cita tiene como finalidad proveer lo necesario para garantizar el acceso de toda persona a la información en posesión de las autoridades, la certificación a que se refiere la Ley Federal de Transparencia y Acceso a la Información Pública Gubernamental tiene por efecto constatar que la copia certificada que se entrega es una reproducción fiel del documento -original o copia simple- que obra en los archivos de la dependencia o entidad requerida. En ese orden de ideas, la certificación, para efectos de acceso a la información, a diferencia del concepto que tradicionalmente se ha sostenido en diversas tesis de la Suprema Corte de Justicia de la Nación, no tiene como propósito que el documento certificado haga las veces de un original, sino dejar evidencia de que los documentos obran en los archivos de los sujetos obligados, tal cual se encuentran.”</w:t>
      </w:r>
    </w:p>
    <w:p w14:paraId="573E608D" w14:textId="77777777" w:rsidR="00FA2C83" w:rsidRPr="00A57D42" w:rsidRDefault="00FA2C83" w:rsidP="00FA2C83">
      <w:p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Calibri" w:hAnsi="Palatino Linotype" w:cs="Arial"/>
          <w:sz w:val="22"/>
          <w:szCs w:val="22"/>
        </w:rPr>
        <w:t xml:space="preserve">Ahora bien, para la entrega de la información certificada tal y como fue solicitada por la parte </w:t>
      </w:r>
      <w:r w:rsidRPr="00A57D42">
        <w:rPr>
          <w:rFonts w:ascii="Palatino Linotype" w:eastAsia="Calibri" w:hAnsi="Palatino Linotype" w:cs="Arial"/>
          <w:b/>
          <w:sz w:val="22"/>
          <w:szCs w:val="22"/>
        </w:rPr>
        <w:t xml:space="preserve">Recurrente </w:t>
      </w:r>
      <w:r w:rsidRPr="00A57D42">
        <w:rPr>
          <w:rFonts w:ascii="Palatino Linotype" w:eastAsia="Calibri" w:hAnsi="Palatino Linotype" w:cs="Arial"/>
          <w:sz w:val="22"/>
          <w:szCs w:val="22"/>
        </w:rPr>
        <w:t>en el asunto que nos ocupa, debemos tener en cuenta que los L</w:t>
      </w:r>
      <w:r w:rsidRPr="00A57D42">
        <w:rPr>
          <w:rFonts w:ascii="Palatino Linotype" w:eastAsia="Calibri" w:hAnsi="Palatino Linotype"/>
          <w:sz w:val="22"/>
          <w:szCs w:val="22"/>
        </w:rPr>
        <w:t xml:space="preserve">ineamientos para la Recepción, Trámite y Resolución de las solicitudes de acceso a la información pública, así como de los recursos de revisión que deberán observar los sujetos obligados por la Ley de Transparencia y Acceso a la Información Pública del Estado de México y Municipios, disponen en el numeral treinta y ocho incisos e), f) y h), establecen que en el caso de que la información se haya solicitado en una modalidad que sea técnicamente factible y que constituya un costo de reproducción, </w:t>
      </w:r>
      <w:r w:rsidRPr="00A57D42">
        <w:rPr>
          <w:rFonts w:ascii="Palatino Linotype" w:eastAsia="Calibri" w:hAnsi="Palatino Linotype"/>
          <w:b/>
          <w:sz w:val="22"/>
          <w:szCs w:val="22"/>
          <w:u w:val="single"/>
        </w:rPr>
        <w:t>se deberá informar al solicitante a través de los sistemas electrónicos</w:t>
      </w:r>
      <w:r w:rsidRPr="00A57D42">
        <w:rPr>
          <w:rFonts w:ascii="Palatino Linotype" w:eastAsia="Calibri" w:hAnsi="Palatino Linotype"/>
          <w:sz w:val="22"/>
          <w:szCs w:val="22"/>
        </w:rPr>
        <w:t>,</w:t>
      </w:r>
      <w:r w:rsidRPr="00A57D42">
        <w:rPr>
          <w:rFonts w:ascii="Palatino Linotype" w:eastAsia="Calibri" w:hAnsi="Palatino Linotype"/>
          <w:b/>
          <w:sz w:val="22"/>
          <w:szCs w:val="22"/>
        </w:rPr>
        <w:t xml:space="preserve"> </w:t>
      </w:r>
      <w:r w:rsidRPr="00A57D42">
        <w:rPr>
          <w:rFonts w:ascii="Palatino Linotype" w:eastAsia="Palatino Linotype" w:hAnsi="Palatino Linotype" w:cs="Palatino Linotype"/>
          <w:b/>
          <w:sz w:val="22"/>
          <w:szCs w:val="22"/>
        </w:rPr>
        <w:t xml:space="preserve">el nombre del servidor público que lo atenderá, domicilio de la Unidad de Transparencia, los días, horarios de atención, y en su caso, </w:t>
      </w:r>
      <w:r w:rsidRPr="00A57D42">
        <w:rPr>
          <w:rFonts w:ascii="Palatino Linotype" w:eastAsia="Palatino Linotype" w:hAnsi="Palatino Linotype" w:cs="Palatino Linotype"/>
          <w:b/>
          <w:sz w:val="22"/>
          <w:szCs w:val="22"/>
          <w:u w:val="single"/>
        </w:rPr>
        <w:t>el costo total de reproducción</w:t>
      </w:r>
      <w:r w:rsidRPr="00A57D42">
        <w:rPr>
          <w:rFonts w:ascii="Palatino Linotype" w:eastAsia="Palatino Linotype" w:hAnsi="Palatino Linotype" w:cs="Palatino Linotype"/>
          <w:sz w:val="22"/>
          <w:szCs w:val="22"/>
        </w:rPr>
        <w:t>, asimismo que, en caso que la información se programe de manera calendarizada, el Sujeto Obligado deberá tener disponible la información correspondiente a la entrega de la primera fecha, y en caso que el particular no acuda por la información, no tendrá la obligación de generar las subsecuentes, hasta en tanto no se presente por el primer soporte documental.</w:t>
      </w:r>
    </w:p>
    <w:p w14:paraId="043C6D86" w14:textId="1594AF36" w:rsidR="00FA2C83" w:rsidRPr="00A57D42" w:rsidRDefault="00FA2C83" w:rsidP="00FA2C83">
      <w:pPr>
        <w:tabs>
          <w:tab w:val="left" w:pos="3544"/>
        </w:tabs>
        <w:spacing w:before="240" w:after="240" w:line="360" w:lineRule="auto"/>
        <w:ind w:left="3544" w:right="49" w:hanging="3544"/>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el presente asunto en particular, el Sujeto Obligado señaló lo siguiente:</w:t>
      </w:r>
    </w:p>
    <w:p w14:paraId="04125FBF" w14:textId="033BB9F1"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Costo individual por foja;</w:t>
      </w:r>
    </w:p>
    <w:p w14:paraId="0946F922" w14:textId="4C4A2218"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Número total de fojas;</w:t>
      </w:r>
    </w:p>
    <w:p w14:paraId="2558F23F" w14:textId="5B633DCE"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Costo total de la información;</w:t>
      </w:r>
    </w:p>
    <w:p w14:paraId="530ADB51" w14:textId="6D1848B7"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Horario de atención;</w:t>
      </w:r>
    </w:p>
    <w:p w14:paraId="7ED149EB" w14:textId="1A41ED85"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Días de atención;</w:t>
      </w:r>
    </w:p>
    <w:p w14:paraId="6E41BDF0" w14:textId="5AA81E30"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Áreas administrativas;</w:t>
      </w:r>
    </w:p>
    <w:p w14:paraId="7E9AF0E6" w14:textId="0BE3ED82" w:rsidR="00FA2C83" w:rsidRPr="00A57D42" w:rsidRDefault="00FA2C83" w:rsidP="008414EE">
      <w:pPr>
        <w:pStyle w:val="Prrafodelista"/>
        <w:numPr>
          <w:ilvl w:val="0"/>
          <w:numId w:val="9"/>
        </w:numPr>
        <w:tabs>
          <w:tab w:val="left" w:pos="3544"/>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Domicilio de las áreas administrativas</w:t>
      </w:r>
    </w:p>
    <w:p w14:paraId="4FEFCD8B" w14:textId="6F9CA3F4" w:rsidR="00FA2C83" w:rsidRPr="00A57D42" w:rsidRDefault="00FA2C83" w:rsidP="00FA2C83">
      <w:pPr>
        <w:tabs>
          <w:tab w:val="left" w:pos="3686"/>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Sin embargo, el Sujeto Obligado fue omiso en señalar el tiempo que estará disponible la información, así como tampoco el nombre de los servidores públicos que estarán a cargo de su atención, situación que incumple con los elementos establecidos por los lineamientos antes mencionados. </w:t>
      </w:r>
    </w:p>
    <w:p w14:paraId="3DAD3F50" w14:textId="7D325E2B" w:rsidR="00FA2C83" w:rsidRPr="00A57D42" w:rsidRDefault="00FA2C83" w:rsidP="00CF1172">
      <w:pPr>
        <w:tabs>
          <w:tab w:val="left" w:pos="3686"/>
        </w:tabs>
        <w:spacing w:before="240" w:after="24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consecuencia, se ORDENA al Sujeto Obligado entregar </w:t>
      </w:r>
      <w:r w:rsidR="00CF1172" w:rsidRPr="00A57D42">
        <w:rPr>
          <w:rFonts w:ascii="Palatino Linotype" w:eastAsia="Palatino Linotype" w:hAnsi="Palatino Linotype" w:cs="Palatino Linotype"/>
          <w:sz w:val="22"/>
          <w:szCs w:val="22"/>
        </w:rPr>
        <w:t>en copias certificadas la informacón que requirió el particular y para ello, deberá señalar los días y horarios de entrega, el nombre de el o los servidores públicos que lo atenderán y el plazo que estará disponible la información.</w:t>
      </w:r>
    </w:p>
    <w:p w14:paraId="71865F37" w14:textId="5D951054" w:rsidR="00A62289" w:rsidRPr="00A57D42" w:rsidRDefault="00926509"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Registro de quejas o denuncias ante la Contraloría Interna</w:t>
      </w:r>
      <w:r w:rsidR="008642CE" w:rsidRPr="00A57D42">
        <w:rPr>
          <w:rFonts w:ascii="Palatino Linotype" w:eastAsia="Palatino Linotype" w:hAnsi="Palatino Linotype" w:cs="Palatino Linotype"/>
          <w:b/>
          <w:sz w:val="22"/>
          <w:szCs w:val="22"/>
        </w:rPr>
        <w:t xml:space="preserve"> y procedimientos administrativos</w:t>
      </w:r>
      <w:r w:rsidR="00CF1172" w:rsidRPr="00A57D42">
        <w:rPr>
          <w:rFonts w:ascii="Palatino Linotype" w:eastAsia="Palatino Linotype" w:hAnsi="Palatino Linotype" w:cs="Palatino Linotype"/>
          <w:b/>
          <w:sz w:val="22"/>
          <w:szCs w:val="22"/>
        </w:rPr>
        <w:t xml:space="preserve"> de la Presidenta Municipal y/o el Secretario del Ayuntamiento</w:t>
      </w:r>
    </w:p>
    <w:p w14:paraId="44DE3FC4" w14:textId="77777777" w:rsidR="00257B2F" w:rsidRPr="00A57D42" w:rsidRDefault="00257B2F" w:rsidP="00257B2F">
      <w:pPr>
        <w:spacing w:before="240" w:after="240" w:line="360" w:lineRule="auto"/>
        <w:ind w:right="4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Derivado de la naturaleza de la información requerida, es necesario traer a contexto el artículo 10, de la Ley de Responsabilidades Administrativas del Estado de México y Municipios, en su parte conducente, confiere a los órganos internos de control la atribución para investigar, sustanciar calificar faltas administrativas en el ámbito de su competencia, así como de  iniciar, substanciar, y resolver los procedimientos de responsabilidad administrativa en los términos previstos en dicha Ley, respecto de aquellos actos u omisiones que hayan sido calificados como faltas no graves.</w:t>
      </w:r>
    </w:p>
    <w:p w14:paraId="1D412BA1" w14:textId="77777777" w:rsidR="00257B2F" w:rsidRPr="00A57D42" w:rsidRDefault="00257B2F" w:rsidP="00257B2F">
      <w:pPr>
        <w:spacing w:before="240" w:after="240" w:line="360" w:lineRule="auto"/>
        <w:ind w:right="4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el precepto en cita dispone que en aquellos casos en los cuales las autoridades investigadoras determinen en su calificación la existencia de faltas administrativas, así como la presunta responsabilidad del infractor, deben elaborar el Informe de Presunta Responsabilidad Administrativa y presentarlo a la autoridad sustanciadora para que procese en los términos de la Ley de Responsabilidades de la entidad.</w:t>
      </w:r>
    </w:p>
    <w:p w14:paraId="683388C4" w14:textId="77777777" w:rsidR="00257B2F" w:rsidRPr="00A57D42" w:rsidRDefault="00257B2F" w:rsidP="00257B2F">
      <w:pPr>
        <w:spacing w:before="240" w:after="240" w:line="360" w:lineRule="auto"/>
        <w:ind w:right="4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Al respecto, es importante mencionar que en términos de los artículos 3 fracciones XIII y XVI, 10 y 13 de la Ley de Responsabilidades Ley de Responsabilidades Administrativas del Estado de México y Municipios los órganos internos de control son competentes para investigar, substanciación y calificación de las faltas administrativas, </w:t>
      </w:r>
      <w:r w:rsidRPr="00A57D42">
        <w:rPr>
          <w:rFonts w:ascii="Palatino Linotype" w:eastAsia="Palatino Linotype" w:hAnsi="Palatino Linotype" w:cs="Palatino Linotype"/>
          <w:sz w:val="22"/>
          <w:szCs w:val="22"/>
          <w:u w:val="single"/>
        </w:rPr>
        <w:t>así como imponer sanciones respecto de las faltas administrativas no graves de los servidores públicos</w:t>
      </w:r>
      <w:r w:rsidRPr="00A57D42">
        <w:rPr>
          <w:rFonts w:ascii="Palatino Linotype" w:eastAsia="Palatino Linotype" w:hAnsi="Palatino Linotype" w:cs="Palatino Linotype"/>
          <w:sz w:val="22"/>
          <w:szCs w:val="22"/>
        </w:rPr>
        <w:t>; mientras que el Tribunal de Justicia Administrativa del Estado de México es competente para imponer sanciones por faltas graves de servidores públicos, así como por actos u omisiones de personas físicas o jurídicas colectivas que se encuentran vinculadas con las faltas administrativas graves.</w:t>
      </w:r>
    </w:p>
    <w:p w14:paraId="1C12B9C5" w14:textId="77777777" w:rsidR="00257B2F" w:rsidRPr="00A57D42" w:rsidRDefault="00257B2F" w:rsidP="00257B2F">
      <w:pPr>
        <w:spacing w:before="240" w:after="240" w:line="360" w:lineRule="auto"/>
        <w:ind w:right="4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Atento a lo anterior, se colige que la Contraloría Interna cuenta con atribuciones para conocer de la información solicitada por la parte Recurrente, al ser el órgano responsable de investigación, substanciación y calificación de las faltas administrativas, así como de imponer sanciones respecto de las faltas administrativas no graves de los servidores públicos, por lo tanto, la Unidad de Transparencia cumplió el procedimiento de búsqueda establecido en los artículos 151, 159, 160, 162, 163, 164, 165 y 166, de la Ley de Transparencia y Acceso a la Información Pública del Estado de México y Municipio, el cual se constituye como la garantía primaria del derecho humano de acceso a la información pública, el cual se rige por los principios de simplicidad, rapidez, gratuidad del procedimiento, auxilio y orientación a las personas solicitantes con el fin de otorgar la protección más amplia de este derecho.</w:t>
      </w:r>
    </w:p>
    <w:p w14:paraId="156D89FE" w14:textId="77777777"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Ahora bien, por lo que se refiere a la materia de la solicitud, debe mencionarse que con motivo de la entrada en vigor de la Ley del Sistema Anticorrupción del Estado de México y Municipios publicada en el periódico oficial "Gaceta del Gobierno" el treinta de mayo de 2017, que establece que </w:t>
      </w:r>
      <w:r w:rsidRPr="00A57D42">
        <w:rPr>
          <w:rFonts w:ascii="Palatino Linotype" w:eastAsia="Palatino Linotype" w:hAnsi="Palatino Linotype" w:cs="Palatino Linotype"/>
          <w:sz w:val="22"/>
          <w:szCs w:val="22"/>
          <w:u w:val="single"/>
        </w:rPr>
        <w:t>las sanciones no graves no serán públicas</w:t>
      </w:r>
      <w:r w:rsidRPr="00A57D42">
        <w:rPr>
          <w:rFonts w:ascii="Palatino Linotype" w:eastAsia="Palatino Linotype" w:hAnsi="Palatino Linotype" w:cs="Palatino Linotype"/>
          <w:sz w:val="22"/>
          <w:szCs w:val="22"/>
        </w:rPr>
        <w:t>, toda vez que dicha información únicamente es de interés para los Poderes Ejecutivo, Legislativo y Judicial, los Ayuntamiento, Organismos Auxiliares, Fideicomisos Públicos y los Órganos Constitucionalmente Autónomos, en virtud de que exclusivamente se deriva de la relación entre autoridades administrativas y el dueño de los datos personales, para acatar las disposiciones contenidas en el artículo 53 de la citada Ley Anticorrupción y que son de la literalidad siguiente:</w:t>
      </w:r>
    </w:p>
    <w:p w14:paraId="26539D6E"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“Artículo 53. Las sanciones impuestas por faltas administrativas graves serán del conocimiento público </w:t>
      </w:r>
      <w:r w:rsidRPr="00A57D42">
        <w:rPr>
          <w:rFonts w:ascii="Palatino Linotype" w:eastAsia="Palatino Linotype" w:hAnsi="Palatino Linotype" w:cs="Palatino Linotype"/>
          <w:i/>
          <w:iCs/>
          <w:sz w:val="22"/>
          <w:szCs w:val="22"/>
          <w:u w:val="single"/>
        </w:rPr>
        <w:t>cuando éstas contengan impedimentos o inhabilitaciones</w:t>
      </w:r>
      <w:r w:rsidRPr="00A57D42">
        <w:rPr>
          <w:rFonts w:ascii="Palatino Linotype" w:eastAsia="Palatino Linotype" w:hAnsi="Palatino Linotype" w:cs="Palatino Linotype"/>
          <w:i/>
          <w:iCs/>
          <w:sz w:val="22"/>
          <w:szCs w:val="22"/>
        </w:rPr>
        <w:t xml:space="preserve"> para ser contratados como servidores públicos o como prestadores de servicios o contratistas del sector público, en términos de la Ley de Responsabilidades Administrativas del Estado de México y Municipios.</w:t>
      </w:r>
    </w:p>
    <w:p w14:paraId="70CB5BBA"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Los registros de </w:t>
      </w:r>
      <w:r w:rsidRPr="00A57D42">
        <w:rPr>
          <w:rFonts w:ascii="Palatino Linotype" w:eastAsia="Palatino Linotype" w:hAnsi="Palatino Linotype" w:cs="Palatino Linotype"/>
          <w:i/>
          <w:iCs/>
          <w:sz w:val="22"/>
          <w:szCs w:val="22"/>
          <w:u w:val="single"/>
        </w:rPr>
        <w:t>las sanciones relativas a responsabilidades administrativas no graves, quedarán registradas para efectos de eventual reincidencia, pero no serán públicas.</w:t>
      </w:r>
      <w:r w:rsidRPr="00A57D42">
        <w:rPr>
          <w:rFonts w:ascii="Palatino Linotype" w:eastAsia="Palatino Linotype" w:hAnsi="Palatino Linotype" w:cs="Palatino Linotype"/>
          <w:i/>
          <w:iCs/>
          <w:sz w:val="22"/>
          <w:szCs w:val="22"/>
        </w:rPr>
        <w:t>”</w:t>
      </w:r>
    </w:p>
    <w:p w14:paraId="448AD572" w14:textId="77777777" w:rsidR="00257B2F" w:rsidRPr="00A57D42" w:rsidRDefault="00257B2F" w:rsidP="00257B2F">
      <w:pPr>
        <w:spacing w:before="240" w:after="240" w:line="360" w:lineRule="auto"/>
        <w:ind w:right="6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ese sentido es importante, referir que la Ley de Responsabilidades Administrativas del Estado de México y Municipios, vigente, señala como faltas administrativas no graves, lo siguiente:</w:t>
      </w:r>
    </w:p>
    <w:p w14:paraId="1D2B5F64"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3. Para los efectos de la presente Ley, se entenderá por:</w:t>
      </w:r>
      <w:r w:rsidRPr="00A57D42">
        <w:rPr>
          <w:rFonts w:ascii="Palatino Linotype" w:eastAsia="Palatino Linotype" w:hAnsi="Palatino Linotype" w:cs="Palatino Linotype"/>
          <w:i/>
          <w:iCs/>
          <w:sz w:val="22"/>
          <w:szCs w:val="22"/>
        </w:rPr>
        <w:br/>
        <w:t xml:space="preserve"> ...</w:t>
      </w:r>
    </w:p>
    <w:p w14:paraId="23F7452A" w14:textId="77777777" w:rsidR="00257B2F" w:rsidRPr="00A57D42" w:rsidRDefault="00257B2F" w:rsidP="00257B2F">
      <w:pPr>
        <w:spacing w:before="120" w:after="120" w:line="360" w:lineRule="auto"/>
        <w:ind w:left="114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XIII. Falta administrativa no grave: A las faltas administrativas de los servidores públicos en los términos de la presente Ley, cuya imposición de la sanción corresponde a la Secretaría de la Contraloría del Estado de México y a los órganos internos de control.</w:t>
      </w:r>
    </w:p>
    <w:p w14:paraId="60251AD2" w14:textId="77777777" w:rsidR="00257B2F" w:rsidRPr="00A57D42" w:rsidRDefault="00257B2F" w:rsidP="00257B2F">
      <w:pPr>
        <w:spacing w:before="120" w:after="120" w:line="360" w:lineRule="auto"/>
        <w:ind w:left="114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0A82DDD5" w14:textId="77777777" w:rsidR="00257B2F" w:rsidRPr="00A57D42" w:rsidRDefault="00257B2F" w:rsidP="00257B2F">
      <w:pPr>
        <w:spacing w:before="240" w:after="240" w:line="360" w:lineRule="auto"/>
        <w:ind w:right="6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La Ley de Responsabilidades Administrativas vigente, contempla como faltas administrativas no graves, las cometidas por el servidor público que, con sus actos u omisiones, incumpla o transgreda sus obligaciones, entre las que se pueden englobar las establecidas en el artículo 50 de la Ley de responsabilidades en mérito:</w:t>
      </w:r>
    </w:p>
    <w:p w14:paraId="5984EB4D"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“Artículo 50. Incurre en </w:t>
      </w:r>
      <w:r w:rsidRPr="00A57D42">
        <w:rPr>
          <w:rFonts w:ascii="Palatino Linotype" w:eastAsia="Palatino Linotype" w:hAnsi="Palatino Linotype" w:cs="Palatino Linotype"/>
          <w:i/>
          <w:iCs/>
          <w:sz w:val="22"/>
          <w:szCs w:val="22"/>
          <w:u w:val="single"/>
        </w:rPr>
        <w:t>falta administrativa no grave</w:t>
      </w:r>
      <w:r w:rsidRPr="00A57D42">
        <w:rPr>
          <w:rFonts w:ascii="Palatino Linotype" w:eastAsia="Palatino Linotype" w:hAnsi="Palatino Linotype" w:cs="Palatino Linotype"/>
          <w:i/>
          <w:iCs/>
          <w:sz w:val="22"/>
          <w:szCs w:val="22"/>
        </w:rPr>
        <w:t>, el servidor público que con sus actos u omisiones, incumpla o transgreda las obligaciones siguientes:</w:t>
      </w:r>
    </w:p>
    <w:p w14:paraId="5B43C848"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I. Cumplir con las funciones, atribuciones y comisiones encomendadas, observando en su desempeño disciplina y respeto, tanto a los demás servidores públicos, a los particulares con los que llegare a tratar, en los términos que se establezcan en el </w:t>
      </w:r>
      <w:r w:rsidRPr="00A57D42">
        <w:rPr>
          <w:rFonts w:ascii="Palatino Linotype" w:eastAsia="Palatino Linotype" w:hAnsi="Palatino Linotype" w:cs="Palatino Linotype"/>
          <w:i/>
          <w:iCs/>
          <w:sz w:val="22"/>
          <w:szCs w:val="22"/>
          <w:u w:val="single"/>
        </w:rPr>
        <w:t>código de ética</w:t>
      </w:r>
      <w:r w:rsidRPr="00A57D42">
        <w:rPr>
          <w:rFonts w:ascii="Palatino Linotype" w:eastAsia="Palatino Linotype" w:hAnsi="Palatino Linotype" w:cs="Palatino Linotype"/>
          <w:i/>
          <w:iCs/>
          <w:sz w:val="22"/>
          <w:szCs w:val="22"/>
        </w:rPr>
        <w:t xml:space="preserve"> a que se refiere esta Ley.</w:t>
      </w:r>
    </w:p>
    <w:p w14:paraId="52674DCB"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Denunciar los actos u omisiones que en ejercicio de sus funciones llegare a advertir, que puedan constituir faltas administrativas en términos del artículo 95 de la presente Ley.</w:t>
      </w:r>
    </w:p>
    <w:p w14:paraId="60204434"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III. Atender las instrucciones de sus superiores, siempre que éstas sean acordes con las disposiciones relacionadas con el servicio público. En caso de recibir instrucción o encomienda contraria a dichas disposiciones, deberá denunciar esta circunstancia en términos del artículo 95 de la presente Ley.</w:t>
      </w:r>
    </w:p>
    <w:p w14:paraId="50E56877"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IV. Presentar en tiempo y forma la declaración de situación patrimonial y la de intereses que, en su caso, considere se actualice, en los términos establecidos por esta Ley.</w:t>
      </w:r>
    </w:p>
    <w:p w14:paraId="0BE57473"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 Rendir cuentas sobre el ejercicio de las funciones, en términos de las normas aplicables.</w:t>
      </w:r>
    </w:p>
    <w:p w14:paraId="7CB123BC"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VI. Colaborar en los procedimientos judiciales y administrativos en los que sea parte.</w:t>
      </w:r>
    </w:p>
    <w:p w14:paraId="32B4D9D6"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VII. Cerciorarse, antes de la celebración de contratos de adquisiciones, arrendamientos o para la enajenación de todo tipo de bienes, prestación de servicios de cualquier naturaleza o la contratación de obra pública o servicios relacionados con ésta, que el particular manifieste bajo protesta de decir verdad que no desempeña empleo, cargo o comisión en el servicio público o, en su caso, que a pesar de desempeñarlo, con la formalización del contrato correspondiente no se actualiza un conflicto de interés. Las manifestaciones respectivas deberán constar por escrito y hacerse del conocimiento del órgano interno de control, previo a la celebración del acto en cuestión. En caso que el contratista sea persona jurídica colectiva, dichas manifestaciones deberán presentarse respecto de los socios o accionistas que ejerzan control sobre la sociedad. Para efectos de la presente Ley, se entiende que un socio o accionista ejerce control sobre una sociedad cuando sean administradores o formen parte del consejo de administración, o bien conjunta o separadamente, directa o indirectamente, mantengan la titularidad de derechos que permitan ejercer el voto respecto de más del cincuenta por ciento del capital, tengan poder decisorio en sus asambleas, estén en posibilidades de nombrar a la mayoría de los miembros de su órgano de administración o por cualquier otro medio tengan facultades de tomar las decisiones fundamentales de dichas personas jurídicas colectivas.</w:t>
      </w:r>
    </w:p>
    <w:p w14:paraId="5F15A801"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VIII. Actuar y ejecutar legalmente con la máxima diligencia, los planes, programas, presupuestos y demás normas a fin de alcanzar las metas institucionales según sus responsabilidades, conforme a una cultura de servicio orientada al logro de resultados.</w:t>
      </w:r>
    </w:p>
    <w:p w14:paraId="5CDB1038"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IX. Registrar, integrar, custodiar y cuidar la documentación e información que por razón de su empleo, cargo o comisión, conserve bajo su cuidado y responsabilidad o a la cual tenga acceso, impidiendo o evitando el uso, divulgación, sustracción, destrucción, ocultamiento o inutilización indebidas de aquéllas.</w:t>
      </w:r>
    </w:p>
    <w:p w14:paraId="5B0A16B9"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 Observar buena conducta en su empleo, cargo o comisión tratando con respeto, diligencia, imparcialidad y rectitud a las personas y servidores públicos con los que tenga relación con motivo de éste.</w:t>
      </w:r>
    </w:p>
    <w:p w14:paraId="2D16A401"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XI. Observar un trato respetuoso con sus subalternos.</w:t>
      </w:r>
    </w:p>
    <w:p w14:paraId="589E8A50"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XII. Supervisar que los servidores públicos sujetos a su dirección, cumplan con las disposiciones de esta Ley.</w:t>
      </w:r>
    </w:p>
    <w:p w14:paraId="552CF1A2"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XIII. Cumplir con la entrega de índole administrativo del despacho y de toda aquella documentación inherente a su cargo, en los términos que establezcan las disposiciones legales o administrativas que al efecto se señalen.</w:t>
      </w:r>
    </w:p>
    <w:p w14:paraId="383EB423"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XIV. Proporcionar, en su caso, en tiempo y forma ante las dependencias competentes, la documentación comprobatoria de la aplicación de recursos económicos federales, estatales o municipales, asignados a través de los programas respectivos.</w:t>
      </w:r>
    </w:p>
    <w:p w14:paraId="589165D9"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XV. Abstenerse de solicitar requisitos, cargas tributarias o cualquier otro concepto adicional no previsto en la legislación aplicable, que tengan por objeto condicionar la expedición de licencias de funcionamiento para unidades económicas o negocios.</w:t>
      </w:r>
    </w:p>
    <w:p w14:paraId="5CFD2C71"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XVI. Cumplir con las disposiciones en materia de Gobierno Digital que impongan la Ley de la materia, su reglamento y demás disposiciones aplicables.</w:t>
      </w:r>
    </w:p>
    <w:p w14:paraId="779ED97E"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XVII. Utilizar las medidas de seguridad informática y protección de datos e información personal recomendada por las instancias competentes.</w:t>
      </w:r>
    </w:p>
    <w:p w14:paraId="240AACF0"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XVIII. Cumplir oportunamente con los laudos que dicte el Tribunal Estatal de Conciliación y Arbitraje o cualquier de las Salas Auxiliares del mismo, así como pagar el monto de las indemnizaciones y demás prestaciones a que tenga derecho el servidor público, y</w:t>
      </w:r>
    </w:p>
    <w:p w14:paraId="489937E6" w14:textId="77777777" w:rsidR="00257B2F" w:rsidRPr="00A57D42" w:rsidRDefault="00257B2F" w:rsidP="00257B2F">
      <w:pPr>
        <w:spacing w:before="120" w:after="120" w:line="360" w:lineRule="auto"/>
        <w:ind w:left="1000" w:right="10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XIX. Las demás que le impongan las leyes, reglamentos o disposiciones administrativas aplicables.”</w:t>
      </w:r>
    </w:p>
    <w:p w14:paraId="39023BAF" w14:textId="77777777" w:rsidR="00257B2F" w:rsidRPr="00A57D42" w:rsidRDefault="00257B2F" w:rsidP="00257B2F">
      <w:pPr>
        <w:spacing w:before="280" w:after="280" w:line="360" w:lineRule="auto"/>
        <w:ind w:right="4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 la misma manera, el artículo 51 de la Ley de Responsabilidades Administrativas indica que también serán consideradas faltas administrativas </w:t>
      </w:r>
      <w:r w:rsidRPr="00A57D42">
        <w:rPr>
          <w:rFonts w:ascii="Palatino Linotype" w:eastAsia="Palatino Linotype" w:hAnsi="Palatino Linotype" w:cs="Palatino Linotype"/>
          <w:sz w:val="22"/>
          <w:szCs w:val="22"/>
          <w:u w:val="single"/>
        </w:rPr>
        <w:t>no graves</w:t>
      </w:r>
      <w:r w:rsidRPr="00A57D42">
        <w:rPr>
          <w:rFonts w:ascii="Palatino Linotype" w:eastAsia="Palatino Linotype" w:hAnsi="Palatino Linotype" w:cs="Palatino Linotype"/>
          <w:sz w:val="22"/>
          <w:szCs w:val="22"/>
        </w:rPr>
        <w:t xml:space="preserve">, los daños y perjuicios que </w:t>
      </w:r>
      <w:r w:rsidRPr="00A57D42">
        <w:rPr>
          <w:rFonts w:ascii="Palatino Linotype" w:eastAsia="Palatino Linotype" w:hAnsi="Palatino Linotype" w:cs="Palatino Linotype"/>
          <w:sz w:val="22"/>
          <w:szCs w:val="22"/>
          <w:u w:val="single"/>
        </w:rPr>
        <w:t>de manera culposa o negligente y sin incurrir en alguna de las faltas administrativas graves</w:t>
      </w:r>
      <w:r w:rsidRPr="00A57D42">
        <w:rPr>
          <w:rFonts w:ascii="Palatino Linotype" w:eastAsia="Palatino Linotype" w:hAnsi="Palatino Linotype" w:cs="Palatino Linotype"/>
          <w:sz w:val="22"/>
          <w:szCs w:val="22"/>
        </w:rPr>
        <w:t>, cause un servidor público a la Hacienda Pública o al patrimonio de un ente público, siendo de suma importancia mencionar que la autoridad resolutora podrá abstenerse de imponer la sanción que corresponda cuando el daño o perjuicio a la Hacienda Pública Estatal o Municipal o al patrimonio de los entes públicos no exceda de dos mil veces el valor diario de la unidad de medida y actualización y el daño haya sido resarcido o recuperado, tal como se lee en seguida:</w:t>
      </w:r>
    </w:p>
    <w:p w14:paraId="25B88D34"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51. También se considerará falta administrativa no grave, los daños y perjuicios que, de manera culposa o negligente y sin incurrir en alguna de las faltas administrativas graves señaladas en el Capítulo siguiente, cause un servidor público a la Hacienda Pública o al patrimonio de un ente público.</w:t>
      </w:r>
    </w:p>
    <w:p w14:paraId="340DDB8F"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Los entes públicos o los particulares que, en términos de este artículo, hayan recibido recursos públicos sin tener derecho a los mismos, deberán reintegrar los mismos a la Hacienda Pública Estatal o Municipal o al patrimonio del ente público afectado en un plazo no mayor a 90 días, contados a partir de la notificación correspondiente por parte del Órgano Superior de Fiscalización o de la autoridad resolutora.</w:t>
      </w:r>
    </w:p>
    <w:p w14:paraId="12ACC45C"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En caso de no realizar el reintegro de los recursos señalados en el párrafo anterior, éstos serán considerados créditos fiscales, por lo que la Secretaría de Finanzas del Gobierno del Estado de México deberá ejecutar el cobro de los mismos en términos de las disposiciones jurídicas aplicables.</w:t>
      </w:r>
    </w:p>
    <w:p w14:paraId="08F5B4DF"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 autoridad resolutora podrá abstenerse de imponer la sanción que corresponda conforme al artículo 79 de esta Ley cuando el daño o perjuicio a la Hacienda Pública Estatal o Municipal o al patrimonio de los entes públicos no exceda de dos mil veces el valor diario de la unidad de medida y actualización y el daño haya sido resarcido o recuperado.”</w:t>
      </w:r>
    </w:p>
    <w:p w14:paraId="5528925F" w14:textId="77777777" w:rsidR="00257B2F" w:rsidRPr="00A57D42" w:rsidRDefault="00257B2F" w:rsidP="00257B2F">
      <w:pPr>
        <w:spacing w:before="240" w:after="240" w:line="360" w:lineRule="auto"/>
        <w:ind w:right="6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otras palabras, los daños y perjuicios que cause un servidor público a la Hacienda Pública o al patrimonio de un ente público, también podrán ser considerados como una falta </w:t>
      </w:r>
      <w:r w:rsidRPr="00A57D42">
        <w:rPr>
          <w:rFonts w:ascii="Palatino Linotype" w:eastAsia="Palatino Linotype" w:hAnsi="Palatino Linotype" w:cs="Palatino Linotype"/>
          <w:sz w:val="22"/>
          <w:szCs w:val="22"/>
          <w:u w:val="single"/>
        </w:rPr>
        <w:t>no grave</w:t>
      </w:r>
      <w:r w:rsidRPr="00A57D42">
        <w:rPr>
          <w:rFonts w:ascii="Palatino Linotype" w:eastAsia="Palatino Linotype" w:hAnsi="Palatino Linotype" w:cs="Palatino Linotype"/>
          <w:sz w:val="22"/>
          <w:szCs w:val="22"/>
        </w:rPr>
        <w:t>, para lo cual se deben actualizar los siguientes supuestos:</w:t>
      </w:r>
    </w:p>
    <w:p w14:paraId="10842BAB" w14:textId="77777777" w:rsidR="00257B2F" w:rsidRPr="00A57D42" w:rsidRDefault="00257B2F" w:rsidP="00257B2F">
      <w:pPr>
        <w:spacing w:after="240" w:line="360" w:lineRule="auto"/>
        <w:ind w:left="280" w:right="40"/>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1. El daño o perjuicio se hubiera ocasionado de manera culposa o negligente, esto es sin dolo.</w:t>
      </w:r>
    </w:p>
    <w:p w14:paraId="398BFAD7" w14:textId="77777777" w:rsidR="00257B2F" w:rsidRPr="00A57D42" w:rsidRDefault="00257B2F" w:rsidP="00257B2F">
      <w:pPr>
        <w:spacing w:after="240" w:line="360" w:lineRule="auto"/>
        <w:ind w:left="280" w:right="40"/>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2. No debe incurrir en alguna de las faltas administrativas graves.</w:t>
      </w:r>
    </w:p>
    <w:p w14:paraId="4A22DB07" w14:textId="77777777" w:rsidR="00257B2F" w:rsidRPr="00A57D42" w:rsidRDefault="00257B2F" w:rsidP="00257B2F">
      <w:pPr>
        <w:spacing w:after="240" w:line="360" w:lineRule="auto"/>
        <w:ind w:left="280" w:right="40"/>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3. No exceda de dos mil veces el valor diario de la unidad de medida y actualización.</w:t>
      </w:r>
    </w:p>
    <w:p w14:paraId="36397BFA" w14:textId="77777777" w:rsidR="00257B2F" w:rsidRPr="00A57D42" w:rsidRDefault="00257B2F" w:rsidP="00257B2F">
      <w:pPr>
        <w:spacing w:after="240" w:line="360" w:lineRule="auto"/>
        <w:ind w:left="280" w:right="40"/>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4. El daño haya sido resarcido o recuperado.</w:t>
      </w:r>
    </w:p>
    <w:p w14:paraId="5655F6E4" w14:textId="77777777" w:rsidR="00257B2F" w:rsidRPr="00A57D42" w:rsidRDefault="00257B2F" w:rsidP="00257B2F">
      <w:pPr>
        <w:spacing w:after="240" w:line="360" w:lineRule="auto"/>
        <w:ind w:right="4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caso contrario, los daños o perjuicios se considerarán como faltas graves.</w:t>
      </w:r>
    </w:p>
    <w:p w14:paraId="3AED7733" w14:textId="17207AE4"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referencia a lo anterior, y de la naturaleza específica de lo solicitado, que consiste en </w:t>
      </w:r>
      <w:r w:rsidR="00CF1172" w:rsidRPr="00A57D42">
        <w:rPr>
          <w:rFonts w:ascii="Palatino Linotype" w:eastAsia="Palatino Linotype" w:hAnsi="Palatino Linotype" w:cs="Palatino Linotype"/>
          <w:sz w:val="22"/>
          <w:szCs w:val="22"/>
        </w:rPr>
        <w:t>Registro de quejas</w:t>
      </w:r>
      <w:r w:rsidR="00536838" w:rsidRPr="00A57D42">
        <w:rPr>
          <w:rFonts w:ascii="Palatino Linotype" w:eastAsia="Palatino Linotype" w:hAnsi="Palatino Linotype" w:cs="Palatino Linotype"/>
          <w:sz w:val="22"/>
          <w:szCs w:val="22"/>
        </w:rPr>
        <w:t xml:space="preserve">, denuncias o inconformidades formales presentadas en contra de dos servidores públicos, así como los procedimientos de responsabilidades, por lo que </w:t>
      </w:r>
      <w:r w:rsidRPr="00A57D42">
        <w:rPr>
          <w:rFonts w:ascii="Palatino Linotype" w:eastAsia="Palatino Linotype" w:hAnsi="Palatino Linotype" w:cs="Palatino Linotype"/>
          <w:sz w:val="22"/>
          <w:szCs w:val="22"/>
        </w:rPr>
        <w:t>es oportuno mencionar que es dable señalar que de conformidad con el artículo 92, fracción XXII, de la Ley de Transparencia y Acceso a la Información Pública del Estado de México y Municipios, los sujetos obligados deben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entre ellos, el listado de servidores públicos con sanciones administrativas definitivas, en donde se especifique la causa de sanción y la disposición, como se lee en seguida:</w:t>
      </w:r>
    </w:p>
    <w:p w14:paraId="4302A85C"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58019A2D"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w:t>
      </w:r>
    </w:p>
    <w:p w14:paraId="5084987F" w14:textId="77777777" w:rsidR="00257B2F" w:rsidRPr="00A57D42" w:rsidRDefault="00257B2F" w:rsidP="00257B2F">
      <w:pPr>
        <w:spacing w:before="120" w:after="120" w:line="360" w:lineRule="auto"/>
        <w:ind w:left="860" w:right="900"/>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XXII. El listado de Servidores Públicos con sanciones administrativas definitivas, especificando la causa de sanción y la disposición;"</w:t>
      </w:r>
    </w:p>
    <w:p w14:paraId="09DB2C69" w14:textId="77777777"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Así, en el entendido de que a través del Órgano Interno de Control está facultado para investigar, sustanciar y calificar las faltas administrativas, imponer sanciones respecto de las faltas administrativas no graves de los servidores públicos, mientras que, el Tribunal de Justicia Administrativa es la autoridad competente para la resolución e imposición de sanciones por faltas administrativas graves.</w:t>
      </w:r>
    </w:p>
    <w:p w14:paraId="38437DAE" w14:textId="77777777" w:rsidR="00257B2F" w:rsidRPr="00A57D42" w:rsidRDefault="00257B2F" w:rsidP="00257B2F">
      <w:pPr>
        <w:pBdr>
          <w:top w:val="nil"/>
          <w:left w:val="nil"/>
          <w:bottom w:val="nil"/>
          <w:right w:val="nil"/>
          <w:between w:val="nil"/>
        </w:pBdr>
        <w:spacing w:line="360" w:lineRule="auto"/>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De las fases o etapas procesales del procedimiento de responsabilidad administrativa.</w:t>
      </w:r>
    </w:p>
    <w:p w14:paraId="10394545" w14:textId="77777777"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Acotado lo anterior, y toda vez que la información peticionada se encuentra relacionada con expedientes aperturados por responsabilidades administrativas, es necesario traer a colación lo señalado por la Ley de Responsabilidades Administrativas del Estado de México y Municipios, que establece lo siguiente:</w:t>
      </w:r>
    </w:p>
    <w:p w14:paraId="00231F5E" w14:textId="77777777" w:rsidR="00257B2F" w:rsidRPr="00A57D42" w:rsidRDefault="00257B2F" w:rsidP="00257B2F">
      <w:pPr>
        <w:spacing w:before="240" w:after="240" w:line="360" w:lineRule="auto"/>
        <w:ind w:left="567" w:right="4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sz w:val="22"/>
          <w:szCs w:val="22"/>
        </w:rPr>
        <w:t xml:space="preserve"> </w:t>
      </w:r>
      <w:r w:rsidRPr="00A57D42">
        <w:rPr>
          <w:rFonts w:ascii="Palatino Linotype" w:eastAsia="Palatino Linotype" w:hAnsi="Palatino Linotype" w:cs="Palatino Linotype"/>
          <w:i/>
          <w:iCs/>
          <w:sz w:val="22"/>
          <w:szCs w:val="22"/>
        </w:rPr>
        <w:t>“Artículo 94. Durante el desarrollo del procedimiento de investigación las autoridades competentes serán responsables de:</w:t>
      </w:r>
    </w:p>
    <w:p w14:paraId="5E770E92"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Observar los principios de legalidad, imparcialidad, objetividad, congruencia, verdad material y respeto a los derechos humanos.</w:t>
      </w:r>
    </w:p>
    <w:p w14:paraId="1876E470"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Realizar con oportunidad, exhaustividad y eficiencia la investigación, la integralidad de los datos y documentos, así como el resguardo del expediente en su conjunto.</w:t>
      </w:r>
    </w:p>
    <w:p w14:paraId="2426660B"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III. Incorporar a sus investigaciones, las técnicas, tecnologías y métodos de investigación que observen las mejores prácticas internacionales.</w:t>
      </w:r>
    </w:p>
    <w:p w14:paraId="7025872A"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IV. Cooperar con las autoridades nacionales como internacionales a fin de fortalecer los procedimientos de investigación, compartir las mejores prácticas internacionales y combatir de manera efectiva la corrupción.</w:t>
      </w:r>
    </w:p>
    <w:p w14:paraId="6ABF47E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473717B4"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95. La investigación por la presunta responsabilidad de faltas administrativas podrá iniciar:</w:t>
      </w:r>
    </w:p>
    <w:p w14:paraId="27952E9B"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De oficio.</w:t>
      </w:r>
    </w:p>
    <w:p w14:paraId="2129BE76"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u w:val="single"/>
        </w:rPr>
      </w:pPr>
      <w:r w:rsidRPr="00A57D42">
        <w:rPr>
          <w:rFonts w:ascii="Palatino Linotype" w:eastAsia="Palatino Linotype" w:hAnsi="Palatino Linotype" w:cs="Palatino Linotype"/>
          <w:i/>
          <w:iCs/>
          <w:sz w:val="22"/>
          <w:szCs w:val="22"/>
          <w:u w:val="single"/>
        </w:rPr>
        <w:t>II. Por denuncia.</w:t>
      </w:r>
    </w:p>
    <w:p w14:paraId="597C79A6"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III. Derivado de las auditorías practicadas por parte de las autoridades competentes o en su caso, de auditores externos.</w:t>
      </w:r>
    </w:p>
    <w:p w14:paraId="1753CBC5"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Las denuncias podrán ser anónimas. En su caso, las autoridades investigadoras deberán garantizar, proteger y mantener el carácter de confidencial la identidad de las personas que denuncien las presuntas infracciones.</w:t>
      </w:r>
    </w:p>
    <w:p w14:paraId="04BCFEB7"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61846428"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98. Las autoridades investigadoras llevarán de oficio las auditorías o investigaciones debidamente fundadas y motivadas respecto de las conductas de los servidores públicos y particulares que puedan constituir responsabilidades administrativas en el ámbito de su competencia.</w:t>
      </w:r>
    </w:p>
    <w:p w14:paraId="2F033CC8"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2A3F8DDD"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Lo anterior sin menoscabo de las investigaciones que se deriven de las denuncias a que se hace referencia en el Capítulo anterior.</w:t>
      </w:r>
    </w:p>
    <w:p w14:paraId="63321C84"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147CEDDD"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99. Las autoridades investigadoras deberán tener acceso a toda la información necesaria para el esclarecimiento de los hechos, incluyendo aquélla que las disposiciones legales en la materia consideren con carácter de reservada o confidencial, siempre que esté relacionada con la comisión de infracciones a que se refiere la presente Ley, con la obligación de mantener la misma reserva o secrecía, conforme a lo que determinen las leyes.</w:t>
      </w:r>
    </w:p>
    <w:p w14:paraId="17BDFF12"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6EEF0976"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Las autoridades investigadoras, durante el desarrollo de investigaciones por faltas administrativas graves, no les serán oponibles las disposiciones dirigidas a proteger la secrecía de la información en materia fiscal bursátil, fiduciario o la relacionada con operaciones de depósito, administración, ahorro e inversión de recursos monetarios. Esta información conservará su calidad en los expedientes correspondientes, para lo cual se deberán celebrar convenios de colaboración con las autoridades correspondientes.</w:t>
      </w:r>
    </w:p>
    <w:p w14:paraId="634AEF59"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4CCD105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Para efectos de lo previsto en el párrafo anterior, se observará lo dispuesto en el artículo 39 de la presente Ley.</w:t>
      </w:r>
    </w:p>
    <w:p w14:paraId="71F969E4"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0860532E"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Las autoridades encargadas de la investigación, por conducto de su titular, podrán ordenar la práctica de visitas de verificación, las cuales se sujetarán a lo previsto en el Código de Procedimientos Administrativos del Estado de México, incluyendo acciones encubiertas y usuario simulado con apego a la legalidad, la presente Ley y demás normatividad que para este fin sea expedida por los titulares de los entes públicos responsables.</w:t>
      </w:r>
    </w:p>
    <w:p w14:paraId="7263CF38"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7A118A6E"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104. Las autoridades investigadoras una vez concluidas las diligencias de investigación, procederán al análisis de los hechos, así como de la información recabada, a efecto de determinar la existencia o inexistencia de actos u omisiones que la Ley señale como falta administrativa y en su caso, determinar su calificación como grave o no grave.</w:t>
      </w:r>
    </w:p>
    <w:p w14:paraId="0DF89E2B"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15D88302"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u w:val="single"/>
        </w:rPr>
      </w:pPr>
      <w:r w:rsidRPr="00A57D42">
        <w:rPr>
          <w:rFonts w:ascii="Palatino Linotype" w:eastAsia="Palatino Linotype" w:hAnsi="Palatino Linotype" w:cs="Palatino Linotype"/>
          <w:i/>
          <w:iCs/>
          <w:sz w:val="22"/>
          <w:szCs w:val="22"/>
          <w:u w:val="single"/>
        </w:rPr>
        <w:t>Una vez determinada la calificación de la conducta en los términos del párrafo anterior, se incluirá la misma en el Informe de Presunta Responsabilidad Administrativa y éste se presentará ante la autoridad substanciadora a efecto de iniciar el procedimiento de responsabilidad administrativa correspondiente.</w:t>
      </w:r>
    </w:p>
    <w:p w14:paraId="2E269DB9"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1A7D8C50"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u w:val="single"/>
        </w:rPr>
      </w:pPr>
      <w:r w:rsidRPr="00A57D42">
        <w:rPr>
          <w:rFonts w:ascii="Palatino Linotype" w:eastAsia="Palatino Linotype" w:hAnsi="Palatino Linotype" w:cs="Palatino Linotype"/>
          <w:i/>
          <w:iCs/>
          <w:sz w:val="22"/>
          <w:szCs w:val="22"/>
          <w:u w:val="single"/>
        </w:rPr>
        <w:t>En el supuesto de no haberse encontrado elementos suficientes para demostrar la existencia de la infracción y acreditar la presunta responsabilidad del infractor, se emitirá un acuerdo de conclusión y archivo del expediente debidamente fundado y motivado.</w:t>
      </w:r>
    </w:p>
    <w:p w14:paraId="5D7CA530"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11DA1142"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Lo anterior sin perjuicio de poder reabrir la investigación en el supuesto de presentarse nuevos indicios o pruebas y no hubiere prescrito la facultad para sancionar. Dicha determinación, en su caso, se notificará a los servidores públicos y particulares sujetos a la investigación, así como a los denunciantes cuando éstos fueren identificables, dentro los diez días hábiles siguientes a su emisión.</w:t>
      </w:r>
    </w:p>
    <w:p w14:paraId="75D4DD40"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0238DD02"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105. Las autoridades substanciadoras, o en su caso, las resolutoras podrán abstenerse de iniciar el procedimiento de responsabilidad administrativa previsto en la presente Ley o de imponer sanciones administrativas a un servidor público, según sea el caso, en el supuesto que derivado de las investigaciones practicadas o de la valoración de las pruebas aportadas en el procedimiento referido, se advierta que no existe daño ni perjuicio a la Hacienda Pública Estatal o Municipal, o al patrimonio de los entes públicos y que se actualiza alguna de las siguientes hipótesis:</w:t>
      </w:r>
    </w:p>
    <w:p w14:paraId="5A8359D6"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7C1A44DA"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106. La calificación de los hechos como faltas administrativas no graves que realicen las autoridades investigadoras, será notificada al denunciante, cuando éste fuere identificable. Además de establecer la calificación que se le haya dado a la presunta falta, la notificación también contendrá de manera expresa la forma en que el notificado podrá acceder al expediente de presunta responsabilidad administrativa.</w:t>
      </w:r>
    </w:p>
    <w:p w14:paraId="16D0556F"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516A4F13"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 calificación y la abstención de iniciar el procedimiento de responsabilidad administrativa a que se refiere el artículo 105, podrán ser impugnadas, en su caso, por el denunciante, a través del recurso de inconformidad conforme al presente Capítulo. La presentación del recurso de inconformidad tendrá como efecto la suspensión del inicio del procedimiento de responsabilidad administrativa hasta en tanto dicho recurso sea resuelto.</w:t>
      </w:r>
    </w:p>
    <w:p w14:paraId="76687E3D"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21BFF168"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116. El procedimiento de responsabilidad administrativa dará inicio cuando las autoridades substanciadoras, en el ámbito de su competencia, admitan el informe de presunta responsabilidad administrativa.</w:t>
      </w:r>
    </w:p>
    <w:p w14:paraId="5B9CF760"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2FCAFA7D"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119. La autoridad a quien se encomiende la substanciación y en su caso, la resolución del procedimiento de responsabilidad administrativa, deberá ser distinto de aquél o aquellos encargados de la investigación. Para tal efecto, la Secretaría de la Contraloría, los órganos internos de control, el Órgano Superior de Fiscalización, así como las unidades de responsabilidades de las empresas de participación estatal o municipal, contarán con la estructura orgánica necesaria para realizar las funciones correspondientes a las autoridades investigadoras y substanciadoras y garantizarán la independencia entre ambas en el ejercicio de sus funciones.</w:t>
      </w:r>
    </w:p>
    <w:p w14:paraId="18F8545F"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09C97484"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129. Para conocer la verdad de los hechos las autoridades resolutoras podrán valerse de cualquier persona o documento, ya sea que pertenezca a las partes o a terceros, sin más limitación que las pruebas hayan sido obtenidas lícitamente y con respeto a los derechos humanos, solo estará excluida la confesional a cargo de las partes por absolución de posiciones.</w:t>
      </w:r>
    </w:p>
    <w:p w14:paraId="1087A1AE"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3E524CC1"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Las autoridades resolutoras gozarán de la más amplia libertad para hacer el análisis, darle el valor correspondiente a cada una de las pruebas, atendiendo a las reglas de la lógica, la sana crítica y de la experiencia, deberán justificar adecuadamente el valor otorgado a las pruebas y explicarán y justificarán su valoración con base en la apreciación conjunta, integral y armónica de todos los elementos probatorios directos, indirectos e indiciarios que aparezcan en el procedimiento.</w:t>
      </w:r>
    </w:p>
    <w:p w14:paraId="765758F5"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0FFCAED6"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180. El Informe de Presunta Responsabilidad Administrativa será integrado y emitido por las autoridades investigadoras y deberá contener los siguientes elementos:</w:t>
      </w:r>
    </w:p>
    <w:p w14:paraId="6BCBF6B8"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El nombre de la autoridad investigadora.</w:t>
      </w:r>
    </w:p>
    <w:p w14:paraId="0AC4ECC7"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El domicilio de la autoridad investigadora para oír y recibir notificaciones.</w:t>
      </w:r>
    </w:p>
    <w:p w14:paraId="3FBC528E"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III. El nombre o nombres de los servidores públicos que podrán imponerse de los autos que se dicten en el expediente de responsabilidad administrativa por parte de la autoridad investigadora, precisando el alcance de la autorización otorgada.</w:t>
      </w:r>
    </w:p>
    <w:p w14:paraId="36B7D745"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IV. El nombre y domicilio del servidor público a quien se señale como presunto responsable, así como el ente público al que se encuentre adscrito y el cargo que desempeñe.</w:t>
      </w:r>
    </w:p>
    <w:p w14:paraId="45CA490F"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7C6199DD"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En caso de que los presuntos responsables sean particulares, se deberá señalar su nombre o razón social, así como el domicilio donde podrán ser emplazados.</w:t>
      </w:r>
    </w:p>
    <w:p w14:paraId="4758B62F"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 La narración lógica y cronológica de los hechos que dieron lugar a la comisión de la presunta falta administrativa.</w:t>
      </w:r>
    </w:p>
    <w:p w14:paraId="31520F81"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VI. La infracción que se le imputa al señalado como presunto responsable, precisando las razones por las que se considera que ha cometido la falta.</w:t>
      </w:r>
    </w:p>
    <w:p w14:paraId="342986F4"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VII. Las pruebas que se ofrecerán en el procedimiento de responsabilidad administrativa para acreditar la comisión de la falta administrativa y la responsabilidad atribuida al presunto responsable, debiéndose exhibir las pruebas documentales que obren en su poder, o bien, aquellas que no estándolo, se acredite con el acuse de recibo correspondiente debidamente sellado por la autoridad competente, que la solicitó con la debida oportunidad.</w:t>
      </w:r>
    </w:p>
    <w:p w14:paraId="382B163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VIII. La solicitud de medidas cautelares, de ser el caso.</w:t>
      </w:r>
    </w:p>
    <w:p w14:paraId="6800BC3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IX. Firma autógrafa de la autoridad investigadora.</w:t>
      </w:r>
    </w:p>
    <w:p w14:paraId="7F422BBA"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184. El desarrollo de las audiencias del procedimiento de responsabilidad administrativa, se llevarán a cabo de conformidad con las siguientes reglas:</w:t>
      </w:r>
    </w:p>
    <w:p w14:paraId="289467E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Serán públicas.</w:t>
      </w:r>
    </w:p>
    <w:p w14:paraId="60638B32"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No se permitirá la interrupción de la audiencia por parte de persona alguna, ya sea por los que intervienen en ella o por aquellos ajenos a la misma.</w:t>
      </w:r>
    </w:p>
    <w:p w14:paraId="65DFDB6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 </w:t>
      </w:r>
    </w:p>
    <w:p w14:paraId="57F1AB67"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188. Las resoluciones serán:</w:t>
      </w:r>
    </w:p>
    <w:p w14:paraId="6D498135"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Acuerdos, cuando se trate de resoluciones de trámite.</w:t>
      </w:r>
    </w:p>
    <w:p w14:paraId="37EEB295"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Autos provisionales, los que se refieren a determinaciones que se ejecuten provisionalmente.</w:t>
      </w:r>
    </w:p>
    <w:p w14:paraId="5B45E05C"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III. Autos preparatorios, a las resoluciones por las que se prepara el conocimiento y decisión de un asunto, se ordena la admisión, la preparación y desahogo de pruebas.</w:t>
      </w:r>
    </w:p>
    <w:p w14:paraId="22BD0849" w14:textId="77777777" w:rsidR="00257B2F" w:rsidRPr="00A57D42" w:rsidRDefault="00257B2F" w:rsidP="00257B2F">
      <w:pPr>
        <w:spacing w:line="276"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IV. Sentencias interlocutorias, aquellas que resuelven sobre un incidente o una cuestión intraprocesal o accesoria al procedimiento.</w:t>
      </w:r>
    </w:p>
    <w:p w14:paraId="48F38A59" w14:textId="77777777" w:rsidR="00257B2F" w:rsidRPr="00A57D42" w:rsidRDefault="00257B2F" w:rsidP="00257B2F">
      <w:pPr>
        <w:spacing w:line="360" w:lineRule="auto"/>
        <w:ind w:left="560" w:right="54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 Sentencias definitivas, las que resuelven el fondo del procedimiento de responsabilidad administrativa.</w:t>
      </w:r>
    </w:p>
    <w:p w14:paraId="420F4A27" w14:textId="77777777"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Conforme a lo anterior, en lo que interesa al presente asuntos, se considera que previo al inicio de un procedimiento de responsabilidad se desarrolla el procedimiento de investigación, el cual consiste en lo siguiente:</w:t>
      </w:r>
    </w:p>
    <w:p w14:paraId="5F9CA17E" w14:textId="77777777" w:rsidR="00257B2F" w:rsidRPr="00A57D42" w:rsidRDefault="00257B2F" w:rsidP="00257B2F">
      <w:pPr>
        <w:spacing w:after="160" w:line="360" w:lineRule="auto"/>
        <w:ind w:left="567" w:hanging="360"/>
        <w:jc w:val="both"/>
        <w:rPr>
          <w:rFonts w:ascii="Palatino Linotype" w:eastAsia="Palatino Linotype" w:hAnsi="Palatino Linotype" w:cs="Palatino Linotype"/>
          <w:b/>
          <w:bCs/>
          <w:sz w:val="22"/>
          <w:szCs w:val="22"/>
        </w:rPr>
      </w:pPr>
      <w:r w:rsidRPr="00A57D42">
        <w:rPr>
          <w:rFonts w:ascii="Palatino Linotype" w:eastAsia="Noto Sans Symbols" w:hAnsi="Palatino Linotype" w:cs="Noto Sans Symbols"/>
          <w:b/>
          <w:bCs/>
          <w:sz w:val="22"/>
          <w:szCs w:val="22"/>
        </w:rPr>
        <w:t>●</w:t>
      </w:r>
      <w:r w:rsidRPr="00A57D42">
        <w:rPr>
          <w:rFonts w:ascii="Palatino Linotype" w:hAnsi="Palatino Linotype"/>
          <w:b/>
          <w:bCs/>
          <w:sz w:val="22"/>
          <w:szCs w:val="22"/>
        </w:rPr>
        <w:t xml:space="preserve">        </w:t>
      </w:r>
      <w:r w:rsidRPr="00A57D42">
        <w:rPr>
          <w:rFonts w:ascii="Palatino Linotype" w:eastAsia="Palatino Linotype" w:hAnsi="Palatino Linotype" w:cs="Palatino Linotype"/>
          <w:b/>
          <w:bCs/>
          <w:sz w:val="22"/>
          <w:szCs w:val="22"/>
        </w:rPr>
        <w:t>Inicia:</w:t>
      </w:r>
    </w:p>
    <w:p w14:paraId="16EC4B1F" w14:textId="77777777" w:rsidR="00257B2F" w:rsidRPr="00A57D42" w:rsidRDefault="00257B2F" w:rsidP="00257B2F">
      <w:pPr>
        <w:spacing w:before="240" w:after="240"/>
        <w:ind w:left="1080" w:hanging="360"/>
        <w:jc w:val="both"/>
        <w:rPr>
          <w:rFonts w:ascii="Palatino Linotype" w:eastAsia="Palatino Linotype" w:hAnsi="Palatino Linotype" w:cs="Palatino Linotype"/>
          <w:sz w:val="22"/>
          <w:szCs w:val="22"/>
        </w:rPr>
      </w:pPr>
      <w:r w:rsidRPr="00A57D42">
        <w:rPr>
          <w:rFonts w:ascii="Cambria Math" w:eastAsia="Noto Sans Symbols" w:hAnsi="Cambria Math" w:cs="Cambria Math"/>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De oficio</w:t>
      </w:r>
    </w:p>
    <w:p w14:paraId="020AB0C5" w14:textId="77777777" w:rsidR="00257B2F" w:rsidRPr="00A57D42" w:rsidRDefault="00257B2F" w:rsidP="00257B2F">
      <w:pPr>
        <w:spacing w:before="240" w:after="240"/>
        <w:ind w:left="1080" w:hanging="360"/>
        <w:jc w:val="both"/>
        <w:rPr>
          <w:rFonts w:ascii="Palatino Linotype" w:eastAsia="Palatino Linotype" w:hAnsi="Palatino Linotype" w:cs="Palatino Linotype"/>
          <w:sz w:val="22"/>
          <w:szCs w:val="22"/>
        </w:rPr>
      </w:pPr>
      <w:r w:rsidRPr="00A57D42">
        <w:rPr>
          <w:rFonts w:ascii="Cambria Math" w:eastAsia="Noto Sans Symbols" w:hAnsi="Cambria Math" w:cs="Cambria Math"/>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Por denuncia</w:t>
      </w:r>
    </w:p>
    <w:p w14:paraId="6F2C1422" w14:textId="77777777" w:rsidR="00257B2F" w:rsidRPr="00A57D42" w:rsidRDefault="00257B2F" w:rsidP="00257B2F">
      <w:pPr>
        <w:spacing w:before="240" w:after="240"/>
        <w:ind w:left="1080" w:hanging="360"/>
        <w:jc w:val="both"/>
        <w:rPr>
          <w:rFonts w:ascii="Palatino Linotype" w:eastAsia="Palatino Linotype" w:hAnsi="Palatino Linotype" w:cs="Palatino Linotype"/>
          <w:sz w:val="22"/>
          <w:szCs w:val="22"/>
        </w:rPr>
      </w:pPr>
      <w:r w:rsidRPr="00A57D42">
        <w:rPr>
          <w:rFonts w:ascii="Cambria Math" w:eastAsia="Noto Sans Symbols" w:hAnsi="Cambria Math" w:cs="Cambria Math"/>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Derivado de auditorías</w:t>
      </w:r>
    </w:p>
    <w:p w14:paraId="090D60C2" w14:textId="77777777" w:rsidR="00257B2F" w:rsidRPr="00A57D42" w:rsidRDefault="00257B2F" w:rsidP="00257B2F">
      <w:pPr>
        <w:spacing w:before="240" w:after="240"/>
        <w:jc w:val="both"/>
        <w:rPr>
          <w:rFonts w:ascii="Palatino Linotype" w:eastAsia="Palatino Linotype" w:hAnsi="Palatino Linotype" w:cs="Palatino Linotype"/>
          <w:b/>
          <w:bCs/>
          <w:sz w:val="22"/>
          <w:szCs w:val="22"/>
        </w:rPr>
      </w:pPr>
    </w:p>
    <w:p w14:paraId="61459504" w14:textId="77777777" w:rsidR="00257B2F" w:rsidRPr="00A57D42" w:rsidRDefault="00257B2F" w:rsidP="00257B2F">
      <w:pPr>
        <w:spacing w:after="160" w:line="360" w:lineRule="auto"/>
        <w:ind w:left="567" w:hanging="360"/>
        <w:jc w:val="both"/>
        <w:rPr>
          <w:rFonts w:ascii="Palatino Linotype" w:eastAsia="Palatino Linotype" w:hAnsi="Palatino Linotype" w:cs="Palatino Linotype"/>
          <w:b/>
          <w:bCs/>
          <w:sz w:val="22"/>
          <w:szCs w:val="22"/>
        </w:rPr>
      </w:pPr>
      <w:r w:rsidRPr="00A57D42">
        <w:rPr>
          <w:rFonts w:ascii="Palatino Linotype" w:eastAsia="Noto Sans Symbols" w:hAnsi="Palatino Linotype" w:cs="Noto Sans Symbols"/>
          <w:b/>
          <w:bCs/>
          <w:sz w:val="22"/>
          <w:szCs w:val="22"/>
        </w:rPr>
        <w:t>●</w:t>
      </w:r>
      <w:r w:rsidRPr="00A57D42">
        <w:rPr>
          <w:rFonts w:ascii="Palatino Linotype" w:hAnsi="Palatino Linotype"/>
          <w:b/>
          <w:bCs/>
          <w:sz w:val="22"/>
          <w:szCs w:val="22"/>
        </w:rPr>
        <w:t xml:space="preserve">        </w:t>
      </w:r>
      <w:r w:rsidRPr="00A57D42">
        <w:rPr>
          <w:rFonts w:ascii="Palatino Linotype" w:eastAsia="Palatino Linotype" w:hAnsi="Palatino Linotype" w:cs="Palatino Linotype"/>
          <w:b/>
          <w:bCs/>
          <w:sz w:val="22"/>
          <w:szCs w:val="22"/>
        </w:rPr>
        <w:t>Las autoridades investigadoras una vez concluidas las diligencias de investigación, pueden proceder de la siguiente manera:</w:t>
      </w:r>
    </w:p>
    <w:p w14:paraId="4572B08A" w14:textId="77777777" w:rsidR="00257B2F" w:rsidRPr="00A57D42" w:rsidRDefault="00257B2F" w:rsidP="00257B2F">
      <w:pPr>
        <w:spacing w:before="240" w:after="240"/>
        <w:ind w:left="1080" w:hanging="360"/>
        <w:jc w:val="both"/>
        <w:rPr>
          <w:rFonts w:ascii="Palatino Linotype" w:eastAsia="Palatino Linotype" w:hAnsi="Palatino Linotype" w:cs="Palatino Linotype"/>
          <w:sz w:val="22"/>
          <w:szCs w:val="22"/>
        </w:rPr>
      </w:pPr>
      <w:r w:rsidRPr="00A57D42">
        <w:rPr>
          <w:rFonts w:ascii="Cambria Math" w:eastAsia="Noto Sans Symbols" w:hAnsi="Cambria Math" w:cs="Cambria Math"/>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Una vez determinada la calificación de la conducta, se incluirá la misma en el Informe de Presunta Responsabilidad Administrativa y este se presentará ante la autoridad substanciadora a efecto de iniciar el procedimiento de responsabilidad administrativa correspondiente.</w:t>
      </w:r>
    </w:p>
    <w:p w14:paraId="5BEB8229" w14:textId="77777777" w:rsidR="00257B2F" w:rsidRPr="00A57D42" w:rsidRDefault="00257B2F" w:rsidP="00257B2F">
      <w:pPr>
        <w:spacing w:after="160"/>
        <w:ind w:left="1080" w:hanging="360"/>
        <w:jc w:val="both"/>
        <w:rPr>
          <w:rFonts w:ascii="Palatino Linotype" w:eastAsia="Palatino Linotype" w:hAnsi="Palatino Linotype" w:cs="Palatino Linotype"/>
          <w:sz w:val="22"/>
          <w:szCs w:val="22"/>
        </w:rPr>
      </w:pPr>
      <w:r w:rsidRPr="00A57D42">
        <w:rPr>
          <w:rFonts w:ascii="Cambria Math" w:eastAsia="Noto Sans Symbols" w:hAnsi="Cambria Math" w:cs="Cambria Math"/>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En caso de no encontrarse elementos suficientes para demostrar la existencia de la infracción y acreditar la presunta responsabilidad del infractor, se procederá a emitir un acuerdo de conclusión y archivo del expediente debidamente fundado y motivado.</w:t>
      </w:r>
    </w:p>
    <w:p w14:paraId="74ED4B8A" w14:textId="77777777"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 lo anterior se advierte que, si durante el procedimiento de investigación, no se encuentran elementos suficientes para demostrar la existencia de la infracción y acreditar la presunta responsabilidad del infractor, la autoridad investigadora procede a emitir un acuerdo de conclusión y archivo del expediente debidamente fundado y motivado; acuerdo que da por concluida la etapa de investigación y por lo tanto no se da inicio al procedimiento de responsabilidades administrativas.</w:t>
      </w:r>
    </w:p>
    <w:p w14:paraId="4E77D582" w14:textId="77777777" w:rsidR="00257B2F" w:rsidRPr="00A57D42" w:rsidRDefault="00257B2F" w:rsidP="00257B2F">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O bien, de encontrar elementos suficientes la autoridad investigadora procede a la emisión del Informe de Presunta Responsabilidad Administrativa y este se presentará ante la autoridad substanciadora a efecto de iniciar el procedimiento de responsabilidad administrativa, que inicia y concluye de la siguiente manera:</w:t>
      </w:r>
    </w:p>
    <w:p w14:paraId="6646B71D" w14:textId="77777777" w:rsidR="00257B2F" w:rsidRPr="00A57D42" w:rsidRDefault="00257B2F" w:rsidP="008414EE">
      <w:pPr>
        <w:numPr>
          <w:ilvl w:val="0"/>
          <w:numId w:val="13"/>
        </w:numPr>
        <w:spacing w:after="400" w:line="360" w:lineRule="auto"/>
        <w:ind w:left="567"/>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Sustanciación: En este periodo se puede realizar lo siguiente:</w:t>
      </w:r>
    </w:p>
    <w:p w14:paraId="41EBBA0A" w14:textId="77777777" w:rsidR="00257B2F" w:rsidRPr="00A57D42" w:rsidRDefault="00257B2F" w:rsidP="00257B2F">
      <w:pPr>
        <w:spacing w:after="160"/>
        <w:ind w:left="1060" w:hanging="360"/>
        <w:jc w:val="both"/>
        <w:rPr>
          <w:rFonts w:ascii="Palatino Linotype" w:eastAsia="Palatino Linotype" w:hAnsi="Palatino Linotype" w:cs="Palatino Linotype"/>
          <w:sz w:val="22"/>
          <w:szCs w:val="22"/>
        </w:rPr>
      </w:pPr>
      <w:r w:rsidRPr="00A57D42">
        <w:rPr>
          <w:rFonts w:ascii="Palatino Linotype" w:eastAsia="Noto Sans Symbols" w:hAnsi="Palatino Linotype" w:cs="Noto Sans Symbols"/>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Se califican los hechos como faltas administrativas graves o no graves</w:t>
      </w:r>
    </w:p>
    <w:p w14:paraId="0B4CD7B2" w14:textId="77777777" w:rsidR="00257B2F" w:rsidRPr="00A57D42" w:rsidRDefault="00257B2F" w:rsidP="00257B2F">
      <w:pPr>
        <w:spacing w:after="160"/>
        <w:ind w:left="1060" w:hanging="360"/>
        <w:jc w:val="both"/>
        <w:rPr>
          <w:rFonts w:ascii="Palatino Linotype" w:eastAsia="Palatino Linotype" w:hAnsi="Palatino Linotype" w:cs="Palatino Linotype"/>
          <w:sz w:val="22"/>
          <w:szCs w:val="22"/>
        </w:rPr>
      </w:pPr>
      <w:r w:rsidRPr="00A57D42">
        <w:rPr>
          <w:rFonts w:ascii="Palatino Linotype" w:eastAsia="Noto Sans Symbols" w:hAnsi="Palatino Linotype" w:cs="Noto Sans Symbols"/>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La autoridad substanciadora podrá admitir el informe de presunta responsabilidad administrativa.</w:t>
      </w:r>
    </w:p>
    <w:p w14:paraId="1DFB74C6" w14:textId="77777777" w:rsidR="00257B2F" w:rsidRPr="00A57D42" w:rsidRDefault="00257B2F" w:rsidP="00257B2F">
      <w:pPr>
        <w:spacing w:after="160"/>
        <w:ind w:left="1060" w:hanging="360"/>
        <w:jc w:val="both"/>
        <w:rPr>
          <w:rFonts w:ascii="Palatino Linotype" w:eastAsia="Palatino Linotype" w:hAnsi="Palatino Linotype" w:cs="Palatino Linotype"/>
          <w:sz w:val="22"/>
          <w:szCs w:val="22"/>
        </w:rPr>
      </w:pPr>
      <w:r w:rsidRPr="00A57D42">
        <w:rPr>
          <w:rFonts w:ascii="Palatino Linotype" w:eastAsia="Noto Sans Symbols" w:hAnsi="Palatino Linotype" w:cs="Noto Sans Symbols"/>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Las partes, pueden presentar las pruebas o alegatos que consideren pertinentes,</w:t>
      </w:r>
    </w:p>
    <w:p w14:paraId="52BB90BE" w14:textId="77777777" w:rsidR="00257B2F" w:rsidRPr="00A57D42" w:rsidRDefault="00257B2F" w:rsidP="00257B2F">
      <w:pPr>
        <w:spacing w:after="160"/>
        <w:jc w:val="both"/>
        <w:rPr>
          <w:rFonts w:ascii="Palatino Linotype" w:eastAsia="Palatino Linotype" w:hAnsi="Palatino Linotype" w:cs="Palatino Linotype"/>
          <w:sz w:val="22"/>
          <w:szCs w:val="22"/>
        </w:rPr>
      </w:pPr>
    </w:p>
    <w:p w14:paraId="00ACA770" w14:textId="77777777" w:rsidR="00257B2F" w:rsidRPr="00A57D42" w:rsidRDefault="00257B2F" w:rsidP="008414EE">
      <w:pPr>
        <w:numPr>
          <w:ilvl w:val="0"/>
          <w:numId w:val="14"/>
        </w:numPr>
        <w:spacing w:after="400" w:line="360" w:lineRule="auto"/>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Resolución:</w:t>
      </w:r>
    </w:p>
    <w:p w14:paraId="7AA02211" w14:textId="77777777" w:rsidR="00257B2F" w:rsidRPr="00A57D42" w:rsidRDefault="00257B2F" w:rsidP="00257B2F">
      <w:pPr>
        <w:spacing w:after="160"/>
        <w:ind w:left="851" w:hanging="283"/>
        <w:jc w:val="both"/>
        <w:rPr>
          <w:rFonts w:ascii="Palatino Linotype" w:eastAsia="Palatino Linotype" w:hAnsi="Palatino Linotype" w:cs="Palatino Linotype"/>
          <w:sz w:val="22"/>
          <w:szCs w:val="22"/>
        </w:rPr>
      </w:pPr>
      <w:r w:rsidRPr="00A57D42">
        <w:rPr>
          <w:rFonts w:ascii="Segoe UI Symbol" w:eastAsia="Noto Sans Symbols" w:hAnsi="Segoe UI Symbol" w:cs="Segoe UI Symbol"/>
          <w:b/>
          <w:bCs/>
          <w:sz w:val="22"/>
          <w:szCs w:val="22"/>
        </w:rPr>
        <w:t>⮚</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La autoridad resolutora adscrita a la Contraloría Interna (en caso de faltas administrativas no graves), o bien, el Tribunal de Justicia Administrativa del Estado de México (en caso de faltas administrativas graves), proceden a la emisión de la resolución; esta última que es susceptible de impugnación como se abordará más adelante.</w:t>
      </w:r>
    </w:p>
    <w:p w14:paraId="6C47D0B9" w14:textId="77777777" w:rsidR="00257B2F" w:rsidRPr="00A57D42" w:rsidRDefault="00257B2F" w:rsidP="00257B2F">
      <w:pPr>
        <w:pBdr>
          <w:top w:val="nil"/>
          <w:left w:val="nil"/>
          <w:bottom w:val="nil"/>
          <w:right w:val="nil"/>
          <w:between w:val="nil"/>
        </w:pBdr>
        <w:spacing w:after="16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Lo anterior, demuestra el proceso o las etapas procesales que debe seguir cada uno de los procedimientos por faltas administrativas, desde su inicio en la etapa de investigación hasta la emisión de la resolución, ya sea por la Contraloría Interna o el Tribunal de Justicia Administrativa. </w:t>
      </w:r>
    </w:p>
    <w:p w14:paraId="1A1F39D4" w14:textId="77777777" w:rsidR="00257B2F" w:rsidRPr="00A57D42" w:rsidRDefault="00257B2F" w:rsidP="00257B2F">
      <w:pPr>
        <w:pBdr>
          <w:top w:val="nil"/>
          <w:left w:val="nil"/>
          <w:bottom w:val="nil"/>
          <w:right w:val="nil"/>
          <w:between w:val="nil"/>
        </w:pBdr>
        <w:spacing w:after="16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Sobre las resoluciones de procedimientos por faltas graves, es necesario traer a contexto el artículo 195 fracción V de la Ley de Responsabilidades Administrativas del Estado de México, el cual dispone lo siguiente:</w:t>
      </w:r>
    </w:p>
    <w:p w14:paraId="3AFA2DCB" w14:textId="77777777" w:rsidR="00257B2F" w:rsidRPr="00A57D42" w:rsidRDefault="00257B2F" w:rsidP="00257B2F">
      <w:pPr>
        <w:pBdr>
          <w:top w:val="nil"/>
          <w:left w:val="nil"/>
          <w:bottom w:val="nil"/>
          <w:right w:val="nil"/>
          <w:between w:val="nil"/>
        </w:pBdr>
        <w:spacing w:after="160"/>
        <w:ind w:left="567" w:right="843"/>
        <w:jc w:val="center"/>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CAPÍTULO TERCERO</w:t>
      </w:r>
    </w:p>
    <w:p w14:paraId="2ABB8BEE" w14:textId="77777777" w:rsidR="00257B2F" w:rsidRPr="00A57D42" w:rsidRDefault="00257B2F" w:rsidP="00257B2F">
      <w:pPr>
        <w:pBdr>
          <w:top w:val="nil"/>
          <w:left w:val="nil"/>
          <w:bottom w:val="nil"/>
          <w:right w:val="nil"/>
          <w:between w:val="nil"/>
        </w:pBdr>
        <w:spacing w:after="160"/>
        <w:ind w:left="567" w:right="843"/>
        <w:jc w:val="center"/>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DEL PROCEDIMIENTO DE RESPONSABILIDAD ADMINISTRATIVA</w:t>
      </w:r>
    </w:p>
    <w:p w14:paraId="77F3F25D" w14:textId="77777777" w:rsidR="00257B2F" w:rsidRPr="00A57D42" w:rsidRDefault="00257B2F" w:rsidP="00257B2F">
      <w:pPr>
        <w:pBdr>
          <w:top w:val="nil"/>
          <w:left w:val="nil"/>
          <w:bottom w:val="nil"/>
          <w:right w:val="nil"/>
          <w:between w:val="nil"/>
        </w:pBdr>
        <w:spacing w:after="160"/>
        <w:ind w:left="567" w:right="843"/>
        <w:jc w:val="center"/>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ANTE EL TRIBUNAL DE JUSTICIA ADMINISTRATIVA DEL ESTADO DE MÉXICO</w:t>
      </w:r>
    </w:p>
    <w:p w14:paraId="64A5CFDF" w14:textId="77777777" w:rsidR="00257B2F" w:rsidRPr="00A57D42" w:rsidRDefault="00257B2F" w:rsidP="00257B2F">
      <w:pPr>
        <w:pBdr>
          <w:top w:val="nil"/>
          <w:left w:val="nil"/>
          <w:bottom w:val="nil"/>
          <w:right w:val="nil"/>
          <w:between w:val="nil"/>
        </w:pBdr>
        <w:spacing w:after="160"/>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195. El procedimiento administrativo relacionado con faltas administrativas graves o faltas de particulares, se desarrollará de conformidad con lo previsto en el presente artículo.</w:t>
      </w:r>
    </w:p>
    <w:p w14:paraId="4824820A" w14:textId="77777777" w:rsidR="00257B2F" w:rsidRPr="00A57D42" w:rsidRDefault="00257B2F" w:rsidP="00257B2F">
      <w:pPr>
        <w:pBdr>
          <w:top w:val="nil"/>
          <w:left w:val="nil"/>
          <w:bottom w:val="nil"/>
          <w:right w:val="nil"/>
          <w:between w:val="nil"/>
        </w:pBdr>
        <w:spacing w:after="160"/>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3B9DA648" w14:textId="77777777" w:rsidR="00257B2F" w:rsidRPr="00A57D42" w:rsidRDefault="00257B2F" w:rsidP="00257B2F">
      <w:pPr>
        <w:pBdr>
          <w:top w:val="nil"/>
          <w:left w:val="nil"/>
          <w:bottom w:val="nil"/>
          <w:right w:val="nil"/>
          <w:between w:val="nil"/>
        </w:pBdr>
        <w:spacing w:after="160"/>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V. La resolución, deberá notificarse personalmente al servidor público o particular, según corresponda. En su caso, se notificará a los denunciantes únicamente para su conocimiento y al jefe inmediato o al titular de la dependencia, municipio u organismo auxiliar, para los efectos de su ejecución, en un término que no exceda de diez días hábiles.</w:t>
      </w:r>
    </w:p>
    <w:p w14:paraId="2A00DA2B" w14:textId="77777777" w:rsidR="00257B2F" w:rsidRPr="00A57D42" w:rsidRDefault="00257B2F" w:rsidP="00257B2F">
      <w:pPr>
        <w:pBdr>
          <w:top w:val="nil"/>
          <w:left w:val="nil"/>
          <w:bottom w:val="nil"/>
          <w:right w:val="nil"/>
          <w:between w:val="nil"/>
        </w:pBdr>
        <w:spacing w:after="160"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Lo anterior a efecto de establecer que si bien, los Órganos Internos de Control no emiten las resoluciones por procedimientos administrativos de faltas graves, el Sujeto Obligado si posee y administra dicha información, ya que es notificado el jefe inmediato o al titular de la dependencia por el Tribunal de Justicia Administrativa, así como al servidor público sancionado.</w:t>
      </w:r>
    </w:p>
    <w:p w14:paraId="38B7CF34" w14:textId="2A218718" w:rsidR="006317DA" w:rsidRPr="00A57D42" w:rsidRDefault="00F738DA"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Por su parte, </w:t>
      </w:r>
      <w:r w:rsidR="00DE04E8" w:rsidRPr="00A57D42">
        <w:rPr>
          <w:rFonts w:ascii="Palatino Linotype" w:eastAsia="Palatino Linotype" w:hAnsi="Palatino Linotype" w:cs="Palatino Linotype"/>
          <w:sz w:val="22"/>
          <w:szCs w:val="22"/>
        </w:rPr>
        <w:t xml:space="preserve">el Sujeto Obligado señaló, a través del Órgano Interno de Control </w:t>
      </w:r>
      <w:r w:rsidRPr="00A57D42">
        <w:rPr>
          <w:rFonts w:ascii="Palatino Linotype" w:eastAsia="Palatino Linotype" w:hAnsi="Palatino Linotype" w:cs="Palatino Linotype"/>
          <w:sz w:val="22"/>
          <w:szCs w:val="22"/>
        </w:rPr>
        <w:t xml:space="preserve">indicó </w:t>
      </w:r>
      <w:r w:rsidR="00DE04E8" w:rsidRPr="00A57D42">
        <w:rPr>
          <w:rFonts w:ascii="Palatino Linotype" w:eastAsia="Palatino Linotype" w:hAnsi="Palatino Linotype" w:cs="Palatino Linotype"/>
          <w:sz w:val="22"/>
          <w:szCs w:val="22"/>
        </w:rPr>
        <w:t>que los procedimientos se encuentran en trámite</w:t>
      </w:r>
      <w:r w:rsidR="00EC2967" w:rsidRPr="00A57D42">
        <w:rPr>
          <w:rFonts w:ascii="Palatino Linotype" w:eastAsia="Palatino Linotype" w:hAnsi="Palatino Linotype" w:cs="Palatino Linotype"/>
          <w:sz w:val="22"/>
          <w:szCs w:val="22"/>
        </w:rPr>
        <w:t>, razón por la que se clasificó como información reservada</w:t>
      </w:r>
      <w:r w:rsidR="00F67B7B" w:rsidRPr="00A57D42">
        <w:rPr>
          <w:rFonts w:ascii="Palatino Linotype" w:eastAsia="Palatino Linotype" w:hAnsi="Palatino Linotype" w:cs="Palatino Linotype"/>
          <w:sz w:val="22"/>
          <w:szCs w:val="22"/>
        </w:rPr>
        <w:t>, desarrollando la prueba de daño en los siguientes términos:</w:t>
      </w:r>
    </w:p>
    <w:p w14:paraId="5B79FC04" w14:textId="32D883DA" w:rsidR="00F67B7B" w:rsidRPr="00A57D42" w:rsidRDefault="00F67B7B" w:rsidP="00F738DA">
      <w:pPr>
        <w:spacing w:after="240" w:line="360" w:lineRule="auto"/>
        <w:jc w:val="center"/>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37471332" wp14:editId="328A488A">
            <wp:extent cx="5515169" cy="3572540"/>
            <wp:effectExtent l="0" t="0" r="9525"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61440" cy="3602513"/>
                    </a:xfrm>
                    <a:prstGeom prst="rect">
                      <a:avLst/>
                    </a:prstGeom>
                  </pic:spPr>
                </pic:pic>
              </a:graphicData>
            </a:graphic>
          </wp:inline>
        </w:drawing>
      </w:r>
    </w:p>
    <w:p w14:paraId="3AC86E32" w14:textId="16565010" w:rsidR="00F67B7B" w:rsidRPr="00A57D42" w:rsidRDefault="00F67B7B"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084A3FC5" wp14:editId="3E392CD0">
            <wp:extent cx="5756275" cy="336296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6275" cy="3362960"/>
                    </a:xfrm>
                    <a:prstGeom prst="rect">
                      <a:avLst/>
                    </a:prstGeom>
                  </pic:spPr>
                </pic:pic>
              </a:graphicData>
            </a:graphic>
          </wp:inline>
        </w:drawing>
      </w:r>
    </w:p>
    <w:p w14:paraId="3278EE72" w14:textId="7B0FA372" w:rsidR="00F67B7B" w:rsidRPr="00A57D42" w:rsidRDefault="00F67B7B"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Tal y como se advierte, el Sujeto Obligado clasificó la información en su totalidad por un periodo de tres años, argumentando que los procedimientos se encuentran en trámite, sin embargo, se deja en estado de incertidumbre al Recurrente, al no precisar mayores elementos de la información requerida; tales como:</w:t>
      </w:r>
    </w:p>
    <w:p w14:paraId="324CEC7A" w14:textId="0B0C27C7" w:rsidR="00F67B7B" w:rsidRPr="00A57D42" w:rsidRDefault="00F67B7B" w:rsidP="008414EE">
      <w:pPr>
        <w:pStyle w:val="Prrafodelista"/>
        <w:numPr>
          <w:ilvl w:val="0"/>
          <w:numId w:val="12"/>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Número de procedimientos;</w:t>
      </w:r>
    </w:p>
    <w:p w14:paraId="6C5EAC1F" w14:textId="2CA65A53" w:rsidR="00F67B7B" w:rsidRPr="00A57D42" w:rsidRDefault="00F67B7B" w:rsidP="008414EE">
      <w:pPr>
        <w:pStyle w:val="Prrafodelista"/>
        <w:numPr>
          <w:ilvl w:val="0"/>
          <w:numId w:val="12"/>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Fecha de inicio, </w:t>
      </w:r>
    </w:p>
    <w:p w14:paraId="04E3FF98" w14:textId="18D896D0" w:rsidR="00F67B7B" w:rsidRPr="00A57D42" w:rsidRDefault="00F67B7B" w:rsidP="008414EE">
      <w:pPr>
        <w:pStyle w:val="Prrafodelista"/>
        <w:numPr>
          <w:ilvl w:val="0"/>
          <w:numId w:val="12"/>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Estatus </w:t>
      </w:r>
    </w:p>
    <w:p w14:paraId="481E5A91" w14:textId="2FFBAC9C" w:rsidR="00F67B7B" w:rsidRPr="00A57D42" w:rsidRDefault="00F67B7B"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Lo anterior, demuestra de inicio la existencia de los mismos y la cantidad, la fecha de inicio y al señalar el estado en el que se encuentra da cuenta de que realmente se encuentran en trámite reforzando la justificación legal para restringir el derecho del particular de acceder a la información pública.</w:t>
      </w:r>
    </w:p>
    <w:p w14:paraId="29D6E2F6" w14:textId="4A1DC961" w:rsidR="00C53419" w:rsidRPr="00A57D42" w:rsidRDefault="00C53419" w:rsidP="00C53419">
      <w:pPr>
        <w:spacing w:after="240" w:line="360" w:lineRule="auto"/>
        <w:jc w:val="both"/>
        <w:rPr>
          <w:rFonts w:ascii="Palatino Linotype" w:hAnsi="Palatino Linotype" w:cs="Arial"/>
          <w:sz w:val="22"/>
          <w:szCs w:val="22"/>
        </w:rPr>
      </w:pPr>
      <w:r w:rsidRPr="00A57D42">
        <w:rPr>
          <w:rFonts w:ascii="Palatino Linotype" w:eastAsia="Palatino Linotype" w:hAnsi="Palatino Linotype" w:cs="Palatino Linotype"/>
          <w:sz w:val="22"/>
          <w:szCs w:val="22"/>
        </w:rPr>
        <w:t>En los casos que la información requerida por los particulares actualice alguna causal de clasificación como información confidencial, es necesario que se siga una serie de procedimientos contemplados en la normatividad en la materia. En primer término en</w:t>
      </w:r>
      <w:r w:rsidRPr="00A57D42">
        <w:rPr>
          <w:rFonts w:ascii="Palatino Linotype" w:hAnsi="Palatino Linotype" w:cs="Arial"/>
          <w:sz w:val="22"/>
          <w:szCs w:val="22"/>
        </w:rPr>
        <w:t xml:space="preserve"> el artículo 140, fracción VI, de la Ley de Transparencia y Acceso a la Información Pública del Estado de México y Municipios; que se cita a continuación para mejor referencia: </w:t>
      </w:r>
    </w:p>
    <w:p w14:paraId="33CDC0F3" w14:textId="77777777" w:rsidR="00C53419" w:rsidRPr="00A57D42" w:rsidRDefault="00C53419" w:rsidP="00C53419">
      <w:pPr>
        <w:spacing w:before="120" w:after="120"/>
        <w:ind w:left="851" w:right="902"/>
        <w:jc w:val="both"/>
        <w:rPr>
          <w:rFonts w:ascii="Palatino Linotype" w:hAnsi="Palatino Linotype"/>
          <w:i/>
          <w:sz w:val="22"/>
          <w:szCs w:val="22"/>
        </w:rPr>
      </w:pPr>
      <w:r w:rsidRPr="00A57D42">
        <w:rPr>
          <w:rFonts w:ascii="Palatino Linotype" w:hAnsi="Palatino Linotype"/>
          <w:i/>
          <w:sz w:val="22"/>
          <w:szCs w:val="22"/>
        </w:rPr>
        <w:t>“</w:t>
      </w:r>
      <w:r w:rsidRPr="00A57D42">
        <w:rPr>
          <w:rFonts w:ascii="Palatino Linotype" w:hAnsi="Palatino Linotype"/>
          <w:b/>
          <w:i/>
          <w:sz w:val="22"/>
          <w:szCs w:val="22"/>
        </w:rPr>
        <w:t>Artículo 140</w:t>
      </w:r>
      <w:r w:rsidRPr="00A57D42">
        <w:rPr>
          <w:rFonts w:ascii="Palatino Linotype" w:hAnsi="Palatino Linotype"/>
          <w:i/>
          <w:sz w:val="22"/>
          <w:szCs w:val="22"/>
        </w:rPr>
        <w:t xml:space="preserve">. El acceso a la información pública será restringido excepcionalmente, cuando por razones de interés público, ésta sea clasificada como reservada, conforme a los criterios siguientes: </w:t>
      </w:r>
    </w:p>
    <w:p w14:paraId="776FEBFD" w14:textId="77777777" w:rsidR="00C53419" w:rsidRPr="00A57D42" w:rsidRDefault="00C53419" w:rsidP="00C53419">
      <w:pPr>
        <w:spacing w:before="120" w:after="120"/>
        <w:ind w:left="851" w:right="902"/>
        <w:jc w:val="both"/>
        <w:rPr>
          <w:rFonts w:ascii="Palatino Linotype" w:hAnsi="Palatino Linotype"/>
          <w:i/>
          <w:sz w:val="22"/>
          <w:szCs w:val="22"/>
        </w:rPr>
      </w:pPr>
      <w:r w:rsidRPr="00A57D42">
        <w:rPr>
          <w:rFonts w:ascii="Palatino Linotype" w:hAnsi="Palatino Linotype"/>
          <w:i/>
          <w:sz w:val="22"/>
          <w:szCs w:val="22"/>
        </w:rPr>
        <w:t xml:space="preserve">… </w:t>
      </w:r>
    </w:p>
    <w:p w14:paraId="1BBD2E37" w14:textId="77777777" w:rsidR="00C53419" w:rsidRPr="00A57D42" w:rsidRDefault="00C53419" w:rsidP="00C53419">
      <w:pPr>
        <w:spacing w:before="120" w:after="120"/>
        <w:ind w:left="851" w:right="902"/>
        <w:jc w:val="both"/>
        <w:rPr>
          <w:rFonts w:ascii="Palatino Linotype" w:hAnsi="Palatino Linotype"/>
          <w:i/>
          <w:sz w:val="22"/>
          <w:szCs w:val="22"/>
        </w:rPr>
      </w:pPr>
      <w:r w:rsidRPr="00A57D42">
        <w:rPr>
          <w:rFonts w:ascii="Palatino Linotype" w:hAnsi="Palatino Linotype"/>
          <w:b/>
          <w:i/>
          <w:sz w:val="22"/>
          <w:szCs w:val="22"/>
        </w:rPr>
        <w:t>VI.</w:t>
      </w:r>
      <w:r w:rsidRPr="00A57D42">
        <w:rPr>
          <w:rFonts w:ascii="Palatino Linotype" w:hAnsi="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14:paraId="43A2BDA3" w14:textId="77777777" w:rsidR="00C53419" w:rsidRPr="00A57D42" w:rsidRDefault="00C53419" w:rsidP="00C53419">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sz w:val="22"/>
          <w:szCs w:val="22"/>
        </w:rPr>
      </w:pPr>
      <w:r w:rsidRPr="00A57D42">
        <w:rPr>
          <w:rFonts w:ascii="Palatino Linotype" w:hAnsi="Palatino Linotype" w:cs="Arial"/>
          <w:sz w:val="22"/>
          <w:szCs w:val="22"/>
        </w:rPr>
        <w:t>Hipótesis que a su vez guarda relación con el numeral Vigésimo octavo de los Lineamientos Generales en materia de Clasificación y Desclasificación de la información, así como para la elaboración de Versiones Públicas, se prevé lo siguiente:</w:t>
      </w:r>
    </w:p>
    <w:p w14:paraId="5551DEE5" w14:textId="77777777" w:rsidR="00C53419" w:rsidRPr="00A57D42" w:rsidRDefault="00C53419" w:rsidP="00C53419">
      <w:pPr>
        <w:shd w:val="clear" w:color="auto" w:fill="FFFFFF"/>
        <w:spacing w:before="120" w:after="120"/>
        <w:ind w:left="851" w:right="900"/>
        <w:contextualSpacing/>
        <w:jc w:val="both"/>
        <w:rPr>
          <w:rFonts w:ascii="Palatino Linotype" w:hAnsi="Palatino Linotype"/>
          <w:b/>
          <w:i/>
          <w:iCs/>
          <w:sz w:val="22"/>
          <w:szCs w:val="22"/>
          <w:u w:val="single"/>
        </w:rPr>
      </w:pPr>
      <w:r w:rsidRPr="00A57D42">
        <w:rPr>
          <w:rFonts w:ascii="Palatino Linotype" w:hAnsi="Palatino Linotype"/>
          <w:i/>
          <w:iCs/>
          <w:sz w:val="22"/>
          <w:szCs w:val="22"/>
        </w:rPr>
        <w:t>“</w:t>
      </w:r>
      <w:r w:rsidRPr="00A57D42">
        <w:rPr>
          <w:rFonts w:ascii="Palatino Linotype" w:hAnsi="Palatino Linotype"/>
          <w:b/>
          <w:i/>
          <w:iCs/>
          <w:sz w:val="22"/>
          <w:szCs w:val="22"/>
        </w:rPr>
        <w:t>Vigésimo octavo</w:t>
      </w:r>
      <w:r w:rsidRPr="00A57D42">
        <w:rPr>
          <w:rFonts w:ascii="Palatino Linotype" w:hAnsi="Palatino Linotype"/>
          <w:i/>
          <w:iCs/>
          <w:sz w:val="22"/>
          <w:szCs w:val="22"/>
        </w:rPr>
        <w:t xml:space="preserve">. De conformidad con el artículo 113, fracción IX de la Ley General, podrá considerarse como información reservada, aquella que obstruya los procedimientos para fincar responsabilidad a los servidores públicos, en tanto no se haya dictado la resolución administrativa correspondiente; para lo cual, </w:t>
      </w:r>
      <w:r w:rsidRPr="00A57D42">
        <w:rPr>
          <w:rFonts w:ascii="Palatino Linotype" w:hAnsi="Palatino Linotype"/>
          <w:b/>
          <w:i/>
          <w:iCs/>
          <w:sz w:val="22"/>
          <w:szCs w:val="22"/>
          <w:u w:val="single"/>
        </w:rPr>
        <w:t xml:space="preserve">se deberán acreditar los siguientes supuestos: </w:t>
      </w:r>
    </w:p>
    <w:p w14:paraId="40E0D860" w14:textId="77777777" w:rsidR="00C53419" w:rsidRPr="00A57D42" w:rsidRDefault="00C53419" w:rsidP="00C53419">
      <w:pPr>
        <w:shd w:val="clear" w:color="auto" w:fill="FFFFFF"/>
        <w:spacing w:before="120" w:after="120"/>
        <w:ind w:left="851" w:right="900"/>
        <w:contextualSpacing/>
        <w:jc w:val="both"/>
        <w:rPr>
          <w:rFonts w:ascii="Palatino Linotype" w:hAnsi="Palatino Linotype"/>
          <w:b/>
          <w:i/>
          <w:iCs/>
          <w:sz w:val="22"/>
          <w:szCs w:val="22"/>
        </w:rPr>
      </w:pPr>
      <w:r w:rsidRPr="00A57D42">
        <w:rPr>
          <w:rFonts w:ascii="Palatino Linotype" w:hAnsi="Palatino Linotype"/>
          <w:b/>
          <w:i/>
          <w:iCs/>
          <w:sz w:val="22"/>
          <w:szCs w:val="22"/>
        </w:rPr>
        <w:t xml:space="preserve">I. La existencia de un procedimiento de responsabilidad administrativa en trámite, y </w:t>
      </w:r>
    </w:p>
    <w:p w14:paraId="0CD9A4E8" w14:textId="77777777" w:rsidR="00C53419" w:rsidRPr="00A57D42" w:rsidRDefault="00C53419" w:rsidP="00C53419">
      <w:pPr>
        <w:shd w:val="clear" w:color="auto" w:fill="FFFFFF"/>
        <w:spacing w:before="120" w:after="120"/>
        <w:ind w:left="851" w:right="900"/>
        <w:contextualSpacing/>
        <w:jc w:val="both"/>
        <w:rPr>
          <w:rFonts w:ascii="Palatino Linotype" w:hAnsi="Palatino Linotype"/>
          <w:b/>
          <w:i/>
          <w:iCs/>
          <w:sz w:val="22"/>
          <w:szCs w:val="22"/>
        </w:rPr>
      </w:pPr>
      <w:r w:rsidRPr="00A57D42">
        <w:rPr>
          <w:rFonts w:ascii="Palatino Linotype" w:hAnsi="Palatino Linotype"/>
          <w:b/>
          <w:i/>
          <w:iCs/>
          <w:sz w:val="22"/>
          <w:szCs w:val="22"/>
        </w:rPr>
        <w:t>II. Que la información se refiera a actuaciones, diligencias y constancias propias del procedimiento de responsabilidad.</w:t>
      </w:r>
    </w:p>
    <w:p w14:paraId="14981D71" w14:textId="77777777" w:rsidR="00C53419" w:rsidRPr="00A57D42" w:rsidRDefault="00C53419" w:rsidP="00C53419">
      <w:pPr>
        <w:spacing w:before="120" w:after="120"/>
        <w:ind w:left="851" w:right="902"/>
        <w:jc w:val="both"/>
        <w:rPr>
          <w:rFonts w:ascii="Palatino Linotype" w:hAnsi="Palatino Linotype"/>
          <w:i/>
          <w:iCs/>
          <w:sz w:val="22"/>
          <w:szCs w:val="22"/>
        </w:rPr>
      </w:pPr>
      <w:r w:rsidRPr="00A57D42">
        <w:rPr>
          <w:rFonts w:ascii="Palatino Linotype" w:hAnsi="Palatino Linotype"/>
          <w:b/>
          <w:bCs/>
          <w:i/>
          <w:iCs/>
          <w:sz w:val="22"/>
          <w:szCs w:val="22"/>
        </w:rPr>
        <w:t>III.</w:t>
      </w:r>
      <w:r w:rsidRPr="00A57D42">
        <w:rPr>
          <w:rFonts w:ascii="Palatino Linotype" w:hAnsi="Palatino Linotype"/>
          <w:i/>
          <w:iCs/>
          <w:sz w:val="22"/>
          <w:szCs w:val="22"/>
        </w:rPr>
        <w:t xml:space="preserve"> Que con su difusión se pueda llegar a interrumpir o menoscabar la actuación de las autoridades administrativas que impida u obstaculice su determinación en el procedimiento de responsabilidad.</w:t>
      </w:r>
      <w:r w:rsidRPr="00A57D42">
        <w:rPr>
          <w:rFonts w:ascii="Palatino Linotype" w:hAnsi="Palatino Linotype"/>
          <w:b/>
          <w:i/>
          <w:iCs/>
          <w:sz w:val="22"/>
          <w:szCs w:val="22"/>
        </w:rPr>
        <w:t>”</w:t>
      </w:r>
    </w:p>
    <w:p w14:paraId="2AAE44A1" w14:textId="77777777" w:rsidR="00C53419" w:rsidRPr="00A57D42" w:rsidRDefault="00C53419" w:rsidP="00C53419">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sz w:val="22"/>
          <w:szCs w:val="22"/>
        </w:rPr>
      </w:pPr>
      <w:r w:rsidRPr="00A57D42">
        <w:rPr>
          <w:rFonts w:ascii="Palatino Linotype" w:hAnsi="Palatino Linotype" w:cs="Arial"/>
          <w:sz w:val="22"/>
          <w:szCs w:val="22"/>
        </w:rPr>
        <w:t xml:space="preserve">De la normatividad citada, se desprende que el supuesto de clasificación invocado prevé que, como información reservada, </w:t>
      </w:r>
      <w:r w:rsidRPr="00A57D42">
        <w:rPr>
          <w:rFonts w:ascii="Palatino Linotype" w:hAnsi="Palatino Linotype" w:cs="Arial"/>
          <w:b/>
          <w:sz w:val="22"/>
          <w:szCs w:val="22"/>
        </w:rPr>
        <w:t>a aquella que vulnere la conducción de los procedimientos de responsabilidades administrativas en trámite, en tanto no hayan causado estado.</w:t>
      </w:r>
      <w:r w:rsidRPr="00A57D42">
        <w:rPr>
          <w:rFonts w:ascii="Palatino Linotype" w:hAnsi="Palatino Linotype" w:cs="Arial"/>
          <w:sz w:val="22"/>
          <w:szCs w:val="22"/>
        </w:rPr>
        <w:t xml:space="preserve"> Por lo cual, para considerar que se actualiza dicha causal es necesario que se configuren los siguientes elementos:</w:t>
      </w:r>
    </w:p>
    <w:p w14:paraId="7A8BA063" w14:textId="77777777" w:rsidR="00C53419" w:rsidRPr="00A57D42" w:rsidRDefault="00C53419" w:rsidP="008414EE">
      <w:pPr>
        <w:pStyle w:val="Prrafodelista"/>
        <w:widowControl w:val="0"/>
        <w:numPr>
          <w:ilvl w:val="0"/>
          <w:numId w:val="10"/>
        </w:numPr>
        <w:autoSpaceDE w:val="0"/>
        <w:autoSpaceDN w:val="0"/>
        <w:adjustRightInd w:val="0"/>
        <w:spacing w:before="240" w:after="240" w:line="360" w:lineRule="auto"/>
        <w:ind w:left="284" w:firstLine="0"/>
        <w:contextualSpacing w:val="0"/>
        <w:jc w:val="both"/>
        <w:rPr>
          <w:rFonts w:ascii="Palatino Linotype" w:hAnsi="Palatino Linotype" w:cs="Arial"/>
          <w:sz w:val="22"/>
          <w:szCs w:val="22"/>
        </w:rPr>
      </w:pPr>
      <w:r w:rsidRPr="00A57D42">
        <w:rPr>
          <w:rFonts w:ascii="Palatino Linotype" w:hAnsi="Palatino Linotype" w:cs="Arial"/>
          <w:sz w:val="22"/>
          <w:szCs w:val="22"/>
        </w:rPr>
        <w:t xml:space="preserve">La existencia de un procedimiento administrativo, que se encuentre en trámite, y; </w:t>
      </w:r>
    </w:p>
    <w:p w14:paraId="5994F63E" w14:textId="77777777" w:rsidR="00C53419" w:rsidRPr="00A57D42" w:rsidRDefault="00C53419" w:rsidP="008414EE">
      <w:pPr>
        <w:pStyle w:val="Prrafodelista"/>
        <w:widowControl w:val="0"/>
        <w:numPr>
          <w:ilvl w:val="0"/>
          <w:numId w:val="10"/>
        </w:numPr>
        <w:autoSpaceDE w:val="0"/>
        <w:autoSpaceDN w:val="0"/>
        <w:adjustRightInd w:val="0"/>
        <w:spacing w:before="240" w:after="240" w:line="360" w:lineRule="auto"/>
        <w:ind w:left="284" w:firstLine="0"/>
        <w:contextualSpacing w:val="0"/>
        <w:jc w:val="both"/>
        <w:rPr>
          <w:rFonts w:ascii="Palatino Linotype" w:hAnsi="Palatino Linotype" w:cs="Arial"/>
          <w:sz w:val="22"/>
          <w:szCs w:val="22"/>
        </w:rPr>
      </w:pPr>
      <w:r w:rsidRPr="00A57D42">
        <w:rPr>
          <w:rFonts w:ascii="Palatino Linotype" w:hAnsi="Palatino Linotype" w:cs="Arial"/>
          <w:sz w:val="22"/>
          <w:szCs w:val="22"/>
        </w:rPr>
        <w:t>Que la información solicitada se refiera a actuaciones, diligencias o constancias propias del procedimiento.</w:t>
      </w:r>
    </w:p>
    <w:p w14:paraId="42B7812A" w14:textId="77777777" w:rsidR="00C53419" w:rsidRPr="00A57D42" w:rsidRDefault="00C53419" w:rsidP="00C53419">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la Ley de la Materia establece que la clasificación de la información como reservada permanecerá con tal carácter hasta por un periodo de cinco años contados a partir de su clasificación, salvo que antes de su cumplimiento dejaran de existir los motivos de su reserva, pero excepcionalmente y con aprobación del Comité de Transparencia los Sujetos Obligados podrán ampliar el periodo de reserva hasta por un periodo de cinco años adicionales, por una sola vez, siempre y cuando justifiquen que subsistente las causas que dieron origen a su clasificación.</w:t>
      </w:r>
    </w:p>
    <w:p w14:paraId="14E2FD87" w14:textId="77777777" w:rsidR="00C53419" w:rsidRPr="00A57D42" w:rsidRDefault="00C53419" w:rsidP="00C53419">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Ahora bien, para motivar la clasificación de la información o en su caso, la ampliación del plazo de reserva, se deberán señalar las razones, motivos o circunstancias especiales que llevaron al Sujeto Obligado a concluir que el caso particular se ajusta a los supuestos previstos en el artículo 140 de la Ley de Transparencia en la entidad, debiendo en todo momento aplicar la prueba de daño y hacer mención del plazo al que estará sujeto la reserva.</w:t>
      </w:r>
    </w:p>
    <w:p w14:paraId="6324F2A4" w14:textId="77777777" w:rsidR="00C53419" w:rsidRPr="00A57D42" w:rsidRDefault="00C53419" w:rsidP="00C53419">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Los Sujetos Obligados no podrán emitir acuerdos de carácter general ni particular que clasifiquen documentos o información como reservada, ya que dicha clasificación, ya sea parcial o total, debe estar acorde con la actualización de los supuestos definidos en la ley de la materia, resaltándose que se debe realizar conforme a un análisis caso por caso, mediante la aplicación de la enunciada prueba de daño.</w:t>
      </w:r>
    </w:p>
    <w:p w14:paraId="1B7D6C2D" w14:textId="77777777" w:rsidR="00C53419" w:rsidRPr="00A57D42" w:rsidRDefault="00C53419" w:rsidP="00C53419">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tal contexto, en términos generales, las Leyes de la materia disponen que, para proceder a realizar la reserva de la información, no basta que se refiera a alguno de los supuestos que enmarque la Ley, sino que es necesario que la autoridad demuestre que la divulgación de la información, puede afectar, poner en riesgo o dañar el interés público protegido, mediante elementos objetivos que evalúen si existe un riego actual e inminente, siguiendo los parámetros exigidos de conformidad con lo establecido en el artículo 112 de la Ley General de Transparencia y Acceso a la Información Pública, los artículos 91, 128, 129, 140 y 141, de la Ley de Transparencia y Acceso a la Información Pública del Estado de México y Municipios, y los Capítulos II y V de los Lineamientos Generales de Clasificación y Desclasificación de la Información, así como para la Elaboración de Versiones Públicas.</w:t>
      </w:r>
    </w:p>
    <w:p w14:paraId="35ABB1B8" w14:textId="77777777" w:rsidR="00C53419" w:rsidRPr="00A57D42" w:rsidRDefault="00C53419" w:rsidP="00C53419">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esta tesitura, es de importante relevancia hacer del conocimiento del </w:t>
      </w:r>
      <w:r w:rsidRPr="00A57D42">
        <w:rPr>
          <w:rFonts w:ascii="Palatino Linotype" w:eastAsia="Palatino Linotype" w:hAnsi="Palatino Linotype" w:cs="Palatino Linotype"/>
          <w:b/>
          <w:sz w:val="22"/>
          <w:szCs w:val="22"/>
        </w:rPr>
        <w:t>Sujeto Obligado</w:t>
      </w:r>
      <w:r w:rsidRPr="00A57D42">
        <w:rPr>
          <w:rFonts w:ascii="Palatino Linotype" w:eastAsia="Palatino Linotype" w:hAnsi="Palatino Linotype" w:cs="Palatino Linotype"/>
          <w:sz w:val="22"/>
          <w:szCs w:val="22"/>
        </w:rPr>
        <w:t xml:space="preserve"> que debe realizar la debida reserva de la información en caso de que existan actas administrativas relacionadas con procedimientos de responsabilidad que no han causado estado; es decir, que el principio de definitividad no se haya actualizado, por aún existir instancias para su revisión o impugnación o en su caso, que no haya causado estado, en cuyo supuesto  </w:t>
      </w:r>
      <w:r w:rsidRPr="00A57D42">
        <w:rPr>
          <w:rFonts w:ascii="Palatino Linotype" w:hAnsi="Palatino Linotype"/>
          <w:sz w:val="22"/>
          <w:szCs w:val="22"/>
        </w:rPr>
        <w:t xml:space="preserve">el Comité de Transparencia deberá emitir el acuerdo de clasificación conforme al artículo 49, fracción VIII de la </w:t>
      </w:r>
      <w:r w:rsidRPr="00A57D42">
        <w:rPr>
          <w:rFonts w:ascii="Palatino Linotype" w:hAnsi="Palatino Linotype" w:cs="Arial"/>
          <w:sz w:val="22"/>
          <w:szCs w:val="22"/>
        </w:rPr>
        <w:t>Ley de Transparencia y Acceso a la Información Pública del Estado de México y Municipios</w:t>
      </w:r>
      <w:r w:rsidRPr="00A57D42">
        <w:rPr>
          <w:rFonts w:ascii="Palatino Linotype" w:hAnsi="Palatino Linotype"/>
          <w:sz w:val="22"/>
          <w:szCs w:val="22"/>
        </w:rPr>
        <w:t xml:space="preserve">, </w:t>
      </w:r>
      <w:r w:rsidRPr="00A57D42">
        <w:rPr>
          <w:rFonts w:ascii="Palatino Linotype" w:eastAsia="Palatino Linotype" w:hAnsi="Palatino Linotype" w:cs="Palatino Linotype"/>
          <w:sz w:val="22"/>
          <w:szCs w:val="22"/>
        </w:rPr>
        <w:t>siguiendo los requisitos expuestos, así como lo las formalidades que establece el  lineamiento Trigésimo Tercero, de los Lineamientos Generales en Materia de Clasificación y Desclasificación de la Información, que dispone lo siguiente:</w:t>
      </w:r>
    </w:p>
    <w:p w14:paraId="16CDC29A" w14:textId="77777777" w:rsidR="00C53419" w:rsidRPr="00A57D42" w:rsidRDefault="00C53419" w:rsidP="00C53419">
      <w:pPr>
        <w:spacing w:before="120" w:after="120"/>
        <w:ind w:left="851" w:right="758"/>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Trigésimo tercero</w:t>
      </w:r>
      <w:r w:rsidRPr="00A57D42">
        <w:rPr>
          <w:rFonts w:ascii="Palatino Linotype" w:eastAsia="Palatino Linotype" w:hAnsi="Palatino Linotype" w:cs="Palatino Linotype"/>
          <w:i/>
          <w:sz w:val="22"/>
          <w:szCs w:val="22"/>
        </w:rPr>
        <w:t>. Para la aplicación de la prueba de daño a la que hace referencia el artículo 104 de la Ley General, los sujetos obligados atenderán lo siguiente:</w:t>
      </w:r>
    </w:p>
    <w:p w14:paraId="6EAF50DB" w14:textId="77777777" w:rsidR="00C53419" w:rsidRPr="00A57D42" w:rsidRDefault="00C53419" w:rsidP="00C53419">
      <w:pPr>
        <w:tabs>
          <w:tab w:val="left" w:pos="1701"/>
        </w:tabs>
        <w:spacing w:before="120" w:after="120"/>
        <w:ind w:left="851" w:right="760"/>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b/>
          <w:i/>
          <w:sz w:val="22"/>
          <w:szCs w:val="22"/>
        </w:rPr>
        <w:t xml:space="preserve">I. </w:t>
      </w:r>
      <w:r w:rsidRPr="00A57D42">
        <w:rPr>
          <w:rFonts w:ascii="Palatino Linotype" w:eastAsia="Palatino Linotype" w:hAnsi="Palatino Linotype" w:cs="Palatino Linotype"/>
          <w:i/>
          <w:sz w:val="22"/>
          <w:szCs w:val="22"/>
        </w:rPr>
        <w:t>Se deberá fundar la clasificación, al citar la fracción y la hipótesis de la causal aplicable del artículo 113 de la Ley General, vinculándola con el Lineamiento específico del presente ordenamiento y cuando corresponda, el supuesto normativo que expresamente le otorga el carácter de información reservada;</w:t>
      </w:r>
    </w:p>
    <w:p w14:paraId="56BDC344" w14:textId="77777777" w:rsidR="00C53419" w:rsidRPr="00A57D42" w:rsidRDefault="00C53419" w:rsidP="00C53419">
      <w:pPr>
        <w:tabs>
          <w:tab w:val="left" w:pos="1701"/>
        </w:tabs>
        <w:spacing w:before="120" w:after="120"/>
        <w:ind w:left="851" w:right="760"/>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II</w:t>
      </w:r>
      <w:r w:rsidRPr="00A57D42">
        <w:rPr>
          <w:rFonts w:ascii="Palatino Linotype" w:eastAsia="Palatino Linotype" w:hAnsi="Palatino Linotype" w:cs="Palatino Linotype"/>
          <w:i/>
          <w:sz w:val="22"/>
          <w:szCs w:val="22"/>
        </w:rPr>
        <w:t>. Se deberá motivar la clasificación, señalando las circunstancias de modo, tiempo y lugar que acrediten el vínculo entre la difusión de la información y la afectación al interés público o a la seguridad nacional;</w:t>
      </w:r>
    </w:p>
    <w:p w14:paraId="48F8DC26" w14:textId="77777777" w:rsidR="00C53419" w:rsidRPr="00A57D42" w:rsidRDefault="00C53419" w:rsidP="00C53419">
      <w:pPr>
        <w:tabs>
          <w:tab w:val="left" w:pos="1701"/>
        </w:tabs>
        <w:spacing w:before="120" w:after="120"/>
        <w:ind w:left="851" w:right="760"/>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III.</w:t>
      </w:r>
      <w:r w:rsidRPr="00A57D42">
        <w:rPr>
          <w:rFonts w:ascii="Palatino Linotype" w:eastAsia="Palatino Linotype" w:hAnsi="Palatino Linotype" w:cs="Palatino Linotype"/>
          <w:i/>
          <w:sz w:val="22"/>
          <w:szCs w:val="22"/>
        </w:rPr>
        <w:t xml:space="preserve"> Se deberán precisar las razones objetivas por las que la apertura de la información generaría un riesgo de perjuicio real, demostrable e identificable al interés jurídico tutelado de que se trate;</w:t>
      </w:r>
    </w:p>
    <w:p w14:paraId="0E226C7C" w14:textId="77777777" w:rsidR="00C53419" w:rsidRPr="00A57D42" w:rsidRDefault="00C53419" w:rsidP="00C53419">
      <w:pPr>
        <w:tabs>
          <w:tab w:val="left" w:pos="1701"/>
        </w:tabs>
        <w:spacing w:before="120" w:after="120"/>
        <w:ind w:left="851" w:right="760"/>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b/>
          <w:i/>
          <w:sz w:val="22"/>
          <w:szCs w:val="22"/>
        </w:rPr>
        <w:t>IV.</w:t>
      </w:r>
      <w:r w:rsidRPr="00A57D42">
        <w:rPr>
          <w:rFonts w:ascii="Palatino Linotype" w:eastAsia="Palatino Linotype" w:hAnsi="Palatino Linotype" w:cs="Palatino Linotype"/>
          <w:i/>
          <w:sz w:val="22"/>
          <w:szCs w:val="22"/>
        </w:rPr>
        <w:t xml:space="preserve"> Mediante una ponderación entre la medida restrictiva y el derecho de acceso a la información, deberán justificar y probar objetivamente mediante los elementos señalados en la fracción anterior, que la publicidad de la información solicitada generaría un riesgo de perjuicio que supera al interés público de que la información se difunda;</w:t>
      </w:r>
      <w:r w:rsidRPr="00A57D42">
        <w:rPr>
          <w:rFonts w:ascii="Palatino Linotype" w:eastAsia="Palatino Linotype" w:hAnsi="Palatino Linotype" w:cs="Palatino Linotype"/>
          <w:b/>
          <w:i/>
          <w:sz w:val="22"/>
          <w:szCs w:val="22"/>
        </w:rPr>
        <w:t xml:space="preserve"> </w:t>
      </w:r>
    </w:p>
    <w:p w14:paraId="59A879E2" w14:textId="77777777" w:rsidR="00C53419" w:rsidRPr="00A57D42" w:rsidRDefault="00C53419" w:rsidP="00C53419">
      <w:pPr>
        <w:tabs>
          <w:tab w:val="left" w:pos="1701"/>
        </w:tabs>
        <w:spacing w:before="120" w:after="120"/>
        <w:ind w:left="851" w:right="760"/>
        <w:jc w:val="both"/>
        <w:rPr>
          <w:rFonts w:ascii="Palatino Linotype" w:eastAsia="Palatino Linotype" w:hAnsi="Palatino Linotype" w:cs="Palatino Linotype"/>
          <w:b/>
          <w:i/>
          <w:sz w:val="22"/>
          <w:szCs w:val="22"/>
        </w:rPr>
      </w:pPr>
      <w:r w:rsidRPr="00A57D42">
        <w:rPr>
          <w:rFonts w:ascii="Palatino Linotype" w:eastAsia="Palatino Linotype" w:hAnsi="Palatino Linotype" w:cs="Palatino Linotype"/>
          <w:b/>
          <w:i/>
          <w:sz w:val="22"/>
          <w:szCs w:val="22"/>
        </w:rPr>
        <w:t>V</w:t>
      </w:r>
      <w:r w:rsidRPr="00A57D42">
        <w:rPr>
          <w:rFonts w:ascii="Palatino Linotype" w:eastAsia="Palatino Linotype" w:hAnsi="Palatino Linotype" w:cs="Palatino Linotype"/>
          <w:i/>
          <w:sz w:val="22"/>
          <w:szCs w:val="22"/>
        </w:rPr>
        <w:t>. Deberán elegir y justificar la opción de excepción al derecho de acceso a la información que menos lo restrinja y que sea adecuada y proporcional para evitar el perjuicio al interés público, evitando siempre que sea posible la reserva absoluta de documentos o expedientes; y</w:t>
      </w:r>
      <w:r w:rsidRPr="00A57D42">
        <w:rPr>
          <w:rFonts w:ascii="Palatino Linotype" w:eastAsia="Palatino Linotype" w:hAnsi="Palatino Linotype" w:cs="Palatino Linotype"/>
          <w:b/>
          <w:i/>
          <w:sz w:val="22"/>
          <w:szCs w:val="22"/>
        </w:rPr>
        <w:t xml:space="preserve"> </w:t>
      </w:r>
    </w:p>
    <w:p w14:paraId="2F58ACB8" w14:textId="77777777" w:rsidR="00C53419" w:rsidRPr="00A57D42" w:rsidRDefault="00C53419" w:rsidP="00C53419">
      <w:pPr>
        <w:tabs>
          <w:tab w:val="left" w:pos="1701"/>
        </w:tabs>
        <w:spacing w:before="120" w:after="120"/>
        <w:ind w:left="851" w:right="760"/>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VI</w:t>
      </w:r>
      <w:r w:rsidRPr="00A57D42">
        <w:rPr>
          <w:rFonts w:ascii="Palatino Linotype" w:eastAsia="Palatino Linotype" w:hAnsi="Palatino Linotype" w:cs="Palatino Linotype"/>
          <w:i/>
          <w:sz w:val="22"/>
          <w:szCs w:val="22"/>
        </w:rPr>
        <w:t>. En los casos en que se determine la clasificación total de la información, se deberán especificar en la prueba de daño, con la mayor claridad y precisión posible, los aspectos relevantes de la información clasificada que ayuden a cumplir con el objetivo de brindar certeza al solicitante.”</w:t>
      </w:r>
    </w:p>
    <w:p w14:paraId="77E6CB9C" w14:textId="77777777" w:rsidR="00C53419" w:rsidRPr="00A57D42" w:rsidRDefault="00C53419" w:rsidP="00C53419">
      <w:pPr>
        <w:spacing w:before="240" w:after="240" w:line="360" w:lineRule="auto"/>
        <w:ind w:right="51"/>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Requisitos que deben estar acompañados de la debida fundamentación y motivación, cobrado aplicación lo que señala la jurisprudencia de la novena época visible en el Semanario Judicial de la Federación y su Gaceta. Instancia: Tribunales Colegiados de Circuito. Tesis I.4o.A.J/43 (9a.) bajo el número de registro 175082 cuyo rubro y texto esgrime;</w:t>
      </w:r>
    </w:p>
    <w:p w14:paraId="6C1E056C" w14:textId="77777777" w:rsidR="00C53419" w:rsidRPr="00A57D42" w:rsidRDefault="00C53419" w:rsidP="00C53419">
      <w:pPr>
        <w:spacing w:before="120" w:after="120"/>
        <w:ind w:left="851" w:right="822"/>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i/>
          <w:sz w:val="22"/>
          <w:szCs w:val="22"/>
        </w:rPr>
        <w:t xml:space="preserve">“FUNDAMENTACIÓN Y MOTIVACIÓN. EL ASPECTO FORMAL DE LA GARANTÍA Y SU FINALIDAD SE TRADUCEN EN EXPLICAR, JUSTIFICAR, POSIBILITAR LA DEFENSA Y COMUNICAR LA DECISIÓN. </w:t>
      </w:r>
      <w:r w:rsidRPr="00A57D42">
        <w:rPr>
          <w:rFonts w:ascii="Palatino Linotype" w:eastAsia="Palatino Linotype" w:hAnsi="Palatino Linotype" w:cs="Palatino Linotype"/>
          <w:i/>
          <w:sz w:val="22"/>
          <w:szCs w:val="22"/>
        </w:rPr>
        <w:t>El contenido formal de la garantía de legalidad prevista en el artículo </w:t>
      </w:r>
      <w:hyperlink r:id="rId14">
        <w:r w:rsidRPr="00A57D42">
          <w:rPr>
            <w:rFonts w:ascii="Palatino Linotype" w:eastAsia="Palatino Linotype" w:hAnsi="Palatino Linotype" w:cs="Palatino Linotype"/>
            <w:i/>
            <w:sz w:val="22"/>
            <w:szCs w:val="22"/>
            <w:u w:val="single"/>
          </w:rPr>
          <w:t>16 constitucional</w:t>
        </w:r>
      </w:hyperlink>
      <w:r w:rsidRPr="00A57D42">
        <w:rPr>
          <w:rFonts w:ascii="Palatino Linotype" w:eastAsia="Palatino Linotype" w:hAnsi="Palatino Linotype" w:cs="Palatino Linotype"/>
          <w:i/>
          <w:sz w:val="22"/>
          <w:szCs w:val="22"/>
        </w:rPr>
        <w:t>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56C2F3D9" w14:textId="77777777" w:rsidR="00C53419" w:rsidRPr="00A57D42" w:rsidRDefault="00C53419" w:rsidP="00C53419">
      <w:pPr>
        <w:tabs>
          <w:tab w:val="left" w:pos="2100"/>
        </w:tabs>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Debiendo argumentar que la liberación de la información pueda amenazar el interés protegido por la ley, es decir esgrimir ideas jurídicas en el cual se evidencie la amenaza del daño o alteración al procedimiento de responsabilidad, amparado de razones, y circunstancias especiales que lo llevaron a concluir que el caso particular se ajusta al supuesto previsto en la norma legal invocada como fundamento.</w:t>
      </w:r>
    </w:p>
    <w:p w14:paraId="4C96B5C3" w14:textId="5C8EFC54" w:rsidR="00C53419" w:rsidRPr="00A57D42" w:rsidRDefault="00C53419"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el presente asunto en particular, si bien, el Sujeto Obligado indicó que la información es reservada, lo cierto es que no agotó los elementos que brindan certeza al particular sobre la </w:t>
      </w:r>
      <w:r w:rsidR="00D107FB" w:rsidRPr="00A57D42">
        <w:rPr>
          <w:rFonts w:ascii="Palatino Linotype" w:eastAsia="Palatino Linotype" w:hAnsi="Palatino Linotype" w:cs="Palatino Linotype"/>
          <w:sz w:val="22"/>
          <w:szCs w:val="22"/>
        </w:rPr>
        <w:t>clasificación de la información, al no señalar el número, por lo que se ORDENA al Sujeto Obligado a considerar los siguientes elementos:</w:t>
      </w:r>
    </w:p>
    <w:p w14:paraId="7E0DA015" w14:textId="77777777" w:rsidR="00F738DA" w:rsidRPr="00A57D42" w:rsidRDefault="00F738DA" w:rsidP="00F45A48">
      <w:pPr>
        <w:spacing w:after="240" w:line="360" w:lineRule="auto"/>
        <w:jc w:val="both"/>
        <w:rPr>
          <w:rFonts w:ascii="Palatino Linotype" w:eastAsia="Palatino Linotype" w:hAnsi="Palatino Linotype" w:cs="Palatino Linotype"/>
          <w:sz w:val="22"/>
          <w:szCs w:val="22"/>
        </w:rPr>
      </w:pPr>
    </w:p>
    <w:p w14:paraId="26FC71FF" w14:textId="77777777" w:rsidR="00F738DA" w:rsidRPr="00A57D42" w:rsidRDefault="00F738DA" w:rsidP="008414EE">
      <w:pPr>
        <w:numPr>
          <w:ilvl w:val="0"/>
          <w:numId w:val="18"/>
        </w:numPr>
        <w:pBdr>
          <w:top w:val="nil"/>
          <w:left w:val="nil"/>
          <w:bottom w:val="nil"/>
          <w:right w:val="nil"/>
          <w:between w:val="nil"/>
        </w:pBdr>
        <w:spacing w:after="160" w:line="360" w:lineRule="auto"/>
        <w:ind w:left="0" w:right="49" w:hanging="142"/>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En caso de que los procedimientos referidos se encuentren en trámite.</w:t>
      </w:r>
    </w:p>
    <w:p w14:paraId="3DADFD55"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Para el caso de que los procedimientos aún se encuentren en trámite, esto es que no hayan causado estado, se estima que se trata de información que debe ser clasificada como reservada, porque de revelarse la información se atenta contra el principio de presunción de inocencia que debe seguirse en la administración de la justicia, conforme a lo que enseguida se razona.</w:t>
      </w:r>
    </w:p>
    <w:p w14:paraId="56DC85F9"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650C8CC1"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La Suprema Corte de Justicia de la Nación resolvió en la contradicción de tesis 200/2013 que en los procedimientos de responsabilidad administrativa es aplicable el principio de presunción de inocencia con sus respectivos matices. En la resolución son de interés los siguientes argumentos</w:t>
      </w:r>
      <w:r w:rsidRPr="00A57D42">
        <w:rPr>
          <w:rFonts w:ascii="Palatino Linotype" w:eastAsia="Palatino Linotype" w:hAnsi="Palatino Linotype" w:cs="Palatino Linotype"/>
          <w:sz w:val="22"/>
          <w:szCs w:val="22"/>
          <w:vertAlign w:val="superscript"/>
        </w:rPr>
        <w:footnoteReference w:id="2"/>
      </w:r>
      <w:r w:rsidRPr="00A57D42">
        <w:rPr>
          <w:rFonts w:ascii="Palatino Linotype" w:eastAsia="Palatino Linotype" w:hAnsi="Palatino Linotype" w:cs="Palatino Linotype"/>
          <w:sz w:val="22"/>
          <w:szCs w:val="22"/>
        </w:rPr>
        <w:t>.</w:t>
      </w:r>
    </w:p>
    <w:p w14:paraId="2D80A626"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3B72D812" w14:textId="77777777" w:rsidR="00F738DA" w:rsidRPr="00A57D42" w:rsidRDefault="00F738DA" w:rsidP="00F738DA">
      <w:pPr>
        <w:ind w:left="851" w:right="851"/>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La Constitución Federal reconoce el estado o condición de inocencia de los gobernados, razón por la cual lo protege a través del derecho de toda persona a que se presuma su inocencia, lo que significa que todo hombre debe ser tratado con tal calidad -inocente- hasta en tanto no se demuestre lo contrario.</w:t>
      </w:r>
    </w:p>
    <w:p w14:paraId="3FD80354" w14:textId="77777777" w:rsidR="00F738DA" w:rsidRPr="00A57D42" w:rsidRDefault="00F738DA" w:rsidP="00F738DA">
      <w:pPr>
        <w:ind w:left="851" w:right="851"/>
        <w:jc w:val="both"/>
        <w:rPr>
          <w:rFonts w:ascii="Palatino Linotype" w:eastAsia="Palatino Linotype" w:hAnsi="Palatino Linotype" w:cs="Palatino Linotype"/>
          <w:i/>
          <w:iCs/>
          <w:sz w:val="22"/>
          <w:szCs w:val="22"/>
        </w:rPr>
      </w:pPr>
    </w:p>
    <w:p w14:paraId="5D0490B8" w14:textId="77777777" w:rsidR="00F738DA" w:rsidRPr="00A57D42" w:rsidRDefault="00F738DA" w:rsidP="00F738DA">
      <w:pPr>
        <w:ind w:left="851" w:right="851"/>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La presunción de inocencia se resguarda en el texto constitucional como derecho fundamental a favor de toda persona, con base en el cual se exige que para toda autoridad y ante el procedimiento al que se le sujete, no se estimen verosímiles los cargos atribuidos al gobernado respecto a la comisión de delitos, salvo decisión contraria emitida por un tribunal, dentro de la observancia del debido proceso.</w:t>
      </w:r>
    </w:p>
    <w:p w14:paraId="1330CF91" w14:textId="77777777" w:rsidR="00F738DA" w:rsidRPr="00A57D42" w:rsidRDefault="00F738DA" w:rsidP="00F738DA">
      <w:pPr>
        <w:ind w:left="851" w:right="851"/>
        <w:jc w:val="both"/>
        <w:rPr>
          <w:rFonts w:ascii="Palatino Linotype" w:eastAsia="Palatino Linotype" w:hAnsi="Palatino Linotype" w:cs="Palatino Linotype"/>
          <w:i/>
          <w:iCs/>
          <w:sz w:val="22"/>
          <w:szCs w:val="22"/>
        </w:rPr>
      </w:pPr>
    </w:p>
    <w:p w14:paraId="5297B6A8" w14:textId="77777777" w:rsidR="00F738DA" w:rsidRPr="00A57D42" w:rsidRDefault="00F738DA" w:rsidP="00F738DA">
      <w:pPr>
        <w:ind w:left="851" w:right="851"/>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iii. Este principio tendrá eficaz aplicación, sólo cuando el gobernado se enfrente a una acusación, cuyo propósito ha de ser el límite a la potestad represiva del Estado en ejercicio de su derecho punitivo, así se concebirá también a nuestro objeto de estudio como una garantía procesal a favor del imputado, dentro de todo enjuiciamiento o procedimiento del orden administrativo.</w:t>
      </w:r>
    </w:p>
    <w:p w14:paraId="214721BA"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40E5961E"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Se sigue que, el principio de presunción de inocencia tiene tres significados garantistas que en forma breve pueden enunciarse de la siguiente forma:</w:t>
      </w:r>
    </w:p>
    <w:p w14:paraId="42BCC38E"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5EA70370"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Primero. Como una regla probatoria, que impone la carga de la prueba para quien acusa y, por ende, la absolución en caso de duda.</w:t>
      </w:r>
    </w:p>
    <w:p w14:paraId="483BCC42"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3917E162"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Segundo. Como una regla de tratamiento del acusado, que excluye o restringe al máximo la limitación de sus derechos fundamentales, sobre todo los que inciden en su libertad personal, con motivo del proceso que se instaura en su contra.</w:t>
      </w:r>
    </w:p>
    <w:p w14:paraId="642E4B8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5F14A5ED"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Tercero. Como una regla de juicio, que ordena a los jueces la absolución de los inculpados cuando durante el proceso no se aportaron pruebas de cargo suficientes.</w:t>
      </w:r>
    </w:p>
    <w:p w14:paraId="362E692A"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2D85319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vista de lo anterior, este Instituto estima que en el derecho disciplinario que se sigue ante el órgano contralor a los servidores públicos en los casos que se presenta una denuncia, es aplicable la regla garantista de presunción de inocencia.</w:t>
      </w:r>
    </w:p>
    <w:p w14:paraId="69CC7D0B"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64E5ED41"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Así, todo servidor público en su carácter de -presunto infractor- tiene el derecho, como regla de tratamiento en el proceso, a que se le trate en carácter de inocente hasta que no se emita una resolución firme.</w:t>
      </w:r>
    </w:p>
    <w:p w14:paraId="63CBC3C8"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1B22C273"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La relación que guarda el principio de presunción de inocencia con el derecho de acceso a la información se da en dos variantes: (i) la conservación de información que no vicie las reglas y principios de administración de justicia y (ii) conservar la reputación de las personas que aún no se les ha comprobado con plenitud haber realizado alguna infracción.</w:t>
      </w:r>
    </w:p>
    <w:p w14:paraId="1F8A73BF"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1D87222F"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Con más detenimiento, la primera premisa es que de revelarse la información de las personas a quienes se les ha iniciado un procedimiento administrativo y se encuentra pendiente de resolución rompería la regla de tratamiento y de juicio que debe seguirse en la administración de justicia</w:t>
      </w:r>
      <w:r w:rsidRPr="00A57D42">
        <w:rPr>
          <w:rFonts w:ascii="Palatino Linotype" w:eastAsia="Palatino Linotype" w:hAnsi="Palatino Linotype" w:cs="Palatino Linotype"/>
          <w:i/>
          <w:iCs/>
          <w:sz w:val="22"/>
          <w:szCs w:val="22"/>
          <w:vertAlign w:val="superscript"/>
        </w:rPr>
        <w:footnoteReference w:id="3"/>
      </w:r>
      <w:r w:rsidRPr="00A57D42">
        <w:rPr>
          <w:rFonts w:ascii="Palatino Linotype" w:eastAsia="Palatino Linotype" w:hAnsi="Palatino Linotype" w:cs="Palatino Linotype"/>
          <w:sz w:val="22"/>
          <w:szCs w:val="22"/>
        </w:rPr>
        <w:t xml:space="preserve">, es decir, su incidencia tiene implicaciones que pudieran afectar la forma en cómo debe tratarse al servidor público acusado, pues no se ha comprobado en su totalidad que éste incurrió en una infracción, razón por la cual en dichos supuestos se deberá clasificar la información conforme a la causal establecida en el artículo 140, fracción VI de la Ley en la materia, debiendo llevar a cabo el procedimiento establecido en el Considerando siguiente, a fin poner a disposición de la parte recurrente el Acta del Comité de Transparencia que se elabore para tal efecto, debiendo elaborar la prueba de daño correspondiente. </w:t>
      </w:r>
    </w:p>
    <w:p w14:paraId="6437169A"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306AEE42"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Del artículo 140, fracción VI de la Ley en la materia, tenemos que la reserva procede cuando 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14:paraId="11432B6D"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58E5B915"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Dichos argumentos, que se formulan por este Organismo Garante se construyen a partir de la correlación que otros derechos tienen con el acceso a la información tratándose de información sobre procesos y procedimientos que siguen en forma de juicio, los cuales de la óptica de interdependencia de los derechos humanos no pueden ser desconocidos, en el ámbito de la competencia de este Instituto.</w:t>
      </w:r>
    </w:p>
    <w:p w14:paraId="7FFA3537"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3CD86FF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Resulta necesario tomar en cuenta el derecho al buen nombre y a la intimidad porque se considera que, hasta en tanto no exista una resolución firme, la publicación de la información solicitada afectaría la reputación de personas.</w:t>
      </w:r>
    </w:p>
    <w:p w14:paraId="564C7A00"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4EF123F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el fondo, se considera que se puede atentar contra la honra y el buen nombre de una persona mediante la divulgación de información sobre aquellos servidores públicos a quienes se les ha iniciado un procedimiento administrativo, o bien, se encuentran pendientes de resolución porque podrían orientar el juicio que se tiene de una persona por parte de la sociedad, lo que en efecto constituye una lesión injustificada a la posición del hombre en sociedad.</w:t>
      </w:r>
    </w:p>
    <w:p w14:paraId="13FDD65C"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708B54AE" w14:textId="77777777" w:rsidR="00536838"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Así las cosas, es de importante relevancia hacer del conocimiento del </w:t>
      </w:r>
      <w:r w:rsidRPr="00A57D42">
        <w:rPr>
          <w:rFonts w:ascii="Palatino Linotype" w:eastAsia="Palatino Linotype" w:hAnsi="Palatino Linotype" w:cs="Palatino Linotype"/>
          <w:b/>
          <w:bCs/>
          <w:sz w:val="22"/>
          <w:szCs w:val="22"/>
        </w:rPr>
        <w:t>Sujeto Obligado</w:t>
      </w:r>
      <w:r w:rsidRPr="00A57D42">
        <w:rPr>
          <w:rFonts w:ascii="Palatino Linotype" w:eastAsia="Palatino Linotype" w:hAnsi="Palatino Linotype" w:cs="Palatino Linotype"/>
          <w:sz w:val="22"/>
          <w:szCs w:val="22"/>
        </w:rPr>
        <w:t xml:space="preserve"> que la información relativa a los expedientes de servidores públicos que no han causado estado;  es decir, que el principio de definitividad no se haya actualizado, por aún existir instancias para su revisión o impugnación, dicha información reviste el carácter de información reservada</w:t>
      </w:r>
      <w:r w:rsidR="00536838" w:rsidRPr="00A57D42">
        <w:rPr>
          <w:rFonts w:ascii="Palatino Linotype" w:eastAsia="Palatino Linotype" w:hAnsi="Palatino Linotype" w:cs="Palatino Linotype"/>
          <w:sz w:val="22"/>
          <w:szCs w:val="22"/>
        </w:rPr>
        <w:t>.</w:t>
      </w:r>
    </w:p>
    <w:p w14:paraId="270B2983"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7244447A"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Lo anterior es así, para dar seguridad jurídica al solicitante que por alguna excepción establecida en ley no es posible acceder temporalmente a la información referida anteriormente, para así no dejar en estado de indefensión y exista certeza jurídica de lo expuesto por el Sujeto Obligado. </w:t>
      </w:r>
    </w:p>
    <w:p w14:paraId="4003FDDF"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742F3019"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3. Para los efectos de la presente Ley se entenderá por:</w:t>
      </w:r>
    </w:p>
    <w:p w14:paraId="515511FD"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479FE7C2"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 xml:space="preserve">XXIV. Información reservada: </w:t>
      </w:r>
      <w:r w:rsidRPr="00A57D42">
        <w:rPr>
          <w:rFonts w:ascii="Palatino Linotype" w:eastAsia="Palatino Linotype" w:hAnsi="Palatino Linotype" w:cs="Palatino Linotype"/>
          <w:i/>
          <w:iCs/>
          <w:sz w:val="22"/>
          <w:szCs w:val="22"/>
        </w:rPr>
        <w:t>La clasificada con este carácter de manera temporal por las disposiciones de esta Ley, cuya divulgación puede causar daño en términos de lo establecido por esta Ley;</w:t>
      </w:r>
    </w:p>
    <w:p w14:paraId="5C8AD6F1"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Artículo 122. </w:t>
      </w:r>
      <w:r w:rsidRPr="00A57D42">
        <w:rPr>
          <w:rFonts w:ascii="Palatino Linotype" w:eastAsia="Palatino Linotype" w:hAnsi="Palatino Linotype" w:cs="Palatino Linotype"/>
          <w:b/>
          <w:bCs/>
          <w:i/>
          <w:iCs/>
          <w:sz w:val="22"/>
          <w:szCs w:val="22"/>
        </w:rPr>
        <w:t>La clasificación es el proceso mediante el cual el Sujeto Obligado determina que la información en su poder actualiza alguno de los supuestos de reserva</w:t>
      </w:r>
      <w:r w:rsidRPr="00A57D42">
        <w:rPr>
          <w:rFonts w:ascii="Palatino Linotype" w:eastAsia="Palatino Linotype" w:hAnsi="Palatino Linotype" w:cs="Palatino Linotype"/>
          <w:i/>
          <w:iCs/>
          <w:sz w:val="22"/>
          <w:szCs w:val="22"/>
        </w:rPr>
        <w:t xml:space="preserve"> o confidencialidad, de conformidad con lo dispuesto en el presente título.</w:t>
      </w:r>
    </w:p>
    <w:p w14:paraId="5564B0BE"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12DD5705"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Los supuestos de reserva o confidencialidad previstos en las leyes deberán ser acordes con las bases, principios y disposiciones establecidos en la Ley General y, en ningún caso, podrán contravenirla.</w:t>
      </w:r>
    </w:p>
    <w:p w14:paraId="5060272B"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13CB79FC"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Los titulares de las áreas de los sujetos obligados serán los responsables de clasificar la información, de conformidad con lo dispuesto en la presente Ley y demás disposiciones jurídicas aplicables.</w:t>
      </w:r>
    </w:p>
    <w:p w14:paraId="00137877"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p>
    <w:p w14:paraId="06011E63"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 xml:space="preserve">Artículo 125. La información clasificada como reservada, de acuerdo a lo establecido en esta Ley podrá permanecer con tal carácter hasta por un periodo de cinco años, </w:t>
      </w:r>
      <w:r w:rsidRPr="00A57D42">
        <w:rPr>
          <w:rFonts w:ascii="Palatino Linotype" w:eastAsia="Palatino Linotype" w:hAnsi="Palatino Linotype" w:cs="Palatino Linotype"/>
          <w:i/>
          <w:iCs/>
          <w:sz w:val="22"/>
          <w:szCs w:val="22"/>
        </w:rPr>
        <w:t>contados a partir de su clasificación, salvo que antes del cumplimiento del periodo de restricción, dejaran de existir los motivos de su reserva.</w:t>
      </w:r>
    </w:p>
    <w:p w14:paraId="73F7756F"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77611707"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Los titulares de las áreas deberán determinar que el plazo de reserva sea el estrictamente necesario para proteger la información mientras subsistan las causas que dieron origen a la clasificación, salvaguardando el interés público protegido y tomarán en cuenta las razones que justifican el periodo de reserva establecido.</w:t>
      </w:r>
    </w:p>
    <w:p w14:paraId="62BD7156"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18B1CB95"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Excepcionalmente los sujetos obligados con la aprobación de su Comité de Transparencia, podrán ampliar el periodo de reserva hasta por un plazo de cinco años adicionales y por una sola vez, siempre y cuando justifiquen que subsisten las causas que dieron origen a su clasificación, mediante la aplicación de una prueba de daño.</w:t>
      </w:r>
    </w:p>
    <w:p w14:paraId="77DBD6B6"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47C8FE2D"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Cuando expiren los plazos de clasificación o se trate de información cuya publicación pueda ocasionar la destrucción o inhabilitación de la infraestructura de carácter estratégico para la provisión de bienes o servicios públicos, que a juicio de un Sujeto Obligado sea necesario ampliar nuevamente el periodo de reserva de la información, el Comité de Transparencia respectivo deberá hacer la solicitud correspondiente al Instituto, debidamente fundada y motivada, aplicando la prueba de daño y</w:t>
      </w:r>
    </w:p>
    <w:p w14:paraId="04CBDA25"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w:t>
      </w:r>
    </w:p>
    <w:p w14:paraId="1B7C7018"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 xml:space="preserve">Artículo 128. En los casos en que se niegue el acceso a la información, por actualizarse alguno de los supuestos de clasificación, el Comité de Transparencia deberá confirmar, modificar o revocar la decisión. </w:t>
      </w:r>
    </w:p>
    <w:p w14:paraId="0FE51A78"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p>
    <w:p w14:paraId="63352796"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i/>
          <w:iCs/>
          <w:sz w:val="22"/>
          <w:szCs w:val="22"/>
        </w:rPr>
        <w:t xml:space="preserve">Para motivar la clasificación de la información y la ampliación del plazo de reserva, </w:t>
      </w:r>
      <w:r w:rsidRPr="00A57D42">
        <w:rPr>
          <w:rFonts w:ascii="Palatino Linotype" w:eastAsia="Palatino Linotype" w:hAnsi="Palatino Linotype" w:cs="Palatino Linotype"/>
          <w:b/>
          <w:bCs/>
          <w:i/>
          <w:iCs/>
          <w:sz w:val="22"/>
          <w:szCs w:val="22"/>
        </w:rPr>
        <w:t>se deberán señalar las razones, motivos o circunstancias especiales que llevaron al Sujeto Obligado a concluir que el caso particular se ajusta al supuesto previsto por la norma legal invocada como fundamento. Además, el Sujeto Obligado deberá, en todo momento, aplicar una prueba de daño.</w:t>
      </w:r>
    </w:p>
    <w:p w14:paraId="093C95F7"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Tratándose de aquélla información que actualice los supuestos de clasificación, deberá señalarse el plazo al que estará sujeto la reserva.</w:t>
      </w:r>
    </w:p>
    <w:p w14:paraId="7451CA7E"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00D23299"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i/>
          <w:iCs/>
          <w:sz w:val="22"/>
          <w:szCs w:val="22"/>
        </w:rPr>
        <w:t xml:space="preserve">Artículo 129. </w:t>
      </w:r>
      <w:r w:rsidRPr="00A57D42">
        <w:rPr>
          <w:rFonts w:ascii="Palatino Linotype" w:eastAsia="Palatino Linotype" w:hAnsi="Palatino Linotype" w:cs="Palatino Linotype"/>
          <w:b/>
          <w:bCs/>
          <w:i/>
          <w:iCs/>
          <w:sz w:val="22"/>
          <w:szCs w:val="22"/>
        </w:rPr>
        <w:t>En la aplicación de la prueba de daño, el Sujeto Obligado deberá precisar las razones objetivas por las que la apertura de la información generaría una afectación, justificando que:</w:t>
      </w:r>
    </w:p>
    <w:p w14:paraId="1AEBBD93"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u w:val="single"/>
        </w:rPr>
      </w:pPr>
    </w:p>
    <w:p w14:paraId="60D46766"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I. La divulgación de la información representa un riesgo real, demostrable e identificable del perjuicio significativo al interés público o a la seguridad pública;</w:t>
      </w:r>
    </w:p>
    <w:p w14:paraId="4F8FA5D5"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II. El riesgo de perjuicio que supondría la divulgación supera el interés público general de que se difunda; y</w:t>
      </w:r>
    </w:p>
    <w:p w14:paraId="54D9C295"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III. La limitación se adecua al principio de proporcionalidad y representa el medio menos restrictivo disponible representa el medio menos restrictivo disponible para evitar el perjuicio.</w:t>
      </w:r>
    </w:p>
    <w:p w14:paraId="410A9EAD"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u w:val="single"/>
        </w:rPr>
      </w:pPr>
    </w:p>
    <w:p w14:paraId="4F7636CD"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u w:val="single"/>
        </w:rPr>
        <w:t>Artículo 130. Los sujetos obligados deberán aplicar, de manera restrictiva y limitada, las excepciones al derecho de acceso a la información y sólo podrán invocarlas cuando acrediten su procedencia</w:t>
      </w:r>
      <w:r w:rsidRPr="00A57D42">
        <w:rPr>
          <w:rFonts w:ascii="Palatino Linotype" w:eastAsia="Palatino Linotype" w:hAnsi="Palatino Linotype" w:cs="Palatino Linotype"/>
          <w:i/>
          <w:iCs/>
          <w:sz w:val="22"/>
          <w:szCs w:val="22"/>
        </w:rPr>
        <w:t>, sin ampliar las excepciones o supuestos de reserva o confidencialidad previstos en la Ley General y la presente Ley, aduciendo analogía o mayoría de razón.</w:t>
      </w:r>
    </w:p>
    <w:p w14:paraId="05213C27"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p>
    <w:p w14:paraId="670D6A4C" w14:textId="77777777" w:rsidR="00F738DA" w:rsidRPr="00A57D42" w:rsidRDefault="00F738DA" w:rsidP="00F738DA">
      <w:pPr>
        <w:ind w:left="851"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Artículo 140. El acceso a la información pública será restringido excepcionalmente, cuando por razones de interés público, ésta sea clasificada como reservada, conforme a los criterios siguientes:</w:t>
      </w:r>
    </w:p>
    <w:p w14:paraId="08B3E66A"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789B2D32"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VI.</w:t>
      </w:r>
      <w:r w:rsidRPr="00A57D42">
        <w:rPr>
          <w:rFonts w:ascii="Palatino Linotype" w:eastAsia="Palatino Linotype" w:hAnsi="Palatino Linotype" w:cs="Palatino Linotype"/>
          <w:i/>
          <w:iCs/>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14:paraId="7421DC4F" w14:textId="77777777" w:rsidR="00F738DA" w:rsidRPr="00A57D42" w:rsidRDefault="00F738DA" w:rsidP="00F738DA">
      <w:pPr>
        <w:spacing w:line="360" w:lineRule="auto"/>
        <w:ind w:right="49"/>
        <w:jc w:val="both"/>
        <w:rPr>
          <w:rFonts w:ascii="Palatino Linotype" w:eastAsia="Palatino Linotype" w:hAnsi="Palatino Linotype" w:cs="Palatino Linotype"/>
          <w:i/>
          <w:iCs/>
          <w:sz w:val="22"/>
          <w:szCs w:val="22"/>
        </w:rPr>
      </w:pPr>
    </w:p>
    <w:p w14:paraId="520DBA5C"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 la interpretación sistemática de los artículos citados, se advierte que de actualizarse este supuesto, el </w:t>
      </w:r>
      <w:r w:rsidRPr="00A57D42">
        <w:rPr>
          <w:rFonts w:ascii="Palatino Linotype" w:eastAsia="Palatino Linotype" w:hAnsi="Palatino Linotype" w:cs="Palatino Linotype"/>
          <w:b/>
          <w:bCs/>
          <w:sz w:val="22"/>
          <w:szCs w:val="22"/>
        </w:rPr>
        <w:t>Sujeto Obligado</w:t>
      </w:r>
      <w:r w:rsidRPr="00A57D42">
        <w:rPr>
          <w:rFonts w:ascii="Palatino Linotype" w:eastAsia="Palatino Linotype" w:hAnsi="Palatino Linotype" w:cs="Palatino Linotype"/>
          <w:sz w:val="22"/>
          <w:szCs w:val="22"/>
        </w:rPr>
        <w:t xml:space="preserve"> deberá realizar la debida reserva de la información por poseer expedientes que a la fecha de la solicitud se encuentren en trámite, siguiendo los requisitos expuestos: </w:t>
      </w:r>
    </w:p>
    <w:p w14:paraId="73B33868"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3D87D795"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 divulgación de la información representa un riesgo real, demostrable e identificable del perjuicio significativo al interés público o a la seguridad pública;</w:t>
      </w:r>
    </w:p>
    <w:p w14:paraId="1F6634E4"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El riesgo de perjuicio que supondría la divulgación supera el interés público general de que se difunda; y</w:t>
      </w:r>
    </w:p>
    <w:p w14:paraId="2F07C66D"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La limitación se adecua al principio de proporcionalidad y representa el medio menos restrictivo disponible representa el medio menos restrictivo disponible para evitar el perjuicio.”</w:t>
      </w:r>
    </w:p>
    <w:p w14:paraId="585414E5"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2CB2721B"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Requisitos que deben estar acompañados de la debida fundamentación y motivación, cobrado aplicación lo que señala la jurisprudencia de la novena época visible en el Semanario Judicial de la Federación y su Gaceta. Instancia: Tribunales Colegiados de Circuito. Tesis I.4o.A.J/43 (9a.) bajo el número de registro 175082 cuyo rubro y texto esgrime;</w:t>
      </w:r>
    </w:p>
    <w:p w14:paraId="54D03246"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522597AC" w14:textId="77777777" w:rsidR="00F738DA" w:rsidRPr="00A57D42" w:rsidRDefault="00F738DA" w:rsidP="00F738DA">
      <w:pPr>
        <w:ind w:left="567" w:right="82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“FUNDAMENTACIÓN Y MOTIVACIÓN. EL ASPECTO FORMAL DE LA GARANTÍA Y SU FINALIDAD SE TRADUCEN EN EXPLICAR, JUSTIFICAR, POSIBILITAR LA DEFENSA Y COMUNICAR LA DECISIÓN.</w:t>
      </w:r>
    </w:p>
    <w:p w14:paraId="07387F13" w14:textId="77777777" w:rsidR="00F738DA" w:rsidRPr="00A57D42" w:rsidRDefault="00F738DA" w:rsidP="00F738DA">
      <w:pPr>
        <w:ind w:left="567"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El contenido formal de la garantía de legalidad prevista en el artículo </w:t>
      </w:r>
      <w:hyperlink r:id="rId15">
        <w:r w:rsidRPr="00A57D42">
          <w:rPr>
            <w:rFonts w:ascii="Palatino Linotype" w:eastAsia="Palatino Linotype" w:hAnsi="Palatino Linotype" w:cs="Palatino Linotype"/>
            <w:i/>
            <w:iCs/>
            <w:sz w:val="22"/>
            <w:szCs w:val="22"/>
            <w:u w:val="single"/>
          </w:rPr>
          <w:t>16 constitucional</w:t>
        </w:r>
      </w:hyperlink>
      <w:r w:rsidRPr="00A57D42">
        <w:rPr>
          <w:rFonts w:ascii="Palatino Linotype" w:eastAsia="Palatino Linotype" w:hAnsi="Palatino Linotype" w:cs="Palatino Linotype"/>
          <w:i/>
          <w:iCs/>
          <w:sz w:val="22"/>
          <w:szCs w:val="22"/>
        </w:rPr>
        <w:t>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1D6FAA5C" w14:textId="77777777" w:rsidR="00F738DA" w:rsidRPr="00A57D42" w:rsidRDefault="00F738DA" w:rsidP="00F738DA">
      <w:pPr>
        <w:spacing w:line="360" w:lineRule="auto"/>
        <w:ind w:right="49"/>
        <w:jc w:val="both"/>
        <w:rPr>
          <w:rFonts w:ascii="Palatino Linotype" w:eastAsia="Palatino Linotype" w:hAnsi="Palatino Linotype" w:cs="Palatino Linotype"/>
          <w:i/>
          <w:iCs/>
          <w:sz w:val="22"/>
          <w:szCs w:val="22"/>
        </w:rPr>
      </w:pPr>
    </w:p>
    <w:p w14:paraId="5FE75693"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Debiendo argumentar el </w:t>
      </w:r>
      <w:r w:rsidRPr="00A57D42">
        <w:rPr>
          <w:rFonts w:ascii="Palatino Linotype" w:eastAsia="Palatino Linotype" w:hAnsi="Palatino Linotype" w:cs="Palatino Linotype"/>
          <w:b/>
          <w:bCs/>
          <w:sz w:val="22"/>
          <w:szCs w:val="22"/>
        </w:rPr>
        <w:t>Sujeto Obligado</w:t>
      </w:r>
      <w:r w:rsidRPr="00A57D42">
        <w:rPr>
          <w:rFonts w:ascii="Palatino Linotype" w:eastAsia="Palatino Linotype" w:hAnsi="Palatino Linotype" w:cs="Palatino Linotype"/>
          <w:sz w:val="22"/>
          <w:szCs w:val="22"/>
        </w:rPr>
        <w:t xml:space="preserve"> que la liberación de la información pueda amenazar el interés protegido por la ley, es decir esgrimir ideas jurídicas en el cual se evidencie la amenaza del daño o alteración al procedimiento que aduce el Sujeto Obligado, amparado de razones, y circunstancias especiales que lo llevaron a concluir que el caso particular se ajusta al supuesto previsto en la norma legal invocada como fundamento, por la hipótesis análoga siendo aplicables los numerales 140, fracción VI de la Ley de Transparencia y Acceso a la Información Pública del Estado de México y Municipios (homólogo al artículo 113, fracción IX de la Ley General de Transparencia y Acceso a la Información Pública), establece que aquella información que afecte o vulnere la conducción de procedimientos de responsabilidades administrativas, en tanto no hayan quedado firmes.</w:t>
      </w:r>
    </w:p>
    <w:p w14:paraId="48F1265C"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665972E8"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lo cual, la causal de reserva prevé que la información podrá clasificarse como reservada en el caso de que obstruya los procedimientos para fincar responsabilidad a los servidores públicos, pretende proteger la información vinculada a dichos procedimientos.</w:t>
      </w:r>
    </w:p>
    <w:p w14:paraId="109A262B"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p>
    <w:p w14:paraId="04B70B14" w14:textId="77777777" w:rsidR="00F738DA" w:rsidRPr="00A57D42" w:rsidRDefault="00F738DA" w:rsidP="00F738DA">
      <w:pPr>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su parte, en los Lineamientos Generales en Materia de Clasificación y Desclasificación de la Información, así como para la elaboración de versiones públicas, se establece lo siguiente:</w:t>
      </w:r>
    </w:p>
    <w:p w14:paraId="7D30AE5E"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4F9E3D84"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Vigésimo octavo.</w:t>
      </w:r>
      <w:r w:rsidRPr="00A57D42">
        <w:rPr>
          <w:rFonts w:ascii="Palatino Linotype" w:eastAsia="Palatino Linotype" w:hAnsi="Palatino Linotype" w:cs="Palatino Linotype"/>
          <w:i/>
          <w:iCs/>
          <w:sz w:val="22"/>
          <w:szCs w:val="22"/>
        </w:rPr>
        <w:t xml:space="preserve"> De conformidad con el artículo 113, fracción IX de la Ley General, podrá considerarse como información reservada, aquella que obstruya los procedimientos para fincar responsabilidad a los servidores públicos, en tanto no se haya dictado la resolución administrativa correspondiente; para lo cual, se deberán acreditar los siguientes supuestos:</w:t>
      </w:r>
    </w:p>
    <w:p w14:paraId="04AAC40D"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p>
    <w:p w14:paraId="262FEB0F"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 La existencia de un procedimiento de responsabilidad administrativa en trámite, y</w:t>
      </w:r>
    </w:p>
    <w:p w14:paraId="17596B1B" w14:textId="77777777" w:rsidR="00F738DA" w:rsidRPr="00A57D42" w:rsidRDefault="00F738DA" w:rsidP="00F738DA">
      <w:pPr>
        <w:ind w:left="851" w:right="82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II. Que la información se refiera a actuaciones, diligencias y constancias propias del procedimiento de responsabilidad…” (Sic)</w:t>
      </w:r>
    </w:p>
    <w:p w14:paraId="5C6E9751" w14:textId="77777777" w:rsidR="00F738DA" w:rsidRPr="00A57D42" w:rsidRDefault="00F738DA" w:rsidP="00F738DA">
      <w:pPr>
        <w:spacing w:line="360" w:lineRule="auto"/>
        <w:ind w:right="49"/>
        <w:jc w:val="both"/>
        <w:rPr>
          <w:rFonts w:ascii="Palatino Linotype" w:eastAsia="Palatino Linotype" w:hAnsi="Palatino Linotype" w:cs="Palatino Linotype"/>
          <w:i/>
          <w:iCs/>
          <w:sz w:val="22"/>
          <w:szCs w:val="22"/>
        </w:rPr>
      </w:pPr>
    </w:p>
    <w:p w14:paraId="19AFD43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 lo anterior, se advierte que para que se actualice la causal de reserva que se analiza se debe acreditar i) la existencia de un procedimiento de responsabilidad administrativa en trámite, y ii) que la información se refiera a actuaciones, diligencias y constancias propias del procedimiento de responsabilidad.</w:t>
      </w:r>
    </w:p>
    <w:p w14:paraId="096D415D"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3F71382B"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 ahí que, resulta procedente la reserva, en términos del artículo 140, fracción VI, de la Ley de Transparencia y Acceso a la Información Pública del Estado de México y Municipios, de los procedimientos por responsabilidades administrativas en trámite por faltas graves y no graves. </w:t>
      </w:r>
    </w:p>
    <w:p w14:paraId="7584A9FA"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7D79CC4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Respecto al plazo de reserva, el artículo 125 de la Ley de la materia, establece que la información clasificada como reservada según el artículo 140 de la Ley Federal de Transparencia y Acceso a la Información Pública, podrá permanecer con tal carácter hasta por un periodo de cinco años; por lo que deberá determinar el periodo de reserva, de manera fundada y motivada.</w:t>
      </w:r>
    </w:p>
    <w:p w14:paraId="449EFF16"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22ACBE7E"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otra parte, se considera de suma importancia mencionar que la nueva Ley General de Transparencia publicada el veinte de marzo de dos mil veinticinco, en el artículo 114 establece lo siguiente:</w:t>
      </w:r>
    </w:p>
    <w:p w14:paraId="5814B6E6"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2DB96834" w14:textId="77777777" w:rsidR="00F738DA" w:rsidRPr="00A57D42" w:rsidRDefault="00F738DA" w:rsidP="00F738DA">
      <w:pPr>
        <w:spacing w:line="360" w:lineRule="auto"/>
        <w:ind w:left="567"/>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114. No podrá invocarse el carácter de reservado cuando:</w:t>
      </w:r>
    </w:p>
    <w:p w14:paraId="3CDF53C7" w14:textId="77777777" w:rsidR="00F738DA" w:rsidRPr="00A57D42" w:rsidRDefault="00F738DA" w:rsidP="00F738DA">
      <w:pPr>
        <w:spacing w:line="360" w:lineRule="auto"/>
        <w:ind w:left="567"/>
        <w:jc w:val="both"/>
        <w:rPr>
          <w:rFonts w:ascii="Palatino Linotype" w:eastAsia="Palatino Linotype" w:hAnsi="Palatino Linotype" w:cs="Palatino Linotype"/>
          <w:i/>
          <w:iCs/>
          <w:sz w:val="22"/>
          <w:szCs w:val="22"/>
        </w:rPr>
      </w:pPr>
    </w:p>
    <w:p w14:paraId="5E9DDEAB" w14:textId="77777777" w:rsidR="00F738DA" w:rsidRPr="00A57D42" w:rsidRDefault="00F738DA" w:rsidP="008414EE">
      <w:pPr>
        <w:numPr>
          <w:ilvl w:val="0"/>
          <w:numId w:val="17"/>
        </w:numPr>
        <w:pBdr>
          <w:top w:val="nil"/>
          <w:left w:val="nil"/>
          <w:bottom w:val="nil"/>
          <w:right w:val="nil"/>
          <w:between w:val="nil"/>
        </w:pBdr>
        <w:spacing w:line="360" w:lineRule="auto"/>
        <w:ind w:left="567" w:firstLine="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Se trate de violaciones graves de derechos humanos o delitos de lesa humanidad, o </w:t>
      </w:r>
    </w:p>
    <w:p w14:paraId="69743D1B" w14:textId="77777777" w:rsidR="00F738DA" w:rsidRPr="00A57D42" w:rsidRDefault="00F738DA" w:rsidP="008414EE">
      <w:pPr>
        <w:numPr>
          <w:ilvl w:val="0"/>
          <w:numId w:val="17"/>
        </w:numPr>
        <w:pBdr>
          <w:top w:val="nil"/>
          <w:left w:val="nil"/>
          <w:bottom w:val="nil"/>
          <w:right w:val="nil"/>
          <w:between w:val="nil"/>
        </w:pBdr>
        <w:tabs>
          <w:tab w:val="left" w:pos="851"/>
        </w:tabs>
        <w:spacing w:line="360" w:lineRule="auto"/>
        <w:ind w:left="567" w:firstLine="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Se trate de información relacionada con actos de corrupción </w:t>
      </w:r>
      <w:r w:rsidRPr="00A57D42">
        <w:rPr>
          <w:rFonts w:ascii="Palatino Linotype" w:eastAsia="Palatino Linotype" w:hAnsi="Palatino Linotype" w:cs="Palatino Linotype"/>
          <w:b/>
          <w:bCs/>
          <w:i/>
          <w:iCs/>
          <w:sz w:val="22"/>
          <w:szCs w:val="22"/>
          <w:u w:val="single"/>
        </w:rPr>
        <w:t>acreditados de acuerdo con las leyes aplicables.</w:t>
      </w:r>
    </w:p>
    <w:p w14:paraId="2B591FBC" w14:textId="77777777" w:rsidR="00F738DA" w:rsidRPr="00A57D42" w:rsidRDefault="00F738DA" w:rsidP="00F738DA">
      <w:pPr>
        <w:ind w:left="851" w:right="851"/>
        <w:jc w:val="both"/>
        <w:rPr>
          <w:rFonts w:ascii="Palatino Linotype" w:eastAsia="Palatino Linotype" w:hAnsi="Palatino Linotype" w:cs="Palatino Linotype"/>
          <w:i/>
          <w:iCs/>
          <w:sz w:val="22"/>
          <w:szCs w:val="22"/>
        </w:rPr>
      </w:pPr>
    </w:p>
    <w:p w14:paraId="5111F5B6" w14:textId="15951A2B" w:rsidR="00536838"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su parte, La Ley de Transparencia Local establece que bajo ninguna circunstancia podrá invocarse el carácter de información reservada cuando se trate de información relacionada con actos de corrupción</w:t>
      </w:r>
      <w:r w:rsidR="00536838" w:rsidRPr="00A57D42">
        <w:rPr>
          <w:rFonts w:ascii="Palatino Linotype" w:eastAsia="Palatino Linotype" w:hAnsi="Palatino Linotype" w:cs="Palatino Linotype"/>
          <w:sz w:val="22"/>
          <w:szCs w:val="22"/>
        </w:rPr>
        <w:t xml:space="preserve"> acreditados, situación que se materializa cuando Tribunal de Justicia Administrativa emite una resolución condenatoria, por lo que, al haber señalado que los procedimeintos se encunetran en trámite, esto no ha ocurrido y por lo tanto no se han acreditado hechos de corrupción. </w:t>
      </w:r>
    </w:p>
    <w:p w14:paraId="0121EA49"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0D25A314"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 lo anterior, si bien nuestra legislación local en materia de transparencia dispone que no se podrá invocar la reserva de información tratándose, entre otros, de actos de corrupción; atendiendo el principio de supremacía constitucional previsto en el artículo 133 de la Constitución Política de los Estados Unidos Mexicanos, es la Ley General de Transparencia, bajo la cual se debe regir este Órgano Garante.</w:t>
      </w:r>
    </w:p>
    <w:p w14:paraId="77EDDE5A"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7B780EDA"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 esta manera, en aplicación de lo establecido en la Ley General de Transparencia, se tiene que no podrá invocarse el carácter de información reservada cuando se trate de información relacionada con actos de corrupción </w:t>
      </w:r>
      <w:r w:rsidRPr="00A57D42">
        <w:rPr>
          <w:rFonts w:ascii="Palatino Linotype" w:eastAsia="Palatino Linotype" w:hAnsi="Palatino Linotype" w:cs="Palatino Linotype"/>
          <w:b/>
          <w:bCs/>
          <w:sz w:val="22"/>
          <w:szCs w:val="22"/>
          <w:u w:val="single"/>
        </w:rPr>
        <w:t>acreditados,</w:t>
      </w:r>
      <w:r w:rsidRPr="00A57D42">
        <w:rPr>
          <w:rFonts w:ascii="Palatino Linotype" w:eastAsia="Palatino Linotype" w:hAnsi="Palatino Linotype" w:cs="Palatino Linotype"/>
          <w:sz w:val="22"/>
          <w:szCs w:val="22"/>
          <w:u w:val="single"/>
        </w:rPr>
        <w:t xml:space="preserve"> </w:t>
      </w:r>
      <w:r w:rsidRPr="00A57D42">
        <w:rPr>
          <w:rFonts w:ascii="Palatino Linotype" w:eastAsia="Palatino Linotype" w:hAnsi="Palatino Linotype" w:cs="Palatino Linotype"/>
          <w:sz w:val="22"/>
          <w:szCs w:val="22"/>
        </w:rPr>
        <w:t>esto es, que las acciones ilícitas cometidas hayan sido demostradas y formalizadas mediante sentencias judiciales firmes, siendo una atribución exclusiva del Tribunal de Justicia Administrativa del Estado de México, de acuerdo a la Ley de Responsabilidades Administrativas del Estado de México y Municipios.</w:t>
      </w:r>
    </w:p>
    <w:p w14:paraId="05740157" w14:textId="77777777" w:rsidR="00536838" w:rsidRPr="00A57D42" w:rsidRDefault="00536838" w:rsidP="00F738DA">
      <w:pPr>
        <w:spacing w:line="360" w:lineRule="auto"/>
        <w:jc w:val="both"/>
        <w:rPr>
          <w:rFonts w:ascii="Palatino Linotype" w:eastAsia="Palatino Linotype" w:hAnsi="Palatino Linotype" w:cs="Palatino Linotype"/>
          <w:sz w:val="22"/>
          <w:szCs w:val="22"/>
        </w:rPr>
      </w:pPr>
    </w:p>
    <w:p w14:paraId="74266852" w14:textId="0A58DB1F" w:rsidR="00536838" w:rsidRPr="00A57D42" w:rsidRDefault="00536838" w:rsidP="00F738DA">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Entonces, no pasa inadvertido para este Organo Garante que el Recurrente solicitó información específica de dos servidores públicos que con el simple hecho de señalar la existencia de la información ya se causa una percepción negativa de los mismos.</w:t>
      </w:r>
    </w:p>
    <w:p w14:paraId="2A39482C" w14:textId="77777777" w:rsidR="00536838" w:rsidRPr="00A57D42" w:rsidRDefault="00536838" w:rsidP="00F738DA">
      <w:pPr>
        <w:spacing w:line="360" w:lineRule="auto"/>
        <w:jc w:val="both"/>
        <w:rPr>
          <w:rFonts w:ascii="Palatino Linotype" w:eastAsia="Palatino Linotype" w:hAnsi="Palatino Linotype" w:cs="Palatino Linotype"/>
          <w:sz w:val="22"/>
          <w:szCs w:val="22"/>
        </w:rPr>
      </w:pPr>
    </w:p>
    <w:p w14:paraId="08280F00" w14:textId="66DD7BAD" w:rsidR="00536838" w:rsidRPr="00A57D42" w:rsidRDefault="00536838" w:rsidP="00536838">
      <w:pPr>
        <w:autoSpaceDE w:val="0"/>
        <w:autoSpaceDN w:val="0"/>
        <w:adjustRightInd w:val="0"/>
        <w:spacing w:line="360" w:lineRule="auto"/>
        <w:jc w:val="both"/>
        <w:rPr>
          <w:rFonts w:ascii="Palatino Linotype" w:hAnsi="Palatino Linotype" w:cs="Arial"/>
          <w:sz w:val="22"/>
          <w:szCs w:val="22"/>
        </w:rPr>
      </w:pPr>
      <w:r w:rsidRPr="00A57D42">
        <w:rPr>
          <w:rFonts w:ascii="Palatino Linotype" w:hAnsi="Palatino Linotype" w:cs="Arial"/>
          <w:sz w:val="22"/>
          <w:szCs w:val="22"/>
        </w:rPr>
        <w:t>Es decir, dar a conocer pronunciamiento respecto a la existencia de un procedimiento de responsabilidad administrativa grave o n</w:t>
      </w:r>
      <w:r w:rsidR="00DE18D7" w:rsidRPr="00A57D42">
        <w:rPr>
          <w:rFonts w:ascii="Palatino Linotype" w:hAnsi="Palatino Linotype" w:cs="Arial"/>
          <w:sz w:val="22"/>
          <w:szCs w:val="22"/>
        </w:rPr>
        <w:t>o grave</w:t>
      </w:r>
      <w:r w:rsidRPr="00A57D42">
        <w:rPr>
          <w:rFonts w:ascii="Palatino Linotype" w:hAnsi="Palatino Linotype" w:cs="Arial"/>
          <w:sz w:val="22"/>
          <w:szCs w:val="22"/>
        </w:rPr>
        <w:t xml:space="preserve">, constituye información confidencial que afecta su esfera privada, puesto que podría generar una percepción negativa de éste, ocasionando un perjuicio en su </w:t>
      </w:r>
      <w:r w:rsidRPr="00A57D42">
        <w:rPr>
          <w:rFonts w:ascii="Palatino Linotype" w:hAnsi="Palatino Linotype" w:cs="Arial"/>
          <w:b/>
          <w:sz w:val="22"/>
          <w:szCs w:val="22"/>
        </w:rPr>
        <w:t>honor, intimidad y buena imagen</w:t>
      </w:r>
      <w:r w:rsidRPr="00A57D42">
        <w:rPr>
          <w:rFonts w:ascii="Palatino Linotype" w:hAnsi="Palatino Linotype" w:cs="Arial"/>
          <w:sz w:val="22"/>
          <w:szCs w:val="22"/>
        </w:rPr>
        <w:t xml:space="preserve">. </w:t>
      </w:r>
    </w:p>
    <w:p w14:paraId="03D429C7" w14:textId="77777777" w:rsidR="00536838" w:rsidRPr="00A57D42" w:rsidRDefault="00536838" w:rsidP="00536838">
      <w:pPr>
        <w:autoSpaceDE w:val="0"/>
        <w:autoSpaceDN w:val="0"/>
        <w:adjustRightInd w:val="0"/>
        <w:spacing w:line="360" w:lineRule="auto"/>
        <w:jc w:val="both"/>
        <w:rPr>
          <w:rFonts w:ascii="Palatino Linotype" w:hAnsi="Palatino Linotype" w:cs="Arial"/>
          <w:sz w:val="22"/>
          <w:szCs w:val="22"/>
        </w:rPr>
      </w:pPr>
    </w:p>
    <w:p w14:paraId="7D53624C" w14:textId="77777777" w:rsidR="00536838" w:rsidRPr="00A57D42" w:rsidRDefault="00536838" w:rsidP="00536838">
      <w:pPr>
        <w:autoSpaceDE w:val="0"/>
        <w:autoSpaceDN w:val="0"/>
        <w:adjustRightInd w:val="0"/>
        <w:spacing w:line="360" w:lineRule="auto"/>
        <w:jc w:val="both"/>
        <w:rPr>
          <w:rFonts w:ascii="Palatino Linotype" w:hAnsi="Palatino Linotype" w:cs="Arial"/>
          <w:sz w:val="22"/>
          <w:szCs w:val="22"/>
        </w:rPr>
      </w:pPr>
      <w:r w:rsidRPr="00A57D42">
        <w:rPr>
          <w:rFonts w:ascii="Palatino Linotype" w:hAnsi="Palatino Linotype" w:cs="Arial"/>
          <w:sz w:val="22"/>
          <w:szCs w:val="22"/>
        </w:rPr>
        <w:t xml:space="preserve">Por lo que, proporcionar el pronunciamiento, podría generar un juicio </w:t>
      </w:r>
      <w:r w:rsidRPr="00A57D42">
        <w:rPr>
          <w:rFonts w:ascii="Palatino Linotype" w:hAnsi="Palatino Linotype" w:cs="Arial"/>
          <w:i/>
          <w:sz w:val="22"/>
          <w:szCs w:val="22"/>
        </w:rPr>
        <w:t>a priori</w:t>
      </w:r>
      <w:r w:rsidRPr="00A57D42">
        <w:rPr>
          <w:rFonts w:ascii="Palatino Linotype" w:hAnsi="Palatino Linotype" w:cs="Arial"/>
          <w:sz w:val="22"/>
          <w:szCs w:val="22"/>
        </w:rPr>
        <w:t xml:space="preserve"> por parte de la sociedad, afectando su prestigio y su buen nombre, pues la sociedad podría calificar a dicho servidor público, con prerrogativas que lo desestimen. </w:t>
      </w:r>
    </w:p>
    <w:p w14:paraId="02EF07DB" w14:textId="77777777" w:rsidR="00536838" w:rsidRPr="00A57D42" w:rsidRDefault="00536838" w:rsidP="00536838">
      <w:pPr>
        <w:autoSpaceDE w:val="0"/>
        <w:autoSpaceDN w:val="0"/>
        <w:adjustRightInd w:val="0"/>
        <w:spacing w:line="360" w:lineRule="auto"/>
        <w:jc w:val="both"/>
        <w:rPr>
          <w:rFonts w:ascii="Palatino Linotype" w:hAnsi="Palatino Linotype" w:cs="Arial"/>
          <w:sz w:val="22"/>
          <w:szCs w:val="22"/>
        </w:rPr>
      </w:pPr>
    </w:p>
    <w:p w14:paraId="78FC752C" w14:textId="5E791146" w:rsidR="00536838" w:rsidRPr="00A57D42" w:rsidRDefault="00536838" w:rsidP="00536838">
      <w:pPr>
        <w:spacing w:line="360" w:lineRule="auto"/>
        <w:jc w:val="both"/>
        <w:rPr>
          <w:rFonts w:ascii="Palatino Linotype" w:hAnsi="Palatino Linotype" w:cs="Arial"/>
          <w:sz w:val="22"/>
          <w:szCs w:val="22"/>
        </w:rPr>
      </w:pPr>
      <w:r w:rsidRPr="00A57D42">
        <w:rPr>
          <w:rFonts w:ascii="Palatino Linotype" w:hAnsi="Palatino Linotype" w:cs="Arial"/>
          <w:sz w:val="22"/>
          <w:szCs w:val="22"/>
        </w:rPr>
        <w:t xml:space="preserve">Por lo cual, se considera </w:t>
      </w:r>
      <w:r w:rsidR="00DE18D7" w:rsidRPr="00A57D42">
        <w:rPr>
          <w:rFonts w:ascii="Palatino Linotype" w:hAnsi="Palatino Linotype" w:cs="Arial"/>
          <w:sz w:val="22"/>
          <w:szCs w:val="22"/>
        </w:rPr>
        <w:t xml:space="preserve">lo conducente debió ser clasificar como información confidencial el pronunciamiento respecto a la existencia o no de los procedimientos de responsabilidades administrativas, </w:t>
      </w:r>
      <w:r w:rsidRPr="00A57D42">
        <w:rPr>
          <w:rFonts w:ascii="Palatino Linotype" w:hAnsi="Palatino Linotype" w:cs="Arial"/>
          <w:sz w:val="22"/>
          <w:szCs w:val="22"/>
        </w:rPr>
        <w:t>en términos del artículo 143, fracción I, de la Ley de Transparencia y Acceso a la Información Pública del Estado de México y Municipios, del pronunciamiento en sentido afirmativo o negativo, referente a la existencia de un procedimiento de responsabilidad administrativa por falta administrativa</w:t>
      </w:r>
      <w:r w:rsidR="00DE18D7" w:rsidRPr="00A57D42">
        <w:rPr>
          <w:rFonts w:ascii="Palatino Linotype" w:hAnsi="Palatino Linotype" w:cs="Arial"/>
          <w:sz w:val="22"/>
          <w:szCs w:val="22"/>
        </w:rPr>
        <w:t xml:space="preserve"> en contra de los servidores públicos en cuestión.</w:t>
      </w:r>
    </w:p>
    <w:p w14:paraId="28A6AAC4" w14:textId="77777777" w:rsidR="00DE18D7" w:rsidRPr="00A57D42" w:rsidRDefault="00DE18D7" w:rsidP="00536838">
      <w:pPr>
        <w:spacing w:line="360" w:lineRule="auto"/>
        <w:jc w:val="both"/>
        <w:rPr>
          <w:rFonts w:ascii="Palatino Linotype" w:hAnsi="Palatino Linotype" w:cs="Arial"/>
          <w:sz w:val="22"/>
          <w:szCs w:val="22"/>
        </w:rPr>
      </w:pPr>
    </w:p>
    <w:p w14:paraId="04CC4523" w14:textId="60CBD78F" w:rsidR="00DE18D7" w:rsidRPr="00A57D42" w:rsidRDefault="00DE18D7" w:rsidP="00536838">
      <w:pPr>
        <w:spacing w:line="360" w:lineRule="auto"/>
        <w:jc w:val="both"/>
        <w:rPr>
          <w:rFonts w:ascii="Palatino Linotype" w:eastAsia="Palatino Linotype" w:hAnsi="Palatino Linotype" w:cs="Palatino Linotype"/>
          <w:sz w:val="22"/>
          <w:szCs w:val="22"/>
        </w:rPr>
      </w:pPr>
      <w:r w:rsidRPr="00A57D42">
        <w:rPr>
          <w:rFonts w:ascii="Palatino Linotype" w:hAnsi="Palatino Linotype" w:cs="Arial"/>
          <w:sz w:val="22"/>
          <w:szCs w:val="22"/>
        </w:rPr>
        <w:t xml:space="preserve">Cabe resaltar que esta situación no se materializó, al señalar que se encuentran en trámite; no obstante, a efecto de no causar una afectación a la integridad y el honor de los servidores públicos en cuestión, </w:t>
      </w:r>
      <w:r w:rsidR="0017246D" w:rsidRPr="00A57D42">
        <w:rPr>
          <w:rFonts w:ascii="Palatino Linotype" w:hAnsi="Palatino Linotype" w:cs="Arial"/>
          <w:sz w:val="22"/>
          <w:szCs w:val="22"/>
        </w:rPr>
        <w:t xml:space="preserve">se ordena al Sujeto Obligado clasificar como información </w:t>
      </w:r>
      <w:r w:rsidR="0017246D" w:rsidRPr="00A57D42">
        <w:rPr>
          <w:rFonts w:ascii="Palatino Linotype" w:eastAsia="Palatino Linotype" w:hAnsi="Palatino Linotype" w:cs="Palatino Linotype"/>
          <w:sz w:val="22"/>
          <w:szCs w:val="22"/>
        </w:rPr>
        <w:t>confidencial el pronunciamiento respecto de la relación quejas, denuncias o inconformidades, así como la relación de de procedimientos administrativos en contra de la Presidenta Municipal y/o Secretario del Ayuntamiento.</w:t>
      </w:r>
    </w:p>
    <w:p w14:paraId="47DEB5DC" w14:textId="77777777" w:rsidR="00F738DA" w:rsidRPr="00A57D42" w:rsidRDefault="00F738DA" w:rsidP="00F738DA">
      <w:pPr>
        <w:spacing w:line="360" w:lineRule="auto"/>
        <w:jc w:val="both"/>
        <w:rPr>
          <w:rFonts w:ascii="Palatino Linotype" w:eastAsia="Palatino Linotype" w:hAnsi="Palatino Linotype" w:cs="Palatino Linotype"/>
          <w:sz w:val="22"/>
          <w:szCs w:val="22"/>
        </w:rPr>
      </w:pPr>
    </w:p>
    <w:p w14:paraId="70746E48" w14:textId="77777777" w:rsidR="00761007" w:rsidRPr="00A57D42" w:rsidRDefault="00761007" w:rsidP="00761007">
      <w:pPr>
        <w:pBdr>
          <w:top w:val="nil"/>
          <w:left w:val="nil"/>
          <w:bottom w:val="nil"/>
          <w:right w:val="nil"/>
          <w:between w:val="nil"/>
        </w:pBdr>
        <w:spacing w:line="360" w:lineRule="auto"/>
        <w:ind w:left="720" w:hanging="360"/>
        <w:jc w:val="both"/>
        <w:rPr>
          <w:rFonts w:ascii="Palatino Linotype" w:eastAsia="Palatino Linotype" w:hAnsi="Palatino Linotype" w:cs="Palatino Linotype"/>
          <w:b/>
          <w:bCs/>
          <w:sz w:val="22"/>
          <w:szCs w:val="22"/>
          <w:u w:val="single"/>
        </w:rPr>
      </w:pPr>
      <w:r w:rsidRPr="00A57D42">
        <w:rPr>
          <w:rFonts w:ascii="Palatino Linotype" w:eastAsia="Palatino Linotype" w:hAnsi="Palatino Linotype" w:cs="Palatino Linotype"/>
          <w:b/>
          <w:bCs/>
          <w:sz w:val="22"/>
          <w:szCs w:val="22"/>
          <w:u w:val="single"/>
        </w:rPr>
        <w:t xml:space="preserve">Expedientes de Auditoría Concluidos </w:t>
      </w:r>
    </w:p>
    <w:p w14:paraId="3DB7AF5A" w14:textId="77777777" w:rsidR="00761007" w:rsidRPr="00A57D42" w:rsidRDefault="00761007" w:rsidP="00761007">
      <w:pPr>
        <w:pBdr>
          <w:top w:val="nil"/>
          <w:left w:val="nil"/>
          <w:bottom w:val="nil"/>
          <w:right w:val="nil"/>
          <w:between w:val="nil"/>
        </w:pBdr>
        <w:spacing w:line="360" w:lineRule="auto"/>
        <w:ind w:left="720" w:hanging="360"/>
        <w:jc w:val="both"/>
        <w:rPr>
          <w:rFonts w:ascii="Palatino Linotype" w:eastAsia="Palatino Linotype" w:hAnsi="Palatino Linotype" w:cs="Palatino Linotype"/>
          <w:b/>
          <w:bCs/>
          <w:sz w:val="22"/>
          <w:szCs w:val="22"/>
        </w:rPr>
      </w:pPr>
    </w:p>
    <w:p w14:paraId="4ACED873"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otro lado, debe mencionarse que la información que es materia de estudio se encuentra relacionada con la obligación de transparencia prevista en el artículo 92, fracción XXVIII, de la Ley de Transparencia y Acceso a la Información Pública del Estado de México y Municipios, al tener los Sujetos Obligados el deber de hacer de conocimiento público los informes de resultados de las auditorías y en su caso las aclaraciones que correspondan resultados de las auditorías a saber:</w:t>
      </w:r>
    </w:p>
    <w:p w14:paraId="7C529BED"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0834BF5F" w14:textId="77777777" w:rsidR="00761007" w:rsidRPr="00A57D42" w:rsidRDefault="00761007" w:rsidP="00761007">
      <w:pPr>
        <w:spacing w:line="276" w:lineRule="auto"/>
        <w:ind w:left="851"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“Artículo 92</w:t>
      </w:r>
      <w:r w:rsidRPr="00A57D42">
        <w:rPr>
          <w:rFonts w:ascii="Palatino Linotype" w:eastAsia="Palatino Linotype" w:hAnsi="Palatino Linotype" w:cs="Palatino Linotype"/>
          <w:i/>
          <w:iCs/>
          <w:sz w:val="22"/>
          <w:szCs w:val="22"/>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6A9E651E" w14:textId="77777777" w:rsidR="00761007" w:rsidRPr="00A57D42" w:rsidRDefault="00761007" w:rsidP="00761007">
      <w:pPr>
        <w:spacing w:line="276" w:lineRule="auto"/>
        <w:ind w:left="1134"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599A2649" w14:textId="77777777" w:rsidR="00761007" w:rsidRPr="00A57D42" w:rsidRDefault="00761007" w:rsidP="00761007">
      <w:pPr>
        <w:spacing w:line="276" w:lineRule="auto"/>
        <w:ind w:left="1134" w:right="902"/>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XXVIII.</w:t>
      </w:r>
      <w:r w:rsidRPr="00A57D42">
        <w:rPr>
          <w:rFonts w:ascii="Palatino Linotype" w:eastAsia="Palatino Linotype" w:hAnsi="Palatino Linotype" w:cs="Palatino Linotype"/>
          <w:i/>
          <w:iCs/>
          <w:sz w:val="22"/>
          <w:szCs w:val="22"/>
        </w:rPr>
        <w:t xml:space="preserve"> Los </w:t>
      </w:r>
      <w:r w:rsidRPr="00A57D42">
        <w:rPr>
          <w:rFonts w:ascii="Palatino Linotype" w:eastAsia="Palatino Linotype" w:hAnsi="Palatino Linotype" w:cs="Palatino Linotype"/>
          <w:b/>
          <w:bCs/>
          <w:i/>
          <w:iCs/>
          <w:sz w:val="22"/>
          <w:szCs w:val="22"/>
        </w:rPr>
        <w:t>informes de resultados de las auditorías</w:t>
      </w:r>
      <w:r w:rsidRPr="00A57D42">
        <w:rPr>
          <w:rFonts w:ascii="Palatino Linotype" w:eastAsia="Palatino Linotype" w:hAnsi="Palatino Linotype" w:cs="Palatino Linotype"/>
          <w:i/>
          <w:iCs/>
          <w:sz w:val="22"/>
          <w:szCs w:val="22"/>
        </w:rPr>
        <w:t xml:space="preserve"> al ejercicio presupuestal de cada sujeto obligado que se realicen y, en su caso, </w:t>
      </w:r>
      <w:r w:rsidRPr="00A57D42">
        <w:rPr>
          <w:rFonts w:ascii="Palatino Linotype" w:eastAsia="Palatino Linotype" w:hAnsi="Palatino Linotype" w:cs="Palatino Linotype"/>
          <w:b/>
          <w:bCs/>
          <w:i/>
          <w:iCs/>
          <w:sz w:val="22"/>
          <w:szCs w:val="22"/>
        </w:rPr>
        <w:t>las aclaraciones que correspondan;</w:t>
      </w:r>
    </w:p>
    <w:p w14:paraId="09BB9810" w14:textId="77777777" w:rsidR="00761007" w:rsidRPr="00A57D42" w:rsidRDefault="00761007" w:rsidP="00761007">
      <w:pPr>
        <w:spacing w:line="360" w:lineRule="auto"/>
        <w:ind w:left="1134" w:right="902"/>
        <w:jc w:val="both"/>
        <w:rPr>
          <w:rFonts w:ascii="Palatino Linotype" w:eastAsia="Palatino Linotype" w:hAnsi="Palatino Linotype" w:cs="Palatino Linotype"/>
          <w:b/>
          <w:bCs/>
          <w:i/>
          <w:iCs/>
          <w:sz w:val="22"/>
          <w:szCs w:val="22"/>
        </w:rPr>
      </w:pPr>
    </w:p>
    <w:p w14:paraId="7CC5539C" w14:textId="77777777" w:rsidR="00761007" w:rsidRPr="00A57D42" w:rsidRDefault="00761007" w:rsidP="00761007">
      <w:pPr>
        <w:spacing w:line="360" w:lineRule="auto"/>
        <w:ind w:right="51"/>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Ahora bien, para dar cumplimiento a dicha obligación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difundir los Sujetos Obligados en los portales de internet y en la Plataforma Nacional de Transparencia señalan que los Sujetos Obligados </w:t>
      </w:r>
      <w:r w:rsidRPr="00A57D42">
        <w:rPr>
          <w:rFonts w:ascii="Palatino Linotype" w:eastAsia="Palatino Linotype" w:hAnsi="Palatino Linotype" w:cs="Palatino Linotype"/>
          <w:b/>
          <w:bCs/>
          <w:sz w:val="22"/>
          <w:szCs w:val="22"/>
        </w:rPr>
        <w:t>deberán publicar la información correspondiente a los resultados de las auditorías internas y externas realizadas a su ejercicio presupuestal,</w:t>
      </w:r>
      <w:r w:rsidRPr="00A57D42">
        <w:rPr>
          <w:rFonts w:ascii="Palatino Linotype" w:eastAsia="Palatino Linotype" w:hAnsi="Palatino Linotype" w:cs="Palatino Linotype"/>
          <w:sz w:val="22"/>
          <w:szCs w:val="22"/>
        </w:rPr>
        <w:t xml:space="preserve"> así como los hallazgos, observaciones, conclusiones, recomendaciones, dictámenes o documentos correspondientes, entregados por la instancia que las haya realizado y, en su caso, el seguimiento a cada una de ellas.</w:t>
      </w:r>
    </w:p>
    <w:p w14:paraId="3925718C"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6C81D4A9" w14:textId="77777777" w:rsidR="00761007" w:rsidRPr="00A57D42" w:rsidRDefault="00761007" w:rsidP="00761007">
      <w:pPr>
        <w:spacing w:line="360" w:lineRule="auto"/>
        <w:ind w:right="51"/>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Asimismo, los Lineamientos señalan que las auditorías </w:t>
      </w:r>
      <w:r w:rsidRPr="00A57D42">
        <w:rPr>
          <w:rFonts w:ascii="Palatino Linotype" w:eastAsia="Palatino Linotype" w:hAnsi="Palatino Linotype" w:cs="Palatino Linotype"/>
          <w:b/>
          <w:bCs/>
          <w:sz w:val="22"/>
          <w:szCs w:val="22"/>
        </w:rPr>
        <w:t>son verificaciones a fin de comprobar el cumplimiento de objetivos fiscales;</w:t>
      </w:r>
      <w:r w:rsidRPr="00A57D42">
        <w:rPr>
          <w:rFonts w:ascii="Palatino Linotype" w:eastAsia="Palatino Linotype" w:hAnsi="Palatino Linotype" w:cs="Palatino Linotype"/>
          <w:sz w:val="22"/>
          <w:szCs w:val="22"/>
        </w:rPr>
        <w:t xml:space="preserve"> sirven para responsabilizar a los Sujetos Obligados y/o servidores públicos, integrantes y/o miembros, así como toda persona que desempeñe un empleo, cargo o comisión y/o ejerza actos de autoridad en los Sujetos Obligados, sobre el manejo de los recursos presupuestarios que utilizan para la realización de sus funciones y la prestación de servicios hacia la ciudadanía, de acuerdo con los documentos normativos que correspondan.</w:t>
      </w:r>
    </w:p>
    <w:p w14:paraId="4BC83834"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5B20F071"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lo tanto, es de especificar que las auditorías internas se refieren a las revisiones realizadas por los órganos internos de control, contralorías, comisiones u órganos de vigilancia, según corresponda, de cada Sujeto Obligado, los cuales actúan a lo largo de todo el año o durante la gestión del sujeto.</w:t>
      </w:r>
    </w:p>
    <w:p w14:paraId="19B4F8D1"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4EBA34A1"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La información deberá publicarse y actualizarse trimestralmente a más tardar 30 días naturales después de concluido el trimestre y se deberá mantener publicada en el sitio de Internet, la información generada en el ejercicio en curso y la correspondiente a los tres ejercicios anteriores.</w:t>
      </w:r>
    </w:p>
    <w:p w14:paraId="5881E1FF"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09C7E7DB"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Para la publicación de la información se deben observar los Criterios sustantivos de contenido, los Criterios adjetivos de actualización y los Criterios adjetivos de contabilidad, y los Criterios adjetivos de formato que establecen los Lineamientos Técnicos Generales.</w:t>
      </w:r>
    </w:p>
    <w:p w14:paraId="573F8D2D"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Para el tema que nos ocupa es indispensable traer a contexto el formato mediante el cual se debe organizar la información publicada, en el que se incluyen todos los campos especificados en los criterios sustantivos de contenido:</w:t>
      </w:r>
    </w:p>
    <w:p w14:paraId="3C17D65B"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 </w:t>
      </w:r>
    </w:p>
    <w:p w14:paraId="7987472F"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XXIV. Los informes de resultados de las auditorías al ejercicio presupuestal de cada sujeto obligado que se realicen, y, en su caso, las aclaraciones que correspondan </w:t>
      </w:r>
    </w:p>
    <w:p w14:paraId="55C2C604"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p>
    <w:p w14:paraId="2C336FAE"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Los sujetos obligados publicarán la información correspondiente a los resultados de las auditorías internas y externas realizadas a su ejercicio presupuestal, así como los hallazgos, observaciones, conclusiones, recomendaciones, dictámenes o documentos correspondientes, entregados por la instancia que las haya realizado y, en su caso, el seguimiento a cada una de ellas. </w:t>
      </w:r>
    </w:p>
    <w:p w14:paraId="4C503316"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p>
    <w:p w14:paraId="3BC4BAC5"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El órgano fiscalizador de la federación y los de las entidades federativas tienen autonomía técnica y de gestión, por lo que desarrollan sus funciones conforme a los principios de legalidad, definitividad, imparcialidad y confiabilidad, además de que los informes de auditoría que realizan son públicos.</w:t>
      </w:r>
    </w:p>
    <w:p w14:paraId="053DE100"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p>
    <w:p w14:paraId="31ED70C7"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7D0C4979"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Las auditorías son verificaciones a fin de comprobar el cumplimiento de objetivos fiscales; sirven para responsabilizar a los sujetos obligados y/o servidores(as) públicos(as), integrantes y/o miembros, así como toda persona que desempeñe un empleo, cargo o comisión y/o ejerza actos de autoridad en los sujetos obligados, sobre el manejo de los recursos presupuestarios que utilizan para la realización de sus funciones y la prestación de servicios hacia la ciudadanía, de acuerdo con los documentos normativos que correspondan. </w:t>
      </w:r>
    </w:p>
    <w:p w14:paraId="5B6B9639"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p>
    <w:p w14:paraId="496EFEDE"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Los resultados de estas verificaciones, mismos que emiten los órganos fiscalizadores, deben ser publicados por el sujeto obligado, así como las aclaraciones correspondientes aun cuando su seguimiento no esté concluido. El sujeto obligado deberá ordenar la información en dos rubros: </w:t>
      </w:r>
    </w:p>
    <w:p w14:paraId="423475A5" w14:textId="77777777" w:rsidR="00761007" w:rsidRPr="00A57D42" w:rsidRDefault="00761007" w:rsidP="00761007">
      <w:pPr>
        <w:spacing w:line="360" w:lineRule="auto"/>
        <w:ind w:left="567" w:right="843"/>
        <w:jc w:val="both"/>
        <w:rPr>
          <w:rFonts w:ascii="Palatino Linotype" w:eastAsia="Palatino Linotype" w:hAnsi="Palatino Linotype" w:cs="Palatino Linotype"/>
          <w:i/>
          <w:iCs/>
          <w:sz w:val="22"/>
          <w:szCs w:val="22"/>
        </w:rPr>
      </w:pPr>
    </w:p>
    <w:p w14:paraId="71922377" w14:textId="77777777" w:rsidR="00761007" w:rsidRPr="00A57D42" w:rsidRDefault="00761007" w:rsidP="00761007">
      <w:pPr>
        <w:spacing w:line="360" w:lineRule="auto"/>
        <w:ind w:left="567" w:right="843"/>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 xml:space="preserve">• Auditorías Internas </w:t>
      </w:r>
    </w:p>
    <w:p w14:paraId="0E6774FC" w14:textId="77777777" w:rsidR="00761007" w:rsidRPr="00A57D42" w:rsidRDefault="00761007" w:rsidP="00761007">
      <w:pPr>
        <w:spacing w:line="360" w:lineRule="auto"/>
        <w:ind w:left="567" w:right="843"/>
        <w:jc w:val="both"/>
        <w:rPr>
          <w:rFonts w:ascii="Palatino Linotype" w:eastAsia="Palatino Linotype" w:hAnsi="Palatino Linotype" w:cs="Palatino Linotype"/>
          <w:b/>
          <w:i/>
          <w:iCs/>
          <w:sz w:val="22"/>
          <w:szCs w:val="22"/>
        </w:rPr>
      </w:pPr>
      <w:r w:rsidRPr="00A57D42">
        <w:rPr>
          <w:rFonts w:ascii="Palatino Linotype" w:eastAsia="Palatino Linotype" w:hAnsi="Palatino Linotype" w:cs="Palatino Linotype"/>
          <w:i/>
          <w:iCs/>
          <w:sz w:val="22"/>
          <w:szCs w:val="22"/>
        </w:rPr>
        <w:t xml:space="preserve">• </w:t>
      </w:r>
      <w:r w:rsidRPr="00A57D42">
        <w:rPr>
          <w:rFonts w:ascii="Palatino Linotype" w:eastAsia="Palatino Linotype" w:hAnsi="Palatino Linotype" w:cs="Palatino Linotype"/>
          <w:b/>
          <w:i/>
          <w:iCs/>
          <w:sz w:val="22"/>
          <w:szCs w:val="22"/>
        </w:rPr>
        <w:t>Auditorías Externas</w:t>
      </w:r>
    </w:p>
    <w:p w14:paraId="31FF98A0"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358F0AFE"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Además, los Sujetos Obligados deben publicar la siguiente información al respecto:</w:t>
      </w:r>
    </w:p>
    <w:p w14:paraId="4BA57615"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6DC851F8" wp14:editId="38FD8CF5">
            <wp:extent cx="5756275" cy="1450975"/>
            <wp:effectExtent l="0" t="0" r="0" b="0"/>
            <wp:docPr id="3064786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756275" cy="1450975"/>
                    </a:xfrm>
                    <a:prstGeom prst="rect">
                      <a:avLst/>
                    </a:prstGeom>
                    <a:ln/>
                  </pic:spPr>
                </pic:pic>
              </a:graphicData>
            </a:graphic>
          </wp:inline>
        </w:drawing>
      </w:r>
    </w:p>
    <w:p w14:paraId="25AFEC3B"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72156233" wp14:editId="39653E81">
            <wp:extent cx="5687219" cy="3848637"/>
            <wp:effectExtent l="0" t="0" r="0" b="0"/>
            <wp:docPr id="3064786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5687219" cy="3848637"/>
                    </a:xfrm>
                    <a:prstGeom prst="rect">
                      <a:avLst/>
                    </a:prstGeom>
                    <a:ln/>
                  </pic:spPr>
                </pic:pic>
              </a:graphicData>
            </a:graphic>
          </wp:inline>
        </w:drawing>
      </w:r>
    </w:p>
    <w:p w14:paraId="69065CC9"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p>
    <w:p w14:paraId="3422848E" w14:textId="77777777" w:rsidR="00761007" w:rsidRPr="00A57D42" w:rsidRDefault="00761007" w:rsidP="00761007">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Como puede observarse, la información que debe publicarse en el portal de internet, debe incluir, entre otros datos, el ejercicio; periodo que se informa; ejercicio auditado; rubro: </w:t>
      </w:r>
      <w:r w:rsidRPr="00A57D42">
        <w:rPr>
          <w:rFonts w:ascii="Palatino Linotype" w:eastAsia="Palatino Linotype" w:hAnsi="Palatino Linotype" w:cs="Palatino Linotype"/>
          <w:b/>
          <w:sz w:val="22"/>
          <w:szCs w:val="22"/>
        </w:rPr>
        <w:t>auditoria interna o externa</w:t>
      </w:r>
      <w:r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b/>
          <w:sz w:val="22"/>
          <w:szCs w:val="22"/>
        </w:rPr>
        <w:t>tipo de auditoría</w:t>
      </w:r>
      <w:r w:rsidRPr="00A57D42">
        <w:rPr>
          <w:rFonts w:ascii="Palatino Linotype" w:eastAsia="Palatino Linotype" w:hAnsi="Palatino Linotype" w:cs="Palatino Linotype"/>
          <w:sz w:val="22"/>
          <w:szCs w:val="22"/>
        </w:rPr>
        <w:t xml:space="preserve">  con base en la clasificación hecha por el órgano fiscalizador correspondiente; número de auditoría o nomenclatura que la identifique; órgano que realizó la revisión o auditoría; objetivo(s) de la realización de la auditoría; </w:t>
      </w:r>
      <w:r w:rsidRPr="00A57D42">
        <w:rPr>
          <w:rFonts w:ascii="Palatino Linotype" w:eastAsia="Palatino Linotype" w:hAnsi="Palatino Linotype" w:cs="Palatino Linotype"/>
          <w:b/>
          <w:sz w:val="22"/>
          <w:szCs w:val="22"/>
        </w:rPr>
        <w:t>rubros sujetos a revisión</w:t>
      </w:r>
      <w:r w:rsidRPr="00A57D42">
        <w:rPr>
          <w:rFonts w:ascii="Palatino Linotype" w:eastAsia="Palatino Linotype" w:hAnsi="Palatino Linotype" w:cs="Palatino Linotype"/>
          <w:sz w:val="22"/>
          <w:szCs w:val="22"/>
        </w:rPr>
        <w:t>; número de oficio o documento de notificación de resultados; hipervínculo al oficio o documento de notificación de resultados; por rubro sujeto a revisión, el número total de hallazgos, observaciones, conclusiones, recomendaciones, o lo que derive;  hipervínculo a las recomendaciones, y/u observaciones hechas al Sujeto Obligado, hipervínculo a los informes finales, de revisión y/o dictamen, hipervínculo al informe sobre las aclaraciones realizadas por el sujeto obligado a las acciones promovidas por el órgano fiscalizador, hipervínculo al Programa anual de auditoría que corresponda, etcétera.</w:t>
      </w:r>
    </w:p>
    <w:p w14:paraId="2B4406E4" w14:textId="77777777" w:rsidR="00761007" w:rsidRPr="00A57D42" w:rsidRDefault="00761007" w:rsidP="00761007">
      <w:pPr>
        <w:pBdr>
          <w:top w:val="nil"/>
          <w:left w:val="nil"/>
          <w:bottom w:val="nil"/>
          <w:right w:val="nil"/>
          <w:between w:val="nil"/>
        </w:pBdr>
        <w:spacing w:line="360" w:lineRule="auto"/>
        <w:ind w:left="720" w:hanging="360"/>
        <w:jc w:val="both"/>
        <w:rPr>
          <w:rFonts w:ascii="Palatino Linotype" w:eastAsia="Palatino Linotype" w:hAnsi="Palatino Linotype" w:cs="Palatino Linotype"/>
          <w:b/>
          <w:bCs/>
          <w:sz w:val="22"/>
          <w:szCs w:val="22"/>
        </w:rPr>
      </w:pPr>
    </w:p>
    <w:p w14:paraId="6BC9215B" w14:textId="32ED8E4E" w:rsidR="00761007" w:rsidRPr="00A57D42" w:rsidRDefault="00761007" w:rsidP="00761007">
      <w:pPr>
        <w:widowControl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Lo anterior, demuestra la información que debe publicarse por cada un</w:t>
      </w:r>
      <w:r w:rsidR="00D834CB" w:rsidRPr="00A57D42">
        <w:rPr>
          <w:rFonts w:ascii="Palatino Linotype" w:eastAsia="Palatino Linotype" w:hAnsi="Palatino Linotype" w:cs="Palatino Linotype"/>
          <w:sz w:val="22"/>
          <w:szCs w:val="22"/>
        </w:rPr>
        <w:t>a de las auditorías practicadas, estableciendo los rubros sujetos a revisión.</w:t>
      </w:r>
    </w:p>
    <w:p w14:paraId="1E1199AB" w14:textId="77777777" w:rsidR="00761007" w:rsidRPr="00A57D42" w:rsidRDefault="00761007" w:rsidP="00761007">
      <w:pPr>
        <w:widowControl w:val="0"/>
        <w:spacing w:line="360" w:lineRule="auto"/>
        <w:jc w:val="both"/>
        <w:rPr>
          <w:rFonts w:ascii="Palatino Linotype" w:eastAsia="Palatino Linotype" w:hAnsi="Palatino Linotype" w:cs="Palatino Linotype"/>
          <w:sz w:val="22"/>
          <w:szCs w:val="22"/>
        </w:rPr>
      </w:pPr>
    </w:p>
    <w:p w14:paraId="1B851BC6" w14:textId="7B9C3822" w:rsidR="001525D0" w:rsidRPr="00A57D42" w:rsidRDefault="00761007" w:rsidP="00761007">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consecuencia de lo anterior, se advierte que las auditorías que se encuentren concluidas y cuenten con un informe de resultados son públicas y toda la información al respecto, por lo que se ORDENA entregar los expedientes de las auditorias llevadas a cabo</w:t>
      </w:r>
      <w:r w:rsidR="001525D0" w:rsidRPr="00A57D42">
        <w:rPr>
          <w:rFonts w:ascii="Palatino Linotype" w:eastAsia="Palatino Linotype" w:hAnsi="Palatino Linotype" w:cs="Palatino Linotype"/>
          <w:sz w:val="22"/>
          <w:szCs w:val="22"/>
        </w:rPr>
        <w:t xml:space="preserve"> y que aborden conductas irregulares o posibles faltas administrativas en la gestión administrativa y la toma de </w:t>
      </w:r>
      <w:r w:rsidR="0020793C" w:rsidRPr="00A57D42">
        <w:rPr>
          <w:rFonts w:ascii="Palatino Linotype" w:eastAsia="Palatino Linotype" w:hAnsi="Palatino Linotype" w:cs="Palatino Linotype"/>
          <w:sz w:val="22"/>
          <w:szCs w:val="22"/>
        </w:rPr>
        <w:t>decisiones</w:t>
      </w:r>
      <w:r w:rsidR="001525D0" w:rsidRPr="00A57D42">
        <w:rPr>
          <w:rFonts w:ascii="Palatino Linotype" w:eastAsia="Palatino Linotype" w:hAnsi="Palatino Linotype" w:cs="Palatino Linotype"/>
          <w:sz w:val="22"/>
          <w:szCs w:val="22"/>
        </w:rPr>
        <w:t>.</w:t>
      </w:r>
    </w:p>
    <w:p w14:paraId="74B2A7F6" w14:textId="394EE431" w:rsidR="00761007" w:rsidRPr="00A57D42" w:rsidRDefault="002A67CC"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Auditorías en trámite.</w:t>
      </w:r>
    </w:p>
    <w:p w14:paraId="19D529E2" w14:textId="77777777" w:rsidR="002A67CC" w:rsidRPr="00A57D42" w:rsidRDefault="002A67CC" w:rsidP="002A67CC">
      <w:pPr>
        <w:widowControl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Ahora bien, debe decirse que por regla general, toda la información que generen, administren y/o posean los Sujetos Obligados, es considerada información pública, pues al ser entes que ejercen recursos públicos tienen la obligación de rendir cuentas y asumir responsabilidades ante los ciudadanos derivado del ejercicio de sus atribuciones, garantizando así el Derecho humano de acceso a la información pública, sin embargo, dicho derecho puede ser restringido de manera excepcional por razones de interés público, en los términos de las causas legítimas y estrictamente necesarias previstas por la Ley, como se desprende del artículo 91 de la Ley de la Materia que es del tenor literal siguiente:</w:t>
      </w:r>
    </w:p>
    <w:p w14:paraId="21B4930D" w14:textId="77777777" w:rsidR="002A67CC" w:rsidRPr="00A57D42" w:rsidRDefault="002A67CC" w:rsidP="002A67CC">
      <w:pPr>
        <w:ind w:left="851" w:right="90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 xml:space="preserve">“Artículo 91. </w:t>
      </w:r>
      <w:r w:rsidRPr="00A57D42">
        <w:rPr>
          <w:rFonts w:ascii="Palatino Linotype" w:eastAsia="Palatino Linotype" w:hAnsi="Palatino Linotype" w:cs="Palatino Linotype"/>
          <w:i/>
          <w:iCs/>
          <w:sz w:val="22"/>
          <w:szCs w:val="22"/>
        </w:rPr>
        <w:t>El acceso a la información pública será restringido  excepcionalmente, cuando ésta sea clasificada como reservada o confidencial.”</w:t>
      </w:r>
    </w:p>
    <w:p w14:paraId="277A2C4C"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 importante mencionar que la restricción al derecho de acceso a la información implica necesariamente una clasificación la cual debe entenderse como el proceso mediante el cual el Sujeto Obligado determina que la información en su poder, actualiza alguno de los supuestos de reserva o confidencialidad, de conformidad con las normas aplicables.</w:t>
      </w:r>
    </w:p>
    <w:p w14:paraId="15021988"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La Ley de Transparencia y Acceso a la Información Pública del Estado de México y Municipios, define como </w:t>
      </w:r>
      <w:r w:rsidRPr="00A57D42">
        <w:rPr>
          <w:rFonts w:ascii="Palatino Linotype" w:eastAsia="Palatino Linotype" w:hAnsi="Palatino Linotype" w:cs="Palatino Linotype"/>
          <w:b/>
          <w:bCs/>
          <w:sz w:val="22"/>
          <w:szCs w:val="22"/>
        </w:rPr>
        <w:t xml:space="preserve">información reservada </w:t>
      </w:r>
      <w:r w:rsidRPr="00A57D42">
        <w:rPr>
          <w:rFonts w:ascii="Palatino Linotype" w:eastAsia="Palatino Linotype" w:hAnsi="Palatino Linotype" w:cs="Palatino Linotype"/>
          <w:sz w:val="22"/>
          <w:szCs w:val="22"/>
        </w:rPr>
        <w:t xml:space="preserve">a la información pública clasificada con este carácter de manera temporal por las disposiciones de la Ley de la Materia, cuya divulgación puede causar daños a las  seguridad pública, y como información confidencial, la relacionada con los secretos bancario, fiduciario, industrial, comercial, fiscal, bursátil y postal, cuya titularidad corresponda a particulares, sujetos de derecho internacional o sujetos obligados cuando no involucren el ejercicio de recursos públicos, así como la información privada contenida en documentos públicos o privados que refiera a la vida privada y/o los datos personales, que no son de acceso público. </w:t>
      </w:r>
    </w:p>
    <w:p w14:paraId="0C9A398C" w14:textId="77777777" w:rsidR="002A67CC" w:rsidRPr="00A57D42" w:rsidRDefault="002A67CC" w:rsidP="002A67CC">
      <w:pPr>
        <w:spacing w:before="240" w:after="240" w:line="360" w:lineRule="auto"/>
        <w:ind w:right="13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relación con las implicaciones anteriores, cabe considerar que los titulares de las áreas son los responsables de clasificar la información mediante el Comité de Transparencia por ser la autoridad máxima al interior de los Sujetos Obligados, al ser éste un Cuerpo Colegiado que se integra para resolver sobre la información que debe clasificarse, así como para atender y resolver los requerimientos de las Unidades de Transparencia y del Instituto.</w:t>
      </w:r>
    </w:p>
    <w:p w14:paraId="139E59BF" w14:textId="77777777" w:rsidR="002A67CC" w:rsidRPr="00A57D42" w:rsidRDefault="002A67CC" w:rsidP="002A67CC">
      <w:pPr>
        <w:spacing w:before="240" w:after="240" w:line="360" w:lineRule="auto"/>
        <w:ind w:right="13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La misma norma referida, considera en su artículo 140, fracción V, que el acceso a la información pública será restringido excepcionalmente bajo los siguientes elementos:</w:t>
      </w:r>
    </w:p>
    <w:p w14:paraId="3CE5BC78" w14:textId="77777777" w:rsidR="002A67CC" w:rsidRPr="00A57D42" w:rsidRDefault="002A67CC" w:rsidP="002A67CC">
      <w:pPr>
        <w:spacing w:before="240" w:after="240"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Artículo 140. El acceso a la información pública será restringido excepcionalmente, cuando por razones de interés público, ésta sea clasificada como reservada, conforme a los criterios siguientes:</w:t>
      </w:r>
    </w:p>
    <w:p w14:paraId="547C1764" w14:textId="77777777" w:rsidR="002A67CC" w:rsidRPr="00A57D42" w:rsidRDefault="002A67CC" w:rsidP="002A67CC">
      <w:pPr>
        <w:spacing w:before="240" w:after="240"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p>
    <w:p w14:paraId="379A4254" w14:textId="77777777" w:rsidR="002A67CC" w:rsidRPr="00A57D42" w:rsidRDefault="002A67CC" w:rsidP="002A67CC">
      <w:pPr>
        <w:spacing w:before="240" w:after="240"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 xml:space="preserve">V. Aquella cuya divulgación obstruya o pueda causar un serio perjuicio a: </w:t>
      </w:r>
    </w:p>
    <w:p w14:paraId="33EF52AE" w14:textId="77777777" w:rsidR="002A67CC" w:rsidRPr="00A57D42" w:rsidRDefault="002A67CC" w:rsidP="002A67CC">
      <w:pPr>
        <w:spacing w:before="240" w:after="240" w:line="360" w:lineRule="auto"/>
        <w:ind w:left="567" w:right="843"/>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1. Las actividades de fiscalización, verificación, inspección, comprobación y auditoría sobre el cumplimiento de las Leyes; o</w:t>
      </w:r>
    </w:p>
    <w:p w14:paraId="7F439F98" w14:textId="77777777" w:rsidR="002A67CC" w:rsidRPr="00A57D42" w:rsidRDefault="002A67CC" w:rsidP="002A67CC">
      <w:pPr>
        <w:spacing w:before="240" w:after="240" w:line="360" w:lineRule="auto"/>
        <w:ind w:right="13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la Ley de la Materia establece que la clasificación de la información como reservada permanecerá con tal carácter hasta por un periodo de cinco años contados a partir de su clasificación, salvo que antes de su cumplimiento dejaran de existir los motivos de su reserva, pero excepcionalmente y con aprobación del Comité de Transparencia los Sujetos Obligados podrán ampliar el periodo de reserva hasta por un periodo de cinco años adicionales, por una sola vez, siempre y cuando justifiquen que subsistente las causas que dieron origen a su clasificación.</w:t>
      </w:r>
    </w:p>
    <w:p w14:paraId="604E87DF" w14:textId="77777777" w:rsidR="002A67CC" w:rsidRPr="00A57D42" w:rsidRDefault="002A67CC" w:rsidP="002A67CC">
      <w:pPr>
        <w:spacing w:before="240" w:after="240" w:line="360" w:lineRule="auto"/>
        <w:ind w:right="13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Ahora bien, para motivar la clasificación de la información o en su caso, la ampliación del plazo de reserva, se deberán señalar las razones, motivos o circunstancias especiales que llevaron al Sujeto Obligado a concluir que el caso particular se ajusta a los supuestos previstos en el artículo 140 de la Ley de Transparencia en la entidad, debiendo en todo momento aplicar la prueba de daño y hacer mención del plazo al que estará sujeto la reserva.</w:t>
      </w:r>
    </w:p>
    <w:p w14:paraId="3FBF6761"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Los Sujetos Obligados no podrán emitir acuerdos de carácter general ni particular que clasifiquen documentos o información como reservada, ya que dicha clasificación, ya sea parcial o total, debe estar acorde con la actualización de los supuestos definidos en la ley de la materia, resaltándose que se debe realizar conforme a un análisis caso por caso, mediante la aplicación de la enunciada prueba de daño.</w:t>
      </w:r>
    </w:p>
    <w:p w14:paraId="2CEDC743"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tal contexto, en términos generales, las Leyes de la materia disponen que, para proceder a realizar la reserva de la información, no basta que se refiera a alguno de los supuestos que enmarque la Ley, sino que es necesario que la autoridad demuestre que la divulgación de la información, puede afectar, poner en riesgo o dañar el interés público protegido, mediante elementos objetivos que evalúen si existe un riego actual e inminente los artículos 91, 128, 129, 140 y 141, de la Ley de Transparencia y Acceso a la Información Pública del Estado de México y Municipios, y los Capítulos II y V de los Lineamientos Generales de Clasificación y Desclasificación de la Información, así como para la Elaboración de Versiones Públicas.</w:t>
      </w:r>
    </w:p>
    <w:p w14:paraId="390212B5"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Corolario a lo anterior, es de precisar que la clasificación de la información no se da por el simple mandato de la Ley, sino que es necesario que los Sujetos Obligados</w:t>
      </w:r>
      <w:r w:rsidRPr="00A57D42">
        <w:rPr>
          <w:rFonts w:ascii="Palatino Linotype" w:eastAsia="Palatino Linotype" w:hAnsi="Palatino Linotype" w:cs="Palatino Linotype"/>
          <w:b/>
          <w:bCs/>
          <w:sz w:val="22"/>
          <w:szCs w:val="22"/>
        </w:rPr>
        <w:t>,</w:t>
      </w:r>
      <w:r w:rsidRPr="00A57D42">
        <w:rPr>
          <w:rFonts w:ascii="Palatino Linotype" w:eastAsia="Palatino Linotype" w:hAnsi="Palatino Linotype" w:cs="Palatino Linotype"/>
          <w:sz w:val="22"/>
          <w:szCs w:val="22"/>
        </w:rPr>
        <w:t xml:space="preserve"> cuando clasifiquen algún documento o información, ya sea todo o en parte, atiendan lo dispuesto por la Ley de la materia, siendo que dicha clasificación es un trabajo en conjunto tanto de los Servidores Públicos Habilitados, de las Unidades de Transparencia y del Comité de Transparencia de los Sujetos Obligados, teniendo el deber los primeros de ellos de presentar ante la Unidad de Transparencia la propuesta de la clasificación de la información, para que luego, de así resultar procedente el proyecto de clasificación de la información se presente ante al Comité de Transparencia, y que finalmente, sea este último quien apruebe, modifique o revoque la misma, como se desprende de los artículos 49 fracciones II y VIII, 53 fracción X, y 59 fracción V, de la Ley de Transparencia y Acceso a la Información Pública del Estado de México y Municipios.</w:t>
      </w:r>
    </w:p>
    <w:p w14:paraId="1F947A87"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Además, el  lineamiento Trigésimo Tercero, de los Lineamientos Generales en Materia de Clasificación y Desclasificación de la Información, que dispone lo siguiente:</w:t>
      </w:r>
    </w:p>
    <w:p w14:paraId="1E2D5F8B" w14:textId="77777777" w:rsidR="002A67CC" w:rsidRPr="00A57D42" w:rsidRDefault="002A67CC" w:rsidP="002A67CC">
      <w:pPr>
        <w:spacing w:before="120" w:after="120"/>
        <w:ind w:left="851" w:right="758"/>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i/>
          <w:iCs/>
          <w:sz w:val="22"/>
          <w:szCs w:val="22"/>
        </w:rPr>
        <w:t>“</w:t>
      </w:r>
      <w:r w:rsidRPr="00A57D42">
        <w:rPr>
          <w:rFonts w:ascii="Palatino Linotype" w:eastAsia="Palatino Linotype" w:hAnsi="Palatino Linotype" w:cs="Palatino Linotype"/>
          <w:b/>
          <w:bCs/>
          <w:i/>
          <w:iCs/>
          <w:sz w:val="22"/>
          <w:szCs w:val="22"/>
        </w:rPr>
        <w:t>Trigésimo tercero</w:t>
      </w:r>
      <w:r w:rsidRPr="00A57D42">
        <w:rPr>
          <w:rFonts w:ascii="Palatino Linotype" w:eastAsia="Palatino Linotype" w:hAnsi="Palatino Linotype" w:cs="Palatino Linotype"/>
          <w:i/>
          <w:iCs/>
          <w:sz w:val="22"/>
          <w:szCs w:val="22"/>
        </w:rPr>
        <w:t>. Para la aplicación de la prueba de daño a la que hace referencia el artículo 104 de la Ley General, los sujetos obligados atenderán lo siguiente:</w:t>
      </w:r>
    </w:p>
    <w:p w14:paraId="4DB70A72" w14:textId="77777777" w:rsidR="002A67CC" w:rsidRPr="00A57D42" w:rsidRDefault="002A67CC" w:rsidP="002A67CC">
      <w:pPr>
        <w:tabs>
          <w:tab w:val="left" w:pos="1701"/>
        </w:tabs>
        <w:spacing w:before="120" w:after="120"/>
        <w:ind w:left="851" w:right="760"/>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 xml:space="preserve">I. </w:t>
      </w:r>
      <w:r w:rsidRPr="00A57D42">
        <w:rPr>
          <w:rFonts w:ascii="Palatino Linotype" w:eastAsia="Palatino Linotype" w:hAnsi="Palatino Linotype" w:cs="Palatino Linotype"/>
          <w:i/>
          <w:iCs/>
          <w:sz w:val="22"/>
          <w:szCs w:val="22"/>
        </w:rPr>
        <w:t>Se deberá fundar la clasificación, al citar la fracción y la hipótesis de la causal aplicable del artículo 113 de la Ley General, vinculándola con el Lineamiento específico del presente ordenamiento y cuando corresponda, el supuesto normativo que expresamente le otorga el carácter de información reservada;</w:t>
      </w:r>
    </w:p>
    <w:p w14:paraId="0218A50A" w14:textId="77777777" w:rsidR="002A67CC" w:rsidRPr="00A57D42" w:rsidRDefault="002A67CC" w:rsidP="002A67CC">
      <w:pPr>
        <w:tabs>
          <w:tab w:val="left" w:pos="1701"/>
        </w:tabs>
        <w:spacing w:before="120" w:after="120"/>
        <w:ind w:left="851" w:right="76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II</w:t>
      </w:r>
      <w:r w:rsidRPr="00A57D42">
        <w:rPr>
          <w:rFonts w:ascii="Palatino Linotype" w:eastAsia="Palatino Linotype" w:hAnsi="Palatino Linotype" w:cs="Palatino Linotype"/>
          <w:i/>
          <w:iCs/>
          <w:sz w:val="22"/>
          <w:szCs w:val="22"/>
        </w:rPr>
        <w:t>. Se deberá motivar la clasificación, señalando las circunstancias de modo, tiempo y lugar que acrediten el vínculo entre la difusión de la información y la afectación al interés público o a la seguridad nacional;</w:t>
      </w:r>
    </w:p>
    <w:p w14:paraId="06801A26" w14:textId="77777777" w:rsidR="002A67CC" w:rsidRPr="00A57D42" w:rsidRDefault="002A67CC" w:rsidP="002A67CC">
      <w:pPr>
        <w:tabs>
          <w:tab w:val="left" w:pos="1701"/>
        </w:tabs>
        <w:spacing w:before="120" w:after="120"/>
        <w:ind w:left="851" w:right="76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III.</w:t>
      </w:r>
      <w:r w:rsidRPr="00A57D42">
        <w:rPr>
          <w:rFonts w:ascii="Palatino Linotype" w:eastAsia="Palatino Linotype" w:hAnsi="Palatino Linotype" w:cs="Palatino Linotype"/>
          <w:i/>
          <w:iCs/>
          <w:sz w:val="22"/>
          <w:szCs w:val="22"/>
        </w:rPr>
        <w:t xml:space="preserve"> Se deberán precisar las razones objetivas por las que la apertura de la información generaría un riesgo de perjuicio real, demostrable e identificable al interés jurídico tutelado de que se trate;</w:t>
      </w:r>
    </w:p>
    <w:p w14:paraId="7B77C90B" w14:textId="77777777" w:rsidR="002A67CC" w:rsidRPr="00A57D42" w:rsidRDefault="002A67CC" w:rsidP="002A67CC">
      <w:pPr>
        <w:tabs>
          <w:tab w:val="left" w:pos="1701"/>
        </w:tabs>
        <w:spacing w:before="120" w:after="120"/>
        <w:ind w:left="851" w:right="760"/>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IV.</w:t>
      </w:r>
      <w:r w:rsidRPr="00A57D42">
        <w:rPr>
          <w:rFonts w:ascii="Palatino Linotype" w:eastAsia="Palatino Linotype" w:hAnsi="Palatino Linotype" w:cs="Palatino Linotype"/>
          <w:i/>
          <w:iCs/>
          <w:sz w:val="22"/>
          <w:szCs w:val="22"/>
        </w:rPr>
        <w:t xml:space="preserve"> Mediante una ponderación entre la medida restrictiva y el derecho de acceso a la información, deberán justificar y probar objetivamente mediante los elementos señalados en la fracción anterior, que la publicidad de la información solicitada generaría un riesgo de perjuicio que supera al interés público de que la información se difunda;</w:t>
      </w:r>
      <w:r w:rsidRPr="00A57D42">
        <w:rPr>
          <w:rFonts w:ascii="Palatino Linotype" w:eastAsia="Palatino Linotype" w:hAnsi="Palatino Linotype" w:cs="Palatino Linotype"/>
          <w:b/>
          <w:bCs/>
          <w:i/>
          <w:iCs/>
          <w:sz w:val="22"/>
          <w:szCs w:val="22"/>
        </w:rPr>
        <w:t xml:space="preserve"> </w:t>
      </w:r>
    </w:p>
    <w:p w14:paraId="3D68A665" w14:textId="77777777" w:rsidR="002A67CC" w:rsidRPr="00A57D42" w:rsidRDefault="002A67CC" w:rsidP="002A67CC">
      <w:pPr>
        <w:tabs>
          <w:tab w:val="left" w:pos="1701"/>
        </w:tabs>
        <w:spacing w:before="120" w:after="120"/>
        <w:ind w:left="851" w:right="760"/>
        <w:jc w:val="both"/>
        <w:rPr>
          <w:rFonts w:ascii="Palatino Linotype" w:eastAsia="Palatino Linotype" w:hAnsi="Palatino Linotype" w:cs="Palatino Linotype"/>
          <w:b/>
          <w:bCs/>
          <w:i/>
          <w:iCs/>
          <w:sz w:val="22"/>
          <w:szCs w:val="22"/>
        </w:rPr>
      </w:pPr>
      <w:r w:rsidRPr="00A57D42">
        <w:rPr>
          <w:rFonts w:ascii="Palatino Linotype" w:eastAsia="Palatino Linotype" w:hAnsi="Palatino Linotype" w:cs="Palatino Linotype"/>
          <w:b/>
          <w:bCs/>
          <w:i/>
          <w:iCs/>
          <w:sz w:val="22"/>
          <w:szCs w:val="22"/>
        </w:rPr>
        <w:t>V</w:t>
      </w:r>
      <w:r w:rsidRPr="00A57D42">
        <w:rPr>
          <w:rFonts w:ascii="Palatino Linotype" w:eastAsia="Palatino Linotype" w:hAnsi="Palatino Linotype" w:cs="Palatino Linotype"/>
          <w:i/>
          <w:iCs/>
          <w:sz w:val="22"/>
          <w:szCs w:val="22"/>
        </w:rPr>
        <w:t>. Deberán elegir y justificar la opción de excepción al derecho de acceso a la información que menos lo restrinja y que sea adecuada y proporcional para evitar el perjuicio al interés público, evitando siempre que sea posible la reserva absoluta de documentos o expedientes; y</w:t>
      </w:r>
      <w:r w:rsidRPr="00A57D42">
        <w:rPr>
          <w:rFonts w:ascii="Palatino Linotype" w:eastAsia="Palatino Linotype" w:hAnsi="Palatino Linotype" w:cs="Palatino Linotype"/>
          <w:b/>
          <w:bCs/>
          <w:i/>
          <w:iCs/>
          <w:sz w:val="22"/>
          <w:szCs w:val="22"/>
        </w:rPr>
        <w:t xml:space="preserve"> </w:t>
      </w:r>
    </w:p>
    <w:p w14:paraId="72C44189" w14:textId="77777777" w:rsidR="002A67CC" w:rsidRPr="00A57D42" w:rsidRDefault="002A67CC" w:rsidP="002A67CC">
      <w:pPr>
        <w:tabs>
          <w:tab w:val="left" w:pos="1701"/>
        </w:tabs>
        <w:spacing w:before="120" w:after="120"/>
        <w:ind w:left="851" w:right="760"/>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VI</w:t>
      </w:r>
      <w:r w:rsidRPr="00A57D42">
        <w:rPr>
          <w:rFonts w:ascii="Palatino Linotype" w:eastAsia="Palatino Linotype" w:hAnsi="Palatino Linotype" w:cs="Palatino Linotype"/>
          <w:i/>
          <w:iCs/>
          <w:sz w:val="22"/>
          <w:szCs w:val="22"/>
        </w:rPr>
        <w:t>. En los casos en que se determine la clasificación total de la información, se deberán especificar en la prueba de daño, con la mayor claridad y precisión posible, los aspectos relevantes de la información clasificada que ayuden a cumplir con el objetivo de brindar certeza al solicitante.”</w:t>
      </w:r>
    </w:p>
    <w:p w14:paraId="6E132498"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No justificó de forma fundada y motivada la restricción al Derecho de acceso a la información, toda vez que se limitó a referir que los oficios que pretendió clasificar son parte de expedientes en etapa de auditoría, investigación, sustanciación y resolución, sin acreditar el cumplimiento de los elementos que prevé el lineamiento Vigésimo cuarto de los Lineamientos Generales en materia de clasificación, a saber:</w:t>
      </w:r>
    </w:p>
    <w:p w14:paraId="6F6FD6EC" w14:textId="77777777" w:rsidR="002A67CC" w:rsidRPr="00A57D42" w:rsidRDefault="002A67CC" w:rsidP="002A67CC">
      <w:pPr>
        <w:spacing w:before="120" w:after="120"/>
        <w:ind w:left="851"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“Vigésimo cuarto</w:t>
      </w:r>
      <w:r w:rsidRPr="00A57D42">
        <w:rPr>
          <w:rFonts w:ascii="Palatino Linotype" w:eastAsia="Palatino Linotype" w:hAnsi="Palatino Linotype" w:cs="Palatino Linotype"/>
          <w:i/>
          <w:iCs/>
          <w:sz w:val="22"/>
          <w:szCs w:val="22"/>
        </w:rPr>
        <w:t>. De conformidad con el artículo 113, fracción VI de la Ley General, podrá considerarse como reservada, aquella información que obstruya las actividades de verificación, inspección y auditoría relativas al cumplimiento de las leyes, cuando se actualicen los siguientes elementos:</w:t>
      </w:r>
    </w:p>
    <w:p w14:paraId="309517BE" w14:textId="77777777" w:rsidR="002A67CC" w:rsidRPr="00A57D42" w:rsidRDefault="002A67CC" w:rsidP="002A67CC">
      <w:pPr>
        <w:spacing w:before="120" w:after="120"/>
        <w:ind w:left="851"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I.</w:t>
      </w:r>
      <w:r w:rsidRPr="00A57D42">
        <w:rPr>
          <w:rFonts w:ascii="Palatino Linotype" w:eastAsia="Palatino Linotype" w:hAnsi="Palatino Linotype" w:cs="Palatino Linotype"/>
          <w:i/>
          <w:iCs/>
          <w:sz w:val="22"/>
          <w:szCs w:val="22"/>
        </w:rPr>
        <w:t xml:space="preserve"> La existencia de un procedimiento de verificación del cumplimiento de las leyes; </w:t>
      </w:r>
    </w:p>
    <w:p w14:paraId="62BC9F2D" w14:textId="77777777" w:rsidR="002A67CC" w:rsidRPr="00A57D42" w:rsidRDefault="002A67CC" w:rsidP="002A67CC">
      <w:pPr>
        <w:spacing w:before="120" w:after="120"/>
        <w:ind w:left="851"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II</w:t>
      </w:r>
      <w:r w:rsidRPr="00A57D42">
        <w:rPr>
          <w:rFonts w:ascii="Palatino Linotype" w:eastAsia="Palatino Linotype" w:hAnsi="Palatino Linotype" w:cs="Palatino Linotype"/>
          <w:i/>
          <w:iCs/>
          <w:sz w:val="22"/>
          <w:szCs w:val="22"/>
        </w:rPr>
        <w:t xml:space="preserve">. Que el procedimiento se encuentre en trámite; </w:t>
      </w:r>
    </w:p>
    <w:p w14:paraId="7933624D" w14:textId="77777777" w:rsidR="002A67CC" w:rsidRPr="00A57D42" w:rsidRDefault="002A67CC" w:rsidP="002A67CC">
      <w:pPr>
        <w:spacing w:before="120" w:after="120"/>
        <w:ind w:left="851"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III</w:t>
      </w:r>
      <w:r w:rsidRPr="00A57D42">
        <w:rPr>
          <w:rFonts w:ascii="Palatino Linotype" w:eastAsia="Palatino Linotype" w:hAnsi="Palatino Linotype" w:cs="Palatino Linotype"/>
          <w:i/>
          <w:iCs/>
          <w:sz w:val="22"/>
          <w:szCs w:val="22"/>
        </w:rPr>
        <w:t xml:space="preserve">. La vinculación directa con las actividades que realiza la autoridad en el procedimiento de verificación del cumplimiento de las leyes, y </w:t>
      </w:r>
    </w:p>
    <w:p w14:paraId="434F25D3" w14:textId="77777777" w:rsidR="002A67CC" w:rsidRPr="00A57D42" w:rsidRDefault="002A67CC" w:rsidP="002A67CC">
      <w:pPr>
        <w:spacing w:before="120" w:after="120"/>
        <w:ind w:left="851" w:right="902"/>
        <w:jc w:val="both"/>
        <w:rPr>
          <w:rFonts w:ascii="Palatino Linotype" w:eastAsia="Palatino Linotype" w:hAnsi="Palatino Linotype" w:cs="Palatino Linotype"/>
          <w:i/>
          <w:iCs/>
          <w:sz w:val="22"/>
          <w:szCs w:val="22"/>
        </w:rPr>
      </w:pPr>
      <w:r w:rsidRPr="00A57D42">
        <w:rPr>
          <w:rFonts w:ascii="Palatino Linotype" w:eastAsia="Palatino Linotype" w:hAnsi="Palatino Linotype" w:cs="Palatino Linotype"/>
          <w:b/>
          <w:bCs/>
          <w:i/>
          <w:iCs/>
          <w:sz w:val="22"/>
          <w:szCs w:val="22"/>
        </w:rPr>
        <w:t>IV</w:t>
      </w:r>
      <w:r w:rsidRPr="00A57D42">
        <w:rPr>
          <w:rFonts w:ascii="Palatino Linotype" w:eastAsia="Palatino Linotype" w:hAnsi="Palatino Linotype" w:cs="Palatino Linotype"/>
          <w:i/>
          <w:iCs/>
          <w:sz w:val="22"/>
          <w:szCs w:val="22"/>
        </w:rPr>
        <w:t>. Que la difusión de la información impida u obstaculice las actividades de inspección, supervisión o vigilancia que realicen las autoridades en el procedimiento de verificación del cumplimiento de las leyes.”</w:t>
      </w:r>
    </w:p>
    <w:p w14:paraId="4E6AE140" w14:textId="0564C830"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este tenor, de ser el caso de existir auditorías en trámite el Sujeto Obligado </w:t>
      </w:r>
      <w:r w:rsidR="00C25C7A" w:rsidRPr="00A57D42">
        <w:rPr>
          <w:rFonts w:ascii="Palatino Linotype" w:eastAsia="Palatino Linotype" w:hAnsi="Palatino Linotype" w:cs="Palatino Linotype"/>
          <w:sz w:val="22"/>
          <w:szCs w:val="22"/>
        </w:rPr>
        <w:t xml:space="preserve">del uno de enero al veinte de junio de dos mil veinticinco, </w:t>
      </w:r>
      <w:r w:rsidRPr="00A57D42">
        <w:rPr>
          <w:rFonts w:ascii="Palatino Linotype" w:eastAsia="Palatino Linotype" w:hAnsi="Palatino Linotype" w:cs="Palatino Linotype"/>
          <w:sz w:val="22"/>
          <w:szCs w:val="22"/>
        </w:rPr>
        <w:t xml:space="preserve">deberá emitir el acuerdo de clasificación como información reservada. </w:t>
      </w:r>
    </w:p>
    <w:p w14:paraId="755026AB" w14:textId="77777777" w:rsidR="002A67CC" w:rsidRPr="00A57D42" w:rsidRDefault="002A67CC" w:rsidP="002A67CC">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de existir observaciones que se encuentren pendientes de solventar a la fecha de la solicitud o bien aquellas de las que derive algún procedimiento administrativo en trámite, el Sujeto Obligado deberá emitir el Acuerdo del Comité de Transparencia, donde clasifique de manera fundada y motivada estos soportes documentales, ello en términos de los artículos 49, fracciones II y VIII, 140 fracción VIII, así como 141 de la Ley de Transparencia y Acceso a la Información Pública del Estado de México y Municipios.</w:t>
      </w:r>
    </w:p>
    <w:p w14:paraId="04E2758B" w14:textId="3EB069F1" w:rsidR="00761007" w:rsidRPr="00A57D42" w:rsidRDefault="00C25C7A"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De los Titulares de las Unidades Administrativas.</w:t>
      </w:r>
    </w:p>
    <w:p w14:paraId="1EE866D5" w14:textId="5B06D307" w:rsidR="002A67CC" w:rsidRPr="00A57D42" w:rsidRDefault="00536523"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Sobre este requerimiento, el particular solicitó lo siguiente:</w:t>
      </w:r>
    </w:p>
    <w:p w14:paraId="6F9F6C90" w14:textId="108AF111" w:rsidR="00536523" w:rsidRPr="00A57D42" w:rsidRDefault="00536523" w:rsidP="008414EE">
      <w:pPr>
        <w:pStyle w:val="Prrafodelista"/>
        <w:numPr>
          <w:ilvl w:val="0"/>
          <w:numId w:val="19"/>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Relación de nombramientos, nombre completo y fecha de nombramiento;</w:t>
      </w:r>
    </w:p>
    <w:p w14:paraId="59AA9411" w14:textId="788BB71D" w:rsidR="00536523" w:rsidRPr="00A57D42" w:rsidRDefault="00536523" w:rsidP="008414EE">
      <w:pPr>
        <w:pStyle w:val="Prrafodelista"/>
        <w:numPr>
          <w:ilvl w:val="0"/>
          <w:numId w:val="19"/>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Perfil profesional, experiencia y certificaciones exigidas por Ley;</w:t>
      </w:r>
    </w:p>
    <w:p w14:paraId="22FCC6DA" w14:textId="18974FC2" w:rsidR="00536523" w:rsidRPr="00A57D42" w:rsidRDefault="00536523" w:rsidP="008414EE">
      <w:pPr>
        <w:pStyle w:val="Prrafodelista"/>
        <w:numPr>
          <w:ilvl w:val="0"/>
          <w:numId w:val="19"/>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Justificación y documentos que acrediten que los titulares cumplen los requisitos de experiencia y certificación;</w:t>
      </w:r>
    </w:p>
    <w:p w14:paraId="5C26EF51" w14:textId="722BA4F7" w:rsidR="00536523" w:rsidRPr="00A57D42" w:rsidRDefault="00536523" w:rsidP="008414EE">
      <w:pPr>
        <w:pStyle w:val="Prrafodelista"/>
        <w:numPr>
          <w:ilvl w:val="0"/>
          <w:numId w:val="19"/>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Nombramientos realizados sin que los titulares acrediten experiencia ni certificaciones.</w:t>
      </w:r>
    </w:p>
    <w:p w14:paraId="0BC43B0A" w14:textId="2FAC77A9" w:rsidR="00080DA6" w:rsidRPr="00A57D42" w:rsidRDefault="00536523"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El Sujeto Ob</w:t>
      </w:r>
      <w:r w:rsidR="00080DA6" w:rsidRPr="00A57D42">
        <w:rPr>
          <w:rFonts w:ascii="Palatino Linotype" w:eastAsia="Palatino Linotype" w:hAnsi="Palatino Linotype" w:cs="Palatino Linotype"/>
          <w:sz w:val="22"/>
          <w:szCs w:val="22"/>
        </w:rPr>
        <w:t>ligado entregó las actas de cabildo donde constan las designaciones de los Titulares de las Unidades Administrativas, en otras palabras, es la relación de nombramientos, que contiene el nombre y la fecha del nombramiento; se inserta imagen de referencia:</w:t>
      </w:r>
    </w:p>
    <w:p w14:paraId="2D69D277" w14:textId="2C872610" w:rsidR="00080DA6" w:rsidRPr="00A57D42" w:rsidRDefault="00080DA6" w:rsidP="0017246D">
      <w:pPr>
        <w:spacing w:after="240" w:line="360" w:lineRule="auto"/>
        <w:jc w:val="center"/>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57CC06E8" wp14:editId="51051F6E">
            <wp:extent cx="3823051" cy="582069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84748" cy="5914632"/>
                    </a:xfrm>
                    <a:prstGeom prst="rect">
                      <a:avLst/>
                    </a:prstGeom>
                  </pic:spPr>
                </pic:pic>
              </a:graphicData>
            </a:graphic>
          </wp:inline>
        </w:drawing>
      </w:r>
    </w:p>
    <w:p w14:paraId="0219A8B5" w14:textId="09C9B52B" w:rsidR="00080DA6" w:rsidRPr="00A57D42" w:rsidRDefault="00080DA6"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Lo cual se ratifica con el recuadro presentado por la Oficialía Mayor, el cual contiene el nombre, unidad administrativa, fecha de nombramiento, perfil profesional y certificación; se inserta imagen de referencia:</w:t>
      </w:r>
    </w:p>
    <w:p w14:paraId="1A37D9A9" w14:textId="45540B18" w:rsidR="00080DA6" w:rsidRPr="00A57D42" w:rsidRDefault="00080DA6"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noProof/>
          <w:sz w:val="22"/>
          <w:szCs w:val="22"/>
        </w:rPr>
        <w:drawing>
          <wp:inline distT="0" distB="0" distL="0" distR="0" wp14:anchorId="443A802B" wp14:editId="459F9A66">
            <wp:extent cx="5756275" cy="451421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275" cy="4514215"/>
                    </a:xfrm>
                    <a:prstGeom prst="rect">
                      <a:avLst/>
                    </a:prstGeom>
                  </pic:spPr>
                </pic:pic>
              </a:graphicData>
            </a:graphic>
          </wp:inline>
        </w:drawing>
      </w:r>
    </w:p>
    <w:p w14:paraId="6BA5F438" w14:textId="4DC1B08B" w:rsidR="00080DA6" w:rsidRPr="00A57D42" w:rsidRDefault="00080DA6"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 así que, con la información proporcionada por el Sujeto Obligado se colma lo relativo a:</w:t>
      </w:r>
    </w:p>
    <w:p w14:paraId="1A9EAE73" w14:textId="2B1574F2" w:rsidR="00080DA6" w:rsidRPr="00A57D42" w:rsidRDefault="00080DA6" w:rsidP="008414EE">
      <w:pPr>
        <w:pStyle w:val="Prrafodelista"/>
        <w:numPr>
          <w:ilvl w:val="0"/>
          <w:numId w:val="20"/>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Relación de nombramientos;</w:t>
      </w:r>
    </w:p>
    <w:p w14:paraId="7134311E" w14:textId="4C99D927" w:rsidR="00080DA6" w:rsidRPr="00A57D42" w:rsidRDefault="00080DA6" w:rsidP="008414EE">
      <w:pPr>
        <w:pStyle w:val="Prrafodelista"/>
        <w:numPr>
          <w:ilvl w:val="0"/>
          <w:numId w:val="20"/>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Nombre del Titular;</w:t>
      </w:r>
      <w:r w:rsidR="005C0DE2" w:rsidRPr="00A57D42">
        <w:rPr>
          <w:rFonts w:ascii="Palatino Linotype" w:eastAsia="Palatino Linotype" w:hAnsi="Palatino Linotype" w:cs="Palatino Linotype"/>
          <w:sz w:val="22"/>
          <w:szCs w:val="22"/>
        </w:rPr>
        <w:t xml:space="preserve"> </w:t>
      </w:r>
    </w:p>
    <w:p w14:paraId="774F3696" w14:textId="5669F522" w:rsidR="00080DA6" w:rsidRPr="00A57D42" w:rsidRDefault="00080DA6" w:rsidP="008414EE">
      <w:pPr>
        <w:pStyle w:val="Prrafodelista"/>
        <w:numPr>
          <w:ilvl w:val="0"/>
          <w:numId w:val="20"/>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Fecha del nombramiento</w:t>
      </w:r>
      <w:r w:rsidR="005C0DE2" w:rsidRPr="00A57D42">
        <w:rPr>
          <w:rFonts w:ascii="Palatino Linotype" w:eastAsia="Palatino Linotype" w:hAnsi="Palatino Linotype" w:cs="Palatino Linotype"/>
          <w:sz w:val="22"/>
          <w:szCs w:val="22"/>
        </w:rPr>
        <w:t>;</w:t>
      </w:r>
    </w:p>
    <w:p w14:paraId="39EDEC73" w14:textId="76612AD0" w:rsidR="005C0DE2" w:rsidRPr="00A57D42" w:rsidRDefault="005C0DE2" w:rsidP="008414EE">
      <w:pPr>
        <w:pStyle w:val="Prrafodelista"/>
        <w:numPr>
          <w:ilvl w:val="0"/>
          <w:numId w:val="20"/>
        </w:num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Perfil profesional.</w:t>
      </w:r>
    </w:p>
    <w:p w14:paraId="1271442C" w14:textId="56A9D72B" w:rsidR="0017246D" w:rsidRPr="00A57D42" w:rsidRDefault="006F15AA" w:rsidP="00F45A48">
      <w:pPr>
        <w:spacing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Ahora bien, el Sujeto Obligado fue omiso en pronunciarse respecto a los nombramientos realizados a titulares de área que no hayan acreditado experiencia ni certificaciones exigidas por la normatividad</w:t>
      </w:r>
      <w:r w:rsidR="0017246D" w:rsidRPr="00A57D42">
        <w:rPr>
          <w:rFonts w:ascii="Palatino Linotype" w:eastAsia="Palatino Linotype" w:hAnsi="Palatino Linotype" w:cs="Palatino Linotype"/>
          <w:sz w:val="22"/>
          <w:szCs w:val="22"/>
        </w:rPr>
        <w:t xml:space="preserve">; sin embargo, es de mencionar que los Sujetos Obligados en términos del artículo 12 de la Ley de Transparencia y Acceso a la información Pública del Estado de México y Municipios estan obligados a proporcionar la información que generen, administren y posean, que obre en sus archivos en el estado que se encuentra. En consecuencia, se la lectura al requerimiento del particular, se advierte que no hay disposición normativa de generar, administar y poseer la información en los términos requeridos. </w:t>
      </w:r>
    </w:p>
    <w:p w14:paraId="350881F1" w14:textId="77777777" w:rsidR="0017246D" w:rsidRPr="00A57D42" w:rsidRDefault="0017246D" w:rsidP="0017246D">
      <w:pPr>
        <w:spacing w:line="360" w:lineRule="auto"/>
        <w:ind w:right="-93"/>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Sirve de apoyo a lo anterior, el criterio orientador 03-17, expuesto por el entonces Instituto Nacional de Transparencia, Acceso a la Información y Protección de Datos Personales, que dice:</w:t>
      </w:r>
      <w:r w:rsidRPr="00A57D42">
        <w:rPr>
          <w:rFonts w:ascii="Palatino Linotype" w:eastAsia="Palatino Linotype" w:hAnsi="Palatino Linotype" w:cs="Palatino Linotype"/>
          <w:b/>
          <w:sz w:val="22"/>
          <w:szCs w:val="22"/>
        </w:rPr>
        <w:t xml:space="preserve"> </w:t>
      </w:r>
    </w:p>
    <w:p w14:paraId="226DC555" w14:textId="77777777" w:rsidR="0017246D" w:rsidRPr="00A57D42" w:rsidRDefault="0017246D" w:rsidP="0017246D">
      <w:pPr>
        <w:spacing w:line="360" w:lineRule="auto"/>
        <w:jc w:val="both"/>
        <w:rPr>
          <w:rFonts w:ascii="Palatino Linotype" w:eastAsia="Palatino Linotype" w:hAnsi="Palatino Linotype" w:cs="Palatino Linotype"/>
          <w:b/>
          <w:sz w:val="22"/>
          <w:szCs w:val="22"/>
        </w:rPr>
      </w:pPr>
    </w:p>
    <w:p w14:paraId="68380BFE" w14:textId="77777777" w:rsidR="0017246D" w:rsidRPr="00A57D42" w:rsidRDefault="0017246D" w:rsidP="0017246D">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No existe obligación de elaborar documentos ad hoc para atender las solicitudes de acceso a la información.</w:t>
      </w:r>
      <w:r w:rsidRPr="00A57D42">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 </w:t>
      </w:r>
    </w:p>
    <w:p w14:paraId="4930FF5E" w14:textId="77777777" w:rsidR="0017246D" w:rsidRPr="00A57D42" w:rsidRDefault="0017246D" w:rsidP="0017246D">
      <w:pPr>
        <w:spacing w:line="360" w:lineRule="auto"/>
        <w:ind w:right="-93"/>
        <w:jc w:val="both"/>
        <w:rPr>
          <w:rFonts w:ascii="Palatino Linotype" w:eastAsia="Palatino Linotype" w:hAnsi="Palatino Linotype" w:cs="Palatino Linotype"/>
          <w:sz w:val="22"/>
          <w:szCs w:val="22"/>
        </w:rPr>
      </w:pPr>
    </w:p>
    <w:p w14:paraId="3D601D77" w14:textId="30DFE03E" w:rsidR="0017246D" w:rsidRPr="00A57D42" w:rsidRDefault="0017246D" w:rsidP="0017246D">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En esa tesitura, el artículo 24 en su último párrafo de la Ley de la Materia, dispone que los Sujetos Obligados sólo proporcionarán la información pública que generen, administren o posean en el ejercicio de sus atribuciones; en sentido contrario</w:t>
      </w:r>
      <w:r w:rsidR="00722F22" w:rsidRPr="00A57D42">
        <w:rPr>
          <w:rFonts w:ascii="Palatino Linotype" w:eastAsia="Palatino Linotype" w:hAnsi="Palatino Linotype" w:cs="Palatino Linotype"/>
          <w:sz w:val="22"/>
          <w:szCs w:val="22"/>
        </w:rPr>
        <w:t xml:space="preserve">, no estan obligados a proporcionar información que no obre en sus archivos. </w:t>
      </w:r>
    </w:p>
    <w:p w14:paraId="02E41E20" w14:textId="77777777" w:rsidR="00722F22" w:rsidRPr="00A57D42" w:rsidRDefault="00722F22" w:rsidP="0017246D">
      <w:pPr>
        <w:spacing w:line="360" w:lineRule="auto"/>
        <w:jc w:val="both"/>
        <w:rPr>
          <w:rFonts w:ascii="Palatino Linotype" w:eastAsia="Palatino Linotype" w:hAnsi="Palatino Linotype" w:cs="Palatino Linotype"/>
          <w:sz w:val="22"/>
          <w:szCs w:val="22"/>
        </w:rPr>
      </w:pPr>
    </w:p>
    <w:p w14:paraId="1B987BD6" w14:textId="41C08F78" w:rsidR="00722F22" w:rsidRPr="00A57D42" w:rsidRDefault="00722F22" w:rsidP="0017246D">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Por lo anteriormente referido, es de mencionar que la infromación que requiere el particular no es generada, administrada o poseída por el Sujeto Obligado por lo que no es materia de acceso a la información pública, por ende es inatendible por esta vía. </w:t>
      </w:r>
    </w:p>
    <w:p w14:paraId="68AD0EA3" w14:textId="77777777" w:rsidR="006E4876" w:rsidRPr="00A57D42" w:rsidRDefault="006E4876" w:rsidP="0017246D">
      <w:pPr>
        <w:spacing w:line="360" w:lineRule="auto"/>
        <w:jc w:val="both"/>
        <w:rPr>
          <w:rFonts w:ascii="Palatino Linotype" w:eastAsia="Palatino Linotype" w:hAnsi="Palatino Linotype" w:cs="Palatino Linotype"/>
          <w:sz w:val="22"/>
          <w:szCs w:val="22"/>
        </w:rPr>
      </w:pPr>
    </w:p>
    <w:p w14:paraId="6B500F15" w14:textId="0C4B31DC" w:rsidR="006E4876" w:rsidRPr="00A57D42" w:rsidRDefault="006E4876" w:rsidP="0017246D">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Sin embargo, a efectos de garantizar el derecho de acceso a la información pública del Recurrente, se dejan a salvo sus derechos para solicitar nueva información de su interés. </w:t>
      </w:r>
    </w:p>
    <w:p w14:paraId="499EBC43" w14:textId="77777777" w:rsidR="0017246D" w:rsidRPr="00A57D42" w:rsidRDefault="0017246D" w:rsidP="0017246D">
      <w:pPr>
        <w:spacing w:line="360" w:lineRule="auto"/>
        <w:jc w:val="both"/>
        <w:rPr>
          <w:rFonts w:ascii="Palatino Linotype" w:eastAsia="Palatino Linotype" w:hAnsi="Palatino Linotype" w:cs="Palatino Linotype"/>
          <w:sz w:val="22"/>
          <w:szCs w:val="22"/>
        </w:rPr>
      </w:pPr>
    </w:p>
    <w:p w14:paraId="647D2E60" w14:textId="01F1F03D" w:rsidR="006317DA" w:rsidRPr="00A57D42" w:rsidRDefault="00536523" w:rsidP="00F45A48">
      <w:pPr>
        <w:spacing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Certificaciones.</w:t>
      </w:r>
    </w:p>
    <w:p w14:paraId="014790B0" w14:textId="141C9340" w:rsidR="00016665" w:rsidRPr="00A57D42" w:rsidRDefault="00E86D14" w:rsidP="00016665">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Respecto a este requerimiento, es necesario traer a contexto </w:t>
      </w:r>
      <w:r w:rsidR="00016665" w:rsidRPr="00A57D42">
        <w:rPr>
          <w:rFonts w:ascii="Palatino Linotype" w:eastAsia="Palatino Linotype" w:hAnsi="Palatino Linotype" w:cs="Palatino Linotype"/>
          <w:sz w:val="22"/>
          <w:szCs w:val="22"/>
        </w:rPr>
        <w:t xml:space="preserve">el artículo 32 de la Ley Orgánica Municipal del Estado de México, para ocupar ciertas titularidades dentro de la administración pública municipal, es necesario contar con una serie de requisitos, entre los cuales son los siguientes: </w:t>
      </w:r>
    </w:p>
    <w:p w14:paraId="31865F25" w14:textId="77777777" w:rsidR="00016665" w:rsidRPr="00A57D42" w:rsidRDefault="00016665" w:rsidP="00016665">
      <w:pPr>
        <w:spacing w:line="360" w:lineRule="auto"/>
        <w:jc w:val="both"/>
        <w:rPr>
          <w:rFonts w:ascii="Palatino Linotype" w:eastAsia="Palatino Linotype" w:hAnsi="Palatino Linotype" w:cs="Palatino Linotype"/>
          <w:sz w:val="22"/>
          <w:szCs w:val="22"/>
        </w:rPr>
      </w:pPr>
    </w:p>
    <w:p w14:paraId="0AFCD28E"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b/>
          <w:i/>
          <w:sz w:val="22"/>
          <w:szCs w:val="22"/>
        </w:rPr>
        <w:t>Artículo 32.</w:t>
      </w:r>
      <w:r w:rsidRPr="00A57D42">
        <w:rPr>
          <w:rFonts w:ascii="Palatino Linotype" w:eastAsia="Palatino Linotype" w:hAnsi="Palatino Linotype" w:cs="Palatino Linotype"/>
          <w:i/>
          <w:sz w:val="22"/>
          <w:szCs w:val="22"/>
        </w:rPr>
        <w:t xml:space="preserve"> </w:t>
      </w:r>
      <w:r w:rsidRPr="00A57D42">
        <w:rPr>
          <w:rFonts w:ascii="Palatino Linotype" w:eastAsia="Palatino Linotype" w:hAnsi="Palatino Linotype" w:cs="Palatino Linotype"/>
          <w:bCs/>
          <w:i/>
          <w:sz w:val="22"/>
          <w:szCs w:val="22"/>
        </w:rPr>
        <w:t xml:space="preserve">Para ocupar las titularidades de la </w:t>
      </w:r>
      <w:r w:rsidRPr="00A57D42">
        <w:rPr>
          <w:rFonts w:ascii="Palatino Linotype" w:eastAsia="Palatino Linotype" w:hAnsi="Palatino Linotype" w:cs="Palatino Linotype"/>
          <w:b/>
          <w:bCs/>
          <w:i/>
          <w:sz w:val="22"/>
          <w:szCs w:val="22"/>
          <w:u w:val="single"/>
        </w:rPr>
        <w:t>Secretaría</w:t>
      </w:r>
      <w:r w:rsidRPr="00A57D42">
        <w:rPr>
          <w:rFonts w:ascii="Palatino Linotype" w:eastAsia="Palatino Linotype" w:hAnsi="Palatino Linotype" w:cs="Palatino Linotype"/>
          <w:bCs/>
          <w:i/>
          <w:sz w:val="22"/>
          <w:szCs w:val="22"/>
        </w:rPr>
        <w:t>, la Tesorería, la Dirección de Obras Públicas, de Desarrollo Económico, de Turismo, de Ecología, de Desarrollo Urbano, de Desarrollo Social, de las Mujeres, de la Coordinación General Municipal de Mejora Regulatoria, de la Coordinación Municipal de Protección Civil, de las unidades administrativas y de los organismos auxiliares, se deberán satisfacer los siguientes requisitos:</w:t>
      </w:r>
    </w:p>
    <w:p w14:paraId="202654D6" w14:textId="77777777" w:rsidR="00016665" w:rsidRPr="00A57D42" w:rsidRDefault="00016665" w:rsidP="00016665">
      <w:pPr>
        <w:ind w:left="567" w:right="559" w:firstLine="708"/>
        <w:contextualSpacing/>
        <w:jc w:val="both"/>
        <w:rPr>
          <w:rFonts w:ascii="Palatino Linotype" w:eastAsia="Palatino Linotype" w:hAnsi="Palatino Linotype" w:cs="Palatino Linotype"/>
          <w:bCs/>
          <w:i/>
          <w:sz w:val="22"/>
          <w:szCs w:val="22"/>
        </w:rPr>
      </w:pPr>
    </w:p>
    <w:p w14:paraId="79915D42"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b/>
          <w:i/>
          <w:sz w:val="22"/>
          <w:szCs w:val="22"/>
        </w:rPr>
        <w:t>I.</w:t>
      </w:r>
      <w:r w:rsidRPr="00A57D42">
        <w:rPr>
          <w:rFonts w:ascii="Palatino Linotype" w:eastAsia="Palatino Linotype" w:hAnsi="Palatino Linotype" w:cs="Palatino Linotype"/>
          <w:bCs/>
          <w:i/>
          <w:sz w:val="22"/>
          <w:szCs w:val="22"/>
        </w:rPr>
        <w:t xml:space="preserve"> Ser persona ciudadana del Estado, en pleno uso de sus derechos;</w:t>
      </w:r>
    </w:p>
    <w:p w14:paraId="58B3A86B"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b/>
          <w:i/>
          <w:sz w:val="22"/>
          <w:szCs w:val="22"/>
        </w:rPr>
        <w:t>II.</w:t>
      </w:r>
      <w:r w:rsidRPr="00A57D42">
        <w:rPr>
          <w:rFonts w:ascii="Palatino Linotype" w:eastAsia="Palatino Linotype" w:hAnsi="Palatino Linotype" w:cs="Palatino Linotype"/>
          <w:bCs/>
          <w:i/>
          <w:sz w:val="22"/>
          <w:szCs w:val="22"/>
        </w:rPr>
        <w:t xml:space="preserve"> No estar inhabilitada o inhabilitado para desempeñar cargo, empleo, o comisión pública;</w:t>
      </w:r>
    </w:p>
    <w:p w14:paraId="7F5107A1" w14:textId="77777777" w:rsidR="00016665" w:rsidRPr="00A57D42" w:rsidRDefault="00016665" w:rsidP="00016665">
      <w:pPr>
        <w:ind w:left="567" w:right="559"/>
        <w:contextualSpacing/>
        <w:jc w:val="both"/>
        <w:rPr>
          <w:rFonts w:ascii="Palatino Linotype" w:eastAsia="Palatino Linotype" w:hAnsi="Palatino Linotype" w:cs="Palatino Linotype"/>
          <w:b/>
          <w:bCs/>
          <w:i/>
          <w:sz w:val="22"/>
          <w:szCs w:val="22"/>
          <w:u w:val="single"/>
        </w:rPr>
      </w:pPr>
      <w:r w:rsidRPr="00A57D42">
        <w:rPr>
          <w:rFonts w:ascii="Palatino Linotype" w:eastAsia="Palatino Linotype" w:hAnsi="Palatino Linotype" w:cs="Palatino Linotype"/>
          <w:b/>
          <w:i/>
          <w:sz w:val="22"/>
          <w:szCs w:val="22"/>
          <w:u w:val="single"/>
        </w:rPr>
        <w:t>III.</w:t>
      </w:r>
      <w:r w:rsidRPr="00A57D42">
        <w:rPr>
          <w:rFonts w:ascii="Palatino Linotype" w:eastAsia="Palatino Linotype" w:hAnsi="Palatino Linotype" w:cs="Palatino Linotype"/>
          <w:b/>
          <w:bCs/>
          <w:i/>
          <w:sz w:val="22"/>
          <w:szCs w:val="22"/>
          <w:u w:val="single"/>
        </w:rPr>
        <w:t xml:space="preserve"> Contar con título profesional o acreditar experiencia mínima de un año en la materia, ante la o el Presidente o el Ayuntamiento, cuando sea el caso, para el desempeño de los cargos que así lo requieran;</w:t>
      </w:r>
    </w:p>
    <w:p w14:paraId="629EA7DE"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i/>
          <w:sz w:val="22"/>
          <w:szCs w:val="22"/>
        </w:rPr>
        <w:t>IV.</w:t>
      </w:r>
      <w:r w:rsidRPr="00A57D42">
        <w:rPr>
          <w:rFonts w:ascii="Palatino Linotype" w:eastAsia="Palatino Linotype" w:hAnsi="Palatino Linotype" w:cs="Palatino Linotype"/>
          <w:bCs/>
          <w:i/>
          <w:sz w:val="22"/>
          <w:szCs w:val="22"/>
        </w:rPr>
        <w:t xml:space="preserve"> Contar con certificación de competencia laboral en la materia del cargo que se desempeñará, expedida por institución con reconocimiento de validez oficial. Este requisito deberá acreditarse dentro de los seis meses siguientes a la fecha en que inicien sus funciones;</w:t>
      </w:r>
    </w:p>
    <w:p w14:paraId="7B9ADD91"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b/>
          <w:i/>
          <w:sz w:val="22"/>
          <w:szCs w:val="22"/>
        </w:rPr>
        <w:t>V.</w:t>
      </w:r>
      <w:r w:rsidRPr="00A57D42">
        <w:rPr>
          <w:rFonts w:ascii="Palatino Linotype" w:eastAsia="Palatino Linotype" w:hAnsi="Palatino Linotype" w:cs="Palatino Linotype"/>
          <w:bCs/>
          <w:i/>
          <w:sz w:val="22"/>
          <w:szCs w:val="22"/>
        </w:rPr>
        <w:t xml:space="preserve"> No estar condenada o condenado por sentencia ejecutoriada por el delito de violencia política contra las mujeres en razón de género; </w:t>
      </w:r>
    </w:p>
    <w:p w14:paraId="7F32EF6B"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b/>
          <w:i/>
          <w:sz w:val="22"/>
          <w:szCs w:val="22"/>
        </w:rPr>
        <w:t>VI.</w:t>
      </w:r>
      <w:r w:rsidRPr="00A57D42">
        <w:rPr>
          <w:rFonts w:ascii="Palatino Linotype" w:eastAsia="Palatino Linotype" w:hAnsi="Palatino Linotype" w:cs="Palatino Linotype"/>
          <w:bCs/>
          <w:i/>
          <w:sz w:val="22"/>
          <w:szCs w:val="22"/>
        </w:rPr>
        <w:t xml:space="preserve"> No estar inscrito en el Registro de Deudores Alimentarios Morosos en el Estado, ni en otra entidad federativa, y</w:t>
      </w:r>
    </w:p>
    <w:p w14:paraId="6017E3DD" w14:textId="77777777" w:rsidR="00016665" w:rsidRPr="00A57D42" w:rsidRDefault="00016665" w:rsidP="00016665">
      <w:pPr>
        <w:ind w:left="567" w:right="559"/>
        <w:contextualSpacing/>
        <w:jc w:val="both"/>
        <w:rPr>
          <w:rFonts w:ascii="Palatino Linotype" w:eastAsia="Palatino Linotype" w:hAnsi="Palatino Linotype" w:cs="Palatino Linotype"/>
          <w:bCs/>
          <w:i/>
          <w:sz w:val="22"/>
          <w:szCs w:val="22"/>
        </w:rPr>
      </w:pPr>
      <w:r w:rsidRPr="00A57D42">
        <w:rPr>
          <w:rFonts w:ascii="Palatino Linotype" w:eastAsia="Palatino Linotype" w:hAnsi="Palatino Linotype" w:cs="Palatino Linotype"/>
          <w:b/>
          <w:i/>
          <w:sz w:val="22"/>
          <w:szCs w:val="22"/>
        </w:rPr>
        <w:t>VII.</w:t>
      </w:r>
      <w:r w:rsidRPr="00A57D42">
        <w:rPr>
          <w:rFonts w:ascii="Palatino Linotype" w:eastAsia="Palatino Linotype" w:hAnsi="Palatino Linotype" w:cs="Palatino Linotype"/>
          <w:bCs/>
          <w:i/>
          <w:sz w:val="22"/>
          <w:szCs w:val="22"/>
        </w:rPr>
        <w:t xml:space="preserve"> No estar condenada o condenado por sentencia ejecutoriada por delitos de violencia familiar, contra la libertad sexual o de violencia de género.</w:t>
      </w:r>
    </w:p>
    <w:p w14:paraId="0F8D8934" w14:textId="77777777" w:rsidR="00016665" w:rsidRPr="00A57D42" w:rsidRDefault="00016665" w:rsidP="00016665">
      <w:pPr>
        <w:ind w:left="567" w:right="559"/>
        <w:contextualSpacing/>
        <w:jc w:val="both"/>
        <w:rPr>
          <w:rFonts w:ascii="Palatino Linotype" w:eastAsia="Palatino Linotype" w:hAnsi="Palatino Linotype" w:cs="Palatino Linotype"/>
          <w:i/>
          <w:sz w:val="22"/>
          <w:szCs w:val="22"/>
          <w:lang w:val="es-ES_tradnl"/>
        </w:rPr>
      </w:pPr>
      <w:r w:rsidRPr="00A57D42">
        <w:rPr>
          <w:rFonts w:ascii="Palatino Linotype" w:eastAsia="Palatino Linotype" w:hAnsi="Palatino Linotype" w:cs="Palatino Linotype"/>
          <w:bCs/>
          <w:i/>
          <w:sz w:val="22"/>
          <w:szCs w:val="22"/>
        </w:rPr>
        <w:t>Vencido el plazo a que se refiere la fracción IV, la o el Presidente Municipal informará al Cabildo sobre el cumplimiento de dicha certificación laboral para que, en su caso, el Ayuntamiento tome las medidas correspondientes respecto de aquellos servidores públicos que no hubiesen cumplido.</w:t>
      </w:r>
    </w:p>
    <w:p w14:paraId="43D5434B" w14:textId="77777777" w:rsidR="00016665" w:rsidRPr="00A57D42" w:rsidRDefault="00016665" w:rsidP="00016665">
      <w:pPr>
        <w:tabs>
          <w:tab w:val="left" w:pos="1530"/>
        </w:tabs>
        <w:spacing w:line="360" w:lineRule="auto"/>
        <w:ind w:right="49"/>
        <w:jc w:val="both"/>
        <w:rPr>
          <w:rFonts w:ascii="Palatino Linotype" w:eastAsia="Palatino Linotype" w:hAnsi="Palatino Linotype" w:cs="Palatino Linotype"/>
          <w:b/>
          <w:sz w:val="22"/>
          <w:szCs w:val="22"/>
        </w:rPr>
      </w:pPr>
    </w:p>
    <w:p w14:paraId="67835EF3" w14:textId="55384D99" w:rsidR="00016665" w:rsidRPr="00A57D42" w:rsidRDefault="00016665" w:rsidP="00016665">
      <w:p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les de mencionar que la Ley Orgánica, la Ley que crea los Organismos Descentralizados Sistemas Municipales DIF, la Ley de Seguridad, la Ley de Planeación, así como la Ley de Transparencia y Acceso a la Información Pública, todos correspondientes a esta Entidad, establecen en sus cuerpos normativos los requisitos puntuales para determinados car</w:t>
      </w:r>
      <w:r w:rsidR="004A4B50" w:rsidRPr="00A57D42">
        <w:rPr>
          <w:rFonts w:ascii="Palatino Linotype" w:eastAsia="Palatino Linotype" w:hAnsi="Palatino Linotype" w:cs="Palatino Linotype"/>
          <w:sz w:val="22"/>
          <w:szCs w:val="22"/>
        </w:rPr>
        <w:t xml:space="preserve">gos. </w:t>
      </w:r>
    </w:p>
    <w:p w14:paraId="6C05D0E8" w14:textId="77777777" w:rsidR="004A4B50" w:rsidRPr="00A57D42" w:rsidRDefault="004A4B50" w:rsidP="00016665">
      <w:pPr>
        <w:tabs>
          <w:tab w:val="left" w:pos="1530"/>
        </w:tabs>
        <w:spacing w:line="360" w:lineRule="auto"/>
        <w:ind w:right="49"/>
        <w:jc w:val="both"/>
        <w:rPr>
          <w:rFonts w:ascii="Palatino Linotype" w:eastAsia="Palatino Linotype" w:hAnsi="Palatino Linotype" w:cs="Palatino Linotype"/>
          <w:sz w:val="22"/>
          <w:szCs w:val="22"/>
        </w:rPr>
      </w:pPr>
    </w:p>
    <w:p w14:paraId="362C3B75" w14:textId="3A90CAF1" w:rsidR="004A4B50" w:rsidRPr="00A57D42" w:rsidRDefault="004A4B50" w:rsidP="00016665">
      <w:p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ese orden de ideas, el Sujeto Obligado en cumplimiento al mandato constitucional del derecho de acceso a la información pública remitió un total de </w:t>
      </w:r>
      <w:r w:rsidR="00D83273" w:rsidRPr="00A57D42">
        <w:rPr>
          <w:rFonts w:ascii="Palatino Linotype" w:eastAsia="Palatino Linotype" w:hAnsi="Palatino Linotype" w:cs="Palatino Linotype"/>
          <w:sz w:val="22"/>
          <w:szCs w:val="22"/>
        </w:rPr>
        <w:t>catorce certificaciones de servidores públicos; las cuales corresponden los siguientes cargos:</w:t>
      </w:r>
    </w:p>
    <w:p w14:paraId="5FC64B9A" w14:textId="77777777" w:rsidR="00D83273" w:rsidRPr="00A57D42" w:rsidRDefault="00D83273" w:rsidP="00016665">
      <w:pPr>
        <w:tabs>
          <w:tab w:val="left" w:pos="1530"/>
        </w:tabs>
        <w:spacing w:line="360" w:lineRule="auto"/>
        <w:ind w:right="49"/>
        <w:jc w:val="both"/>
        <w:rPr>
          <w:rFonts w:ascii="Palatino Linotype" w:eastAsia="Palatino Linotype" w:hAnsi="Palatino Linotype" w:cs="Palatino Linotype"/>
          <w:sz w:val="22"/>
          <w:szCs w:val="22"/>
        </w:rPr>
      </w:pPr>
    </w:p>
    <w:p w14:paraId="554F3ACC" w14:textId="061BF996"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Oficial de Registro Civil; </w:t>
      </w:r>
    </w:p>
    <w:p w14:paraId="7A429C72" w14:textId="3478FC3A"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Defensor de Derechos Humanos;</w:t>
      </w:r>
    </w:p>
    <w:p w14:paraId="20710F58" w14:textId="062F5E1F"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Protección Civil; </w:t>
      </w:r>
    </w:p>
    <w:p w14:paraId="623A6D47" w14:textId="06EB57EE"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Tesorería Municipal;</w:t>
      </w:r>
    </w:p>
    <w:p w14:paraId="0D990454" w14:textId="19459EA5"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Secretaría del Ayuntamiento;</w:t>
      </w:r>
    </w:p>
    <w:p w14:paraId="1EE3DBF6" w14:textId="345159B2"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Dirección del Bienestar;</w:t>
      </w:r>
    </w:p>
    <w:p w14:paraId="2FEAC16E" w14:textId="18335678"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Oficialía Mayor;</w:t>
      </w:r>
    </w:p>
    <w:p w14:paraId="0488F970" w14:textId="763165A3"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Director de Desarrollo Urbano y Obras;</w:t>
      </w:r>
    </w:p>
    <w:p w14:paraId="601512F4" w14:textId="0D5B1D1D"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Director de Desarrollo Económico;</w:t>
      </w:r>
    </w:p>
    <w:p w14:paraId="7B78ACD6" w14:textId="0BFEF3E3"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Desarrollo Urbano;</w:t>
      </w:r>
    </w:p>
    <w:p w14:paraId="1CA9FF35" w14:textId="6AA4EA2F"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Director de Servicios Públicos;</w:t>
      </w:r>
    </w:p>
    <w:p w14:paraId="53B8FBE4" w14:textId="62909F3B"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Contraloría Interna Municipal;</w:t>
      </w:r>
    </w:p>
    <w:p w14:paraId="61397698" w14:textId="2638C666"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Catastro;</w:t>
      </w:r>
    </w:p>
    <w:p w14:paraId="6B1FFEFC" w14:textId="21DFA8CD" w:rsidR="00D83273" w:rsidRPr="00A57D42" w:rsidRDefault="00D83273" w:rsidP="008414EE">
      <w:pPr>
        <w:pStyle w:val="Prrafodelista"/>
        <w:numPr>
          <w:ilvl w:val="0"/>
          <w:numId w:val="21"/>
        </w:num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Atención a la Mujer y Grupos Vulnerables.</w:t>
      </w:r>
    </w:p>
    <w:p w14:paraId="7CA6F57F" w14:textId="77777777" w:rsidR="00D83273" w:rsidRPr="00A57D42" w:rsidRDefault="00D83273" w:rsidP="00016665">
      <w:pPr>
        <w:tabs>
          <w:tab w:val="left" w:pos="1530"/>
        </w:tabs>
        <w:spacing w:line="360" w:lineRule="auto"/>
        <w:ind w:right="49"/>
        <w:jc w:val="both"/>
        <w:rPr>
          <w:rFonts w:ascii="Palatino Linotype" w:eastAsia="Palatino Linotype" w:hAnsi="Palatino Linotype" w:cs="Palatino Linotype"/>
          <w:sz w:val="22"/>
          <w:szCs w:val="22"/>
        </w:rPr>
      </w:pPr>
    </w:p>
    <w:p w14:paraId="3FA20530" w14:textId="4B3C123E" w:rsidR="006C241E" w:rsidRPr="00A57D42" w:rsidRDefault="00D83273" w:rsidP="00016665">
      <w:p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Asimismo, señaló que respecto a las demás Unidades Administrativas no es requerida por mandato de Ley</w:t>
      </w:r>
      <w:r w:rsidR="006C241E" w:rsidRPr="00A57D42">
        <w:rPr>
          <w:rFonts w:ascii="Palatino Linotype" w:eastAsia="Palatino Linotype" w:hAnsi="Palatino Linotype" w:cs="Palatino Linotype"/>
          <w:sz w:val="22"/>
          <w:szCs w:val="22"/>
        </w:rPr>
        <w:t xml:space="preserve">, así como, para el caso del Defensor de Derechos Humanos, señaló que no aplica, por haber renunciado en el mes de junio, esto es, previo al cumplimiento de los seis meses que se tienen para cumplir con este requisito de ingreso y permanencia en el cargo. </w:t>
      </w:r>
    </w:p>
    <w:p w14:paraId="5A949FFA" w14:textId="77777777" w:rsidR="006C241E" w:rsidRPr="00A57D42" w:rsidRDefault="006C241E" w:rsidP="00016665">
      <w:pPr>
        <w:tabs>
          <w:tab w:val="left" w:pos="1530"/>
        </w:tabs>
        <w:spacing w:line="360" w:lineRule="auto"/>
        <w:ind w:right="49"/>
        <w:jc w:val="both"/>
        <w:rPr>
          <w:rFonts w:ascii="Palatino Linotype" w:eastAsia="Palatino Linotype" w:hAnsi="Palatino Linotype" w:cs="Palatino Linotype"/>
          <w:sz w:val="22"/>
          <w:szCs w:val="22"/>
        </w:rPr>
      </w:pPr>
    </w:p>
    <w:p w14:paraId="2C25024C" w14:textId="57325E20" w:rsidR="00D83273" w:rsidRPr="00A57D42" w:rsidRDefault="006C241E" w:rsidP="00016665">
      <w:pPr>
        <w:tabs>
          <w:tab w:val="left" w:pos="1530"/>
        </w:tabs>
        <w:spacing w:line="360" w:lineRule="auto"/>
        <w:ind w:right="49"/>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Además, se advierte que</w:t>
      </w:r>
      <w:r w:rsidR="00D83273" w:rsidRPr="00A57D42">
        <w:rPr>
          <w:rFonts w:ascii="Palatino Linotype" w:eastAsia="Palatino Linotype" w:hAnsi="Palatino Linotype" w:cs="Palatino Linotype"/>
          <w:sz w:val="22"/>
          <w:szCs w:val="22"/>
        </w:rPr>
        <w:t xml:space="preserve"> omitió, de manera enunciativa más no limitativa, las certificaciones del Director de Seguridad Pública o equivalente y el Titular de la Unidad de Transparencia, las cuales encuentran sustento en lo</w:t>
      </w:r>
      <w:r w:rsidRPr="00A57D42">
        <w:rPr>
          <w:rFonts w:ascii="Palatino Linotype" w:eastAsia="Palatino Linotype" w:hAnsi="Palatino Linotype" w:cs="Palatino Linotype"/>
          <w:sz w:val="22"/>
          <w:szCs w:val="22"/>
        </w:rPr>
        <w:t>s</w:t>
      </w:r>
      <w:r w:rsidR="00D83273" w:rsidRPr="00A57D42">
        <w:rPr>
          <w:rFonts w:ascii="Palatino Linotype" w:eastAsia="Palatino Linotype" w:hAnsi="Palatino Linotype" w:cs="Palatino Linotype"/>
          <w:sz w:val="22"/>
          <w:szCs w:val="22"/>
        </w:rPr>
        <w:t xml:space="preserve"> siguiente</w:t>
      </w:r>
      <w:r w:rsidRPr="00A57D42">
        <w:rPr>
          <w:rFonts w:ascii="Palatino Linotype" w:eastAsia="Palatino Linotype" w:hAnsi="Palatino Linotype" w:cs="Palatino Linotype"/>
          <w:sz w:val="22"/>
          <w:szCs w:val="22"/>
        </w:rPr>
        <w:t>s fundamentos</w:t>
      </w:r>
      <w:r w:rsidR="00D83273" w:rsidRPr="00A57D42">
        <w:rPr>
          <w:rFonts w:ascii="Palatino Linotype" w:eastAsia="Palatino Linotype" w:hAnsi="Palatino Linotype" w:cs="Palatino Linotype"/>
          <w:sz w:val="22"/>
          <w:szCs w:val="22"/>
        </w:rPr>
        <w:t>:</w:t>
      </w:r>
    </w:p>
    <w:p w14:paraId="5C79975B" w14:textId="77777777" w:rsidR="00D83273" w:rsidRPr="00A57D42" w:rsidRDefault="00D83273" w:rsidP="00016665">
      <w:pPr>
        <w:tabs>
          <w:tab w:val="left" w:pos="1530"/>
        </w:tabs>
        <w:spacing w:line="360" w:lineRule="auto"/>
        <w:ind w:right="49"/>
        <w:jc w:val="both"/>
        <w:rPr>
          <w:rFonts w:ascii="Palatino Linotype" w:eastAsia="Palatino Linotype" w:hAnsi="Palatino Linotype" w:cs="Palatino Linotype"/>
          <w:sz w:val="22"/>
          <w:szCs w:val="22"/>
        </w:rPr>
      </w:pPr>
    </w:p>
    <w:p w14:paraId="59196C1C" w14:textId="77777777" w:rsidR="00FC1CEA" w:rsidRPr="00A57D42" w:rsidRDefault="00FC1CEA" w:rsidP="006C241E">
      <w:pPr>
        <w:ind w:left="567" w:right="843"/>
        <w:jc w:val="both"/>
        <w:rPr>
          <w:rFonts w:ascii="Palatino Linotype" w:hAnsi="Palatino Linotype"/>
          <w:b/>
          <w:i/>
          <w:sz w:val="22"/>
          <w:szCs w:val="22"/>
        </w:rPr>
      </w:pPr>
      <w:r w:rsidRPr="00A57D42">
        <w:rPr>
          <w:rFonts w:ascii="Palatino Linotype" w:hAnsi="Palatino Linotype"/>
          <w:b/>
          <w:i/>
          <w:sz w:val="22"/>
          <w:szCs w:val="22"/>
        </w:rPr>
        <w:t>Ley de Seguridad Pública:</w:t>
      </w:r>
    </w:p>
    <w:p w14:paraId="3F55654F" w14:textId="77777777" w:rsidR="00FC1CEA" w:rsidRPr="00A57D42" w:rsidRDefault="00FC1CEA" w:rsidP="006C241E">
      <w:pPr>
        <w:ind w:left="567" w:right="843"/>
        <w:jc w:val="both"/>
        <w:rPr>
          <w:rFonts w:ascii="Palatino Linotype" w:hAnsi="Palatino Linotype"/>
          <w:i/>
          <w:sz w:val="22"/>
          <w:szCs w:val="22"/>
        </w:rPr>
      </w:pPr>
    </w:p>
    <w:p w14:paraId="4A1C5A32" w14:textId="77777777"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Artículo 22 Bis. Para ocupar el cargo de Director de Seguridad Pública Municipal o su equivalente, se deberán satisfacer los requisitos siguientes:</w:t>
      </w:r>
    </w:p>
    <w:p w14:paraId="3B217AF1" w14:textId="72209B83"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I. Ser ciudadano o ciudadana del Estado de México, preferentemente vecino del municipio, en pleno</w:t>
      </w:r>
      <w:r w:rsidR="006C241E" w:rsidRPr="00A57D42">
        <w:rPr>
          <w:rFonts w:ascii="Palatino Linotype" w:hAnsi="Palatino Linotype"/>
          <w:i/>
          <w:sz w:val="22"/>
          <w:szCs w:val="22"/>
        </w:rPr>
        <w:t xml:space="preserve"> </w:t>
      </w:r>
      <w:r w:rsidRPr="00A57D42">
        <w:rPr>
          <w:rFonts w:ascii="Palatino Linotype" w:hAnsi="Palatino Linotype"/>
          <w:i/>
          <w:sz w:val="22"/>
          <w:szCs w:val="22"/>
        </w:rPr>
        <w:t>goce de sus derechos civiles y políticos;</w:t>
      </w:r>
    </w:p>
    <w:p w14:paraId="0E763F6D" w14:textId="77777777"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II. No estar inhabilitado o inhabilitada para desempeñar cargo, empleo, o comisión pública;</w:t>
      </w:r>
    </w:p>
    <w:p w14:paraId="696C0433" w14:textId="77777777"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III. No haber sido condenado o condenada por delito doloso que amerite pena privativa de libertad;</w:t>
      </w:r>
    </w:p>
    <w:p w14:paraId="535D9156" w14:textId="312A0C77" w:rsidR="00FC1CEA" w:rsidRPr="00A57D42" w:rsidRDefault="00FC1CEA" w:rsidP="006C241E">
      <w:pPr>
        <w:ind w:left="567" w:right="843"/>
        <w:jc w:val="both"/>
        <w:rPr>
          <w:rFonts w:ascii="Palatino Linotype" w:hAnsi="Palatino Linotype"/>
          <w:b/>
          <w:i/>
          <w:sz w:val="22"/>
          <w:szCs w:val="22"/>
        </w:rPr>
      </w:pPr>
      <w:r w:rsidRPr="00A57D42">
        <w:rPr>
          <w:rFonts w:ascii="Palatino Linotype" w:hAnsi="Palatino Linotype"/>
          <w:i/>
          <w:sz w:val="22"/>
          <w:szCs w:val="22"/>
        </w:rPr>
        <w:t xml:space="preserve">IV. </w:t>
      </w:r>
      <w:r w:rsidRPr="00A57D42">
        <w:rPr>
          <w:rFonts w:ascii="Palatino Linotype" w:hAnsi="Palatino Linotype"/>
          <w:b/>
          <w:i/>
          <w:sz w:val="22"/>
          <w:szCs w:val="22"/>
        </w:rPr>
        <w:t>Tener título de Licenciatura, y contar con certificación o especiali</w:t>
      </w:r>
      <w:r w:rsidR="00CB0E2B" w:rsidRPr="00A57D42">
        <w:rPr>
          <w:rFonts w:ascii="Palatino Linotype" w:hAnsi="Palatino Linotype"/>
          <w:b/>
          <w:i/>
          <w:sz w:val="22"/>
          <w:szCs w:val="22"/>
        </w:rPr>
        <w:t xml:space="preserve">zación como mando en </w:t>
      </w:r>
      <w:r w:rsidRPr="00A57D42">
        <w:rPr>
          <w:rFonts w:ascii="Palatino Linotype" w:hAnsi="Palatino Linotype"/>
          <w:b/>
          <w:i/>
          <w:sz w:val="22"/>
          <w:szCs w:val="22"/>
        </w:rPr>
        <w:t>seguridad pública expedida por la Universidad Mexiquense de Segu</w:t>
      </w:r>
      <w:r w:rsidR="006C241E" w:rsidRPr="00A57D42">
        <w:rPr>
          <w:rFonts w:ascii="Palatino Linotype" w:hAnsi="Palatino Linotype"/>
          <w:b/>
          <w:i/>
          <w:sz w:val="22"/>
          <w:szCs w:val="22"/>
        </w:rPr>
        <w:t xml:space="preserve">ridad, y contar con experiencia </w:t>
      </w:r>
      <w:r w:rsidRPr="00A57D42">
        <w:rPr>
          <w:rFonts w:ascii="Palatino Linotype" w:hAnsi="Palatino Linotype"/>
          <w:b/>
          <w:i/>
          <w:sz w:val="22"/>
          <w:szCs w:val="22"/>
        </w:rPr>
        <w:t>mínima de un año en la materia.</w:t>
      </w:r>
    </w:p>
    <w:p w14:paraId="479D73F9" w14:textId="77777777"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V. Someterse y aprobar las evaluaciones de certificación y control de confianza diseñadas por el</w:t>
      </w:r>
    </w:p>
    <w:p w14:paraId="32B7F1EE" w14:textId="2B1E689D"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Centro de Control de Confianza del Estado de México, específicame</w:t>
      </w:r>
      <w:r w:rsidR="006C241E" w:rsidRPr="00A57D42">
        <w:rPr>
          <w:rFonts w:ascii="Palatino Linotype" w:hAnsi="Palatino Linotype"/>
          <w:i/>
          <w:sz w:val="22"/>
          <w:szCs w:val="22"/>
        </w:rPr>
        <w:t xml:space="preserve">nte para el desempeño del cargo </w:t>
      </w:r>
      <w:r w:rsidRPr="00A57D42">
        <w:rPr>
          <w:rFonts w:ascii="Palatino Linotype" w:hAnsi="Palatino Linotype"/>
          <w:i/>
          <w:sz w:val="22"/>
          <w:szCs w:val="22"/>
        </w:rPr>
        <w:t>de titulares de la Dirección de Seguridad Pública Municipal, para su ingreso y permanencia.</w:t>
      </w:r>
    </w:p>
    <w:p w14:paraId="55C910D9" w14:textId="77777777" w:rsidR="00FC1CEA"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Para ocupar el cargo de mandos medios de jerarquía inmediata inferior a la persona titular de la</w:t>
      </w:r>
    </w:p>
    <w:p w14:paraId="3FB07126" w14:textId="2CC4D86F" w:rsidR="00D83273" w:rsidRPr="00A57D42" w:rsidRDefault="00FC1CEA" w:rsidP="006C241E">
      <w:pPr>
        <w:ind w:left="567" w:right="843"/>
        <w:jc w:val="both"/>
        <w:rPr>
          <w:rFonts w:ascii="Palatino Linotype" w:hAnsi="Palatino Linotype"/>
          <w:i/>
          <w:sz w:val="22"/>
          <w:szCs w:val="22"/>
        </w:rPr>
      </w:pPr>
      <w:r w:rsidRPr="00A57D42">
        <w:rPr>
          <w:rFonts w:ascii="Palatino Linotype" w:hAnsi="Palatino Linotype"/>
          <w:i/>
          <w:sz w:val="22"/>
          <w:szCs w:val="22"/>
        </w:rPr>
        <w:t>Dirección de Seguridad Pública Municipal o equivalente, se de</w:t>
      </w:r>
      <w:r w:rsidR="006C241E" w:rsidRPr="00A57D42">
        <w:rPr>
          <w:rFonts w:ascii="Palatino Linotype" w:hAnsi="Palatino Linotype"/>
          <w:i/>
          <w:sz w:val="22"/>
          <w:szCs w:val="22"/>
        </w:rPr>
        <w:t xml:space="preserve">berá cumplir con los requisitos </w:t>
      </w:r>
      <w:r w:rsidRPr="00A57D42">
        <w:rPr>
          <w:rFonts w:ascii="Palatino Linotype" w:hAnsi="Palatino Linotype"/>
          <w:i/>
          <w:sz w:val="22"/>
          <w:szCs w:val="22"/>
        </w:rPr>
        <w:t>previstos en el presente artículo, así como solicitar y conocer, de m</w:t>
      </w:r>
      <w:r w:rsidR="006C241E" w:rsidRPr="00A57D42">
        <w:rPr>
          <w:rFonts w:ascii="Palatino Linotype" w:hAnsi="Palatino Linotype"/>
          <w:i/>
          <w:sz w:val="22"/>
          <w:szCs w:val="22"/>
        </w:rPr>
        <w:t xml:space="preserve">anera previa a su nombramiento, </w:t>
      </w:r>
      <w:r w:rsidRPr="00A57D42">
        <w:rPr>
          <w:rFonts w:ascii="Palatino Linotype" w:hAnsi="Palatino Linotype"/>
          <w:i/>
          <w:sz w:val="22"/>
          <w:szCs w:val="22"/>
        </w:rPr>
        <w:t>la opinión no vinculante de la Secretaría.</w:t>
      </w:r>
    </w:p>
    <w:p w14:paraId="35DE6DCA" w14:textId="77777777" w:rsidR="00016665" w:rsidRPr="00A57D42" w:rsidRDefault="00016665" w:rsidP="006C241E">
      <w:pPr>
        <w:tabs>
          <w:tab w:val="left" w:pos="1530"/>
        </w:tabs>
        <w:ind w:left="567" w:right="843"/>
        <w:jc w:val="both"/>
        <w:rPr>
          <w:rFonts w:ascii="Palatino Linotype" w:eastAsia="Palatino Linotype" w:hAnsi="Palatino Linotype" w:cs="Palatino Linotype"/>
          <w:i/>
          <w:sz w:val="22"/>
          <w:szCs w:val="22"/>
        </w:rPr>
      </w:pPr>
    </w:p>
    <w:p w14:paraId="51A5A1F0" w14:textId="0EF7CEDA" w:rsidR="006C241E" w:rsidRPr="00A57D42" w:rsidRDefault="006C241E" w:rsidP="006C241E">
      <w:pPr>
        <w:ind w:left="567" w:right="843"/>
        <w:jc w:val="both"/>
        <w:rPr>
          <w:rFonts w:ascii="Palatino Linotype" w:hAnsi="Palatino Linotype"/>
          <w:b/>
          <w:i/>
          <w:sz w:val="22"/>
          <w:szCs w:val="22"/>
        </w:rPr>
      </w:pPr>
      <w:r w:rsidRPr="00A57D42">
        <w:rPr>
          <w:rFonts w:ascii="Palatino Linotype" w:hAnsi="Palatino Linotype"/>
          <w:b/>
          <w:i/>
          <w:sz w:val="22"/>
          <w:szCs w:val="22"/>
        </w:rPr>
        <w:t>Ley de Transparencia y Acceso a la Información Pública del Estado de México y Municipios:</w:t>
      </w:r>
    </w:p>
    <w:p w14:paraId="5A424B54" w14:textId="77777777" w:rsidR="006C241E" w:rsidRPr="00A57D42" w:rsidRDefault="006C241E" w:rsidP="006C241E">
      <w:pPr>
        <w:ind w:left="567" w:right="843"/>
        <w:jc w:val="both"/>
        <w:rPr>
          <w:rFonts w:ascii="Palatino Linotype" w:hAnsi="Palatino Linotype"/>
          <w:i/>
          <w:sz w:val="22"/>
          <w:szCs w:val="22"/>
        </w:rPr>
      </w:pPr>
    </w:p>
    <w:p w14:paraId="7FD1174D" w14:textId="31171B3A" w:rsidR="006C241E" w:rsidRPr="00A57D42" w:rsidRDefault="006C241E" w:rsidP="006C241E">
      <w:pPr>
        <w:ind w:left="567" w:right="843"/>
        <w:jc w:val="both"/>
        <w:rPr>
          <w:rFonts w:ascii="Palatino Linotype" w:hAnsi="Palatino Linotype"/>
          <w:i/>
          <w:sz w:val="22"/>
          <w:szCs w:val="22"/>
        </w:rPr>
      </w:pPr>
      <w:r w:rsidRPr="00A57D42">
        <w:rPr>
          <w:rFonts w:ascii="Palatino Linotype" w:hAnsi="Palatino Linotype"/>
          <w:i/>
          <w:sz w:val="22"/>
          <w:szCs w:val="22"/>
        </w:rPr>
        <w:t>Artículo 57. El responsable de la Unidad de Transparencia deberá tener el perfil adecuado para el cumplimiento de las obligaciones que se derivan de la presente Ley. Para ser nombrado titular de la</w:t>
      </w:r>
    </w:p>
    <w:p w14:paraId="1377F271" w14:textId="77777777" w:rsidR="006C241E" w:rsidRPr="00A57D42" w:rsidRDefault="006C241E" w:rsidP="006C241E">
      <w:pPr>
        <w:ind w:left="567" w:right="843"/>
        <w:jc w:val="both"/>
        <w:rPr>
          <w:rFonts w:ascii="Palatino Linotype" w:hAnsi="Palatino Linotype"/>
          <w:i/>
          <w:sz w:val="22"/>
          <w:szCs w:val="22"/>
        </w:rPr>
      </w:pPr>
      <w:r w:rsidRPr="00A57D42">
        <w:rPr>
          <w:rFonts w:ascii="Palatino Linotype" w:hAnsi="Palatino Linotype"/>
          <w:i/>
          <w:sz w:val="22"/>
          <w:szCs w:val="22"/>
        </w:rPr>
        <w:t>Unidad de Transparencia, deberá cumplir, por lo menos, con los siguientes requisitos:</w:t>
      </w:r>
    </w:p>
    <w:p w14:paraId="2A6A5185" w14:textId="64B3BE9B" w:rsidR="006C241E" w:rsidRPr="00A57D42" w:rsidRDefault="006C241E" w:rsidP="006C241E">
      <w:pPr>
        <w:ind w:left="567" w:right="843"/>
        <w:jc w:val="both"/>
        <w:rPr>
          <w:rFonts w:ascii="Palatino Linotype" w:hAnsi="Palatino Linotype"/>
          <w:b/>
          <w:i/>
          <w:sz w:val="22"/>
          <w:szCs w:val="22"/>
        </w:rPr>
      </w:pPr>
      <w:r w:rsidRPr="00A57D42">
        <w:rPr>
          <w:rFonts w:ascii="Palatino Linotype" w:hAnsi="Palatino Linotype"/>
          <w:i/>
          <w:sz w:val="22"/>
          <w:szCs w:val="22"/>
        </w:rPr>
        <w:t xml:space="preserve">I. Contar con conocimiento o, tratándose de las entidades gubernamentales estatales y los </w:t>
      </w:r>
      <w:r w:rsidRPr="00A57D42">
        <w:rPr>
          <w:rFonts w:ascii="Palatino Linotype" w:hAnsi="Palatino Linotype"/>
          <w:b/>
          <w:i/>
          <w:sz w:val="22"/>
          <w:szCs w:val="22"/>
        </w:rPr>
        <w:t>municipios certificación en materia de acceso a la información, transparencia y protección de datos personales, que para tal efecto emita el Instituto;</w:t>
      </w:r>
    </w:p>
    <w:p w14:paraId="4BC62B7D" w14:textId="5EA426A9" w:rsidR="006C241E" w:rsidRPr="00A57D42" w:rsidRDefault="006C241E" w:rsidP="006C241E">
      <w:pPr>
        <w:ind w:left="567" w:right="843"/>
        <w:jc w:val="both"/>
        <w:rPr>
          <w:rFonts w:ascii="Palatino Linotype" w:hAnsi="Palatino Linotype"/>
          <w:i/>
          <w:sz w:val="22"/>
          <w:szCs w:val="22"/>
        </w:rPr>
      </w:pPr>
      <w:r w:rsidRPr="00A57D42">
        <w:rPr>
          <w:rFonts w:ascii="Palatino Linotype" w:hAnsi="Palatino Linotype"/>
          <w:i/>
          <w:sz w:val="22"/>
          <w:szCs w:val="22"/>
        </w:rPr>
        <w:t>II. Experiencia en materia de acceso a la información y protección de datos personales; y</w:t>
      </w:r>
    </w:p>
    <w:p w14:paraId="24E3C913" w14:textId="0C7F41E4" w:rsidR="006C241E" w:rsidRPr="00A57D42" w:rsidRDefault="006C241E" w:rsidP="006C241E">
      <w:pPr>
        <w:tabs>
          <w:tab w:val="left" w:pos="1530"/>
        </w:tabs>
        <w:ind w:left="567" w:right="843"/>
        <w:jc w:val="both"/>
        <w:rPr>
          <w:rFonts w:ascii="Palatino Linotype" w:eastAsia="Palatino Linotype" w:hAnsi="Palatino Linotype" w:cs="Palatino Linotype"/>
          <w:i/>
          <w:sz w:val="22"/>
          <w:szCs w:val="22"/>
        </w:rPr>
      </w:pPr>
      <w:r w:rsidRPr="00A57D42">
        <w:rPr>
          <w:rFonts w:ascii="Palatino Linotype" w:hAnsi="Palatino Linotype"/>
          <w:i/>
          <w:sz w:val="22"/>
          <w:szCs w:val="22"/>
        </w:rPr>
        <w:t>III. Habilidades de organización y comunicación, así como visión y liderazgo.</w:t>
      </w:r>
    </w:p>
    <w:p w14:paraId="455A42EA" w14:textId="77777777" w:rsidR="00016665" w:rsidRPr="00A57D42" w:rsidRDefault="00016665" w:rsidP="00016665">
      <w:pPr>
        <w:tabs>
          <w:tab w:val="left" w:pos="1530"/>
        </w:tabs>
        <w:spacing w:line="360" w:lineRule="auto"/>
        <w:ind w:right="49"/>
        <w:jc w:val="both"/>
        <w:rPr>
          <w:rFonts w:ascii="Palatino Linotype" w:eastAsia="Palatino Linotype" w:hAnsi="Palatino Linotype" w:cs="Palatino Linotype"/>
          <w:sz w:val="22"/>
          <w:szCs w:val="22"/>
        </w:rPr>
      </w:pPr>
    </w:p>
    <w:p w14:paraId="4EACC9C1" w14:textId="77777777" w:rsidR="006C241E" w:rsidRPr="00A57D42" w:rsidRDefault="00016665" w:rsidP="00016665">
      <w:pPr>
        <w:autoSpaceDE w:val="0"/>
        <w:autoSpaceDN w:val="0"/>
        <w:adjustRightInd w:val="0"/>
        <w:spacing w:line="360" w:lineRule="auto"/>
        <w:jc w:val="both"/>
        <w:rPr>
          <w:rFonts w:ascii="Palatino Linotype" w:hAnsi="Palatino Linotype" w:cs="Tahoma"/>
          <w:bCs/>
          <w:iCs/>
          <w:sz w:val="22"/>
          <w:szCs w:val="22"/>
        </w:rPr>
      </w:pPr>
      <w:r w:rsidRPr="00A57D42">
        <w:rPr>
          <w:rFonts w:ascii="Palatino Linotype" w:hAnsi="Palatino Linotype" w:cs="Tahoma"/>
          <w:bCs/>
          <w:iCs/>
          <w:sz w:val="22"/>
          <w:szCs w:val="22"/>
        </w:rPr>
        <w:t xml:space="preserve">Tal como se advierte </w:t>
      </w:r>
      <w:r w:rsidR="006C241E" w:rsidRPr="00A57D42">
        <w:rPr>
          <w:rFonts w:ascii="Palatino Linotype" w:hAnsi="Palatino Linotype" w:cs="Tahoma"/>
          <w:bCs/>
          <w:iCs/>
          <w:sz w:val="22"/>
          <w:szCs w:val="22"/>
        </w:rPr>
        <w:t xml:space="preserve">si bien en la respuesta se proporcionaron diversas certificaciones de los servidores públicos que ostentan cargos de Titulares de área, lo cierto es que se entregaron de manera incompleta, por lo que no se colma en su totalidad el derecho de acceso a la información pública del Recurrente. </w:t>
      </w:r>
    </w:p>
    <w:p w14:paraId="7B70EFE0" w14:textId="77777777"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p>
    <w:p w14:paraId="36AF652D" w14:textId="4D32DE26"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r w:rsidRPr="00A57D42">
        <w:rPr>
          <w:rFonts w:ascii="Palatino Linotype" w:hAnsi="Palatino Linotype" w:cs="Tahoma"/>
          <w:bCs/>
          <w:iCs/>
          <w:sz w:val="22"/>
          <w:szCs w:val="22"/>
        </w:rPr>
        <w:t>Además, se advierte que las certificaciones se proporcionaron en versión pública clasificando en algunos casos la clave CURP y el número de folio o código QR, razón por la que resulta necesario analizar la naturaleza de los datos personales a efecto de tener certeza si las versiones públicas son correctas.</w:t>
      </w:r>
    </w:p>
    <w:p w14:paraId="33813504" w14:textId="77777777"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p>
    <w:p w14:paraId="4D66F581" w14:textId="77777777" w:rsidR="006C241E" w:rsidRPr="00A57D42" w:rsidRDefault="006C241E" w:rsidP="008414EE">
      <w:pPr>
        <w:pStyle w:val="Prrafodelista"/>
        <w:numPr>
          <w:ilvl w:val="0"/>
          <w:numId w:val="23"/>
        </w:numPr>
        <w:shd w:val="clear" w:color="auto" w:fill="FFFFFF"/>
        <w:spacing w:line="360" w:lineRule="auto"/>
        <w:ind w:left="426"/>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Código QR o folio único de certificado</w:t>
      </w:r>
    </w:p>
    <w:p w14:paraId="01E5351A" w14:textId="77777777" w:rsidR="006C241E" w:rsidRPr="00A57D42" w:rsidRDefault="006C241E" w:rsidP="006C241E">
      <w:pPr>
        <w:pStyle w:val="Prrafodelista"/>
        <w:shd w:val="clear" w:color="auto" w:fill="FFFFFF"/>
        <w:spacing w:line="360" w:lineRule="auto"/>
        <w:ind w:left="426"/>
        <w:jc w:val="both"/>
        <w:rPr>
          <w:rFonts w:ascii="Palatino Linotype" w:eastAsia="Palatino Linotype" w:hAnsi="Palatino Linotype" w:cs="Palatino Linotype"/>
          <w:b/>
          <w:sz w:val="22"/>
          <w:szCs w:val="22"/>
        </w:rPr>
      </w:pPr>
    </w:p>
    <w:p w14:paraId="5132D4C0" w14:textId="77777777" w:rsidR="006C241E" w:rsidRPr="00A57D42" w:rsidRDefault="006C241E" w:rsidP="006C241E">
      <w:pPr>
        <w:autoSpaceDE w:val="0"/>
        <w:autoSpaceDN w:val="0"/>
        <w:adjustRightInd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Al respecto, este dato sirve para validar que la persona señalada en el Certificado fue efectivamente la aprobada por el Consejo Nacional de Normalización y Certificación de Competencias Laborales, pues da acceso al nombre completo de la persona certificada, el nombre del Estándar de Competencia Laboral y la clave de la entidad certificadora, que acreditó.</w:t>
      </w:r>
    </w:p>
    <w:p w14:paraId="2618AD55" w14:textId="77777777" w:rsidR="006C241E" w:rsidRPr="00A57D42" w:rsidRDefault="006C241E" w:rsidP="006C241E">
      <w:pPr>
        <w:autoSpaceDE w:val="0"/>
        <w:autoSpaceDN w:val="0"/>
        <w:adjustRightInd w:val="0"/>
        <w:spacing w:line="360" w:lineRule="auto"/>
        <w:jc w:val="both"/>
        <w:rPr>
          <w:rFonts w:ascii="Palatino Linotype" w:eastAsia="Palatino Linotype" w:hAnsi="Palatino Linotype" w:cs="Palatino Linotype"/>
          <w:sz w:val="22"/>
          <w:szCs w:val="22"/>
        </w:rPr>
      </w:pPr>
    </w:p>
    <w:p w14:paraId="1BBE6FB8" w14:textId="77777777" w:rsidR="006C241E" w:rsidRPr="00A57D42" w:rsidRDefault="006C241E" w:rsidP="006C241E">
      <w:pPr>
        <w:autoSpaceDE w:val="0"/>
        <w:autoSpaceDN w:val="0"/>
        <w:adjustRightInd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Conforme a lo anterior y toda vez que el Código bidimensional en análisis no da acceso a datos personales, sino al contrario a información de naturaleza pública, aunado a que sirve para verificar la autenticidad del Certificado, al poder corroborar que la información contenida en el certificado, corresponde a la persona acreditada; por lo que, no procede su clasificación, en términos del artículo 143, fracción I, de la Ley de Transparencia y Acceso a la Información Pública del Estado de México y Municipios.</w:t>
      </w:r>
    </w:p>
    <w:p w14:paraId="73D0B783" w14:textId="77777777" w:rsidR="006C241E" w:rsidRPr="00A57D42" w:rsidRDefault="006C241E" w:rsidP="006C241E">
      <w:pPr>
        <w:autoSpaceDE w:val="0"/>
        <w:autoSpaceDN w:val="0"/>
        <w:adjustRightInd w:val="0"/>
        <w:spacing w:line="360" w:lineRule="auto"/>
        <w:jc w:val="both"/>
        <w:rPr>
          <w:rFonts w:ascii="Palatino Linotype" w:eastAsia="Palatino Linotype" w:hAnsi="Palatino Linotype" w:cs="Palatino Linotype"/>
          <w:sz w:val="22"/>
          <w:szCs w:val="22"/>
        </w:rPr>
      </w:pPr>
    </w:p>
    <w:p w14:paraId="291D1C58" w14:textId="77777777" w:rsidR="006C241E" w:rsidRPr="00A57D42" w:rsidRDefault="006C241E" w:rsidP="006C241E">
      <w:pPr>
        <w:autoSpaceDE w:val="0"/>
        <w:autoSpaceDN w:val="0"/>
        <w:adjustRightInd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Por lo mencionado en líneas anteriores, se determina que los datos concernientes al Código Bidimensional y el folio conocer, son datos de naturaleza pública. </w:t>
      </w:r>
    </w:p>
    <w:p w14:paraId="5CD52A44" w14:textId="77777777" w:rsidR="006C241E" w:rsidRPr="00A57D42" w:rsidRDefault="006C241E" w:rsidP="006C241E">
      <w:pPr>
        <w:autoSpaceDE w:val="0"/>
        <w:autoSpaceDN w:val="0"/>
        <w:adjustRightInd w:val="0"/>
        <w:spacing w:line="360" w:lineRule="auto"/>
        <w:jc w:val="both"/>
        <w:rPr>
          <w:rFonts w:ascii="Palatino Linotype" w:hAnsi="Palatino Linotype" w:cs="Tahoma"/>
          <w:bCs/>
          <w:iCs/>
          <w:sz w:val="22"/>
          <w:szCs w:val="22"/>
        </w:rPr>
      </w:pPr>
    </w:p>
    <w:p w14:paraId="78C36BC9" w14:textId="77777777" w:rsidR="006C241E" w:rsidRPr="00A57D42" w:rsidRDefault="006C241E" w:rsidP="008414EE">
      <w:pPr>
        <w:pStyle w:val="Prrafodelista"/>
        <w:numPr>
          <w:ilvl w:val="0"/>
          <w:numId w:val="22"/>
        </w:numPr>
        <w:tabs>
          <w:tab w:val="left" w:pos="993"/>
        </w:tabs>
        <w:spacing w:line="360" w:lineRule="auto"/>
        <w:ind w:left="567"/>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Clave Única de Registro de Población</w:t>
      </w:r>
      <w:r w:rsidRPr="00A57D42">
        <w:rPr>
          <w:rFonts w:ascii="Palatino Linotype" w:eastAsia="Palatino Linotype" w:hAnsi="Palatino Linotype" w:cs="Palatino Linotype"/>
          <w:sz w:val="22"/>
          <w:szCs w:val="22"/>
        </w:rPr>
        <w:t xml:space="preserve">. </w:t>
      </w:r>
    </w:p>
    <w:p w14:paraId="7C0AEC3C"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p>
    <w:p w14:paraId="4A15C17E"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Dato personal confidencial, ya que por sí sola brinda información personal de su titular y lo hace identificado e identificable, motivo por el cual se aprueba su eliminación de las versiones públicas, ya que además no guarda relación con el desempeño laboral de un individuo, simplemente se trata de un trámite administrativo requerido por la autoridad federal para hacer identificables a las personas.</w:t>
      </w:r>
    </w:p>
    <w:p w14:paraId="0D93849A"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p>
    <w:p w14:paraId="3FACD6D1"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Situación que se robustece, con el Criterio 18/17, emitido por el Instituto Nacional de Transparencia, Acceso a la Información y Protección de Datos Personales, que establece lo siguiente:</w:t>
      </w:r>
    </w:p>
    <w:p w14:paraId="64B9D3CF"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p>
    <w:p w14:paraId="47FF9BC4" w14:textId="77777777" w:rsidR="006C241E" w:rsidRPr="00A57D42" w:rsidRDefault="006C241E" w:rsidP="006C241E">
      <w:pPr>
        <w:tabs>
          <w:tab w:val="left" w:pos="993"/>
        </w:tabs>
        <w:ind w:left="567" w:right="56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i/>
          <w:sz w:val="22"/>
          <w:szCs w:val="22"/>
        </w:rPr>
        <w:t xml:space="preserve">Clave Única de Registro de Población (CURP). </w:t>
      </w:r>
      <w:r w:rsidRPr="00A57D42">
        <w:rPr>
          <w:rFonts w:ascii="Palatino Linotype" w:eastAsia="Palatino Linotype" w:hAnsi="Palatino Linotype" w:cs="Palatino Linotype"/>
          <w:i/>
          <w:sz w:val="22"/>
          <w:szCs w:val="22"/>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w:t>
      </w:r>
    </w:p>
    <w:p w14:paraId="340799CD"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p>
    <w:p w14:paraId="22A42105" w14:textId="77777777" w:rsidR="006C241E" w:rsidRPr="00A57D42" w:rsidRDefault="006C241E" w:rsidP="006C241E">
      <w:pPr>
        <w:tabs>
          <w:tab w:val="left" w:pos="993"/>
        </w:tabs>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 acuerdo con lo anterior, resulta procedente la clasificación de la Clave Única de Registro de Población; por lo que, la constancia de dicho dato corre al misma suerte, pues únicamente contiene datos que hacen identificables de los servidores públicos, que en nada abonan a la transparencia y no rinden cuantas de la forma de actuar, por lo que, es un documento privado, en términos del artículo 143, fracción I, de la Ley de Transparencia y Acceso a la Información Pública del Estado de México y Municipios. </w:t>
      </w:r>
    </w:p>
    <w:p w14:paraId="7EDBB2CA" w14:textId="77777777"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p>
    <w:p w14:paraId="205FFC50" w14:textId="34BFE3B3"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r w:rsidRPr="00A57D42">
        <w:rPr>
          <w:rFonts w:ascii="Palatino Linotype" w:hAnsi="Palatino Linotype" w:cs="Tahoma"/>
          <w:bCs/>
          <w:iCs/>
          <w:sz w:val="22"/>
          <w:szCs w:val="22"/>
        </w:rPr>
        <w:t>Entonces, como resultado de lo anterior, se advierte que las certificaciones remitidas en respuesta resultan excesivas, al clasificar información que es de naturaleza pública como lo es el código QR y/o el número de folio, además, de que, como se ha dicho, se proporcionaron de manera incompleta.</w:t>
      </w:r>
    </w:p>
    <w:p w14:paraId="408F122F" w14:textId="77777777"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p>
    <w:p w14:paraId="3290F3E5" w14:textId="77777777" w:rsidR="005C0DE2" w:rsidRPr="00A57D42" w:rsidRDefault="006C241E" w:rsidP="005C0DE2">
      <w:pPr>
        <w:autoSpaceDE w:val="0"/>
        <w:autoSpaceDN w:val="0"/>
        <w:adjustRightInd w:val="0"/>
        <w:spacing w:line="360" w:lineRule="auto"/>
        <w:jc w:val="both"/>
        <w:rPr>
          <w:rFonts w:ascii="Palatino Linotype" w:hAnsi="Palatino Linotype" w:cs="Tahoma"/>
          <w:bCs/>
          <w:iCs/>
          <w:sz w:val="22"/>
          <w:szCs w:val="22"/>
        </w:rPr>
      </w:pPr>
      <w:r w:rsidRPr="00A57D42">
        <w:rPr>
          <w:rFonts w:ascii="Palatino Linotype" w:hAnsi="Palatino Linotype" w:cs="Tahoma"/>
          <w:bCs/>
          <w:iCs/>
          <w:sz w:val="22"/>
          <w:szCs w:val="22"/>
        </w:rPr>
        <w:t xml:space="preserve">En consecuencia, se ORDENA al Sujeto Obligado entregar las certificaciones de los </w:t>
      </w:r>
      <w:r w:rsidR="005C0DE2" w:rsidRPr="00A57D42">
        <w:rPr>
          <w:rFonts w:ascii="Palatino Linotype" w:hAnsi="Palatino Linotype" w:cs="Tahoma"/>
          <w:bCs/>
          <w:iCs/>
          <w:sz w:val="22"/>
          <w:szCs w:val="22"/>
        </w:rPr>
        <w:t>Servidores Públicos que ostenten cargos en los que se exija por Ley contar con certificación de competencia laboral.</w:t>
      </w:r>
    </w:p>
    <w:p w14:paraId="7E9A9C27" w14:textId="77777777" w:rsidR="005C0DE2" w:rsidRPr="00A57D42" w:rsidRDefault="005C0DE2" w:rsidP="005C0DE2">
      <w:pPr>
        <w:autoSpaceDE w:val="0"/>
        <w:autoSpaceDN w:val="0"/>
        <w:adjustRightInd w:val="0"/>
        <w:spacing w:line="360" w:lineRule="auto"/>
        <w:jc w:val="both"/>
        <w:rPr>
          <w:rFonts w:ascii="Palatino Linotype" w:hAnsi="Palatino Linotype" w:cs="Tahoma"/>
          <w:bCs/>
          <w:iCs/>
          <w:sz w:val="22"/>
          <w:szCs w:val="22"/>
        </w:rPr>
      </w:pPr>
    </w:p>
    <w:p w14:paraId="20F8EE75" w14:textId="7DE96A29" w:rsidR="005C0DE2" w:rsidRPr="00A57D42" w:rsidRDefault="005C0DE2" w:rsidP="005C0DE2">
      <w:pPr>
        <w:autoSpaceDE w:val="0"/>
        <w:autoSpaceDN w:val="0"/>
        <w:adjustRightInd w:val="0"/>
        <w:spacing w:line="360" w:lineRule="auto"/>
        <w:jc w:val="both"/>
        <w:rPr>
          <w:rFonts w:ascii="Palatino Linotype" w:hAnsi="Palatino Linotype" w:cs="Tahoma"/>
          <w:bCs/>
          <w:iCs/>
          <w:sz w:val="22"/>
          <w:szCs w:val="22"/>
        </w:rPr>
      </w:pPr>
      <w:r w:rsidRPr="00A57D42">
        <w:rPr>
          <w:rFonts w:ascii="Palatino Linotype" w:eastAsia="Palatino Linotype" w:hAnsi="Palatino Linotype" w:cs="Palatino Linotype"/>
          <w:sz w:val="22"/>
          <w:szCs w:val="22"/>
        </w:rPr>
        <w:t xml:space="preserve">De ser el caso de que los Servidores públicos faltantes no cuenten con certificado de competencia laboral a la fecha de la solicitud por no haber transcurrido el plazo de seis meses para presentarla, </w:t>
      </w:r>
      <w:r w:rsidRPr="00A57D42">
        <w:rPr>
          <w:rFonts w:ascii="Palatino Linotype" w:hAnsi="Palatino Linotype"/>
          <w:sz w:val="22"/>
          <w:szCs w:val="22"/>
        </w:rPr>
        <w:t>bastará</w:t>
      </w:r>
      <w:r w:rsidRPr="00A57D42">
        <w:rPr>
          <w:rFonts w:ascii="Palatino Linotype" w:eastAsia="Palatino Linotype" w:hAnsi="Palatino Linotype" w:cs="Palatino Linotype"/>
          <w:sz w:val="22"/>
          <w:szCs w:val="22"/>
        </w:rPr>
        <w:t xml:space="preserve"> </w:t>
      </w:r>
      <w:r w:rsidRPr="00A57D42">
        <w:rPr>
          <w:rFonts w:ascii="Palatino Linotype" w:hAnsi="Palatino Linotype"/>
          <w:iCs/>
          <w:sz w:val="22"/>
          <w:szCs w:val="22"/>
        </w:rPr>
        <w:t xml:space="preserve">con que así lo haga del conocimiento de la parte </w:t>
      </w:r>
      <w:r w:rsidRPr="00A57D42">
        <w:rPr>
          <w:rFonts w:ascii="Palatino Linotype" w:hAnsi="Palatino Linotype"/>
          <w:b/>
          <w:bCs/>
          <w:iCs/>
          <w:sz w:val="22"/>
          <w:szCs w:val="22"/>
        </w:rPr>
        <w:t>Recurrente</w:t>
      </w:r>
      <w:r w:rsidRPr="00A57D42">
        <w:rPr>
          <w:rFonts w:ascii="Palatino Linotype" w:hAnsi="Palatino Linotype"/>
          <w:iCs/>
          <w:sz w:val="22"/>
          <w:szCs w:val="22"/>
        </w:rPr>
        <w:t>, de manera clara y precisa, en términos del artículo 19, párrafo segundo de la Ley de Transparencia y Acceso a la Información pública del Estado de México y Municipios.</w:t>
      </w:r>
    </w:p>
    <w:p w14:paraId="5F8697D5" w14:textId="6833A975" w:rsidR="005C0DE2" w:rsidRPr="00A57D42" w:rsidRDefault="005C0DE2" w:rsidP="00016665">
      <w:pPr>
        <w:autoSpaceDE w:val="0"/>
        <w:autoSpaceDN w:val="0"/>
        <w:adjustRightInd w:val="0"/>
        <w:spacing w:line="360" w:lineRule="auto"/>
        <w:jc w:val="both"/>
        <w:rPr>
          <w:rFonts w:ascii="Palatino Linotype" w:eastAsia="Palatino Linotype" w:hAnsi="Palatino Linotype" w:cs="Palatino Linotype"/>
          <w:sz w:val="22"/>
          <w:szCs w:val="22"/>
        </w:rPr>
      </w:pPr>
    </w:p>
    <w:p w14:paraId="178629C6" w14:textId="10FD4682" w:rsidR="005C0DE2" w:rsidRPr="00A57D42" w:rsidRDefault="005C0DE2" w:rsidP="00016665">
      <w:pPr>
        <w:autoSpaceDE w:val="0"/>
        <w:autoSpaceDN w:val="0"/>
        <w:adjustRightInd w:val="0"/>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Para el caso, de que, el Sujeto Obligado no cuente con la información que se determina relacionada con los certificados de competencia laboral de los titulares con más de seis meses en el cargo, deberá remitir el Acuerdo que emita el Comité de Transparencia mediante el que se declare formalmente la inexistencia de la información en términos de los artículos 19, 49, 169 y 170 de la Ley de Transparencia y Acceso a la Información Pública del Estado de México y Municipios</w:t>
      </w:r>
    </w:p>
    <w:p w14:paraId="2897C24D" w14:textId="77777777" w:rsidR="005C0DE2" w:rsidRPr="00A57D42" w:rsidRDefault="005C0DE2" w:rsidP="00016665">
      <w:pPr>
        <w:autoSpaceDE w:val="0"/>
        <w:autoSpaceDN w:val="0"/>
        <w:adjustRightInd w:val="0"/>
        <w:spacing w:line="360" w:lineRule="auto"/>
        <w:jc w:val="both"/>
        <w:rPr>
          <w:rFonts w:ascii="Palatino Linotype" w:eastAsia="Palatino Linotype" w:hAnsi="Palatino Linotype" w:cs="Palatino Linotype"/>
          <w:sz w:val="22"/>
          <w:szCs w:val="22"/>
        </w:rPr>
      </w:pPr>
    </w:p>
    <w:p w14:paraId="6105D03F" w14:textId="7E798CA2" w:rsidR="005C0DE2" w:rsidRPr="00A57D42" w:rsidRDefault="005C0DE2" w:rsidP="00016665">
      <w:pPr>
        <w:autoSpaceDE w:val="0"/>
        <w:autoSpaceDN w:val="0"/>
        <w:adjustRightInd w:val="0"/>
        <w:spacing w:line="360" w:lineRule="auto"/>
        <w:jc w:val="both"/>
        <w:rPr>
          <w:rFonts w:ascii="Palatino Linotype" w:hAnsi="Palatino Linotype" w:cs="Tahoma"/>
          <w:b/>
          <w:bCs/>
          <w:iCs/>
          <w:sz w:val="22"/>
          <w:szCs w:val="22"/>
        </w:rPr>
      </w:pPr>
      <w:r w:rsidRPr="00A57D42">
        <w:rPr>
          <w:rFonts w:ascii="Palatino Linotype" w:eastAsia="Palatino Linotype" w:hAnsi="Palatino Linotype" w:cs="Palatino Linotype"/>
          <w:b/>
          <w:sz w:val="22"/>
          <w:szCs w:val="22"/>
        </w:rPr>
        <w:t>Experiencia Laboral.</w:t>
      </w:r>
    </w:p>
    <w:p w14:paraId="30A92574" w14:textId="77777777" w:rsidR="006C241E" w:rsidRPr="00A57D42" w:rsidRDefault="006C241E" w:rsidP="00016665">
      <w:pPr>
        <w:autoSpaceDE w:val="0"/>
        <w:autoSpaceDN w:val="0"/>
        <w:adjustRightInd w:val="0"/>
        <w:spacing w:line="360" w:lineRule="auto"/>
        <w:jc w:val="both"/>
        <w:rPr>
          <w:rFonts w:ascii="Palatino Linotype" w:hAnsi="Palatino Linotype" w:cs="Tahoma"/>
          <w:bCs/>
          <w:iCs/>
          <w:sz w:val="22"/>
          <w:szCs w:val="22"/>
        </w:rPr>
      </w:pPr>
    </w:p>
    <w:p w14:paraId="0B86F637" w14:textId="4D26757E" w:rsidR="005C0DE2" w:rsidRPr="00A57D42" w:rsidRDefault="005C0DE2" w:rsidP="005C0DE2">
      <w:pPr>
        <w:autoSpaceDE w:val="0"/>
        <w:autoSpaceDN w:val="0"/>
        <w:adjustRightInd w:val="0"/>
        <w:spacing w:line="360" w:lineRule="auto"/>
        <w:jc w:val="both"/>
        <w:rPr>
          <w:rFonts w:ascii="Palatino Linotype" w:eastAsia="Palatino Linotype" w:hAnsi="Palatino Linotype" w:cs="Palatino Linotype"/>
          <w:sz w:val="22"/>
          <w:szCs w:val="22"/>
          <w:lang w:eastAsia="en-US"/>
        </w:rPr>
      </w:pPr>
      <w:r w:rsidRPr="00A57D42">
        <w:rPr>
          <w:rFonts w:ascii="Palatino Linotype" w:hAnsi="Palatino Linotype" w:cs="Tahoma"/>
          <w:bCs/>
          <w:iCs/>
          <w:sz w:val="22"/>
          <w:szCs w:val="22"/>
        </w:rPr>
        <w:t xml:space="preserve">Al respecto, es necesario mencionar que de mencionar que el documento que pudiera dar cuenta de lo solicitado por el particular, de manera enunciativa más no limitativa, es el curriculum vitae o ficha curricular, ya que </w:t>
      </w:r>
      <w:r w:rsidRPr="00A57D42">
        <w:rPr>
          <w:rFonts w:ascii="Palatino Linotype" w:eastAsia="Palatino Linotype" w:hAnsi="Palatino Linotype" w:cs="Palatino Linotype"/>
          <w:sz w:val="22"/>
          <w:szCs w:val="22"/>
          <w:lang w:eastAsia="en-US"/>
        </w:rPr>
        <w:t>es el documento que las personas elaboran con los datos de identificación y contacto</w:t>
      </w:r>
      <w:r w:rsidRPr="00A57D42">
        <w:rPr>
          <w:rFonts w:ascii="Palatino Linotype" w:eastAsia="Palatino Linotype" w:hAnsi="Palatino Linotype" w:cs="Palatino Linotype"/>
          <w:sz w:val="22"/>
          <w:szCs w:val="22"/>
          <w:u w:val="single"/>
          <w:lang w:eastAsia="en-US"/>
        </w:rPr>
        <w:t xml:space="preserve">, </w:t>
      </w:r>
      <w:r w:rsidRPr="00A57D42">
        <w:rPr>
          <w:rFonts w:ascii="Palatino Linotype" w:eastAsia="Palatino Linotype" w:hAnsi="Palatino Linotype" w:cs="Palatino Linotype"/>
          <w:b/>
          <w:sz w:val="22"/>
          <w:szCs w:val="22"/>
          <w:u w:val="single"/>
          <w:lang w:eastAsia="en-US"/>
        </w:rPr>
        <w:t>preparación académica y experiencia profesion</w:t>
      </w:r>
      <w:r w:rsidRPr="00A57D42">
        <w:rPr>
          <w:rFonts w:ascii="Palatino Linotype" w:eastAsia="Palatino Linotype" w:hAnsi="Palatino Linotype" w:cs="Palatino Linotype"/>
          <w:b/>
          <w:sz w:val="22"/>
          <w:szCs w:val="22"/>
          <w:lang w:eastAsia="en-US"/>
        </w:rPr>
        <w:t>al,</w:t>
      </w:r>
      <w:r w:rsidRPr="00A57D42">
        <w:rPr>
          <w:rFonts w:ascii="Palatino Linotype" w:eastAsia="Palatino Linotype" w:hAnsi="Palatino Linotype" w:cs="Palatino Linotype"/>
          <w:sz w:val="22"/>
          <w:szCs w:val="22"/>
          <w:lang w:eastAsia="en-US"/>
        </w:rPr>
        <w:t xml:space="preserve"> para presentarse ante un posible empleador. En este sentido, los documentos que dan cuenta de la preparación académica sirven como medios de identificación para que a su titular lo relacionen con el nivel de estudios con que cuenta y, por lo que hace al </w:t>
      </w:r>
      <w:r w:rsidRPr="00A57D42">
        <w:rPr>
          <w:rFonts w:ascii="Palatino Linotype" w:eastAsia="Palatino Linotype" w:hAnsi="Palatino Linotype" w:cs="Palatino Linotype"/>
          <w:i/>
          <w:sz w:val="22"/>
          <w:szCs w:val="22"/>
          <w:lang w:eastAsia="en-US"/>
        </w:rPr>
        <w:t>curriculum vitae</w:t>
      </w:r>
      <w:r w:rsidRPr="00A57D42">
        <w:rPr>
          <w:rFonts w:ascii="Palatino Linotype" w:eastAsia="Palatino Linotype" w:hAnsi="Palatino Linotype" w:cs="Palatino Linotype"/>
          <w:b/>
          <w:sz w:val="22"/>
          <w:szCs w:val="22"/>
          <w:u w:val="single"/>
          <w:lang w:eastAsia="en-US"/>
        </w:rPr>
        <w:t>, se le suma la experiencia laboral</w:t>
      </w:r>
      <w:r w:rsidRPr="00A57D42">
        <w:rPr>
          <w:rFonts w:ascii="Palatino Linotype" w:eastAsia="Palatino Linotype" w:hAnsi="Palatino Linotype" w:cs="Palatino Linotype"/>
          <w:sz w:val="22"/>
          <w:szCs w:val="22"/>
          <w:lang w:eastAsia="en-US"/>
        </w:rPr>
        <w:t xml:space="preserve"> </w:t>
      </w:r>
      <w:r w:rsidRPr="00A57D42">
        <w:rPr>
          <w:rFonts w:ascii="Palatino Linotype" w:eastAsia="Palatino Linotype" w:hAnsi="Palatino Linotype" w:cs="Palatino Linotype"/>
          <w:b/>
          <w:sz w:val="22"/>
          <w:szCs w:val="22"/>
          <w:u w:val="single"/>
          <w:lang w:eastAsia="en-US"/>
        </w:rPr>
        <w:t xml:space="preserve">pues permiten identificar el nivel y tipo de preparación de su titular y en su caso su perfil </w:t>
      </w:r>
      <w:r w:rsidRPr="00A57D42">
        <w:rPr>
          <w:rFonts w:ascii="Palatino Linotype" w:eastAsia="Palatino Linotype" w:hAnsi="Palatino Linotype" w:cs="Palatino Linotype"/>
          <w:b/>
          <w:sz w:val="22"/>
          <w:szCs w:val="22"/>
          <w:lang w:eastAsia="en-US"/>
        </w:rPr>
        <w:t xml:space="preserve">profesional </w:t>
      </w:r>
      <w:r w:rsidRPr="00A57D42">
        <w:rPr>
          <w:rFonts w:ascii="Palatino Linotype" w:eastAsia="Palatino Linotype" w:hAnsi="Palatino Linotype" w:cs="Palatino Linotype"/>
          <w:b/>
          <w:sz w:val="22"/>
          <w:szCs w:val="22"/>
          <w:u w:val="single"/>
          <w:lang w:eastAsia="en-US"/>
        </w:rPr>
        <w:t>o laboral.</w:t>
      </w:r>
    </w:p>
    <w:p w14:paraId="53A05048"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p>
    <w:p w14:paraId="4834ABC1"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r w:rsidRPr="00A57D42">
        <w:rPr>
          <w:rFonts w:ascii="Palatino Linotype" w:eastAsia="Palatino Linotype" w:hAnsi="Palatino Linotype" w:cs="Palatino Linotype"/>
          <w:sz w:val="22"/>
          <w:szCs w:val="22"/>
          <w:lang w:eastAsia="en-US"/>
        </w:rPr>
        <w:t xml:space="preserve">Desde esta perspectiva, a través del currículum vite la persona solicitante puede advertir los estudios realizados o bien el nivel académico, así como la experiencia laboral de los servidores públicos que se encuentran adscritos al </w:t>
      </w:r>
      <w:r w:rsidRPr="00A57D42">
        <w:rPr>
          <w:rFonts w:ascii="Palatino Linotype" w:eastAsia="Palatino Linotype" w:hAnsi="Palatino Linotype" w:cs="Palatino Linotype"/>
          <w:b/>
          <w:sz w:val="22"/>
          <w:szCs w:val="22"/>
          <w:lang w:eastAsia="en-US"/>
        </w:rPr>
        <w:t>Sujeto Obligado</w:t>
      </w:r>
      <w:r w:rsidRPr="00A57D42">
        <w:rPr>
          <w:rFonts w:ascii="Palatino Linotype" w:eastAsia="Palatino Linotype" w:hAnsi="Palatino Linotype" w:cs="Palatino Linotype"/>
          <w:sz w:val="22"/>
          <w:szCs w:val="22"/>
          <w:lang w:eastAsia="en-US"/>
        </w:rPr>
        <w:t xml:space="preserve">, información que es de carácter público de conformidad con el criterio orientador 03/2009, emitido por el entonces Instituto Nacional de Transparencia Acceso a la Información Pública y Protección de Datos Personales (INAI), que establece que una de las formas en que los ciudadanos puedan evaluar las aptitudes de los servidores públicos para desempeñar el cargo público que les ha sido encomendado, </w:t>
      </w:r>
      <w:r w:rsidRPr="00A57D42">
        <w:rPr>
          <w:rFonts w:ascii="Palatino Linotype" w:eastAsia="Palatino Linotype" w:hAnsi="Palatino Linotype" w:cs="Palatino Linotype"/>
          <w:b/>
          <w:sz w:val="22"/>
          <w:szCs w:val="22"/>
          <w:u w:val="single"/>
          <w:lang w:eastAsia="en-US"/>
        </w:rPr>
        <w:t>es mediante la publicidad de ciertos datos contenidos en los currículos, o bien en las solicitudes de empleo,</w:t>
      </w:r>
      <w:r w:rsidRPr="00A57D42">
        <w:rPr>
          <w:rFonts w:ascii="Palatino Linotype" w:eastAsia="Palatino Linotype" w:hAnsi="Palatino Linotype" w:cs="Palatino Linotype"/>
          <w:sz w:val="22"/>
          <w:szCs w:val="22"/>
          <w:lang w:eastAsia="en-US"/>
        </w:rPr>
        <w:t xml:space="preserve"> el cual, para mayor ilustración se transcribe a continuación:</w:t>
      </w:r>
    </w:p>
    <w:p w14:paraId="27ADDD89"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p>
    <w:p w14:paraId="5418A31D" w14:textId="77777777" w:rsidR="005C0DE2" w:rsidRPr="00A57D42" w:rsidRDefault="005C0DE2" w:rsidP="005C0DE2">
      <w:pPr>
        <w:ind w:left="567" w:right="612"/>
        <w:jc w:val="both"/>
        <w:rPr>
          <w:rFonts w:ascii="Palatino Linotype" w:eastAsia="Palatino Linotype" w:hAnsi="Palatino Linotype" w:cs="Palatino Linotype"/>
          <w:i/>
          <w:sz w:val="22"/>
          <w:szCs w:val="22"/>
          <w:lang w:eastAsia="en-US"/>
        </w:rPr>
      </w:pPr>
      <w:r w:rsidRPr="00A57D42">
        <w:rPr>
          <w:rFonts w:ascii="Palatino Linotype" w:eastAsia="Palatino Linotype" w:hAnsi="Palatino Linotype" w:cs="Palatino Linotype"/>
          <w:i/>
          <w:sz w:val="22"/>
          <w:szCs w:val="22"/>
          <w:lang w:eastAsia="en-US"/>
        </w:rPr>
        <w:t xml:space="preserve"> “</w:t>
      </w:r>
      <w:r w:rsidRPr="00A57D42">
        <w:rPr>
          <w:rFonts w:ascii="Palatino Linotype" w:eastAsia="Palatino Linotype" w:hAnsi="Palatino Linotype" w:cs="Palatino Linotype"/>
          <w:b/>
          <w:i/>
          <w:sz w:val="22"/>
          <w:szCs w:val="22"/>
          <w:lang w:eastAsia="en-US"/>
        </w:rPr>
        <w:t>Curriculum Vitae de servidores públicos.</w:t>
      </w:r>
      <w:r w:rsidRPr="00A57D42">
        <w:rPr>
          <w:rFonts w:ascii="Palatino Linotype" w:eastAsia="Palatino Linotype" w:hAnsi="Palatino Linotype" w:cs="Palatino Linotype"/>
          <w:i/>
          <w:sz w:val="22"/>
          <w:szCs w:val="22"/>
          <w:lang w:eastAsia="en-US"/>
        </w:rPr>
        <w:t xml:space="preserve"> Es obligación de los sujetos obligados otorgar acceso a versiones públicas de los mismos ante una solicitud de acceso. 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curriculum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curriculum vitae de un servidor público, una de las formas en que los ciudadanos pueden evaluar sus aptitudes para desempeñar el cargo público que le ha sido encomendado, es mediante la publicidad de ciertos datos de los ahí contenidos. En esa tesitura, entre los datos personales del curriculum vitae de un servidor público susceptibles de hacerse del conocimiento público, ante una solicitud de acceso, se encuentran los relativos a su trayectoria académica, profesional, laboral, así como todos aquellos que acrediten su capacidad, habilidades o pericia para ocupar el cargo público.” (Sic)</w:t>
      </w:r>
    </w:p>
    <w:p w14:paraId="50368147" w14:textId="77777777" w:rsidR="005C0DE2" w:rsidRPr="00A57D42" w:rsidRDefault="005C0DE2" w:rsidP="005C0DE2">
      <w:pPr>
        <w:spacing w:line="276" w:lineRule="auto"/>
        <w:jc w:val="both"/>
        <w:rPr>
          <w:rFonts w:ascii="Palatino Linotype" w:eastAsia="Palatino Linotype" w:hAnsi="Palatino Linotype" w:cs="Palatino Linotype"/>
          <w:i/>
          <w:sz w:val="22"/>
          <w:szCs w:val="22"/>
          <w:lang w:eastAsia="en-US"/>
        </w:rPr>
      </w:pPr>
    </w:p>
    <w:p w14:paraId="560A504A" w14:textId="77777777" w:rsidR="005C0DE2" w:rsidRPr="00A57D42" w:rsidRDefault="005C0DE2" w:rsidP="005C0DE2">
      <w:pPr>
        <w:spacing w:line="360" w:lineRule="auto"/>
        <w:jc w:val="both"/>
        <w:rPr>
          <w:rFonts w:ascii="Palatino Linotype" w:eastAsia="Palatino Linotype" w:hAnsi="Palatino Linotype" w:cs="Palatino Linotype"/>
          <w:b/>
          <w:sz w:val="22"/>
          <w:szCs w:val="22"/>
          <w:lang w:eastAsia="en-US"/>
        </w:rPr>
      </w:pPr>
      <w:r w:rsidRPr="00A57D42">
        <w:rPr>
          <w:rFonts w:ascii="Palatino Linotype" w:eastAsia="Palatino Linotype" w:hAnsi="Palatino Linotype" w:cs="Palatino Linotype"/>
          <w:sz w:val="22"/>
          <w:szCs w:val="22"/>
          <w:lang w:eastAsia="en-US"/>
        </w:rPr>
        <w:t xml:space="preserve">Del cual se advierte que si bien en el currículum vitae se describe información de una persona relacionada con su formación académica, trayectoria profesional y datos de contacto entre otros que pudieran constituir datos personales; tratándose de servidores públicos, el conocimiento de los mismos por los gobernados contribuye a la evaluación de sus aptitudes </w:t>
      </w:r>
      <w:r w:rsidRPr="00A57D42">
        <w:rPr>
          <w:rFonts w:ascii="Palatino Linotype" w:eastAsia="Palatino Linotype" w:hAnsi="Palatino Linotype" w:cs="Palatino Linotype"/>
          <w:b/>
          <w:sz w:val="22"/>
          <w:szCs w:val="22"/>
          <w:lang w:eastAsia="en-US"/>
        </w:rPr>
        <w:t>de acuerdo a su nivel profesional y laboral</w:t>
      </w:r>
      <w:r w:rsidRPr="00A57D42">
        <w:rPr>
          <w:rFonts w:ascii="Palatino Linotype" w:eastAsia="Palatino Linotype" w:hAnsi="Palatino Linotype" w:cs="Palatino Linotype"/>
          <w:sz w:val="22"/>
          <w:szCs w:val="22"/>
          <w:lang w:eastAsia="en-US"/>
        </w:rPr>
        <w:t xml:space="preserve">, para el desempeño de sus funciones en el cargo que ostenten, razón que resulta suficiente para que sean de conocimiento público </w:t>
      </w:r>
      <w:r w:rsidRPr="00A57D42">
        <w:rPr>
          <w:rFonts w:ascii="Palatino Linotype" w:eastAsia="Palatino Linotype" w:hAnsi="Palatino Linotype" w:cs="Palatino Linotype"/>
          <w:sz w:val="22"/>
          <w:szCs w:val="22"/>
          <w:u w:val="single"/>
          <w:lang w:eastAsia="en-US"/>
        </w:rPr>
        <w:t>y si bien es cierto que no existe disposición legal que ordene de manera expresa que el sujeto obligado, deba contar en sus archivos con un documento denominado “currículum vitae”</w:t>
      </w:r>
      <w:r w:rsidRPr="00A57D42">
        <w:rPr>
          <w:rFonts w:ascii="Palatino Linotype" w:eastAsia="Palatino Linotype" w:hAnsi="Palatino Linotype" w:cs="Palatino Linotype"/>
          <w:sz w:val="22"/>
          <w:szCs w:val="22"/>
          <w:lang w:eastAsia="en-US"/>
        </w:rPr>
        <w:t xml:space="preserve"> de sus servidores públicos, </w:t>
      </w:r>
      <w:r w:rsidRPr="00A57D42">
        <w:rPr>
          <w:rFonts w:ascii="Palatino Linotype" w:eastAsia="Palatino Linotype" w:hAnsi="Palatino Linotype" w:cs="Palatino Linotype"/>
          <w:b/>
          <w:sz w:val="22"/>
          <w:szCs w:val="22"/>
          <w:lang w:eastAsia="en-US"/>
        </w:rPr>
        <w:t>también lo es que para el desempeño de un empleo, cargo o comisión en el servicio público sí es requisito, entre otros, presentar una solicitud del empleo, como se desprende del artículo 47 fracción I de la Ley del Trabajo para los Servidores Públicos del Estado y Municipios, a saber:</w:t>
      </w:r>
    </w:p>
    <w:p w14:paraId="64B71C5E" w14:textId="77777777" w:rsidR="005C0DE2" w:rsidRPr="00A57D42" w:rsidRDefault="005C0DE2" w:rsidP="005C0DE2">
      <w:pPr>
        <w:spacing w:line="360" w:lineRule="auto"/>
        <w:jc w:val="both"/>
        <w:rPr>
          <w:rFonts w:ascii="Palatino Linotype" w:eastAsia="Palatino Linotype" w:hAnsi="Palatino Linotype" w:cs="Palatino Linotype"/>
          <w:b/>
          <w:sz w:val="22"/>
          <w:szCs w:val="22"/>
          <w:lang w:eastAsia="en-US"/>
        </w:rPr>
      </w:pPr>
    </w:p>
    <w:p w14:paraId="5FC83B28" w14:textId="77777777" w:rsidR="005C0DE2" w:rsidRPr="00A57D42" w:rsidRDefault="005C0DE2" w:rsidP="005C0DE2">
      <w:pPr>
        <w:spacing w:line="276" w:lineRule="auto"/>
        <w:ind w:left="567" w:right="560"/>
        <w:jc w:val="both"/>
        <w:rPr>
          <w:rFonts w:ascii="Palatino Linotype" w:eastAsia="Palatino Linotype" w:hAnsi="Palatino Linotype" w:cs="Palatino Linotype"/>
          <w:i/>
          <w:sz w:val="22"/>
          <w:szCs w:val="22"/>
          <w:lang w:eastAsia="en-US"/>
        </w:rPr>
      </w:pPr>
      <w:r w:rsidRPr="00A57D42">
        <w:rPr>
          <w:rFonts w:ascii="Palatino Linotype" w:eastAsia="Palatino Linotype" w:hAnsi="Palatino Linotype" w:cs="Palatino Linotype"/>
          <w:i/>
          <w:sz w:val="22"/>
          <w:szCs w:val="22"/>
          <w:lang w:eastAsia="en-US"/>
        </w:rPr>
        <w:t xml:space="preserve">“ARTÍCULO 47. Para ingresar al servicio público se requiere: </w:t>
      </w:r>
    </w:p>
    <w:p w14:paraId="1F9254C9" w14:textId="77777777" w:rsidR="005C0DE2" w:rsidRPr="00A57D42" w:rsidRDefault="005C0DE2" w:rsidP="005C0DE2">
      <w:pPr>
        <w:spacing w:line="276" w:lineRule="auto"/>
        <w:ind w:left="567" w:right="560"/>
        <w:jc w:val="both"/>
        <w:rPr>
          <w:rFonts w:ascii="Palatino Linotype" w:eastAsia="Palatino Linotype" w:hAnsi="Palatino Linotype" w:cs="Palatino Linotype"/>
          <w:i/>
          <w:sz w:val="22"/>
          <w:szCs w:val="22"/>
          <w:lang w:eastAsia="en-US"/>
        </w:rPr>
      </w:pPr>
      <w:r w:rsidRPr="00A57D42">
        <w:rPr>
          <w:rFonts w:ascii="Palatino Linotype" w:eastAsia="Palatino Linotype" w:hAnsi="Palatino Linotype" w:cs="Palatino Linotype"/>
          <w:i/>
          <w:sz w:val="22"/>
          <w:szCs w:val="22"/>
          <w:lang w:eastAsia="en-US"/>
        </w:rPr>
        <w:t>I. Presentar una solicitud utilizando la forma oficial que se autorice por la institución pública o dependencia correspondiente, a la cual se le prohíbe incluir la fotografía de quien solicita el empleo;[…]”</w:t>
      </w:r>
    </w:p>
    <w:p w14:paraId="4BCB6209"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p>
    <w:p w14:paraId="547CC3E4"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r w:rsidRPr="00A57D42">
        <w:rPr>
          <w:rFonts w:ascii="Palatino Linotype" w:eastAsia="Palatino Linotype" w:hAnsi="Palatino Linotype" w:cs="Palatino Linotype"/>
          <w:b/>
          <w:sz w:val="22"/>
          <w:szCs w:val="22"/>
          <w:lang w:eastAsia="en-US"/>
        </w:rPr>
        <w:t>Por lo que es posible determinar que, el currículum vítae, ficha curricular, solicitud de empleo o documento análogo, contienen información relacionada con la trayectoria académica, profesional y laboral,</w:t>
      </w:r>
      <w:r w:rsidRPr="00A57D42">
        <w:rPr>
          <w:rFonts w:ascii="Palatino Linotype" w:eastAsia="Palatino Linotype" w:hAnsi="Palatino Linotype" w:cs="Palatino Linotype"/>
          <w:sz w:val="22"/>
          <w:szCs w:val="22"/>
          <w:lang w:eastAsia="en-US"/>
        </w:rPr>
        <w:t xml:space="preserve"> por medio del cual se acredita la capacidad, habilidades, experiencia o pericia de una persona para ocupar un cargo, puesto o comisión, que permitan realizar una comparación de las actividades que ha realizado con las que habrá de desarrollar, y determinar si cumple con el perfil del cargo a ocupar.</w:t>
      </w:r>
    </w:p>
    <w:p w14:paraId="5173ECC0"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p>
    <w:p w14:paraId="674E634E"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r w:rsidRPr="00A57D42">
        <w:rPr>
          <w:rFonts w:ascii="Palatino Linotype" w:eastAsia="Palatino Linotype" w:hAnsi="Palatino Linotype" w:cs="Palatino Linotype"/>
          <w:sz w:val="22"/>
          <w:szCs w:val="22"/>
          <w:lang w:eastAsia="en-US"/>
        </w:rPr>
        <w:t xml:space="preserve">En esa tesitura, debe apuntarse que la información curricular constituye una obligación de transparencia, pues </w:t>
      </w:r>
      <w:r w:rsidRPr="00A57D42">
        <w:rPr>
          <w:rFonts w:ascii="Palatino Linotype" w:eastAsia="Palatino Linotype" w:hAnsi="Palatino Linotype" w:cs="Palatino Linotype"/>
          <w:b/>
          <w:sz w:val="22"/>
          <w:szCs w:val="22"/>
          <w:lang w:eastAsia="en-US"/>
        </w:rPr>
        <w:t>el Sujeto Obligado</w:t>
      </w:r>
      <w:r w:rsidRPr="00A57D42">
        <w:rPr>
          <w:rFonts w:ascii="Palatino Linotype" w:eastAsia="Palatino Linotype" w:hAnsi="Palatino Linotype" w:cs="Palatino Linotype"/>
          <w:sz w:val="22"/>
          <w:szCs w:val="22"/>
          <w:lang w:eastAsia="en-US"/>
        </w:rPr>
        <w:t xml:space="preserve"> se encuentra constreñido a poner a disposición del público en su portal de Información Pública de Oficio Mexiquense (IPOMEX), la información curricular de sus servidores públicos, ello con la finalidad de enaltecer los principios de máxima publicidad, transparencia y certeza, como lo estipula  el artículo 92, fracción XXI de la ley aplicable a la materia, que es del tenor literal siguiente: </w:t>
      </w:r>
    </w:p>
    <w:p w14:paraId="45449435"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p>
    <w:p w14:paraId="72F68C2B" w14:textId="77777777" w:rsidR="005C0DE2" w:rsidRPr="00A57D42" w:rsidRDefault="005C0DE2" w:rsidP="005C0DE2">
      <w:pPr>
        <w:ind w:left="567" w:right="612"/>
        <w:jc w:val="both"/>
        <w:rPr>
          <w:rFonts w:ascii="Palatino Linotype" w:eastAsia="Palatino Linotype" w:hAnsi="Palatino Linotype" w:cs="Palatino Linotype"/>
          <w:i/>
          <w:sz w:val="22"/>
          <w:szCs w:val="22"/>
          <w:lang w:eastAsia="en-US"/>
        </w:rPr>
      </w:pPr>
      <w:r w:rsidRPr="00A57D42">
        <w:rPr>
          <w:rFonts w:ascii="Palatino Linotype" w:eastAsia="Palatino Linotype" w:hAnsi="Palatino Linotype" w:cs="Palatino Linotype"/>
          <w:i/>
          <w:sz w:val="22"/>
          <w:szCs w:val="22"/>
          <w:lang w:eastAsia="en-US"/>
        </w:rPr>
        <w:t xml:space="preserve"> “Artículo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76C426E" w14:textId="77777777" w:rsidR="005C0DE2" w:rsidRPr="00A57D42" w:rsidRDefault="005C0DE2" w:rsidP="005C0DE2">
      <w:pPr>
        <w:ind w:left="567" w:right="612"/>
        <w:jc w:val="both"/>
        <w:rPr>
          <w:rFonts w:ascii="Palatino Linotype" w:eastAsia="Palatino Linotype" w:hAnsi="Palatino Linotype" w:cs="Palatino Linotype"/>
          <w:i/>
          <w:sz w:val="22"/>
          <w:szCs w:val="22"/>
          <w:lang w:eastAsia="en-US"/>
        </w:rPr>
      </w:pPr>
      <w:r w:rsidRPr="00A57D42">
        <w:rPr>
          <w:rFonts w:ascii="Palatino Linotype" w:eastAsia="Palatino Linotype" w:hAnsi="Palatino Linotype" w:cs="Palatino Linotype"/>
          <w:i/>
          <w:sz w:val="22"/>
          <w:szCs w:val="22"/>
          <w:lang w:eastAsia="en-US"/>
        </w:rPr>
        <w:t>...</w:t>
      </w:r>
    </w:p>
    <w:p w14:paraId="0F3D7D0F" w14:textId="77777777" w:rsidR="005C0DE2" w:rsidRPr="00A57D42" w:rsidRDefault="005C0DE2" w:rsidP="005C0DE2">
      <w:pPr>
        <w:ind w:left="567" w:right="612"/>
        <w:jc w:val="both"/>
        <w:rPr>
          <w:rFonts w:ascii="Palatino Linotype" w:eastAsia="Palatino Linotype" w:hAnsi="Palatino Linotype" w:cs="Palatino Linotype"/>
          <w:i/>
          <w:sz w:val="22"/>
          <w:szCs w:val="22"/>
          <w:lang w:eastAsia="en-US"/>
        </w:rPr>
      </w:pPr>
      <w:r w:rsidRPr="00A57D42">
        <w:rPr>
          <w:rFonts w:ascii="Palatino Linotype" w:eastAsia="Palatino Linotype" w:hAnsi="Palatino Linotype" w:cs="Palatino Linotype"/>
          <w:i/>
          <w:sz w:val="22"/>
          <w:szCs w:val="22"/>
          <w:lang w:eastAsia="en-US"/>
        </w:rPr>
        <w:t>XXI. La información curricular, desde el nivel de jefe de departamento o equivalente, hasta el titular del sujeto obligado, así como, en su caso, las sanciones administrativas de que haya sido objeto;”</w:t>
      </w:r>
    </w:p>
    <w:p w14:paraId="44F36F1B" w14:textId="77777777" w:rsidR="005C0DE2" w:rsidRPr="00A57D42" w:rsidRDefault="005C0DE2" w:rsidP="005C0DE2">
      <w:pPr>
        <w:spacing w:line="360" w:lineRule="auto"/>
        <w:ind w:right="49"/>
        <w:jc w:val="both"/>
        <w:rPr>
          <w:rFonts w:ascii="Palatino Linotype" w:eastAsia="Palatino Linotype" w:hAnsi="Palatino Linotype" w:cs="Palatino Linotype"/>
          <w:sz w:val="22"/>
          <w:szCs w:val="22"/>
          <w:lang w:eastAsia="en-US"/>
        </w:rPr>
      </w:pPr>
    </w:p>
    <w:p w14:paraId="49FA43A9" w14:textId="77777777" w:rsidR="005C0DE2" w:rsidRPr="00A57D42" w:rsidRDefault="005C0DE2" w:rsidP="005C0DE2">
      <w:pPr>
        <w:spacing w:line="360" w:lineRule="auto"/>
        <w:jc w:val="both"/>
        <w:rPr>
          <w:rFonts w:ascii="Palatino Linotype" w:eastAsia="Palatino Linotype" w:hAnsi="Palatino Linotype" w:cs="Palatino Linotype"/>
          <w:b/>
          <w:sz w:val="22"/>
          <w:szCs w:val="22"/>
          <w:lang w:eastAsia="en-US"/>
        </w:rPr>
      </w:pPr>
      <w:r w:rsidRPr="00A57D42">
        <w:rPr>
          <w:rFonts w:ascii="Palatino Linotype" w:eastAsia="Palatino Linotype" w:hAnsi="Palatino Linotype" w:cs="Palatino Linotype"/>
          <w:sz w:val="22"/>
          <w:szCs w:val="22"/>
          <w:lang w:eastAsia="en-US"/>
        </w:rPr>
        <w:t xml:space="preserve">En ese contexto, según Islas, Jorge (2016), en la “Ley General de Transparencia y Acceso a la Información Pública Comentada” (p. 244), refirió que el </w:t>
      </w:r>
      <w:r w:rsidRPr="00A57D42">
        <w:rPr>
          <w:rFonts w:ascii="Palatino Linotype" w:eastAsia="Palatino Linotype" w:hAnsi="Palatino Linotype" w:cs="Palatino Linotype"/>
          <w:b/>
          <w:i/>
          <w:sz w:val="22"/>
          <w:szCs w:val="22"/>
          <w:lang w:eastAsia="en-US"/>
        </w:rPr>
        <w:t>curriculum vitae</w:t>
      </w:r>
      <w:r w:rsidRPr="00A57D42">
        <w:rPr>
          <w:rFonts w:ascii="Palatino Linotype" w:eastAsia="Palatino Linotype" w:hAnsi="Palatino Linotype" w:cs="Palatino Linotype"/>
          <w:b/>
          <w:sz w:val="22"/>
          <w:szCs w:val="22"/>
          <w:lang w:eastAsia="en-US"/>
        </w:rPr>
        <w:t xml:space="preserve"> </w:t>
      </w:r>
      <w:r w:rsidRPr="00A57D42">
        <w:rPr>
          <w:rFonts w:ascii="Palatino Linotype" w:eastAsia="Palatino Linotype" w:hAnsi="Palatino Linotype" w:cs="Palatino Linotype"/>
          <w:sz w:val="22"/>
          <w:szCs w:val="22"/>
          <w:lang w:eastAsia="en-US"/>
        </w:rPr>
        <w:t>d</w:t>
      </w:r>
      <w:r w:rsidRPr="00A57D42">
        <w:rPr>
          <w:rFonts w:ascii="Palatino Linotype" w:eastAsia="Palatino Linotype" w:hAnsi="Palatino Linotype" w:cs="Palatino Linotype"/>
          <w:b/>
          <w:sz w:val="22"/>
          <w:szCs w:val="22"/>
          <w:lang w:eastAsia="en-US"/>
        </w:rPr>
        <w:t>e un servidor público, justifica que su formación académica resulta viable para el desempeño eficiente y correcto de su encargo; lo anterior, con el fin de acreditar que dichos trabajadores sean los más capacitados acordes al área solicitada.</w:t>
      </w:r>
    </w:p>
    <w:p w14:paraId="210296F8" w14:textId="77777777" w:rsidR="005C0DE2" w:rsidRPr="00A57D42" w:rsidRDefault="005C0DE2" w:rsidP="005C0DE2">
      <w:pPr>
        <w:spacing w:line="360" w:lineRule="auto"/>
        <w:jc w:val="both"/>
        <w:rPr>
          <w:rFonts w:ascii="Palatino Linotype" w:eastAsia="Palatino Linotype" w:hAnsi="Palatino Linotype" w:cs="Palatino Linotype"/>
          <w:sz w:val="22"/>
          <w:szCs w:val="22"/>
          <w:lang w:eastAsia="en-US"/>
        </w:rPr>
      </w:pPr>
    </w:p>
    <w:p w14:paraId="478319F0" w14:textId="516B0B9C" w:rsidR="005C0DE2" w:rsidRPr="00A57D42" w:rsidRDefault="005C0DE2" w:rsidP="00B859DE">
      <w:pPr>
        <w:spacing w:line="360" w:lineRule="auto"/>
        <w:jc w:val="both"/>
        <w:rPr>
          <w:rFonts w:ascii="Palatino Linotype" w:hAnsi="Palatino Linotype" w:cs="Tahoma"/>
          <w:bCs/>
          <w:iCs/>
          <w:sz w:val="22"/>
          <w:szCs w:val="22"/>
        </w:rPr>
      </w:pPr>
      <w:r w:rsidRPr="00A57D42">
        <w:rPr>
          <w:rFonts w:ascii="Palatino Linotype" w:eastAsia="Palatino Linotype" w:hAnsi="Palatino Linotype" w:cs="Palatino Linotype"/>
          <w:sz w:val="22"/>
          <w:szCs w:val="22"/>
          <w:lang w:eastAsia="en-US"/>
        </w:rPr>
        <w:t xml:space="preserve">De esta manera, con la entrega que se realice del curriculum vitae, ficha curricular, solicitud de empleo o documento análogo, se colmaría el requisito previsto en la fracción I del artículo 47 de la Ley del Trabajo de la Entidad, además de que es el documento idóneo que contiene la experiencia de los servidores públicos; </w:t>
      </w:r>
      <w:r w:rsidRPr="00A57D42">
        <w:rPr>
          <w:rFonts w:ascii="Palatino Linotype" w:eastAsia="Palatino Linotype" w:hAnsi="Palatino Linotype" w:cs="Palatino Linotype"/>
          <w:b/>
          <w:sz w:val="22"/>
          <w:szCs w:val="22"/>
          <w:u w:val="single"/>
          <w:lang w:eastAsia="en-US"/>
        </w:rPr>
        <w:t>y por tanto,  procede su entrega en versión pública de advertirse datos de índole confidencial.</w:t>
      </w:r>
    </w:p>
    <w:p w14:paraId="7EF15631" w14:textId="77777777" w:rsidR="005C0DE2" w:rsidRPr="00A57D42" w:rsidRDefault="005C0DE2" w:rsidP="00016665">
      <w:pPr>
        <w:autoSpaceDE w:val="0"/>
        <w:autoSpaceDN w:val="0"/>
        <w:adjustRightInd w:val="0"/>
        <w:spacing w:line="360" w:lineRule="auto"/>
        <w:jc w:val="both"/>
        <w:rPr>
          <w:rFonts w:ascii="Palatino Linotype" w:hAnsi="Palatino Linotype" w:cs="Tahoma"/>
          <w:bCs/>
          <w:iCs/>
          <w:sz w:val="22"/>
          <w:szCs w:val="22"/>
        </w:rPr>
      </w:pPr>
    </w:p>
    <w:p w14:paraId="2246F67C"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Quinto. Versión Pública. </w:t>
      </w:r>
      <w:r w:rsidRPr="00A57D42">
        <w:rPr>
          <w:rFonts w:ascii="Palatino Linotype" w:eastAsia="Palatino Linotype" w:hAnsi="Palatino Linotype" w:cs="Palatino Linotype"/>
          <w:sz w:val="22"/>
          <w:szCs w:val="22"/>
        </w:rPr>
        <w:t xml:space="preserve">Finalmente, para la entrega de la información que se determina ordenar, el Sujeto Obligado deberá realizar un análisis con la finalidad de advertir si esta contiene datos que deben ser clasificados en los términos que la misma Ley en la materia señala. </w:t>
      </w:r>
    </w:p>
    <w:p w14:paraId="176AC7A5"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7679BB30"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En ese sentido, el Sujeto Obligado tendrá que elaborar la versión pública de los documentos que vaya a entregar para dar cumplimiento a esta resolución a fin de satisfacer el derecho de acceso a la información pública del recurrente sin menoscabar el derecho a la protección de los datos personales de terceros. </w:t>
      </w:r>
    </w:p>
    <w:p w14:paraId="370F0DC2"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578FA5EA" w14:textId="77777777" w:rsidR="00C877F6" w:rsidRPr="00A57D42" w:rsidRDefault="00F36565" w:rsidP="00F45A48">
      <w:pPr>
        <w:spacing w:line="360" w:lineRule="auto"/>
        <w:ind w:right="50"/>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Lo anterior, de conformidad con lo que señalan los artículos 3 fracciones IX, XX, XXI y XLV, 91, 132 fracciones II y III, y 143 de la Ley de Transparencia y Acceso a la Información Pública del Estado de México y Municipios que establecen: </w:t>
      </w:r>
    </w:p>
    <w:p w14:paraId="3CDCE510" w14:textId="77777777" w:rsidR="00C877F6" w:rsidRPr="00A57D42" w:rsidRDefault="00C877F6" w:rsidP="00F45A48">
      <w:pPr>
        <w:spacing w:line="360" w:lineRule="auto"/>
        <w:ind w:right="50"/>
        <w:jc w:val="both"/>
        <w:rPr>
          <w:rFonts w:ascii="Palatino Linotype" w:eastAsia="Palatino Linotype" w:hAnsi="Palatino Linotype" w:cs="Palatino Linotype"/>
          <w:sz w:val="22"/>
          <w:szCs w:val="22"/>
        </w:rPr>
      </w:pPr>
    </w:p>
    <w:p w14:paraId="014C759A"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Artículo 3.</w:t>
      </w:r>
      <w:r w:rsidRPr="00A57D42">
        <w:rPr>
          <w:rFonts w:ascii="Palatino Linotype" w:eastAsia="Palatino Linotype" w:hAnsi="Palatino Linotype" w:cs="Palatino Linotype"/>
          <w:i/>
          <w:sz w:val="22"/>
          <w:szCs w:val="22"/>
        </w:rPr>
        <w:t xml:space="preserve"> Para los efectos de la presente Ley se entenderá por:</w:t>
      </w:r>
    </w:p>
    <w:p w14:paraId="6D483FCD"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07C497C9"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IX. Datos personales: La información concerniente a una persona, identificada o identificable según lo dispuesto por la Ley de Protección de Datos Personales del Estado de México; </w:t>
      </w:r>
    </w:p>
    <w:p w14:paraId="1BFF9FDC"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XX. Información clasificada: Aquella considerada por la presente Ley como reservada o confidencial;</w:t>
      </w:r>
    </w:p>
    <w:p w14:paraId="38A48A59"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XXI.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1B5C407E"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XLV. Versión pública: Documento en el que se elimine, suprime o borra la información clasificada como reservada o confidencial para permitir su acceso.</w:t>
      </w:r>
    </w:p>
    <w:p w14:paraId="3D22D22D"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7BE5EF39"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Artículo 91.</w:t>
      </w:r>
      <w:r w:rsidRPr="00A57D42">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3F17469B"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Artículo 132.</w:t>
      </w:r>
      <w:r w:rsidRPr="00A57D42">
        <w:rPr>
          <w:rFonts w:ascii="Palatino Linotype" w:eastAsia="Palatino Linotype" w:hAnsi="Palatino Linotype" w:cs="Palatino Linotype"/>
          <w:i/>
          <w:sz w:val="22"/>
          <w:szCs w:val="22"/>
        </w:rPr>
        <w:t xml:space="preserve"> La clasificación de la información se llevará a cabo en el momento en que:</w:t>
      </w:r>
    </w:p>
    <w:p w14:paraId="7AFC8D89" w14:textId="77777777" w:rsidR="00C877F6" w:rsidRPr="00A57D42" w:rsidRDefault="00F36565" w:rsidP="00F45A48">
      <w:pPr>
        <w:tabs>
          <w:tab w:val="left" w:pos="1134"/>
        </w:tabs>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 Se reciba una solicitud de acceso a la información;</w:t>
      </w:r>
    </w:p>
    <w:p w14:paraId="45CEA9D2" w14:textId="77777777" w:rsidR="00C877F6" w:rsidRPr="00A57D42" w:rsidRDefault="00F36565" w:rsidP="00F45A48">
      <w:pPr>
        <w:tabs>
          <w:tab w:val="left" w:pos="1134"/>
        </w:tabs>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 Se determine mediante resolución de autoridad competente; o</w:t>
      </w:r>
    </w:p>
    <w:p w14:paraId="2455AA3E" w14:textId="77777777" w:rsidR="00C877F6" w:rsidRPr="00A57D42" w:rsidRDefault="00F36565" w:rsidP="00F45A48">
      <w:pPr>
        <w:tabs>
          <w:tab w:val="left" w:pos="1134"/>
        </w:tabs>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III. Se generen versiones públicas para dar cumplimiento a las obligaciones de transparencia previstas en esta Ley.</w:t>
      </w:r>
    </w:p>
    <w:p w14:paraId="0570D4E8"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54A48D97"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Artículo 143</w:t>
      </w:r>
      <w:r w:rsidRPr="00A57D42">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47D8B45E"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 Se refiera a la información privada y los datos personales concernientes a una persona física o jurídico colectiva identificada o identificable;</w:t>
      </w:r>
    </w:p>
    <w:p w14:paraId="5F8C642C"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14:paraId="27EBC6A6"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w:t>
      </w:r>
    </w:p>
    <w:p w14:paraId="1B309FE7"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La información confidencial no estará sujeta a temporalidad alguna y sólo podrán tener acceso a ella los titulares de la misma, sus representantes y los servidores públicos facultados para ello.</w:t>
      </w:r>
    </w:p>
    <w:p w14:paraId="33733357"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No se considerará confidencial la información que se encuentre en los registros públicos o en fuentes de acceso público, ni tampoco la que sea considerada por la presente ley como información pública.”</w:t>
      </w:r>
    </w:p>
    <w:p w14:paraId="658562F3" w14:textId="77777777" w:rsidR="00C877F6" w:rsidRPr="00A57D42" w:rsidRDefault="00C877F6" w:rsidP="00F45A48">
      <w:pPr>
        <w:ind w:left="567" w:right="616"/>
        <w:jc w:val="both"/>
        <w:rPr>
          <w:rFonts w:ascii="Palatino Linotype" w:eastAsia="Palatino Linotype" w:hAnsi="Palatino Linotype" w:cs="Palatino Linotype"/>
          <w:i/>
          <w:sz w:val="22"/>
          <w:szCs w:val="22"/>
        </w:rPr>
      </w:pPr>
    </w:p>
    <w:p w14:paraId="4931F605" w14:textId="12F467C1"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vigentes a la fecha de la solicitud de información,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r w:rsidR="0083209D" w:rsidRPr="00A57D42">
        <w:rPr>
          <w:rFonts w:ascii="Palatino Linotype" w:eastAsia="Palatino Linotype" w:hAnsi="Palatino Linotype" w:cs="Palatino Linotype"/>
          <w:sz w:val="22"/>
          <w:szCs w:val="22"/>
        </w:rPr>
        <w:t xml:space="preserve"> </w:t>
      </w:r>
    </w:p>
    <w:p w14:paraId="04BE5618" w14:textId="77777777" w:rsidR="009A3CFC" w:rsidRPr="00A57D42" w:rsidRDefault="009A3CFC" w:rsidP="00F45A48">
      <w:pPr>
        <w:spacing w:line="360" w:lineRule="auto"/>
        <w:jc w:val="both"/>
        <w:rPr>
          <w:rFonts w:ascii="Palatino Linotype" w:eastAsia="Palatino Linotype" w:hAnsi="Palatino Linotype" w:cs="Palatino Linotype"/>
          <w:sz w:val="22"/>
          <w:szCs w:val="22"/>
        </w:rPr>
      </w:pPr>
    </w:p>
    <w:p w14:paraId="57180B8D"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otro lado, es de destacar que los artículos Quincuagésimo, Quincuagésimo primero, Quincuagésimo segundo, de los Lineamientos Generales en Materia de Clasificación y Desclasificación de la Información, así como para la Elaboración de Versiones Públicas vigentes a la fecha de la solicitud señalan las formalidades que deberá llevar el acuerdo de clasificación que deberá emitir el Sujeto Obligado, siendo estas las siguientes:</w:t>
      </w:r>
    </w:p>
    <w:p w14:paraId="507FF2DE"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579515E6"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 “</w:t>
      </w:r>
      <w:r w:rsidRPr="00A57D42">
        <w:rPr>
          <w:rFonts w:ascii="Palatino Linotype" w:eastAsia="Palatino Linotype" w:hAnsi="Palatino Linotype" w:cs="Palatino Linotype"/>
          <w:b/>
          <w:i/>
          <w:sz w:val="22"/>
          <w:szCs w:val="22"/>
        </w:rPr>
        <w:t>Quincuagésimo</w:t>
      </w:r>
      <w:r w:rsidRPr="00A57D42">
        <w:rPr>
          <w:rFonts w:ascii="Palatino Linotype" w:eastAsia="Palatino Linotype" w:hAnsi="Palatino Linotype" w:cs="Palatino Linotype"/>
          <w:i/>
          <w:sz w:val="22"/>
          <w:szCs w:val="22"/>
        </w:rPr>
        <w:t xml:space="preserve">. Los titulares de las áreas de los sujetos obligados podrán establecer sus propios modelos o formatos para la elaboración de versiones públicas de documentos o expedientes, siempre y cuando cumplan lo establecido en los presentes Lineamientos, así como en las correspondientes Leyes Generales. </w:t>
      </w:r>
    </w:p>
    <w:p w14:paraId="0D75FDF0"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Quincuagésimo primero.</w:t>
      </w:r>
      <w:r w:rsidRPr="00A57D42">
        <w:rPr>
          <w:rFonts w:ascii="Palatino Linotype" w:eastAsia="Palatino Linotype" w:hAnsi="Palatino Linotype" w:cs="Palatino Linotype"/>
          <w:i/>
          <w:sz w:val="22"/>
          <w:szCs w:val="22"/>
        </w:rPr>
        <w:t xml:space="preserve"> Toda acta del Comité de Transparencia deberá contener: </w:t>
      </w:r>
    </w:p>
    <w:p w14:paraId="029B8A73"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 El número de sesión y fecha; </w:t>
      </w:r>
    </w:p>
    <w:p w14:paraId="241B2257"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II. El nombre del área que solicitó la clasificación de información; </w:t>
      </w:r>
    </w:p>
    <w:p w14:paraId="40011ECD"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III. La fundamentación legal y motivación correspondiente; </w:t>
      </w:r>
    </w:p>
    <w:p w14:paraId="06077BFD"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IV. La resolución o resoluciones aprobadas; y </w:t>
      </w:r>
    </w:p>
    <w:p w14:paraId="682C4065"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V. La rúbrica o firma digital de cada integrante del Comité de Transparencia. </w:t>
      </w:r>
    </w:p>
    <w:p w14:paraId="04AF5855"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Las resoluciones del Comité en las que se haya determinado confirmar o modificar la clasificación de información pública como reservada, deberán incluir, cuando menos: </w:t>
      </w:r>
    </w:p>
    <w:p w14:paraId="55DC6F19"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 Los motivos y razonamientos que sustenten la confirmación o modificación de la prueba de daño;</w:t>
      </w:r>
    </w:p>
    <w:p w14:paraId="049EF118"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II. Descripción de las partes o secciones reservadas, en caso de clasificación parcial; </w:t>
      </w:r>
    </w:p>
    <w:p w14:paraId="6093E57B"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III. El periodo por el que mantendrá su clasificación y fecha de expiración; y </w:t>
      </w:r>
    </w:p>
    <w:p w14:paraId="24D78FA1"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IV. El nombre del titular y área encargada de realizar la versión pública del documento, en su caso. </w:t>
      </w:r>
    </w:p>
    <w:p w14:paraId="7CADD532"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En los casos en que se clasifique la información como reservada siempre se entregará o anexará la prueba de daño con la respuesta al solicitante. </w:t>
      </w:r>
    </w:p>
    <w:p w14:paraId="33D8EAD5"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En los casos de resoluciones del Comité de Transparencia en las que se confirme la clasificación de información confidencial solo se deberán de identificar los tipos de datos protegidos, de conformidad con el lineamiento trigésimo octavo.</w:t>
      </w:r>
    </w:p>
    <w:p w14:paraId="23B5B709"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Quincuagésimo segundo.</w:t>
      </w:r>
      <w:r w:rsidRPr="00A57D42">
        <w:rPr>
          <w:rFonts w:ascii="Palatino Linotype" w:eastAsia="Palatino Linotype" w:hAnsi="Palatino Linotype" w:cs="Palatino Linotype"/>
          <w:i/>
          <w:sz w:val="22"/>
          <w:szCs w:val="22"/>
        </w:rPr>
        <w:t xml:space="preserve"> Para la clasificación y elaboración de versiones públicas de documentos que contengan información clasificada como reservada o confidencial, las áreas de los sujetos obligados deberán tomar las medidas pertinentes tendientes a asegurar que el espacio utilizado para testar la información no podrá ser empleado para la sobreposición de contenido distinto al autorizado por el Comité.</w:t>
      </w:r>
    </w:p>
    <w:p w14:paraId="0D3B9CF4"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En el caso específico de la clasificación y elaboración de versiones públicas de documentos que contengan información confidencial, las áreas de los sujetos obligados deberán: </w:t>
      </w:r>
    </w:p>
    <w:p w14:paraId="4300F776"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 Fijar la fecha en que se elaboró la versión pública y la fecha en la cual el Comité de Transparencia confirmó dicha versión;</w:t>
      </w:r>
    </w:p>
    <w:p w14:paraId="172233E6"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 Señalar dentro del documento el tipo de información confidencial que fue testada en cada caso específico, de conformidad con el lineamiento trigésimo octavo; y</w:t>
      </w:r>
    </w:p>
    <w:p w14:paraId="162DC3B7"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III. Señalar las personas o instancias autorizadas a acceder a la información clasificada.</w:t>
      </w:r>
    </w:p>
    <w:p w14:paraId="74BA100E"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En los documentos de difusión electrónica, señalar en la primera hoja y en el nombre del archivo, que la versión pública corresponde a un documento que contiene información confidencial.”</w:t>
      </w:r>
    </w:p>
    <w:p w14:paraId="2106DB5B"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1F19E5B0"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De igual forma, deberá observar los Lineamientos Quincuagésimo cuarto, Quincuagésimo quinto, Quincuagésimo séptimo y Quincuagésimo octavo, vigentes a la fecha de la solicitud de información establecen lo siguiente: </w:t>
      </w:r>
    </w:p>
    <w:p w14:paraId="3F8D4A2F" w14:textId="77777777" w:rsidR="00C877F6" w:rsidRPr="00A57D42" w:rsidRDefault="00C877F6" w:rsidP="00F45A48">
      <w:pPr>
        <w:spacing w:line="360" w:lineRule="auto"/>
        <w:jc w:val="both"/>
        <w:rPr>
          <w:rFonts w:ascii="Palatino Linotype" w:eastAsia="Palatino Linotype" w:hAnsi="Palatino Linotype" w:cs="Palatino Linotype"/>
          <w:sz w:val="22"/>
          <w:szCs w:val="22"/>
        </w:rPr>
      </w:pPr>
    </w:p>
    <w:p w14:paraId="2A63BE39" w14:textId="77777777" w:rsidR="00C877F6" w:rsidRPr="00A57D42" w:rsidRDefault="00F36565" w:rsidP="00F45A48">
      <w:pPr>
        <w:pBdr>
          <w:top w:val="nil"/>
          <w:left w:val="nil"/>
          <w:bottom w:val="nil"/>
          <w:right w:val="nil"/>
          <w:between w:val="nil"/>
        </w:pBd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r w:rsidRPr="00A57D42">
        <w:rPr>
          <w:rFonts w:ascii="Palatino Linotype" w:eastAsia="Palatino Linotype" w:hAnsi="Palatino Linotype" w:cs="Palatino Linotype"/>
          <w:b/>
          <w:i/>
          <w:sz w:val="22"/>
          <w:szCs w:val="22"/>
        </w:rPr>
        <w:t>Quincuagésimo cuarto.</w:t>
      </w:r>
      <w:r w:rsidRPr="00A57D42">
        <w:rPr>
          <w:rFonts w:ascii="Palatino Linotype" w:eastAsia="Palatino Linotype" w:hAnsi="Palatino Linotype" w:cs="Palatino Linotype"/>
          <w:i/>
          <w:sz w:val="22"/>
          <w:szCs w:val="22"/>
        </w:rPr>
        <w:t xml:space="preserve"> Cuando el Comité de Transparencia confirme la clasificación de documentos reservados y/o confidenciales, sea total o parcialmente; se deberá anexar al expediente la resolución que determinó la clasificación o, en su defecto, identificar en la carátula del expediente del cual formen parte, la fecha y sesión del Comité de Transparencia en la que se confirmó dicha clasificación. </w:t>
      </w:r>
    </w:p>
    <w:p w14:paraId="4F855FAE"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Quincuagésimo quinto.</w:t>
      </w:r>
      <w:r w:rsidRPr="00A57D42">
        <w:rPr>
          <w:rFonts w:ascii="Palatino Linotype" w:eastAsia="Palatino Linotype" w:hAnsi="Palatino Linotype" w:cs="Palatino Linotype"/>
          <w:i/>
          <w:sz w:val="22"/>
          <w:szCs w:val="22"/>
        </w:rPr>
        <w:t xml:space="preserve"> Cada área del sujeto obligado podrá designar formalmente a una o más personas como responsables del testado, que sean encargadas de la adecuada elaboración o supervisión de las versiones públicas de los documentos o expedientes, verificando que cumplan con los requisitos señalados en las Leyes Generales, los presentes Lineamientos y demás normativa aplicable antes de su confirmación por el Comité de Transparencia.</w:t>
      </w:r>
    </w:p>
    <w:p w14:paraId="4AB48148"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w:t>
      </w:r>
    </w:p>
    <w:p w14:paraId="09D096A7"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b/>
          <w:i/>
          <w:sz w:val="22"/>
          <w:szCs w:val="22"/>
        </w:rPr>
        <w:t>Quincuagésimo séptimo.</w:t>
      </w:r>
      <w:r w:rsidRPr="00A57D42">
        <w:rPr>
          <w:rFonts w:ascii="Palatino Linotype" w:eastAsia="Palatino Linotype" w:hAnsi="Palatino Linotype" w:cs="Palatino Linotype"/>
          <w:i/>
          <w:sz w:val="22"/>
          <w:szCs w:val="22"/>
        </w:rPr>
        <w:t xml:space="preserve"> Se considera, en principio, como información pública y no podrá omitirse de las versiones públicas la siguiente: </w:t>
      </w:r>
    </w:p>
    <w:p w14:paraId="223042EF"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 La relativa a las Obligaciones de Transparencia que contempla el Título V de la Ley General y las demás disposiciones legales aplicables; </w:t>
      </w:r>
    </w:p>
    <w:p w14:paraId="3084A27E"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II. El nombre de los integrantes de los sujetos obligados en los documentos, y sus firmas autógrafas o digitales, cuando sean utilizados en el ejercicio de las facultades conferidas para el desempeño del servicio público, y</w:t>
      </w:r>
    </w:p>
    <w:p w14:paraId="6B5A832E"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III. La información que documente decisiones y los actos de autoridad concluidos de los sujetos obligados, así como el ejercicio de las facultades o actividades de los servidores públicos, de manera que se pueda valorar el desempeño de los mismos. </w:t>
      </w:r>
    </w:p>
    <w:p w14:paraId="0A675986"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Lo anterior, siempre y cuando no se acredite alguna causal de clasificación, prevista en las leyes o en los tratados internacionales suscritas por el Estado mexicano.  </w:t>
      </w:r>
    </w:p>
    <w:p w14:paraId="39E22D0A" w14:textId="77777777" w:rsidR="00C877F6" w:rsidRPr="00A57D42" w:rsidRDefault="00F36565" w:rsidP="00F45A48">
      <w:pPr>
        <w:ind w:left="567" w:right="616"/>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Quincuagésimo octavo. Los sujetos obligados garantizarán que los sistemas o medios empleados para eliminar la información en las versiones públicas sean irreversibles, de tal forma que no permitan su recuperación o la visualización de la misma.”</w:t>
      </w:r>
    </w:p>
    <w:p w14:paraId="34E6BDC9" w14:textId="77777777" w:rsidR="00C877F6" w:rsidRPr="00A57D42" w:rsidRDefault="00C877F6" w:rsidP="00F45A48">
      <w:pPr>
        <w:spacing w:line="360" w:lineRule="auto"/>
        <w:ind w:left="567" w:right="616"/>
        <w:jc w:val="both"/>
        <w:rPr>
          <w:rFonts w:ascii="Palatino Linotype" w:eastAsia="Palatino Linotype" w:hAnsi="Palatino Linotype" w:cs="Palatino Linotype"/>
          <w:i/>
          <w:sz w:val="22"/>
          <w:szCs w:val="22"/>
        </w:rPr>
      </w:pPr>
    </w:p>
    <w:p w14:paraId="68A4C42C" w14:textId="77777777" w:rsidR="00B859DE" w:rsidRPr="00A57D42" w:rsidRDefault="00B859DE" w:rsidP="00B859DE">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Ahora bien, es necesario destacar que para el caso que ahora nos ocupa, resulta indispensable, analizar lo siguiente: </w:t>
      </w:r>
    </w:p>
    <w:p w14:paraId="1406A886" w14:textId="77777777" w:rsidR="00B859DE" w:rsidRPr="00A57D42" w:rsidRDefault="00B859DE" w:rsidP="00B859DE">
      <w:pPr>
        <w:spacing w:line="360" w:lineRule="auto"/>
        <w:jc w:val="both"/>
        <w:rPr>
          <w:rFonts w:ascii="Palatino Linotype" w:eastAsia="Palatino Linotype" w:hAnsi="Palatino Linotype" w:cs="Palatino Linotype"/>
          <w:sz w:val="22"/>
          <w:szCs w:val="22"/>
        </w:rPr>
      </w:pPr>
    </w:p>
    <w:p w14:paraId="5E7BDCAB" w14:textId="77777777" w:rsidR="00B859DE" w:rsidRPr="00A57D42" w:rsidRDefault="00B859DE" w:rsidP="008414EE">
      <w:pPr>
        <w:pStyle w:val="Prrafodelista"/>
        <w:widowControl w:val="0"/>
        <w:numPr>
          <w:ilvl w:val="0"/>
          <w:numId w:val="5"/>
        </w:numPr>
        <w:autoSpaceDE w:val="0"/>
        <w:autoSpaceDN w:val="0"/>
        <w:adjustRightInd w:val="0"/>
        <w:spacing w:line="360" w:lineRule="auto"/>
        <w:ind w:left="567"/>
        <w:jc w:val="both"/>
        <w:rPr>
          <w:rFonts w:ascii="Palatino Linotype" w:hAnsi="Palatino Linotype"/>
          <w:sz w:val="22"/>
          <w:szCs w:val="22"/>
        </w:rPr>
      </w:pPr>
      <w:r w:rsidRPr="00A57D42">
        <w:rPr>
          <w:rFonts w:ascii="Palatino Linotype" w:eastAsia="Calibri" w:hAnsi="Palatino Linotype" w:cs="Tahoma"/>
          <w:b/>
          <w:bCs/>
          <w:sz w:val="22"/>
          <w:szCs w:val="22"/>
        </w:rPr>
        <w:t xml:space="preserve">Fotografías de los servidores públicos. </w:t>
      </w:r>
      <w:r w:rsidRPr="00A57D42">
        <w:rPr>
          <w:rFonts w:ascii="Palatino Linotype" w:hAnsi="Palatino Linotype"/>
          <w:sz w:val="22"/>
          <w:szCs w:val="22"/>
        </w:rPr>
        <w:t>Fotografía en documento que acredite el último grado de estudios. Por lo que hace a las fotografías, es preciso señalar que estas dan cuenta de las características físicas de los servidores públicos; por lo que, no debe perderse de vista que la imagen personal es la apariencia física, la cual puede ser captada en dibujo, pintura, escultura, fotografía, y video; la imagen así captada puede ser reproducida, publicada y divulgada por diversos medios, desde volantes impresos de la forma más rudimentaria, hasta filmaciones y fotografías transmitidas por televisión cine, video, correo electrónico o Internet.</w:t>
      </w:r>
    </w:p>
    <w:p w14:paraId="50CD6A9B"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Así, dichos datos constituyen la reproducción fiel de las características físicas de una persona en un momento determinado, por lo que representan un instrumento de identificación, proyección exterior y factor imprescindible para su propio reconocimiento como sujeto individual; lo que en el presente caso, acreditaría e identificaría a una persona como servidor público, por lo que es posible advertir que existe cierto interés público, cuando la fotografía obra en documentos de servidores públicos vinculados con el cumplimiento de disposiciones legales.</w:t>
      </w:r>
    </w:p>
    <w:p w14:paraId="737F9805"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Además, existen documentos que contienen la fotografía con los cuales se permite identificar que una persona que se acredita como trabajador gubernamental, realmente tiene el cargo con el que se ostenta, otros documentos con los cuales se rinde cuentas a la ciudadanía, por ejemplo cuando se cubre el perfil de puesto; además cuando se brinda servicios a la ciudadanía, es de relevancia conocer e identificar a todos sus trabajadores, no importa el nivel o rango (con excepción del personal operativo en materia de seguridad, respecto del cual el Pleno de este Instituto ya se ha pronunciado en el sentido de que la información que los haga identificados o identificables debe clasificarse como reservada).</w:t>
      </w:r>
    </w:p>
    <w:p w14:paraId="00F7DE3F"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En este sentido, resultan aplicables por analogía, los Criterios 15/17 y 1/13 del Instituto Nacional de Transparencia y Acceso a la Información Pública y Protección de Datos Personales, en los cuales se esgrimen argumentos, que, si bien no refieren de manera específica a fotografías de servidores públicos, sí establecen un criterio para que este dato personal pueda ser considerado como público, cuando se pretende acreditar que una persona es servidor público.</w:t>
      </w:r>
    </w:p>
    <w:p w14:paraId="4015D60D"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 xml:space="preserve">Debe tenerse presente que el actuar de los servidores públicos incide de manera específica en los derechos de los particulares, pues el acto de un servidor público en ejercicio de sus funciones, de manera directa genera derechos y obligaciones pues se considera un acto administrativo o acto de autoridad, por lo que es primordial, que estos trabajadores se identifiquen ante la ciudadanía, por lo que otorgar acceso a los documentos que obran en los archivos de los sujetos obligados y que además están directamente relacionados con el cumplimiento de disposiciones normativas o el ejercicio de funciones revisten un interés público. </w:t>
      </w:r>
    </w:p>
    <w:p w14:paraId="20C18F49"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Por lo anterior, cuando las fotografías de los servidores públicos obran en documentos que dan cuenta del cumplimiento de funciones, requisitos legales o los acredita como servidores públicos, deben ser consideradas un dato personal, que no puede ser clasificado como confidencial, pues en este caso, es superado por el interés público de conocer si en realidad, la persona que se ostenta en carácter de servidor público, se encuentra en ese encargo, si realiza las funciones o si cumple con los requisitos legales; sin que se considere como factor diferenciador para determinar la publicidad o clasificación el cargo o nivel jerárquico en el que se desempeñe el servidor público.</w:t>
      </w:r>
    </w:p>
    <w:p w14:paraId="3CA2AB4D"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De acuerdo con el argumento planteado, la determinación de esta resolución deja sin efectos el criterio adoptado anteriormente por el Pleno de este Instituto, con número 03/2019, en el que solo se consideraban como públicas las fotografías de mandos medios y/o superiores.</w:t>
      </w:r>
    </w:p>
    <w:p w14:paraId="47928343" w14:textId="77777777" w:rsidR="00B859DE" w:rsidRPr="00A57D42" w:rsidRDefault="00B859DE" w:rsidP="00B859DE">
      <w:pPr>
        <w:pStyle w:val="Prrafodelista"/>
        <w:widowControl w:val="0"/>
        <w:autoSpaceDE w:val="0"/>
        <w:autoSpaceDN w:val="0"/>
        <w:adjustRightInd w:val="0"/>
        <w:spacing w:line="360" w:lineRule="auto"/>
        <w:ind w:left="567"/>
        <w:jc w:val="both"/>
        <w:rPr>
          <w:rFonts w:ascii="Palatino Linotype" w:hAnsi="Palatino Linotype"/>
          <w:sz w:val="22"/>
          <w:szCs w:val="22"/>
        </w:rPr>
      </w:pPr>
      <w:r w:rsidRPr="00A57D42">
        <w:rPr>
          <w:rFonts w:ascii="Palatino Linotype" w:hAnsi="Palatino Linotype"/>
          <w:sz w:val="22"/>
          <w:szCs w:val="22"/>
        </w:rPr>
        <w:t>Conforme a lo anterior, las fotografías de servidores públicos sin importar el nivel o rango guardan la naturaleza de públicas (con excepción del personal operativo en materia de seguridad) y no procede su clasificación, en términos del artículo 143, fracción I, de la Ley de Transparencia y Acceso a la Información Pública del Estado de México y Municipios, por lo que en la versión pública que se ordena, no podrá clasificarse esa información. Cabe hacer la aclaración que aquellos documentos que sean clasificados en su totalidad por no revestir de interés público, como lo es la credencial de elector, la fotografía correrá la misma suerte que el documento en cuestión, únicamente para dicha expresión documental. </w:t>
      </w:r>
    </w:p>
    <w:p w14:paraId="5AC27675" w14:textId="77777777" w:rsidR="00B859DE" w:rsidRPr="00A57D42" w:rsidRDefault="00B859DE" w:rsidP="008414EE">
      <w:pPr>
        <w:numPr>
          <w:ilvl w:val="0"/>
          <w:numId w:val="6"/>
        </w:numPr>
        <w:spacing w:line="360" w:lineRule="auto"/>
        <w:ind w:left="567"/>
        <w:jc w:val="both"/>
        <w:rPr>
          <w:rFonts w:ascii="Palatino Linotype" w:eastAsia="Calibri" w:hAnsi="Palatino Linotype" w:cs="Tahoma"/>
          <w:bCs/>
          <w:sz w:val="22"/>
          <w:szCs w:val="22"/>
        </w:rPr>
      </w:pPr>
      <w:r w:rsidRPr="00A57D42">
        <w:rPr>
          <w:rFonts w:ascii="Palatino Linotype" w:eastAsia="Calibri" w:hAnsi="Palatino Linotype" w:cs="Tahoma"/>
          <w:b/>
          <w:sz w:val="22"/>
          <w:szCs w:val="22"/>
        </w:rPr>
        <w:t>Firma de servidores públicos.</w:t>
      </w:r>
      <w:r w:rsidRPr="00A57D42">
        <w:rPr>
          <w:rFonts w:ascii="Palatino Linotype" w:eastAsia="Calibri" w:hAnsi="Palatino Linotype" w:cs="Tahoma"/>
          <w:bCs/>
          <w:sz w:val="22"/>
          <w:szCs w:val="22"/>
        </w:rPr>
        <w:t xml:space="preserve"> </w:t>
      </w:r>
      <w:r w:rsidRPr="00A57D42">
        <w:rPr>
          <w:rFonts w:ascii="Palatino Linotype" w:hAnsi="Palatino Linotype" w:cs="Arial"/>
          <w:sz w:val="22"/>
          <w:szCs w:val="22"/>
        </w:rPr>
        <w:t xml:space="preserve">Tocante al tema de la firma, al tratarse de </w:t>
      </w:r>
      <w:r w:rsidRPr="00A57D42">
        <w:rPr>
          <w:rFonts w:ascii="Palatino Linotype" w:hAnsi="Palatino Linotype"/>
          <w:sz w:val="22"/>
          <w:szCs w:val="22"/>
        </w:rPr>
        <w:t xml:space="preserve">la escritura gráfica o grafo manuscrito que representa al nombre y apellido(s), o título, que una persona escribe de su propia mano, que tiene fines de identificación, jurídicos, </w:t>
      </w:r>
      <w:r w:rsidRPr="00A57D42">
        <w:rPr>
          <w:rFonts w:ascii="Palatino Linotype" w:hAnsi="Palatino Linotype" w:cs="Tahoma"/>
          <w:bCs/>
          <w:iCs/>
          <w:sz w:val="22"/>
          <w:szCs w:val="22"/>
        </w:rPr>
        <w:t>representativos</w:t>
      </w:r>
      <w:r w:rsidRPr="00A57D42">
        <w:rPr>
          <w:rFonts w:ascii="Palatino Linotype" w:hAnsi="Palatino Linotype"/>
          <w:sz w:val="22"/>
          <w:szCs w:val="22"/>
        </w:rPr>
        <w:t xml:space="preserve"> y diplomáticos, a través de los cuales es posible identificar o hacer identificable a su titular, constituye un dato personal que debe ser protegido, sin embargo, en el caso de los servidores públicos, dicho dato es público cuando, en ejercicio de las atribuciones que les fueron conferidas, emiten un acto de autoridad, siendo la firma el medio por el cual se le da validez a dicho acto.</w:t>
      </w:r>
      <w:bookmarkStart w:id="2" w:name="_Hlk96499674"/>
    </w:p>
    <w:p w14:paraId="71474D87" w14:textId="77777777" w:rsidR="00B859DE" w:rsidRPr="00A57D42" w:rsidRDefault="00B859DE" w:rsidP="00B859DE">
      <w:pPr>
        <w:spacing w:line="360" w:lineRule="auto"/>
        <w:ind w:left="567"/>
        <w:jc w:val="both"/>
        <w:rPr>
          <w:rFonts w:ascii="Palatino Linotype" w:eastAsia="Calibri" w:hAnsi="Palatino Linotype" w:cs="Tahoma"/>
          <w:bCs/>
          <w:sz w:val="22"/>
          <w:szCs w:val="22"/>
        </w:rPr>
      </w:pPr>
      <w:r w:rsidRPr="00A57D42">
        <w:rPr>
          <w:rFonts w:ascii="Palatino Linotype" w:hAnsi="Palatino Linotype"/>
          <w:sz w:val="22"/>
          <w:szCs w:val="22"/>
        </w:rPr>
        <w:t xml:space="preserve">Robustece lo anterior el criterio orientador 02-19 emitido por el Instituto </w:t>
      </w:r>
      <w:r w:rsidRPr="00A57D42">
        <w:rPr>
          <w:rFonts w:ascii="Palatino Linotype" w:hAnsi="Palatino Linotype" w:cs="Arial"/>
          <w:sz w:val="22"/>
          <w:szCs w:val="22"/>
        </w:rPr>
        <w:t>Nacional</w:t>
      </w:r>
      <w:r w:rsidRPr="00A57D42">
        <w:rPr>
          <w:rFonts w:ascii="Palatino Linotype" w:hAnsi="Palatino Linotype"/>
          <w:sz w:val="22"/>
          <w:szCs w:val="22"/>
        </w:rPr>
        <w:t xml:space="preserve"> de Transparencia, Acceso a la Información y Protección de Datos Personales, INAI, el cual refiere:</w:t>
      </w:r>
    </w:p>
    <w:p w14:paraId="57762AE1" w14:textId="77777777" w:rsidR="00B859DE" w:rsidRPr="00A57D42" w:rsidRDefault="00B859DE" w:rsidP="00B859DE">
      <w:pPr>
        <w:pStyle w:val="Prrafodelista"/>
        <w:ind w:left="567" w:right="-7"/>
        <w:jc w:val="both"/>
        <w:rPr>
          <w:rFonts w:ascii="Palatino Linotype" w:hAnsi="Palatino Linotype" w:cs="Arial"/>
          <w:i/>
          <w:iCs/>
          <w:sz w:val="22"/>
          <w:szCs w:val="22"/>
        </w:rPr>
      </w:pPr>
      <w:r w:rsidRPr="00A57D42">
        <w:rPr>
          <w:rFonts w:ascii="Palatino Linotype" w:hAnsi="Palatino Linotype"/>
          <w:i/>
          <w:iCs/>
          <w:sz w:val="22"/>
          <w:szCs w:val="22"/>
        </w:rPr>
        <w:t>“</w:t>
      </w:r>
      <w:r w:rsidRPr="00A57D42">
        <w:rPr>
          <w:rFonts w:ascii="Palatino Linotype" w:hAnsi="Palatino Linotype" w:cs="Arial"/>
          <w:b/>
          <w:i/>
          <w:iCs/>
          <w:sz w:val="22"/>
          <w:szCs w:val="22"/>
        </w:rPr>
        <w:t>Firma y rúbrica de servidores públicos.</w:t>
      </w:r>
      <w:r w:rsidRPr="00A57D42">
        <w:rPr>
          <w:rFonts w:ascii="Palatino Linotype" w:hAnsi="Palatino Linotype" w:cs="Arial"/>
          <w:i/>
          <w:iCs/>
          <w:sz w:val="22"/>
          <w:szCs w:val="22"/>
        </w:rPr>
        <w:t xml:space="preserve"> Si bien la firma y la rúbrica son datos personales confidenciales, cuando un servidor público emite un acto como autoridad, en ejercicio de las funciones que tiene conferidas, la firma o rúbrica mediante la cual se valida dicho acto es pública.</w:t>
      </w:r>
      <w:r w:rsidRPr="00A57D42">
        <w:rPr>
          <w:rFonts w:ascii="Palatino Linotype" w:hAnsi="Palatino Linotype"/>
          <w:i/>
          <w:iCs/>
          <w:sz w:val="22"/>
          <w:szCs w:val="22"/>
        </w:rPr>
        <w:t>”</w:t>
      </w:r>
      <w:bookmarkEnd w:id="2"/>
    </w:p>
    <w:p w14:paraId="6B57D6DF" w14:textId="77777777" w:rsidR="00B859DE" w:rsidRPr="00A57D42" w:rsidRDefault="00B859DE" w:rsidP="00B859DE">
      <w:pPr>
        <w:spacing w:line="360" w:lineRule="auto"/>
        <w:ind w:left="567" w:right="-7"/>
        <w:jc w:val="both"/>
        <w:rPr>
          <w:rFonts w:ascii="Palatino Linotype" w:hAnsi="Palatino Linotype" w:cs="Arial"/>
          <w:sz w:val="22"/>
          <w:szCs w:val="22"/>
        </w:rPr>
      </w:pPr>
      <w:r w:rsidRPr="00A57D42">
        <w:rPr>
          <w:rFonts w:ascii="Palatino Linotype" w:hAnsi="Palatino Linotype"/>
          <w:sz w:val="22"/>
          <w:szCs w:val="22"/>
        </w:rPr>
        <w:t>Contexto que en el presente asunto no se actualiza por no realizarse en ejercicio de sus funciones de derecho público; toda vez que e</w:t>
      </w:r>
      <w:r w:rsidRPr="00A57D42">
        <w:rPr>
          <w:rFonts w:ascii="Palatino Linotype" w:hAnsi="Palatino Linotype" w:cs="Arial"/>
          <w:sz w:val="22"/>
          <w:szCs w:val="22"/>
        </w:rPr>
        <w:t>l título profesional o el certificado de estudios corresponden a documentos emitidos por instituciones del Estado, Autónomas, Descentralizadas y Particulares, que tengan reconocimiento de validez oficial de estudios, a favor de una persona que haya concluido sus estudios correspondientes o demostrado tener determinados conocimientos, en términos de los artículos 1° y 8° de la Ley Reglamentaria del Artículo 5° Constitucional, Relativo al Ejercicio de las Profesiones en la Ciudad de México.</w:t>
      </w:r>
    </w:p>
    <w:p w14:paraId="23DB20C0" w14:textId="77777777" w:rsidR="00B859DE" w:rsidRPr="00A57D42" w:rsidRDefault="00B859DE" w:rsidP="00B859DE">
      <w:pPr>
        <w:spacing w:line="360" w:lineRule="auto"/>
        <w:ind w:left="567" w:right="-7"/>
        <w:jc w:val="both"/>
        <w:rPr>
          <w:rFonts w:ascii="Palatino Linotype" w:hAnsi="Palatino Linotype" w:cs="Arial"/>
          <w:sz w:val="22"/>
          <w:szCs w:val="22"/>
        </w:rPr>
      </w:pPr>
      <w:r w:rsidRPr="00A57D42">
        <w:rPr>
          <w:rFonts w:ascii="Palatino Linotype" w:hAnsi="Palatino Linotype" w:cs="Arial"/>
          <w:sz w:val="22"/>
          <w:szCs w:val="22"/>
        </w:rPr>
        <w:t xml:space="preserve">Por su parte la cédula profesional, es el documento que toda persona a quien legalmente se le haya expedido título profesional o grado académico equivalente, podrá obtener </w:t>
      </w:r>
      <w:r w:rsidRPr="00A57D42">
        <w:rPr>
          <w:rFonts w:ascii="Palatino Linotype" w:hAnsi="Palatino Linotype"/>
          <w:sz w:val="22"/>
          <w:szCs w:val="22"/>
        </w:rPr>
        <w:t>con</w:t>
      </w:r>
      <w:r w:rsidRPr="00A57D42">
        <w:rPr>
          <w:rFonts w:ascii="Palatino Linotype" w:hAnsi="Palatino Linotype" w:cs="Arial"/>
          <w:b/>
          <w:sz w:val="22"/>
          <w:szCs w:val="22"/>
        </w:rPr>
        <w:t xml:space="preserve"> </w:t>
      </w:r>
      <w:r w:rsidRPr="00A57D42">
        <w:rPr>
          <w:rFonts w:ascii="Palatino Linotype" w:hAnsi="Palatino Linotype" w:cs="Arial"/>
          <w:sz w:val="22"/>
          <w:szCs w:val="22"/>
        </w:rPr>
        <w:t>efectos de patente; esta es otorgada por la Dirección General de Profesiones, para identidad en todas las actividades profesionales, de conformidad con los artículos 3° y 23, fracción IV de la Ley Reglamentaria del Artículo 5° Constitucional, Relativo al Ejercicio de las Profesiones en la Ciudad de México. Así, los documentos que dan cuenta de la preparación académica sirven como medios de identificación, para que a su titular lo relacionen con el nivel de estudios con que cuenta independientemente de que estos sean o no medios de identificación oficiales. Luego entonces, no es necesario que el ciudadano acceda a dicho dato personal, ya que actualiza la fracción I, del artículo 143 de la Ley de Transparencia y Acceso a la Información Pública del Estado de México y Municipios.</w:t>
      </w:r>
    </w:p>
    <w:p w14:paraId="2884236B" w14:textId="77777777" w:rsidR="00B859DE" w:rsidRPr="00A57D42" w:rsidRDefault="00B859DE" w:rsidP="008414EE">
      <w:pPr>
        <w:pStyle w:val="Prrafodelista"/>
        <w:numPr>
          <w:ilvl w:val="0"/>
          <w:numId w:val="5"/>
        </w:numPr>
        <w:spacing w:line="360" w:lineRule="auto"/>
        <w:ind w:left="567"/>
        <w:jc w:val="both"/>
        <w:rPr>
          <w:rFonts w:ascii="Palatino Linotype" w:eastAsia="Palatino Linotype" w:hAnsi="Palatino Linotype" w:cs="Palatino Linotype"/>
          <w:sz w:val="22"/>
          <w:szCs w:val="22"/>
        </w:rPr>
      </w:pPr>
      <w:r w:rsidRPr="00A57D42">
        <w:rPr>
          <w:rFonts w:ascii="Palatino Linotype" w:hAnsi="Palatino Linotype"/>
          <w:b/>
          <w:sz w:val="22"/>
          <w:szCs w:val="22"/>
        </w:rPr>
        <w:t>Calificaciones y promedio (para el caso de los documentos que dan cuenta de nivel escolar).</w:t>
      </w:r>
      <w:r w:rsidRPr="00A57D42">
        <w:rPr>
          <w:rFonts w:ascii="Palatino Linotype" w:hAnsi="Palatino Linotype"/>
          <w:sz w:val="22"/>
          <w:szCs w:val="22"/>
        </w:rPr>
        <w:t xml:space="preserve"> Por lo que hace a la calificación, cabe precisar que dicho dato da cuenta del grado de conocimientos adquiridos, en una materia o durante el desarrollo escolar, los cuales únicamente corresponden únicamente a cuestiones relacionadas con el ámbito privado de las personas, al dar cuenta del desempeño de los alumnos durante el curso de las diversas carreras con las que cuenta el Sujeto Obligado. </w:t>
      </w:r>
    </w:p>
    <w:p w14:paraId="704F8627" w14:textId="77777777" w:rsidR="00B859DE" w:rsidRPr="00A57D42" w:rsidRDefault="00B859DE" w:rsidP="00B859DE">
      <w:pPr>
        <w:pStyle w:val="Prrafodelista"/>
        <w:spacing w:line="360" w:lineRule="auto"/>
        <w:ind w:left="567"/>
        <w:jc w:val="both"/>
        <w:rPr>
          <w:rFonts w:ascii="Palatino Linotype" w:eastAsia="Palatino Linotype" w:hAnsi="Palatino Linotype" w:cs="Palatino Linotype"/>
          <w:sz w:val="22"/>
          <w:szCs w:val="22"/>
        </w:rPr>
      </w:pPr>
      <w:r w:rsidRPr="00A57D42">
        <w:rPr>
          <w:rFonts w:ascii="Palatino Linotype" w:hAnsi="Palatino Linotype"/>
          <w:sz w:val="22"/>
          <w:szCs w:val="22"/>
        </w:rPr>
        <w:t>En ese contexto, se trae a colación la tesis aislada número 2a. LXIII/2008, emitida por la Segunda Sala de la Suprema Corte de Justicia de la Nación, publicada en la Gaceta del Semanario Judicial de la Federación, Tomo XXVII, de mayo de 2008, página 229, de la Novena Época, materia constitucional, que prevé la garantía de seguridad jurídica de los individuos a no ser molestados en su persona, familia, papeles o posesiones, salvo cuando medie mandato de autoridad competente debidamente fundado y motivado, de lo que deriva la inviolabilidad del domicilio, y cuya finalidad primordial es el respeto a un ámbito de la vida privada personal y familiar que debe quedar excluido del conocimiento ajeno y de las intromisiones de los demás, con la limitante prevista en la Constitución Política de los Estados Unidos Mexicanos. En atención con lo anterior, se considera que las calificaciones obtenidas por un servidor público, es información íntima de los alumnos, pues corresponde a su desempeño escolar, lo cual únicamente atañe a estos, por lo que se considera que es un dato confidencial. Ahora bien, sobre el promedio es la suma de las calificaciones que obtuvo una persona, durante un determinado curso, carrera, entre otros, por lo que, refleja el grado de conocimientos adquiridos durante el desarrollo escolar, lo cual, corresponde a una cuestión privada del servidor público. Conforme a lo anterior y lo expuesto, se advierte que el desempeño escolar de una persona, es información íntima de este, lo cual concierne también a su vida privada; por lo cual, se considera que las calificaciones, créditos y promedio, son confidenciales, en términos del artículo 143, fracción I, de la Ley de Transparencia y Acceso a la Información Pública del Estado de México y Municipios.</w:t>
      </w:r>
    </w:p>
    <w:p w14:paraId="35DA6E8B" w14:textId="77777777" w:rsidR="00B859DE" w:rsidRPr="00A57D42" w:rsidRDefault="00B859DE" w:rsidP="008414EE">
      <w:pPr>
        <w:numPr>
          <w:ilvl w:val="0"/>
          <w:numId w:val="5"/>
        </w:numPr>
        <w:spacing w:line="360" w:lineRule="auto"/>
        <w:ind w:left="567"/>
        <w:contextualSpacing/>
        <w:jc w:val="both"/>
        <w:rPr>
          <w:rFonts w:ascii="Palatino Linotype" w:eastAsia="Calibri" w:hAnsi="Palatino Linotype" w:cs="Tahoma"/>
          <w:b/>
          <w:bCs/>
          <w:iCs/>
          <w:sz w:val="22"/>
          <w:szCs w:val="22"/>
          <w:lang w:eastAsia="es-ES_tradnl"/>
        </w:rPr>
      </w:pPr>
      <w:r w:rsidRPr="00A57D42">
        <w:rPr>
          <w:rFonts w:ascii="Palatino Linotype" w:eastAsia="Calibri" w:hAnsi="Palatino Linotype" w:cs="Tahoma"/>
          <w:b/>
          <w:bCs/>
          <w:iCs/>
          <w:sz w:val="22"/>
          <w:szCs w:val="22"/>
          <w:lang w:val="es-ES" w:eastAsia="es-ES_tradnl"/>
        </w:rPr>
        <w:t>Matrícula o número de cuenta, de expediente o de control.</w:t>
      </w:r>
      <w:r w:rsidRPr="00A57D42">
        <w:rPr>
          <w:rFonts w:ascii="Palatino Linotype" w:eastAsia="Calibri" w:hAnsi="Palatino Linotype" w:cs="Tahoma"/>
          <w:b/>
          <w:bCs/>
          <w:iCs/>
          <w:sz w:val="22"/>
          <w:szCs w:val="22"/>
          <w:lang w:eastAsia="es-ES_tradnl"/>
        </w:rPr>
        <w:t xml:space="preserve"> </w:t>
      </w:r>
      <w:r w:rsidRPr="00A57D42">
        <w:rPr>
          <w:rFonts w:ascii="Palatino Linotype" w:eastAsia="Calibri" w:hAnsi="Palatino Linotype" w:cs="Tahoma"/>
          <w:bCs/>
          <w:iCs/>
          <w:sz w:val="22"/>
          <w:szCs w:val="22"/>
          <w:lang w:eastAsia="es-ES_tradnl"/>
        </w:rPr>
        <w:t>Ahora bien, por lo que hace a la matrícula, corresponde a un medio de identificación dentro de una institución educativa o bien, en una materia o asignatura en específico, por lo que, solo le atañe a la Institución Escolar y alumno dicha información, al ser datos meramente administrativos y académicos; además, que pudieran hacer identificables a los estudiantes, con la vinculación de otros datos.</w:t>
      </w:r>
      <w:r w:rsidRPr="00A57D42">
        <w:rPr>
          <w:rFonts w:ascii="Palatino Linotype" w:eastAsia="Calibri" w:hAnsi="Palatino Linotype" w:cs="Tahoma"/>
          <w:b/>
          <w:bCs/>
          <w:iCs/>
          <w:sz w:val="22"/>
          <w:szCs w:val="22"/>
          <w:lang w:eastAsia="es-ES_tradnl"/>
        </w:rPr>
        <w:t xml:space="preserve"> </w:t>
      </w:r>
      <w:r w:rsidRPr="00A57D42">
        <w:rPr>
          <w:rFonts w:ascii="Palatino Linotype" w:eastAsia="Calibri" w:hAnsi="Palatino Linotype" w:cs="Tahoma"/>
          <w:bCs/>
          <w:iCs/>
          <w:sz w:val="22"/>
          <w:szCs w:val="22"/>
          <w:lang w:eastAsia="es-ES_tradnl"/>
        </w:rPr>
        <w:t>De tales circunstancias, se considera que el dato en comento es información confidencial lo cual atañe únicamente a los alumnos y a la institución educativa, por lo que, es clasificado en términos del artículo 143, fracción I de la Ley de la materia.</w:t>
      </w:r>
    </w:p>
    <w:p w14:paraId="3B62BE23" w14:textId="77777777" w:rsidR="00B859DE" w:rsidRPr="00A57D42" w:rsidRDefault="00B859DE" w:rsidP="00F45A48">
      <w:pPr>
        <w:spacing w:line="360" w:lineRule="auto"/>
        <w:jc w:val="both"/>
        <w:rPr>
          <w:rFonts w:ascii="Palatino Linotype" w:eastAsia="Palatino Linotype" w:hAnsi="Palatino Linotype" w:cs="Palatino Linotype"/>
          <w:sz w:val="22"/>
          <w:szCs w:val="22"/>
        </w:rPr>
      </w:pPr>
    </w:p>
    <w:p w14:paraId="130BAA1B"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 entonces que, la entrega de documentos en su versión pública debe acompañarse necesariamente del Acuerdo del Comité de Transparencia que la sustente, el cual debe estar debidamente fundado y motivado y, deberá exponer los fundamentos y razonamientos que llevaron al Sujeto Obligado a testar, suprimir o eliminar datos de dicho soporte documental, ya que de no hacerlo,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 qué no aparecen en la documentación respectiva.</w:t>
      </w:r>
    </w:p>
    <w:p w14:paraId="126872BB" w14:textId="77777777" w:rsidR="003E62A8" w:rsidRPr="00A57D42" w:rsidRDefault="003E62A8" w:rsidP="00F45A48">
      <w:pPr>
        <w:spacing w:line="360" w:lineRule="auto"/>
        <w:jc w:val="both"/>
        <w:rPr>
          <w:rFonts w:ascii="Palatino Linotype" w:eastAsia="Palatino Linotype" w:hAnsi="Palatino Linotype" w:cs="Palatino Linotype"/>
          <w:sz w:val="22"/>
          <w:szCs w:val="22"/>
        </w:rPr>
      </w:pPr>
    </w:p>
    <w:p w14:paraId="091B9B14" w14:textId="77777777" w:rsidR="003E62A8" w:rsidRPr="00A57D42" w:rsidRDefault="003E62A8" w:rsidP="00F45A48">
      <w:pPr>
        <w:spacing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Es entonces que, la entrega de documentos en su versión pública debe acompañarse necesariamente del Acuerdo del Comité de Transparencia que la sustente, el cual debe estar debidamente fundado y motivado y, deberá exponer los fundamentos y razonamientos que llevaron al Sujeto Obligado a testar, suprimir o eliminar datos de dicho soporte documental, ya que de no hacerlo,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 qué no aparecen en la documentación respectiva.</w:t>
      </w:r>
    </w:p>
    <w:p w14:paraId="4189785E" w14:textId="77777777"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Por lo anteriormente expuesto y con fundamento en lo prescrito en los artículos 5 párrafos cuadragésimo cuarto, cuadragésimo quinto, cuadragésimo sexto, fracciones IV y V de la Constitución Política del Estado Libre y Soberano de México; Transitorio Cuarto, párrafo segundo del Decreto número 198 de la “LXII” Legislatura del Estado de México; 2, fracción II; 29, 36 fracciones I y II; 176, 178, 181, 185 y 186 fracción III de la Ley de Transparencia y Acceso a la Información Pública del Estado de México y Municipios, este Pleno:</w:t>
      </w:r>
    </w:p>
    <w:p w14:paraId="51DB8E95" w14:textId="77777777" w:rsidR="00C877F6" w:rsidRPr="00A57D42" w:rsidRDefault="00F36565" w:rsidP="00F45A48">
      <w:pPr>
        <w:pBdr>
          <w:top w:val="nil"/>
          <w:left w:val="nil"/>
          <w:bottom w:val="nil"/>
          <w:right w:val="nil"/>
          <w:between w:val="nil"/>
        </w:pBdr>
        <w:spacing w:before="240" w:after="240" w:line="360" w:lineRule="auto"/>
        <w:ind w:left="567"/>
        <w:jc w:val="center"/>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R E S U E L V E:</w:t>
      </w:r>
    </w:p>
    <w:p w14:paraId="6EF9BB33" w14:textId="6647D1F2" w:rsidR="00C877F6" w:rsidRPr="00A57D42" w:rsidRDefault="00F36565" w:rsidP="00F45A48">
      <w:pPr>
        <w:spacing w:before="240" w:after="240"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Primero. </w:t>
      </w:r>
      <w:r w:rsidRPr="00A57D42">
        <w:rPr>
          <w:rFonts w:ascii="Palatino Linotype" w:eastAsia="Palatino Linotype" w:hAnsi="Palatino Linotype" w:cs="Palatino Linotype"/>
          <w:sz w:val="22"/>
          <w:szCs w:val="22"/>
        </w:rPr>
        <w:t>Resultan</w:t>
      </w:r>
      <w:r w:rsidRPr="00A57D42">
        <w:rPr>
          <w:rFonts w:ascii="Palatino Linotype" w:eastAsia="Palatino Linotype" w:hAnsi="Palatino Linotype" w:cs="Palatino Linotype"/>
          <w:b/>
          <w:sz w:val="22"/>
          <w:szCs w:val="22"/>
        </w:rPr>
        <w:t xml:space="preserve"> </w:t>
      </w:r>
      <w:r w:rsidR="006370B0" w:rsidRPr="00A57D42">
        <w:rPr>
          <w:rFonts w:ascii="Palatino Linotype" w:eastAsia="Palatino Linotype" w:hAnsi="Palatino Linotype" w:cs="Palatino Linotype"/>
          <w:b/>
          <w:sz w:val="22"/>
          <w:szCs w:val="22"/>
        </w:rPr>
        <w:t xml:space="preserve">parcialmente </w:t>
      </w:r>
      <w:r w:rsidRPr="00A57D42">
        <w:rPr>
          <w:rFonts w:ascii="Palatino Linotype" w:eastAsia="Palatino Linotype" w:hAnsi="Palatino Linotype" w:cs="Palatino Linotype"/>
          <w:b/>
          <w:sz w:val="22"/>
          <w:szCs w:val="22"/>
        </w:rPr>
        <w:t xml:space="preserve">fundados </w:t>
      </w:r>
      <w:r w:rsidRPr="00A57D42">
        <w:rPr>
          <w:rFonts w:ascii="Palatino Linotype" w:eastAsia="Palatino Linotype" w:hAnsi="Palatino Linotype" w:cs="Palatino Linotype"/>
          <w:sz w:val="22"/>
          <w:szCs w:val="22"/>
        </w:rPr>
        <w:t xml:space="preserve">los motivos de inconformidad hechos valer por </w:t>
      </w:r>
      <w:r w:rsidRPr="00A57D42">
        <w:rPr>
          <w:rFonts w:ascii="Palatino Linotype" w:eastAsia="Palatino Linotype" w:hAnsi="Palatino Linotype" w:cs="Palatino Linotype"/>
          <w:b/>
          <w:sz w:val="22"/>
          <w:szCs w:val="22"/>
        </w:rPr>
        <w:t>la parte Recurrente</w:t>
      </w:r>
      <w:r w:rsidRPr="00A57D42">
        <w:rPr>
          <w:rFonts w:ascii="Palatino Linotype" w:eastAsia="Palatino Linotype" w:hAnsi="Palatino Linotype" w:cs="Palatino Linotype"/>
          <w:sz w:val="22"/>
          <w:szCs w:val="22"/>
        </w:rPr>
        <w:t xml:space="preserve"> en el Recurso de Revisión</w:t>
      </w:r>
      <w:r w:rsidRPr="00A57D42">
        <w:rPr>
          <w:rFonts w:ascii="Palatino Linotype" w:eastAsia="Palatino Linotype" w:hAnsi="Palatino Linotype" w:cs="Palatino Linotype"/>
          <w:b/>
          <w:sz w:val="22"/>
          <w:szCs w:val="22"/>
        </w:rPr>
        <w:t xml:space="preserve"> </w:t>
      </w:r>
      <w:r w:rsidR="00E66014" w:rsidRPr="00A57D42">
        <w:rPr>
          <w:rFonts w:ascii="Palatino Linotype" w:eastAsia="Palatino Linotype" w:hAnsi="Palatino Linotype" w:cs="Palatino Linotype"/>
          <w:b/>
          <w:sz w:val="22"/>
          <w:szCs w:val="22"/>
        </w:rPr>
        <w:t>09444/INFOEM/IP/RR/2025</w:t>
      </w:r>
      <w:r w:rsidRPr="00A57D42">
        <w:rPr>
          <w:rFonts w:ascii="Palatino Linotype" w:eastAsia="Palatino Linotype" w:hAnsi="Palatino Linotype" w:cs="Palatino Linotype"/>
          <w:b/>
          <w:sz w:val="22"/>
          <w:szCs w:val="22"/>
        </w:rPr>
        <w:t xml:space="preserve">, </w:t>
      </w:r>
      <w:r w:rsidRPr="00A57D42">
        <w:rPr>
          <w:rFonts w:ascii="Palatino Linotype" w:eastAsia="Palatino Linotype" w:hAnsi="Palatino Linotype" w:cs="Palatino Linotype"/>
          <w:sz w:val="22"/>
          <w:szCs w:val="22"/>
        </w:rPr>
        <w:t>por lo que</w:t>
      </w:r>
      <w:r w:rsidRPr="00A57D42">
        <w:rPr>
          <w:rFonts w:ascii="Palatino Linotype" w:eastAsia="Palatino Linotype" w:hAnsi="Palatino Linotype" w:cs="Palatino Linotype"/>
          <w:b/>
          <w:sz w:val="22"/>
          <w:szCs w:val="22"/>
        </w:rPr>
        <w:t xml:space="preserve">, en términos del Considerando Cuarto </w:t>
      </w:r>
      <w:r w:rsidRPr="00A57D42">
        <w:rPr>
          <w:rFonts w:ascii="Palatino Linotype" w:eastAsia="Palatino Linotype" w:hAnsi="Palatino Linotype" w:cs="Palatino Linotype"/>
          <w:sz w:val="22"/>
          <w:szCs w:val="22"/>
        </w:rPr>
        <w:t>de la presente resolución</w:t>
      </w:r>
      <w:r w:rsidRPr="00A57D42">
        <w:rPr>
          <w:rFonts w:ascii="Palatino Linotype" w:eastAsia="Palatino Linotype" w:hAnsi="Palatino Linotype" w:cs="Palatino Linotype"/>
          <w:b/>
          <w:sz w:val="22"/>
          <w:szCs w:val="22"/>
        </w:rPr>
        <w:t xml:space="preserve">, se </w:t>
      </w:r>
      <w:r w:rsidR="002C3E8F" w:rsidRPr="00A57D42">
        <w:rPr>
          <w:rFonts w:ascii="Palatino Linotype" w:eastAsia="Palatino Linotype" w:hAnsi="Palatino Linotype" w:cs="Palatino Linotype"/>
          <w:b/>
          <w:sz w:val="22"/>
          <w:szCs w:val="22"/>
        </w:rPr>
        <w:t>MODIFICA</w:t>
      </w:r>
      <w:r w:rsidRPr="00A57D42">
        <w:rPr>
          <w:rFonts w:ascii="Palatino Linotype" w:eastAsia="Palatino Linotype" w:hAnsi="Palatino Linotype" w:cs="Palatino Linotype"/>
          <w:b/>
          <w:sz w:val="22"/>
          <w:szCs w:val="22"/>
        </w:rPr>
        <w:t xml:space="preserve"> l</w:t>
      </w:r>
      <w:r w:rsidRPr="00A57D42">
        <w:rPr>
          <w:rFonts w:ascii="Palatino Linotype" w:eastAsia="Palatino Linotype" w:hAnsi="Palatino Linotype" w:cs="Palatino Linotype"/>
          <w:sz w:val="22"/>
          <w:szCs w:val="22"/>
        </w:rPr>
        <w:t>a respuesta del</w:t>
      </w:r>
      <w:r w:rsidRPr="00A57D42">
        <w:rPr>
          <w:rFonts w:ascii="Palatino Linotype" w:eastAsia="Palatino Linotype" w:hAnsi="Palatino Linotype" w:cs="Palatino Linotype"/>
          <w:b/>
          <w:sz w:val="22"/>
          <w:szCs w:val="22"/>
        </w:rPr>
        <w:t xml:space="preserve"> Sujeto Obligado.</w:t>
      </w:r>
    </w:p>
    <w:p w14:paraId="7D8F81E5" w14:textId="0EC8BCA1" w:rsidR="00C877F6" w:rsidRPr="00A57D42" w:rsidRDefault="00F36565" w:rsidP="00F45A48">
      <w:pPr>
        <w:spacing w:before="240" w:after="240" w:line="360" w:lineRule="auto"/>
        <w:jc w:val="both"/>
        <w:rPr>
          <w:rFonts w:ascii="Palatino Linotype" w:eastAsia="Palatino Linotype" w:hAnsi="Palatino Linotype" w:cs="Palatino Linotype"/>
          <w:b/>
          <w:sz w:val="22"/>
          <w:szCs w:val="22"/>
        </w:rPr>
      </w:pPr>
      <w:bookmarkStart w:id="3" w:name="_heading=h.j3ppyxwlb1s2" w:colFirst="0" w:colLast="0"/>
      <w:bookmarkEnd w:id="3"/>
      <w:r w:rsidRPr="00A57D42">
        <w:rPr>
          <w:rFonts w:ascii="Palatino Linotype" w:eastAsia="Palatino Linotype" w:hAnsi="Palatino Linotype" w:cs="Palatino Linotype"/>
          <w:b/>
          <w:sz w:val="22"/>
          <w:szCs w:val="22"/>
        </w:rPr>
        <w:t xml:space="preserve">Segundo. Se Ordena al Sujeto Obligado </w:t>
      </w:r>
      <w:r w:rsidRPr="00A57D42">
        <w:rPr>
          <w:rFonts w:ascii="Palatino Linotype" w:eastAsia="Palatino Linotype" w:hAnsi="Palatino Linotype" w:cs="Palatino Linotype"/>
          <w:sz w:val="22"/>
          <w:szCs w:val="22"/>
        </w:rPr>
        <w:t>que en términos de los</w:t>
      </w:r>
      <w:r w:rsidRPr="00A57D42">
        <w:rPr>
          <w:rFonts w:ascii="Palatino Linotype" w:eastAsia="Palatino Linotype" w:hAnsi="Palatino Linotype" w:cs="Palatino Linotype"/>
          <w:b/>
          <w:sz w:val="22"/>
          <w:szCs w:val="22"/>
        </w:rPr>
        <w:t xml:space="preserve"> Considerandos Cuarto y Quinto </w:t>
      </w:r>
      <w:r w:rsidRPr="00A57D42">
        <w:rPr>
          <w:rFonts w:ascii="Palatino Linotype" w:eastAsia="Palatino Linotype" w:hAnsi="Palatino Linotype" w:cs="Palatino Linotype"/>
          <w:sz w:val="22"/>
          <w:szCs w:val="22"/>
        </w:rPr>
        <w:t xml:space="preserve">de esta resolución, haga entrega a </w:t>
      </w:r>
      <w:r w:rsidRPr="00A57D42">
        <w:rPr>
          <w:rFonts w:ascii="Palatino Linotype" w:eastAsia="Palatino Linotype" w:hAnsi="Palatino Linotype" w:cs="Palatino Linotype"/>
          <w:b/>
          <w:sz w:val="22"/>
          <w:szCs w:val="22"/>
        </w:rPr>
        <w:t xml:space="preserve">la parte Recurrente a través del SAIMEX, </w:t>
      </w:r>
      <w:r w:rsidR="002C3E8F" w:rsidRPr="00A57D42">
        <w:rPr>
          <w:rFonts w:ascii="Palatino Linotype" w:eastAsia="Palatino Linotype" w:hAnsi="Palatino Linotype" w:cs="Palatino Linotype"/>
          <w:b/>
          <w:sz w:val="22"/>
          <w:szCs w:val="22"/>
        </w:rPr>
        <w:t xml:space="preserve">de ser el caso </w:t>
      </w:r>
      <w:r w:rsidR="00D35935" w:rsidRPr="00A57D42">
        <w:rPr>
          <w:rFonts w:ascii="Palatino Linotype" w:eastAsia="Palatino Linotype" w:hAnsi="Palatino Linotype" w:cs="Palatino Linotype"/>
          <w:b/>
          <w:sz w:val="22"/>
          <w:szCs w:val="22"/>
        </w:rPr>
        <w:t xml:space="preserve">en versión pública, </w:t>
      </w:r>
      <w:r w:rsidR="002C3E8F" w:rsidRPr="00A57D42">
        <w:rPr>
          <w:rFonts w:ascii="Palatino Linotype" w:eastAsia="Palatino Linotype" w:hAnsi="Palatino Linotype" w:cs="Palatino Linotype"/>
          <w:b/>
          <w:sz w:val="22"/>
          <w:szCs w:val="22"/>
        </w:rPr>
        <w:t xml:space="preserve">los documentos donde conste </w:t>
      </w:r>
      <w:r w:rsidRPr="00A57D42">
        <w:rPr>
          <w:rFonts w:ascii="Palatino Linotype" w:eastAsia="Palatino Linotype" w:hAnsi="Palatino Linotype" w:cs="Palatino Linotype"/>
          <w:sz w:val="22"/>
          <w:szCs w:val="22"/>
        </w:rPr>
        <w:t>la siguiente información</w:t>
      </w:r>
      <w:r w:rsidRPr="00A57D42">
        <w:rPr>
          <w:rFonts w:ascii="Palatino Linotype" w:eastAsia="Palatino Linotype" w:hAnsi="Palatino Linotype" w:cs="Palatino Linotype"/>
          <w:b/>
          <w:sz w:val="22"/>
          <w:szCs w:val="22"/>
        </w:rPr>
        <w:t>:</w:t>
      </w:r>
    </w:p>
    <w:p w14:paraId="1E354BC9" w14:textId="77777777" w:rsidR="007D71A6" w:rsidRPr="00A57D42" w:rsidRDefault="006317DA" w:rsidP="007D71A6">
      <w:pPr>
        <w:pStyle w:val="Prrafodelista"/>
        <w:numPr>
          <w:ilvl w:val="0"/>
          <w:numId w:val="8"/>
        </w:numPr>
        <w:spacing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Copia certificada de todos los acuerdos, decretos, órdenes, resoluciones y demás actos administrativos emitidos o suscritos por la Presidenta Municipal y/o el Secretario durante el periodo indicado, que impliquen decisiones de gestión, administración o e</w:t>
      </w:r>
      <w:r w:rsidR="001D21A4" w:rsidRPr="00A57D42">
        <w:rPr>
          <w:rFonts w:ascii="Palatino Linotype" w:eastAsia="Palatino Linotype" w:hAnsi="Palatino Linotype" w:cs="Palatino Linotype"/>
          <w:b/>
          <w:sz w:val="22"/>
          <w:szCs w:val="22"/>
        </w:rPr>
        <w:t>jecución de funciones públicas, del uno de enero al veinte de junio de dos mil veinticinco;</w:t>
      </w:r>
    </w:p>
    <w:p w14:paraId="64A9CCF7" w14:textId="78FC0CE4" w:rsidR="007D71A6" w:rsidRPr="00A57D42" w:rsidRDefault="007D71A6" w:rsidP="007D71A6">
      <w:pPr>
        <w:pStyle w:val="Prrafodelista"/>
        <w:numPr>
          <w:ilvl w:val="0"/>
          <w:numId w:val="8"/>
        </w:numPr>
        <w:spacing w:line="360" w:lineRule="auto"/>
        <w:jc w:val="both"/>
        <w:rPr>
          <w:rFonts w:ascii="Palatino Linotype" w:eastAsia="Palatino Linotype" w:hAnsi="Palatino Linotype" w:cs="Palatino Linotype"/>
          <w:b/>
          <w:bCs/>
          <w:sz w:val="22"/>
          <w:szCs w:val="22"/>
        </w:rPr>
      </w:pPr>
      <w:r w:rsidRPr="00A57D42">
        <w:rPr>
          <w:rFonts w:ascii="Palatino Linotype" w:eastAsia="Palatino Linotype" w:hAnsi="Palatino Linotype" w:cs="Palatino Linotype"/>
          <w:b/>
          <w:bCs/>
          <w:sz w:val="22"/>
          <w:szCs w:val="22"/>
        </w:rPr>
        <w:t xml:space="preserve">Acuerdo emitido por el Comité de Transparencia, a través del cual se clasifique como confidencial el pronunciamiento respecto de la </w:t>
      </w:r>
      <w:r w:rsidR="0017246D" w:rsidRPr="00A57D42">
        <w:rPr>
          <w:rFonts w:ascii="Palatino Linotype" w:eastAsia="Palatino Linotype" w:hAnsi="Palatino Linotype" w:cs="Palatino Linotype"/>
          <w:b/>
          <w:bCs/>
          <w:sz w:val="22"/>
          <w:szCs w:val="22"/>
        </w:rPr>
        <w:t xml:space="preserve">relación quejas, denuncias o inconformidades, así como la relación de de procedimientos administrativos en contra de la Presidenta Municipal y/o Secretario del Ayuntamiento, </w:t>
      </w:r>
      <w:r w:rsidRPr="00A57D42">
        <w:rPr>
          <w:rFonts w:ascii="Palatino Linotype" w:eastAsia="Palatino Linotype" w:hAnsi="Palatino Linotype" w:cs="Palatino Linotype"/>
          <w:b/>
          <w:bCs/>
          <w:sz w:val="22"/>
          <w:szCs w:val="22"/>
        </w:rPr>
        <w:t xml:space="preserve">en términos de los artículos 49, fracción II, 132, fracción II, 143, fracción I y 149 de la Ley de Transparencia y Acceso a la Información Pública del Estado de México y Municipios; </w:t>
      </w:r>
    </w:p>
    <w:p w14:paraId="0539F684" w14:textId="08BD1503" w:rsidR="00B80BE3" w:rsidRPr="00A57D42" w:rsidRDefault="00032764" w:rsidP="008414EE">
      <w:pPr>
        <w:pStyle w:val="Prrafodelista"/>
        <w:numPr>
          <w:ilvl w:val="0"/>
          <w:numId w:val="8"/>
        </w:numPr>
        <w:spacing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 xml:space="preserve">Auditorías </w:t>
      </w:r>
      <w:r w:rsidR="001525D0" w:rsidRPr="00A57D42">
        <w:rPr>
          <w:rFonts w:ascii="Palatino Linotype" w:eastAsia="Palatino Linotype" w:hAnsi="Palatino Linotype" w:cs="Palatino Linotype"/>
          <w:b/>
          <w:sz w:val="22"/>
          <w:szCs w:val="22"/>
        </w:rPr>
        <w:t xml:space="preserve">concluidas </w:t>
      </w:r>
      <w:r w:rsidRPr="00A57D42">
        <w:rPr>
          <w:rFonts w:ascii="Palatino Linotype" w:eastAsia="Palatino Linotype" w:hAnsi="Palatino Linotype" w:cs="Palatino Linotype"/>
          <w:b/>
          <w:sz w:val="22"/>
          <w:szCs w:val="22"/>
        </w:rPr>
        <w:t>que aborden conductas irregulares o faltas administrativas en la gestión administrativa y la toma de decisiones</w:t>
      </w:r>
      <w:r w:rsidR="003E60D4" w:rsidRPr="00A57D42">
        <w:rPr>
          <w:rFonts w:ascii="Palatino Linotype" w:eastAsia="Palatino Linotype" w:hAnsi="Palatino Linotype" w:cs="Palatino Linotype"/>
          <w:b/>
          <w:sz w:val="22"/>
          <w:szCs w:val="22"/>
        </w:rPr>
        <w:t xml:space="preserve"> del uno de enero al veinte de junio de dos mil veinticinco</w:t>
      </w:r>
      <w:r w:rsidRPr="00A57D42">
        <w:rPr>
          <w:rFonts w:ascii="Palatino Linotype" w:eastAsia="Palatino Linotype" w:hAnsi="Palatino Linotype" w:cs="Palatino Linotype"/>
          <w:b/>
          <w:sz w:val="22"/>
          <w:szCs w:val="22"/>
        </w:rPr>
        <w:t>;</w:t>
      </w:r>
    </w:p>
    <w:p w14:paraId="1BB2D516" w14:textId="1056BCCD" w:rsidR="00B80BE3" w:rsidRPr="00A57D42" w:rsidRDefault="00032764" w:rsidP="008414EE">
      <w:pPr>
        <w:pStyle w:val="Prrafodelista"/>
        <w:numPr>
          <w:ilvl w:val="0"/>
          <w:numId w:val="8"/>
        </w:numPr>
        <w:spacing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De los Titulares de las Unidades Administrativas en funciones del uno de enero al veinte de junio de dos mil veinticinco:</w:t>
      </w:r>
    </w:p>
    <w:p w14:paraId="1A575D42" w14:textId="7B889FB9" w:rsidR="00032764" w:rsidRPr="00A57D42" w:rsidRDefault="00032764" w:rsidP="008414EE">
      <w:pPr>
        <w:pStyle w:val="Prrafodelista"/>
        <w:numPr>
          <w:ilvl w:val="0"/>
          <w:numId w:val="11"/>
        </w:numPr>
        <w:spacing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Documentos donde conste la experiencia;</w:t>
      </w:r>
    </w:p>
    <w:p w14:paraId="671BD82C" w14:textId="0428D74A" w:rsidR="005C0DE2" w:rsidRPr="00A57D42" w:rsidRDefault="005C0DE2" w:rsidP="008414EE">
      <w:pPr>
        <w:pStyle w:val="Prrafodelista"/>
        <w:numPr>
          <w:ilvl w:val="0"/>
          <w:numId w:val="11"/>
        </w:numPr>
        <w:spacing w:line="360" w:lineRule="auto"/>
        <w:jc w:val="both"/>
        <w:rPr>
          <w:rFonts w:ascii="Palatino Linotype" w:eastAsia="Palatino Linotype" w:hAnsi="Palatino Linotype" w:cs="Palatino Linotype"/>
          <w:b/>
          <w:sz w:val="22"/>
          <w:szCs w:val="22"/>
        </w:rPr>
      </w:pPr>
      <w:r w:rsidRPr="00A57D42">
        <w:rPr>
          <w:rFonts w:ascii="Palatino Linotype" w:eastAsia="Palatino Linotype" w:hAnsi="Palatino Linotype" w:cs="Palatino Linotype"/>
          <w:b/>
          <w:sz w:val="22"/>
          <w:szCs w:val="22"/>
        </w:rPr>
        <w:t>Certificaciones de competencia laboral faltantes y los entregados en respuesta en correcta versión pública.</w:t>
      </w:r>
    </w:p>
    <w:p w14:paraId="36A56A22" w14:textId="77777777" w:rsidR="00B80BE3" w:rsidRPr="00A57D42" w:rsidRDefault="00B80BE3" w:rsidP="00032764">
      <w:pPr>
        <w:pStyle w:val="Prrafodelista"/>
        <w:spacing w:line="360" w:lineRule="auto"/>
        <w:jc w:val="both"/>
        <w:rPr>
          <w:rFonts w:ascii="Palatino Linotype" w:eastAsia="Palatino Linotype" w:hAnsi="Palatino Linotype" w:cs="Palatino Linotype"/>
          <w:b/>
          <w:sz w:val="22"/>
          <w:szCs w:val="22"/>
        </w:rPr>
      </w:pPr>
    </w:p>
    <w:p w14:paraId="09EFB991" w14:textId="77777777" w:rsidR="00602DB8" w:rsidRPr="00A57D42" w:rsidRDefault="00F36565" w:rsidP="00F45A48">
      <w:pPr>
        <w:pBdr>
          <w:top w:val="nil"/>
          <w:left w:val="nil"/>
          <w:bottom w:val="nil"/>
          <w:right w:val="nil"/>
          <w:between w:val="nil"/>
        </w:pBdr>
        <w:spacing w:line="360" w:lineRule="auto"/>
        <w:ind w:left="284" w:right="560"/>
        <w:jc w:val="both"/>
        <w:rPr>
          <w:rFonts w:ascii="Palatino Linotype" w:eastAsia="Palatino Linotype" w:hAnsi="Palatino Linotype" w:cs="Palatino Linotype"/>
          <w:i/>
          <w:sz w:val="22"/>
          <w:szCs w:val="22"/>
        </w:rPr>
      </w:pPr>
      <w:r w:rsidRPr="00A57D42">
        <w:rPr>
          <w:rFonts w:ascii="Palatino Linotype" w:eastAsia="Palatino Linotype" w:hAnsi="Palatino Linotype" w:cs="Palatino Linotype"/>
          <w:i/>
          <w:sz w:val="22"/>
          <w:szCs w:val="22"/>
        </w:rPr>
        <w:t xml:space="preserve">Para la entrega en versión pública, se deberá emitir el Acuerdo del Comité de Transparencia de acuerdo con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parte Recurrente. </w:t>
      </w:r>
    </w:p>
    <w:p w14:paraId="25482C3D" w14:textId="77777777" w:rsidR="00783D48" w:rsidRPr="00A57D42" w:rsidRDefault="00783D48" w:rsidP="00F45A48">
      <w:pPr>
        <w:pBdr>
          <w:top w:val="nil"/>
          <w:left w:val="nil"/>
          <w:bottom w:val="nil"/>
          <w:right w:val="nil"/>
          <w:between w:val="nil"/>
        </w:pBdr>
        <w:spacing w:line="360" w:lineRule="auto"/>
        <w:ind w:left="284" w:right="560"/>
        <w:jc w:val="both"/>
        <w:rPr>
          <w:rFonts w:ascii="Palatino Linotype" w:eastAsia="Palatino Linotype" w:hAnsi="Palatino Linotype" w:cs="Palatino Linotype"/>
          <w:i/>
          <w:sz w:val="22"/>
          <w:szCs w:val="22"/>
        </w:rPr>
      </w:pPr>
    </w:p>
    <w:p w14:paraId="60FF38C0" w14:textId="4EEECB5F" w:rsidR="006317DA" w:rsidRPr="00A57D42" w:rsidRDefault="00783D48" w:rsidP="006317DA">
      <w:pPr>
        <w:pBdr>
          <w:top w:val="nil"/>
          <w:left w:val="nil"/>
          <w:bottom w:val="nil"/>
          <w:right w:val="nil"/>
          <w:between w:val="nil"/>
        </w:pBdr>
        <w:spacing w:line="360" w:lineRule="auto"/>
        <w:ind w:left="284" w:right="560"/>
        <w:jc w:val="both"/>
        <w:rPr>
          <w:rFonts w:ascii="Palatino Linotype" w:hAnsi="Palatino Linotype"/>
          <w:i/>
          <w:iCs/>
          <w:sz w:val="22"/>
          <w:szCs w:val="22"/>
        </w:rPr>
      </w:pPr>
      <w:r w:rsidRPr="00A57D42">
        <w:rPr>
          <w:rFonts w:ascii="Palatino Linotype" w:eastAsia="Palatino Linotype" w:hAnsi="Palatino Linotype" w:cs="Palatino Linotype"/>
          <w:i/>
          <w:sz w:val="22"/>
          <w:szCs w:val="22"/>
        </w:rPr>
        <w:t>De ser el caso de que no se localice la informa</w:t>
      </w:r>
      <w:r w:rsidR="00032764" w:rsidRPr="00A57D42">
        <w:rPr>
          <w:rFonts w:ascii="Palatino Linotype" w:eastAsia="Palatino Linotype" w:hAnsi="Palatino Linotype" w:cs="Palatino Linotype"/>
          <w:i/>
          <w:sz w:val="22"/>
          <w:szCs w:val="22"/>
        </w:rPr>
        <w:t xml:space="preserve">ción que se ordena en el punto </w:t>
      </w:r>
      <w:r w:rsidR="00832A66" w:rsidRPr="00A57D42">
        <w:rPr>
          <w:rFonts w:ascii="Palatino Linotype" w:eastAsia="Palatino Linotype" w:hAnsi="Palatino Linotype" w:cs="Palatino Linotype"/>
          <w:i/>
          <w:sz w:val="22"/>
          <w:szCs w:val="22"/>
        </w:rPr>
        <w:t>3</w:t>
      </w:r>
      <w:r w:rsidR="00871711" w:rsidRPr="00A57D42">
        <w:rPr>
          <w:rFonts w:ascii="Palatino Linotype" w:eastAsia="Palatino Linotype" w:hAnsi="Palatino Linotype" w:cs="Palatino Linotype"/>
          <w:i/>
          <w:sz w:val="22"/>
          <w:szCs w:val="22"/>
        </w:rPr>
        <w:t xml:space="preserve"> y el inciso </w:t>
      </w:r>
      <w:r w:rsidR="007D71A6" w:rsidRPr="00A57D42">
        <w:rPr>
          <w:rFonts w:ascii="Palatino Linotype" w:eastAsia="Palatino Linotype" w:hAnsi="Palatino Linotype" w:cs="Palatino Linotype"/>
          <w:i/>
          <w:sz w:val="22"/>
          <w:szCs w:val="22"/>
        </w:rPr>
        <w:t>b</w:t>
      </w:r>
      <w:r w:rsidR="00871711" w:rsidRPr="00A57D42">
        <w:rPr>
          <w:rFonts w:ascii="Palatino Linotype" w:eastAsia="Palatino Linotype" w:hAnsi="Palatino Linotype" w:cs="Palatino Linotype"/>
          <w:i/>
          <w:sz w:val="22"/>
          <w:szCs w:val="22"/>
        </w:rPr>
        <w:t>) del numeral 4 por no haber transcurrido el plazo de seis meses</w:t>
      </w:r>
      <w:r w:rsidRPr="00A57D42">
        <w:rPr>
          <w:rFonts w:ascii="Palatino Linotype" w:eastAsia="Palatino Linotype" w:hAnsi="Palatino Linotype" w:cs="Palatino Linotype"/>
          <w:i/>
          <w:sz w:val="22"/>
          <w:szCs w:val="22"/>
        </w:rPr>
        <w:t xml:space="preserve">, </w:t>
      </w:r>
      <w:r w:rsidRPr="00A57D42">
        <w:rPr>
          <w:rFonts w:ascii="Palatino Linotype" w:hAnsi="Palatino Linotype"/>
          <w:i/>
          <w:sz w:val="22"/>
          <w:szCs w:val="22"/>
        </w:rPr>
        <w:t>bastará</w:t>
      </w:r>
      <w:r w:rsidRPr="00A57D42">
        <w:rPr>
          <w:rFonts w:ascii="Palatino Linotype" w:eastAsia="Palatino Linotype" w:hAnsi="Palatino Linotype" w:cs="Palatino Linotype"/>
          <w:i/>
          <w:sz w:val="22"/>
          <w:szCs w:val="22"/>
        </w:rPr>
        <w:t xml:space="preserve"> </w:t>
      </w:r>
      <w:r w:rsidRPr="00A57D42">
        <w:rPr>
          <w:rFonts w:ascii="Palatino Linotype" w:hAnsi="Palatino Linotype"/>
          <w:i/>
          <w:iCs/>
          <w:sz w:val="22"/>
          <w:szCs w:val="22"/>
        </w:rPr>
        <w:t xml:space="preserve">con que así lo haga del conocimiento de la parte </w:t>
      </w:r>
      <w:r w:rsidRPr="00A57D42">
        <w:rPr>
          <w:rFonts w:ascii="Palatino Linotype" w:hAnsi="Palatino Linotype"/>
          <w:b/>
          <w:bCs/>
          <w:i/>
          <w:iCs/>
          <w:sz w:val="22"/>
          <w:szCs w:val="22"/>
        </w:rPr>
        <w:t>Recurrente</w:t>
      </w:r>
      <w:r w:rsidRPr="00A57D42">
        <w:rPr>
          <w:rFonts w:ascii="Palatino Linotype" w:hAnsi="Palatino Linotype"/>
          <w:i/>
          <w:iCs/>
          <w:sz w:val="22"/>
          <w:szCs w:val="22"/>
        </w:rPr>
        <w:t>, de manera clara y precisa, en términos del artículo 19, párrafo segundo de la Ley de Transparencia y Acceso a la Información pública del Estado de México y Municipios.</w:t>
      </w:r>
    </w:p>
    <w:p w14:paraId="1D8DE1CB" w14:textId="77777777" w:rsidR="005C0DE2" w:rsidRPr="00A57D42" w:rsidRDefault="005C0DE2" w:rsidP="006317DA">
      <w:pPr>
        <w:pBdr>
          <w:top w:val="nil"/>
          <w:left w:val="nil"/>
          <w:bottom w:val="nil"/>
          <w:right w:val="nil"/>
          <w:between w:val="nil"/>
        </w:pBdr>
        <w:spacing w:line="360" w:lineRule="auto"/>
        <w:ind w:left="284" w:right="560"/>
        <w:jc w:val="both"/>
        <w:rPr>
          <w:rFonts w:ascii="Palatino Linotype" w:hAnsi="Palatino Linotype"/>
          <w:i/>
          <w:iCs/>
          <w:sz w:val="22"/>
          <w:szCs w:val="22"/>
        </w:rPr>
      </w:pPr>
    </w:p>
    <w:p w14:paraId="65EBAA3F" w14:textId="524DCDCF" w:rsidR="005C0DE2" w:rsidRPr="00A57D42" w:rsidRDefault="005C0DE2" w:rsidP="006317DA">
      <w:pPr>
        <w:pBdr>
          <w:top w:val="nil"/>
          <w:left w:val="nil"/>
          <w:bottom w:val="nil"/>
          <w:right w:val="nil"/>
          <w:between w:val="nil"/>
        </w:pBdr>
        <w:spacing w:line="360" w:lineRule="auto"/>
        <w:ind w:left="284" w:right="560"/>
        <w:jc w:val="both"/>
        <w:rPr>
          <w:rFonts w:ascii="Palatino Linotype" w:hAnsi="Palatino Linotype"/>
          <w:i/>
          <w:iCs/>
          <w:sz w:val="22"/>
          <w:szCs w:val="22"/>
        </w:rPr>
      </w:pPr>
      <w:r w:rsidRPr="00A57D42">
        <w:rPr>
          <w:rFonts w:ascii="Palatino Linotype" w:eastAsia="Palatino Linotype" w:hAnsi="Palatino Linotype" w:cs="Palatino Linotype"/>
          <w:i/>
          <w:sz w:val="22"/>
          <w:szCs w:val="22"/>
        </w:rPr>
        <w:t>Para el caso, de que, el Sujeto Obligado no cuente con la información que se determina relacionada con los certificados de competencia laboral de los titulares con más de seis meses en el cargo</w:t>
      </w:r>
      <w:r w:rsidR="00FB12E1" w:rsidRPr="00A57D42">
        <w:rPr>
          <w:rFonts w:ascii="Palatino Linotype" w:eastAsia="Palatino Linotype" w:hAnsi="Palatino Linotype" w:cs="Palatino Linotype"/>
          <w:i/>
          <w:sz w:val="22"/>
          <w:szCs w:val="22"/>
        </w:rPr>
        <w:t xml:space="preserve"> (inciso d, numeral 4)</w:t>
      </w:r>
      <w:r w:rsidRPr="00A57D42">
        <w:rPr>
          <w:rFonts w:ascii="Palatino Linotype" w:eastAsia="Palatino Linotype" w:hAnsi="Palatino Linotype" w:cs="Palatino Linotype"/>
          <w:i/>
          <w:sz w:val="22"/>
          <w:szCs w:val="22"/>
        </w:rPr>
        <w:t>, deberá remitir el Acuerdo que emita el Comité de Transparencia mediante el que se declare formalmente la inexistencia de la información en términos de los artículos 19, 49, 169 y 170 de la Ley de Transparencia y Acceso a la Información Pública del Estado de México y Municipios.</w:t>
      </w:r>
    </w:p>
    <w:p w14:paraId="05129C76" w14:textId="77777777" w:rsidR="006317DA" w:rsidRPr="00A57D42" w:rsidRDefault="006317DA" w:rsidP="006317DA">
      <w:pPr>
        <w:pBdr>
          <w:top w:val="nil"/>
          <w:left w:val="nil"/>
          <w:bottom w:val="nil"/>
          <w:right w:val="nil"/>
          <w:between w:val="nil"/>
        </w:pBdr>
        <w:spacing w:line="360" w:lineRule="auto"/>
        <w:ind w:left="284" w:right="560"/>
        <w:jc w:val="both"/>
        <w:rPr>
          <w:rFonts w:ascii="Palatino Linotype" w:hAnsi="Palatino Linotype"/>
          <w:i/>
          <w:iCs/>
          <w:sz w:val="22"/>
          <w:szCs w:val="22"/>
        </w:rPr>
      </w:pPr>
    </w:p>
    <w:p w14:paraId="2F3E852E" w14:textId="3D48ACFB" w:rsidR="003E31C9" w:rsidRPr="00A57D42" w:rsidRDefault="006317DA" w:rsidP="007D71A6">
      <w:pPr>
        <w:pBdr>
          <w:top w:val="nil"/>
          <w:left w:val="nil"/>
          <w:bottom w:val="nil"/>
          <w:right w:val="nil"/>
          <w:between w:val="nil"/>
        </w:pBdr>
        <w:spacing w:line="360" w:lineRule="auto"/>
        <w:ind w:left="284" w:right="560"/>
        <w:jc w:val="both"/>
        <w:rPr>
          <w:rFonts w:ascii="Palatino Linotype" w:hAnsi="Palatino Linotype"/>
          <w:i/>
          <w:iCs/>
          <w:strike/>
          <w:sz w:val="22"/>
          <w:szCs w:val="22"/>
        </w:rPr>
      </w:pPr>
      <w:r w:rsidRPr="00A57D42">
        <w:rPr>
          <w:rFonts w:ascii="Palatino Linotype" w:hAnsi="Palatino Linotype"/>
          <w:i/>
          <w:iCs/>
          <w:sz w:val="22"/>
          <w:szCs w:val="22"/>
        </w:rPr>
        <w:t xml:space="preserve">Para la entrega de la información mediante copia certificada, el </w:t>
      </w:r>
      <w:r w:rsidRPr="00A57D42">
        <w:rPr>
          <w:rFonts w:ascii="Palatino Linotype" w:hAnsi="Palatino Linotype"/>
          <w:b/>
          <w:bCs/>
          <w:i/>
          <w:iCs/>
          <w:sz w:val="22"/>
          <w:szCs w:val="22"/>
        </w:rPr>
        <w:t>Sujeto Obligado</w:t>
      </w:r>
      <w:r w:rsidRPr="00A57D42">
        <w:rPr>
          <w:rFonts w:ascii="Palatino Linotype" w:hAnsi="Palatino Linotype"/>
          <w:i/>
          <w:iCs/>
          <w:sz w:val="22"/>
          <w:szCs w:val="22"/>
        </w:rPr>
        <w:t xml:space="preserve"> previamente deberá hacer de conocimiento de la parte </w:t>
      </w:r>
      <w:r w:rsidRPr="00A57D42">
        <w:rPr>
          <w:rFonts w:ascii="Palatino Linotype" w:hAnsi="Palatino Linotype"/>
          <w:b/>
          <w:bCs/>
          <w:i/>
          <w:iCs/>
          <w:sz w:val="22"/>
          <w:szCs w:val="22"/>
        </w:rPr>
        <w:t>Recurrente</w:t>
      </w:r>
      <w:r w:rsidRPr="00A57D42">
        <w:rPr>
          <w:rFonts w:ascii="Palatino Linotype" w:hAnsi="Palatino Linotype"/>
          <w:i/>
          <w:iCs/>
          <w:sz w:val="22"/>
          <w:szCs w:val="22"/>
        </w:rPr>
        <w:t xml:space="preserve">, vía SAIMEX, </w:t>
      </w:r>
      <w:r w:rsidR="007D71A6" w:rsidRPr="00A57D42">
        <w:rPr>
          <w:rFonts w:ascii="Palatino Linotype" w:hAnsi="Palatino Linotype"/>
          <w:i/>
          <w:iCs/>
          <w:sz w:val="22"/>
          <w:szCs w:val="22"/>
        </w:rPr>
        <w:t>el</w:t>
      </w:r>
      <w:r w:rsidRPr="00A57D42">
        <w:rPr>
          <w:rFonts w:ascii="Palatino Linotype" w:hAnsi="Palatino Linotype"/>
          <w:i/>
          <w:iCs/>
          <w:sz w:val="22"/>
          <w:szCs w:val="22"/>
        </w:rPr>
        <w:t xml:space="preserve"> día y horarios en los que podrá acceder a la información, así como el nombre del o los servidores públicos que le atenderán.</w:t>
      </w:r>
    </w:p>
    <w:p w14:paraId="5A286D23" w14:textId="77777777" w:rsidR="003E31C9" w:rsidRPr="00A57D42" w:rsidRDefault="003E31C9" w:rsidP="003E31C9">
      <w:pPr>
        <w:pBdr>
          <w:top w:val="nil"/>
          <w:left w:val="nil"/>
          <w:bottom w:val="nil"/>
          <w:right w:val="nil"/>
          <w:between w:val="nil"/>
        </w:pBdr>
        <w:spacing w:line="360" w:lineRule="auto"/>
        <w:ind w:left="284" w:right="560"/>
        <w:jc w:val="both"/>
        <w:rPr>
          <w:rFonts w:ascii="Palatino Linotype" w:eastAsia="Palatino Linotype" w:hAnsi="Palatino Linotype" w:cs="Palatino Linotype"/>
          <w:i/>
          <w:iCs/>
          <w:sz w:val="22"/>
          <w:szCs w:val="22"/>
        </w:rPr>
      </w:pPr>
    </w:p>
    <w:p w14:paraId="3C69F997" w14:textId="39FCE550" w:rsidR="003E31C9" w:rsidRPr="00A57D42" w:rsidRDefault="003E31C9" w:rsidP="003E31C9">
      <w:pPr>
        <w:pBdr>
          <w:top w:val="nil"/>
          <w:left w:val="nil"/>
          <w:bottom w:val="nil"/>
          <w:right w:val="nil"/>
          <w:between w:val="nil"/>
        </w:pBdr>
        <w:spacing w:line="360" w:lineRule="auto"/>
        <w:ind w:left="284" w:right="560"/>
        <w:jc w:val="both"/>
        <w:rPr>
          <w:rFonts w:ascii="Palatino Linotype" w:hAnsi="Palatino Linotype"/>
          <w:i/>
          <w:iCs/>
          <w:sz w:val="22"/>
          <w:szCs w:val="22"/>
        </w:rPr>
      </w:pPr>
      <w:r w:rsidRPr="00A57D42">
        <w:rPr>
          <w:rFonts w:ascii="Palatino Linotype" w:eastAsia="Palatino Linotype" w:hAnsi="Palatino Linotype" w:cs="Palatino Linotype"/>
          <w:i/>
          <w:iCs/>
          <w:sz w:val="22"/>
          <w:szCs w:val="22"/>
        </w:rPr>
        <w:t>De ser el caso de que se cuente con auditorías en trámite, deberá entregar el acta del Comité de Transparencia en el que se clasifique como información reservada, los expedientes, de conformidad con los artículos 128, 129, 135 y 140, de la Ley de Transparencia y Acceso a la Información Pública del Estado de México y Municipios.</w:t>
      </w:r>
    </w:p>
    <w:p w14:paraId="2ABA00F7" w14:textId="77777777"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Tercero.  Notifíquese vía SAIMEX, </w:t>
      </w:r>
      <w:r w:rsidRPr="00A57D42">
        <w:rPr>
          <w:rFonts w:ascii="Palatino Linotype" w:eastAsia="Palatino Linotype" w:hAnsi="Palatino Linotype" w:cs="Palatino Linotype"/>
          <w:sz w:val="22"/>
          <w:szCs w:val="22"/>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3CC3DB06" w14:textId="77777777" w:rsidR="00C877F6" w:rsidRPr="00A57D42" w:rsidRDefault="00F36565" w:rsidP="00F45A48">
      <w:pPr>
        <w:spacing w:before="240" w:after="240" w:line="360" w:lineRule="auto"/>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b/>
          <w:sz w:val="22"/>
          <w:szCs w:val="22"/>
        </w:rPr>
        <w:t xml:space="preserve">Cuarto. </w:t>
      </w:r>
      <w:r w:rsidRPr="00A57D42">
        <w:rPr>
          <w:rFonts w:ascii="Palatino Linotype" w:eastAsia="Palatino Linotype" w:hAnsi="Palatino Linotype" w:cs="Palatino Linotype"/>
          <w:sz w:val="22"/>
          <w:szCs w:val="22"/>
        </w:rPr>
        <w:t xml:space="preserve">De conformidad con el artículo 198 de la Ley de Transparencia y Acceso a la Información Pública del Estado de México y Municipios, de considerarlo procedente, el </w:t>
      </w:r>
      <w:r w:rsidRPr="00A57D42">
        <w:rPr>
          <w:rFonts w:ascii="Palatino Linotype" w:eastAsia="Palatino Linotype" w:hAnsi="Palatino Linotype" w:cs="Palatino Linotype"/>
          <w:b/>
          <w:sz w:val="22"/>
          <w:szCs w:val="22"/>
        </w:rPr>
        <w:t>Sujeto Obligado</w:t>
      </w:r>
      <w:r w:rsidRPr="00A57D42">
        <w:rPr>
          <w:rFonts w:ascii="Palatino Linotype" w:eastAsia="Palatino Linotype" w:hAnsi="Palatino Linotype" w:cs="Palatino Linotype"/>
          <w:sz w:val="22"/>
          <w:szCs w:val="22"/>
        </w:rPr>
        <w:t xml:space="preserve"> de manera fundada y motivada, podrá solicitar una ampliación de plazo para el cumplimiento de la presente resolución.</w:t>
      </w:r>
    </w:p>
    <w:p w14:paraId="40B6401C" w14:textId="77777777" w:rsidR="00C877F6" w:rsidRPr="00A57D42" w:rsidRDefault="00F36565" w:rsidP="00F45A48">
      <w:pPr>
        <w:spacing w:line="360" w:lineRule="auto"/>
        <w:jc w:val="both"/>
        <w:rPr>
          <w:rFonts w:ascii="Palatino Linotype" w:eastAsia="Palatino Linotype" w:hAnsi="Palatino Linotype" w:cs="Palatino Linotype"/>
          <w:sz w:val="22"/>
          <w:szCs w:val="22"/>
        </w:rPr>
      </w:pPr>
      <w:bookmarkStart w:id="4" w:name="_heading=h.tyjcwt" w:colFirst="0" w:colLast="0"/>
      <w:bookmarkEnd w:id="4"/>
      <w:r w:rsidRPr="00A57D42">
        <w:rPr>
          <w:rFonts w:ascii="Palatino Linotype" w:eastAsia="Palatino Linotype" w:hAnsi="Palatino Linotype" w:cs="Palatino Linotype"/>
          <w:b/>
          <w:sz w:val="22"/>
          <w:szCs w:val="22"/>
        </w:rPr>
        <w:t xml:space="preserve">Quinto. Notifíquese vía SAIMEX, </w:t>
      </w:r>
      <w:r w:rsidRPr="00A57D42">
        <w:rPr>
          <w:rFonts w:ascii="Palatino Linotype" w:eastAsia="Palatino Linotype" w:hAnsi="Palatino Linotype" w:cs="Palatino Linotype"/>
          <w:sz w:val="22"/>
          <w:szCs w:val="22"/>
        </w:rPr>
        <w:t>a</w:t>
      </w:r>
      <w:r w:rsidRPr="00A57D42">
        <w:rPr>
          <w:rFonts w:ascii="Palatino Linotype" w:eastAsia="Palatino Linotype" w:hAnsi="Palatino Linotype" w:cs="Palatino Linotype"/>
          <w:b/>
          <w:sz w:val="22"/>
          <w:szCs w:val="22"/>
        </w:rPr>
        <w:t xml:space="preserve"> la parte Recurrente</w:t>
      </w:r>
      <w:r w:rsidRPr="00A57D42">
        <w:rPr>
          <w:rFonts w:ascii="Palatino Linotype" w:eastAsia="Palatino Linotype" w:hAnsi="Palatino Linotype" w:cs="Palatino Linotype"/>
          <w:sz w:val="22"/>
          <w:szCs w:val="22"/>
        </w:rPr>
        <w:t xml:space="preserve"> la presente resolución, así como que podrá impugnar vía Juicio de Amparo en los términos de las leyes aplicables, de conformidad con lo establecido en el artículo 196 de la Ley de Transparencia y Acceso a la Información Pública del Estado de México y Municipios.</w:t>
      </w:r>
    </w:p>
    <w:p w14:paraId="04B27B0A" w14:textId="77777777" w:rsidR="005509CC" w:rsidRPr="00A57D42" w:rsidRDefault="005509CC" w:rsidP="00F45A48">
      <w:pPr>
        <w:spacing w:line="360" w:lineRule="auto"/>
        <w:ind w:right="-93"/>
        <w:jc w:val="both"/>
        <w:rPr>
          <w:rFonts w:ascii="Palatino Linotype" w:eastAsia="Palatino Linotype" w:hAnsi="Palatino Linotype" w:cs="Palatino Linotype"/>
          <w:sz w:val="22"/>
          <w:szCs w:val="22"/>
        </w:rPr>
      </w:pPr>
      <w:bookmarkStart w:id="5" w:name="_heading=h.jl0dlasot4f" w:colFirst="0" w:colLast="0"/>
      <w:bookmarkEnd w:id="5"/>
    </w:p>
    <w:p w14:paraId="124DF890" w14:textId="7DB323F3" w:rsidR="00C877F6" w:rsidRPr="00D97859" w:rsidRDefault="00F36565" w:rsidP="00F45A48">
      <w:pPr>
        <w:spacing w:line="360" w:lineRule="auto"/>
        <w:ind w:right="-93"/>
        <w:jc w:val="both"/>
        <w:rPr>
          <w:rFonts w:ascii="Palatino Linotype" w:eastAsia="Palatino Linotype" w:hAnsi="Palatino Linotype" w:cs="Palatino Linotype"/>
          <w:sz w:val="22"/>
          <w:szCs w:val="22"/>
        </w:rPr>
      </w:pPr>
      <w:r w:rsidRPr="00A57D42">
        <w:rPr>
          <w:rFonts w:ascii="Palatino Linotype" w:eastAsia="Palatino Linotype" w:hAnsi="Palatino Linotype" w:cs="Palatino Linotype"/>
          <w:sz w:val="22"/>
          <w:szCs w:val="22"/>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w:t>
      </w:r>
      <w:r w:rsidR="002305A4" w:rsidRPr="00A57D42">
        <w:rPr>
          <w:rFonts w:ascii="Palatino Linotype" w:eastAsia="Palatino Linotype" w:hAnsi="Palatino Linotype" w:cs="Palatino Linotype"/>
          <w:sz w:val="22"/>
          <w:szCs w:val="22"/>
        </w:rPr>
        <w:t xml:space="preserve">EMITIENDO VOTO PARTICULAR, </w:t>
      </w:r>
      <w:r w:rsidRPr="00A57D42">
        <w:rPr>
          <w:rFonts w:ascii="Palatino Linotype" w:eastAsia="Palatino Linotype" w:hAnsi="Palatino Linotype" w:cs="Palatino Linotype"/>
          <w:sz w:val="22"/>
          <w:szCs w:val="22"/>
        </w:rPr>
        <w:t>SHARON CRISTINA MORALES MARTÍNEZ, LUIS GUSTAVO PARRA NORIEGA</w:t>
      </w:r>
      <w:r w:rsidR="002305A4" w:rsidRPr="00A57D42">
        <w:rPr>
          <w:rFonts w:ascii="Palatino Linotype" w:eastAsia="Palatino Linotype" w:hAnsi="Palatino Linotype" w:cs="Palatino Linotype"/>
          <w:sz w:val="22"/>
          <w:szCs w:val="22"/>
        </w:rPr>
        <w:t>, EMITIENDO VOTO PARTICULAR</w:t>
      </w:r>
      <w:r w:rsidRPr="00A57D42">
        <w:rPr>
          <w:rFonts w:ascii="Palatino Linotype" w:eastAsia="Palatino Linotype" w:hAnsi="Palatino Linotype" w:cs="Palatino Linotype"/>
          <w:sz w:val="22"/>
          <w:szCs w:val="22"/>
        </w:rPr>
        <w:t xml:space="preserve"> Y GUADALUPE RAMÍREZ PEÑA</w:t>
      </w:r>
      <w:r w:rsidR="002305A4" w:rsidRPr="00A57D42">
        <w:rPr>
          <w:rFonts w:ascii="Palatino Linotype" w:eastAsia="Palatino Linotype" w:hAnsi="Palatino Linotype" w:cs="Palatino Linotype"/>
          <w:sz w:val="22"/>
          <w:szCs w:val="22"/>
        </w:rPr>
        <w:t>, EMITIENDO VOTO PARTICULAR</w:t>
      </w:r>
      <w:r w:rsidRPr="00A57D42">
        <w:rPr>
          <w:rFonts w:ascii="Palatino Linotype" w:eastAsia="Palatino Linotype" w:hAnsi="Palatino Linotype" w:cs="Palatino Linotype"/>
          <w:sz w:val="22"/>
          <w:szCs w:val="22"/>
        </w:rPr>
        <w:t xml:space="preserve">; EN LA </w:t>
      </w:r>
      <w:r w:rsidR="00515D25" w:rsidRPr="00A57D42">
        <w:rPr>
          <w:rFonts w:ascii="Palatino Linotype" w:eastAsia="Palatino Linotype" w:hAnsi="Palatino Linotype" w:cs="Palatino Linotype"/>
          <w:sz w:val="22"/>
          <w:szCs w:val="22"/>
        </w:rPr>
        <w:t>DÉCIMA</w:t>
      </w:r>
      <w:r w:rsidRPr="00A57D42">
        <w:rPr>
          <w:rFonts w:ascii="Palatino Linotype" w:eastAsia="Palatino Linotype" w:hAnsi="Palatino Linotype" w:cs="Palatino Linotype"/>
          <w:sz w:val="22"/>
          <w:szCs w:val="22"/>
        </w:rPr>
        <w:t xml:space="preserve"> S</w:t>
      </w:r>
      <w:r w:rsidR="001244B6" w:rsidRPr="00A57D42">
        <w:rPr>
          <w:rFonts w:ascii="Palatino Linotype" w:eastAsia="Palatino Linotype" w:hAnsi="Palatino Linotype" w:cs="Palatino Linotype"/>
          <w:sz w:val="22"/>
          <w:szCs w:val="22"/>
        </w:rPr>
        <w:t xml:space="preserve">ESIÓN ORDINARIA CELEBRADA EL </w:t>
      </w:r>
      <w:r w:rsidR="00515D25" w:rsidRPr="00A57D42">
        <w:rPr>
          <w:rFonts w:ascii="Palatino Linotype" w:eastAsia="Palatino Linotype" w:hAnsi="Palatino Linotype" w:cs="Palatino Linotype"/>
          <w:sz w:val="22"/>
          <w:szCs w:val="22"/>
        </w:rPr>
        <w:t>DIECINUEVE</w:t>
      </w:r>
      <w:r w:rsidR="00403AAA" w:rsidRPr="00A57D42">
        <w:rPr>
          <w:rFonts w:ascii="Palatino Linotype" w:eastAsia="Palatino Linotype" w:hAnsi="Palatino Linotype" w:cs="Palatino Linotype"/>
          <w:sz w:val="22"/>
          <w:szCs w:val="22"/>
        </w:rPr>
        <w:t xml:space="preserve"> </w:t>
      </w:r>
      <w:r w:rsidRPr="00A57D42">
        <w:rPr>
          <w:rFonts w:ascii="Palatino Linotype" w:eastAsia="Palatino Linotype" w:hAnsi="Palatino Linotype" w:cs="Palatino Linotype"/>
          <w:sz w:val="22"/>
          <w:szCs w:val="22"/>
        </w:rPr>
        <w:t xml:space="preserve">DE </w:t>
      </w:r>
      <w:r w:rsidR="00403AAA" w:rsidRPr="00A57D42">
        <w:rPr>
          <w:rFonts w:ascii="Palatino Linotype" w:eastAsia="Palatino Linotype" w:hAnsi="Palatino Linotype" w:cs="Palatino Linotype"/>
          <w:sz w:val="22"/>
          <w:szCs w:val="22"/>
        </w:rPr>
        <w:t>MARZO</w:t>
      </w:r>
      <w:r w:rsidRPr="00A57D42">
        <w:rPr>
          <w:rFonts w:ascii="Palatino Linotype" w:eastAsia="Palatino Linotype" w:hAnsi="Palatino Linotype" w:cs="Palatino Linotype"/>
          <w:sz w:val="22"/>
          <w:szCs w:val="22"/>
        </w:rPr>
        <w:t xml:space="preserve"> DE DOS MIL VEINTI</w:t>
      </w:r>
      <w:r w:rsidR="000C6DFE" w:rsidRPr="00A57D42">
        <w:rPr>
          <w:rFonts w:ascii="Palatino Linotype" w:eastAsia="Palatino Linotype" w:hAnsi="Palatino Linotype" w:cs="Palatino Linotype"/>
          <w:sz w:val="22"/>
          <w:szCs w:val="22"/>
        </w:rPr>
        <w:t>SÉIS</w:t>
      </w:r>
      <w:r w:rsidRPr="00A57D42">
        <w:rPr>
          <w:rFonts w:ascii="Palatino Linotype" w:eastAsia="Palatino Linotype" w:hAnsi="Palatino Linotype" w:cs="Palatino Linotype"/>
          <w:sz w:val="22"/>
          <w:szCs w:val="22"/>
        </w:rPr>
        <w:t>, ANTE EL SECRETARIO TÉCNICO DEL PLENO ALEXIS TAPIA RAMÍREZ.</w:t>
      </w:r>
    </w:p>
    <w:p w14:paraId="54455659" w14:textId="77777777" w:rsidR="00C877F6" w:rsidRPr="00D97859" w:rsidRDefault="00C877F6" w:rsidP="00F45A48">
      <w:pPr>
        <w:spacing w:line="360" w:lineRule="auto"/>
        <w:ind w:right="-93"/>
        <w:jc w:val="both"/>
        <w:rPr>
          <w:rFonts w:ascii="Palatino Linotype" w:eastAsia="Palatino Linotype" w:hAnsi="Palatino Linotype" w:cs="Palatino Linotype"/>
          <w:sz w:val="22"/>
          <w:szCs w:val="22"/>
        </w:rPr>
      </w:pPr>
    </w:p>
    <w:p w14:paraId="030E6A5B" w14:textId="77777777" w:rsidR="00C877F6" w:rsidRPr="00D97859" w:rsidRDefault="00C877F6" w:rsidP="00F45A48">
      <w:pPr>
        <w:spacing w:line="360" w:lineRule="auto"/>
        <w:ind w:right="-93"/>
        <w:jc w:val="both"/>
        <w:rPr>
          <w:rFonts w:ascii="Palatino Linotype" w:eastAsia="Palatino Linotype" w:hAnsi="Palatino Linotype" w:cs="Palatino Linotype"/>
          <w:sz w:val="22"/>
          <w:szCs w:val="22"/>
        </w:rPr>
      </w:pPr>
    </w:p>
    <w:p w14:paraId="5B12C640" w14:textId="77777777" w:rsidR="00C877F6" w:rsidRPr="00D97859" w:rsidRDefault="00C877F6" w:rsidP="00F45A48">
      <w:pPr>
        <w:spacing w:line="360" w:lineRule="auto"/>
        <w:ind w:right="-93"/>
        <w:jc w:val="both"/>
        <w:rPr>
          <w:rFonts w:ascii="Palatino Linotype" w:eastAsia="Palatino Linotype" w:hAnsi="Palatino Linotype" w:cs="Palatino Linotype"/>
          <w:sz w:val="22"/>
          <w:szCs w:val="22"/>
        </w:rPr>
      </w:pPr>
    </w:p>
    <w:p w14:paraId="7A4C70FF" w14:textId="77777777" w:rsidR="00C877F6" w:rsidRPr="00D97859" w:rsidRDefault="00C877F6" w:rsidP="00F45A48">
      <w:pPr>
        <w:spacing w:line="360" w:lineRule="auto"/>
        <w:ind w:right="-93"/>
        <w:jc w:val="both"/>
        <w:rPr>
          <w:rFonts w:ascii="Palatino Linotype" w:eastAsia="Palatino Linotype" w:hAnsi="Palatino Linotype" w:cs="Palatino Linotype"/>
          <w:sz w:val="22"/>
          <w:szCs w:val="22"/>
        </w:rPr>
      </w:pPr>
    </w:p>
    <w:p w14:paraId="10A4F51E"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235C315A"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22DE1F0A"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3E599834"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0E30C701"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004F291D"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77E8F667" w14:textId="77777777"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3F41C874" w14:textId="62F6AF2E" w:rsidR="00F17613" w:rsidRPr="00D97859" w:rsidRDefault="00F17613" w:rsidP="00F45A48">
      <w:pPr>
        <w:spacing w:line="360" w:lineRule="auto"/>
        <w:ind w:right="-93"/>
        <w:jc w:val="both"/>
        <w:rPr>
          <w:rFonts w:ascii="Palatino Linotype" w:eastAsia="Palatino Linotype" w:hAnsi="Palatino Linotype" w:cs="Palatino Linotype"/>
          <w:sz w:val="22"/>
          <w:szCs w:val="22"/>
        </w:rPr>
      </w:pPr>
    </w:p>
    <w:p w14:paraId="2CAB6D0D" w14:textId="4783506F" w:rsidR="002305A4" w:rsidRPr="00D97859" w:rsidRDefault="002305A4" w:rsidP="00F45A48">
      <w:pPr>
        <w:spacing w:line="360" w:lineRule="auto"/>
        <w:ind w:right="-93"/>
        <w:jc w:val="both"/>
        <w:rPr>
          <w:rFonts w:ascii="Palatino Linotype" w:eastAsia="Palatino Linotype" w:hAnsi="Palatino Linotype" w:cs="Palatino Linotype"/>
          <w:sz w:val="22"/>
          <w:szCs w:val="22"/>
        </w:rPr>
      </w:pPr>
    </w:p>
    <w:p w14:paraId="13B17B75" w14:textId="1AD9F5C6" w:rsidR="002305A4" w:rsidRPr="00D97859" w:rsidRDefault="002305A4" w:rsidP="00F45A48">
      <w:pPr>
        <w:spacing w:line="360" w:lineRule="auto"/>
        <w:ind w:right="-93"/>
        <w:jc w:val="both"/>
        <w:rPr>
          <w:rFonts w:ascii="Palatino Linotype" w:eastAsia="Palatino Linotype" w:hAnsi="Palatino Linotype" w:cs="Palatino Linotype"/>
          <w:sz w:val="22"/>
          <w:szCs w:val="22"/>
        </w:rPr>
      </w:pPr>
    </w:p>
    <w:p w14:paraId="36B65E3C" w14:textId="0D49EB35" w:rsidR="002305A4" w:rsidRPr="00D97859" w:rsidRDefault="002305A4" w:rsidP="00F45A48">
      <w:pPr>
        <w:spacing w:line="360" w:lineRule="auto"/>
        <w:ind w:right="-93"/>
        <w:jc w:val="both"/>
        <w:rPr>
          <w:rFonts w:ascii="Palatino Linotype" w:eastAsia="Palatino Linotype" w:hAnsi="Palatino Linotype" w:cs="Palatino Linotype"/>
          <w:sz w:val="22"/>
          <w:szCs w:val="22"/>
        </w:rPr>
      </w:pPr>
    </w:p>
    <w:p w14:paraId="67D107B3" w14:textId="592147C0" w:rsidR="002305A4" w:rsidRPr="00D97859" w:rsidRDefault="002305A4" w:rsidP="00F45A48">
      <w:pPr>
        <w:spacing w:line="360" w:lineRule="auto"/>
        <w:ind w:right="-93"/>
        <w:jc w:val="both"/>
        <w:rPr>
          <w:rFonts w:ascii="Palatino Linotype" w:eastAsia="Palatino Linotype" w:hAnsi="Palatino Linotype" w:cs="Palatino Linotype"/>
          <w:sz w:val="22"/>
          <w:szCs w:val="22"/>
        </w:rPr>
      </w:pPr>
    </w:p>
    <w:p w14:paraId="6CCA75E7" w14:textId="2E1A0100" w:rsidR="002305A4" w:rsidRPr="00D97859" w:rsidRDefault="002305A4" w:rsidP="00F45A48">
      <w:pPr>
        <w:spacing w:line="360" w:lineRule="auto"/>
        <w:ind w:right="-93"/>
        <w:jc w:val="both"/>
        <w:rPr>
          <w:rFonts w:ascii="Palatino Linotype" w:eastAsia="Palatino Linotype" w:hAnsi="Palatino Linotype" w:cs="Palatino Linotype"/>
          <w:sz w:val="22"/>
          <w:szCs w:val="22"/>
        </w:rPr>
      </w:pPr>
    </w:p>
    <w:p w14:paraId="36A52E00" w14:textId="77777777" w:rsidR="002305A4" w:rsidRPr="00D97859" w:rsidRDefault="002305A4" w:rsidP="00F45A48">
      <w:pPr>
        <w:spacing w:line="360" w:lineRule="auto"/>
        <w:ind w:right="-93"/>
        <w:jc w:val="both"/>
        <w:rPr>
          <w:rFonts w:ascii="Palatino Linotype" w:eastAsia="Palatino Linotype" w:hAnsi="Palatino Linotype" w:cs="Palatino Linotype"/>
          <w:sz w:val="22"/>
          <w:szCs w:val="22"/>
        </w:rPr>
      </w:pPr>
    </w:p>
    <w:p w14:paraId="6197DF1F" w14:textId="77777777" w:rsidR="00C877F6" w:rsidRPr="00D97859" w:rsidRDefault="00C877F6" w:rsidP="00F45A48">
      <w:pPr>
        <w:spacing w:line="360" w:lineRule="auto"/>
        <w:ind w:right="-93"/>
        <w:jc w:val="both"/>
        <w:rPr>
          <w:rFonts w:ascii="Palatino Linotype" w:eastAsia="Palatino Linotype" w:hAnsi="Palatino Linotype" w:cs="Palatino Linotype"/>
          <w:sz w:val="22"/>
          <w:szCs w:val="22"/>
        </w:rPr>
      </w:pPr>
    </w:p>
    <w:p w14:paraId="1A57851A" w14:textId="77777777" w:rsidR="00C877F6" w:rsidRPr="00D97859" w:rsidRDefault="00C877F6" w:rsidP="00F45A48">
      <w:pPr>
        <w:spacing w:line="360" w:lineRule="auto"/>
        <w:ind w:right="49"/>
        <w:jc w:val="both"/>
        <w:rPr>
          <w:rFonts w:ascii="Palatino Linotype" w:eastAsia="Palatino Linotype" w:hAnsi="Palatino Linotype" w:cs="Palatino Linotype"/>
          <w:sz w:val="22"/>
          <w:szCs w:val="22"/>
        </w:rPr>
      </w:pPr>
    </w:p>
    <w:sectPr w:rsidR="00C877F6" w:rsidRPr="00D97859">
      <w:headerReference w:type="default" r:id="rId20"/>
      <w:footerReference w:type="default" r:id="rId21"/>
      <w:headerReference w:type="first" r:id="rId22"/>
      <w:footerReference w:type="first" r:id="rId23"/>
      <w:pgSz w:w="12240" w:h="15840"/>
      <w:pgMar w:top="2041" w:right="1474"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726FEA" w14:textId="77777777" w:rsidR="00963672" w:rsidRDefault="00963672">
      <w:r>
        <w:separator/>
      </w:r>
    </w:p>
  </w:endnote>
  <w:endnote w:type="continuationSeparator" w:id="0">
    <w:p w14:paraId="33B2CD45" w14:textId="77777777" w:rsidR="00963672" w:rsidRDefault="009636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00"/>
    <w:family w:val="roman"/>
    <w:pitch w:val="variable"/>
    <w:sig w:usb0="E0000287" w:usb1="40000013" w:usb2="00000000" w:usb3="00000000" w:csb0="0000019F" w:csb1="00000000"/>
    <w:embedRegular r:id="rId1" w:fontKey="{E6BDB0E0-4E93-4A54-A954-6FB3B56B5973}"/>
    <w:embedBold r:id="rId2" w:fontKey="{F7523E03-0FBA-44BE-B387-EF20D9FE0993}"/>
    <w:embedItalic r:id="rId3" w:fontKey="{CDB8C51B-C556-4BF7-869D-AC15FB2A7A84}"/>
    <w:embedBoldItalic r:id="rId4" w:fontKey="{E0E0D90A-8D30-44A7-93B1-50041E0065A9}"/>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embedRegular r:id="rId5" w:fontKey="{E060791D-BF8A-4B7B-933F-B70DDC6F2CB3}"/>
    <w:embedBold r:id="rId6" w:fontKey="{748EC7FA-F1B9-4627-ADAA-4142152284FE}"/>
  </w:font>
  <w:font w:name="Tahoma">
    <w:panose1 w:val="020B0604030504040204"/>
    <w:charset w:val="00"/>
    <w:family w:val="swiss"/>
    <w:pitch w:val="variable"/>
    <w:sig w:usb0="E1002EFF" w:usb1="C000605B" w:usb2="00000029" w:usb3="00000000" w:csb0="000101FF" w:csb1="00000000"/>
    <w:embedRegular r:id="rId7" w:fontKey="{A9AEB0DE-FC6B-45C2-A493-3CBE39C8BB72}"/>
    <w:embedBold r:id="rId8" w:fontKey="{F06035CC-110D-4670-8C26-4CB061A45B92}"/>
    <w:embedBoldItalic r:id="rId9" w:fontKey="{90B9008E-30F6-4EDD-B517-CB40522C368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0" w:fontKey="{259D5EF0-7810-4724-80B5-A4C8A7D1C166}"/>
    <w:embedBold r:id="rId11" w:fontKey="{9B07BD21-1758-4870-AC0F-19B1B51FCFEE}"/>
    <w:embedItalic r:id="rId12" w:fontKey="{6F8AF860-1D94-4A34-A465-FEB05FEAD058}"/>
    <w:embedBoldItalic r:id="rId13" w:fontKey="{850BA092-EBEB-4B34-B9D6-83CBDB586146}"/>
  </w:font>
  <w:font w:name="Georgia">
    <w:panose1 w:val="02040502050405020303"/>
    <w:charset w:val="00"/>
    <w:family w:val="roman"/>
    <w:pitch w:val="variable"/>
    <w:sig w:usb0="00000287" w:usb1="00000000" w:usb2="00000000" w:usb3="00000000" w:csb0="0000009F" w:csb1="00000000"/>
    <w:embedRegular r:id="rId14" w:fontKey="{299BE224-F483-441C-9BCF-64FD9AC11DDF}"/>
    <w:embedItalic r:id="rId15" w:fontKey="{9A5C9F1E-1CF5-4BB9-9AC2-3D511632E3EC}"/>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00"/>
    <w:family w:val="roman"/>
    <w:pitch w:val="variable"/>
    <w:sig w:usb0="E00006FF" w:usb1="420024FF" w:usb2="02000000" w:usb3="00000000" w:csb0="0000019F" w:csb1="00000000"/>
    <w:embedRegular r:id="rId16" w:fontKey="{FFA921E5-AB10-4E34-936C-E554AE1F3605}"/>
  </w:font>
  <w:font w:name="Segoe UI Symbol">
    <w:panose1 w:val="020B0502040204020203"/>
    <w:charset w:val="00"/>
    <w:family w:val="swiss"/>
    <w:pitch w:val="variable"/>
    <w:sig w:usb0="800001E3" w:usb1="1200FFEF" w:usb2="00040000" w:usb3="00000000" w:csb0="00000001" w:csb1="00000000"/>
    <w:embedBold r:id="rId17" w:fontKey="{6C76DA29-C6D7-4397-8A09-5906C8F3D8CF}"/>
  </w:font>
  <w:font w:name="Calibri Light">
    <w:panose1 w:val="020F0302020204030204"/>
    <w:charset w:val="00"/>
    <w:family w:val="swiss"/>
    <w:pitch w:val="variable"/>
    <w:sig w:usb0="E4002EFF" w:usb1="C200247B" w:usb2="00000009" w:usb3="00000000" w:csb0="000001FF" w:csb1="00000000"/>
    <w:embedRegular r:id="rId18" w:fontKey="{2532DF2C-E161-4EA5-87AD-C1C6D39DA335}"/>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927024" w14:textId="60A31943" w:rsidR="003E60D4" w:rsidRDefault="003E60D4">
    <w:pPr>
      <w:pBdr>
        <w:top w:val="nil"/>
        <w:left w:val="nil"/>
        <w:bottom w:val="nil"/>
        <w:right w:val="nil"/>
        <w:between w:val="nil"/>
      </w:pBdr>
      <w:tabs>
        <w:tab w:val="center" w:pos="4419"/>
        <w:tab w:val="right" w:pos="8838"/>
      </w:tabs>
      <w:jc w:val="right"/>
      <w:rPr>
        <w:color w:val="000000"/>
      </w:rPr>
    </w:pPr>
    <w:r>
      <w:rPr>
        <w:color w:val="000000"/>
      </w:rPr>
      <w:t xml:space="preserve">Página </w:t>
    </w:r>
    <w:r>
      <w:rPr>
        <w:b/>
        <w:color w:val="000000"/>
      </w:rPr>
      <w:fldChar w:fldCharType="begin"/>
    </w:r>
    <w:r>
      <w:rPr>
        <w:b/>
        <w:color w:val="000000"/>
      </w:rPr>
      <w:instrText>PAGE</w:instrText>
    </w:r>
    <w:r>
      <w:rPr>
        <w:b/>
        <w:color w:val="000000"/>
      </w:rPr>
      <w:fldChar w:fldCharType="separate"/>
    </w:r>
    <w:r w:rsidR="00D72FA2">
      <w:rPr>
        <w:b/>
        <w:noProof/>
        <w:color w:val="000000"/>
      </w:rPr>
      <w:t>74</w:t>
    </w:r>
    <w:r>
      <w:rPr>
        <w:b/>
        <w:color w:val="000000"/>
      </w:rPr>
      <w:fldChar w:fldCharType="end"/>
    </w:r>
    <w:r>
      <w:rPr>
        <w:color w:val="000000"/>
      </w:rPr>
      <w:t xml:space="preserve"> de </w:t>
    </w:r>
    <w:r>
      <w:rPr>
        <w:b/>
        <w:color w:val="000000"/>
      </w:rPr>
      <w:fldChar w:fldCharType="begin"/>
    </w:r>
    <w:r>
      <w:rPr>
        <w:b/>
        <w:color w:val="000000"/>
      </w:rPr>
      <w:instrText>NUMPAGES</w:instrText>
    </w:r>
    <w:r>
      <w:rPr>
        <w:b/>
        <w:color w:val="000000"/>
      </w:rPr>
      <w:fldChar w:fldCharType="separate"/>
    </w:r>
    <w:r w:rsidR="00D72FA2">
      <w:rPr>
        <w:b/>
        <w:noProof/>
        <w:color w:val="000000"/>
      </w:rPr>
      <w:t>100</w:t>
    </w:r>
    <w:r>
      <w:rPr>
        <w:b/>
        <w:color w:val="000000"/>
      </w:rPr>
      <w:fldChar w:fldCharType="end"/>
    </w:r>
  </w:p>
  <w:p w14:paraId="7AE4EEFD" w14:textId="77777777" w:rsidR="003E60D4" w:rsidRDefault="003E60D4">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1E332" w14:textId="1E3B961A" w:rsidR="003E60D4" w:rsidRDefault="003E60D4">
    <w:pPr>
      <w:pBdr>
        <w:top w:val="nil"/>
        <w:left w:val="nil"/>
        <w:bottom w:val="nil"/>
        <w:right w:val="nil"/>
        <w:between w:val="nil"/>
      </w:pBdr>
      <w:tabs>
        <w:tab w:val="center" w:pos="4419"/>
        <w:tab w:val="right" w:pos="8838"/>
      </w:tabs>
      <w:jc w:val="right"/>
      <w:rPr>
        <w:color w:val="000000"/>
      </w:rPr>
    </w:pPr>
    <w:r>
      <w:rPr>
        <w:color w:val="000000"/>
      </w:rPr>
      <w:t xml:space="preserve">Página </w:t>
    </w:r>
    <w:r>
      <w:rPr>
        <w:b/>
        <w:color w:val="000000"/>
      </w:rPr>
      <w:fldChar w:fldCharType="begin"/>
    </w:r>
    <w:r>
      <w:rPr>
        <w:b/>
        <w:color w:val="000000"/>
      </w:rPr>
      <w:instrText>PAGE</w:instrText>
    </w:r>
    <w:r>
      <w:rPr>
        <w:b/>
        <w:color w:val="000000"/>
      </w:rPr>
      <w:fldChar w:fldCharType="separate"/>
    </w:r>
    <w:r w:rsidR="00D72FA2">
      <w:rPr>
        <w:b/>
        <w:noProof/>
        <w:color w:val="000000"/>
      </w:rPr>
      <w:t>1</w:t>
    </w:r>
    <w:r>
      <w:rPr>
        <w:b/>
        <w:color w:val="000000"/>
      </w:rPr>
      <w:fldChar w:fldCharType="end"/>
    </w:r>
    <w:r>
      <w:rPr>
        <w:color w:val="000000"/>
      </w:rPr>
      <w:t xml:space="preserve"> de </w:t>
    </w:r>
    <w:r>
      <w:rPr>
        <w:b/>
        <w:color w:val="000000"/>
      </w:rPr>
      <w:fldChar w:fldCharType="begin"/>
    </w:r>
    <w:r>
      <w:rPr>
        <w:b/>
        <w:color w:val="000000"/>
      </w:rPr>
      <w:instrText>NUMPAGES</w:instrText>
    </w:r>
    <w:r>
      <w:rPr>
        <w:b/>
        <w:color w:val="000000"/>
      </w:rPr>
      <w:fldChar w:fldCharType="separate"/>
    </w:r>
    <w:r w:rsidR="00D72FA2">
      <w:rPr>
        <w:b/>
        <w:noProof/>
        <w:color w:val="000000"/>
      </w:rPr>
      <w:t>100</w:t>
    </w:r>
    <w:r>
      <w:rPr>
        <w:b/>
        <w:color w:val="000000"/>
      </w:rPr>
      <w:fldChar w:fldCharType="end"/>
    </w:r>
  </w:p>
  <w:p w14:paraId="6675DA9D" w14:textId="77777777" w:rsidR="003E60D4" w:rsidRDefault="003E60D4">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66EE49" w14:textId="77777777" w:rsidR="00963672" w:rsidRDefault="00963672">
      <w:r>
        <w:separator/>
      </w:r>
    </w:p>
  </w:footnote>
  <w:footnote w:type="continuationSeparator" w:id="0">
    <w:p w14:paraId="3D0D1870" w14:textId="77777777" w:rsidR="00963672" w:rsidRDefault="00963672">
      <w:r>
        <w:continuationSeparator/>
      </w:r>
    </w:p>
  </w:footnote>
  <w:footnote w:id="1">
    <w:p w14:paraId="30EBB4E0" w14:textId="77777777" w:rsidR="003E60D4" w:rsidRDefault="003E60D4" w:rsidP="00FA2C83">
      <w:pPr>
        <w:pStyle w:val="Textonotapie"/>
        <w:jc w:val="both"/>
        <w:rPr>
          <w:rFonts w:ascii="Palatino Linotype" w:hAnsi="Palatino Linotype"/>
          <w:sz w:val="16"/>
          <w:szCs w:val="16"/>
        </w:rPr>
      </w:pPr>
      <w:r>
        <w:rPr>
          <w:rStyle w:val="Refdenotaalpie"/>
          <w:rFonts w:ascii="Palatino Linotype" w:hAnsi="Palatino Linotype"/>
        </w:rPr>
        <w:footnoteRef/>
      </w:r>
      <w:r>
        <w:rPr>
          <w:rFonts w:ascii="Palatino Linotype" w:hAnsi="Palatino Linotype"/>
        </w:rPr>
        <w:t xml:space="preserve"> </w:t>
      </w:r>
      <w:r>
        <w:rPr>
          <w:rFonts w:ascii="Palatino Linotype" w:hAnsi="Palatino Linotype"/>
          <w:sz w:val="16"/>
          <w:szCs w:val="16"/>
        </w:rPr>
        <w:t>Ver tesis con los siguientes rubros: “COPIAS CERTIFICADAS, OBLIGACIÓN DE EXPEDIR LAS” con localización: Tesis 265601. . Segunda Sala. Sexta Época. Semanario Judicial de la Federación. Volumen CIX, Tercera Parte, Pág. 14; “COPIAS. SÓLO TIENEN VALOR INDICIARIO AUN CUANDO ESTÉN CERTIFICADAS, SI NO HAY CERTEZA DE QUE SE COTEJARON CON LOS ORIGINALES”, con localización: 192413, Novena Época, Segunda Sala, Semanario Judicial de la Federación y su Gaceta, XI, Febrero de 2000, Página: 7; “COPIAS, FACULTAD DE CERTIFICACIÓN DE. LA TIENEN LOS FUNCIONARIOS PÚBLICOS, SI LA LEY CORRESPONDIENTE LOS AUTORIZA PARA ELLO, RESPECTO DE DOCUMENTOS QUE OBREN EN SUS ARCHIVOS, SOBRE ASUNTOS DE SU COMPETENCIA”, con localización: 196139. I.6o.C.40 K. Tribunales Colegiados de Circuito. Novena Época. Semanario Judicial de la Federación y su Gaceta. Tomo VII, Junio de 1998, Pág. 631.</w:t>
      </w:r>
    </w:p>
  </w:footnote>
  <w:footnote w:id="2">
    <w:p w14:paraId="721DADCC" w14:textId="77777777" w:rsidR="003E60D4" w:rsidRDefault="003E60D4" w:rsidP="00F738DA">
      <w:pPr>
        <w:pBdr>
          <w:top w:val="nil"/>
          <w:left w:val="nil"/>
          <w:bottom w:val="nil"/>
          <w:right w:val="nil"/>
          <w:between w:val="nil"/>
        </w:pBdr>
        <w:jc w:val="both"/>
        <w:rPr>
          <w:rFonts w:ascii="Palatino Linotype" w:eastAsia="Palatino Linotype" w:hAnsi="Palatino Linotype" w:cs="Palatino Linotype"/>
          <w:color w:val="000000"/>
          <w:sz w:val="20"/>
          <w:szCs w:val="20"/>
        </w:rPr>
      </w:pPr>
      <w:r>
        <w:rPr>
          <w:vertAlign w:val="superscript"/>
        </w:rPr>
        <w:footnoteRef/>
      </w:r>
      <w:r>
        <w:rPr>
          <w:rFonts w:ascii="Palatino Linotype" w:eastAsia="Palatino Linotype" w:hAnsi="Palatino Linotype" w:cs="Palatino Linotype"/>
          <w:color w:val="000000"/>
          <w:sz w:val="20"/>
          <w:szCs w:val="20"/>
        </w:rPr>
        <w:t xml:space="preserve"> Ver páginas 71 y 72 de la contradicción de tesis 200/2013, específicamente los epígrafes 84, 85 y 87. </w:t>
      </w:r>
    </w:p>
  </w:footnote>
  <w:footnote w:id="3">
    <w:p w14:paraId="77A1635E" w14:textId="77777777" w:rsidR="003E60D4" w:rsidRDefault="003E60D4" w:rsidP="00F738DA">
      <w:pPr>
        <w:pBdr>
          <w:top w:val="nil"/>
          <w:left w:val="nil"/>
          <w:bottom w:val="nil"/>
          <w:right w:val="nil"/>
          <w:between w:val="nil"/>
        </w:pBdr>
        <w:jc w:val="both"/>
        <w:rPr>
          <w:rFonts w:ascii="Palatino Linotype" w:eastAsia="Palatino Linotype" w:hAnsi="Palatino Linotype" w:cs="Palatino Linotype"/>
          <w:color w:val="000000"/>
          <w:sz w:val="20"/>
          <w:szCs w:val="20"/>
        </w:rPr>
      </w:pPr>
      <w:r>
        <w:rPr>
          <w:vertAlign w:val="superscript"/>
        </w:rPr>
        <w:footnoteRef/>
      </w:r>
      <w:r>
        <w:rPr>
          <w:rFonts w:ascii="Palatino Linotype" w:eastAsia="Palatino Linotype" w:hAnsi="Palatino Linotype" w:cs="Palatino Linotype"/>
          <w:color w:val="000000"/>
          <w:sz w:val="20"/>
          <w:szCs w:val="20"/>
        </w:rPr>
        <w:t xml:space="preserve"> Ver supra. Página 24.</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7457D" w14:textId="77777777" w:rsidR="003E60D4" w:rsidRDefault="003E60D4">
    <w:pPr>
      <w:widowControl w:val="0"/>
      <w:pBdr>
        <w:top w:val="nil"/>
        <w:left w:val="nil"/>
        <w:bottom w:val="nil"/>
        <w:right w:val="nil"/>
        <w:between w:val="nil"/>
      </w:pBdr>
      <w:rPr>
        <w:color w:val="000000"/>
      </w:rPr>
    </w:pPr>
    <w:r>
      <w:rPr>
        <w:noProof/>
      </w:rPr>
      <w:drawing>
        <wp:anchor distT="0" distB="0" distL="0" distR="0" simplePos="0" relativeHeight="251658240" behindDoc="1" locked="0" layoutInCell="1" hidden="0" allowOverlap="1" wp14:anchorId="093A9E0D" wp14:editId="28CE1BC9">
          <wp:simplePos x="0" y="0"/>
          <wp:positionH relativeFrom="column">
            <wp:posOffset>0</wp:posOffset>
          </wp:positionH>
          <wp:positionV relativeFrom="paragraph">
            <wp:posOffset>-401953</wp:posOffset>
          </wp:positionV>
          <wp:extent cx="7809876" cy="10165823"/>
          <wp:effectExtent l="0" t="0" r="0" b="0"/>
          <wp:wrapNone/>
          <wp:docPr id="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f6"/>
      <w:tblW w:w="5603" w:type="dxa"/>
      <w:tblInd w:w="3611" w:type="dxa"/>
      <w:tblLayout w:type="fixed"/>
      <w:tblLook w:val="0400" w:firstRow="0" w:lastRow="0" w:firstColumn="0" w:lastColumn="0" w:noHBand="0" w:noVBand="1"/>
    </w:tblPr>
    <w:tblGrid>
      <w:gridCol w:w="2551"/>
      <w:gridCol w:w="3052"/>
    </w:tblGrid>
    <w:tr w:rsidR="003E60D4" w14:paraId="3DE1F927" w14:textId="77777777">
      <w:tc>
        <w:tcPr>
          <w:tcW w:w="2551" w:type="dxa"/>
          <w:vAlign w:val="center"/>
        </w:tcPr>
        <w:p w14:paraId="27218DF9"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Recurso de Revisión:</w:t>
          </w:r>
        </w:p>
        <w:p w14:paraId="4D5060D3"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2"/>
              <w:szCs w:val="22"/>
            </w:rPr>
          </w:pPr>
        </w:p>
      </w:tc>
      <w:tc>
        <w:tcPr>
          <w:tcW w:w="3052" w:type="dxa"/>
          <w:vAlign w:val="center"/>
        </w:tcPr>
        <w:p w14:paraId="1F9F508D" w14:textId="60789554" w:rsidR="003E60D4" w:rsidRDefault="003E60D4" w:rsidP="00F94226">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sz w:val="22"/>
              <w:szCs w:val="22"/>
            </w:rPr>
            <w:t>09444</w:t>
          </w:r>
          <w:r w:rsidRPr="005C2ED1">
            <w:rPr>
              <w:rFonts w:ascii="Palatino Linotype" w:eastAsia="Palatino Linotype" w:hAnsi="Palatino Linotype" w:cs="Palatino Linotype"/>
              <w:b/>
              <w:color w:val="000000"/>
              <w:sz w:val="22"/>
              <w:szCs w:val="22"/>
            </w:rPr>
            <w:t>/INFOEM</w:t>
          </w:r>
          <w:r>
            <w:rPr>
              <w:rFonts w:ascii="Palatino Linotype" w:eastAsia="Palatino Linotype" w:hAnsi="Palatino Linotype" w:cs="Palatino Linotype"/>
              <w:b/>
              <w:color w:val="000000"/>
              <w:sz w:val="22"/>
              <w:szCs w:val="22"/>
            </w:rPr>
            <w:t xml:space="preserve">/IP/RR/2025  </w:t>
          </w:r>
        </w:p>
      </w:tc>
    </w:tr>
    <w:tr w:rsidR="003E60D4" w14:paraId="6E2D1273" w14:textId="77777777">
      <w:trPr>
        <w:trHeight w:val="217"/>
      </w:trPr>
      <w:tc>
        <w:tcPr>
          <w:tcW w:w="2551" w:type="dxa"/>
          <w:vAlign w:val="center"/>
        </w:tcPr>
        <w:p w14:paraId="21203565"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Sujeto obligado:</w:t>
          </w:r>
        </w:p>
      </w:tc>
      <w:tc>
        <w:tcPr>
          <w:tcW w:w="3052" w:type="dxa"/>
          <w:vAlign w:val="center"/>
        </w:tcPr>
        <w:p w14:paraId="6BAD3091" w14:textId="70240C40" w:rsidR="003E60D4" w:rsidRDefault="003E60D4" w:rsidP="00E66014">
          <w:pPr>
            <w:pBdr>
              <w:top w:val="nil"/>
              <w:left w:val="nil"/>
              <w:bottom w:val="nil"/>
              <w:right w:val="nil"/>
              <w:between w:val="nil"/>
            </w:pBdr>
            <w:tabs>
              <w:tab w:val="center" w:pos="4419"/>
              <w:tab w:val="right" w:pos="8838"/>
            </w:tabs>
            <w:ind w:right="168"/>
            <w:jc w:val="both"/>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Ayuntamiento de el Oro</w:t>
          </w:r>
        </w:p>
      </w:tc>
    </w:tr>
    <w:tr w:rsidR="003E60D4" w14:paraId="651D01A7" w14:textId="77777777">
      <w:tc>
        <w:tcPr>
          <w:tcW w:w="2551" w:type="dxa"/>
          <w:vAlign w:val="center"/>
        </w:tcPr>
        <w:p w14:paraId="5229B5A5"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Comisionada ponente:</w:t>
          </w:r>
        </w:p>
      </w:tc>
      <w:tc>
        <w:tcPr>
          <w:tcW w:w="3052" w:type="dxa"/>
          <w:vAlign w:val="center"/>
        </w:tcPr>
        <w:p w14:paraId="252A5C20"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t>Guadalupe Ramírez Peña</w:t>
          </w:r>
        </w:p>
      </w:tc>
    </w:tr>
  </w:tbl>
  <w:p w14:paraId="24D54F31" w14:textId="77777777" w:rsidR="003E60D4" w:rsidRDefault="003E60D4">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30C5A" w14:textId="77777777" w:rsidR="003E60D4" w:rsidRDefault="003E60D4">
    <w:pPr>
      <w:widowControl w:val="0"/>
      <w:pBdr>
        <w:top w:val="nil"/>
        <w:left w:val="nil"/>
        <w:bottom w:val="nil"/>
        <w:right w:val="nil"/>
        <w:between w:val="nil"/>
      </w:pBdr>
      <w:rPr>
        <w:rFonts w:ascii="Palatino Linotype" w:eastAsia="Palatino Linotype" w:hAnsi="Palatino Linotype" w:cs="Palatino Linotype"/>
        <w:sz w:val="22"/>
        <w:szCs w:val="22"/>
      </w:rPr>
    </w:pPr>
    <w:r>
      <w:rPr>
        <w:noProof/>
      </w:rPr>
      <w:drawing>
        <wp:anchor distT="0" distB="0" distL="0" distR="0" simplePos="0" relativeHeight="251659264" behindDoc="1" locked="0" layoutInCell="1" hidden="0" allowOverlap="1" wp14:anchorId="060CB74E" wp14:editId="30E0D12D">
          <wp:simplePos x="0" y="0"/>
          <wp:positionH relativeFrom="column">
            <wp:posOffset>-929004</wp:posOffset>
          </wp:positionH>
          <wp:positionV relativeFrom="paragraph">
            <wp:posOffset>-644524</wp:posOffset>
          </wp:positionV>
          <wp:extent cx="7809865" cy="10165715"/>
          <wp:effectExtent l="0" t="0" r="0" b="0"/>
          <wp:wrapNone/>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f7"/>
      <w:tblW w:w="5461" w:type="dxa"/>
      <w:tblInd w:w="3611" w:type="dxa"/>
      <w:tblLayout w:type="fixed"/>
      <w:tblLook w:val="0400" w:firstRow="0" w:lastRow="0" w:firstColumn="0" w:lastColumn="0" w:noHBand="0" w:noVBand="1"/>
    </w:tblPr>
    <w:tblGrid>
      <w:gridCol w:w="2343"/>
      <w:gridCol w:w="3118"/>
    </w:tblGrid>
    <w:tr w:rsidR="003E60D4" w14:paraId="1419E4B9" w14:textId="77777777">
      <w:tc>
        <w:tcPr>
          <w:tcW w:w="2343" w:type="dxa"/>
          <w:vAlign w:val="center"/>
        </w:tcPr>
        <w:p w14:paraId="0A4DAE44"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Recurso de Revisión:</w:t>
          </w:r>
        </w:p>
        <w:p w14:paraId="61232AD0"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p>
      </w:tc>
      <w:tc>
        <w:tcPr>
          <w:tcW w:w="3118" w:type="dxa"/>
          <w:vAlign w:val="center"/>
        </w:tcPr>
        <w:p w14:paraId="1D2E4BAD" w14:textId="1D23DBC7" w:rsidR="003E60D4" w:rsidRDefault="003E60D4" w:rsidP="00E6601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sz w:val="22"/>
              <w:szCs w:val="22"/>
            </w:rPr>
            <w:t>09444</w:t>
          </w:r>
          <w:r w:rsidRPr="005C2ED1">
            <w:rPr>
              <w:rFonts w:ascii="Palatino Linotype" w:eastAsia="Palatino Linotype" w:hAnsi="Palatino Linotype" w:cs="Palatino Linotype"/>
              <w:b/>
              <w:color w:val="000000"/>
              <w:sz w:val="22"/>
              <w:szCs w:val="22"/>
            </w:rPr>
            <w:t>/INFOEM</w:t>
          </w:r>
          <w:r>
            <w:rPr>
              <w:rFonts w:ascii="Palatino Linotype" w:eastAsia="Palatino Linotype" w:hAnsi="Palatino Linotype" w:cs="Palatino Linotype"/>
              <w:b/>
              <w:color w:val="000000"/>
              <w:sz w:val="22"/>
              <w:szCs w:val="22"/>
            </w:rPr>
            <w:t>/IP/RR/2025</w:t>
          </w:r>
        </w:p>
      </w:tc>
    </w:tr>
    <w:tr w:rsidR="003E60D4" w14:paraId="5406FED2" w14:textId="77777777">
      <w:tc>
        <w:tcPr>
          <w:tcW w:w="2343" w:type="dxa"/>
          <w:vAlign w:val="center"/>
        </w:tcPr>
        <w:p w14:paraId="40683B83"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Recurrente:</w:t>
          </w:r>
        </w:p>
      </w:tc>
      <w:tc>
        <w:tcPr>
          <w:tcW w:w="3118" w:type="dxa"/>
          <w:vAlign w:val="center"/>
        </w:tcPr>
        <w:p w14:paraId="79BFF42B" w14:textId="0E8F2005" w:rsidR="003E60D4" w:rsidRDefault="00D72FA2" w:rsidP="00D72FA2">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 xml:space="preserve">XXXXX XXXXXX XXXXXXXX </w:t>
          </w:r>
        </w:p>
      </w:tc>
    </w:tr>
    <w:tr w:rsidR="003E60D4" w14:paraId="0CE2BEAE" w14:textId="77777777">
      <w:trPr>
        <w:trHeight w:val="152"/>
      </w:trPr>
      <w:tc>
        <w:tcPr>
          <w:tcW w:w="2343" w:type="dxa"/>
          <w:vAlign w:val="center"/>
        </w:tcPr>
        <w:p w14:paraId="2B6A9907" w14:textId="77777777" w:rsidR="003E60D4" w:rsidRDefault="003E60D4">
          <w:pP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Sujeto obligado:</w:t>
          </w:r>
        </w:p>
        <w:p w14:paraId="337D7A1C" w14:textId="77777777" w:rsidR="003E60D4" w:rsidRDefault="003E60D4">
          <w:pPr>
            <w:tabs>
              <w:tab w:val="center" w:pos="4419"/>
              <w:tab w:val="right" w:pos="8838"/>
            </w:tabs>
            <w:rPr>
              <w:rFonts w:ascii="Palatino Linotype" w:eastAsia="Palatino Linotype" w:hAnsi="Palatino Linotype" w:cs="Palatino Linotype"/>
              <w:b/>
              <w:color w:val="000000"/>
              <w:sz w:val="20"/>
              <w:szCs w:val="20"/>
            </w:rPr>
          </w:pPr>
        </w:p>
      </w:tc>
      <w:tc>
        <w:tcPr>
          <w:tcW w:w="3118" w:type="dxa"/>
          <w:vAlign w:val="center"/>
        </w:tcPr>
        <w:p w14:paraId="6FC25278" w14:textId="4680AF3C" w:rsidR="003E60D4" w:rsidRDefault="003E60D4" w:rsidP="000C6DFE">
          <w:pPr>
            <w:pBdr>
              <w:top w:val="nil"/>
              <w:left w:val="nil"/>
              <w:bottom w:val="nil"/>
              <w:right w:val="nil"/>
              <w:between w:val="nil"/>
            </w:pBdr>
            <w:tabs>
              <w:tab w:val="center" w:pos="4419"/>
              <w:tab w:val="right" w:pos="8838"/>
            </w:tabs>
            <w:jc w:val="both"/>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2"/>
              <w:szCs w:val="22"/>
            </w:rPr>
            <w:t>Ayuntamiento de el Oro</w:t>
          </w:r>
        </w:p>
      </w:tc>
    </w:tr>
    <w:tr w:rsidR="003E60D4" w14:paraId="1EF4B579" w14:textId="77777777">
      <w:tc>
        <w:tcPr>
          <w:tcW w:w="2343" w:type="dxa"/>
          <w:vAlign w:val="center"/>
        </w:tcPr>
        <w:p w14:paraId="71B9E111"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Comisionada ponente:</w:t>
          </w:r>
        </w:p>
      </w:tc>
      <w:tc>
        <w:tcPr>
          <w:tcW w:w="3118" w:type="dxa"/>
          <w:vAlign w:val="center"/>
        </w:tcPr>
        <w:p w14:paraId="02FC2A70" w14:textId="77777777" w:rsidR="003E60D4" w:rsidRDefault="003E60D4">
          <w:pPr>
            <w:pBdr>
              <w:top w:val="nil"/>
              <w:left w:val="nil"/>
              <w:bottom w:val="nil"/>
              <w:right w:val="nil"/>
              <w:between w:val="nil"/>
            </w:pBdr>
            <w:tabs>
              <w:tab w:val="center" w:pos="4419"/>
              <w:tab w:val="right" w:pos="8838"/>
            </w:tabs>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Guadalupe Ramírez Peña</w:t>
          </w:r>
        </w:p>
      </w:tc>
    </w:tr>
  </w:tbl>
  <w:p w14:paraId="2CE2B1EF" w14:textId="77777777" w:rsidR="003E60D4" w:rsidRDefault="003E60D4">
    <w:pPr>
      <w:rPr>
        <w:color w:val="000000"/>
        <w:sz w:val="22"/>
        <w:szCs w:val="22"/>
      </w:rPr>
    </w:pPr>
    <w:r>
      <w:rPr>
        <w:color w:val="000000"/>
        <w:sz w:val="22"/>
        <w:szCs w:val="2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87A50"/>
    <w:multiLevelType w:val="hybridMultilevel"/>
    <w:tmpl w:val="1E5AE402"/>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3E752D9"/>
    <w:multiLevelType w:val="hybridMultilevel"/>
    <w:tmpl w:val="40626B42"/>
    <w:lvl w:ilvl="0" w:tplc="3C3C5B4E">
      <w:start w:val="2"/>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D8054D"/>
    <w:multiLevelType w:val="multilevel"/>
    <w:tmpl w:val="F53484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D801CE9"/>
    <w:multiLevelType w:val="multilevel"/>
    <w:tmpl w:val="96B62F4E"/>
    <w:lvl w:ilvl="0">
      <w:start w:val="1"/>
      <w:numFmt w:val="lowerLetter"/>
      <w:lvlText w:val="%1)"/>
      <w:lvlJc w:val="left"/>
      <w:pPr>
        <w:ind w:left="927" w:hanging="360"/>
      </w:pPr>
      <w:rPr>
        <w:b/>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 w15:restartNumberingAfterBreak="0">
    <w:nsid w:val="148C750C"/>
    <w:multiLevelType w:val="hybridMultilevel"/>
    <w:tmpl w:val="22D00090"/>
    <w:lvl w:ilvl="0" w:tplc="32FE8DEE">
      <w:start w:val="9"/>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97E20F9"/>
    <w:multiLevelType w:val="multilevel"/>
    <w:tmpl w:val="3556A8A8"/>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1BD2770B"/>
    <w:multiLevelType w:val="multilevel"/>
    <w:tmpl w:val="6C2AF518"/>
    <w:lvl w:ilvl="0">
      <w:start w:val="1"/>
      <w:numFmt w:val="bullet"/>
      <w:lvlText w:val="●"/>
      <w:lvlJc w:val="left"/>
      <w:pPr>
        <w:ind w:left="578" w:hanging="360"/>
      </w:pPr>
      <w:rPr>
        <w:rFonts w:ascii="Noto Sans Symbols" w:eastAsia="Noto Sans Symbols" w:hAnsi="Noto Sans Symbols" w:cs="Noto Sans Symbols"/>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7" w15:restartNumberingAfterBreak="0">
    <w:nsid w:val="1DB72F9F"/>
    <w:multiLevelType w:val="hybridMultilevel"/>
    <w:tmpl w:val="BC84B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FBA60E1"/>
    <w:multiLevelType w:val="hybridMultilevel"/>
    <w:tmpl w:val="833C01C6"/>
    <w:lvl w:ilvl="0" w:tplc="087AAEF6">
      <w:numFmt w:val="bullet"/>
      <w:lvlText w:val="-"/>
      <w:lvlJc w:val="left"/>
      <w:pPr>
        <w:ind w:left="720" w:hanging="360"/>
      </w:pPr>
      <w:rPr>
        <w:rFonts w:ascii="Palatino Linotype" w:eastAsia="Times New Roman" w:hAnsi="Palatino Linotype" w:cs="Tahoma"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39A7A14"/>
    <w:multiLevelType w:val="multilevel"/>
    <w:tmpl w:val="3B6C08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24174A19"/>
    <w:multiLevelType w:val="hybridMultilevel"/>
    <w:tmpl w:val="B25A9E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5283B37"/>
    <w:multiLevelType w:val="hybridMultilevel"/>
    <w:tmpl w:val="FC7CA65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7EF3724"/>
    <w:multiLevelType w:val="multilevel"/>
    <w:tmpl w:val="3DEE455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EDE3400"/>
    <w:multiLevelType w:val="hybridMultilevel"/>
    <w:tmpl w:val="A0F6918E"/>
    <w:lvl w:ilvl="0" w:tplc="5A328D32">
      <w:start w:val="1"/>
      <w:numFmt w:val="decimal"/>
      <w:lvlText w:val="%1."/>
      <w:lvlJc w:val="left"/>
      <w:pPr>
        <w:ind w:left="720" w:hanging="360"/>
      </w:pPr>
      <w:rPr>
        <w:rFonts w:hint="default"/>
        <w:strike w:val="0"/>
        <w:color w:val="000000" w:themeColor="text1"/>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21A2AA3"/>
    <w:multiLevelType w:val="hybridMultilevel"/>
    <w:tmpl w:val="B1A6BC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DA87017"/>
    <w:multiLevelType w:val="hybridMultilevel"/>
    <w:tmpl w:val="03AAE6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0691881"/>
    <w:multiLevelType w:val="multilevel"/>
    <w:tmpl w:val="9208DD3A"/>
    <w:lvl w:ilvl="0">
      <w:start w:val="1"/>
      <w:numFmt w:val="bullet"/>
      <w:pStyle w:val="Listaconvietas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3BF1D10"/>
    <w:multiLevelType w:val="hybridMultilevel"/>
    <w:tmpl w:val="2120278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8" w15:restartNumberingAfterBreak="0">
    <w:nsid w:val="5B62102E"/>
    <w:multiLevelType w:val="multilevel"/>
    <w:tmpl w:val="BB261606"/>
    <w:lvl w:ilvl="0">
      <w:start w:val="1"/>
      <w:numFmt w:val="bullet"/>
      <w:lvlText w:val="⮚"/>
      <w:lvlJc w:val="left"/>
      <w:pPr>
        <w:ind w:left="862"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19" w15:restartNumberingAfterBreak="0">
    <w:nsid w:val="645D1608"/>
    <w:multiLevelType w:val="multilevel"/>
    <w:tmpl w:val="ECE82246"/>
    <w:lvl w:ilvl="0">
      <w:start w:val="1"/>
      <w:numFmt w:val="decimal"/>
      <w:lvlText w:val="%1."/>
      <w:lvlJc w:val="left"/>
      <w:pPr>
        <w:ind w:left="720" w:hanging="360"/>
      </w:pPr>
      <w:rPr>
        <w:rFonts w:ascii="Palatino Linotype" w:eastAsia="Palatino Linotype" w:hAnsi="Palatino Linotype" w:cs="Palatino Linotype"/>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7FF71A9"/>
    <w:multiLevelType w:val="hybridMultilevel"/>
    <w:tmpl w:val="675C8F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AD118C9"/>
    <w:multiLevelType w:val="multilevel"/>
    <w:tmpl w:val="247AD2B4"/>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7B083A9B"/>
    <w:multiLevelType w:val="multilevel"/>
    <w:tmpl w:val="01A0AE9C"/>
    <w:lvl w:ilvl="0">
      <w:start w:val="2"/>
      <w:numFmt w:val="bullet"/>
      <w:pStyle w:val="Listaconvietas"/>
      <w:lvlText w:val="-"/>
      <w:lvlJc w:val="left"/>
      <w:pPr>
        <w:ind w:left="927" w:hanging="360"/>
      </w:pPr>
      <w:rPr>
        <w:rFonts w:ascii="Palatino Linotype" w:eastAsia="Palatino Linotype" w:hAnsi="Palatino Linotype" w:cs="Palatino Linotype"/>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23" w15:restartNumberingAfterBreak="0">
    <w:nsid w:val="7FDA24FA"/>
    <w:multiLevelType w:val="hybridMultilevel"/>
    <w:tmpl w:val="81F64C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2"/>
  </w:num>
  <w:num w:numId="3">
    <w:abstractNumId w:val="22"/>
  </w:num>
  <w:num w:numId="4">
    <w:abstractNumId w:val="3"/>
  </w:num>
  <w:num w:numId="5">
    <w:abstractNumId w:val="1"/>
  </w:num>
  <w:num w:numId="6">
    <w:abstractNumId w:val="8"/>
  </w:num>
  <w:num w:numId="7">
    <w:abstractNumId w:val="17"/>
  </w:num>
  <w:num w:numId="8">
    <w:abstractNumId w:val="13"/>
  </w:num>
  <w:num w:numId="9">
    <w:abstractNumId w:val="14"/>
  </w:num>
  <w:num w:numId="10">
    <w:abstractNumId w:val="11"/>
  </w:num>
  <w:num w:numId="11">
    <w:abstractNumId w:val="0"/>
  </w:num>
  <w:num w:numId="12">
    <w:abstractNumId w:val="15"/>
  </w:num>
  <w:num w:numId="13">
    <w:abstractNumId w:val="5"/>
  </w:num>
  <w:num w:numId="14">
    <w:abstractNumId w:val="21"/>
  </w:num>
  <w:num w:numId="15">
    <w:abstractNumId w:val="9"/>
  </w:num>
  <w:num w:numId="16">
    <w:abstractNumId w:val="18"/>
  </w:num>
  <w:num w:numId="17">
    <w:abstractNumId w:val="12"/>
  </w:num>
  <w:num w:numId="18">
    <w:abstractNumId w:val="6"/>
  </w:num>
  <w:num w:numId="19">
    <w:abstractNumId w:val="23"/>
  </w:num>
  <w:num w:numId="20">
    <w:abstractNumId w:val="20"/>
  </w:num>
  <w:num w:numId="21">
    <w:abstractNumId w:val="10"/>
  </w:num>
  <w:num w:numId="22">
    <w:abstractNumId w:val="4"/>
  </w:num>
  <w:num w:numId="23">
    <w:abstractNumId w:val="7"/>
  </w:num>
  <w:num w:numId="24">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7F6"/>
    <w:rsid w:val="00003CC0"/>
    <w:rsid w:val="00011BB7"/>
    <w:rsid w:val="00011D32"/>
    <w:rsid w:val="000140E9"/>
    <w:rsid w:val="00016665"/>
    <w:rsid w:val="00022FF0"/>
    <w:rsid w:val="00027683"/>
    <w:rsid w:val="00032764"/>
    <w:rsid w:val="00035362"/>
    <w:rsid w:val="0004101C"/>
    <w:rsid w:val="000414EC"/>
    <w:rsid w:val="000472DB"/>
    <w:rsid w:val="000505A2"/>
    <w:rsid w:val="00050C84"/>
    <w:rsid w:val="0005267C"/>
    <w:rsid w:val="000614C3"/>
    <w:rsid w:val="00080DA6"/>
    <w:rsid w:val="00080F34"/>
    <w:rsid w:val="000821E5"/>
    <w:rsid w:val="00085E1F"/>
    <w:rsid w:val="0009354C"/>
    <w:rsid w:val="000C2D35"/>
    <w:rsid w:val="000C6DFE"/>
    <w:rsid w:val="000D0009"/>
    <w:rsid w:val="000D211C"/>
    <w:rsid w:val="000D6BF4"/>
    <w:rsid w:val="000D7D67"/>
    <w:rsid w:val="000E2256"/>
    <w:rsid w:val="000E264E"/>
    <w:rsid w:val="000F3A18"/>
    <w:rsid w:val="000F4613"/>
    <w:rsid w:val="000F461B"/>
    <w:rsid w:val="00102B00"/>
    <w:rsid w:val="00104A39"/>
    <w:rsid w:val="00106A63"/>
    <w:rsid w:val="00106CF0"/>
    <w:rsid w:val="0010766B"/>
    <w:rsid w:val="00111CC6"/>
    <w:rsid w:val="0011572F"/>
    <w:rsid w:val="00115C81"/>
    <w:rsid w:val="001162BC"/>
    <w:rsid w:val="0012241A"/>
    <w:rsid w:val="001244B6"/>
    <w:rsid w:val="0012725B"/>
    <w:rsid w:val="0013064D"/>
    <w:rsid w:val="00131270"/>
    <w:rsid w:val="001348C7"/>
    <w:rsid w:val="00137C81"/>
    <w:rsid w:val="001525D0"/>
    <w:rsid w:val="00167CFB"/>
    <w:rsid w:val="0017246D"/>
    <w:rsid w:val="00177120"/>
    <w:rsid w:val="001775F5"/>
    <w:rsid w:val="00187E84"/>
    <w:rsid w:val="00195613"/>
    <w:rsid w:val="001A2C55"/>
    <w:rsid w:val="001A48B6"/>
    <w:rsid w:val="001C329A"/>
    <w:rsid w:val="001C7C5B"/>
    <w:rsid w:val="001D21A4"/>
    <w:rsid w:val="001D56E0"/>
    <w:rsid w:val="001F05E3"/>
    <w:rsid w:val="001F52E8"/>
    <w:rsid w:val="001F638C"/>
    <w:rsid w:val="001F64EA"/>
    <w:rsid w:val="0020793C"/>
    <w:rsid w:val="00215433"/>
    <w:rsid w:val="00220962"/>
    <w:rsid w:val="002224BB"/>
    <w:rsid w:val="0022312E"/>
    <w:rsid w:val="002305A4"/>
    <w:rsid w:val="00240A2A"/>
    <w:rsid w:val="00240D02"/>
    <w:rsid w:val="00241C45"/>
    <w:rsid w:val="00244C94"/>
    <w:rsid w:val="002460CA"/>
    <w:rsid w:val="002504FC"/>
    <w:rsid w:val="00251552"/>
    <w:rsid w:val="002518F3"/>
    <w:rsid w:val="00257B2F"/>
    <w:rsid w:val="00261424"/>
    <w:rsid w:val="00271603"/>
    <w:rsid w:val="00272298"/>
    <w:rsid w:val="00272A31"/>
    <w:rsid w:val="00272F20"/>
    <w:rsid w:val="00282A93"/>
    <w:rsid w:val="00283C9F"/>
    <w:rsid w:val="00287278"/>
    <w:rsid w:val="00294BBE"/>
    <w:rsid w:val="002A2702"/>
    <w:rsid w:val="002A38A5"/>
    <w:rsid w:val="002A4A12"/>
    <w:rsid w:val="002A642E"/>
    <w:rsid w:val="002A67CC"/>
    <w:rsid w:val="002A7958"/>
    <w:rsid w:val="002B39AC"/>
    <w:rsid w:val="002B423B"/>
    <w:rsid w:val="002B4667"/>
    <w:rsid w:val="002C3E8F"/>
    <w:rsid w:val="002C4916"/>
    <w:rsid w:val="002C52D1"/>
    <w:rsid w:val="002C63CA"/>
    <w:rsid w:val="002D25A9"/>
    <w:rsid w:val="002D4381"/>
    <w:rsid w:val="002E51A0"/>
    <w:rsid w:val="002E55F1"/>
    <w:rsid w:val="002E58BE"/>
    <w:rsid w:val="002F289C"/>
    <w:rsid w:val="00301A49"/>
    <w:rsid w:val="00312042"/>
    <w:rsid w:val="00336C8D"/>
    <w:rsid w:val="003412FF"/>
    <w:rsid w:val="00351E01"/>
    <w:rsid w:val="003535F7"/>
    <w:rsid w:val="00357E62"/>
    <w:rsid w:val="003610C8"/>
    <w:rsid w:val="0037150B"/>
    <w:rsid w:val="00374863"/>
    <w:rsid w:val="00374B41"/>
    <w:rsid w:val="00375F49"/>
    <w:rsid w:val="00376C8E"/>
    <w:rsid w:val="00381615"/>
    <w:rsid w:val="00382B63"/>
    <w:rsid w:val="003A539C"/>
    <w:rsid w:val="003A66EC"/>
    <w:rsid w:val="003B1B97"/>
    <w:rsid w:val="003B746B"/>
    <w:rsid w:val="003C0D60"/>
    <w:rsid w:val="003C5329"/>
    <w:rsid w:val="003C77F3"/>
    <w:rsid w:val="003D17CE"/>
    <w:rsid w:val="003D5261"/>
    <w:rsid w:val="003E151E"/>
    <w:rsid w:val="003E31C9"/>
    <w:rsid w:val="003E60D4"/>
    <w:rsid w:val="003E62A8"/>
    <w:rsid w:val="003F5A8F"/>
    <w:rsid w:val="003F6A2A"/>
    <w:rsid w:val="00402094"/>
    <w:rsid w:val="00403AAA"/>
    <w:rsid w:val="00405804"/>
    <w:rsid w:val="004066C2"/>
    <w:rsid w:val="004067BF"/>
    <w:rsid w:val="00407432"/>
    <w:rsid w:val="00413D80"/>
    <w:rsid w:val="00420E52"/>
    <w:rsid w:val="00421C3A"/>
    <w:rsid w:val="00422637"/>
    <w:rsid w:val="00425575"/>
    <w:rsid w:val="00431AFC"/>
    <w:rsid w:val="00437E24"/>
    <w:rsid w:val="004422C9"/>
    <w:rsid w:val="0044353C"/>
    <w:rsid w:val="00443D93"/>
    <w:rsid w:val="00446BCB"/>
    <w:rsid w:val="0045016F"/>
    <w:rsid w:val="004554A0"/>
    <w:rsid w:val="004635C4"/>
    <w:rsid w:val="00477E95"/>
    <w:rsid w:val="004876E1"/>
    <w:rsid w:val="004A240F"/>
    <w:rsid w:val="004A4B50"/>
    <w:rsid w:val="004A4D59"/>
    <w:rsid w:val="004B37BF"/>
    <w:rsid w:val="004B4C42"/>
    <w:rsid w:val="004B699A"/>
    <w:rsid w:val="004B69D7"/>
    <w:rsid w:val="004C3392"/>
    <w:rsid w:val="004C6A5F"/>
    <w:rsid w:val="004C7444"/>
    <w:rsid w:val="004D64F1"/>
    <w:rsid w:val="004E38BF"/>
    <w:rsid w:val="004F31E8"/>
    <w:rsid w:val="004F40D3"/>
    <w:rsid w:val="00505EBC"/>
    <w:rsid w:val="00507CDE"/>
    <w:rsid w:val="005116B7"/>
    <w:rsid w:val="00515B2C"/>
    <w:rsid w:val="00515D25"/>
    <w:rsid w:val="00517589"/>
    <w:rsid w:val="00521904"/>
    <w:rsid w:val="00524582"/>
    <w:rsid w:val="00527B16"/>
    <w:rsid w:val="0053486A"/>
    <w:rsid w:val="00536523"/>
    <w:rsid w:val="00536838"/>
    <w:rsid w:val="00537589"/>
    <w:rsid w:val="00541989"/>
    <w:rsid w:val="00546B7C"/>
    <w:rsid w:val="005509CC"/>
    <w:rsid w:val="0055158C"/>
    <w:rsid w:val="005644E2"/>
    <w:rsid w:val="00565701"/>
    <w:rsid w:val="00571BF7"/>
    <w:rsid w:val="00571FCC"/>
    <w:rsid w:val="005764D6"/>
    <w:rsid w:val="0058244A"/>
    <w:rsid w:val="00590594"/>
    <w:rsid w:val="0059298C"/>
    <w:rsid w:val="005957F2"/>
    <w:rsid w:val="00596404"/>
    <w:rsid w:val="0059705D"/>
    <w:rsid w:val="005A0E7B"/>
    <w:rsid w:val="005A4875"/>
    <w:rsid w:val="005A668A"/>
    <w:rsid w:val="005B15F7"/>
    <w:rsid w:val="005B4F46"/>
    <w:rsid w:val="005B79A1"/>
    <w:rsid w:val="005C06FC"/>
    <w:rsid w:val="005C0DE2"/>
    <w:rsid w:val="005C2ED1"/>
    <w:rsid w:val="005C3FA2"/>
    <w:rsid w:val="005C5472"/>
    <w:rsid w:val="005C74CB"/>
    <w:rsid w:val="005D08E7"/>
    <w:rsid w:val="005D28FA"/>
    <w:rsid w:val="005D6395"/>
    <w:rsid w:val="005E009A"/>
    <w:rsid w:val="005F460A"/>
    <w:rsid w:val="005F6923"/>
    <w:rsid w:val="00600B46"/>
    <w:rsid w:val="00602DB8"/>
    <w:rsid w:val="0060454F"/>
    <w:rsid w:val="00605693"/>
    <w:rsid w:val="00605991"/>
    <w:rsid w:val="00607DE9"/>
    <w:rsid w:val="00612CCA"/>
    <w:rsid w:val="00616EFE"/>
    <w:rsid w:val="00617B63"/>
    <w:rsid w:val="006317DA"/>
    <w:rsid w:val="00631C21"/>
    <w:rsid w:val="006370B0"/>
    <w:rsid w:val="00641C48"/>
    <w:rsid w:val="006434EA"/>
    <w:rsid w:val="0065110C"/>
    <w:rsid w:val="0067251B"/>
    <w:rsid w:val="00682961"/>
    <w:rsid w:val="006949BC"/>
    <w:rsid w:val="00697BED"/>
    <w:rsid w:val="006A7805"/>
    <w:rsid w:val="006B413C"/>
    <w:rsid w:val="006C0FD4"/>
    <w:rsid w:val="006C241E"/>
    <w:rsid w:val="006C45EA"/>
    <w:rsid w:val="006C4D61"/>
    <w:rsid w:val="006C5268"/>
    <w:rsid w:val="006D2F09"/>
    <w:rsid w:val="006D4025"/>
    <w:rsid w:val="006D4305"/>
    <w:rsid w:val="006D47FF"/>
    <w:rsid w:val="006D4A7D"/>
    <w:rsid w:val="006D6DBC"/>
    <w:rsid w:val="006E19B5"/>
    <w:rsid w:val="006E4376"/>
    <w:rsid w:val="006E4876"/>
    <w:rsid w:val="006E6F7D"/>
    <w:rsid w:val="006F15AA"/>
    <w:rsid w:val="006F79BA"/>
    <w:rsid w:val="00707E5B"/>
    <w:rsid w:val="00715495"/>
    <w:rsid w:val="0071796C"/>
    <w:rsid w:val="007227CA"/>
    <w:rsid w:val="00722F22"/>
    <w:rsid w:val="00730751"/>
    <w:rsid w:val="00737A90"/>
    <w:rsid w:val="00740429"/>
    <w:rsid w:val="007425E8"/>
    <w:rsid w:val="00745DF3"/>
    <w:rsid w:val="00751845"/>
    <w:rsid w:val="00761007"/>
    <w:rsid w:val="007668BD"/>
    <w:rsid w:val="00766F72"/>
    <w:rsid w:val="007671AC"/>
    <w:rsid w:val="00776154"/>
    <w:rsid w:val="00783979"/>
    <w:rsid w:val="00783D48"/>
    <w:rsid w:val="007861D5"/>
    <w:rsid w:val="007A250C"/>
    <w:rsid w:val="007A4352"/>
    <w:rsid w:val="007A6122"/>
    <w:rsid w:val="007B023D"/>
    <w:rsid w:val="007C365E"/>
    <w:rsid w:val="007D5E1D"/>
    <w:rsid w:val="007D71A6"/>
    <w:rsid w:val="007F3B43"/>
    <w:rsid w:val="008012C6"/>
    <w:rsid w:val="00810C46"/>
    <w:rsid w:val="008120F9"/>
    <w:rsid w:val="00816709"/>
    <w:rsid w:val="00822722"/>
    <w:rsid w:val="00822FC6"/>
    <w:rsid w:val="00826399"/>
    <w:rsid w:val="0083209D"/>
    <w:rsid w:val="00832A66"/>
    <w:rsid w:val="008360A2"/>
    <w:rsid w:val="008414EE"/>
    <w:rsid w:val="00843597"/>
    <w:rsid w:val="00847CD8"/>
    <w:rsid w:val="00850987"/>
    <w:rsid w:val="0085476E"/>
    <w:rsid w:val="008626D6"/>
    <w:rsid w:val="0086363F"/>
    <w:rsid w:val="008642CE"/>
    <w:rsid w:val="008655BD"/>
    <w:rsid w:val="00871711"/>
    <w:rsid w:val="00874AC1"/>
    <w:rsid w:val="008903B9"/>
    <w:rsid w:val="0089595B"/>
    <w:rsid w:val="008A3B54"/>
    <w:rsid w:val="008C58CB"/>
    <w:rsid w:val="008D57B1"/>
    <w:rsid w:val="008D5D61"/>
    <w:rsid w:val="008D6E2B"/>
    <w:rsid w:val="008E4A90"/>
    <w:rsid w:val="008E5996"/>
    <w:rsid w:val="008E5C4C"/>
    <w:rsid w:val="008F4D0F"/>
    <w:rsid w:val="008F719B"/>
    <w:rsid w:val="0090790A"/>
    <w:rsid w:val="009230B9"/>
    <w:rsid w:val="00923A7C"/>
    <w:rsid w:val="00926509"/>
    <w:rsid w:val="0092733C"/>
    <w:rsid w:val="00927EA8"/>
    <w:rsid w:val="00943813"/>
    <w:rsid w:val="00943908"/>
    <w:rsid w:val="00944A08"/>
    <w:rsid w:val="009456FA"/>
    <w:rsid w:val="00952AA4"/>
    <w:rsid w:val="0095451A"/>
    <w:rsid w:val="00963672"/>
    <w:rsid w:val="009653D4"/>
    <w:rsid w:val="00980C0D"/>
    <w:rsid w:val="00980F4D"/>
    <w:rsid w:val="00981DDA"/>
    <w:rsid w:val="009839EA"/>
    <w:rsid w:val="00985944"/>
    <w:rsid w:val="00992177"/>
    <w:rsid w:val="00992C9D"/>
    <w:rsid w:val="009A113E"/>
    <w:rsid w:val="009A3CFC"/>
    <w:rsid w:val="009B61DD"/>
    <w:rsid w:val="009C5423"/>
    <w:rsid w:val="009D0B8C"/>
    <w:rsid w:val="009D1375"/>
    <w:rsid w:val="009D625A"/>
    <w:rsid w:val="009D7455"/>
    <w:rsid w:val="009E3BCC"/>
    <w:rsid w:val="009E3F05"/>
    <w:rsid w:val="009E6D1D"/>
    <w:rsid w:val="009F6FA9"/>
    <w:rsid w:val="00A04074"/>
    <w:rsid w:val="00A06A0C"/>
    <w:rsid w:val="00A17634"/>
    <w:rsid w:val="00A27CA5"/>
    <w:rsid w:val="00A3291F"/>
    <w:rsid w:val="00A330C2"/>
    <w:rsid w:val="00A57D42"/>
    <w:rsid w:val="00A62289"/>
    <w:rsid w:val="00A808E4"/>
    <w:rsid w:val="00A91027"/>
    <w:rsid w:val="00AA08AE"/>
    <w:rsid w:val="00AA5D5B"/>
    <w:rsid w:val="00AB1EDC"/>
    <w:rsid w:val="00AB4893"/>
    <w:rsid w:val="00AB6007"/>
    <w:rsid w:val="00AC0349"/>
    <w:rsid w:val="00AC3FEF"/>
    <w:rsid w:val="00AC6ADE"/>
    <w:rsid w:val="00AD0FB6"/>
    <w:rsid w:val="00AD209C"/>
    <w:rsid w:val="00AD35BC"/>
    <w:rsid w:val="00AD391C"/>
    <w:rsid w:val="00AD58A2"/>
    <w:rsid w:val="00AE1500"/>
    <w:rsid w:val="00AE181D"/>
    <w:rsid w:val="00AE34F4"/>
    <w:rsid w:val="00AE4C99"/>
    <w:rsid w:val="00AE6C8D"/>
    <w:rsid w:val="00AF516B"/>
    <w:rsid w:val="00AF6459"/>
    <w:rsid w:val="00AF6A93"/>
    <w:rsid w:val="00AF6DAF"/>
    <w:rsid w:val="00AF7CF6"/>
    <w:rsid w:val="00B0171C"/>
    <w:rsid w:val="00B01B4E"/>
    <w:rsid w:val="00B01F31"/>
    <w:rsid w:val="00B0784B"/>
    <w:rsid w:val="00B11D16"/>
    <w:rsid w:val="00B21479"/>
    <w:rsid w:val="00B2209C"/>
    <w:rsid w:val="00B230A4"/>
    <w:rsid w:val="00B27D30"/>
    <w:rsid w:val="00B41FE3"/>
    <w:rsid w:val="00B4317F"/>
    <w:rsid w:val="00B50137"/>
    <w:rsid w:val="00B5111D"/>
    <w:rsid w:val="00B64821"/>
    <w:rsid w:val="00B67753"/>
    <w:rsid w:val="00B67B0F"/>
    <w:rsid w:val="00B705EB"/>
    <w:rsid w:val="00B77F87"/>
    <w:rsid w:val="00B80BE3"/>
    <w:rsid w:val="00B8230E"/>
    <w:rsid w:val="00B859DE"/>
    <w:rsid w:val="00B878E0"/>
    <w:rsid w:val="00B91F9C"/>
    <w:rsid w:val="00B96097"/>
    <w:rsid w:val="00B97F46"/>
    <w:rsid w:val="00BA12AE"/>
    <w:rsid w:val="00BB4842"/>
    <w:rsid w:val="00BC0B42"/>
    <w:rsid w:val="00BC615D"/>
    <w:rsid w:val="00BC67D7"/>
    <w:rsid w:val="00BE107D"/>
    <w:rsid w:val="00BE2BA1"/>
    <w:rsid w:val="00BF7077"/>
    <w:rsid w:val="00C001FB"/>
    <w:rsid w:val="00C13B84"/>
    <w:rsid w:val="00C2248A"/>
    <w:rsid w:val="00C232CD"/>
    <w:rsid w:val="00C2497E"/>
    <w:rsid w:val="00C25C7A"/>
    <w:rsid w:val="00C26595"/>
    <w:rsid w:val="00C36B10"/>
    <w:rsid w:val="00C4295C"/>
    <w:rsid w:val="00C53419"/>
    <w:rsid w:val="00C5418E"/>
    <w:rsid w:val="00C64701"/>
    <w:rsid w:val="00C775A2"/>
    <w:rsid w:val="00C83713"/>
    <w:rsid w:val="00C877F6"/>
    <w:rsid w:val="00C90559"/>
    <w:rsid w:val="00C93CB2"/>
    <w:rsid w:val="00C94A83"/>
    <w:rsid w:val="00C975DF"/>
    <w:rsid w:val="00C9792E"/>
    <w:rsid w:val="00CA0CC9"/>
    <w:rsid w:val="00CA4651"/>
    <w:rsid w:val="00CB0E2B"/>
    <w:rsid w:val="00CB4251"/>
    <w:rsid w:val="00CB7872"/>
    <w:rsid w:val="00CC4BBA"/>
    <w:rsid w:val="00CC63A3"/>
    <w:rsid w:val="00CD4BE9"/>
    <w:rsid w:val="00CF1172"/>
    <w:rsid w:val="00CF357D"/>
    <w:rsid w:val="00CF57A2"/>
    <w:rsid w:val="00CF6230"/>
    <w:rsid w:val="00CF6480"/>
    <w:rsid w:val="00CF65B8"/>
    <w:rsid w:val="00CF7200"/>
    <w:rsid w:val="00D06EB7"/>
    <w:rsid w:val="00D107FB"/>
    <w:rsid w:val="00D261B6"/>
    <w:rsid w:val="00D3382D"/>
    <w:rsid w:val="00D35935"/>
    <w:rsid w:val="00D420E8"/>
    <w:rsid w:val="00D42C47"/>
    <w:rsid w:val="00D47A86"/>
    <w:rsid w:val="00D501D9"/>
    <w:rsid w:val="00D503A7"/>
    <w:rsid w:val="00D5108C"/>
    <w:rsid w:val="00D52078"/>
    <w:rsid w:val="00D54714"/>
    <w:rsid w:val="00D548D9"/>
    <w:rsid w:val="00D561F5"/>
    <w:rsid w:val="00D56DA2"/>
    <w:rsid w:val="00D632AD"/>
    <w:rsid w:val="00D63364"/>
    <w:rsid w:val="00D674C0"/>
    <w:rsid w:val="00D71419"/>
    <w:rsid w:val="00D71C79"/>
    <w:rsid w:val="00D72FA2"/>
    <w:rsid w:val="00D738A6"/>
    <w:rsid w:val="00D83273"/>
    <w:rsid w:val="00D834CB"/>
    <w:rsid w:val="00D86E05"/>
    <w:rsid w:val="00D97859"/>
    <w:rsid w:val="00DA22DE"/>
    <w:rsid w:val="00DA6825"/>
    <w:rsid w:val="00DB08DD"/>
    <w:rsid w:val="00DB20F5"/>
    <w:rsid w:val="00DB2ED8"/>
    <w:rsid w:val="00DB3E69"/>
    <w:rsid w:val="00DB500B"/>
    <w:rsid w:val="00DC2CE2"/>
    <w:rsid w:val="00DC5898"/>
    <w:rsid w:val="00DE04E8"/>
    <w:rsid w:val="00DE18D7"/>
    <w:rsid w:val="00DF2ABD"/>
    <w:rsid w:val="00DF4BF2"/>
    <w:rsid w:val="00DF7C85"/>
    <w:rsid w:val="00E111DF"/>
    <w:rsid w:val="00E12FFC"/>
    <w:rsid w:val="00E14D21"/>
    <w:rsid w:val="00E218CB"/>
    <w:rsid w:val="00E21C9B"/>
    <w:rsid w:val="00E21FDE"/>
    <w:rsid w:val="00E26AFB"/>
    <w:rsid w:val="00E27ED0"/>
    <w:rsid w:val="00E306C0"/>
    <w:rsid w:val="00E326CB"/>
    <w:rsid w:val="00E3411D"/>
    <w:rsid w:val="00E34B63"/>
    <w:rsid w:val="00E36FCB"/>
    <w:rsid w:val="00E40539"/>
    <w:rsid w:val="00E41166"/>
    <w:rsid w:val="00E45568"/>
    <w:rsid w:val="00E53604"/>
    <w:rsid w:val="00E542DD"/>
    <w:rsid w:val="00E649BA"/>
    <w:rsid w:val="00E66014"/>
    <w:rsid w:val="00E67408"/>
    <w:rsid w:val="00E70C81"/>
    <w:rsid w:val="00E86D14"/>
    <w:rsid w:val="00E90A7F"/>
    <w:rsid w:val="00E9121D"/>
    <w:rsid w:val="00E96213"/>
    <w:rsid w:val="00E97AD5"/>
    <w:rsid w:val="00EA2D40"/>
    <w:rsid w:val="00EB1F6C"/>
    <w:rsid w:val="00EB6A1E"/>
    <w:rsid w:val="00EB6FCF"/>
    <w:rsid w:val="00EC1F60"/>
    <w:rsid w:val="00EC2967"/>
    <w:rsid w:val="00EC3DA1"/>
    <w:rsid w:val="00EC7027"/>
    <w:rsid w:val="00ED184D"/>
    <w:rsid w:val="00ED1C6A"/>
    <w:rsid w:val="00ED1F46"/>
    <w:rsid w:val="00EE30D8"/>
    <w:rsid w:val="00F0001E"/>
    <w:rsid w:val="00F0041B"/>
    <w:rsid w:val="00F067E2"/>
    <w:rsid w:val="00F11903"/>
    <w:rsid w:val="00F17613"/>
    <w:rsid w:val="00F2348E"/>
    <w:rsid w:val="00F270BF"/>
    <w:rsid w:val="00F36565"/>
    <w:rsid w:val="00F43FED"/>
    <w:rsid w:val="00F45A48"/>
    <w:rsid w:val="00F60B31"/>
    <w:rsid w:val="00F63FA8"/>
    <w:rsid w:val="00F6784D"/>
    <w:rsid w:val="00F67B7B"/>
    <w:rsid w:val="00F738DA"/>
    <w:rsid w:val="00F80CD2"/>
    <w:rsid w:val="00F834EE"/>
    <w:rsid w:val="00F85A5C"/>
    <w:rsid w:val="00F90408"/>
    <w:rsid w:val="00F94226"/>
    <w:rsid w:val="00FA2C83"/>
    <w:rsid w:val="00FA6C9F"/>
    <w:rsid w:val="00FB12E1"/>
    <w:rsid w:val="00FB389B"/>
    <w:rsid w:val="00FB3C4B"/>
    <w:rsid w:val="00FC1CEA"/>
    <w:rsid w:val="00FD3CB6"/>
    <w:rsid w:val="00FD743F"/>
    <w:rsid w:val="00FE60C8"/>
    <w:rsid w:val="00FF1AD9"/>
    <w:rsid w:val="00FF4F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203C616"/>
  <w15:docId w15:val="{9B6F5DC6-6478-4D7C-BEBD-2CE44165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Normal"/>
    <w:tblPr>
      <w:tblCellMar>
        <w:top w:w="0" w:type="dxa"/>
        <w:left w:w="0" w:type="dxa"/>
        <w:bottom w:w="0" w:type="dxa"/>
        <w:right w:w="0" w:type="dxa"/>
      </w:tblCellMar>
    </w:tblPr>
  </w:style>
  <w:style w:type="table" w:customStyle="1" w:styleId="TableNormal1">
    <w:name w:val="Table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paragraph" w:styleId="Encabezado">
    <w:name w:val="header"/>
    <w:basedOn w:val="Normal"/>
    <w:link w:val="EncabezadoCar"/>
    <w:uiPriority w:val="99"/>
    <w:unhideWhenUsed/>
    <w:rsid w:val="00CD74AE"/>
    <w:pPr>
      <w:tabs>
        <w:tab w:val="center" w:pos="4419"/>
        <w:tab w:val="right" w:pos="8838"/>
      </w:tabs>
    </w:pPr>
  </w:style>
  <w:style w:type="character" w:customStyle="1" w:styleId="EncabezadoCar">
    <w:name w:val="Encabezado Car"/>
    <w:basedOn w:val="Fuentedeprrafopredeter"/>
    <w:link w:val="Encabezado"/>
    <w:uiPriority w:val="99"/>
    <w:rsid w:val="00CD74AE"/>
  </w:style>
  <w:style w:type="paragraph" w:styleId="Piedepgina">
    <w:name w:val="footer"/>
    <w:basedOn w:val="Normal"/>
    <w:link w:val="PiedepginaCar"/>
    <w:uiPriority w:val="99"/>
    <w:unhideWhenUsed/>
    <w:rsid w:val="00CD74AE"/>
    <w:pPr>
      <w:tabs>
        <w:tab w:val="center" w:pos="4419"/>
        <w:tab w:val="right" w:pos="8838"/>
      </w:tabs>
    </w:pPr>
  </w:style>
  <w:style w:type="character" w:customStyle="1" w:styleId="PiedepginaCar">
    <w:name w:val="Pie de página Car"/>
    <w:basedOn w:val="Fuentedeprrafopredeter"/>
    <w:link w:val="Piedepgina"/>
    <w:uiPriority w:val="99"/>
    <w:rsid w:val="00CD74AE"/>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1"/>
    <w:qFormat/>
    <w:rsid w:val="00CD74AE"/>
    <w:pPr>
      <w:ind w:left="720"/>
      <w:contextualSpacing/>
    </w:pPr>
  </w:style>
  <w:style w:type="character" w:styleId="Hipervnculo">
    <w:name w:val="Hyperlink"/>
    <w:aliases w:val="Hipervínculo1,Hipervínculo11,Hipervínculo12,Hipervínculo13,Hipervínculo14,Hipervínculo15"/>
    <w:basedOn w:val="Fuentedeprrafopredeter"/>
    <w:uiPriority w:val="99"/>
    <w:unhideWhenUsed/>
    <w:qFormat/>
    <w:rsid w:val="00CD74AE"/>
    <w:rPr>
      <w:color w:val="0563C1" w:themeColor="hyperlink"/>
      <w:u w:val="single"/>
    </w:rPr>
  </w:style>
  <w:style w:type="table" w:styleId="Tablaconcuadrcula">
    <w:name w:val="Table Grid"/>
    <w:basedOn w:val="Tablanormal"/>
    <w:uiPriority w:val="39"/>
    <w:rsid w:val="009C1D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D2AA5"/>
    <w:pPr>
      <w:spacing w:before="100" w:beforeAutospacing="1" w:after="100" w:afterAutospacing="1"/>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9F3FE6"/>
  </w:style>
  <w:style w:type="table" w:customStyle="1" w:styleId="6">
    <w:name w:val="6"/>
    <w:basedOn w:val="TableNormal10"/>
    <w:tblPr>
      <w:tblStyleRowBandSize w:val="1"/>
      <w:tblStyleColBandSize w:val="1"/>
      <w:tblCellMar>
        <w:top w:w="15" w:type="dxa"/>
        <w:left w:w="15" w:type="dxa"/>
        <w:bottom w:w="15" w:type="dxa"/>
        <w:right w:w="15" w:type="dxa"/>
      </w:tblCellMar>
    </w:tblPr>
  </w:style>
  <w:style w:type="table" w:customStyle="1" w:styleId="5">
    <w:name w:val="5"/>
    <w:basedOn w:val="TableNormal10"/>
    <w:tblPr>
      <w:tblStyleRowBandSize w:val="1"/>
      <w:tblStyleColBandSize w:val="1"/>
      <w:tblCellMar>
        <w:left w:w="115" w:type="dxa"/>
        <w:right w:w="115" w:type="dxa"/>
      </w:tblCellMar>
    </w:tblPr>
  </w:style>
  <w:style w:type="table" w:customStyle="1" w:styleId="4">
    <w:name w:val="4"/>
    <w:basedOn w:val="TableNormal10"/>
    <w:tblPr>
      <w:tblStyleRowBandSize w:val="1"/>
      <w:tblStyleColBandSize w:val="1"/>
      <w:tblCellMar>
        <w:left w:w="115" w:type="dxa"/>
        <w:right w:w="115" w:type="dxa"/>
      </w:tblCellMar>
    </w:tblPr>
  </w:style>
  <w:style w:type="table" w:customStyle="1" w:styleId="3">
    <w:name w:val="3"/>
    <w:basedOn w:val="TableNormal10"/>
    <w:tblPr>
      <w:tblStyleRowBandSize w:val="1"/>
      <w:tblStyleColBandSize w:val="1"/>
      <w:tblCellMar>
        <w:top w:w="15" w:type="dxa"/>
        <w:left w:w="115" w:type="dxa"/>
        <w:bottom w:w="15" w:type="dxa"/>
        <w:right w:w="115" w:type="dxa"/>
      </w:tblCellMar>
    </w:tblPr>
  </w:style>
  <w:style w:type="table" w:customStyle="1" w:styleId="2">
    <w:name w:val="2"/>
    <w:basedOn w:val="TableNormal10"/>
    <w:tblPr>
      <w:tblStyleRowBandSize w:val="1"/>
      <w:tblStyleColBandSize w:val="1"/>
      <w:tblCellMar>
        <w:top w:w="15" w:type="dxa"/>
        <w:left w:w="115" w:type="dxa"/>
        <w:bottom w:w="15" w:type="dxa"/>
        <w:right w:w="115" w:type="dxa"/>
      </w:tblCellMar>
    </w:tblPr>
  </w:style>
  <w:style w:type="table" w:customStyle="1" w:styleId="1">
    <w:name w:val="1"/>
    <w:basedOn w:val="TableNormal10"/>
    <w:tblPr>
      <w:tblStyleRowBandSize w:val="1"/>
      <w:tblStyleColBandSize w:val="1"/>
      <w:tblCellMar>
        <w:top w:w="15" w:type="dxa"/>
        <w:left w:w="115" w:type="dxa"/>
        <w:bottom w:w="15" w:type="dxa"/>
        <w:right w:w="115" w:type="dxa"/>
      </w:tblCellMar>
    </w:tblPr>
  </w:style>
  <w:style w:type="character" w:customStyle="1" w:styleId="Mencinsinresolver1">
    <w:name w:val="Mención sin resolver1"/>
    <w:basedOn w:val="Fuentedeprrafopredeter"/>
    <w:uiPriority w:val="99"/>
    <w:semiHidden/>
    <w:unhideWhenUsed/>
    <w:rsid w:val="00B63FC6"/>
    <w:rPr>
      <w:color w:val="605E5C"/>
      <w:shd w:val="clear" w:color="auto" w:fill="E1DFDD"/>
    </w:rPr>
  </w:style>
  <w:style w:type="character" w:customStyle="1" w:styleId="Mencinsinresolver2">
    <w:name w:val="Mención sin resolver2"/>
    <w:basedOn w:val="Fuentedeprrafopredeter"/>
    <w:uiPriority w:val="99"/>
    <w:semiHidden/>
    <w:unhideWhenUsed/>
    <w:rsid w:val="00AC79ED"/>
    <w:rPr>
      <w:color w:val="605E5C"/>
      <w:shd w:val="clear" w:color="auto" w:fill="E1DFDD"/>
    </w:rPr>
  </w:style>
  <w:style w:type="paragraph" w:customStyle="1" w:styleId="Default">
    <w:name w:val="Default"/>
    <w:rsid w:val="00A27592"/>
    <w:pPr>
      <w:autoSpaceDE w:val="0"/>
      <w:autoSpaceDN w:val="0"/>
      <w:adjustRightInd w:val="0"/>
    </w:pPr>
    <w:rPr>
      <w:rFonts w:ascii="Arial" w:hAnsi="Arial" w:cs="Arial"/>
      <w:color w:val="000000"/>
    </w:rPr>
  </w:style>
  <w:style w:type="character" w:customStyle="1" w:styleId="normaltextrun">
    <w:name w:val="normaltextrun"/>
    <w:basedOn w:val="Fuentedeprrafopredeter"/>
    <w:rsid w:val="002F3C2D"/>
  </w:style>
  <w:style w:type="paragraph" w:styleId="Sinespaciado">
    <w:name w:val="No Spacing"/>
    <w:aliases w:val="Francesa,INAI"/>
    <w:link w:val="SinespaciadoCar"/>
    <w:uiPriority w:val="1"/>
    <w:qFormat/>
    <w:rsid w:val="00F01E4E"/>
    <w:rPr>
      <w:lang w:val="es-ES" w:eastAsia="es-ES"/>
    </w:rPr>
  </w:style>
  <w:style w:type="character" w:customStyle="1" w:styleId="SinespaciadoCar">
    <w:name w:val="Sin espaciado Car"/>
    <w:aliases w:val="Francesa Car,INAI Car"/>
    <w:link w:val="Sinespaciado"/>
    <w:uiPriority w:val="1"/>
    <w:locked/>
    <w:rsid w:val="00F01E4E"/>
    <w:rPr>
      <w:rFonts w:ascii="Times New Roman" w:eastAsia="Times New Roman" w:hAnsi="Times New Roman" w:cs="Times New Roman"/>
      <w:sz w:val="24"/>
      <w:szCs w:val="24"/>
      <w:lang w:val="es-ES" w:eastAsia="es-ES"/>
    </w:rPr>
  </w:style>
  <w:style w:type="table" w:customStyle="1" w:styleId="9">
    <w:name w:val="9"/>
    <w:basedOn w:val="TableNormal20"/>
    <w:tblPr>
      <w:tblStyleRowBandSize w:val="1"/>
      <w:tblStyleColBandSize w:val="1"/>
      <w:tblCellMar>
        <w:left w:w="108" w:type="dxa"/>
        <w:right w:w="108" w:type="dxa"/>
      </w:tblCellMar>
    </w:tblPr>
  </w:style>
  <w:style w:type="table" w:customStyle="1" w:styleId="8">
    <w:name w:val="8"/>
    <w:basedOn w:val="TableNormal20"/>
    <w:tblPr>
      <w:tblStyleRowBandSize w:val="1"/>
      <w:tblStyleColBandSize w:val="1"/>
      <w:tblCellMar>
        <w:top w:w="15" w:type="dxa"/>
        <w:left w:w="115" w:type="dxa"/>
        <w:bottom w:w="15" w:type="dxa"/>
        <w:right w:w="115" w:type="dxa"/>
      </w:tblCellMar>
    </w:tblPr>
  </w:style>
  <w:style w:type="table" w:customStyle="1" w:styleId="7">
    <w:name w:val="7"/>
    <w:basedOn w:val="TableNormal20"/>
    <w:tblPr>
      <w:tblStyleRowBandSize w:val="1"/>
      <w:tblStyleColBandSize w:val="1"/>
      <w:tblCellMar>
        <w:top w:w="15" w:type="dxa"/>
        <w:left w:w="115" w:type="dxa"/>
        <w:bottom w:w="15" w:type="dxa"/>
        <w:right w:w="115" w:type="dxa"/>
      </w:tblCellMar>
    </w:tblPr>
  </w:style>
  <w:style w:type="character" w:customStyle="1" w:styleId="Mencinsinresolver3">
    <w:name w:val="Mención sin resolver3"/>
    <w:basedOn w:val="Fuentedeprrafopredeter"/>
    <w:uiPriority w:val="99"/>
    <w:semiHidden/>
    <w:unhideWhenUsed/>
    <w:rsid w:val="00B91EC4"/>
    <w:rPr>
      <w:color w:val="605E5C"/>
      <w:shd w:val="clear" w:color="auto" w:fill="E1DFDD"/>
    </w:rPr>
  </w:style>
  <w:style w:type="character" w:styleId="Refdecomentario">
    <w:name w:val="annotation reference"/>
    <w:basedOn w:val="Fuentedeprrafopredeter"/>
    <w:uiPriority w:val="99"/>
    <w:semiHidden/>
    <w:unhideWhenUsed/>
    <w:rsid w:val="007266CA"/>
    <w:rPr>
      <w:sz w:val="16"/>
      <w:szCs w:val="16"/>
    </w:rPr>
  </w:style>
  <w:style w:type="paragraph" w:styleId="Textocomentario">
    <w:name w:val="annotation text"/>
    <w:basedOn w:val="Normal"/>
    <w:link w:val="TextocomentarioCar"/>
    <w:uiPriority w:val="99"/>
    <w:semiHidden/>
    <w:unhideWhenUsed/>
    <w:rsid w:val="007266CA"/>
    <w:rPr>
      <w:sz w:val="20"/>
      <w:szCs w:val="20"/>
    </w:rPr>
  </w:style>
  <w:style w:type="character" w:customStyle="1" w:styleId="TextocomentarioCar">
    <w:name w:val="Texto comentario Car"/>
    <w:basedOn w:val="Fuentedeprrafopredeter"/>
    <w:link w:val="Textocomentario"/>
    <w:uiPriority w:val="99"/>
    <w:semiHidden/>
    <w:rsid w:val="007266CA"/>
    <w:rPr>
      <w:rFonts w:eastAsia="Times New Roman" w:cs="Times New Roman"/>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7266CA"/>
    <w:rPr>
      <w:b/>
      <w:bCs/>
    </w:rPr>
  </w:style>
  <w:style w:type="character" w:customStyle="1" w:styleId="AsuntodelcomentarioCar">
    <w:name w:val="Asunto del comentario Car"/>
    <w:basedOn w:val="TextocomentarioCar"/>
    <w:link w:val="Asuntodelcomentario"/>
    <w:uiPriority w:val="99"/>
    <w:semiHidden/>
    <w:rsid w:val="007266CA"/>
    <w:rPr>
      <w:rFonts w:eastAsia="Times New Roman" w:cs="Times New Roman"/>
      <w:b/>
      <w:bCs/>
      <w:sz w:val="20"/>
      <w:szCs w:val="20"/>
      <w:lang w:eastAsia="en-US"/>
    </w:rPr>
  </w:style>
  <w:style w:type="character" w:styleId="Textodelmarcadordeposicin">
    <w:name w:val="Placeholder Text"/>
    <w:basedOn w:val="Fuentedeprrafopredeter"/>
    <w:uiPriority w:val="99"/>
    <w:semiHidden/>
    <w:rsid w:val="007266CA"/>
    <w:rPr>
      <w:color w:val="808080"/>
    </w:rPr>
  </w:style>
  <w:style w:type="character" w:styleId="Hipervnculovisitado">
    <w:name w:val="FollowedHyperlink"/>
    <w:basedOn w:val="Fuentedeprrafopredeter"/>
    <w:uiPriority w:val="99"/>
    <w:semiHidden/>
    <w:unhideWhenUsed/>
    <w:rsid w:val="00FC1F2B"/>
    <w:rPr>
      <w:color w:val="954F72" w:themeColor="followed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FC1F2B"/>
    <w:rPr>
      <w:rFonts w:asciiTheme="minorHAnsi" w:eastAsiaTheme="minorHAnsi" w:hAnsiTheme="minorHAnsi" w:cstheme="minorBidi"/>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FC1F2B"/>
    <w:rPr>
      <w:rFonts w:asciiTheme="minorHAnsi" w:eastAsiaTheme="minorHAnsi" w:hAnsiTheme="minorHAnsi" w:cstheme="minorBidi"/>
      <w:sz w:val="20"/>
      <w:szCs w:val="20"/>
      <w:lang w:eastAsia="en-U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FC1F2B"/>
    <w:rPr>
      <w:vertAlign w:val="superscript"/>
    </w:rPr>
  </w:style>
  <w:style w:type="character" w:customStyle="1" w:styleId="PuestoCar">
    <w:name w:val="Puesto Car"/>
    <w:aliases w:val="Cita textual Car"/>
    <w:basedOn w:val="Fuentedeprrafopredeter"/>
    <w:uiPriority w:val="10"/>
    <w:rsid w:val="00EC101D"/>
    <w:rPr>
      <w:rFonts w:eastAsia="Times New Roman" w:cs="Times New Roman"/>
      <w:b/>
      <w:sz w:val="72"/>
      <w:szCs w:val="72"/>
      <w:lang w:eastAsia="en-US"/>
    </w:rPr>
  </w:style>
  <w:style w:type="table" w:customStyle="1" w:styleId="Tablanormal11">
    <w:name w:val="Tabla normal 11"/>
    <w:basedOn w:val="Tablanormal"/>
    <w:uiPriority w:val="41"/>
    <w:rsid w:val="009A0A8D"/>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a">
    <w:basedOn w:val="TableNormal4"/>
    <w:tblPr>
      <w:tblStyleRowBandSize w:val="1"/>
      <w:tblStyleColBandSize w:val="1"/>
      <w:tblCellMar>
        <w:left w:w="115" w:type="dxa"/>
        <w:right w:w="115" w:type="dxa"/>
      </w:tblCellMar>
    </w:tblPr>
  </w:style>
  <w:style w:type="table" w:customStyle="1" w:styleId="a0">
    <w:basedOn w:val="TableNormal4"/>
    <w:tblPr>
      <w:tblStyleRowBandSize w:val="1"/>
      <w:tblStyleColBandSize w:val="1"/>
      <w:tblCellMar>
        <w:left w:w="115" w:type="dxa"/>
        <w:right w:w="115" w:type="dxa"/>
      </w:tblCellMar>
    </w:tblPr>
  </w:style>
  <w:style w:type="table" w:customStyle="1" w:styleId="a1">
    <w:basedOn w:val="TableNormal4"/>
    <w:tblPr>
      <w:tblStyleRowBandSize w:val="1"/>
      <w:tblStyleColBandSize w:val="1"/>
      <w:tblCellMar>
        <w:left w:w="115" w:type="dxa"/>
        <w:right w:w="115" w:type="dxa"/>
      </w:tblCellMar>
    </w:tblPr>
  </w:style>
  <w:style w:type="table" w:customStyle="1" w:styleId="a2">
    <w:basedOn w:val="TableNormal4"/>
    <w:tblPr>
      <w:tblStyleRowBandSize w:val="1"/>
      <w:tblStyleColBandSize w:val="1"/>
      <w:tblCellMar>
        <w:left w:w="115" w:type="dxa"/>
        <w:right w:w="115" w:type="dxa"/>
      </w:tblCellMar>
    </w:tblPr>
  </w:style>
  <w:style w:type="table" w:customStyle="1" w:styleId="a3">
    <w:basedOn w:val="TableNormal4"/>
    <w:tblPr>
      <w:tblStyleRowBandSize w:val="1"/>
      <w:tblStyleColBandSize w:val="1"/>
      <w:tblCellMar>
        <w:top w:w="15" w:type="dxa"/>
        <w:left w:w="115" w:type="dxa"/>
        <w:bottom w:w="15" w:type="dxa"/>
        <w:right w:w="115" w:type="dxa"/>
      </w:tblCellMar>
    </w:tblPr>
  </w:style>
  <w:style w:type="table" w:customStyle="1" w:styleId="a4">
    <w:basedOn w:val="TableNormal4"/>
    <w:tblPr>
      <w:tblStyleRowBandSize w:val="1"/>
      <w:tblStyleColBandSize w:val="1"/>
      <w:tblCellMar>
        <w:top w:w="15" w:type="dxa"/>
        <w:left w:w="115" w:type="dxa"/>
        <w:bottom w:w="15" w:type="dxa"/>
        <w:right w:w="115" w:type="dxa"/>
      </w:tblCellMar>
    </w:tblPr>
  </w:style>
  <w:style w:type="table" w:customStyle="1" w:styleId="a5">
    <w:basedOn w:val="TableNormal3"/>
    <w:tblPr>
      <w:tblStyleRowBandSize w:val="1"/>
      <w:tblStyleColBandSize w:val="1"/>
      <w:tblCellMar>
        <w:left w:w="115" w:type="dxa"/>
        <w:right w:w="115" w:type="dxa"/>
      </w:tblCellMar>
    </w:tblPr>
  </w:style>
  <w:style w:type="table" w:customStyle="1" w:styleId="a6">
    <w:basedOn w:val="TableNormal3"/>
    <w:tblPr>
      <w:tblStyleRowBandSize w:val="1"/>
      <w:tblStyleColBandSize w:val="1"/>
      <w:tblCellMar>
        <w:left w:w="115" w:type="dxa"/>
        <w:right w:w="115" w:type="dxa"/>
      </w:tblCellMar>
    </w:tblPr>
  </w:style>
  <w:style w:type="table" w:customStyle="1" w:styleId="a7">
    <w:basedOn w:val="TableNormal3"/>
    <w:tblPr>
      <w:tblStyleRowBandSize w:val="1"/>
      <w:tblStyleColBandSize w:val="1"/>
      <w:tblCellMar>
        <w:left w:w="115" w:type="dxa"/>
        <w:right w:w="115" w:type="dxa"/>
      </w:tblCellMar>
    </w:tblPr>
  </w:style>
  <w:style w:type="table" w:customStyle="1" w:styleId="a8">
    <w:basedOn w:val="TableNormal3"/>
    <w:tblPr>
      <w:tblStyleRowBandSize w:val="1"/>
      <w:tblStyleColBandSize w:val="1"/>
      <w:tblCellMar>
        <w:left w:w="115" w:type="dxa"/>
        <w:right w:w="115" w:type="dxa"/>
      </w:tblCellMar>
    </w:tblPr>
  </w:style>
  <w:style w:type="table" w:customStyle="1" w:styleId="a9">
    <w:basedOn w:val="TableNormal3"/>
    <w:tblPr>
      <w:tblStyleRowBandSize w:val="1"/>
      <w:tblStyleColBandSize w:val="1"/>
      <w:tblCellMar>
        <w:top w:w="15" w:type="dxa"/>
        <w:left w:w="115" w:type="dxa"/>
        <w:bottom w:w="15" w:type="dxa"/>
        <w:right w:w="115" w:type="dxa"/>
      </w:tblCellMar>
    </w:tblPr>
  </w:style>
  <w:style w:type="table" w:customStyle="1" w:styleId="aa">
    <w:basedOn w:val="TableNormal3"/>
    <w:tblPr>
      <w:tblStyleRowBandSize w:val="1"/>
      <w:tblStyleColBandSize w:val="1"/>
      <w:tblCellMar>
        <w:top w:w="15" w:type="dxa"/>
        <w:left w:w="115" w:type="dxa"/>
        <w:bottom w:w="15" w:type="dxa"/>
        <w:right w:w="115" w:type="dxa"/>
      </w:tblCellMar>
    </w:tblPr>
  </w:style>
  <w:style w:type="table" w:customStyle="1" w:styleId="ab">
    <w:basedOn w:val="TableNormal2"/>
    <w:tblPr>
      <w:tblStyleRowBandSize w:val="1"/>
      <w:tblStyleColBandSize w:val="1"/>
      <w:tblCellMar>
        <w:left w:w="115" w:type="dxa"/>
        <w:right w:w="115" w:type="dxa"/>
      </w:tblCellMar>
    </w:tblPr>
  </w:style>
  <w:style w:type="table" w:customStyle="1" w:styleId="ac">
    <w:basedOn w:val="TableNormal2"/>
    <w:tblPr>
      <w:tblStyleRowBandSize w:val="1"/>
      <w:tblStyleColBandSize w:val="1"/>
      <w:tblCellMar>
        <w:left w:w="115" w:type="dxa"/>
        <w:right w:w="115" w:type="dxa"/>
      </w:tblCellMar>
    </w:tblPr>
  </w:style>
  <w:style w:type="table" w:customStyle="1" w:styleId="ad">
    <w:basedOn w:val="TableNormal2"/>
    <w:tblPr>
      <w:tblStyleRowBandSize w:val="1"/>
      <w:tblStyleColBandSize w:val="1"/>
      <w:tblCellMar>
        <w:left w:w="115" w:type="dxa"/>
        <w:right w:w="115" w:type="dxa"/>
      </w:tblCellMar>
    </w:tblPr>
  </w:style>
  <w:style w:type="table" w:customStyle="1" w:styleId="ae">
    <w:basedOn w:val="TableNormal2"/>
    <w:tblPr>
      <w:tblStyleRowBandSize w:val="1"/>
      <w:tblStyleColBandSize w:val="1"/>
      <w:tblCellMar>
        <w:left w:w="115" w:type="dxa"/>
        <w:right w:w="115" w:type="dxa"/>
      </w:tblCellMar>
    </w:tblPr>
  </w:style>
  <w:style w:type="table" w:customStyle="1" w:styleId="af">
    <w:basedOn w:val="TableNormal2"/>
    <w:tblPr>
      <w:tblStyleRowBandSize w:val="1"/>
      <w:tblStyleColBandSize w:val="1"/>
      <w:tblCellMar>
        <w:left w:w="108" w:type="dxa"/>
        <w:right w:w="108" w:type="dxa"/>
      </w:tblCellMar>
    </w:tblPr>
  </w:style>
  <w:style w:type="table" w:customStyle="1" w:styleId="af0">
    <w:basedOn w:val="TableNormal2"/>
    <w:tblPr>
      <w:tblStyleRowBandSize w:val="1"/>
      <w:tblStyleColBandSize w:val="1"/>
      <w:tblCellMar>
        <w:left w:w="108" w:type="dxa"/>
        <w:right w:w="108" w:type="dxa"/>
      </w:tblCellMar>
    </w:tblPr>
  </w:style>
  <w:style w:type="table" w:customStyle="1" w:styleId="af1">
    <w:basedOn w:val="TableNormal2"/>
    <w:tblPr>
      <w:tblStyleRowBandSize w:val="1"/>
      <w:tblStyleColBandSize w:val="1"/>
      <w:tblCellMar>
        <w:top w:w="15" w:type="dxa"/>
        <w:left w:w="115" w:type="dxa"/>
        <w:bottom w:w="15" w:type="dxa"/>
        <w:right w:w="115" w:type="dxa"/>
      </w:tblCellMar>
    </w:tblPr>
  </w:style>
  <w:style w:type="table" w:customStyle="1" w:styleId="af2">
    <w:basedOn w:val="TableNormal2"/>
    <w:tblPr>
      <w:tblStyleRowBandSize w:val="1"/>
      <w:tblStyleColBandSize w:val="1"/>
      <w:tblCellMar>
        <w:top w:w="15" w:type="dxa"/>
        <w:left w:w="115" w:type="dxa"/>
        <w:bottom w:w="15" w:type="dxa"/>
        <w:right w:w="115" w:type="dxa"/>
      </w:tblCellMar>
    </w:tblPr>
  </w:style>
  <w:style w:type="character" w:styleId="Textoennegrita">
    <w:name w:val="Strong"/>
    <w:basedOn w:val="Fuentedeprrafopredeter"/>
    <w:uiPriority w:val="22"/>
    <w:qFormat/>
    <w:rsid w:val="00AC6527"/>
    <w:rPr>
      <w:b/>
      <w:bCs/>
    </w:rPr>
  </w:style>
  <w:style w:type="character" w:customStyle="1" w:styleId="apple-tab-span">
    <w:name w:val="apple-tab-span"/>
    <w:basedOn w:val="Fuentedeprrafopredeter"/>
    <w:rsid w:val="00EB58F7"/>
  </w:style>
  <w:style w:type="paragraph" w:styleId="Listaconvietas3">
    <w:name w:val="List Bullet 3"/>
    <w:basedOn w:val="Normal"/>
    <w:uiPriority w:val="99"/>
    <w:unhideWhenUsed/>
    <w:rsid w:val="00AF720B"/>
    <w:pPr>
      <w:numPr>
        <w:numId w:val="1"/>
      </w:numPr>
      <w:contextualSpacing/>
    </w:pPr>
  </w:style>
  <w:style w:type="table" w:customStyle="1" w:styleId="af3">
    <w:basedOn w:val="TableNormal1"/>
    <w:tblPr>
      <w:tblStyleRowBandSize w:val="1"/>
      <w:tblStyleColBandSize w:val="1"/>
      <w:tblCellMar>
        <w:left w:w="115" w:type="dxa"/>
        <w:right w:w="115" w:type="dxa"/>
      </w:tblCellMar>
    </w:tblPr>
  </w:style>
  <w:style w:type="table" w:customStyle="1" w:styleId="af4">
    <w:basedOn w:val="TableNormal1"/>
    <w:tblPr>
      <w:tblStyleRowBandSize w:val="1"/>
      <w:tblStyleColBandSize w:val="1"/>
      <w:tblCellMar>
        <w:top w:w="15" w:type="dxa"/>
        <w:left w:w="115" w:type="dxa"/>
        <w:bottom w:w="15" w:type="dxa"/>
        <w:right w:w="115" w:type="dxa"/>
      </w:tblCellMar>
    </w:tblPr>
  </w:style>
  <w:style w:type="table" w:customStyle="1" w:styleId="af5">
    <w:basedOn w:val="TableNormal1"/>
    <w:tblPr>
      <w:tblStyleRowBandSize w:val="1"/>
      <w:tblStyleColBandSize w:val="1"/>
      <w:tblCellMar>
        <w:top w:w="15" w:type="dxa"/>
        <w:left w:w="115" w:type="dxa"/>
        <w:bottom w:w="15" w:type="dxa"/>
        <w:right w:w="115" w:type="dxa"/>
      </w:tblCellMar>
    </w:tblPr>
  </w:style>
  <w:style w:type="paragraph" w:styleId="Listaconvietas">
    <w:name w:val="List Bullet"/>
    <w:basedOn w:val="Normal"/>
    <w:uiPriority w:val="99"/>
    <w:unhideWhenUsed/>
    <w:rsid w:val="00E97D6F"/>
    <w:pPr>
      <w:numPr>
        <w:numId w:val="3"/>
      </w:numPr>
      <w:contextualSpacing/>
    </w:pPr>
    <w:rPr>
      <w:lang w:val="es-ES"/>
    </w:rPr>
  </w:style>
  <w:style w:type="character" w:customStyle="1" w:styleId="Mencinsinresolver4">
    <w:name w:val="Mención sin resolver4"/>
    <w:basedOn w:val="Fuentedeprrafopredeter"/>
    <w:uiPriority w:val="99"/>
    <w:semiHidden/>
    <w:unhideWhenUsed/>
    <w:rsid w:val="00E8288F"/>
    <w:rPr>
      <w:color w:val="605E5C"/>
      <w:shd w:val="clear" w:color="auto" w:fill="E1DFDD"/>
    </w:rPr>
  </w:style>
  <w:style w:type="paragraph" w:customStyle="1" w:styleId="xgmail-msonormal">
    <w:name w:val="x_gmail-msonormal"/>
    <w:basedOn w:val="Normal"/>
    <w:rsid w:val="009B2050"/>
    <w:pPr>
      <w:spacing w:before="100" w:beforeAutospacing="1" w:after="100" w:afterAutospacing="1"/>
    </w:pPr>
    <w:rPr>
      <w:lang w:val="en-US" w:eastAsia="en-US"/>
    </w:rPr>
  </w:style>
  <w:style w:type="table" w:customStyle="1" w:styleId="11">
    <w:name w:val="11"/>
    <w:basedOn w:val="Tablanormal"/>
    <w:rsid w:val="0087332C"/>
    <w:rPr>
      <w:lang w:val="es-ES"/>
    </w:rPr>
    <w:tblPr>
      <w:tblStyleRowBandSize w:val="1"/>
      <w:tblStyleColBandSize w:val="1"/>
      <w:tblInd w:w="0" w:type="nil"/>
      <w:tblCellMar>
        <w:left w:w="115" w:type="dxa"/>
        <w:right w:w="115" w:type="dxa"/>
      </w:tblCellMar>
    </w:tblPr>
  </w:style>
  <w:style w:type="table" w:customStyle="1" w:styleId="10">
    <w:name w:val="10"/>
    <w:basedOn w:val="Tablanormal"/>
    <w:rsid w:val="0087332C"/>
    <w:rPr>
      <w:lang w:val="es-ES"/>
    </w:rPr>
    <w:tblPr>
      <w:tblStyleRowBandSize w:val="1"/>
      <w:tblStyleColBandSize w:val="1"/>
      <w:tblInd w:w="0" w:type="nil"/>
      <w:tblCellMar>
        <w:left w:w="115" w:type="dxa"/>
        <w:right w:w="115"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f6">
    <w:basedOn w:val="TableNormal0"/>
    <w:tblPr>
      <w:tblStyleRowBandSize w:val="1"/>
      <w:tblStyleColBandSize w:val="1"/>
      <w:tblCellMar>
        <w:top w:w="15" w:type="dxa"/>
        <w:left w:w="115" w:type="dxa"/>
        <w:bottom w:w="15" w:type="dxa"/>
        <w:right w:w="115" w:type="dxa"/>
      </w:tblCellMar>
    </w:tblPr>
  </w:style>
  <w:style w:type="table" w:customStyle="1" w:styleId="af7">
    <w:basedOn w:val="TableNormal0"/>
    <w:tblPr>
      <w:tblStyleRowBandSize w:val="1"/>
      <w:tblStyleColBandSize w:val="1"/>
      <w:tblCellMar>
        <w:top w:w="15" w:type="dxa"/>
        <w:left w:w="115" w:type="dxa"/>
        <w:bottom w:w="15" w:type="dxa"/>
        <w:right w:w="115" w:type="dxa"/>
      </w:tblCellMar>
    </w:tblPr>
  </w:style>
  <w:style w:type="paragraph" w:styleId="Textoindependiente">
    <w:name w:val="Body Text"/>
    <w:basedOn w:val="Normal"/>
    <w:link w:val="TextoindependienteCar"/>
    <w:uiPriority w:val="99"/>
    <w:unhideWhenUsed/>
    <w:rsid w:val="00FB389B"/>
    <w:pPr>
      <w:spacing w:after="120"/>
    </w:pPr>
    <w:rPr>
      <w:lang w:val="es-ES" w:eastAsia="es-ES"/>
    </w:rPr>
  </w:style>
  <w:style w:type="character" w:customStyle="1" w:styleId="TextoindependienteCar">
    <w:name w:val="Texto independiente Car"/>
    <w:basedOn w:val="Fuentedeprrafopredeter"/>
    <w:link w:val="Textoindependiente"/>
    <w:uiPriority w:val="99"/>
    <w:rsid w:val="00FB389B"/>
    <w:rPr>
      <w:lang w:val="es-ES" w:eastAsia="es-ES"/>
    </w:rPr>
  </w:style>
  <w:style w:type="paragraph" w:customStyle="1" w:styleId="INFOEM">
    <w:name w:val="INFOEM"/>
    <w:basedOn w:val="Normal"/>
    <w:qFormat/>
    <w:rsid w:val="00D5108C"/>
    <w:pPr>
      <w:spacing w:before="240" w:after="160" w:line="360" w:lineRule="auto"/>
      <w:ind w:left="851" w:right="851"/>
      <w:jc w:val="both"/>
    </w:pPr>
    <w:rPr>
      <w:rFonts w:ascii="Palatino Linotype" w:eastAsiaTheme="minorHAnsi" w:hAnsi="Palatino Linotype" w:cstheme="minorBidi"/>
      <w:i/>
      <w:sz w:val="22"/>
      <w:szCs w:val="14"/>
      <w:lang w:eastAsia="en-US"/>
    </w:rPr>
  </w:style>
  <w:style w:type="character" w:customStyle="1" w:styleId="Mencinsinresolver5">
    <w:name w:val="Mención sin resolver5"/>
    <w:basedOn w:val="Fuentedeprrafopredeter"/>
    <w:uiPriority w:val="99"/>
    <w:semiHidden/>
    <w:unhideWhenUsed/>
    <w:rsid w:val="00B41F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09859">
      <w:bodyDiv w:val="1"/>
      <w:marLeft w:val="0"/>
      <w:marRight w:val="0"/>
      <w:marTop w:val="0"/>
      <w:marBottom w:val="0"/>
      <w:divBdr>
        <w:top w:val="none" w:sz="0" w:space="0" w:color="auto"/>
        <w:left w:val="none" w:sz="0" w:space="0" w:color="auto"/>
        <w:bottom w:val="none" w:sz="0" w:space="0" w:color="auto"/>
        <w:right w:val="none" w:sz="0" w:space="0" w:color="auto"/>
      </w:divBdr>
    </w:div>
    <w:div w:id="65151976">
      <w:bodyDiv w:val="1"/>
      <w:marLeft w:val="0"/>
      <w:marRight w:val="0"/>
      <w:marTop w:val="0"/>
      <w:marBottom w:val="0"/>
      <w:divBdr>
        <w:top w:val="none" w:sz="0" w:space="0" w:color="auto"/>
        <w:left w:val="none" w:sz="0" w:space="0" w:color="auto"/>
        <w:bottom w:val="none" w:sz="0" w:space="0" w:color="auto"/>
        <w:right w:val="none" w:sz="0" w:space="0" w:color="auto"/>
      </w:divBdr>
    </w:div>
    <w:div w:id="85078891">
      <w:bodyDiv w:val="1"/>
      <w:marLeft w:val="0"/>
      <w:marRight w:val="0"/>
      <w:marTop w:val="0"/>
      <w:marBottom w:val="0"/>
      <w:divBdr>
        <w:top w:val="none" w:sz="0" w:space="0" w:color="auto"/>
        <w:left w:val="none" w:sz="0" w:space="0" w:color="auto"/>
        <w:bottom w:val="none" w:sz="0" w:space="0" w:color="auto"/>
        <w:right w:val="none" w:sz="0" w:space="0" w:color="auto"/>
      </w:divBdr>
    </w:div>
    <w:div w:id="120880118">
      <w:bodyDiv w:val="1"/>
      <w:marLeft w:val="0"/>
      <w:marRight w:val="0"/>
      <w:marTop w:val="0"/>
      <w:marBottom w:val="0"/>
      <w:divBdr>
        <w:top w:val="none" w:sz="0" w:space="0" w:color="auto"/>
        <w:left w:val="none" w:sz="0" w:space="0" w:color="auto"/>
        <w:bottom w:val="none" w:sz="0" w:space="0" w:color="auto"/>
        <w:right w:val="none" w:sz="0" w:space="0" w:color="auto"/>
      </w:divBdr>
    </w:div>
    <w:div w:id="155191324">
      <w:bodyDiv w:val="1"/>
      <w:marLeft w:val="0"/>
      <w:marRight w:val="0"/>
      <w:marTop w:val="0"/>
      <w:marBottom w:val="0"/>
      <w:divBdr>
        <w:top w:val="none" w:sz="0" w:space="0" w:color="auto"/>
        <w:left w:val="none" w:sz="0" w:space="0" w:color="auto"/>
        <w:bottom w:val="none" w:sz="0" w:space="0" w:color="auto"/>
        <w:right w:val="none" w:sz="0" w:space="0" w:color="auto"/>
      </w:divBdr>
    </w:div>
    <w:div w:id="177890315">
      <w:bodyDiv w:val="1"/>
      <w:marLeft w:val="0"/>
      <w:marRight w:val="0"/>
      <w:marTop w:val="0"/>
      <w:marBottom w:val="0"/>
      <w:divBdr>
        <w:top w:val="none" w:sz="0" w:space="0" w:color="auto"/>
        <w:left w:val="none" w:sz="0" w:space="0" w:color="auto"/>
        <w:bottom w:val="none" w:sz="0" w:space="0" w:color="auto"/>
        <w:right w:val="none" w:sz="0" w:space="0" w:color="auto"/>
      </w:divBdr>
    </w:div>
    <w:div w:id="202131205">
      <w:bodyDiv w:val="1"/>
      <w:marLeft w:val="0"/>
      <w:marRight w:val="0"/>
      <w:marTop w:val="0"/>
      <w:marBottom w:val="0"/>
      <w:divBdr>
        <w:top w:val="none" w:sz="0" w:space="0" w:color="auto"/>
        <w:left w:val="none" w:sz="0" w:space="0" w:color="auto"/>
        <w:bottom w:val="none" w:sz="0" w:space="0" w:color="auto"/>
        <w:right w:val="none" w:sz="0" w:space="0" w:color="auto"/>
      </w:divBdr>
    </w:div>
    <w:div w:id="306394412">
      <w:bodyDiv w:val="1"/>
      <w:marLeft w:val="0"/>
      <w:marRight w:val="0"/>
      <w:marTop w:val="0"/>
      <w:marBottom w:val="0"/>
      <w:divBdr>
        <w:top w:val="none" w:sz="0" w:space="0" w:color="auto"/>
        <w:left w:val="none" w:sz="0" w:space="0" w:color="auto"/>
        <w:bottom w:val="none" w:sz="0" w:space="0" w:color="auto"/>
        <w:right w:val="none" w:sz="0" w:space="0" w:color="auto"/>
      </w:divBdr>
    </w:div>
    <w:div w:id="312178507">
      <w:bodyDiv w:val="1"/>
      <w:marLeft w:val="0"/>
      <w:marRight w:val="0"/>
      <w:marTop w:val="0"/>
      <w:marBottom w:val="0"/>
      <w:divBdr>
        <w:top w:val="none" w:sz="0" w:space="0" w:color="auto"/>
        <w:left w:val="none" w:sz="0" w:space="0" w:color="auto"/>
        <w:bottom w:val="none" w:sz="0" w:space="0" w:color="auto"/>
        <w:right w:val="none" w:sz="0" w:space="0" w:color="auto"/>
      </w:divBdr>
    </w:div>
    <w:div w:id="325672825">
      <w:bodyDiv w:val="1"/>
      <w:marLeft w:val="0"/>
      <w:marRight w:val="0"/>
      <w:marTop w:val="0"/>
      <w:marBottom w:val="0"/>
      <w:divBdr>
        <w:top w:val="none" w:sz="0" w:space="0" w:color="auto"/>
        <w:left w:val="none" w:sz="0" w:space="0" w:color="auto"/>
        <w:bottom w:val="none" w:sz="0" w:space="0" w:color="auto"/>
        <w:right w:val="none" w:sz="0" w:space="0" w:color="auto"/>
      </w:divBdr>
    </w:div>
    <w:div w:id="352848492">
      <w:bodyDiv w:val="1"/>
      <w:marLeft w:val="0"/>
      <w:marRight w:val="0"/>
      <w:marTop w:val="0"/>
      <w:marBottom w:val="0"/>
      <w:divBdr>
        <w:top w:val="none" w:sz="0" w:space="0" w:color="auto"/>
        <w:left w:val="none" w:sz="0" w:space="0" w:color="auto"/>
        <w:bottom w:val="none" w:sz="0" w:space="0" w:color="auto"/>
        <w:right w:val="none" w:sz="0" w:space="0" w:color="auto"/>
      </w:divBdr>
    </w:div>
    <w:div w:id="372192082">
      <w:bodyDiv w:val="1"/>
      <w:marLeft w:val="0"/>
      <w:marRight w:val="0"/>
      <w:marTop w:val="0"/>
      <w:marBottom w:val="0"/>
      <w:divBdr>
        <w:top w:val="none" w:sz="0" w:space="0" w:color="auto"/>
        <w:left w:val="none" w:sz="0" w:space="0" w:color="auto"/>
        <w:bottom w:val="none" w:sz="0" w:space="0" w:color="auto"/>
        <w:right w:val="none" w:sz="0" w:space="0" w:color="auto"/>
      </w:divBdr>
    </w:div>
    <w:div w:id="387192999">
      <w:bodyDiv w:val="1"/>
      <w:marLeft w:val="0"/>
      <w:marRight w:val="0"/>
      <w:marTop w:val="0"/>
      <w:marBottom w:val="0"/>
      <w:divBdr>
        <w:top w:val="none" w:sz="0" w:space="0" w:color="auto"/>
        <w:left w:val="none" w:sz="0" w:space="0" w:color="auto"/>
        <w:bottom w:val="none" w:sz="0" w:space="0" w:color="auto"/>
        <w:right w:val="none" w:sz="0" w:space="0" w:color="auto"/>
      </w:divBdr>
    </w:div>
    <w:div w:id="423452016">
      <w:bodyDiv w:val="1"/>
      <w:marLeft w:val="0"/>
      <w:marRight w:val="0"/>
      <w:marTop w:val="0"/>
      <w:marBottom w:val="0"/>
      <w:divBdr>
        <w:top w:val="none" w:sz="0" w:space="0" w:color="auto"/>
        <w:left w:val="none" w:sz="0" w:space="0" w:color="auto"/>
        <w:bottom w:val="none" w:sz="0" w:space="0" w:color="auto"/>
        <w:right w:val="none" w:sz="0" w:space="0" w:color="auto"/>
      </w:divBdr>
    </w:div>
    <w:div w:id="424571006">
      <w:bodyDiv w:val="1"/>
      <w:marLeft w:val="0"/>
      <w:marRight w:val="0"/>
      <w:marTop w:val="0"/>
      <w:marBottom w:val="0"/>
      <w:divBdr>
        <w:top w:val="none" w:sz="0" w:space="0" w:color="auto"/>
        <w:left w:val="none" w:sz="0" w:space="0" w:color="auto"/>
        <w:bottom w:val="none" w:sz="0" w:space="0" w:color="auto"/>
        <w:right w:val="none" w:sz="0" w:space="0" w:color="auto"/>
      </w:divBdr>
    </w:div>
    <w:div w:id="435564847">
      <w:bodyDiv w:val="1"/>
      <w:marLeft w:val="0"/>
      <w:marRight w:val="0"/>
      <w:marTop w:val="0"/>
      <w:marBottom w:val="0"/>
      <w:divBdr>
        <w:top w:val="none" w:sz="0" w:space="0" w:color="auto"/>
        <w:left w:val="none" w:sz="0" w:space="0" w:color="auto"/>
        <w:bottom w:val="none" w:sz="0" w:space="0" w:color="auto"/>
        <w:right w:val="none" w:sz="0" w:space="0" w:color="auto"/>
      </w:divBdr>
    </w:div>
    <w:div w:id="453137758">
      <w:bodyDiv w:val="1"/>
      <w:marLeft w:val="0"/>
      <w:marRight w:val="0"/>
      <w:marTop w:val="0"/>
      <w:marBottom w:val="0"/>
      <w:divBdr>
        <w:top w:val="none" w:sz="0" w:space="0" w:color="auto"/>
        <w:left w:val="none" w:sz="0" w:space="0" w:color="auto"/>
        <w:bottom w:val="none" w:sz="0" w:space="0" w:color="auto"/>
        <w:right w:val="none" w:sz="0" w:space="0" w:color="auto"/>
      </w:divBdr>
    </w:div>
    <w:div w:id="475949336">
      <w:bodyDiv w:val="1"/>
      <w:marLeft w:val="0"/>
      <w:marRight w:val="0"/>
      <w:marTop w:val="0"/>
      <w:marBottom w:val="0"/>
      <w:divBdr>
        <w:top w:val="none" w:sz="0" w:space="0" w:color="auto"/>
        <w:left w:val="none" w:sz="0" w:space="0" w:color="auto"/>
        <w:bottom w:val="none" w:sz="0" w:space="0" w:color="auto"/>
        <w:right w:val="none" w:sz="0" w:space="0" w:color="auto"/>
      </w:divBdr>
    </w:div>
    <w:div w:id="493766585">
      <w:bodyDiv w:val="1"/>
      <w:marLeft w:val="0"/>
      <w:marRight w:val="0"/>
      <w:marTop w:val="0"/>
      <w:marBottom w:val="0"/>
      <w:divBdr>
        <w:top w:val="none" w:sz="0" w:space="0" w:color="auto"/>
        <w:left w:val="none" w:sz="0" w:space="0" w:color="auto"/>
        <w:bottom w:val="none" w:sz="0" w:space="0" w:color="auto"/>
        <w:right w:val="none" w:sz="0" w:space="0" w:color="auto"/>
      </w:divBdr>
    </w:div>
    <w:div w:id="518275595">
      <w:bodyDiv w:val="1"/>
      <w:marLeft w:val="0"/>
      <w:marRight w:val="0"/>
      <w:marTop w:val="0"/>
      <w:marBottom w:val="0"/>
      <w:divBdr>
        <w:top w:val="none" w:sz="0" w:space="0" w:color="auto"/>
        <w:left w:val="none" w:sz="0" w:space="0" w:color="auto"/>
        <w:bottom w:val="none" w:sz="0" w:space="0" w:color="auto"/>
        <w:right w:val="none" w:sz="0" w:space="0" w:color="auto"/>
      </w:divBdr>
    </w:div>
    <w:div w:id="544413487">
      <w:bodyDiv w:val="1"/>
      <w:marLeft w:val="0"/>
      <w:marRight w:val="0"/>
      <w:marTop w:val="0"/>
      <w:marBottom w:val="0"/>
      <w:divBdr>
        <w:top w:val="none" w:sz="0" w:space="0" w:color="auto"/>
        <w:left w:val="none" w:sz="0" w:space="0" w:color="auto"/>
        <w:bottom w:val="none" w:sz="0" w:space="0" w:color="auto"/>
        <w:right w:val="none" w:sz="0" w:space="0" w:color="auto"/>
      </w:divBdr>
    </w:div>
    <w:div w:id="598409626">
      <w:bodyDiv w:val="1"/>
      <w:marLeft w:val="0"/>
      <w:marRight w:val="0"/>
      <w:marTop w:val="0"/>
      <w:marBottom w:val="0"/>
      <w:divBdr>
        <w:top w:val="none" w:sz="0" w:space="0" w:color="auto"/>
        <w:left w:val="none" w:sz="0" w:space="0" w:color="auto"/>
        <w:bottom w:val="none" w:sz="0" w:space="0" w:color="auto"/>
        <w:right w:val="none" w:sz="0" w:space="0" w:color="auto"/>
      </w:divBdr>
    </w:div>
    <w:div w:id="603733679">
      <w:bodyDiv w:val="1"/>
      <w:marLeft w:val="0"/>
      <w:marRight w:val="0"/>
      <w:marTop w:val="0"/>
      <w:marBottom w:val="0"/>
      <w:divBdr>
        <w:top w:val="none" w:sz="0" w:space="0" w:color="auto"/>
        <w:left w:val="none" w:sz="0" w:space="0" w:color="auto"/>
        <w:bottom w:val="none" w:sz="0" w:space="0" w:color="auto"/>
        <w:right w:val="none" w:sz="0" w:space="0" w:color="auto"/>
      </w:divBdr>
    </w:div>
    <w:div w:id="604456619">
      <w:bodyDiv w:val="1"/>
      <w:marLeft w:val="0"/>
      <w:marRight w:val="0"/>
      <w:marTop w:val="0"/>
      <w:marBottom w:val="0"/>
      <w:divBdr>
        <w:top w:val="none" w:sz="0" w:space="0" w:color="auto"/>
        <w:left w:val="none" w:sz="0" w:space="0" w:color="auto"/>
        <w:bottom w:val="none" w:sz="0" w:space="0" w:color="auto"/>
        <w:right w:val="none" w:sz="0" w:space="0" w:color="auto"/>
      </w:divBdr>
    </w:div>
    <w:div w:id="607197001">
      <w:bodyDiv w:val="1"/>
      <w:marLeft w:val="0"/>
      <w:marRight w:val="0"/>
      <w:marTop w:val="0"/>
      <w:marBottom w:val="0"/>
      <w:divBdr>
        <w:top w:val="none" w:sz="0" w:space="0" w:color="auto"/>
        <w:left w:val="none" w:sz="0" w:space="0" w:color="auto"/>
        <w:bottom w:val="none" w:sz="0" w:space="0" w:color="auto"/>
        <w:right w:val="none" w:sz="0" w:space="0" w:color="auto"/>
      </w:divBdr>
    </w:div>
    <w:div w:id="652173721">
      <w:bodyDiv w:val="1"/>
      <w:marLeft w:val="0"/>
      <w:marRight w:val="0"/>
      <w:marTop w:val="0"/>
      <w:marBottom w:val="0"/>
      <w:divBdr>
        <w:top w:val="none" w:sz="0" w:space="0" w:color="auto"/>
        <w:left w:val="none" w:sz="0" w:space="0" w:color="auto"/>
        <w:bottom w:val="none" w:sz="0" w:space="0" w:color="auto"/>
        <w:right w:val="none" w:sz="0" w:space="0" w:color="auto"/>
      </w:divBdr>
    </w:div>
    <w:div w:id="673535569">
      <w:bodyDiv w:val="1"/>
      <w:marLeft w:val="0"/>
      <w:marRight w:val="0"/>
      <w:marTop w:val="0"/>
      <w:marBottom w:val="0"/>
      <w:divBdr>
        <w:top w:val="none" w:sz="0" w:space="0" w:color="auto"/>
        <w:left w:val="none" w:sz="0" w:space="0" w:color="auto"/>
        <w:bottom w:val="none" w:sz="0" w:space="0" w:color="auto"/>
        <w:right w:val="none" w:sz="0" w:space="0" w:color="auto"/>
      </w:divBdr>
    </w:div>
    <w:div w:id="688719378">
      <w:bodyDiv w:val="1"/>
      <w:marLeft w:val="0"/>
      <w:marRight w:val="0"/>
      <w:marTop w:val="0"/>
      <w:marBottom w:val="0"/>
      <w:divBdr>
        <w:top w:val="none" w:sz="0" w:space="0" w:color="auto"/>
        <w:left w:val="none" w:sz="0" w:space="0" w:color="auto"/>
        <w:bottom w:val="none" w:sz="0" w:space="0" w:color="auto"/>
        <w:right w:val="none" w:sz="0" w:space="0" w:color="auto"/>
      </w:divBdr>
    </w:div>
    <w:div w:id="690185658">
      <w:bodyDiv w:val="1"/>
      <w:marLeft w:val="0"/>
      <w:marRight w:val="0"/>
      <w:marTop w:val="0"/>
      <w:marBottom w:val="0"/>
      <w:divBdr>
        <w:top w:val="none" w:sz="0" w:space="0" w:color="auto"/>
        <w:left w:val="none" w:sz="0" w:space="0" w:color="auto"/>
        <w:bottom w:val="none" w:sz="0" w:space="0" w:color="auto"/>
        <w:right w:val="none" w:sz="0" w:space="0" w:color="auto"/>
      </w:divBdr>
    </w:div>
    <w:div w:id="718289741">
      <w:bodyDiv w:val="1"/>
      <w:marLeft w:val="0"/>
      <w:marRight w:val="0"/>
      <w:marTop w:val="0"/>
      <w:marBottom w:val="0"/>
      <w:divBdr>
        <w:top w:val="none" w:sz="0" w:space="0" w:color="auto"/>
        <w:left w:val="none" w:sz="0" w:space="0" w:color="auto"/>
        <w:bottom w:val="none" w:sz="0" w:space="0" w:color="auto"/>
        <w:right w:val="none" w:sz="0" w:space="0" w:color="auto"/>
      </w:divBdr>
    </w:div>
    <w:div w:id="787360933">
      <w:bodyDiv w:val="1"/>
      <w:marLeft w:val="0"/>
      <w:marRight w:val="0"/>
      <w:marTop w:val="0"/>
      <w:marBottom w:val="0"/>
      <w:divBdr>
        <w:top w:val="none" w:sz="0" w:space="0" w:color="auto"/>
        <w:left w:val="none" w:sz="0" w:space="0" w:color="auto"/>
        <w:bottom w:val="none" w:sz="0" w:space="0" w:color="auto"/>
        <w:right w:val="none" w:sz="0" w:space="0" w:color="auto"/>
      </w:divBdr>
    </w:div>
    <w:div w:id="789513238">
      <w:bodyDiv w:val="1"/>
      <w:marLeft w:val="0"/>
      <w:marRight w:val="0"/>
      <w:marTop w:val="0"/>
      <w:marBottom w:val="0"/>
      <w:divBdr>
        <w:top w:val="none" w:sz="0" w:space="0" w:color="auto"/>
        <w:left w:val="none" w:sz="0" w:space="0" w:color="auto"/>
        <w:bottom w:val="none" w:sz="0" w:space="0" w:color="auto"/>
        <w:right w:val="none" w:sz="0" w:space="0" w:color="auto"/>
      </w:divBdr>
    </w:div>
    <w:div w:id="873923322">
      <w:bodyDiv w:val="1"/>
      <w:marLeft w:val="0"/>
      <w:marRight w:val="0"/>
      <w:marTop w:val="0"/>
      <w:marBottom w:val="0"/>
      <w:divBdr>
        <w:top w:val="none" w:sz="0" w:space="0" w:color="auto"/>
        <w:left w:val="none" w:sz="0" w:space="0" w:color="auto"/>
        <w:bottom w:val="none" w:sz="0" w:space="0" w:color="auto"/>
        <w:right w:val="none" w:sz="0" w:space="0" w:color="auto"/>
      </w:divBdr>
    </w:div>
    <w:div w:id="920993389">
      <w:bodyDiv w:val="1"/>
      <w:marLeft w:val="0"/>
      <w:marRight w:val="0"/>
      <w:marTop w:val="0"/>
      <w:marBottom w:val="0"/>
      <w:divBdr>
        <w:top w:val="none" w:sz="0" w:space="0" w:color="auto"/>
        <w:left w:val="none" w:sz="0" w:space="0" w:color="auto"/>
        <w:bottom w:val="none" w:sz="0" w:space="0" w:color="auto"/>
        <w:right w:val="none" w:sz="0" w:space="0" w:color="auto"/>
      </w:divBdr>
    </w:div>
    <w:div w:id="942223247">
      <w:bodyDiv w:val="1"/>
      <w:marLeft w:val="0"/>
      <w:marRight w:val="0"/>
      <w:marTop w:val="0"/>
      <w:marBottom w:val="0"/>
      <w:divBdr>
        <w:top w:val="none" w:sz="0" w:space="0" w:color="auto"/>
        <w:left w:val="none" w:sz="0" w:space="0" w:color="auto"/>
        <w:bottom w:val="none" w:sz="0" w:space="0" w:color="auto"/>
        <w:right w:val="none" w:sz="0" w:space="0" w:color="auto"/>
      </w:divBdr>
    </w:div>
    <w:div w:id="967009993">
      <w:bodyDiv w:val="1"/>
      <w:marLeft w:val="0"/>
      <w:marRight w:val="0"/>
      <w:marTop w:val="0"/>
      <w:marBottom w:val="0"/>
      <w:divBdr>
        <w:top w:val="none" w:sz="0" w:space="0" w:color="auto"/>
        <w:left w:val="none" w:sz="0" w:space="0" w:color="auto"/>
        <w:bottom w:val="none" w:sz="0" w:space="0" w:color="auto"/>
        <w:right w:val="none" w:sz="0" w:space="0" w:color="auto"/>
      </w:divBdr>
    </w:div>
    <w:div w:id="1034767035">
      <w:bodyDiv w:val="1"/>
      <w:marLeft w:val="0"/>
      <w:marRight w:val="0"/>
      <w:marTop w:val="0"/>
      <w:marBottom w:val="0"/>
      <w:divBdr>
        <w:top w:val="none" w:sz="0" w:space="0" w:color="auto"/>
        <w:left w:val="none" w:sz="0" w:space="0" w:color="auto"/>
        <w:bottom w:val="none" w:sz="0" w:space="0" w:color="auto"/>
        <w:right w:val="none" w:sz="0" w:space="0" w:color="auto"/>
      </w:divBdr>
    </w:div>
    <w:div w:id="1051925407">
      <w:bodyDiv w:val="1"/>
      <w:marLeft w:val="0"/>
      <w:marRight w:val="0"/>
      <w:marTop w:val="0"/>
      <w:marBottom w:val="0"/>
      <w:divBdr>
        <w:top w:val="none" w:sz="0" w:space="0" w:color="auto"/>
        <w:left w:val="none" w:sz="0" w:space="0" w:color="auto"/>
        <w:bottom w:val="none" w:sz="0" w:space="0" w:color="auto"/>
        <w:right w:val="none" w:sz="0" w:space="0" w:color="auto"/>
      </w:divBdr>
    </w:div>
    <w:div w:id="1055548714">
      <w:bodyDiv w:val="1"/>
      <w:marLeft w:val="0"/>
      <w:marRight w:val="0"/>
      <w:marTop w:val="0"/>
      <w:marBottom w:val="0"/>
      <w:divBdr>
        <w:top w:val="none" w:sz="0" w:space="0" w:color="auto"/>
        <w:left w:val="none" w:sz="0" w:space="0" w:color="auto"/>
        <w:bottom w:val="none" w:sz="0" w:space="0" w:color="auto"/>
        <w:right w:val="none" w:sz="0" w:space="0" w:color="auto"/>
      </w:divBdr>
    </w:div>
    <w:div w:id="1073239938">
      <w:bodyDiv w:val="1"/>
      <w:marLeft w:val="0"/>
      <w:marRight w:val="0"/>
      <w:marTop w:val="0"/>
      <w:marBottom w:val="0"/>
      <w:divBdr>
        <w:top w:val="none" w:sz="0" w:space="0" w:color="auto"/>
        <w:left w:val="none" w:sz="0" w:space="0" w:color="auto"/>
        <w:bottom w:val="none" w:sz="0" w:space="0" w:color="auto"/>
        <w:right w:val="none" w:sz="0" w:space="0" w:color="auto"/>
      </w:divBdr>
    </w:div>
    <w:div w:id="1119957017">
      <w:bodyDiv w:val="1"/>
      <w:marLeft w:val="0"/>
      <w:marRight w:val="0"/>
      <w:marTop w:val="0"/>
      <w:marBottom w:val="0"/>
      <w:divBdr>
        <w:top w:val="none" w:sz="0" w:space="0" w:color="auto"/>
        <w:left w:val="none" w:sz="0" w:space="0" w:color="auto"/>
        <w:bottom w:val="none" w:sz="0" w:space="0" w:color="auto"/>
        <w:right w:val="none" w:sz="0" w:space="0" w:color="auto"/>
      </w:divBdr>
    </w:div>
    <w:div w:id="1137449518">
      <w:bodyDiv w:val="1"/>
      <w:marLeft w:val="0"/>
      <w:marRight w:val="0"/>
      <w:marTop w:val="0"/>
      <w:marBottom w:val="0"/>
      <w:divBdr>
        <w:top w:val="none" w:sz="0" w:space="0" w:color="auto"/>
        <w:left w:val="none" w:sz="0" w:space="0" w:color="auto"/>
        <w:bottom w:val="none" w:sz="0" w:space="0" w:color="auto"/>
        <w:right w:val="none" w:sz="0" w:space="0" w:color="auto"/>
      </w:divBdr>
    </w:div>
    <w:div w:id="1159809554">
      <w:bodyDiv w:val="1"/>
      <w:marLeft w:val="0"/>
      <w:marRight w:val="0"/>
      <w:marTop w:val="0"/>
      <w:marBottom w:val="0"/>
      <w:divBdr>
        <w:top w:val="none" w:sz="0" w:space="0" w:color="auto"/>
        <w:left w:val="none" w:sz="0" w:space="0" w:color="auto"/>
        <w:bottom w:val="none" w:sz="0" w:space="0" w:color="auto"/>
        <w:right w:val="none" w:sz="0" w:space="0" w:color="auto"/>
      </w:divBdr>
    </w:div>
    <w:div w:id="1235623770">
      <w:bodyDiv w:val="1"/>
      <w:marLeft w:val="0"/>
      <w:marRight w:val="0"/>
      <w:marTop w:val="0"/>
      <w:marBottom w:val="0"/>
      <w:divBdr>
        <w:top w:val="none" w:sz="0" w:space="0" w:color="auto"/>
        <w:left w:val="none" w:sz="0" w:space="0" w:color="auto"/>
        <w:bottom w:val="none" w:sz="0" w:space="0" w:color="auto"/>
        <w:right w:val="none" w:sz="0" w:space="0" w:color="auto"/>
      </w:divBdr>
    </w:div>
    <w:div w:id="1268462703">
      <w:bodyDiv w:val="1"/>
      <w:marLeft w:val="0"/>
      <w:marRight w:val="0"/>
      <w:marTop w:val="0"/>
      <w:marBottom w:val="0"/>
      <w:divBdr>
        <w:top w:val="none" w:sz="0" w:space="0" w:color="auto"/>
        <w:left w:val="none" w:sz="0" w:space="0" w:color="auto"/>
        <w:bottom w:val="none" w:sz="0" w:space="0" w:color="auto"/>
        <w:right w:val="none" w:sz="0" w:space="0" w:color="auto"/>
      </w:divBdr>
    </w:div>
    <w:div w:id="1271425973">
      <w:bodyDiv w:val="1"/>
      <w:marLeft w:val="0"/>
      <w:marRight w:val="0"/>
      <w:marTop w:val="0"/>
      <w:marBottom w:val="0"/>
      <w:divBdr>
        <w:top w:val="none" w:sz="0" w:space="0" w:color="auto"/>
        <w:left w:val="none" w:sz="0" w:space="0" w:color="auto"/>
        <w:bottom w:val="none" w:sz="0" w:space="0" w:color="auto"/>
        <w:right w:val="none" w:sz="0" w:space="0" w:color="auto"/>
      </w:divBdr>
    </w:div>
    <w:div w:id="1338843004">
      <w:bodyDiv w:val="1"/>
      <w:marLeft w:val="0"/>
      <w:marRight w:val="0"/>
      <w:marTop w:val="0"/>
      <w:marBottom w:val="0"/>
      <w:divBdr>
        <w:top w:val="none" w:sz="0" w:space="0" w:color="auto"/>
        <w:left w:val="none" w:sz="0" w:space="0" w:color="auto"/>
        <w:bottom w:val="none" w:sz="0" w:space="0" w:color="auto"/>
        <w:right w:val="none" w:sz="0" w:space="0" w:color="auto"/>
      </w:divBdr>
    </w:div>
    <w:div w:id="1416324621">
      <w:bodyDiv w:val="1"/>
      <w:marLeft w:val="0"/>
      <w:marRight w:val="0"/>
      <w:marTop w:val="0"/>
      <w:marBottom w:val="0"/>
      <w:divBdr>
        <w:top w:val="none" w:sz="0" w:space="0" w:color="auto"/>
        <w:left w:val="none" w:sz="0" w:space="0" w:color="auto"/>
        <w:bottom w:val="none" w:sz="0" w:space="0" w:color="auto"/>
        <w:right w:val="none" w:sz="0" w:space="0" w:color="auto"/>
      </w:divBdr>
    </w:div>
    <w:div w:id="1461847975">
      <w:bodyDiv w:val="1"/>
      <w:marLeft w:val="0"/>
      <w:marRight w:val="0"/>
      <w:marTop w:val="0"/>
      <w:marBottom w:val="0"/>
      <w:divBdr>
        <w:top w:val="none" w:sz="0" w:space="0" w:color="auto"/>
        <w:left w:val="none" w:sz="0" w:space="0" w:color="auto"/>
        <w:bottom w:val="none" w:sz="0" w:space="0" w:color="auto"/>
        <w:right w:val="none" w:sz="0" w:space="0" w:color="auto"/>
      </w:divBdr>
    </w:div>
    <w:div w:id="1473593885">
      <w:bodyDiv w:val="1"/>
      <w:marLeft w:val="0"/>
      <w:marRight w:val="0"/>
      <w:marTop w:val="0"/>
      <w:marBottom w:val="0"/>
      <w:divBdr>
        <w:top w:val="none" w:sz="0" w:space="0" w:color="auto"/>
        <w:left w:val="none" w:sz="0" w:space="0" w:color="auto"/>
        <w:bottom w:val="none" w:sz="0" w:space="0" w:color="auto"/>
        <w:right w:val="none" w:sz="0" w:space="0" w:color="auto"/>
      </w:divBdr>
    </w:div>
    <w:div w:id="1513911030">
      <w:bodyDiv w:val="1"/>
      <w:marLeft w:val="0"/>
      <w:marRight w:val="0"/>
      <w:marTop w:val="0"/>
      <w:marBottom w:val="0"/>
      <w:divBdr>
        <w:top w:val="none" w:sz="0" w:space="0" w:color="auto"/>
        <w:left w:val="none" w:sz="0" w:space="0" w:color="auto"/>
        <w:bottom w:val="none" w:sz="0" w:space="0" w:color="auto"/>
        <w:right w:val="none" w:sz="0" w:space="0" w:color="auto"/>
      </w:divBdr>
    </w:div>
    <w:div w:id="1527255343">
      <w:bodyDiv w:val="1"/>
      <w:marLeft w:val="0"/>
      <w:marRight w:val="0"/>
      <w:marTop w:val="0"/>
      <w:marBottom w:val="0"/>
      <w:divBdr>
        <w:top w:val="none" w:sz="0" w:space="0" w:color="auto"/>
        <w:left w:val="none" w:sz="0" w:space="0" w:color="auto"/>
        <w:bottom w:val="none" w:sz="0" w:space="0" w:color="auto"/>
        <w:right w:val="none" w:sz="0" w:space="0" w:color="auto"/>
      </w:divBdr>
    </w:div>
    <w:div w:id="1537740239">
      <w:bodyDiv w:val="1"/>
      <w:marLeft w:val="0"/>
      <w:marRight w:val="0"/>
      <w:marTop w:val="0"/>
      <w:marBottom w:val="0"/>
      <w:divBdr>
        <w:top w:val="none" w:sz="0" w:space="0" w:color="auto"/>
        <w:left w:val="none" w:sz="0" w:space="0" w:color="auto"/>
        <w:bottom w:val="none" w:sz="0" w:space="0" w:color="auto"/>
        <w:right w:val="none" w:sz="0" w:space="0" w:color="auto"/>
      </w:divBdr>
    </w:div>
    <w:div w:id="1541892588">
      <w:bodyDiv w:val="1"/>
      <w:marLeft w:val="0"/>
      <w:marRight w:val="0"/>
      <w:marTop w:val="0"/>
      <w:marBottom w:val="0"/>
      <w:divBdr>
        <w:top w:val="none" w:sz="0" w:space="0" w:color="auto"/>
        <w:left w:val="none" w:sz="0" w:space="0" w:color="auto"/>
        <w:bottom w:val="none" w:sz="0" w:space="0" w:color="auto"/>
        <w:right w:val="none" w:sz="0" w:space="0" w:color="auto"/>
      </w:divBdr>
    </w:div>
    <w:div w:id="1571765742">
      <w:bodyDiv w:val="1"/>
      <w:marLeft w:val="0"/>
      <w:marRight w:val="0"/>
      <w:marTop w:val="0"/>
      <w:marBottom w:val="0"/>
      <w:divBdr>
        <w:top w:val="none" w:sz="0" w:space="0" w:color="auto"/>
        <w:left w:val="none" w:sz="0" w:space="0" w:color="auto"/>
        <w:bottom w:val="none" w:sz="0" w:space="0" w:color="auto"/>
        <w:right w:val="none" w:sz="0" w:space="0" w:color="auto"/>
      </w:divBdr>
    </w:div>
    <w:div w:id="1597059607">
      <w:bodyDiv w:val="1"/>
      <w:marLeft w:val="0"/>
      <w:marRight w:val="0"/>
      <w:marTop w:val="0"/>
      <w:marBottom w:val="0"/>
      <w:divBdr>
        <w:top w:val="none" w:sz="0" w:space="0" w:color="auto"/>
        <w:left w:val="none" w:sz="0" w:space="0" w:color="auto"/>
        <w:bottom w:val="none" w:sz="0" w:space="0" w:color="auto"/>
        <w:right w:val="none" w:sz="0" w:space="0" w:color="auto"/>
      </w:divBdr>
    </w:div>
    <w:div w:id="1600870388">
      <w:bodyDiv w:val="1"/>
      <w:marLeft w:val="0"/>
      <w:marRight w:val="0"/>
      <w:marTop w:val="0"/>
      <w:marBottom w:val="0"/>
      <w:divBdr>
        <w:top w:val="none" w:sz="0" w:space="0" w:color="auto"/>
        <w:left w:val="none" w:sz="0" w:space="0" w:color="auto"/>
        <w:bottom w:val="none" w:sz="0" w:space="0" w:color="auto"/>
        <w:right w:val="none" w:sz="0" w:space="0" w:color="auto"/>
      </w:divBdr>
    </w:div>
    <w:div w:id="1609971652">
      <w:bodyDiv w:val="1"/>
      <w:marLeft w:val="0"/>
      <w:marRight w:val="0"/>
      <w:marTop w:val="0"/>
      <w:marBottom w:val="0"/>
      <w:divBdr>
        <w:top w:val="none" w:sz="0" w:space="0" w:color="auto"/>
        <w:left w:val="none" w:sz="0" w:space="0" w:color="auto"/>
        <w:bottom w:val="none" w:sz="0" w:space="0" w:color="auto"/>
        <w:right w:val="none" w:sz="0" w:space="0" w:color="auto"/>
      </w:divBdr>
    </w:div>
    <w:div w:id="1695762542">
      <w:bodyDiv w:val="1"/>
      <w:marLeft w:val="0"/>
      <w:marRight w:val="0"/>
      <w:marTop w:val="0"/>
      <w:marBottom w:val="0"/>
      <w:divBdr>
        <w:top w:val="none" w:sz="0" w:space="0" w:color="auto"/>
        <w:left w:val="none" w:sz="0" w:space="0" w:color="auto"/>
        <w:bottom w:val="none" w:sz="0" w:space="0" w:color="auto"/>
        <w:right w:val="none" w:sz="0" w:space="0" w:color="auto"/>
      </w:divBdr>
    </w:div>
    <w:div w:id="1832330758">
      <w:bodyDiv w:val="1"/>
      <w:marLeft w:val="0"/>
      <w:marRight w:val="0"/>
      <w:marTop w:val="0"/>
      <w:marBottom w:val="0"/>
      <w:divBdr>
        <w:top w:val="none" w:sz="0" w:space="0" w:color="auto"/>
        <w:left w:val="none" w:sz="0" w:space="0" w:color="auto"/>
        <w:bottom w:val="none" w:sz="0" w:space="0" w:color="auto"/>
        <w:right w:val="none" w:sz="0" w:space="0" w:color="auto"/>
      </w:divBdr>
    </w:div>
    <w:div w:id="1925145090">
      <w:bodyDiv w:val="1"/>
      <w:marLeft w:val="0"/>
      <w:marRight w:val="0"/>
      <w:marTop w:val="0"/>
      <w:marBottom w:val="0"/>
      <w:divBdr>
        <w:top w:val="none" w:sz="0" w:space="0" w:color="auto"/>
        <w:left w:val="none" w:sz="0" w:space="0" w:color="auto"/>
        <w:bottom w:val="none" w:sz="0" w:space="0" w:color="auto"/>
        <w:right w:val="none" w:sz="0" w:space="0" w:color="auto"/>
      </w:divBdr>
    </w:div>
    <w:div w:id="1965841684">
      <w:bodyDiv w:val="1"/>
      <w:marLeft w:val="0"/>
      <w:marRight w:val="0"/>
      <w:marTop w:val="0"/>
      <w:marBottom w:val="0"/>
      <w:divBdr>
        <w:top w:val="none" w:sz="0" w:space="0" w:color="auto"/>
        <w:left w:val="none" w:sz="0" w:space="0" w:color="auto"/>
        <w:bottom w:val="none" w:sz="0" w:space="0" w:color="auto"/>
        <w:right w:val="none" w:sz="0" w:space="0" w:color="auto"/>
      </w:divBdr>
    </w:div>
    <w:div w:id="1983775842">
      <w:bodyDiv w:val="1"/>
      <w:marLeft w:val="0"/>
      <w:marRight w:val="0"/>
      <w:marTop w:val="0"/>
      <w:marBottom w:val="0"/>
      <w:divBdr>
        <w:top w:val="none" w:sz="0" w:space="0" w:color="auto"/>
        <w:left w:val="none" w:sz="0" w:space="0" w:color="auto"/>
        <w:bottom w:val="none" w:sz="0" w:space="0" w:color="auto"/>
        <w:right w:val="none" w:sz="0" w:space="0" w:color="auto"/>
      </w:divBdr>
    </w:div>
    <w:div w:id="2013333216">
      <w:bodyDiv w:val="1"/>
      <w:marLeft w:val="0"/>
      <w:marRight w:val="0"/>
      <w:marTop w:val="0"/>
      <w:marBottom w:val="0"/>
      <w:divBdr>
        <w:top w:val="none" w:sz="0" w:space="0" w:color="auto"/>
        <w:left w:val="none" w:sz="0" w:space="0" w:color="auto"/>
        <w:bottom w:val="none" w:sz="0" w:space="0" w:color="auto"/>
        <w:right w:val="none" w:sz="0" w:space="0" w:color="auto"/>
      </w:divBdr>
    </w:div>
    <w:div w:id="2029284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about:blank" TargetMode="External"/><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about:blank" TargetMode="External"/><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8+HBLDjWTp6p2cViPwAICSzCfqg==">CgMxLjAyCWguM3pueXNoNzIOaC55aGJmdjc1Njc2bXQyDmguajNwcHl4d2xiMXMyMghoLnR5amN3dDINaC5qbDBkbGFzb3Q0ZjgAciExT2VTcXNycWJ5dV9lUFpCNllQZmpuS1pnTFpXX0ZnbnM=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26488</Words>
  <Characters>145687</Characters>
  <Application>Microsoft Office Word</Application>
  <DocSecurity>0</DocSecurity>
  <Lines>1214</Lines>
  <Paragraphs>343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Cuenta Microsoft</dc:creator>
  <cp:lastModifiedBy>Maricela Villagómez Martínez</cp:lastModifiedBy>
  <cp:revision>2</cp:revision>
  <cp:lastPrinted>2026-03-20T18:18:00Z</cp:lastPrinted>
  <dcterms:created xsi:type="dcterms:W3CDTF">2026-04-08T20:23:00Z</dcterms:created>
  <dcterms:modified xsi:type="dcterms:W3CDTF">2026-04-08T20:23:00Z</dcterms:modified>
</cp:coreProperties>
</file>