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84C" w:rsidRPr="00C944EB" w:rsidRDefault="007E65DA">
      <w:pPr>
        <w:tabs>
          <w:tab w:val="left" w:pos="0"/>
        </w:tabs>
        <w:spacing w:line="360" w:lineRule="auto"/>
        <w:jc w:val="both"/>
        <w:rPr>
          <w:rFonts w:ascii="Palatino Linotype" w:eastAsia="Palatino Linotype" w:hAnsi="Palatino Linotype" w:cs="Palatino Linotype"/>
          <w:b/>
        </w:rPr>
      </w:pPr>
      <w:bookmarkStart w:id="0" w:name="_heading=h.sre9h05q4v0b" w:colFirst="0" w:colLast="0"/>
      <w:bookmarkStart w:id="1" w:name="_GoBack"/>
      <w:bookmarkEnd w:id="0"/>
      <w:bookmarkEnd w:id="1"/>
      <w:r w:rsidRPr="00C944E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C944EB">
        <w:rPr>
          <w:rFonts w:ascii="Palatino Linotype" w:eastAsia="Palatino Linotype" w:hAnsi="Palatino Linotype" w:cs="Palatino Linotype"/>
          <w:b/>
        </w:rPr>
        <w:t>de fecha veintiuno (21) de enero de dos mil veintiséis.</w:t>
      </w:r>
    </w:p>
    <w:p w:rsidR="005F084C" w:rsidRPr="00C944EB" w:rsidRDefault="005F084C">
      <w:pPr>
        <w:tabs>
          <w:tab w:val="left" w:pos="567"/>
        </w:tabs>
        <w:spacing w:line="360" w:lineRule="auto"/>
        <w:jc w:val="both"/>
        <w:rPr>
          <w:rFonts w:ascii="Palatino Linotype" w:eastAsia="Palatino Linotype" w:hAnsi="Palatino Linotype" w:cs="Palatino Linotype"/>
        </w:rPr>
      </w:pPr>
    </w:p>
    <w:p w:rsidR="005F084C" w:rsidRPr="00C944EB" w:rsidRDefault="007E65DA">
      <w:pPr>
        <w:spacing w:line="360" w:lineRule="auto"/>
        <w:jc w:val="both"/>
        <w:rPr>
          <w:rFonts w:ascii="Palatino Linotype" w:eastAsia="Palatino Linotype" w:hAnsi="Palatino Linotype" w:cs="Palatino Linotype"/>
        </w:rPr>
      </w:pPr>
      <w:bookmarkStart w:id="2" w:name="_heading=h.gjdgxs" w:colFirst="0" w:colLast="0"/>
      <w:bookmarkEnd w:id="2"/>
      <w:r w:rsidRPr="00C944EB">
        <w:rPr>
          <w:rFonts w:ascii="Palatino Linotype" w:eastAsia="Palatino Linotype" w:hAnsi="Palatino Linotype" w:cs="Palatino Linotype"/>
          <w:b/>
          <w:bCs/>
        </w:rPr>
        <w:t>VISTO</w:t>
      </w:r>
      <w:r w:rsidRPr="00C944EB">
        <w:rPr>
          <w:rFonts w:ascii="Palatino Linotype" w:eastAsia="Palatino Linotype" w:hAnsi="Palatino Linotype" w:cs="Palatino Linotype"/>
        </w:rPr>
        <w:t xml:space="preserve"> el expediente electrónico formado con motivo del recurso de revisión </w:t>
      </w:r>
      <w:r w:rsidRPr="00C944EB">
        <w:rPr>
          <w:rFonts w:ascii="Palatino Linotype" w:eastAsia="Palatino Linotype" w:hAnsi="Palatino Linotype" w:cs="Palatino Linotype"/>
          <w:b/>
          <w:bCs/>
        </w:rPr>
        <w:t>13098/INFOEM/IP/RR/2025</w:t>
      </w:r>
      <w:r w:rsidRPr="00C944EB">
        <w:rPr>
          <w:rFonts w:ascii="Palatino Linotype" w:eastAsia="Palatino Linotype" w:hAnsi="Palatino Linotype" w:cs="Palatino Linotype"/>
        </w:rPr>
        <w:t>,</w:t>
      </w:r>
      <w:r w:rsidRPr="00C944EB">
        <w:rPr>
          <w:rFonts w:ascii="Palatino Linotype" w:eastAsia="Palatino Linotype" w:hAnsi="Palatino Linotype" w:cs="Palatino Linotype"/>
          <w:b/>
          <w:bCs/>
        </w:rPr>
        <w:t xml:space="preserve"> </w:t>
      </w:r>
      <w:r w:rsidRPr="00C944EB">
        <w:rPr>
          <w:rFonts w:ascii="Palatino Linotype" w:eastAsia="Palatino Linotype" w:hAnsi="Palatino Linotype" w:cs="Palatino Linotype"/>
        </w:rPr>
        <w:t xml:space="preserve">promovido por </w:t>
      </w:r>
      <w:r w:rsidR="007B0B2F">
        <w:rPr>
          <w:rFonts w:ascii="Palatino Linotype" w:eastAsia="Palatino Linotype" w:hAnsi="Palatino Linotype" w:cs="Palatino Linotype"/>
          <w:b/>
          <w:bCs/>
        </w:rPr>
        <w:t>XXXX</w:t>
      </w:r>
      <w:r w:rsidRPr="00C944EB">
        <w:rPr>
          <w:rFonts w:ascii="Palatino Linotype" w:eastAsia="Palatino Linotype" w:hAnsi="Palatino Linotype" w:cs="Palatino Linotype"/>
          <w:b/>
          <w:bCs/>
        </w:rPr>
        <w:t>,</w:t>
      </w:r>
      <w:r w:rsidRPr="00C944EB">
        <w:rPr>
          <w:rFonts w:ascii="Palatino Linotype" w:eastAsia="Palatino Linotype" w:hAnsi="Palatino Linotype" w:cs="Palatino Linotype"/>
        </w:rPr>
        <w:t xml:space="preserve"> </w:t>
      </w:r>
      <w:r w:rsidR="00C944EB">
        <w:rPr>
          <w:rFonts w:ascii="Palatino Linotype" w:eastAsia="Palatino Linotype" w:hAnsi="Palatino Linotype" w:cs="Palatino Linotype"/>
        </w:rPr>
        <w:t xml:space="preserve">a quien denominaremos </w:t>
      </w:r>
      <w:r w:rsidR="00C944EB" w:rsidRPr="00C944EB">
        <w:rPr>
          <w:rFonts w:ascii="Palatino Linotype" w:eastAsia="Palatino Linotype" w:hAnsi="Palatino Linotype" w:cs="Palatino Linotype"/>
          <w:b/>
        </w:rPr>
        <w:t>RECURRENTE</w:t>
      </w:r>
      <w:r w:rsidR="00C944EB">
        <w:rPr>
          <w:rFonts w:ascii="Palatino Linotype" w:eastAsia="Palatino Linotype" w:hAnsi="Palatino Linotype" w:cs="Palatino Linotype"/>
        </w:rPr>
        <w:t xml:space="preserve">, </w:t>
      </w:r>
      <w:r w:rsidRPr="00C944EB">
        <w:rPr>
          <w:rFonts w:ascii="Palatino Linotype" w:eastAsia="Palatino Linotype" w:hAnsi="Palatino Linotype" w:cs="Palatino Linotype"/>
        </w:rPr>
        <w:t xml:space="preserve">en contra de la respuesta del </w:t>
      </w:r>
      <w:r w:rsidRPr="00C944EB">
        <w:rPr>
          <w:rFonts w:ascii="Palatino Linotype" w:eastAsia="Palatino Linotype" w:hAnsi="Palatino Linotype" w:cs="Palatino Linotype"/>
          <w:b/>
          <w:bCs/>
        </w:rPr>
        <w:t xml:space="preserve">Ayuntamiento de San Antonio la Isla, </w:t>
      </w:r>
      <w:r w:rsidRPr="00C944EB">
        <w:rPr>
          <w:rFonts w:ascii="Palatino Linotype" w:eastAsia="Palatino Linotype" w:hAnsi="Palatino Linotype" w:cs="Palatino Linotype"/>
        </w:rPr>
        <w:t>en adelante el</w:t>
      </w:r>
      <w:r w:rsidRPr="00C944EB">
        <w:rPr>
          <w:rFonts w:ascii="Palatino Linotype" w:eastAsia="Palatino Linotype" w:hAnsi="Palatino Linotype" w:cs="Palatino Linotype"/>
          <w:b/>
          <w:bCs/>
        </w:rPr>
        <w:t xml:space="preserve"> SUJETO OBLIGADO</w:t>
      </w:r>
      <w:r w:rsidRPr="00C944EB">
        <w:rPr>
          <w:rFonts w:ascii="Palatino Linotype" w:eastAsia="Palatino Linotype" w:hAnsi="Palatino Linotype" w:cs="Palatino Linotype"/>
        </w:rPr>
        <w:t>, se procede a dictar la presente resolución, con base en los siguientes:</w:t>
      </w:r>
    </w:p>
    <w:p w:rsidR="005F084C" w:rsidRPr="00C944EB" w:rsidRDefault="005F084C">
      <w:pPr>
        <w:spacing w:line="360" w:lineRule="auto"/>
        <w:jc w:val="both"/>
        <w:rPr>
          <w:rFonts w:ascii="Palatino Linotype" w:eastAsia="Palatino Linotype" w:hAnsi="Palatino Linotype" w:cs="Palatino Linotype"/>
        </w:rPr>
      </w:pPr>
    </w:p>
    <w:p w:rsidR="005F084C" w:rsidRPr="00C944EB" w:rsidRDefault="007E65DA">
      <w:pPr>
        <w:pStyle w:val="Ttulo1"/>
        <w:tabs>
          <w:tab w:val="left" w:pos="567"/>
        </w:tabs>
        <w:spacing w:before="0" w:line="360" w:lineRule="auto"/>
        <w:jc w:val="center"/>
        <w:rPr>
          <w:b w:val="0"/>
          <w:bCs w:val="0"/>
        </w:rPr>
      </w:pPr>
      <w:bookmarkStart w:id="3" w:name="_heading=h.30j0zll" w:colFirst="0" w:colLast="0"/>
      <w:bookmarkEnd w:id="3"/>
      <w:r w:rsidRPr="00C944EB">
        <w:t>A N T E C E D E N T E S</w:t>
      </w:r>
    </w:p>
    <w:p w:rsidR="005F084C" w:rsidRPr="00C944EB" w:rsidRDefault="005F084C">
      <w:pPr>
        <w:pStyle w:val="Ttulo1"/>
        <w:tabs>
          <w:tab w:val="left" w:pos="567"/>
        </w:tabs>
        <w:spacing w:before="0" w:line="360" w:lineRule="auto"/>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El </w:t>
      </w:r>
      <w:r w:rsidRPr="00C944EB">
        <w:rPr>
          <w:rFonts w:ascii="Palatino Linotype" w:eastAsia="Palatino Linotype" w:hAnsi="Palatino Linotype" w:cs="Palatino Linotype"/>
          <w:b/>
          <w:bCs/>
          <w:color w:val="000000"/>
        </w:rPr>
        <w:t xml:space="preserve">veintiuno de octubre de dos mil veinticinco, </w:t>
      </w:r>
      <w:r w:rsidRPr="00C944EB">
        <w:rPr>
          <w:rFonts w:ascii="Palatino Linotype" w:eastAsia="Palatino Linotype" w:hAnsi="Palatino Linotype" w:cs="Palatino Linotype"/>
          <w:color w:val="000000"/>
        </w:rPr>
        <w:t xml:space="preserve">se presentó ante el </w:t>
      </w:r>
      <w:r w:rsidRPr="00C944EB">
        <w:rPr>
          <w:rFonts w:ascii="Palatino Linotype" w:eastAsia="Palatino Linotype" w:hAnsi="Palatino Linotype" w:cs="Palatino Linotype"/>
          <w:b/>
          <w:bCs/>
          <w:color w:val="000000"/>
        </w:rPr>
        <w:t>SUJETO OBLIGADO</w:t>
      </w:r>
      <w:r w:rsidRPr="00C944EB">
        <w:rPr>
          <w:rFonts w:ascii="Palatino Linotype" w:eastAsia="Palatino Linotype" w:hAnsi="Palatino Linotype" w:cs="Palatino Linotype"/>
          <w:color w:val="000000"/>
        </w:rPr>
        <w:t xml:space="preserve"> vía SAIMEX, la solicitud de información pública registrada con el número</w:t>
      </w:r>
      <w:r w:rsidR="00DB124F" w:rsidRPr="00C944EB">
        <w:rPr>
          <w:rFonts w:ascii="Palatino Linotype" w:eastAsia="Palatino Linotype" w:hAnsi="Palatino Linotype" w:cs="Palatino Linotype"/>
          <w:b/>
          <w:bCs/>
          <w:color w:val="000000"/>
        </w:rPr>
        <w:t xml:space="preserve"> 00099/ANTOISLA</w:t>
      </w:r>
      <w:r w:rsidRPr="00C944EB">
        <w:rPr>
          <w:rFonts w:ascii="Palatino Linotype" w:eastAsia="Palatino Linotype" w:hAnsi="Palatino Linotype" w:cs="Palatino Linotype"/>
          <w:b/>
          <w:bCs/>
          <w:color w:val="000000"/>
        </w:rPr>
        <w:t xml:space="preserve">/IP/2025; </w:t>
      </w:r>
      <w:r w:rsidR="00C944EB">
        <w:rPr>
          <w:rFonts w:ascii="Palatino Linotype" w:eastAsia="Palatino Linotype" w:hAnsi="Palatino Linotype" w:cs="Palatino Linotype"/>
          <w:color w:val="000000"/>
        </w:rPr>
        <w:t>en la que</w:t>
      </w:r>
      <w:r w:rsidRPr="00C944EB">
        <w:rPr>
          <w:rFonts w:ascii="Palatino Linotype" w:eastAsia="Palatino Linotype" w:hAnsi="Palatino Linotype" w:cs="Palatino Linotype"/>
          <w:color w:val="000000"/>
        </w:rPr>
        <w:t xml:space="preserve"> se solicitó la siguiente información:</w:t>
      </w:r>
    </w:p>
    <w:p w:rsidR="005F084C" w:rsidRPr="00C944EB" w:rsidRDefault="005F084C">
      <w:pPr>
        <w:pBdr>
          <w:top w:val="nil"/>
          <w:left w:val="nil"/>
          <w:bottom w:val="nil"/>
          <w:right w:val="nil"/>
          <w:between w:val="nil"/>
        </w:pBdr>
        <w:tabs>
          <w:tab w:val="left" w:pos="2297"/>
        </w:tabs>
        <w:spacing w:line="360" w:lineRule="auto"/>
        <w:jc w:val="both"/>
        <w:rPr>
          <w:rFonts w:ascii="Palatino Linotype" w:eastAsia="Palatino Linotype" w:hAnsi="Palatino Linotype" w:cs="Palatino Linotype"/>
          <w:i/>
          <w:iCs/>
          <w:color w:val="000000"/>
        </w:rPr>
      </w:pPr>
    </w:p>
    <w:p w:rsidR="005F084C" w:rsidRPr="00C944EB" w:rsidRDefault="007E65DA">
      <w:pPr>
        <w:pBdr>
          <w:top w:val="nil"/>
          <w:left w:val="nil"/>
          <w:bottom w:val="nil"/>
          <w:right w:val="nil"/>
          <w:between w:val="nil"/>
        </w:pBdr>
        <w:ind w:left="567" w:right="476"/>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“2025, sueldo quincenal de la directora de cultura. número de servidores publicos adscritos al area de cultura, actividades realizadas durante el 2025 por el área de cultura..” (Sic)</w:t>
      </w:r>
    </w:p>
    <w:p w:rsidR="005F084C" w:rsidRDefault="005F084C">
      <w:pPr>
        <w:pBdr>
          <w:top w:val="nil"/>
          <w:left w:val="nil"/>
          <w:bottom w:val="nil"/>
          <w:right w:val="nil"/>
          <w:between w:val="nil"/>
        </w:pBdr>
        <w:ind w:right="476"/>
        <w:jc w:val="both"/>
        <w:rPr>
          <w:rFonts w:ascii="Palatino Linotype" w:eastAsia="Palatino Linotype" w:hAnsi="Palatino Linotype" w:cs="Palatino Linotype"/>
          <w:i/>
          <w:iCs/>
          <w:color w:val="000000"/>
        </w:rPr>
      </w:pPr>
    </w:p>
    <w:p w:rsidR="00C944EB" w:rsidRDefault="00C944EB">
      <w:pPr>
        <w:pBdr>
          <w:top w:val="nil"/>
          <w:left w:val="nil"/>
          <w:bottom w:val="nil"/>
          <w:right w:val="nil"/>
          <w:between w:val="nil"/>
        </w:pBdr>
        <w:ind w:right="476"/>
        <w:jc w:val="both"/>
        <w:rPr>
          <w:rFonts w:ascii="Palatino Linotype" w:eastAsia="Palatino Linotype" w:hAnsi="Palatino Linotype" w:cs="Palatino Linotype"/>
          <w:i/>
          <w:iCs/>
          <w:color w:val="000000"/>
        </w:rPr>
      </w:pPr>
    </w:p>
    <w:p w:rsidR="00C944EB" w:rsidRPr="00C944EB" w:rsidRDefault="00C944EB">
      <w:pPr>
        <w:pBdr>
          <w:top w:val="nil"/>
          <w:left w:val="nil"/>
          <w:bottom w:val="nil"/>
          <w:right w:val="nil"/>
          <w:between w:val="nil"/>
        </w:pBdr>
        <w:ind w:right="476"/>
        <w:jc w:val="both"/>
        <w:rPr>
          <w:rFonts w:ascii="Palatino Linotype" w:eastAsia="Palatino Linotype" w:hAnsi="Palatino Linotype" w:cs="Palatino Linotype"/>
          <w:i/>
          <w:iCs/>
          <w:color w:val="000000"/>
        </w:rPr>
      </w:pPr>
    </w:p>
    <w:p w:rsidR="005F084C" w:rsidRPr="00C944EB" w:rsidRDefault="007E65DA">
      <w:pPr>
        <w:numPr>
          <w:ilvl w:val="0"/>
          <w:numId w:val="1"/>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Se eligió como modalidad de entrega de la información: A través del </w:t>
      </w:r>
      <w:r w:rsidRPr="00C944EB">
        <w:rPr>
          <w:rFonts w:ascii="Palatino Linotype" w:eastAsia="Palatino Linotype" w:hAnsi="Palatino Linotype" w:cs="Palatino Linotype"/>
          <w:b/>
          <w:bCs/>
          <w:color w:val="000000"/>
        </w:rPr>
        <w:t>SAIMEX.</w:t>
      </w:r>
    </w:p>
    <w:p w:rsidR="005F084C" w:rsidRPr="00C944EB" w:rsidRDefault="005F084C">
      <w:pPr>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El </w:t>
      </w:r>
      <w:r w:rsidRPr="00C944EB">
        <w:rPr>
          <w:rFonts w:ascii="Palatino Linotype" w:eastAsia="Palatino Linotype" w:hAnsi="Palatino Linotype" w:cs="Palatino Linotype"/>
          <w:b/>
          <w:bCs/>
          <w:color w:val="000000"/>
        </w:rPr>
        <w:t>dieciocho de julio de dos mil veinticinco</w:t>
      </w:r>
      <w:r w:rsidRPr="00C944EB">
        <w:rPr>
          <w:rFonts w:ascii="Palatino Linotype" w:eastAsia="Palatino Linotype" w:hAnsi="Palatino Linotype" w:cs="Palatino Linotype"/>
          <w:color w:val="000000"/>
        </w:rPr>
        <w:t xml:space="preserve">, el </w:t>
      </w:r>
      <w:r w:rsidRPr="00C944EB">
        <w:rPr>
          <w:rFonts w:ascii="Palatino Linotype" w:eastAsia="Palatino Linotype" w:hAnsi="Palatino Linotype" w:cs="Palatino Linotype"/>
          <w:b/>
          <w:bCs/>
          <w:color w:val="000000"/>
        </w:rPr>
        <w:t>SUJETO OBLIGADO,</w:t>
      </w:r>
      <w:r w:rsidRPr="00C944EB">
        <w:rPr>
          <w:rFonts w:ascii="Palatino Linotype" w:eastAsia="Palatino Linotype" w:hAnsi="Palatino Linotype" w:cs="Palatino Linotype"/>
          <w:color w:val="000000"/>
        </w:rPr>
        <w:t xml:space="preserve"> </w:t>
      </w:r>
      <w:r w:rsidRPr="00C944EB">
        <w:rPr>
          <w:rFonts w:ascii="Palatino Linotype" w:eastAsia="Palatino Linotype" w:hAnsi="Palatino Linotype" w:cs="Palatino Linotype"/>
        </w:rPr>
        <w:t xml:space="preserve">dio respuesta a la solicitud de información </w:t>
      </w:r>
      <w:r w:rsidRPr="00C944EB">
        <w:rPr>
          <w:rFonts w:ascii="Palatino Linotype" w:eastAsia="Palatino Linotype" w:hAnsi="Palatino Linotype" w:cs="Palatino Linotype"/>
          <w:color w:val="000000"/>
        </w:rPr>
        <w:t>en el tenor siguiente:</w:t>
      </w:r>
    </w:p>
    <w:p w:rsidR="005F084C" w:rsidRPr="00C944EB" w:rsidRDefault="005F084C">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rsidR="005F084C" w:rsidRPr="00C944EB" w:rsidRDefault="007E65DA">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lastRenderedPageBreak/>
        <w:t xml:space="preserve">““Estimado solicitante, por este medio le envío la respuesta del Servidor Público Habilitado a su requerimiento de información. No omito mencionar, que en cumplimiento del artículo 177 de la Ley de Transparencia, Acceso a la Información Pública del Estado de México y Municipios, tiene el derecho de interponer recurso de revisión ante el Instituto de Transparencia y Acceso a la Información Pública del Estado de México y Municipios en un plazo de 15 días hábiles a partir de la presente notificación. Finalmente, se hace de su conocimiento que, en la página oficial del Ayuntamiento de San Antonio la Isla, https://sanantoniolaisla.gob.mx/encuesta-de-satisfaccion-usuaria-transparencia-y-acceso-a-la-informacion-publica/ encontrará un documento denominado “encuesta de satisfacción usuaria”, en relación con dicho formato solicitamos su valiosa colaboración para responder dicho instrumento de medición de opinión con la finalidad de retroalimentar nuestros procesos de atención ciudadana. Por lo que una vez que la encuesta sea contestada, agradeceremos la atención de enviarla al correo electrónico </w:t>
      </w:r>
      <w:hyperlink r:id="rId8">
        <w:r w:rsidRPr="00C944EB">
          <w:rPr>
            <w:rFonts w:ascii="Palatino Linotype" w:eastAsia="Palatino Linotype" w:hAnsi="Palatino Linotype" w:cs="Palatino Linotype"/>
            <w:i/>
            <w:iCs/>
            <w:color w:val="0000FF"/>
            <w:u w:val="single"/>
          </w:rPr>
          <w:t>sanantoniolaisla@itaipem.org.mx</w:t>
        </w:r>
      </w:hyperlink>
      <w:r w:rsidRPr="00C944EB">
        <w:rPr>
          <w:rFonts w:ascii="Palatino Linotype" w:eastAsia="Palatino Linotype" w:hAnsi="Palatino Linotype" w:cs="Palatino Linotype"/>
          <w:i/>
          <w:iCs/>
          <w:color w:val="000000"/>
        </w:rPr>
        <w:t>.” (Sic)</w:t>
      </w:r>
    </w:p>
    <w:p w:rsidR="005F084C" w:rsidRPr="00C944EB" w:rsidRDefault="005F084C">
      <w:pPr>
        <w:pBdr>
          <w:top w:val="nil"/>
          <w:left w:val="nil"/>
          <w:bottom w:val="nil"/>
          <w:right w:val="nil"/>
          <w:between w:val="nil"/>
        </w:pBdr>
        <w:tabs>
          <w:tab w:val="left" w:pos="0"/>
          <w:tab w:val="left" w:pos="8222"/>
        </w:tabs>
        <w:ind w:left="567" w:right="567"/>
        <w:jc w:val="both"/>
        <w:rPr>
          <w:rFonts w:ascii="Palatino Linotype" w:eastAsia="Palatino Linotype" w:hAnsi="Palatino Linotype" w:cs="Palatino Linotype"/>
          <w:i/>
          <w:iCs/>
        </w:rPr>
      </w:pPr>
    </w:p>
    <w:p w:rsidR="005F084C" w:rsidRPr="00C944EB" w:rsidRDefault="007E65DA">
      <w:pPr>
        <w:pBdr>
          <w:top w:val="nil"/>
          <w:left w:val="nil"/>
          <w:bottom w:val="nil"/>
          <w:right w:val="nil"/>
          <w:between w:val="nil"/>
        </w:pBdr>
        <w:tabs>
          <w:tab w:val="left" w:pos="0"/>
          <w:tab w:val="left" w:pos="8222"/>
        </w:tabs>
        <w:ind w:right="567"/>
        <w:jc w:val="both"/>
        <w:rPr>
          <w:rFonts w:ascii="Palatino Linotype" w:eastAsia="Palatino Linotype" w:hAnsi="Palatino Linotype" w:cs="Palatino Linotype"/>
          <w:b/>
          <w:bCs/>
        </w:rPr>
      </w:pPr>
      <w:r w:rsidRPr="00C944EB">
        <w:rPr>
          <w:rFonts w:ascii="Palatino Linotype" w:eastAsia="Palatino Linotype" w:hAnsi="Palatino Linotype" w:cs="Palatino Linotype"/>
          <w:b/>
          <w:bCs/>
        </w:rPr>
        <w:t>Archivos electrónicos adjuntos:</w:t>
      </w:r>
    </w:p>
    <w:p w:rsidR="005F084C" w:rsidRPr="00C944EB" w:rsidRDefault="005F084C">
      <w:pPr>
        <w:ind w:left="567"/>
        <w:rPr>
          <w:rFonts w:ascii="Palatino Linotype" w:eastAsia="Palatino Linotype" w:hAnsi="Palatino Linotype" w:cs="Palatino Linotype"/>
        </w:rPr>
      </w:pPr>
    </w:p>
    <w:p w:rsidR="005F084C" w:rsidRPr="00C944EB" w:rsidRDefault="009D2220">
      <w:pPr>
        <w:ind w:left="567" w:right="567"/>
        <w:rPr>
          <w:rFonts w:ascii="Palatino Linotype" w:eastAsia="Palatino Linotype" w:hAnsi="Palatino Linotype" w:cs="Palatino Linotype"/>
        </w:rPr>
      </w:pPr>
      <w:hyperlink r:id="rId9">
        <w:r w:rsidR="007E65DA" w:rsidRPr="00C944EB">
          <w:rPr>
            <w:rFonts w:ascii="Palatino Linotype" w:eastAsia="Palatino Linotype" w:hAnsi="Palatino Linotype" w:cs="Palatino Linotype"/>
            <w:b/>
            <w:bCs/>
            <w:color w:val="000000"/>
          </w:rPr>
          <w:t>REPORTE DE ACTIVIDADES CULTURA.pdf</w:t>
        </w:r>
      </w:hyperlink>
      <w:r w:rsidR="007E65DA" w:rsidRPr="00C944EB">
        <w:rPr>
          <w:rFonts w:ascii="Palatino Linotype" w:eastAsia="Palatino Linotype" w:hAnsi="Palatino Linotype" w:cs="Palatino Linotype"/>
        </w:rPr>
        <w:t>: Documento consistente en el reporte de Actividades remitido por la Directora de Cultura.</w:t>
      </w:r>
    </w:p>
    <w:p w:rsidR="005F084C" w:rsidRPr="00C944EB" w:rsidRDefault="005F084C">
      <w:pPr>
        <w:ind w:left="567" w:right="567"/>
        <w:jc w:val="both"/>
        <w:rPr>
          <w:rFonts w:ascii="Palatino Linotype" w:eastAsia="Palatino Linotype" w:hAnsi="Palatino Linotype" w:cs="Palatino Linotype"/>
        </w:rPr>
      </w:pPr>
    </w:p>
    <w:p w:rsidR="005F084C" w:rsidRPr="00C944EB" w:rsidRDefault="009D2220">
      <w:pPr>
        <w:ind w:left="567" w:right="567"/>
        <w:jc w:val="both"/>
        <w:rPr>
          <w:rFonts w:ascii="Palatino Linotype" w:eastAsia="Palatino Linotype" w:hAnsi="Palatino Linotype" w:cs="Palatino Linotype"/>
        </w:rPr>
      </w:pPr>
      <w:hyperlink r:id="rId10">
        <w:r w:rsidR="007E65DA" w:rsidRPr="00C944EB">
          <w:rPr>
            <w:rFonts w:ascii="Palatino Linotype" w:eastAsia="Palatino Linotype" w:hAnsi="Palatino Linotype" w:cs="Palatino Linotype"/>
            <w:b/>
            <w:bCs/>
            <w:color w:val="000000"/>
          </w:rPr>
          <w:t>RESPUESTA SOLICITUD 99 CULTURA.pdf</w:t>
        </w:r>
      </w:hyperlink>
      <w:r w:rsidR="007E65DA" w:rsidRPr="00C944EB">
        <w:rPr>
          <w:rFonts w:ascii="Palatino Linotype" w:eastAsia="Palatino Linotype" w:hAnsi="Palatino Linotype" w:cs="Palatino Linotype"/>
        </w:rPr>
        <w:t xml:space="preserve">: Oficio suscrito por la Directora de Cultura, por medio del cual, respecto a las actividades desarrolladas por la Dirección de Cultura 2025, refirió remitir la ficha técnica de las actividades realizadas por la Dirección, asimismo, precisó que no todas las actividades cuentan con evidencia fotográfica en virtud de que no es un requisito que la ley expresamente exija para contar con un respaldo documental de las actividades a realizarse. </w:t>
      </w:r>
    </w:p>
    <w:p w:rsidR="005F084C" w:rsidRPr="00C944EB" w:rsidRDefault="005F084C">
      <w:pPr>
        <w:ind w:left="567" w:right="567"/>
        <w:rPr>
          <w:rFonts w:ascii="Palatino Linotype" w:eastAsia="Palatino Linotype" w:hAnsi="Palatino Linotype" w:cs="Palatino Linotype"/>
          <w:highlight w:val="yellow"/>
        </w:rPr>
      </w:pPr>
    </w:p>
    <w:p w:rsidR="005F084C" w:rsidRPr="00C944EB" w:rsidRDefault="009D2220">
      <w:pPr>
        <w:ind w:left="567" w:right="567"/>
        <w:jc w:val="both"/>
        <w:rPr>
          <w:rFonts w:ascii="Palatino Linotype" w:eastAsia="Palatino Linotype" w:hAnsi="Palatino Linotype" w:cs="Palatino Linotype"/>
        </w:rPr>
      </w:pPr>
      <w:hyperlink r:id="rId11">
        <w:r w:rsidR="007E65DA" w:rsidRPr="00C944EB">
          <w:rPr>
            <w:rFonts w:ascii="Palatino Linotype" w:eastAsia="Palatino Linotype" w:hAnsi="Palatino Linotype" w:cs="Palatino Linotype"/>
            <w:b/>
            <w:bCs/>
            <w:color w:val="000000"/>
          </w:rPr>
          <w:t>RESPUESTA SOLICITUD 99 RECURSOS HUMANOS.pdf</w:t>
        </w:r>
      </w:hyperlink>
      <w:r w:rsidR="007E65DA" w:rsidRPr="00C944EB">
        <w:rPr>
          <w:rFonts w:ascii="Palatino Linotype" w:eastAsia="Palatino Linotype" w:hAnsi="Palatino Linotype" w:cs="Palatino Linotype"/>
        </w:rPr>
        <w:t>: Oficio suscrito por la Coordinadora de Recursos Humanos, mediante el cual, remitió un link donde señaló podía ser consultada la información relativa a las remuneraciones de los servidores públicos del Ayuntamiento de San Antonio la Isla 2025; por otro lado, informó que actualmente la Dirección de Cultura cuenta con 4 servidores públicos.</w:t>
      </w:r>
    </w:p>
    <w:p w:rsidR="005F084C" w:rsidRPr="00C944EB" w:rsidRDefault="005F084C">
      <w:pPr>
        <w:ind w:left="567" w:right="567"/>
        <w:rPr>
          <w:rFonts w:ascii="Palatino Linotype" w:eastAsia="Palatino Linotype" w:hAnsi="Palatino Linotype" w:cs="Palatino Linotype"/>
        </w:rPr>
      </w:pPr>
    </w:p>
    <w:p w:rsidR="005F084C" w:rsidRPr="00C944EB" w:rsidRDefault="009D2220">
      <w:pPr>
        <w:ind w:left="567" w:right="567"/>
        <w:rPr>
          <w:rFonts w:ascii="Palatino Linotype" w:eastAsia="Palatino Linotype" w:hAnsi="Palatino Linotype" w:cs="Palatino Linotype"/>
        </w:rPr>
      </w:pPr>
      <w:hyperlink r:id="rId12">
        <w:r w:rsidR="007E65DA" w:rsidRPr="00C944EB">
          <w:rPr>
            <w:rFonts w:ascii="Palatino Linotype" w:eastAsia="Palatino Linotype" w:hAnsi="Palatino Linotype" w:cs="Palatino Linotype"/>
            <w:b/>
            <w:bCs/>
            <w:color w:val="000000"/>
          </w:rPr>
          <w:t>RESPUESTA_SOLICITUD_099 UT.pdf</w:t>
        </w:r>
      </w:hyperlink>
      <w:r w:rsidR="007E65DA" w:rsidRPr="00C944EB">
        <w:rPr>
          <w:rFonts w:ascii="Palatino Linotype" w:eastAsia="Palatino Linotype" w:hAnsi="Palatino Linotype" w:cs="Palatino Linotype"/>
        </w:rPr>
        <w:t>: Oficio suscrito por el Titular de la Unidad de Transparencia, por medio del cual, refirió remitir la respuesta de la Servidora Pública Habilitada de la Dirección de Cultura.</w:t>
      </w:r>
    </w:p>
    <w:p w:rsidR="005F084C" w:rsidRPr="00C944EB" w:rsidRDefault="005F084C">
      <w:pPr>
        <w:rPr>
          <w:rFonts w:ascii="Palatino Linotype" w:eastAsia="Palatino Linotype" w:hAnsi="Palatino Linotype" w:cs="Palatino Linotype"/>
        </w:rPr>
      </w:pPr>
    </w:p>
    <w:p w:rsidR="005F084C" w:rsidRPr="00C944EB" w:rsidRDefault="007E65DA">
      <w:pPr>
        <w:numPr>
          <w:ilvl w:val="0"/>
          <w:numId w:val="1"/>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El </w:t>
      </w:r>
      <w:r w:rsidRPr="00C944EB">
        <w:rPr>
          <w:rFonts w:ascii="Palatino Linotype" w:eastAsia="Palatino Linotype" w:hAnsi="Palatino Linotype" w:cs="Palatino Linotype"/>
          <w:b/>
          <w:bCs/>
          <w:color w:val="000000"/>
        </w:rPr>
        <w:t>dieciocho de noviembre de dos mil veinticinco</w:t>
      </w:r>
      <w:r w:rsidRPr="00C944EB">
        <w:rPr>
          <w:rFonts w:ascii="Palatino Linotype" w:eastAsia="Palatino Linotype" w:hAnsi="Palatino Linotype" w:cs="Palatino Linotype"/>
          <w:color w:val="000000"/>
        </w:rPr>
        <w:t xml:space="preserve">, la parte </w:t>
      </w:r>
      <w:r w:rsidRPr="00C944EB">
        <w:rPr>
          <w:rFonts w:ascii="Palatino Linotype" w:eastAsia="Palatino Linotype" w:hAnsi="Palatino Linotype" w:cs="Palatino Linotype"/>
          <w:b/>
          <w:bCs/>
          <w:color w:val="000000"/>
        </w:rPr>
        <w:t>RECURRENTE</w:t>
      </w:r>
      <w:r w:rsidRPr="00C944EB">
        <w:rPr>
          <w:rFonts w:ascii="Palatino Linotype" w:eastAsia="Palatino Linotype" w:hAnsi="Palatino Linotype" w:cs="Palatino Linotype"/>
          <w:color w:val="000000"/>
        </w:rPr>
        <w:t xml:space="preserve"> interpuso el recurso de revisión en contra de la respuesta, manifestando las siguientes razones o motivos de inconformidad:</w:t>
      </w:r>
    </w:p>
    <w:p w:rsidR="005F084C" w:rsidRPr="00C944EB" w:rsidRDefault="00C944EB" w:rsidP="00C944EB">
      <w:pPr>
        <w:pStyle w:val="Prrafodelista"/>
        <w:numPr>
          <w:ilvl w:val="0"/>
          <w:numId w:val="10"/>
        </w:numPr>
        <w:pBdr>
          <w:top w:val="nil"/>
          <w:left w:val="nil"/>
          <w:bottom w:val="nil"/>
          <w:right w:val="nil"/>
          <w:between w:val="nil"/>
        </w:pBdr>
        <w:ind w:left="567" w:right="567"/>
        <w:jc w:val="both"/>
        <w:rPr>
          <w:rFonts w:ascii="Palatino Linotype" w:eastAsia="Palatino Linotype" w:hAnsi="Palatino Linotype" w:cs="Palatino Linotype"/>
          <w:i/>
          <w:iCs/>
          <w:color w:val="000000"/>
        </w:rPr>
      </w:pPr>
      <w:bookmarkStart w:id="4" w:name="_heading=h.1fob9te" w:colFirst="0" w:colLast="0"/>
      <w:bookmarkEnd w:id="4"/>
      <w:r w:rsidRPr="00C944EB">
        <w:rPr>
          <w:rFonts w:ascii="Palatino Linotype" w:eastAsia="Palatino Linotype" w:hAnsi="Palatino Linotype" w:cs="Palatino Linotype"/>
          <w:b/>
          <w:bCs/>
          <w:color w:val="000000"/>
        </w:rPr>
        <w:t>ACTO IMPUGNADO</w:t>
      </w:r>
      <w:r w:rsidR="007E65DA" w:rsidRPr="00C944EB">
        <w:rPr>
          <w:rFonts w:ascii="Palatino Linotype" w:eastAsia="Palatino Linotype" w:hAnsi="Palatino Linotype" w:cs="Palatino Linotype"/>
          <w:color w:val="000000"/>
        </w:rPr>
        <w:t>:</w:t>
      </w:r>
      <w:r w:rsidR="007E65DA" w:rsidRPr="00C944EB">
        <w:rPr>
          <w:rFonts w:ascii="Palatino Linotype" w:eastAsia="Palatino Linotype" w:hAnsi="Palatino Linotype" w:cs="Palatino Linotype"/>
          <w:i/>
          <w:iCs/>
          <w:color w:val="000000"/>
        </w:rPr>
        <w:t xml:space="preserve"> “informacion incloncluss.” (Sic.)</w:t>
      </w:r>
    </w:p>
    <w:p w:rsidR="005F084C" w:rsidRPr="00C944EB" w:rsidRDefault="005F084C">
      <w:pPr>
        <w:pBdr>
          <w:top w:val="nil"/>
          <w:left w:val="nil"/>
          <w:bottom w:val="nil"/>
          <w:right w:val="nil"/>
          <w:between w:val="nil"/>
        </w:pBdr>
        <w:ind w:left="567" w:right="567"/>
        <w:jc w:val="both"/>
        <w:rPr>
          <w:rFonts w:ascii="Palatino Linotype" w:eastAsia="Palatino Linotype" w:hAnsi="Palatino Linotype" w:cs="Palatino Linotype"/>
          <w:b/>
          <w:bCs/>
          <w:i/>
          <w:iCs/>
          <w:color w:val="000000"/>
        </w:rPr>
      </w:pPr>
    </w:p>
    <w:p w:rsidR="005F084C" w:rsidRPr="00C944EB" w:rsidRDefault="00C944EB" w:rsidP="00C944EB">
      <w:pPr>
        <w:pStyle w:val="Prrafodelista"/>
        <w:numPr>
          <w:ilvl w:val="0"/>
          <w:numId w:val="10"/>
        </w:numPr>
        <w:ind w:left="567" w:right="567"/>
        <w:jc w:val="both"/>
        <w:rPr>
          <w:rFonts w:ascii="Palatino Linotype" w:eastAsia="Palatino Linotype" w:hAnsi="Palatino Linotype" w:cs="Palatino Linotype"/>
          <w:i/>
          <w:iCs/>
          <w:color w:val="000000"/>
        </w:rPr>
      </w:pPr>
      <w:bookmarkStart w:id="5" w:name="_heading=h.3znysh7" w:colFirst="0" w:colLast="0"/>
      <w:bookmarkEnd w:id="5"/>
      <w:r w:rsidRPr="00C944EB">
        <w:rPr>
          <w:rFonts w:ascii="Palatino Linotype" w:eastAsia="Palatino Linotype" w:hAnsi="Palatino Linotype" w:cs="Palatino Linotype"/>
          <w:b/>
          <w:bCs/>
          <w:color w:val="000000"/>
        </w:rPr>
        <w:t>RAZONES O MOTIVOS DE INCONFORMIDAD</w:t>
      </w:r>
      <w:r w:rsidR="007E65DA" w:rsidRPr="00C944EB">
        <w:rPr>
          <w:rFonts w:ascii="Palatino Linotype" w:eastAsia="Palatino Linotype" w:hAnsi="Palatino Linotype" w:cs="Palatino Linotype"/>
          <w:b/>
          <w:bCs/>
          <w:color w:val="000000"/>
        </w:rPr>
        <w:t xml:space="preserve">: </w:t>
      </w:r>
      <w:r w:rsidR="007E65DA" w:rsidRPr="00C944EB">
        <w:rPr>
          <w:rFonts w:ascii="Palatino Linotype" w:eastAsia="Palatino Linotype" w:hAnsi="Palatino Linotype" w:cs="Palatino Linotype"/>
          <w:i/>
          <w:iCs/>
          <w:color w:val="000000"/>
        </w:rPr>
        <w:t>“Me redirecciona a un link sin darme la informacion.” (Sic.)</w:t>
      </w:r>
    </w:p>
    <w:p w:rsidR="005F084C" w:rsidRPr="00C944EB" w:rsidRDefault="005F084C">
      <w:pPr>
        <w:ind w:right="567"/>
        <w:jc w:val="both"/>
        <w:rPr>
          <w:rFonts w:ascii="Palatino Linotype" w:eastAsia="Palatino Linotype" w:hAnsi="Palatino Linotype" w:cs="Palatino Linotype"/>
          <w:i/>
          <w:iCs/>
          <w:color w:val="000000"/>
        </w:rPr>
      </w:pPr>
    </w:p>
    <w:p w:rsidR="005F084C" w:rsidRPr="00C944EB" w:rsidRDefault="00C944E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7E65DA" w:rsidRPr="00C944EB">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w:t>
      </w:r>
      <w:r w:rsidR="007E65DA" w:rsidRPr="00C944EB">
        <w:rPr>
          <w:rFonts w:ascii="Palatino Linotype" w:eastAsia="Palatino Linotype" w:hAnsi="Palatino Linotype" w:cs="Palatino Linotype"/>
        </w:rPr>
        <w:t>del</w:t>
      </w:r>
      <w:r w:rsidR="007E65DA" w:rsidRPr="00C944EB">
        <w:rPr>
          <w:rFonts w:ascii="Palatino Linotype" w:eastAsia="Palatino Linotype" w:hAnsi="Palatino Linotype" w:cs="Palatino Linotype"/>
          <w:color w:val="000000"/>
        </w:rPr>
        <w:t xml:space="preserve"> </w:t>
      </w:r>
      <w:r w:rsidR="007E65DA" w:rsidRPr="00C944EB">
        <w:rPr>
          <w:rFonts w:ascii="Palatino Linotype" w:eastAsia="Palatino Linotype" w:hAnsi="Palatino Linotype" w:cs="Palatino Linotype"/>
          <w:b/>
          <w:bCs/>
          <w:color w:val="000000"/>
        </w:rPr>
        <w:t>dos de diciembre de dos mil veinticinco</w:t>
      </w:r>
      <w:r w:rsidR="007E65DA" w:rsidRPr="00C944EB">
        <w:rPr>
          <w:rFonts w:ascii="Palatino Linotype" w:eastAsia="Palatino Linotype" w:hAnsi="Palatino Linotype" w:cs="Palatino Linotype"/>
          <w:color w:val="000000"/>
        </w:rPr>
        <w:t xml:space="preserve">, puso a disposición de las partes el expediente electrónico vía </w:t>
      </w:r>
      <w:r w:rsidR="007E65DA" w:rsidRPr="00C944EB">
        <w:rPr>
          <w:rFonts w:ascii="Palatino Linotype" w:eastAsia="Palatino Linotype" w:hAnsi="Palatino Linotype" w:cs="Palatino Linotype"/>
          <w:b/>
          <w:bCs/>
          <w:color w:val="000000"/>
        </w:rPr>
        <w:t xml:space="preserve">SAIMEX </w:t>
      </w:r>
      <w:r w:rsidR="007E65DA" w:rsidRPr="00C944EB">
        <w:rPr>
          <w:rFonts w:ascii="Palatino Linotype" w:eastAsia="Palatino Linotype" w:hAnsi="Palatino Linotype" w:cs="Palatino Linotype"/>
          <w:color w:val="000000"/>
        </w:rPr>
        <w:t xml:space="preserve">a efecto de que en un plazo máximo de siete días </w:t>
      </w:r>
      <w:r w:rsidR="007E65DA" w:rsidRPr="00C944EB">
        <w:rPr>
          <w:rFonts w:ascii="Palatino Linotype" w:eastAsia="Palatino Linotype" w:hAnsi="Palatino Linotype" w:cs="Palatino Linotype"/>
        </w:rPr>
        <w:t>manifestara</w:t>
      </w:r>
      <w:r w:rsidR="007E65DA" w:rsidRPr="00C944EB">
        <w:rPr>
          <w:rFonts w:ascii="Palatino Linotype" w:eastAsia="Palatino Linotype" w:hAnsi="Palatino Linotype" w:cs="Palatino Linotype"/>
          <w:color w:val="000000"/>
        </w:rPr>
        <w:t xml:space="preserve"> lo que a su derecho conviniera, </w:t>
      </w:r>
      <w:r w:rsidR="007E65DA" w:rsidRPr="00C944EB">
        <w:rPr>
          <w:rFonts w:ascii="Palatino Linotype" w:eastAsia="Palatino Linotype" w:hAnsi="Palatino Linotype" w:cs="Palatino Linotype"/>
        </w:rPr>
        <w:t>ofreciera</w:t>
      </w:r>
      <w:r w:rsidR="007E65DA" w:rsidRPr="00C944EB">
        <w:rPr>
          <w:rFonts w:ascii="Palatino Linotype" w:eastAsia="Palatino Linotype" w:hAnsi="Palatino Linotype" w:cs="Palatino Linotype"/>
          <w:color w:val="000000"/>
        </w:rPr>
        <w:t xml:space="preserve"> pruebas y alegatos según corresponda a los casos concretos, y el </w:t>
      </w:r>
      <w:r w:rsidR="007E65DA" w:rsidRPr="00C944EB">
        <w:rPr>
          <w:rFonts w:ascii="Palatino Linotype" w:eastAsia="Palatino Linotype" w:hAnsi="Palatino Linotype" w:cs="Palatino Linotype"/>
          <w:b/>
          <w:bCs/>
          <w:color w:val="000000"/>
        </w:rPr>
        <w:t>SUJETO OBLIGADO</w:t>
      </w:r>
      <w:r w:rsidR="007E65DA" w:rsidRPr="00C944EB">
        <w:rPr>
          <w:rFonts w:ascii="Palatino Linotype" w:eastAsia="Palatino Linotype" w:hAnsi="Palatino Linotype" w:cs="Palatino Linotype"/>
          <w:color w:val="000000"/>
        </w:rPr>
        <w:t xml:space="preserve"> presentará el Informe Justificado procedente.</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spacing w:line="360" w:lineRule="auto"/>
        <w:jc w:val="both"/>
        <w:rPr>
          <w:rFonts w:ascii="Palatino Linotype" w:eastAsia="Palatino Linotype" w:hAnsi="Palatino Linotype" w:cs="Palatino Linotype"/>
        </w:rPr>
      </w:pPr>
      <w:bookmarkStart w:id="6" w:name="_heading=h.2et92p0" w:colFirst="0" w:colLast="0"/>
      <w:bookmarkEnd w:id="6"/>
      <w:r w:rsidRPr="00C944EB">
        <w:rPr>
          <w:rFonts w:ascii="Palatino Linotype" w:eastAsia="Palatino Linotype" w:hAnsi="Palatino Linotype" w:cs="Palatino Linotype"/>
        </w:rPr>
        <w:t xml:space="preserve">El </w:t>
      </w:r>
      <w:r w:rsidRPr="00C944EB">
        <w:rPr>
          <w:rFonts w:ascii="Palatino Linotype" w:eastAsia="Palatino Linotype" w:hAnsi="Palatino Linotype" w:cs="Palatino Linotype"/>
          <w:b/>
          <w:bCs/>
        </w:rPr>
        <w:t xml:space="preserve">SUJETO OBLIGADO </w:t>
      </w:r>
      <w:r w:rsidRPr="00C944EB">
        <w:rPr>
          <w:rFonts w:ascii="Palatino Linotype" w:eastAsia="Palatino Linotype" w:hAnsi="Palatino Linotype" w:cs="Palatino Linotype"/>
        </w:rPr>
        <w:t>omitió rendir el informe justificado correspondiente, por su parte, el</w:t>
      </w:r>
      <w:r w:rsidRPr="00C944EB">
        <w:rPr>
          <w:rFonts w:ascii="Palatino Linotype" w:eastAsia="Palatino Linotype" w:hAnsi="Palatino Linotype" w:cs="Palatino Linotype"/>
          <w:b/>
          <w:bCs/>
        </w:rPr>
        <w:t xml:space="preserve"> RECURRENTE </w:t>
      </w:r>
      <w:r w:rsidRPr="00C944EB">
        <w:rPr>
          <w:rFonts w:ascii="Palatino Linotype" w:eastAsia="Palatino Linotype" w:hAnsi="Palatino Linotype" w:cs="Palatino Linotype"/>
        </w:rPr>
        <w:t xml:space="preserve">dejó de realizar manifestaciones que a su derecho conviniera y asistiera. </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color w:val="000000"/>
        </w:rPr>
        <w:t xml:space="preserve">Finalmente, mediante acuerdo del </w:t>
      </w:r>
      <w:r w:rsidRPr="00C944EB">
        <w:rPr>
          <w:rFonts w:ascii="Palatino Linotype" w:eastAsia="Palatino Linotype" w:hAnsi="Palatino Linotype" w:cs="Palatino Linotype"/>
          <w:b/>
          <w:bCs/>
          <w:color w:val="000000"/>
        </w:rPr>
        <w:t>quince de enero</w:t>
      </w:r>
      <w:r w:rsidRPr="00C944EB">
        <w:rPr>
          <w:rFonts w:ascii="Palatino Linotype" w:eastAsia="Palatino Linotype" w:hAnsi="Palatino Linotype" w:cs="Palatino Linotype"/>
          <w:color w:val="000000"/>
        </w:rPr>
        <w:t xml:space="preserve"> </w:t>
      </w:r>
      <w:r w:rsidRPr="00C944EB">
        <w:rPr>
          <w:rFonts w:ascii="Palatino Linotype" w:eastAsia="Palatino Linotype" w:hAnsi="Palatino Linotype" w:cs="Palatino Linotype"/>
          <w:b/>
          <w:bCs/>
          <w:color w:val="000000"/>
        </w:rPr>
        <w:t>de dos mil veintiséis</w:t>
      </w:r>
      <w:r w:rsidRPr="00C944EB">
        <w:rPr>
          <w:rFonts w:ascii="Palatino Linotype" w:eastAsia="Palatino Linotype" w:hAnsi="Palatino Linotype" w:cs="Palatino Linotype"/>
          <w:color w:val="000000"/>
        </w:rPr>
        <w:t>, se decretó el cierre de instrucción, por lo que no habiendo más que hacer constar, y------------------------</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5F084C" w:rsidRPr="00C944EB" w:rsidRDefault="007E65DA">
      <w:pPr>
        <w:pStyle w:val="Ttulo1"/>
        <w:tabs>
          <w:tab w:val="left" w:pos="567"/>
        </w:tabs>
        <w:spacing w:before="0" w:line="360" w:lineRule="auto"/>
        <w:jc w:val="center"/>
      </w:pPr>
      <w:bookmarkStart w:id="7" w:name="_heading=h.tyjcwt" w:colFirst="0" w:colLast="0"/>
      <w:bookmarkEnd w:id="7"/>
      <w:r w:rsidRPr="00C944EB">
        <w:lastRenderedPageBreak/>
        <w:t>C O N S I D E R A N D O</w:t>
      </w:r>
    </w:p>
    <w:p w:rsidR="005F084C" w:rsidRPr="00C944EB" w:rsidRDefault="005F084C">
      <w:pPr>
        <w:spacing w:line="360" w:lineRule="auto"/>
        <w:rPr>
          <w:rFonts w:ascii="Palatino Linotype" w:eastAsia="Palatino Linotype" w:hAnsi="Palatino Linotype" w:cs="Palatino Linotype"/>
        </w:rPr>
      </w:pPr>
    </w:p>
    <w:p w:rsidR="005F084C" w:rsidRPr="00C944EB" w:rsidRDefault="007E65DA">
      <w:pPr>
        <w:pStyle w:val="Ttulo1"/>
        <w:tabs>
          <w:tab w:val="left" w:pos="567"/>
        </w:tabs>
        <w:spacing w:before="0" w:line="360" w:lineRule="auto"/>
      </w:pPr>
      <w:bookmarkStart w:id="8" w:name="_heading=h.3dy6vkm" w:colFirst="0" w:colLast="0"/>
      <w:bookmarkEnd w:id="8"/>
      <w:r w:rsidRPr="00C944EB">
        <w:t>PRIMERO. De la competencia</w:t>
      </w:r>
    </w:p>
    <w:p w:rsidR="005F084C" w:rsidRPr="00C944EB" w:rsidRDefault="007E65DA">
      <w:pPr>
        <w:numPr>
          <w:ilvl w:val="0"/>
          <w:numId w:val="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r w:rsidRPr="00C944EB">
        <w:rPr>
          <w:rFonts w:ascii="Palatino Linotype" w:eastAsia="Palatino Linotype" w:hAnsi="Palatino Linotype" w:cs="Palatino Linotype"/>
        </w:rPr>
        <w:t xml:space="preserve"> 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5F084C" w:rsidRPr="00C944EB" w:rsidRDefault="005F084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highlight w:val="yellow"/>
        </w:rPr>
      </w:pPr>
    </w:p>
    <w:p w:rsidR="005F084C" w:rsidRPr="00C944EB" w:rsidRDefault="007E65DA">
      <w:pPr>
        <w:pStyle w:val="Ttulo2"/>
        <w:spacing w:before="0" w:line="360" w:lineRule="auto"/>
      </w:pPr>
      <w:bookmarkStart w:id="9" w:name="_heading=h.1t3h5sf" w:colFirst="0" w:colLast="0"/>
      <w:bookmarkEnd w:id="9"/>
      <w:r w:rsidRPr="00C944EB">
        <w:t>SEGUNDO. De la oportunidad y procedencia.</w:t>
      </w: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 El medio de impugnación fue presentado a través del </w:t>
      </w:r>
      <w:r w:rsidRPr="00C944EB">
        <w:rPr>
          <w:rFonts w:ascii="Palatino Linotype" w:eastAsia="Palatino Linotype" w:hAnsi="Palatino Linotype" w:cs="Palatino Linotype"/>
          <w:b/>
          <w:bCs/>
          <w:color w:val="000000"/>
        </w:rPr>
        <w:t>SAIMEX,</w:t>
      </w:r>
      <w:r w:rsidRPr="00C944EB">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C944EB">
        <w:rPr>
          <w:rFonts w:ascii="Palatino Linotype" w:eastAsia="Palatino Linotype" w:hAnsi="Palatino Linotype" w:cs="Palatino Linotype"/>
          <w:b/>
          <w:bCs/>
          <w:color w:val="000000"/>
        </w:rPr>
        <w:t>SUJETO OBLIGADO</w:t>
      </w:r>
      <w:r w:rsidRPr="00C944EB">
        <w:rPr>
          <w:rFonts w:ascii="Palatino Linotype" w:eastAsia="Palatino Linotype" w:hAnsi="Palatino Linotype" w:cs="Palatino Linotype"/>
          <w:color w:val="000000"/>
        </w:rPr>
        <w:t xml:space="preserve"> entregó su respuesta el </w:t>
      </w:r>
      <w:r w:rsidRPr="00C944EB">
        <w:rPr>
          <w:rFonts w:ascii="Palatino Linotype" w:eastAsia="Palatino Linotype" w:hAnsi="Palatino Linotype" w:cs="Palatino Linotype"/>
          <w:b/>
          <w:bCs/>
          <w:color w:val="000000"/>
        </w:rPr>
        <w:t>once de noviembre de dos mil veinticinco</w:t>
      </w:r>
      <w:r w:rsidRPr="00C944EB">
        <w:rPr>
          <w:rFonts w:ascii="Palatino Linotype" w:eastAsia="Palatino Linotype" w:hAnsi="Palatino Linotype" w:cs="Palatino Linotype"/>
          <w:color w:val="000000"/>
        </w:rPr>
        <w:t xml:space="preserve">, de tal forma que el plazo para interponer el recurso de revisión transcurrió del </w:t>
      </w:r>
      <w:r w:rsidRPr="00C944EB">
        <w:rPr>
          <w:rFonts w:ascii="Palatino Linotype" w:eastAsia="Palatino Linotype" w:hAnsi="Palatino Linotype" w:cs="Palatino Linotype"/>
          <w:b/>
          <w:bCs/>
          <w:color w:val="000000"/>
        </w:rPr>
        <w:t>doce de noviembre al tres de diciembre de dos mil veinticinco</w:t>
      </w:r>
      <w:r w:rsidRPr="00C944EB">
        <w:rPr>
          <w:rFonts w:ascii="Palatino Linotype" w:eastAsia="Palatino Linotype" w:hAnsi="Palatino Linotype" w:cs="Palatino Linotype"/>
          <w:color w:val="000000"/>
        </w:rPr>
        <w:t xml:space="preserve">; en consecuencia, la parte </w:t>
      </w:r>
      <w:r w:rsidRPr="00C944EB">
        <w:rPr>
          <w:rFonts w:ascii="Palatino Linotype" w:eastAsia="Palatino Linotype" w:hAnsi="Palatino Linotype" w:cs="Palatino Linotype"/>
          <w:b/>
          <w:bCs/>
          <w:color w:val="000000"/>
        </w:rPr>
        <w:t>RECURRENTE</w:t>
      </w:r>
      <w:r w:rsidRPr="00C944EB">
        <w:rPr>
          <w:rFonts w:ascii="Palatino Linotype" w:eastAsia="Palatino Linotype" w:hAnsi="Palatino Linotype" w:cs="Palatino Linotype"/>
          <w:color w:val="000000"/>
        </w:rPr>
        <w:t xml:space="preserve"> presentó su inconformidad el </w:t>
      </w:r>
      <w:r w:rsidRPr="00C944EB">
        <w:rPr>
          <w:rFonts w:ascii="Palatino Linotype" w:eastAsia="Palatino Linotype" w:hAnsi="Palatino Linotype" w:cs="Palatino Linotype"/>
          <w:b/>
          <w:bCs/>
          <w:color w:val="000000"/>
        </w:rPr>
        <w:t>dieciocho de noviembre de dos mil veinticinco</w:t>
      </w:r>
      <w:r w:rsidRPr="00C944EB">
        <w:rPr>
          <w:rFonts w:ascii="Palatino Linotype" w:eastAsia="Palatino Linotype" w:hAnsi="Palatino Linotype" w:cs="Palatino Linotype"/>
          <w:color w:val="000000"/>
        </w:rPr>
        <w:t>; por lo que se estima que la inconformidad se presentó dentro del lapso legalmente establecido para tal efecto.</w:t>
      </w:r>
    </w:p>
    <w:p w:rsidR="005F084C" w:rsidRPr="00C944EB" w:rsidRDefault="005F084C">
      <w:pPr>
        <w:pBdr>
          <w:top w:val="nil"/>
          <w:left w:val="nil"/>
          <w:bottom w:val="nil"/>
          <w:right w:val="nil"/>
          <w:between w:val="nil"/>
        </w:pBdr>
        <w:rPr>
          <w:rFonts w:ascii="Palatino Linotype" w:eastAsia="Palatino Linotype" w:hAnsi="Palatino Linotype" w:cs="Palatino Linotype"/>
          <w:color w:val="000000"/>
        </w:rPr>
      </w:pPr>
    </w:p>
    <w:p w:rsidR="005F084C" w:rsidRPr="00C944EB" w:rsidRDefault="007E65DA">
      <w:pPr>
        <w:numPr>
          <w:ilvl w:val="0"/>
          <w:numId w:val="1"/>
        </w:numPr>
        <w:spacing w:line="360" w:lineRule="auto"/>
        <w:jc w:val="both"/>
        <w:rPr>
          <w:rFonts w:ascii="Palatino Linotype" w:eastAsia="Palatino Linotype" w:hAnsi="Palatino Linotype" w:cs="Palatino Linotype"/>
          <w:b/>
          <w:bCs/>
        </w:rPr>
      </w:pPr>
      <w:r w:rsidRPr="00C944EB">
        <w:rPr>
          <w:rFonts w:ascii="Palatino Linotype" w:eastAsia="Palatino Linotype" w:hAnsi="Palatino Linotype" w:cs="Palatino Linotype"/>
        </w:rPr>
        <w:t xml:space="preserve">Consecuentemente, el escrito contiene las formalidades previstas por el artículo 180 último párrafo de la Ley de la materia actual, por lo que es procedente que este Instituto de </w:t>
      </w:r>
      <w:r w:rsidRPr="00C944EB">
        <w:rPr>
          <w:rFonts w:ascii="Palatino Linotype" w:eastAsia="Palatino Linotype" w:hAnsi="Palatino Linotype" w:cs="Palatino Linotype"/>
        </w:rPr>
        <w:lastRenderedPageBreak/>
        <w:t>Transparencia, Acceso a la Información Pública y Protección de Datos Personales del Estado de México y Municipios, conozca y resuelva el presente recurso.</w:t>
      </w:r>
    </w:p>
    <w:p w:rsidR="005F084C" w:rsidRPr="00C944EB" w:rsidRDefault="005F084C">
      <w:pPr>
        <w:spacing w:line="360" w:lineRule="auto"/>
        <w:rPr>
          <w:rFonts w:ascii="Palatino Linotype" w:eastAsia="Palatino Linotype" w:hAnsi="Palatino Linotype" w:cs="Palatino Linotype"/>
        </w:rPr>
      </w:pPr>
    </w:p>
    <w:p w:rsidR="005F084C" w:rsidRPr="00C944EB" w:rsidRDefault="007E65DA">
      <w:pPr>
        <w:pStyle w:val="Ttulo1"/>
        <w:spacing w:before="0" w:line="360" w:lineRule="auto"/>
      </w:pPr>
      <w:r w:rsidRPr="00C944EB">
        <w:t xml:space="preserve">TERCERO. Del planteamiento de la </w:t>
      </w:r>
      <w:r w:rsidRPr="00C944EB">
        <w:rPr>
          <w:i/>
          <w:iCs/>
        </w:rPr>
        <w:t>Litis</w:t>
      </w:r>
      <w:r w:rsidRPr="00C944EB">
        <w:t>.</w:t>
      </w: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C944EB">
        <w:rPr>
          <w:rFonts w:ascii="Palatino Linotype" w:eastAsia="Palatino Linotype" w:hAnsi="Palatino Linotype" w:cs="Palatino Linotype"/>
        </w:rPr>
        <w:t xml:space="preserve">La parte </w:t>
      </w:r>
      <w:r w:rsidRPr="00C944EB">
        <w:rPr>
          <w:rFonts w:ascii="Palatino Linotype" w:eastAsia="Palatino Linotype" w:hAnsi="Palatino Linotype" w:cs="Palatino Linotype"/>
          <w:b/>
          <w:bCs/>
        </w:rPr>
        <w:t>RECURRENTE</w:t>
      </w:r>
      <w:r w:rsidRPr="00C944EB">
        <w:rPr>
          <w:rFonts w:ascii="Palatino Linotype" w:eastAsia="Palatino Linotype" w:hAnsi="Palatino Linotype" w:cs="Palatino Linotype"/>
        </w:rPr>
        <w:t xml:space="preserve"> solicitó de la Dirección de Cultura, del 1 de enero al 21 de octubre de 2025, lo siguiente:</w:t>
      </w:r>
    </w:p>
    <w:p w:rsidR="005F084C" w:rsidRPr="00C944EB" w:rsidRDefault="007E65DA">
      <w:pPr>
        <w:numPr>
          <w:ilvl w:val="0"/>
          <w:numId w:val="6"/>
        </w:numPr>
        <w:pBdr>
          <w:top w:val="nil"/>
          <w:left w:val="nil"/>
          <w:bottom w:val="nil"/>
          <w:right w:val="nil"/>
          <w:between w:val="nil"/>
        </w:pBdr>
        <w:spacing w:line="360" w:lineRule="auto"/>
        <w:ind w:left="567" w:right="567" w:hanging="141"/>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Sueldo quincenal de la Directora;</w:t>
      </w:r>
    </w:p>
    <w:p w:rsidR="005F084C" w:rsidRPr="00C944EB" w:rsidRDefault="007E65DA">
      <w:pPr>
        <w:numPr>
          <w:ilvl w:val="0"/>
          <w:numId w:val="6"/>
        </w:numPr>
        <w:pBdr>
          <w:top w:val="nil"/>
          <w:left w:val="nil"/>
          <w:bottom w:val="nil"/>
          <w:right w:val="nil"/>
          <w:between w:val="nil"/>
        </w:pBdr>
        <w:spacing w:line="360" w:lineRule="auto"/>
        <w:ind w:left="567" w:right="567" w:hanging="141"/>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 xml:space="preserve">Número de servidores públicos adscritos; y </w:t>
      </w:r>
    </w:p>
    <w:p w:rsidR="005F084C" w:rsidRPr="00C944EB" w:rsidRDefault="007E65DA">
      <w:pPr>
        <w:numPr>
          <w:ilvl w:val="0"/>
          <w:numId w:val="6"/>
        </w:numPr>
        <w:pBdr>
          <w:top w:val="nil"/>
          <w:left w:val="nil"/>
          <w:bottom w:val="nil"/>
          <w:right w:val="nil"/>
          <w:between w:val="nil"/>
        </w:pBdr>
        <w:spacing w:line="360" w:lineRule="auto"/>
        <w:ind w:left="567" w:right="567" w:hanging="141"/>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Actividades realizadas.</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iCs/>
        </w:rPr>
      </w:pPr>
      <w:r w:rsidRPr="00C944EB">
        <w:rPr>
          <w:rFonts w:ascii="Palatino Linotype" w:eastAsia="Palatino Linotype" w:hAnsi="Palatino Linotype" w:cs="Palatino Linotype"/>
          <w:color w:val="000000"/>
        </w:rPr>
        <w:t xml:space="preserve">El </w:t>
      </w:r>
      <w:r w:rsidRPr="00C944EB">
        <w:rPr>
          <w:rFonts w:ascii="Palatino Linotype" w:eastAsia="Palatino Linotype" w:hAnsi="Palatino Linotype" w:cs="Palatino Linotype"/>
          <w:b/>
          <w:bCs/>
          <w:color w:val="000000"/>
        </w:rPr>
        <w:t xml:space="preserve">SUJETO OBLIGADO </w:t>
      </w:r>
      <w:r w:rsidRPr="00C944EB">
        <w:rPr>
          <w:rFonts w:ascii="Palatino Linotype" w:eastAsia="Palatino Linotype" w:hAnsi="Palatino Linotype" w:cs="Palatino Linotype"/>
          <w:color w:val="000000"/>
        </w:rPr>
        <w:t xml:space="preserve">emitió respuesta, en términos del </w:t>
      </w:r>
      <w:r w:rsidRPr="00C944EB">
        <w:rPr>
          <w:rFonts w:ascii="Palatino Linotype" w:eastAsia="Palatino Linotype" w:hAnsi="Palatino Linotype" w:cs="Palatino Linotype"/>
          <w:b/>
          <w:bCs/>
          <w:color w:val="000000"/>
        </w:rPr>
        <w:t>párrafo 3</w:t>
      </w:r>
      <w:r w:rsidRPr="00C944EB">
        <w:rPr>
          <w:rFonts w:ascii="Palatino Linotype" w:eastAsia="Palatino Linotype" w:hAnsi="Palatino Linotype" w:cs="Palatino Linotype"/>
          <w:color w:val="000000"/>
        </w:rPr>
        <w:t xml:space="preserve"> de la presente resolución.</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i/>
          <w:iCs/>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i/>
          <w:iCs/>
        </w:rPr>
      </w:pPr>
      <w:r w:rsidRPr="00C944EB">
        <w:rPr>
          <w:rFonts w:ascii="Palatino Linotype" w:eastAsia="Palatino Linotype" w:hAnsi="Palatino Linotype" w:cs="Palatino Linotype"/>
          <w:color w:val="000000"/>
        </w:rPr>
        <w:t xml:space="preserve">Posteriormente, la parte </w:t>
      </w:r>
      <w:r w:rsidRPr="00C944EB">
        <w:rPr>
          <w:rFonts w:ascii="Palatino Linotype" w:eastAsia="Palatino Linotype" w:hAnsi="Palatino Linotype" w:cs="Palatino Linotype"/>
          <w:b/>
          <w:bCs/>
          <w:color w:val="000000"/>
        </w:rPr>
        <w:t xml:space="preserve">RECURRENTE </w:t>
      </w:r>
      <w:r w:rsidRPr="00C944EB">
        <w:rPr>
          <w:rFonts w:ascii="Palatino Linotype" w:eastAsia="Palatino Linotype" w:hAnsi="Palatino Linotype" w:cs="Palatino Linotype"/>
          <w:color w:val="000000"/>
        </w:rPr>
        <w:t xml:space="preserve">interpuso recurso de revisión en el que se inconformó </w:t>
      </w:r>
      <w:r w:rsidRPr="00C944EB">
        <w:rPr>
          <w:rFonts w:ascii="Palatino Linotype" w:eastAsia="Palatino Linotype" w:hAnsi="Palatino Linotype" w:cs="Palatino Linotype"/>
          <w:b/>
          <w:bCs/>
          <w:color w:val="000000"/>
        </w:rPr>
        <w:t>por el link proporcionado en respuesta.</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b/>
          <w:bCs/>
          <w:i/>
          <w:iCs/>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i/>
          <w:iCs/>
        </w:rPr>
      </w:pPr>
      <w:r w:rsidRPr="00C944EB">
        <w:rPr>
          <w:rFonts w:ascii="Palatino Linotype" w:eastAsia="Palatino Linotype" w:hAnsi="Palatino Linotype" w:cs="Palatino Linotype"/>
          <w:color w:val="000000"/>
        </w:rPr>
        <w:t xml:space="preserve">En dichas condiciones, la </w:t>
      </w:r>
      <w:r w:rsidRPr="00C944EB">
        <w:rPr>
          <w:rFonts w:ascii="Palatino Linotype" w:eastAsia="Palatino Linotype" w:hAnsi="Palatino Linotype" w:cs="Palatino Linotype"/>
          <w:i/>
          <w:iCs/>
          <w:color w:val="000000"/>
        </w:rPr>
        <w:t>Litis</w:t>
      </w:r>
      <w:r w:rsidRPr="00C944EB">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C944EB">
        <w:rPr>
          <w:rFonts w:ascii="Palatino Linotype" w:eastAsia="Palatino Linotype" w:hAnsi="Palatino Linotype" w:cs="Palatino Linotype"/>
          <w:b/>
          <w:bCs/>
          <w:color w:val="000000"/>
        </w:rPr>
        <w:t xml:space="preserve">fracción V </w:t>
      </w:r>
      <w:r w:rsidRPr="00C944EB">
        <w:rPr>
          <w:rFonts w:ascii="Palatino Linotype" w:eastAsia="Palatino Linotype" w:hAnsi="Palatino Linotype" w:cs="Palatino Linotype"/>
          <w:color w:val="000000"/>
        </w:rPr>
        <w:t>de la Ley</w:t>
      </w:r>
      <w:r w:rsidRPr="00C944EB">
        <w:rPr>
          <w:rFonts w:ascii="Palatino Linotype" w:eastAsia="Palatino Linotype" w:hAnsi="Palatino Linotype" w:cs="Palatino Linotype"/>
          <w:b/>
          <w:bCs/>
          <w:color w:val="000000"/>
        </w:rPr>
        <w:t xml:space="preserve"> de Transparencia y Acceso a la Información Pública del Estado de </w:t>
      </w:r>
      <w:r w:rsidRPr="00C944EB">
        <w:rPr>
          <w:rFonts w:ascii="Palatino Linotype" w:eastAsia="Palatino Linotype" w:hAnsi="Palatino Linotype" w:cs="Palatino Linotype"/>
          <w:color w:val="000000"/>
        </w:rPr>
        <w:t>México</w:t>
      </w:r>
      <w:r w:rsidRPr="00C944EB">
        <w:rPr>
          <w:rFonts w:ascii="Palatino Linotype" w:eastAsia="Palatino Linotype" w:hAnsi="Palatino Linotype" w:cs="Palatino Linotype"/>
          <w:b/>
          <w:bCs/>
          <w:color w:val="000000"/>
        </w:rPr>
        <w:t xml:space="preserve"> y Municipios</w:t>
      </w:r>
      <w:r w:rsidRPr="00C944EB">
        <w:rPr>
          <w:rFonts w:ascii="Palatino Linotype" w:eastAsia="Palatino Linotype" w:hAnsi="Palatino Linotype" w:cs="Palatino Linotype"/>
          <w:color w:val="000000"/>
        </w:rPr>
        <w:t xml:space="preserve">; fracción que determina la hipótesis jurídica relativa a </w:t>
      </w:r>
      <w:r w:rsidRPr="00C944EB">
        <w:rPr>
          <w:rFonts w:ascii="Palatino Linotype" w:eastAsia="Palatino Linotype" w:hAnsi="Palatino Linotype" w:cs="Palatino Linotype"/>
          <w:b/>
          <w:bCs/>
          <w:color w:val="000000"/>
        </w:rPr>
        <w:t>la entrega de información incompleta.</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i/>
          <w:iCs/>
        </w:rPr>
      </w:pPr>
    </w:p>
    <w:p w:rsidR="005F084C" w:rsidRPr="00C944EB" w:rsidRDefault="007E65DA">
      <w:pPr>
        <w:pStyle w:val="Ttulo1"/>
        <w:spacing w:before="0" w:line="360" w:lineRule="auto"/>
      </w:pPr>
      <w:r w:rsidRPr="00C944EB">
        <w:lastRenderedPageBreak/>
        <w:t>CUARTO. Del estudio y resolución del asunto.</w:t>
      </w:r>
    </w:p>
    <w:p w:rsidR="005F084C" w:rsidRPr="00C944EB" w:rsidRDefault="007E65DA">
      <w:pPr>
        <w:numPr>
          <w:ilvl w:val="0"/>
          <w:numId w:val="1"/>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Acotada la </w:t>
      </w:r>
      <w:r w:rsidRPr="00C944EB">
        <w:rPr>
          <w:rFonts w:ascii="Palatino Linotype" w:eastAsia="Palatino Linotype" w:hAnsi="Palatino Linotype" w:cs="Palatino Linotype"/>
          <w:i/>
          <w:iCs/>
          <w:color w:val="000000"/>
        </w:rPr>
        <w:t>Litis</w:t>
      </w:r>
      <w:r w:rsidRPr="00C944EB">
        <w:rPr>
          <w:rFonts w:ascii="Palatino Linotype" w:eastAsia="Palatino Linotype" w:hAnsi="Palatino Linotype" w:cs="Palatino Linotype"/>
          <w:color w:val="000000"/>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5F084C" w:rsidRPr="00C944EB" w:rsidRDefault="005F084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5F084C" w:rsidRPr="00C944EB" w:rsidRDefault="005F084C">
      <w:pPr>
        <w:spacing w:line="360" w:lineRule="auto"/>
        <w:jc w:val="both"/>
        <w:rPr>
          <w:rFonts w:ascii="Palatino Linotype" w:eastAsia="Palatino Linotype" w:hAnsi="Palatino Linotype" w:cs="Palatino Linotype"/>
        </w:rPr>
      </w:pPr>
    </w:p>
    <w:p w:rsidR="005F084C" w:rsidRPr="00C944EB" w:rsidRDefault="007E65DA">
      <w:pPr>
        <w:numPr>
          <w:ilvl w:val="0"/>
          <w:numId w:val="1"/>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w:t>
      </w:r>
      <w:r w:rsidRPr="00C944EB">
        <w:rPr>
          <w:rFonts w:ascii="Palatino Linotype" w:eastAsia="Palatino Linotype" w:hAnsi="Palatino Linotype" w:cs="Palatino Linotype"/>
          <w:color w:val="000000"/>
        </w:rPr>
        <w:lastRenderedPageBreak/>
        <w:t>derive del ejercicio de sus facultades, competencias o funciones desde su origen la eventual publicidad y reutilización de la información que generen.</w:t>
      </w:r>
    </w:p>
    <w:p w:rsidR="005F084C" w:rsidRPr="00C944EB" w:rsidRDefault="005F084C">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5F084C" w:rsidRPr="00C944EB" w:rsidRDefault="005F084C">
      <w:pPr>
        <w:pBdr>
          <w:top w:val="nil"/>
          <w:left w:val="nil"/>
          <w:bottom w:val="nil"/>
          <w:right w:val="nil"/>
          <w:between w:val="nil"/>
        </w:pBdr>
        <w:spacing w:line="360" w:lineRule="auto"/>
        <w:ind w:right="757"/>
        <w:jc w:val="both"/>
        <w:rPr>
          <w:rFonts w:ascii="Palatino Linotype" w:eastAsia="Palatino Linotype" w:hAnsi="Palatino Linotype" w:cs="Palatino Linotype"/>
          <w:b/>
          <w:bCs/>
          <w:color w:val="000000"/>
        </w:rPr>
      </w:pPr>
    </w:p>
    <w:p w:rsidR="005F084C" w:rsidRPr="00C944EB" w:rsidRDefault="007E65DA">
      <w:pPr>
        <w:numPr>
          <w:ilvl w:val="0"/>
          <w:numId w:val="1"/>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Acotada la Litis del presente asunto, se reiterar la información solicitada por la parte </w:t>
      </w:r>
      <w:r w:rsidRPr="00C944EB">
        <w:rPr>
          <w:rFonts w:ascii="Palatino Linotype" w:eastAsia="Palatino Linotype" w:hAnsi="Palatino Linotype" w:cs="Palatino Linotype"/>
          <w:b/>
          <w:bCs/>
          <w:color w:val="000000"/>
        </w:rPr>
        <w:t>RECURRENTE</w:t>
      </w:r>
      <w:r w:rsidRPr="00C944EB">
        <w:rPr>
          <w:rFonts w:ascii="Palatino Linotype" w:eastAsia="Palatino Linotype" w:hAnsi="Palatino Linotype" w:cs="Palatino Linotype"/>
          <w:color w:val="000000"/>
        </w:rPr>
        <w:t xml:space="preserve">, así como la respuesta emitida por el </w:t>
      </w:r>
      <w:r w:rsidRPr="00C944EB">
        <w:rPr>
          <w:rFonts w:ascii="Palatino Linotype" w:eastAsia="Palatino Linotype" w:hAnsi="Palatino Linotype" w:cs="Palatino Linotype"/>
          <w:b/>
          <w:bCs/>
          <w:color w:val="000000"/>
        </w:rPr>
        <w:t>SUJETO OBLIGADO</w:t>
      </w:r>
      <w:r w:rsidRPr="00C944EB">
        <w:rPr>
          <w:rFonts w:ascii="Palatino Linotype" w:eastAsia="Palatino Linotype" w:hAnsi="Palatino Linotype" w:cs="Palatino Linotype"/>
          <w:color w:val="000000"/>
        </w:rPr>
        <w:t>, mediante el siguiente cuadro descriptivo:</w:t>
      </w:r>
    </w:p>
    <w:p w:rsidR="005F084C" w:rsidRPr="00C944EB" w:rsidRDefault="005F084C">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tbl>
      <w:tblPr>
        <w:tblStyle w:val="af0"/>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402"/>
        <w:gridCol w:w="3114"/>
      </w:tblGrid>
      <w:tr w:rsidR="005F084C" w:rsidRPr="00C944EB" w:rsidTr="00C944EB">
        <w:tc>
          <w:tcPr>
            <w:tcW w:w="3114" w:type="dxa"/>
            <w:shd w:val="clear" w:color="auto" w:fill="D9D9D9"/>
          </w:tcPr>
          <w:p w:rsidR="005F084C" w:rsidRPr="00C944EB" w:rsidRDefault="007E65DA">
            <w:pPr>
              <w:ind w:right="48"/>
              <w:jc w:val="center"/>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Información solicitada</w:t>
            </w:r>
          </w:p>
        </w:tc>
        <w:tc>
          <w:tcPr>
            <w:tcW w:w="3402" w:type="dxa"/>
            <w:shd w:val="clear" w:color="auto" w:fill="D9D9D9"/>
          </w:tcPr>
          <w:p w:rsidR="005F084C" w:rsidRPr="00C944EB" w:rsidRDefault="007E65DA">
            <w:pPr>
              <w:ind w:right="48"/>
              <w:jc w:val="center"/>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Respuesta</w:t>
            </w:r>
          </w:p>
        </w:tc>
        <w:tc>
          <w:tcPr>
            <w:tcW w:w="3114" w:type="dxa"/>
            <w:shd w:val="clear" w:color="auto" w:fill="D9D9D9"/>
          </w:tcPr>
          <w:p w:rsidR="005F084C" w:rsidRPr="00C944EB" w:rsidRDefault="007E65DA">
            <w:pPr>
              <w:ind w:right="48"/>
              <w:jc w:val="center"/>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Comentario</w:t>
            </w:r>
          </w:p>
        </w:tc>
      </w:tr>
      <w:tr w:rsidR="005F084C" w:rsidRPr="00C944EB" w:rsidTr="00C944EB">
        <w:tc>
          <w:tcPr>
            <w:tcW w:w="3114" w:type="dxa"/>
          </w:tcPr>
          <w:p w:rsidR="005F084C" w:rsidRPr="00C944EB" w:rsidRDefault="007E65DA">
            <w:pPr>
              <w:pBdr>
                <w:top w:val="nil"/>
                <w:left w:val="nil"/>
                <w:bottom w:val="nil"/>
                <w:right w:val="nil"/>
                <w:between w:val="nil"/>
              </w:pBdr>
              <w:ind w:right="34"/>
              <w:jc w:val="both"/>
              <w:rPr>
                <w:rFonts w:ascii="Palatino Linotype" w:eastAsia="Palatino Linotype" w:hAnsi="Palatino Linotype" w:cs="Palatino Linotype"/>
                <w:b/>
                <w:bCs/>
              </w:rPr>
            </w:pPr>
            <w:r w:rsidRPr="00C944EB">
              <w:rPr>
                <w:rFonts w:ascii="Palatino Linotype" w:eastAsia="Palatino Linotype" w:hAnsi="Palatino Linotype" w:cs="Palatino Linotype"/>
                <w:b/>
                <w:bCs/>
              </w:rPr>
              <w:t>Sueldo quincenal de la Directora de Cultura;</w:t>
            </w:r>
          </w:p>
        </w:tc>
        <w:tc>
          <w:tcPr>
            <w:tcW w:w="3402" w:type="dxa"/>
          </w:tcPr>
          <w:p w:rsidR="005F084C" w:rsidRPr="00C944EB" w:rsidRDefault="007E65DA">
            <w:pPr>
              <w:ind w:right="33"/>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rPr>
              <w:t>La Coordinadora de Recursos Humanos, remitió un link donde señaló podía ser consultada la información relativa a las remuneraciones de los servidores públicos del Ayuntamiento de San Antonio la Isla 2025.</w:t>
            </w:r>
          </w:p>
        </w:tc>
        <w:tc>
          <w:tcPr>
            <w:tcW w:w="3114" w:type="dxa"/>
          </w:tcPr>
          <w:p w:rsidR="005F084C" w:rsidRPr="00C944EB" w:rsidRDefault="007E65DA">
            <w:pPr>
              <w:ind w:right="48"/>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color w:val="000000"/>
              </w:rPr>
              <w:t xml:space="preserve">La información proporcionada </w:t>
            </w:r>
            <w:r w:rsidRPr="00C944EB">
              <w:rPr>
                <w:rFonts w:ascii="Palatino Linotype" w:eastAsia="Palatino Linotype" w:hAnsi="Palatino Linotype" w:cs="Palatino Linotype"/>
                <w:b/>
                <w:bCs/>
                <w:color w:val="000000"/>
              </w:rPr>
              <w:t>no colmó</w:t>
            </w:r>
            <w:r w:rsidRPr="00C944EB">
              <w:rPr>
                <w:rFonts w:ascii="Palatino Linotype" w:eastAsia="Palatino Linotype" w:hAnsi="Palatino Linotype" w:cs="Palatino Linotype"/>
                <w:color w:val="000000"/>
              </w:rPr>
              <w:t xml:space="preserve"> el requerimiento del Solicitante, toda vez que, si bien el </w:t>
            </w:r>
            <w:r w:rsidRPr="00C944EB">
              <w:rPr>
                <w:rFonts w:ascii="Palatino Linotype" w:eastAsia="Palatino Linotype" w:hAnsi="Palatino Linotype" w:cs="Palatino Linotype"/>
                <w:b/>
                <w:bCs/>
                <w:color w:val="000000"/>
              </w:rPr>
              <w:t xml:space="preserve">SUJETO OBLIGADO </w:t>
            </w:r>
            <w:r w:rsidRPr="00C944EB">
              <w:rPr>
                <w:rFonts w:ascii="Palatino Linotype" w:eastAsia="Palatino Linotype" w:hAnsi="Palatino Linotype" w:cs="Palatino Linotype"/>
                <w:color w:val="000000"/>
              </w:rPr>
              <w:t xml:space="preserve">aceptó contar con esta, remitió un enlace electrónico para su consulta en </w:t>
            </w:r>
            <w:r w:rsidRPr="00C944EB">
              <w:rPr>
                <w:rFonts w:ascii="Palatino Linotype" w:eastAsia="Palatino Linotype" w:hAnsi="Palatino Linotype" w:cs="Palatino Linotype"/>
                <w:b/>
                <w:bCs/>
                <w:color w:val="000000"/>
              </w:rPr>
              <w:t>formato cerrado.</w:t>
            </w:r>
          </w:p>
          <w:p w:rsidR="005F084C" w:rsidRPr="00C944EB" w:rsidRDefault="005F084C">
            <w:pPr>
              <w:ind w:right="48"/>
              <w:jc w:val="both"/>
              <w:rPr>
                <w:rFonts w:ascii="Palatino Linotype" w:eastAsia="Palatino Linotype" w:hAnsi="Palatino Linotype" w:cs="Palatino Linotype"/>
                <w:b/>
                <w:bCs/>
                <w:color w:val="000000"/>
              </w:rPr>
            </w:pPr>
          </w:p>
          <w:p w:rsidR="005F084C" w:rsidRPr="00C944EB" w:rsidRDefault="007E65DA">
            <w:pPr>
              <w:ind w:right="48"/>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 xml:space="preserve">(Motivo de inconformidad) </w:t>
            </w:r>
          </w:p>
        </w:tc>
      </w:tr>
      <w:tr w:rsidR="005F084C" w:rsidRPr="00C944EB" w:rsidTr="00C944EB">
        <w:tc>
          <w:tcPr>
            <w:tcW w:w="3114" w:type="dxa"/>
          </w:tcPr>
          <w:p w:rsidR="005F084C" w:rsidRPr="00C944EB" w:rsidRDefault="007E65DA">
            <w:pPr>
              <w:pBdr>
                <w:top w:val="nil"/>
                <w:left w:val="nil"/>
                <w:bottom w:val="nil"/>
                <w:right w:val="nil"/>
                <w:between w:val="nil"/>
              </w:pBdr>
              <w:ind w:right="567"/>
              <w:jc w:val="both"/>
              <w:rPr>
                <w:rFonts w:ascii="Palatino Linotype" w:eastAsia="Palatino Linotype" w:hAnsi="Palatino Linotype" w:cs="Palatino Linotype"/>
                <w:b/>
                <w:bCs/>
              </w:rPr>
            </w:pPr>
            <w:r w:rsidRPr="00C944EB">
              <w:rPr>
                <w:rFonts w:ascii="Palatino Linotype" w:eastAsia="Palatino Linotype" w:hAnsi="Palatino Linotype" w:cs="Palatino Linotype"/>
                <w:b/>
                <w:bCs/>
              </w:rPr>
              <w:t xml:space="preserve">Número de servidores públicos </w:t>
            </w:r>
            <w:r w:rsidRPr="00C944EB">
              <w:rPr>
                <w:rFonts w:ascii="Palatino Linotype" w:eastAsia="Palatino Linotype" w:hAnsi="Palatino Linotype" w:cs="Palatino Linotype"/>
                <w:b/>
                <w:bCs/>
              </w:rPr>
              <w:lastRenderedPageBreak/>
              <w:t>adscritos a la Dirección de Cultura;</w:t>
            </w:r>
          </w:p>
        </w:tc>
        <w:tc>
          <w:tcPr>
            <w:tcW w:w="3402" w:type="dxa"/>
          </w:tcPr>
          <w:p w:rsidR="005F084C" w:rsidRPr="00C944EB" w:rsidRDefault="007E65DA">
            <w:pPr>
              <w:jc w:val="both"/>
              <w:rPr>
                <w:rFonts w:ascii="Palatino Linotype" w:eastAsia="Palatino Linotype" w:hAnsi="Palatino Linotype" w:cs="Palatino Linotype"/>
              </w:rPr>
            </w:pPr>
            <w:r w:rsidRPr="00C944EB">
              <w:rPr>
                <w:rFonts w:ascii="Palatino Linotype" w:eastAsia="Palatino Linotype" w:hAnsi="Palatino Linotype" w:cs="Palatino Linotype"/>
              </w:rPr>
              <w:lastRenderedPageBreak/>
              <w:t xml:space="preserve">La Coordinadora de Recursos Humanos, informó que la </w:t>
            </w:r>
            <w:r w:rsidRPr="00C944EB">
              <w:rPr>
                <w:rFonts w:ascii="Palatino Linotype" w:eastAsia="Palatino Linotype" w:hAnsi="Palatino Linotype" w:cs="Palatino Linotype"/>
              </w:rPr>
              <w:lastRenderedPageBreak/>
              <w:t>Dirección de Cultura cuenta con 4 servidores públicos.</w:t>
            </w:r>
          </w:p>
        </w:tc>
        <w:tc>
          <w:tcPr>
            <w:tcW w:w="3114" w:type="dxa"/>
          </w:tcPr>
          <w:p w:rsidR="005F084C" w:rsidRPr="00C944EB" w:rsidRDefault="007E65DA">
            <w:pPr>
              <w:ind w:right="48"/>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lastRenderedPageBreak/>
              <w:t xml:space="preserve">El requerimiento fue atendido por la Servidora </w:t>
            </w:r>
            <w:r w:rsidRPr="00C944EB">
              <w:rPr>
                <w:rFonts w:ascii="Palatino Linotype" w:eastAsia="Palatino Linotype" w:hAnsi="Palatino Linotype" w:cs="Palatino Linotype"/>
                <w:color w:val="000000"/>
              </w:rPr>
              <w:lastRenderedPageBreak/>
              <w:t>Pública Habilitada competente.</w:t>
            </w:r>
          </w:p>
          <w:p w:rsidR="005F084C" w:rsidRPr="00C944EB" w:rsidRDefault="005F084C">
            <w:pPr>
              <w:ind w:right="48"/>
              <w:jc w:val="both"/>
              <w:rPr>
                <w:rFonts w:ascii="Palatino Linotype" w:eastAsia="Palatino Linotype" w:hAnsi="Palatino Linotype" w:cs="Palatino Linotype"/>
                <w:color w:val="000000"/>
              </w:rPr>
            </w:pPr>
          </w:p>
          <w:p w:rsidR="005F084C" w:rsidRPr="00C944EB" w:rsidRDefault="007E65DA">
            <w:pPr>
              <w:ind w:right="48"/>
              <w:jc w:val="center"/>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(Actos Consentidos)</w:t>
            </w:r>
          </w:p>
        </w:tc>
      </w:tr>
      <w:tr w:rsidR="005F084C" w:rsidRPr="00C944EB" w:rsidTr="00C944EB">
        <w:tc>
          <w:tcPr>
            <w:tcW w:w="3114" w:type="dxa"/>
          </w:tcPr>
          <w:p w:rsidR="005F084C" w:rsidRPr="00C944EB" w:rsidRDefault="007E65DA">
            <w:pPr>
              <w:pBdr>
                <w:top w:val="nil"/>
                <w:left w:val="nil"/>
                <w:bottom w:val="nil"/>
                <w:right w:val="nil"/>
                <w:between w:val="nil"/>
              </w:pBdr>
              <w:ind w:right="567"/>
              <w:jc w:val="both"/>
              <w:rPr>
                <w:rFonts w:ascii="Palatino Linotype" w:eastAsia="Palatino Linotype" w:hAnsi="Palatino Linotype" w:cs="Palatino Linotype"/>
                <w:b/>
                <w:bCs/>
              </w:rPr>
            </w:pPr>
            <w:r w:rsidRPr="00C944EB">
              <w:rPr>
                <w:rFonts w:ascii="Palatino Linotype" w:eastAsia="Palatino Linotype" w:hAnsi="Palatino Linotype" w:cs="Palatino Linotype"/>
                <w:b/>
                <w:bCs/>
              </w:rPr>
              <w:lastRenderedPageBreak/>
              <w:t>Actividades realizadas por la Dirección de Cultura.</w:t>
            </w:r>
          </w:p>
        </w:tc>
        <w:tc>
          <w:tcPr>
            <w:tcW w:w="3402" w:type="dxa"/>
          </w:tcPr>
          <w:p w:rsidR="005F084C" w:rsidRPr="00C944EB" w:rsidRDefault="007E65DA">
            <w:pPr>
              <w:ind w:right="33"/>
              <w:jc w:val="both"/>
              <w:rPr>
                <w:rFonts w:ascii="Palatino Linotype" w:eastAsia="Palatino Linotype" w:hAnsi="Palatino Linotype" w:cs="Palatino Linotype"/>
              </w:rPr>
            </w:pPr>
            <w:r w:rsidRPr="00C944EB">
              <w:rPr>
                <w:rFonts w:ascii="Palatino Linotype" w:eastAsia="Palatino Linotype" w:hAnsi="Palatino Linotype" w:cs="Palatino Linotype"/>
              </w:rPr>
              <w:t xml:space="preserve">La Directora de Cultura, remitió la ficha técnica de las actividades realizadas por la Dirección a su cargo, asimismo, precisó que no todas las actividades cuentan con evidencia fotográfica en virtud de que no es un requisito que la ley expresamente exija para contar con un respaldo documental de las actividades a realizarse. </w:t>
            </w:r>
          </w:p>
        </w:tc>
        <w:tc>
          <w:tcPr>
            <w:tcW w:w="3114" w:type="dxa"/>
          </w:tcPr>
          <w:p w:rsidR="005F084C" w:rsidRPr="00C944EB" w:rsidRDefault="007E65DA">
            <w:pPr>
              <w:ind w:right="48"/>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El requerimiento fue atendido por la Servidora Pública Habilitada competente.</w:t>
            </w:r>
          </w:p>
          <w:p w:rsidR="005F084C" w:rsidRPr="00C944EB" w:rsidRDefault="005F084C">
            <w:pPr>
              <w:ind w:right="48"/>
              <w:jc w:val="both"/>
              <w:rPr>
                <w:rFonts w:ascii="Palatino Linotype" w:eastAsia="Palatino Linotype" w:hAnsi="Palatino Linotype" w:cs="Palatino Linotype"/>
                <w:color w:val="000000"/>
              </w:rPr>
            </w:pPr>
          </w:p>
          <w:p w:rsidR="005F084C" w:rsidRPr="00C944EB" w:rsidRDefault="007E65DA">
            <w:pPr>
              <w:ind w:right="48"/>
              <w:jc w:val="center"/>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(Actos Consentidos)</w:t>
            </w:r>
          </w:p>
        </w:tc>
      </w:tr>
    </w:tbl>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Al respecto, la parte </w:t>
      </w:r>
      <w:r w:rsidRPr="00C944EB">
        <w:rPr>
          <w:rFonts w:ascii="Palatino Linotype" w:eastAsia="Palatino Linotype" w:hAnsi="Palatino Linotype" w:cs="Palatino Linotype"/>
          <w:b/>
          <w:bCs/>
          <w:color w:val="000000"/>
        </w:rPr>
        <w:t xml:space="preserve">RECURRENTE </w:t>
      </w:r>
      <w:r w:rsidRPr="00C944EB">
        <w:rPr>
          <w:rFonts w:ascii="Palatino Linotype" w:eastAsia="Palatino Linotype" w:hAnsi="Palatino Linotype" w:cs="Palatino Linotype"/>
          <w:color w:val="000000"/>
        </w:rPr>
        <w:t xml:space="preserve">interpuso recurso de revisión en el que se inconformó por </w:t>
      </w:r>
      <w:r w:rsidRPr="00C944EB">
        <w:rPr>
          <w:rFonts w:ascii="Palatino Linotype" w:eastAsia="Palatino Linotype" w:hAnsi="Palatino Linotype" w:cs="Palatino Linotype"/>
          <w:b/>
          <w:bCs/>
          <w:color w:val="000000"/>
        </w:rPr>
        <w:t>el por el link proporcionado en respuesta.</w:t>
      </w:r>
    </w:p>
    <w:p w:rsidR="005F084C" w:rsidRPr="00C944EB" w:rsidRDefault="005F084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En este caso, el </w:t>
      </w:r>
      <w:r w:rsidRPr="00C944EB">
        <w:rPr>
          <w:rFonts w:ascii="Palatino Linotype" w:eastAsia="Palatino Linotype" w:hAnsi="Palatino Linotype" w:cs="Palatino Linotype"/>
          <w:b/>
          <w:bCs/>
          <w:color w:val="000000"/>
        </w:rPr>
        <w:t xml:space="preserve">RECURRENTE </w:t>
      </w:r>
      <w:r w:rsidRPr="00C944EB">
        <w:rPr>
          <w:rFonts w:ascii="Palatino Linotype" w:eastAsia="Palatino Linotype" w:hAnsi="Palatino Linotype" w:cs="Palatino Linotype"/>
          <w:color w:val="000000"/>
        </w:rPr>
        <w:t xml:space="preserve">no se inconformó por la totalidad de la respuesta. Bajo ese tenor, se tiene que la parte de la respuesta que no fue impugnada debe declararse como consentida, toda vez que, al no haber realizado manifestaciones de inconformidad al respecto, se infiere que la información proporcionada por el </w:t>
      </w:r>
      <w:r w:rsidRPr="00C944EB">
        <w:rPr>
          <w:rFonts w:ascii="Palatino Linotype" w:eastAsia="Palatino Linotype" w:hAnsi="Palatino Linotype" w:cs="Palatino Linotype"/>
          <w:b/>
          <w:bCs/>
          <w:color w:val="000000"/>
        </w:rPr>
        <w:t>SUJETO OBLIGADO</w:t>
      </w:r>
      <w:r w:rsidRPr="00C944EB">
        <w:rPr>
          <w:rFonts w:ascii="Palatino Linotype" w:eastAsia="Palatino Linotype" w:hAnsi="Palatino Linotype" w:cs="Palatino Linotype"/>
          <w:color w:val="000000"/>
        </w:rPr>
        <w:t xml:space="preserve"> satisface este punto de la solicitud presentada.</w:t>
      </w:r>
    </w:p>
    <w:p w:rsidR="005F084C" w:rsidRPr="00C944EB" w:rsidRDefault="005F084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Lo anterior es así, debido a que cuando un Recurrente impugna la respuesta del </w:t>
      </w:r>
      <w:r w:rsidRPr="00C944EB">
        <w:rPr>
          <w:rFonts w:ascii="Palatino Linotype" w:eastAsia="Palatino Linotype" w:hAnsi="Palatino Linotype" w:cs="Palatino Linotype"/>
          <w:b/>
          <w:bCs/>
          <w:color w:val="000000"/>
        </w:rPr>
        <w:t>SUJETO OBLIGADO</w:t>
      </w:r>
      <w:r w:rsidRPr="00C944EB">
        <w:rPr>
          <w:rFonts w:ascii="Palatino Linotype" w:eastAsia="Palatino Linotype" w:hAnsi="Palatino Linotype" w:cs="Palatino Linotype"/>
          <w:color w:val="000000"/>
        </w:rPr>
        <w:t xml:space="preserve">, y éste no expresa Razón o Motivo de Inconformidad en contra de todos los rubros solicitados, dichos rubros deben declararse atendidos, pues se entiende que </w:t>
      </w:r>
      <w:r w:rsidRPr="00C944EB">
        <w:rPr>
          <w:rFonts w:ascii="Palatino Linotype" w:eastAsia="Palatino Linotype" w:hAnsi="Palatino Linotype" w:cs="Palatino Linotype"/>
          <w:color w:val="000000"/>
        </w:rPr>
        <w:lastRenderedPageBreak/>
        <w:t>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5F084C" w:rsidRPr="00C944EB" w:rsidRDefault="007E65DA">
      <w:pPr>
        <w:pBdr>
          <w:top w:val="nil"/>
          <w:left w:val="nil"/>
          <w:bottom w:val="nil"/>
          <w:right w:val="nil"/>
          <w:between w:val="nil"/>
        </w:pBdr>
        <w:ind w:left="567" w:right="565"/>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b/>
          <w:bCs/>
          <w:i/>
          <w:iCs/>
          <w:color w:val="000000"/>
        </w:rPr>
        <w:t xml:space="preserve">“REVISIÓN EN AMPARO. LOS RESOLUTIVOS NO COMBATIDOS DEBEN DECLARARSE FIRMES. </w:t>
      </w:r>
      <w:r w:rsidRPr="00C944EB">
        <w:rPr>
          <w:rFonts w:ascii="Palatino Linotype" w:eastAsia="Palatino Linotype" w:hAnsi="Palatino Linotype" w:cs="Palatino Linotype"/>
          <w:i/>
          <w:iCs/>
          <w:color w:val="000000"/>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F084C" w:rsidRPr="00C944EB" w:rsidRDefault="005F084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Consecuentemente, se reitera que la parte de la solicitud que no fue impugnada debe declararse consentida por el Recurrente, debido a que no se realizaron manifestaciones de inconformidad, por lo que no pueden producirse efectos jurídicos tendentes a revocar, confirmar o modificar el acto reclamado ya que se infiere un consentimiento del Recurrente</w:t>
      </w:r>
      <w:r w:rsidRPr="00C944EB">
        <w:rPr>
          <w:rFonts w:ascii="Palatino Linotype" w:eastAsia="Palatino Linotype" w:hAnsi="Palatino Linotype" w:cs="Palatino Linotype"/>
          <w:b/>
          <w:bCs/>
          <w:color w:val="000000"/>
        </w:rPr>
        <w:t xml:space="preserve"> </w:t>
      </w:r>
      <w:r w:rsidRPr="00C944EB">
        <w:rPr>
          <w:rFonts w:ascii="Palatino Linotype" w:eastAsia="Palatino Linotype" w:hAnsi="Palatino Linotype" w:cs="Palatino Linotype"/>
          <w:color w:val="000000"/>
        </w:rPr>
        <w:t>ante la falta de impugnación eficaz.</w:t>
      </w:r>
    </w:p>
    <w:p w:rsidR="005F084C" w:rsidRPr="00C944EB" w:rsidRDefault="005F084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b/>
          <w:bCs/>
          <w:i/>
          <w:iCs/>
          <w:smallCaps/>
          <w:color w:val="000000"/>
        </w:rPr>
        <w:t xml:space="preserve">ACTOS CONSENTIDOS. SON LOS QUE NO SE IMPUGNAN MEDIANTE EL RECURSO IDÓNEO. </w:t>
      </w:r>
      <w:r w:rsidRPr="00C944EB">
        <w:rPr>
          <w:rFonts w:ascii="Palatino Linotype" w:eastAsia="Palatino Linotype" w:hAnsi="Palatino Linotype" w:cs="Palatino Linotype"/>
          <w:i/>
          <w:iCs/>
          <w:color w:val="000000"/>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F084C" w:rsidRPr="00C944EB" w:rsidRDefault="005F084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lastRenderedPageBreak/>
        <w:t>Para mayor abundamiento, también resulta aplicable el criterio 01/20 emitido por el Instituto Nacional de Transparencia, Acceso a la Información Pública y Protección de Datos Personales, que a la letra estipula lo siguiente:</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b/>
          <w:bCs/>
          <w:i/>
          <w:iCs/>
          <w:color w:val="000000"/>
        </w:rPr>
        <w:t>Actos consentidos tácitamente. Improcedencia de su análisis.</w:t>
      </w:r>
      <w:r w:rsidRPr="00C944EB">
        <w:rPr>
          <w:rFonts w:ascii="Palatino Linotype" w:eastAsia="Palatino Linotype" w:hAnsi="Palatino Linotype" w:cs="Palatino Linotype"/>
          <w:i/>
          <w:iCs/>
          <w:color w:val="000000"/>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5F084C" w:rsidRPr="00C944EB" w:rsidRDefault="005F084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De lo anteriormente referido, y a efecto de garantizar el efectivo ejercicio del derecho de acceso a la información pública que asiste al Recurrente, resulta conveniente precisar que el presente análisis versará únicamente sobre, </w:t>
      </w:r>
      <w:r w:rsidRPr="00C944EB">
        <w:rPr>
          <w:rFonts w:ascii="Palatino Linotype" w:eastAsia="Palatino Linotype" w:hAnsi="Palatino Linotype" w:cs="Palatino Linotype"/>
          <w:b/>
          <w:bCs/>
          <w:color w:val="000000"/>
        </w:rPr>
        <w:t>el sueldo quincenal de la Directora de Cultura y el link remitido en respuesta por el SUJETO OBLIGADO.</w:t>
      </w:r>
    </w:p>
    <w:p w:rsidR="005F084C" w:rsidRPr="00C944EB" w:rsidRDefault="005F084C">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Ahora bien, de las constancias que integra el expediente electrónico relacionados con el recurso de revisión materia de estudio, se colige que el </w:t>
      </w:r>
      <w:r w:rsidRPr="00C944EB">
        <w:rPr>
          <w:rFonts w:ascii="Palatino Linotype" w:eastAsia="Palatino Linotype" w:hAnsi="Palatino Linotype" w:cs="Palatino Linotype"/>
          <w:b/>
          <w:bCs/>
          <w:color w:val="000000"/>
        </w:rPr>
        <w:t>SUJETO OBLIGADO</w:t>
      </w:r>
      <w:r w:rsidRPr="00C944EB">
        <w:rPr>
          <w:rFonts w:ascii="Palatino Linotype" w:eastAsia="Palatino Linotype" w:hAnsi="Palatino Linotype" w:cs="Palatino Linotype"/>
          <w:color w:val="000000"/>
        </w:rPr>
        <w:t xml:space="preserve"> no niega la competencia para conocer de la información solicitada, por el contrario,</w:t>
      </w:r>
      <w:r w:rsidRPr="00C944EB">
        <w:rPr>
          <w:rFonts w:ascii="Palatino Linotype" w:eastAsia="Palatino Linotype" w:hAnsi="Palatino Linotype" w:cs="Palatino Linotype"/>
          <w:i/>
          <w:iCs/>
          <w:color w:val="000000"/>
        </w:rPr>
        <w:t xml:space="preserve"> </w:t>
      </w:r>
      <w:r w:rsidRPr="00C944EB">
        <w:rPr>
          <w:rFonts w:ascii="Palatino Linotype" w:eastAsia="Palatino Linotype" w:hAnsi="Palatino Linotype" w:cs="Palatino Linotype"/>
          <w:color w:val="000000"/>
        </w:rPr>
        <w:t>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w:t>
      </w:r>
    </w:p>
    <w:p w:rsidR="005F084C" w:rsidRPr="00C944EB" w:rsidRDefault="005F084C">
      <w:pPr>
        <w:rPr>
          <w:rFonts w:ascii="Palatino Linotype" w:eastAsia="Palatino Linotype" w:hAnsi="Palatino Linotype" w:cs="Palatino Linotype"/>
        </w:rPr>
      </w:pPr>
    </w:p>
    <w:p w:rsidR="005F084C" w:rsidRPr="00C944EB" w:rsidRDefault="007E65DA">
      <w:pPr>
        <w:numPr>
          <w:ilvl w:val="0"/>
          <w:numId w:val="1"/>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Así, </w:t>
      </w:r>
      <w:r w:rsidRPr="00C944EB">
        <w:rPr>
          <w:rFonts w:ascii="Palatino Linotype" w:eastAsia="Palatino Linotype" w:hAnsi="Palatino Linotype" w:cs="Palatino Linotype"/>
          <w:color w:val="222222"/>
        </w:rPr>
        <w:t>el hecho de que el</w:t>
      </w:r>
      <w:r w:rsidRPr="00C944EB">
        <w:rPr>
          <w:rFonts w:ascii="Palatino Linotype" w:eastAsia="Palatino Linotype" w:hAnsi="Palatino Linotype" w:cs="Palatino Linotype"/>
          <w:b/>
          <w:bCs/>
          <w:color w:val="222222"/>
        </w:rPr>
        <w:t xml:space="preserve"> SUJETO OBLIGADO</w:t>
      </w:r>
      <w:r w:rsidRPr="00C944EB">
        <w:rPr>
          <w:rFonts w:ascii="Palatino Linotype" w:eastAsia="Palatino Linotype" w:hAnsi="Palatino Linotype" w:cs="Palatino Linotype"/>
          <w:color w:val="222222"/>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5F084C" w:rsidRPr="00C944EB" w:rsidRDefault="007E65DA">
      <w:pPr>
        <w:shd w:val="clear" w:color="auto" w:fill="FFFFFF"/>
        <w:ind w:left="567" w:right="568"/>
        <w:jc w:val="both"/>
        <w:rPr>
          <w:rFonts w:ascii="Palatino Linotype" w:eastAsia="Palatino Linotype" w:hAnsi="Palatino Linotype" w:cs="Palatino Linotype"/>
          <w:i/>
          <w:iCs/>
          <w:color w:val="222222"/>
        </w:rPr>
      </w:pPr>
      <w:r w:rsidRPr="00C944EB">
        <w:rPr>
          <w:rFonts w:ascii="Palatino Linotype" w:eastAsia="Palatino Linotype" w:hAnsi="Palatino Linotype" w:cs="Palatino Linotype"/>
          <w:i/>
          <w:iCs/>
          <w:color w:val="222222"/>
        </w:rPr>
        <w:lastRenderedPageBreak/>
        <w:t>“</w:t>
      </w:r>
      <w:r w:rsidRPr="00C944EB">
        <w:rPr>
          <w:rFonts w:ascii="Palatino Linotype" w:eastAsia="Palatino Linotype" w:hAnsi="Palatino Linotype" w:cs="Palatino Linotype"/>
          <w:b/>
          <w:bCs/>
          <w:i/>
          <w:iCs/>
          <w:color w:val="222222"/>
        </w:rPr>
        <w:t>Artículo 12.</w:t>
      </w:r>
      <w:r w:rsidRPr="00C944EB">
        <w:rPr>
          <w:rFonts w:ascii="Palatino Linotype" w:eastAsia="Palatino Linotype" w:hAnsi="Palatino Linotype" w:cs="Palatino Linotype"/>
          <w:i/>
          <w:iCs/>
          <w:color w:val="222222"/>
        </w:rPr>
        <w:t> Quienes generen, recopilen, administren, manejen, procesen, archiven o conserven información pública serán responsables de la misma en los términos de las disposiciones jurídicas aplicables.</w:t>
      </w:r>
    </w:p>
    <w:p w:rsidR="005F084C" w:rsidRPr="00C944EB" w:rsidRDefault="005F084C">
      <w:pPr>
        <w:shd w:val="clear" w:color="auto" w:fill="FFFFFF"/>
        <w:ind w:left="567" w:right="568"/>
        <w:jc w:val="both"/>
        <w:rPr>
          <w:rFonts w:ascii="Palatino Linotype" w:eastAsia="Palatino Linotype" w:hAnsi="Palatino Linotype" w:cs="Palatino Linotype"/>
          <w:color w:val="222222"/>
        </w:rPr>
      </w:pPr>
    </w:p>
    <w:p w:rsidR="005F084C" w:rsidRPr="00C944EB" w:rsidRDefault="007E65DA">
      <w:pPr>
        <w:shd w:val="clear" w:color="auto" w:fill="FFFFFF"/>
        <w:ind w:left="567" w:right="568"/>
        <w:jc w:val="both"/>
        <w:rPr>
          <w:rFonts w:ascii="Palatino Linotype" w:eastAsia="Palatino Linotype" w:hAnsi="Palatino Linotype" w:cs="Palatino Linotype"/>
          <w:i/>
          <w:iCs/>
          <w:color w:val="222222"/>
        </w:rPr>
      </w:pPr>
      <w:r w:rsidRPr="00C944EB">
        <w:rPr>
          <w:rFonts w:ascii="Palatino Linotype" w:eastAsia="Palatino Linotype" w:hAnsi="Palatino Linotype" w:cs="Palatino Linotype"/>
          <w:i/>
          <w:iCs/>
          <w:color w:val="2222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Precisado lo anterior, </w:t>
      </w:r>
      <w:r w:rsidRPr="00C944EB">
        <w:rPr>
          <w:rFonts w:ascii="Palatino Linotype" w:eastAsia="Palatino Linotype" w:hAnsi="Palatino Linotype" w:cs="Palatino Linotype"/>
        </w:rPr>
        <w:t xml:space="preserve">si bien el </w:t>
      </w:r>
      <w:r w:rsidRPr="00C944EB">
        <w:rPr>
          <w:rFonts w:ascii="Palatino Linotype" w:eastAsia="Palatino Linotype" w:hAnsi="Palatino Linotype" w:cs="Palatino Linotype"/>
          <w:b/>
          <w:bCs/>
        </w:rPr>
        <w:t>SUJETO OBLIGADO</w:t>
      </w:r>
      <w:r w:rsidRPr="00C944EB">
        <w:rPr>
          <w:rFonts w:ascii="Palatino Linotype" w:eastAsia="Palatino Linotype" w:hAnsi="Palatino Linotype" w:cs="Palatino Linotype"/>
        </w:rPr>
        <w:t xml:space="preserve"> mediante respuesta asumió su competencia para generar, poseer y administrar la información requerida, </w:t>
      </w:r>
      <w:r w:rsidRPr="00C944EB">
        <w:rPr>
          <w:rFonts w:ascii="Palatino Linotype" w:eastAsia="Palatino Linotype" w:hAnsi="Palatino Linotype" w:cs="Palatino Linotype"/>
          <w:b/>
          <w:bCs/>
        </w:rPr>
        <w:t>no se advierte</w:t>
      </w:r>
      <w:r w:rsidRPr="00C944EB">
        <w:rPr>
          <w:rFonts w:ascii="Palatino Linotype" w:eastAsia="Palatino Linotype" w:hAnsi="Palatino Linotype" w:cs="Palatino Linotype"/>
        </w:rPr>
        <w:t xml:space="preserve"> que la información remitida sirva para atender lo relativo </w:t>
      </w:r>
      <w:r w:rsidRPr="00C944EB">
        <w:rPr>
          <w:rFonts w:ascii="Palatino Linotype" w:eastAsia="Palatino Linotype" w:hAnsi="Palatino Linotype" w:cs="Palatino Linotype"/>
          <w:b/>
          <w:bCs/>
        </w:rPr>
        <w:t>al sueldo quincenal de la Directora de Cultura,</w:t>
      </w:r>
      <w:r w:rsidRPr="00C944EB">
        <w:rPr>
          <w:rFonts w:ascii="Palatino Linotype" w:eastAsia="Palatino Linotype" w:hAnsi="Palatino Linotype" w:cs="Palatino Linotype"/>
        </w:rPr>
        <w:t xml:space="preserve"> toda vez que</w:t>
      </w:r>
      <w:r w:rsidRPr="00C944EB">
        <w:rPr>
          <w:rFonts w:ascii="Palatino Linotype" w:eastAsia="Palatino Linotype" w:hAnsi="Palatino Linotype" w:cs="Palatino Linotype"/>
          <w:b/>
          <w:bCs/>
        </w:rPr>
        <w:t xml:space="preserve"> en respuesta, el SUJETO OBLIGADO proporcionó una liga electrónica (link) de acceso directo en formato cerrado</w:t>
      </w:r>
      <w:r w:rsidRPr="00C944EB">
        <w:rPr>
          <w:rFonts w:ascii="Palatino Linotype" w:eastAsia="Palatino Linotype" w:hAnsi="Palatino Linotype" w:cs="Palatino Linotype"/>
        </w:rPr>
        <w:t xml:space="preserve">, en este sentido, para su reproducción sería necesario la digitalización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Pr="00C944EB">
        <w:rPr>
          <w:rFonts w:ascii="Palatino Linotype" w:eastAsia="Palatino Linotype" w:hAnsi="Palatino Linotype" w:cs="Palatino Linotype"/>
          <w:b/>
          <w:bCs/>
        </w:rPr>
        <w:t>en formatos abiertos, con los efectos de facilitar la reutilización de la información.</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rPr>
        <w:t xml:space="preserve">Es así que, </w:t>
      </w:r>
      <w:r w:rsidRPr="00C944EB">
        <w:rPr>
          <w:rFonts w:ascii="Palatino Linotype" w:eastAsia="Palatino Linotype" w:hAnsi="Palatino Linotype" w:cs="Palatino Linotype"/>
          <w:color w:val="000000"/>
        </w:rPr>
        <w:t xml:space="preserve">se exhorta al </w:t>
      </w:r>
      <w:r w:rsidRPr="00C944EB">
        <w:rPr>
          <w:rFonts w:ascii="Palatino Linotype" w:eastAsia="Palatino Linotype" w:hAnsi="Palatino Linotype" w:cs="Palatino Linotype"/>
          <w:b/>
          <w:bCs/>
          <w:color w:val="000000"/>
        </w:rPr>
        <w:t>SUJETO OBLIGADO</w:t>
      </w:r>
      <w:r w:rsidRPr="00C944EB">
        <w:rPr>
          <w:rFonts w:ascii="Palatino Linotype" w:eastAsia="Palatino Linotype" w:hAnsi="Palatino Linotype" w:cs="Palatino Linotype"/>
          <w:color w:val="000000"/>
        </w:rPr>
        <w:t>, que, cuando realice la entrega de la información a través de links o enlaces electrónicos, estos permitan el acceso directo y no mediante la digitación, que permita al usuario a cometer un error humano en la misma digitación de la información.</w:t>
      </w:r>
    </w:p>
    <w:p w:rsidR="005F084C" w:rsidRPr="00C944EB" w:rsidRDefault="005F084C">
      <w:pPr>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lastRenderedPageBreak/>
        <w:t xml:space="preserve">Ahora bien, </w:t>
      </w:r>
      <w:r w:rsidRPr="00C944EB">
        <w:rPr>
          <w:rFonts w:ascii="Palatino Linotype" w:eastAsia="Palatino Linotype" w:hAnsi="Palatino Linotype" w:cs="Palatino Linotype"/>
        </w:rPr>
        <w:t>resulta conveniente referir lo establecido en el artículo 161 de la citada Ley de Transparencia Local, mismo que se transcribe a continuación:</w:t>
      </w:r>
    </w:p>
    <w:p w:rsidR="005F084C" w:rsidRPr="00C944EB" w:rsidRDefault="007E65DA">
      <w:pPr>
        <w:pBdr>
          <w:top w:val="nil"/>
          <w:left w:val="nil"/>
          <w:bottom w:val="nil"/>
          <w:right w:val="nil"/>
          <w:between w:val="nil"/>
        </w:pBdr>
        <w:spacing w:before="240" w:after="240"/>
        <w:ind w:left="567" w:right="568"/>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b/>
          <w:bCs/>
          <w:i/>
          <w:iCs/>
          <w:color w:val="000000"/>
        </w:rPr>
        <w:t>Artículo 161. Cuando la información requerida por el solicitante ya esté disponible</w:t>
      </w:r>
      <w:r w:rsidRPr="00C944EB">
        <w:rPr>
          <w:rFonts w:ascii="Palatino Linotype" w:eastAsia="Palatino Linotype" w:hAnsi="Palatino Linotype" w:cs="Palatino Linotype"/>
          <w:i/>
          <w:iCs/>
          <w:color w:val="000000"/>
        </w:rPr>
        <w:t xml:space="preserve"> al público en medios impresos, tales como libros, compendios, trípticos, registros públicos, </w:t>
      </w:r>
      <w:r w:rsidRPr="00C944EB">
        <w:rPr>
          <w:rFonts w:ascii="Palatino Linotype" w:eastAsia="Palatino Linotype" w:hAnsi="Palatino Linotype" w:cs="Palatino Linotype"/>
          <w:b/>
          <w:bCs/>
          <w:i/>
          <w:iCs/>
          <w:color w:val="000000"/>
        </w:rPr>
        <w:t xml:space="preserve">en formatos electrónicos disponibles en Internet </w:t>
      </w:r>
      <w:r w:rsidRPr="00C944EB">
        <w:rPr>
          <w:rFonts w:ascii="Palatino Linotype" w:eastAsia="Palatino Linotype" w:hAnsi="Palatino Linotype" w:cs="Palatino Linotype"/>
          <w:i/>
          <w:iCs/>
          <w:color w:val="000000"/>
        </w:rPr>
        <w:t xml:space="preserve">o en cualquier otro medio, se le hará saber por el medio requerido por el solicitante la fuente, el lugar y la forma en que puede consultar, reproducir o adquirir dicha información </w:t>
      </w:r>
      <w:r w:rsidRPr="00C944EB">
        <w:rPr>
          <w:rFonts w:ascii="Palatino Linotype" w:eastAsia="Palatino Linotype" w:hAnsi="Palatino Linotype" w:cs="Palatino Linotype"/>
          <w:b/>
          <w:bCs/>
          <w:i/>
          <w:iCs/>
          <w:color w:val="000000"/>
        </w:rPr>
        <w:t>en un plazo no mayor a cinco días hábiles</w:t>
      </w:r>
      <w:r w:rsidRPr="00C944EB">
        <w:rPr>
          <w:rFonts w:ascii="Palatino Linotype" w:eastAsia="Palatino Linotype" w:hAnsi="Palatino Linotype" w:cs="Palatino Linotype"/>
          <w:i/>
          <w:iCs/>
          <w:color w:val="000000"/>
        </w:rPr>
        <w:t xml:space="preserve">. </w:t>
      </w:r>
      <w:r w:rsidRPr="00C944EB">
        <w:rPr>
          <w:rFonts w:ascii="Palatino Linotype" w:eastAsia="Palatino Linotype" w:hAnsi="Palatino Linotype" w:cs="Palatino Linotype"/>
          <w:b/>
          <w:bCs/>
          <w:i/>
          <w:iCs/>
          <w:color w:val="000000"/>
        </w:rPr>
        <w:t>La fuente deberá ser precisa y concreta y no debe implicar que el solicitante realice una búsqueda en toda la información que se encuentre disponible</w:t>
      </w:r>
      <w:r w:rsidRPr="00C944EB">
        <w:rPr>
          <w:rFonts w:ascii="Palatino Linotype" w:eastAsia="Palatino Linotype" w:hAnsi="Palatino Linotype" w:cs="Palatino Linotype"/>
          <w:i/>
          <w:iCs/>
          <w:color w:val="000000"/>
        </w:rPr>
        <w:t>.</w:t>
      </w:r>
    </w:p>
    <w:p w:rsidR="005F084C" w:rsidRPr="00C944EB" w:rsidRDefault="005F084C">
      <w:pPr>
        <w:ind w:right="1"/>
        <w:jc w:val="both"/>
        <w:rPr>
          <w:rFonts w:ascii="Palatino Linotype" w:eastAsia="Palatino Linotype" w:hAnsi="Palatino Linotype" w:cs="Palatino Linotype"/>
          <w:b/>
          <w:bCs/>
        </w:rPr>
      </w:pPr>
    </w:p>
    <w:p w:rsidR="005F084C" w:rsidRPr="00C944EB" w:rsidRDefault="007E65DA">
      <w:pPr>
        <w:numPr>
          <w:ilvl w:val="0"/>
          <w:numId w:val="1"/>
        </w:numPr>
        <w:pBdr>
          <w:top w:val="nil"/>
          <w:left w:val="nil"/>
          <w:bottom w:val="nil"/>
          <w:right w:val="nil"/>
          <w:between w:val="nil"/>
        </w:pBdr>
        <w:spacing w:line="360" w:lineRule="auto"/>
        <w:ind w:right="1"/>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color w:val="000000"/>
        </w:rPr>
        <w:t xml:space="preserve">En este sentido, toda aquella información que sea requerida por los Particulares pero que, previamente se encuentre disponible en sitios electrónicos, como puede ser de manera enunciativa más no limitativa, el sitio oficial del </w:t>
      </w:r>
      <w:r w:rsidRPr="00C944EB">
        <w:rPr>
          <w:rFonts w:ascii="Palatino Linotype" w:eastAsia="Palatino Linotype" w:hAnsi="Palatino Linotype" w:cs="Palatino Linotype"/>
          <w:b/>
          <w:bCs/>
          <w:color w:val="000000"/>
        </w:rPr>
        <w:t>SUJETO OBLIGADO</w:t>
      </w:r>
      <w:r w:rsidRPr="00C944EB">
        <w:rPr>
          <w:rFonts w:ascii="Palatino Linotype" w:eastAsia="Palatino Linotype" w:hAnsi="Palatino Linotype" w:cs="Palatino Linotype"/>
          <w:color w:val="000000"/>
        </w:rPr>
        <w:t xml:space="preserve"> o </w:t>
      </w:r>
      <w:r w:rsidRPr="00C944EB">
        <w:rPr>
          <w:rFonts w:ascii="Palatino Linotype" w:eastAsia="Palatino Linotype" w:hAnsi="Palatino Linotype" w:cs="Palatino Linotype"/>
          <w:b/>
          <w:bCs/>
          <w:color w:val="000000"/>
        </w:rPr>
        <w:t>el portal IPOMEX</w:t>
      </w:r>
      <w:r w:rsidRPr="00C944EB">
        <w:rPr>
          <w:rFonts w:ascii="Palatino Linotype" w:eastAsia="Palatino Linotype" w:hAnsi="Palatino Linotype" w:cs="Palatino Linotype"/>
          <w:color w:val="000000"/>
        </w:rPr>
        <w:t xml:space="preserve"> o </w:t>
      </w:r>
      <w:r w:rsidRPr="00C944EB">
        <w:rPr>
          <w:rFonts w:ascii="Palatino Linotype" w:eastAsia="Palatino Linotype" w:hAnsi="Palatino Linotype" w:cs="Palatino Linotype"/>
          <w:b/>
          <w:bCs/>
          <w:color w:val="000000"/>
        </w:rPr>
        <w:t>las páginas institucionales.</w:t>
      </w:r>
      <w:r w:rsidRPr="00C944EB">
        <w:rPr>
          <w:rFonts w:ascii="Palatino Linotype" w:eastAsia="Palatino Linotype" w:hAnsi="Palatino Linotype" w:cs="Palatino Linotype"/>
          <w:color w:val="000000"/>
        </w:rPr>
        <w:t xml:space="preserve"> Los Sujetos Obligado pueden indicar la dirección electrónica donde obra la información solicitada, no obstante,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rsidR="00C944EB" w:rsidRPr="00C944EB" w:rsidRDefault="00C944EB" w:rsidP="00C944EB">
      <w:pPr>
        <w:pBdr>
          <w:top w:val="nil"/>
          <w:left w:val="nil"/>
          <w:bottom w:val="nil"/>
          <w:right w:val="nil"/>
          <w:between w:val="nil"/>
        </w:pBdr>
        <w:spacing w:line="360" w:lineRule="auto"/>
        <w:ind w:right="1"/>
        <w:jc w:val="both"/>
        <w:rPr>
          <w:rFonts w:ascii="Palatino Linotype" w:eastAsia="Palatino Linotype" w:hAnsi="Palatino Linotype" w:cs="Palatino Linotype"/>
          <w:b/>
          <w:bCs/>
          <w:color w:val="000000"/>
        </w:rPr>
      </w:pPr>
    </w:p>
    <w:p w:rsidR="005F084C" w:rsidRPr="00C944EB" w:rsidRDefault="007E65DA">
      <w:pPr>
        <w:numPr>
          <w:ilvl w:val="0"/>
          <w:numId w:val="1"/>
        </w:numPr>
        <w:spacing w:line="360" w:lineRule="auto"/>
        <w:ind w:right="1"/>
        <w:jc w:val="both"/>
        <w:rPr>
          <w:rFonts w:ascii="Palatino Linotype" w:eastAsia="Palatino Linotype" w:hAnsi="Palatino Linotype" w:cs="Palatino Linotype"/>
          <w:b/>
          <w:bCs/>
        </w:rPr>
      </w:pPr>
      <w:r w:rsidRPr="00C944EB">
        <w:rPr>
          <w:rFonts w:ascii="Palatino Linotype" w:eastAsia="Palatino Linotype" w:hAnsi="Palatino Linotype" w:cs="Palatino Linotype"/>
        </w:rPr>
        <w:t xml:space="preserve">En este sentido, </w:t>
      </w:r>
      <w:r w:rsidRPr="00C944EB">
        <w:rPr>
          <w:rFonts w:ascii="Palatino Linotype" w:eastAsia="Palatino Linotype" w:hAnsi="Palatino Linotype" w:cs="Palatino Linotype"/>
          <w:b/>
          <w:bCs/>
        </w:rPr>
        <w:t>la orientación</w:t>
      </w:r>
      <w:r w:rsidRPr="00C944EB">
        <w:rPr>
          <w:rFonts w:ascii="Palatino Linotype" w:eastAsia="Palatino Linotype" w:hAnsi="Palatino Linotype" w:cs="Palatino Linotype"/>
        </w:rPr>
        <w:t xml:space="preserve"> que realicen los Sujetos Obligados a los sitios electrónicos para la consulta de la información </w:t>
      </w:r>
      <w:r w:rsidRPr="00C944EB">
        <w:rPr>
          <w:rFonts w:ascii="Palatino Linotype" w:eastAsia="Palatino Linotype" w:hAnsi="Palatino Linotype" w:cs="Palatino Linotype"/>
          <w:b/>
          <w:bCs/>
        </w:rPr>
        <w:t>debe cumplir con las características de tiempo y forma.</w:t>
      </w:r>
    </w:p>
    <w:p w:rsidR="005F084C" w:rsidRPr="00C944EB" w:rsidRDefault="005F084C">
      <w:pPr>
        <w:spacing w:line="360" w:lineRule="auto"/>
        <w:ind w:right="1"/>
        <w:jc w:val="both"/>
        <w:rPr>
          <w:rFonts w:ascii="Palatino Linotype" w:eastAsia="Palatino Linotype" w:hAnsi="Palatino Linotype" w:cs="Palatino Linotype"/>
          <w:b/>
          <w:bCs/>
        </w:rPr>
      </w:pPr>
    </w:p>
    <w:p w:rsidR="005F084C" w:rsidRPr="00C944EB" w:rsidRDefault="007E65DA">
      <w:pPr>
        <w:numPr>
          <w:ilvl w:val="0"/>
          <w:numId w:val="1"/>
        </w:numPr>
        <w:spacing w:line="360" w:lineRule="auto"/>
        <w:ind w:right="1"/>
        <w:jc w:val="both"/>
        <w:rPr>
          <w:rFonts w:ascii="Palatino Linotype" w:eastAsia="Palatino Linotype" w:hAnsi="Palatino Linotype" w:cs="Palatino Linotype"/>
          <w:b/>
          <w:bCs/>
        </w:rPr>
      </w:pPr>
      <w:r w:rsidRPr="00C944EB">
        <w:rPr>
          <w:rFonts w:ascii="Palatino Linotype" w:eastAsia="Palatino Linotype" w:hAnsi="Palatino Linotype" w:cs="Palatino Linotype"/>
        </w:rPr>
        <w:t xml:space="preserve">Y, para que la orientación se encuentre en tiempo, debe realizarse en un plazo no mayor a cinco días hábiles. En este caso, el </w:t>
      </w:r>
      <w:r w:rsidRPr="00C944EB">
        <w:rPr>
          <w:rFonts w:ascii="Palatino Linotype" w:eastAsia="Palatino Linotype" w:hAnsi="Palatino Linotype" w:cs="Palatino Linotype"/>
          <w:b/>
          <w:bCs/>
        </w:rPr>
        <w:t>RECURRENTE</w:t>
      </w:r>
      <w:r w:rsidRPr="00C944EB">
        <w:rPr>
          <w:rFonts w:ascii="Palatino Linotype" w:eastAsia="Palatino Linotype" w:hAnsi="Palatino Linotype" w:cs="Palatino Linotype"/>
        </w:rPr>
        <w:t xml:space="preserve"> presentó su solicitud </w:t>
      </w:r>
      <w:r w:rsidRPr="00C944EB">
        <w:rPr>
          <w:rFonts w:ascii="Palatino Linotype" w:eastAsia="Palatino Linotype" w:hAnsi="Palatino Linotype" w:cs="Palatino Linotype"/>
          <w:b/>
          <w:bCs/>
        </w:rPr>
        <w:t xml:space="preserve">el </w:t>
      </w:r>
      <w:r w:rsidRPr="00C944EB">
        <w:rPr>
          <w:rFonts w:ascii="Palatino Linotype" w:eastAsia="Palatino Linotype" w:hAnsi="Palatino Linotype" w:cs="Palatino Linotype"/>
          <w:b/>
          <w:bCs/>
        </w:rPr>
        <w:lastRenderedPageBreak/>
        <w:t>veintiuno de octubre de dos mil veinticinco</w:t>
      </w:r>
      <w:r w:rsidRPr="00C944EB">
        <w:rPr>
          <w:rFonts w:ascii="Palatino Linotype" w:eastAsia="Palatino Linotype" w:hAnsi="Palatino Linotype" w:cs="Palatino Linotype"/>
        </w:rPr>
        <w:t xml:space="preserve">, por lo que, el plazo de cinco días hábiles para señalar los sitios electrónicos en donde obra la información transcurrió del </w:t>
      </w:r>
      <w:r w:rsidRPr="00C944EB">
        <w:rPr>
          <w:rFonts w:ascii="Palatino Linotype" w:eastAsia="Palatino Linotype" w:hAnsi="Palatino Linotype" w:cs="Palatino Linotype"/>
          <w:b/>
          <w:bCs/>
        </w:rPr>
        <w:t>veintidós al veintiocho de octubre de dos mil veinticinco</w:t>
      </w:r>
      <w:r w:rsidRPr="00C944EB">
        <w:rPr>
          <w:rFonts w:ascii="Palatino Linotype" w:eastAsia="Palatino Linotype" w:hAnsi="Palatino Linotype" w:cs="Palatino Linotype"/>
        </w:rPr>
        <w:t xml:space="preserve">, en relación al calendario oficial emitido por el Instituto de Transparencia, Protección de Datos y Acceso a la Información Pública del Estado de México y Municipios; en este caso, el </w:t>
      </w:r>
      <w:r w:rsidRPr="00C944EB">
        <w:rPr>
          <w:rFonts w:ascii="Palatino Linotype" w:eastAsia="Palatino Linotype" w:hAnsi="Palatino Linotype" w:cs="Palatino Linotype"/>
          <w:b/>
          <w:bCs/>
        </w:rPr>
        <w:t>SUJETO OBLIGADO</w:t>
      </w:r>
      <w:r w:rsidRPr="00C944EB">
        <w:rPr>
          <w:rFonts w:ascii="Palatino Linotype" w:eastAsia="Palatino Linotype" w:hAnsi="Palatino Linotype" w:cs="Palatino Linotype"/>
        </w:rPr>
        <w:t xml:space="preserve"> dio respuesta el </w:t>
      </w:r>
      <w:r w:rsidRPr="00C944EB">
        <w:rPr>
          <w:rFonts w:ascii="Palatino Linotype" w:eastAsia="Palatino Linotype" w:hAnsi="Palatino Linotype" w:cs="Palatino Linotype"/>
          <w:b/>
          <w:bCs/>
        </w:rPr>
        <w:t xml:space="preserve">once de noviembre de dos mil veinticinco, </w:t>
      </w:r>
      <w:r w:rsidRPr="00C944EB">
        <w:rPr>
          <w:rFonts w:ascii="Palatino Linotype" w:eastAsia="Palatino Linotype" w:hAnsi="Palatino Linotype" w:cs="Palatino Linotype"/>
        </w:rPr>
        <w:t xml:space="preserve">por lo que </w:t>
      </w:r>
      <w:r w:rsidRPr="00C944EB">
        <w:rPr>
          <w:rFonts w:ascii="Palatino Linotype" w:eastAsia="Palatino Linotype" w:hAnsi="Palatino Linotype" w:cs="Palatino Linotype"/>
          <w:b/>
          <w:bCs/>
        </w:rPr>
        <w:t>se encuentra fuera del plazo que señala la normatividad en materia</w:t>
      </w:r>
      <w:r w:rsidRPr="00C944EB">
        <w:rPr>
          <w:rFonts w:ascii="Palatino Linotype" w:eastAsia="Palatino Linotype" w:hAnsi="Palatino Linotype" w:cs="Palatino Linotype"/>
        </w:rPr>
        <w:t xml:space="preserve">, lo que trae como consecuencia que </w:t>
      </w:r>
      <w:r w:rsidRPr="00C944EB">
        <w:rPr>
          <w:rFonts w:ascii="Palatino Linotype" w:eastAsia="Palatino Linotype" w:hAnsi="Palatino Linotype" w:cs="Palatino Linotype"/>
          <w:b/>
          <w:bCs/>
        </w:rPr>
        <w:t>la orientación no se encuentre en tiempo</w:t>
      </w:r>
      <w:r w:rsidRPr="00C944EB">
        <w:rPr>
          <w:rFonts w:ascii="Palatino Linotype" w:eastAsia="Palatino Linotype" w:hAnsi="Palatino Linotype" w:cs="Palatino Linotype"/>
        </w:rPr>
        <w:t>.</w:t>
      </w:r>
    </w:p>
    <w:p w:rsidR="005F084C" w:rsidRPr="00C944EB" w:rsidRDefault="005F084C">
      <w:pPr>
        <w:rPr>
          <w:rFonts w:ascii="Palatino Linotype" w:eastAsia="Palatino Linotype" w:hAnsi="Palatino Linotype" w:cs="Palatino Linotype"/>
        </w:rPr>
      </w:pPr>
    </w:p>
    <w:p w:rsidR="005F084C" w:rsidRPr="00C944EB" w:rsidRDefault="007E65DA">
      <w:pPr>
        <w:numPr>
          <w:ilvl w:val="0"/>
          <w:numId w:val="1"/>
        </w:numPr>
        <w:pBdr>
          <w:top w:val="nil"/>
          <w:left w:val="nil"/>
          <w:bottom w:val="nil"/>
          <w:right w:val="nil"/>
          <w:between w:val="nil"/>
        </w:pBdr>
        <w:spacing w:line="360" w:lineRule="auto"/>
        <w:ind w:right="1"/>
        <w:jc w:val="both"/>
        <w:rPr>
          <w:rFonts w:ascii="Palatino Linotype" w:eastAsia="Palatino Linotype" w:hAnsi="Palatino Linotype" w:cs="Palatino Linotype"/>
          <w:b/>
          <w:bCs/>
        </w:rPr>
      </w:pPr>
      <w:r w:rsidRPr="00C944EB">
        <w:rPr>
          <w:rFonts w:ascii="Palatino Linotype" w:eastAsia="Palatino Linotype" w:hAnsi="Palatino Linotype" w:cs="Palatino Linotype"/>
        </w:rPr>
        <w:t xml:space="preserve">En consecuencia, se reitera que no es posible tener por atendido el requerimiento con la entrega de la liga electrónica referida, pues el enlace no permiten acceder a la información solicitada por encontrase en formato cerrado; razón por la cual, será necesario que el </w:t>
      </w:r>
      <w:r w:rsidRPr="00C944EB">
        <w:rPr>
          <w:rFonts w:ascii="Palatino Linotype" w:eastAsia="Palatino Linotype" w:hAnsi="Palatino Linotype" w:cs="Palatino Linotype"/>
          <w:b/>
          <w:bCs/>
        </w:rPr>
        <w:t>SUJETO OBLIGADO</w:t>
      </w:r>
      <w:r w:rsidRPr="00C944EB">
        <w:rPr>
          <w:rFonts w:ascii="Palatino Linotype" w:eastAsia="Palatino Linotype" w:hAnsi="Palatino Linotype" w:cs="Palatino Linotype"/>
        </w:rPr>
        <w:t xml:space="preserve"> entregue, en versión pública, </w:t>
      </w:r>
      <w:r w:rsidRPr="00C944EB">
        <w:rPr>
          <w:rFonts w:ascii="Palatino Linotype" w:eastAsia="Palatino Linotype" w:hAnsi="Palatino Linotype" w:cs="Palatino Linotype"/>
          <w:b/>
          <w:bCs/>
        </w:rPr>
        <w:t xml:space="preserve">el o los documentos en donde se advierta el sueldo </w:t>
      </w:r>
      <w:r w:rsidR="0042799C" w:rsidRPr="00C944EB">
        <w:rPr>
          <w:rFonts w:ascii="Palatino Linotype" w:eastAsia="Palatino Linotype" w:hAnsi="Palatino Linotype" w:cs="Palatino Linotype"/>
          <w:b/>
          <w:bCs/>
        </w:rPr>
        <w:t xml:space="preserve">bruto y neto </w:t>
      </w:r>
      <w:r w:rsidRPr="00C944EB">
        <w:rPr>
          <w:rFonts w:ascii="Palatino Linotype" w:eastAsia="Palatino Linotype" w:hAnsi="Palatino Linotype" w:cs="Palatino Linotype"/>
          <w:b/>
          <w:bCs/>
        </w:rPr>
        <w:t>de la Directora de Cultura de la segunda quincena de septiembre y la primera quincena de octubre de dos mil veinticinco.</w:t>
      </w:r>
    </w:p>
    <w:p w:rsidR="005F084C" w:rsidRPr="00C944EB" w:rsidRDefault="005F084C">
      <w:pPr>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Ahora </w:t>
      </w:r>
      <w:r w:rsidRPr="00C944EB">
        <w:rPr>
          <w:rFonts w:ascii="Palatino Linotype" w:eastAsia="Palatino Linotype" w:hAnsi="Palatino Linotype" w:cs="Palatino Linotype"/>
        </w:rPr>
        <w:t xml:space="preserve">bien, es importante señalar que el artículo 4, párrafo segundo de la Ley de Transparencia y Acceso a la Información Pública del Estado de México y Municipios, dispone lo siguiente: </w:t>
      </w:r>
    </w:p>
    <w:p w:rsidR="005F084C" w:rsidRPr="00C944EB" w:rsidRDefault="007E65DA">
      <w:pPr>
        <w:tabs>
          <w:tab w:val="left" w:pos="426"/>
          <w:tab w:val="left" w:pos="567"/>
        </w:tabs>
        <w:ind w:left="567" w:right="565"/>
        <w:jc w:val="both"/>
        <w:rPr>
          <w:rFonts w:ascii="Palatino Linotype" w:eastAsia="Palatino Linotype" w:hAnsi="Palatino Linotype" w:cs="Palatino Linotype"/>
          <w:i/>
          <w:iCs/>
        </w:rPr>
      </w:pPr>
      <w:r w:rsidRPr="00C944EB">
        <w:rPr>
          <w:rFonts w:ascii="Palatino Linotype" w:eastAsia="Palatino Linotype" w:hAnsi="Palatino Linotype" w:cs="Palatino Linotype"/>
          <w:i/>
          <w:iCs/>
        </w:rPr>
        <w:t>“</w:t>
      </w:r>
      <w:r w:rsidRPr="00C944EB">
        <w:rPr>
          <w:rFonts w:ascii="Palatino Linotype" w:eastAsia="Palatino Linotype" w:hAnsi="Palatino Linotype" w:cs="Palatino Linotype"/>
          <w:b/>
          <w:bCs/>
          <w:i/>
          <w:iCs/>
        </w:rPr>
        <w:t>Artículo 4. …</w:t>
      </w:r>
    </w:p>
    <w:p w:rsidR="005F084C" w:rsidRPr="00C944EB" w:rsidRDefault="007E65DA">
      <w:pPr>
        <w:tabs>
          <w:tab w:val="left" w:pos="426"/>
          <w:tab w:val="left" w:pos="567"/>
        </w:tabs>
        <w:ind w:left="567" w:right="565"/>
        <w:jc w:val="both"/>
        <w:rPr>
          <w:rFonts w:ascii="Palatino Linotype" w:eastAsia="Palatino Linotype" w:hAnsi="Palatino Linotype" w:cs="Palatino Linotype"/>
        </w:rPr>
      </w:pPr>
      <w:r w:rsidRPr="00C944EB">
        <w:rPr>
          <w:rFonts w:ascii="Palatino Linotype" w:eastAsia="Palatino Linotype" w:hAnsi="Palatino Linotype" w:cs="Palatino Linotype"/>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F084C" w:rsidRPr="00C944EB" w:rsidRDefault="007E65DA">
      <w:pPr>
        <w:numPr>
          <w:ilvl w:val="0"/>
          <w:numId w:val="1"/>
        </w:numPr>
        <w:pBdr>
          <w:top w:val="nil"/>
          <w:left w:val="nil"/>
          <w:bottom w:val="nil"/>
          <w:right w:val="nil"/>
          <w:between w:val="nil"/>
        </w:pBdr>
        <w:spacing w:line="360" w:lineRule="auto"/>
        <w:ind w:right="1"/>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color w:val="000000"/>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5F084C" w:rsidRPr="00C944EB" w:rsidRDefault="005F084C">
      <w:pPr>
        <w:spacing w:line="360" w:lineRule="auto"/>
        <w:ind w:right="1"/>
        <w:jc w:val="both"/>
        <w:rPr>
          <w:rFonts w:ascii="Palatino Linotype" w:eastAsia="Palatino Linotype" w:hAnsi="Palatino Linotype" w:cs="Palatino Linotype"/>
        </w:rPr>
      </w:pPr>
    </w:p>
    <w:p w:rsidR="005F084C" w:rsidRPr="00C944EB" w:rsidRDefault="007E65DA">
      <w:pPr>
        <w:numPr>
          <w:ilvl w:val="0"/>
          <w:numId w:val="1"/>
        </w:numPr>
        <w:spacing w:line="360" w:lineRule="auto"/>
        <w:ind w:right="1"/>
        <w:jc w:val="both"/>
        <w:rPr>
          <w:rFonts w:ascii="Palatino Linotype" w:eastAsia="Palatino Linotype" w:hAnsi="Palatino Linotype" w:cs="Palatino Linotype"/>
          <w:b/>
          <w:bCs/>
        </w:rPr>
      </w:pPr>
      <w:r w:rsidRPr="00C944EB">
        <w:rPr>
          <w:rFonts w:ascii="Palatino Linotype" w:eastAsia="Palatino Linotype" w:hAnsi="Palatino Linotype" w:cs="Palatino Linotype"/>
        </w:rPr>
        <w:t xml:space="preserve">Así,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5F084C" w:rsidRPr="00C944EB" w:rsidRDefault="005F084C">
      <w:pPr>
        <w:spacing w:line="360" w:lineRule="auto"/>
        <w:ind w:right="1"/>
        <w:jc w:val="both"/>
        <w:rPr>
          <w:rFonts w:ascii="Palatino Linotype" w:eastAsia="Palatino Linotype" w:hAnsi="Palatino Linotype" w:cs="Palatino Linotype"/>
        </w:rPr>
      </w:pPr>
    </w:p>
    <w:p w:rsidR="005F084C" w:rsidRPr="00C944EB" w:rsidRDefault="007E65DA">
      <w:pPr>
        <w:numPr>
          <w:ilvl w:val="0"/>
          <w:numId w:val="1"/>
        </w:numPr>
        <w:pBdr>
          <w:top w:val="nil"/>
          <w:left w:val="nil"/>
          <w:bottom w:val="nil"/>
          <w:right w:val="nil"/>
          <w:between w:val="nil"/>
        </w:pBdr>
        <w:spacing w:line="360" w:lineRule="auto"/>
        <w:ind w:right="1"/>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color w:val="000000"/>
        </w:rPr>
        <w:t xml:space="preserve">Como apoyo a lo anterior, es aplicable el Criterio 03-17, emitido por el Instituto Nacional de Transparencia, Acceso a la Información y Protección de Datos Personales, que dice: </w:t>
      </w:r>
    </w:p>
    <w:p w:rsidR="005F084C" w:rsidRPr="00C944EB" w:rsidRDefault="007E65DA">
      <w:pPr>
        <w:tabs>
          <w:tab w:val="left" w:pos="426"/>
          <w:tab w:val="left" w:pos="567"/>
        </w:tabs>
        <w:ind w:left="567" w:right="565"/>
        <w:jc w:val="both"/>
        <w:rPr>
          <w:rFonts w:ascii="Palatino Linotype" w:eastAsia="Palatino Linotype" w:hAnsi="Palatino Linotype" w:cs="Palatino Linotype"/>
          <w:i/>
          <w:iCs/>
        </w:rPr>
      </w:pPr>
      <w:r w:rsidRPr="00C944EB">
        <w:rPr>
          <w:rFonts w:ascii="Palatino Linotype" w:eastAsia="Palatino Linotype" w:hAnsi="Palatino Linotype" w:cs="Palatino Linotype"/>
          <w:b/>
          <w:bCs/>
          <w:i/>
          <w:iCs/>
        </w:rPr>
        <w:t>“No existe obligación de elaborar documentos ad hoc para atender las solicitudes de acceso a la información.</w:t>
      </w:r>
      <w:r w:rsidRPr="00C944EB">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5F084C" w:rsidRPr="00C944EB" w:rsidRDefault="005F084C">
      <w:pPr>
        <w:tabs>
          <w:tab w:val="left" w:pos="426"/>
          <w:tab w:val="left" w:pos="567"/>
        </w:tabs>
        <w:ind w:left="567" w:right="565"/>
        <w:jc w:val="both"/>
        <w:rPr>
          <w:rFonts w:ascii="Palatino Linotype" w:eastAsia="Palatino Linotype" w:hAnsi="Palatino Linotype" w:cs="Palatino Linotype"/>
          <w:i/>
          <w:iCs/>
        </w:rPr>
      </w:pPr>
    </w:p>
    <w:p w:rsidR="005F084C" w:rsidRPr="00C944EB" w:rsidRDefault="007E65DA">
      <w:pPr>
        <w:tabs>
          <w:tab w:val="left" w:pos="426"/>
          <w:tab w:val="left" w:pos="567"/>
        </w:tabs>
        <w:ind w:left="567" w:right="565"/>
        <w:jc w:val="both"/>
        <w:rPr>
          <w:rFonts w:ascii="Palatino Linotype" w:eastAsia="Palatino Linotype" w:hAnsi="Palatino Linotype" w:cs="Palatino Linotype"/>
          <w:i/>
          <w:iCs/>
        </w:rPr>
      </w:pPr>
      <w:r w:rsidRPr="00C944EB">
        <w:rPr>
          <w:rFonts w:ascii="Palatino Linotype" w:eastAsia="Palatino Linotype" w:hAnsi="Palatino Linotype" w:cs="Palatino Linotype"/>
          <w:i/>
          <w:iCs/>
        </w:rPr>
        <w:t xml:space="preserve">Resoluciones: </w:t>
      </w:r>
    </w:p>
    <w:p w:rsidR="005F084C" w:rsidRPr="00C944EB" w:rsidRDefault="007E65DA">
      <w:pPr>
        <w:tabs>
          <w:tab w:val="left" w:pos="426"/>
          <w:tab w:val="left" w:pos="567"/>
        </w:tabs>
        <w:ind w:left="567" w:right="565"/>
        <w:jc w:val="both"/>
        <w:rPr>
          <w:rFonts w:ascii="Palatino Linotype" w:eastAsia="Palatino Linotype" w:hAnsi="Palatino Linotype" w:cs="Palatino Linotype"/>
          <w:i/>
          <w:iCs/>
        </w:rPr>
      </w:pPr>
      <w:r w:rsidRPr="00C944EB">
        <w:rPr>
          <w:rFonts w:ascii="Palatino Linotype" w:eastAsia="Palatino Linotype" w:hAnsi="Palatino Linotype" w:cs="Palatino Linotype"/>
          <w:i/>
          <w:iCs/>
        </w:rPr>
        <w:t xml:space="preserve">RRA 0050/16. Instituto Nacional para la Evaluación de la Educación. 13 julio de 2016. Por unanimidad. Comisionado Ponente: Francisco Javier Acuña Llamas. </w:t>
      </w:r>
    </w:p>
    <w:p w:rsidR="005F084C" w:rsidRPr="00C944EB" w:rsidRDefault="007E65DA">
      <w:pPr>
        <w:tabs>
          <w:tab w:val="left" w:pos="426"/>
          <w:tab w:val="left" w:pos="567"/>
        </w:tabs>
        <w:ind w:left="567" w:right="565"/>
        <w:jc w:val="both"/>
        <w:rPr>
          <w:rFonts w:ascii="Palatino Linotype" w:eastAsia="Palatino Linotype" w:hAnsi="Palatino Linotype" w:cs="Palatino Linotype"/>
          <w:i/>
          <w:iCs/>
        </w:rPr>
      </w:pPr>
      <w:r w:rsidRPr="00C944EB">
        <w:rPr>
          <w:rFonts w:ascii="Palatino Linotype" w:eastAsia="Palatino Linotype" w:hAnsi="Palatino Linotype" w:cs="Palatino Linotype"/>
          <w:i/>
          <w:iCs/>
        </w:rPr>
        <w:lastRenderedPageBreak/>
        <w:t xml:space="preserve">RRA 0310/16. Instituto Nacional de Transparencia, Acceso a la Información y Protección de Datos Personales. 10 de agosto de 2016. Por unanimidad. Comisionada Ponente. Areli Cano Guadiana. </w:t>
      </w:r>
    </w:p>
    <w:p w:rsidR="005F084C" w:rsidRPr="00C944EB" w:rsidRDefault="007E65DA">
      <w:pPr>
        <w:tabs>
          <w:tab w:val="left" w:pos="426"/>
          <w:tab w:val="left" w:pos="567"/>
        </w:tabs>
        <w:ind w:left="567" w:right="565"/>
        <w:jc w:val="both"/>
        <w:rPr>
          <w:rFonts w:ascii="Palatino Linotype" w:eastAsia="Palatino Linotype" w:hAnsi="Palatino Linotype" w:cs="Palatino Linotype"/>
        </w:rPr>
      </w:pPr>
      <w:r w:rsidRPr="00C944EB">
        <w:rPr>
          <w:rFonts w:ascii="Palatino Linotype" w:eastAsia="Palatino Linotype" w:hAnsi="Palatino Linotype" w:cs="Palatino Linotype"/>
          <w:i/>
          <w:iCs/>
        </w:rPr>
        <w:t>RRA 1889/16. Secretaría de Hacienda y Crédito Público. 05 de octubre de 2016. Por unanimidad. Comisionada Ponente. Ximena Puente de la Mora.”</w:t>
      </w:r>
    </w:p>
    <w:p w:rsidR="005F084C" w:rsidRPr="00C944EB" w:rsidRDefault="005F084C">
      <w:pPr>
        <w:spacing w:line="360" w:lineRule="auto"/>
        <w:ind w:right="1"/>
        <w:jc w:val="both"/>
        <w:rPr>
          <w:rFonts w:ascii="Palatino Linotype" w:eastAsia="Palatino Linotype" w:hAnsi="Palatino Linotype" w:cs="Palatino Linotype"/>
        </w:rPr>
      </w:pPr>
    </w:p>
    <w:p w:rsidR="005F084C" w:rsidRPr="00C944EB" w:rsidRDefault="007E65DA">
      <w:pPr>
        <w:numPr>
          <w:ilvl w:val="0"/>
          <w:numId w:val="1"/>
        </w:numPr>
        <w:spacing w:line="360" w:lineRule="auto"/>
        <w:ind w:right="1"/>
        <w:jc w:val="both"/>
        <w:rPr>
          <w:rFonts w:ascii="Palatino Linotype" w:eastAsia="Palatino Linotype" w:hAnsi="Palatino Linotype" w:cs="Palatino Linotype"/>
          <w:b/>
          <w:bCs/>
        </w:rPr>
      </w:pPr>
      <w:r w:rsidRPr="00C944EB">
        <w:rPr>
          <w:rFonts w:ascii="Palatino Linotype" w:eastAsia="Palatino Linotype" w:hAnsi="Palatino Linotype" w:cs="Palatino Linotype"/>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5F084C" w:rsidRPr="00C944EB" w:rsidRDefault="005F084C">
      <w:pPr>
        <w:spacing w:line="360" w:lineRule="auto"/>
        <w:ind w:right="1"/>
        <w:jc w:val="both"/>
        <w:rPr>
          <w:rFonts w:ascii="Palatino Linotype" w:eastAsia="Palatino Linotype" w:hAnsi="Palatino Linotype" w:cs="Palatino Linotype"/>
        </w:rPr>
      </w:pPr>
    </w:p>
    <w:p w:rsidR="005F084C" w:rsidRPr="00C944EB" w:rsidRDefault="007E65DA">
      <w:pPr>
        <w:numPr>
          <w:ilvl w:val="0"/>
          <w:numId w:val="1"/>
        </w:numPr>
        <w:spacing w:line="360" w:lineRule="auto"/>
        <w:ind w:right="1"/>
        <w:jc w:val="both"/>
        <w:rPr>
          <w:rFonts w:ascii="Palatino Linotype" w:eastAsia="Palatino Linotype" w:hAnsi="Palatino Linotype" w:cs="Palatino Linotype"/>
          <w:b/>
          <w:bCs/>
        </w:rPr>
      </w:pPr>
      <w:r w:rsidRPr="00C944EB">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5F084C" w:rsidRPr="00C944EB" w:rsidRDefault="007E65DA">
      <w:pPr>
        <w:ind w:left="567" w:right="565"/>
        <w:jc w:val="both"/>
        <w:rPr>
          <w:rFonts w:ascii="Palatino Linotype" w:eastAsia="Palatino Linotype" w:hAnsi="Palatino Linotype" w:cs="Palatino Linotype"/>
          <w:i/>
          <w:iCs/>
        </w:rPr>
      </w:pPr>
      <w:r w:rsidRPr="00C944EB">
        <w:rPr>
          <w:rFonts w:ascii="Palatino Linotype" w:eastAsia="Palatino Linotype" w:hAnsi="Palatino Linotype" w:cs="Palatino Linotype"/>
          <w:b/>
          <w:bCs/>
          <w:i/>
          <w:iCs/>
        </w:rPr>
        <w:t>“Artículo 3.</w:t>
      </w:r>
      <w:r w:rsidRPr="00C944EB">
        <w:rPr>
          <w:rFonts w:ascii="Palatino Linotype" w:eastAsia="Palatino Linotype" w:hAnsi="Palatino Linotype" w:cs="Palatino Linotype"/>
          <w:i/>
          <w:iCs/>
        </w:rPr>
        <w:t xml:space="preserve"> Para los efectos de la presente Ley se entenderá por: </w:t>
      </w:r>
    </w:p>
    <w:p w:rsidR="005F084C" w:rsidRPr="00C944EB" w:rsidRDefault="007E65DA">
      <w:pPr>
        <w:ind w:left="567" w:right="565"/>
        <w:jc w:val="both"/>
        <w:rPr>
          <w:rFonts w:ascii="Palatino Linotype" w:eastAsia="Palatino Linotype" w:hAnsi="Palatino Linotype" w:cs="Palatino Linotype"/>
          <w:i/>
          <w:iCs/>
        </w:rPr>
      </w:pPr>
      <w:r w:rsidRPr="00C944EB">
        <w:rPr>
          <w:rFonts w:ascii="Palatino Linotype" w:eastAsia="Palatino Linotype" w:hAnsi="Palatino Linotype" w:cs="Palatino Linotype"/>
          <w:i/>
          <w:iCs/>
        </w:rPr>
        <w:t xml:space="preserve">(…) </w:t>
      </w:r>
    </w:p>
    <w:p w:rsidR="005F084C" w:rsidRPr="00C944EB" w:rsidRDefault="007E65DA">
      <w:pPr>
        <w:ind w:left="567" w:right="565"/>
        <w:jc w:val="both"/>
        <w:rPr>
          <w:rFonts w:ascii="Palatino Linotype" w:eastAsia="Palatino Linotype" w:hAnsi="Palatino Linotype" w:cs="Palatino Linotype"/>
          <w:b/>
          <w:bCs/>
          <w:i/>
          <w:iCs/>
        </w:rPr>
      </w:pPr>
      <w:r w:rsidRPr="00C944EB">
        <w:rPr>
          <w:rFonts w:ascii="Palatino Linotype" w:eastAsia="Palatino Linotype" w:hAnsi="Palatino Linotype" w:cs="Palatino Linotype"/>
          <w:b/>
          <w:bCs/>
          <w:i/>
          <w:iCs/>
        </w:rPr>
        <w:t>XI. Documento:</w:t>
      </w:r>
      <w:r w:rsidRPr="00C944EB">
        <w:rPr>
          <w:rFonts w:ascii="Palatino Linotype" w:eastAsia="Palatino Linotype" w:hAnsi="Palatino Linotype" w:cs="Palatino Linotype"/>
          <w:i/>
          <w:iC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C944EB">
        <w:rPr>
          <w:rFonts w:ascii="Palatino Linotype" w:eastAsia="Palatino Linotype" w:hAnsi="Palatino Linotype" w:cs="Palatino Linotype"/>
          <w:b/>
          <w:bCs/>
          <w:i/>
          <w:iCs/>
        </w:rPr>
        <w:t xml:space="preserve">Los </w:t>
      </w:r>
      <w:r w:rsidRPr="00C944EB">
        <w:rPr>
          <w:rFonts w:ascii="Palatino Linotype" w:eastAsia="Palatino Linotype" w:hAnsi="Palatino Linotype" w:cs="Palatino Linotype"/>
          <w:b/>
          <w:bCs/>
          <w:i/>
          <w:iCs/>
        </w:rPr>
        <w:lastRenderedPageBreak/>
        <w:t xml:space="preserve">documentos podrán estar en cualquier medio, sea escrito, impreso, sonoro, visual, electrónico, informático u holográfico; </w:t>
      </w:r>
    </w:p>
    <w:p w:rsidR="005F084C" w:rsidRPr="00C944EB" w:rsidRDefault="007E65DA">
      <w:pPr>
        <w:ind w:left="567" w:right="565"/>
        <w:jc w:val="both"/>
        <w:rPr>
          <w:rFonts w:ascii="Palatino Linotype" w:eastAsia="Palatino Linotype" w:hAnsi="Palatino Linotype" w:cs="Palatino Linotype"/>
        </w:rPr>
      </w:pPr>
      <w:r w:rsidRPr="00C944EB">
        <w:rPr>
          <w:rFonts w:ascii="Palatino Linotype" w:eastAsia="Palatino Linotype" w:hAnsi="Palatino Linotype" w:cs="Palatino Linotype"/>
          <w:i/>
          <w:iCs/>
        </w:rPr>
        <w:t>(…)”</w:t>
      </w:r>
    </w:p>
    <w:p w:rsidR="005F084C" w:rsidRPr="00C944EB" w:rsidRDefault="005F084C">
      <w:pPr>
        <w:spacing w:line="360" w:lineRule="auto"/>
        <w:ind w:right="1"/>
        <w:jc w:val="both"/>
        <w:rPr>
          <w:rFonts w:ascii="Palatino Linotype" w:eastAsia="Palatino Linotype" w:hAnsi="Palatino Linotype" w:cs="Palatino Linotype"/>
        </w:rPr>
      </w:pPr>
    </w:p>
    <w:p w:rsidR="005F084C" w:rsidRPr="00C944EB" w:rsidRDefault="007E65DA">
      <w:pPr>
        <w:numPr>
          <w:ilvl w:val="0"/>
          <w:numId w:val="1"/>
        </w:numPr>
        <w:spacing w:line="360" w:lineRule="auto"/>
        <w:ind w:right="1"/>
        <w:jc w:val="both"/>
        <w:rPr>
          <w:rFonts w:ascii="Palatino Linotype" w:eastAsia="Palatino Linotype" w:hAnsi="Palatino Linotype" w:cs="Palatino Linotype"/>
          <w:b/>
          <w:bCs/>
        </w:rPr>
      </w:pPr>
      <w:r w:rsidRPr="00C944EB">
        <w:rPr>
          <w:rFonts w:ascii="Palatino Linotype" w:eastAsia="Palatino Linotype" w:hAnsi="Palatino Linotype" w:cs="Palatino Linotype"/>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5F084C" w:rsidRPr="00C944EB" w:rsidRDefault="007E65DA">
      <w:pPr>
        <w:ind w:left="567" w:right="567"/>
        <w:jc w:val="both"/>
        <w:rPr>
          <w:rFonts w:ascii="Palatino Linotype" w:eastAsia="Palatino Linotype" w:hAnsi="Palatino Linotype" w:cs="Palatino Linotype"/>
          <w:color w:val="000000"/>
          <w:highlight w:val="yellow"/>
        </w:rPr>
      </w:pPr>
      <w:r w:rsidRPr="00C944EB">
        <w:rPr>
          <w:rFonts w:ascii="Palatino Linotype" w:eastAsia="Palatino Linotype" w:hAnsi="Palatino Linotype" w:cs="Palatino Linotype"/>
          <w:i/>
          <w:iCs/>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yellow"/>
        </w:rPr>
      </w:pPr>
    </w:p>
    <w:p w:rsidR="005F084C" w:rsidRPr="00C944EB" w:rsidRDefault="007E65DA">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QUINTO. VERSIÓN PÚBLICA</w:t>
      </w:r>
    </w:p>
    <w:p w:rsidR="005F084C" w:rsidRPr="00C944EB" w:rsidRDefault="007E65DA">
      <w:pPr>
        <w:keepNext/>
        <w:keepLines/>
        <w:numPr>
          <w:ilvl w:val="0"/>
          <w:numId w:val="7"/>
        </w:numPr>
        <w:spacing w:line="360" w:lineRule="auto"/>
        <w:ind w:left="284" w:firstLine="0"/>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 xml:space="preserve">Nociones generales. </w:t>
      </w: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Debe destacarse que, debido a la naturaleza de la información solicitada</w:t>
      </w:r>
      <w:r w:rsidRPr="00C944EB">
        <w:rPr>
          <w:rFonts w:ascii="Palatino Linotype" w:eastAsia="Palatino Linotype" w:hAnsi="Palatino Linotype" w:cs="Palatino Linotype"/>
          <w:b/>
          <w:bCs/>
          <w:color w:val="000000"/>
        </w:rPr>
        <w:t xml:space="preserve">, </w:t>
      </w:r>
      <w:r w:rsidRPr="00C944EB">
        <w:rPr>
          <w:rFonts w:ascii="Palatino Linotype" w:eastAsia="Palatino Linotype" w:hAnsi="Palatino Linotype" w:cs="Palatino Linotype"/>
          <w:color w:val="000000"/>
        </w:rPr>
        <w:t xml:space="preserve">eventualmente pudiera obrar datos personales susceptibles de protegerse, el </w:t>
      </w:r>
      <w:r w:rsidRPr="00C944EB">
        <w:rPr>
          <w:rFonts w:ascii="Palatino Linotype" w:eastAsia="Palatino Linotype" w:hAnsi="Palatino Linotype" w:cs="Palatino Linotype"/>
          <w:b/>
          <w:bCs/>
          <w:color w:val="000000"/>
        </w:rPr>
        <w:t xml:space="preserve">SUJETO </w:t>
      </w:r>
      <w:r w:rsidRPr="00C944EB">
        <w:rPr>
          <w:rFonts w:ascii="Palatino Linotype" w:eastAsia="Palatino Linotype" w:hAnsi="Palatino Linotype" w:cs="Palatino Linotype"/>
          <w:b/>
          <w:bCs/>
          <w:color w:val="000000"/>
        </w:rPr>
        <w:lastRenderedPageBreak/>
        <w:t xml:space="preserve">OBLIGADO </w:t>
      </w:r>
      <w:r w:rsidRPr="00C944EB">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No pasa desapercibido para este Órgano Garante que los Sujetos Obligados</w:t>
      </w:r>
      <w:r w:rsidRPr="00C944EB">
        <w:rPr>
          <w:rFonts w:ascii="Palatino Linotype" w:eastAsia="Palatino Linotype" w:hAnsi="Palatino Linotype" w:cs="Palatino Linotype"/>
          <w:b/>
          <w:bCs/>
          <w:color w:val="000000"/>
        </w:rPr>
        <w:t xml:space="preserve"> </w:t>
      </w:r>
      <w:r w:rsidRPr="00C944EB">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f1"/>
        <w:tblW w:w="963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944"/>
      </w:tblGrid>
      <w:tr w:rsidR="005F084C" w:rsidRPr="00C944EB" w:rsidTr="00C944EB">
        <w:tc>
          <w:tcPr>
            <w:tcW w:w="2689" w:type="dxa"/>
          </w:tcPr>
          <w:p w:rsidR="005F084C" w:rsidRPr="00C944EB" w:rsidRDefault="007E65DA">
            <w:pPr>
              <w:rPr>
                <w:rFonts w:ascii="Palatino Linotype" w:eastAsia="Palatino Linotype" w:hAnsi="Palatino Linotype" w:cs="Palatino Linotype"/>
              </w:rPr>
            </w:pPr>
            <w:r w:rsidRPr="00C944EB">
              <w:rPr>
                <w:rFonts w:ascii="Palatino Linotype" w:eastAsia="Palatino Linotype" w:hAnsi="Palatino Linotype" w:cs="Palatino Linotype"/>
              </w:rPr>
              <w:t>a) Requisitos previos.</w:t>
            </w:r>
          </w:p>
        </w:tc>
        <w:tc>
          <w:tcPr>
            <w:tcW w:w="6944" w:type="dxa"/>
          </w:tcPr>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5F084C" w:rsidRPr="00C944EB" w:rsidRDefault="007E65DA">
            <w:pPr>
              <w:jc w:val="both"/>
              <w:rPr>
                <w:rFonts w:ascii="Palatino Linotype" w:eastAsia="Palatino Linotype" w:hAnsi="Palatino Linotype" w:cs="Palatino Linotype"/>
              </w:rPr>
            </w:pPr>
            <w:r w:rsidRPr="00C944EB">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C944EB">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C944EB">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5F084C" w:rsidRPr="00C944EB" w:rsidTr="00C944EB">
        <w:tc>
          <w:tcPr>
            <w:tcW w:w="2689" w:type="dxa"/>
          </w:tcPr>
          <w:p w:rsidR="005F084C" w:rsidRPr="00C944EB" w:rsidRDefault="007E65DA">
            <w:pPr>
              <w:rPr>
                <w:rFonts w:ascii="Palatino Linotype" w:eastAsia="Palatino Linotype" w:hAnsi="Palatino Linotype" w:cs="Palatino Linotype"/>
              </w:rPr>
            </w:pPr>
            <w:r w:rsidRPr="00C944EB">
              <w:rPr>
                <w:rFonts w:ascii="Palatino Linotype" w:eastAsia="Palatino Linotype" w:hAnsi="Palatino Linotype" w:cs="Palatino Linotype"/>
              </w:rPr>
              <w:t>b) Supuestos de clasificación.</w:t>
            </w:r>
          </w:p>
        </w:tc>
        <w:tc>
          <w:tcPr>
            <w:tcW w:w="6944" w:type="dxa"/>
          </w:tcPr>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5F084C" w:rsidRPr="00C944EB" w:rsidRDefault="007E65DA">
            <w:pPr>
              <w:jc w:val="both"/>
              <w:rPr>
                <w:rFonts w:ascii="Palatino Linotype" w:eastAsia="Palatino Linotype" w:hAnsi="Palatino Linotype" w:cs="Palatino Linotype"/>
              </w:rPr>
            </w:pPr>
            <w:r w:rsidRPr="00C944EB">
              <w:rPr>
                <w:rFonts w:ascii="Palatino Linotype" w:eastAsia="Palatino Linotype" w:hAnsi="Palatino Linotype" w:cs="Palatino Linotype"/>
                <w:color w:val="000000"/>
              </w:rPr>
              <w:t xml:space="preserve">El </w:t>
            </w:r>
            <w:r w:rsidRPr="00C944EB">
              <w:rPr>
                <w:rFonts w:ascii="Palatino Linotype" w:eastAsia="Palatino Linotype" w:hAnsi="Palatino Linotype" w:cs="Palatino Linotype"/>
                <w:b/>
                <w:bCs/>
                <w:color w:val="000000"/>
              </w:rPr>
              <w:t>Sujeto Obligado</w:t>
            </w:r>
            <w:r w:rsidRPr="00C944EB">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F084C" w:rsidRPr="00C944EB" w:rsidTr="00C944EB">
        <w:tc>
          <w:tcPr>
            <w:tcW w:w="2689" w:type="dxa"/>
          </w:tcPr>
          <w:p w:rsidR="005F084C" w:rsidRPr="00C944EB" w:rsidRDefault="007E65DA">
            <w:pPr>
              <w:rPr>
                <w:rFonts w:ascii="Palatino Linotype" w:eastAsia="Palatino Linotype" w:hAnsi="Palatino Linotype" w:cs="Palatino Linotype"/>
              </w:rPr>
            </w:pPr>
            <w:r w:rsidRPr="00C944EB">
              <w:rPr>
                <w:rFonts w:ascii="Palatino Linotype" w:eastAsia="Palatino Linotype" w:hAnsi="Palatino Linotype" w:cs="Palatino Linotype"/>
              </w:rPr>
              <w:lastRenderedPageBreak/>
              <w:t>c) Formalidades para emitir el acuerdo de clasificación.</w:t>
            </w:r>
          </w:p>
        </w:tc>
        <w:tc>
          <w:tcPr>
            <w:tcW w:w="6944" w:type="dxa"/>
          </w:tcPr>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Es necesario que </w:t>
            </w:r>
            <w:r w:rsidRPr="00C944EB">
              <w:rPr>
                <w:rFonts w:ascii="Palatino Linotype" w:eastAsia="Palatino Linotype" w:hAnsi="Palatino Linotype" w:cs="Palatino Linotype"/>
                <w:b/>
                <w:bCs/>
                <w:color w:val="000000"/>
                <w:u w:val="single"/>
              </w:rPr>
              <w:t>el acto reúna con los requisitos elementales</w:t>
            </w:r>
            <w:r w:rsidRPr="00C944EB">
              <w:rPr>
                <w:rFonts w:ascii="Palatino Linotype" w:eastAsia="Palatino Linotype" w:hAnsi="Palatino Linotype" w:cs="Palatino Linotype"/>
                <w:color w:val="000000"/>
              </w:rPr>
              <w:t>, entre ellos, que la autoridad que va a emitir el acto de autoridad sea la legalmente facultada para ello.</w:t>
            </w:r>
          </w:p>
          <w:p w:rsidR="005F084C" w:rsidRPr="00C944EB" w:rsidRDefault="007E65DA">
            <w:pPr>
              <w:jc w:val="both"/>
              <w:rPr>
                <w:rFonts w:ascii="Palatino Linotype" w:eastAsia="Palatino Linotype" w:hAnsi="Palatino Linotype" w:cs="Palatino Linotype"/>
              </w:rPr>
            </w:pPr>
            <w:r w:rsidRPr="00C944EB">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F084C" w:rsidRPr="00C944EB" w:rsidTr="00C944EB">
        <w:tc>
          <w:tcPr>
            <w:tcW w:w="2689" w:type="dxa"/>
          </w:tcPr>
          <w:p w:rsidR="005F084C" w:rsidRPr="00C944EB" w:rsidRDefault="005F084C">
            <w:pPr>
              <w:rPr>
                <w:rFonts w:ascii="Palatino Linotype" w:eastAsia="Palatino Linotype" w:hAnsi="Palatino Linotype" w:cs="Palatino Linotype"/>
              </w:rPr>
            </w:pPr>
          </w:p>
          <w:p w:rsidR="005F084C" w:rsidRPr="00C944EB" w:rsidRDefault="007E65DA">
            <w:pPr>
              <w:jc w:val="both"/>
              <w:rPr>
                <w:rFonts w:ascii="Palatino Linotype" w:eastAsia="Palatino Linotype" w:hAnsi="Palatino Linotype" w:cs="Palatino Linotype"/>
              </w:rPr>
            </w:pPr>
            <w:r w:rsidRPr="00C944EB">
              <w:rPr>
                <w:rFonts w:ascii="Palatino Linotype" w:eastAsia="Palatino Linotype" w:hAnsi="Palatino Linotype" w:cs="Palatino Linotype"/>
                <w:color w:val="000000"/>
              </w:rPr>
              <w:t xml:space="preserve">d) Requisitos de fondo del acuerdo de clasificación. </w:t>
            </w:r>
          </w:p>
        </w:tc>
        <w:tc>
          <w:tcPr>
            <w:tcW w:w="6944" w:type="dxa"/>
          </w:tcPr>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944EB">
              <w:rPr>
                <w:rFonts w:ascii="Palatino Linotype" w:eastAsia="Palatino Linotype" w:hAnsi="Palatino Linotype" w:cs="Palatino Linotype"/>
                <w:b/>
                <w:bCs/>
                <w:color w:val="000000"/>
              </w:rPr>
              <w:lastRenderedPageBreak/>
              <w:t>Sujetos Obligados</w:t>
            </w:r>
            <w:r w:rsidRPr="00C944EB">
              <w:rPr>
                <w:rFonts w:ascii="Palatino Linotype" w:eastAsia="Palatino Linotype" w:hAnsi="Palatino Linotype" w:cs="Palatino Linotype"/>
                <w:color w:val="000000"/>
              </w:rPr>
              <w:t xml:space="preserve">, por lo que deberán fundar y motivar debidamente la clasificación. </w:t>
            </w:r>
          </w:p>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De lo anterior, se desprende que para una correcta </w:t>
            </w:r>
            <w:r w:rsidRPr="00C944EB">
              <w:rPr>
                <w:rFonts w:ascii="Palatino Linotype" w:eastAsia="Palatino Linotype" w:hAnsi="Palatino Linotype" w:cs="Palatino Linotype"/>
                <w:b/>
                <w:bCs/>
                <w:color w:val="000000"/>
              </w:rPr>
              <w:t>clasificación total o parcial</w:t>
            </w:r>
            <w:r w:rsidRPr="00C944EB">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Ahora bien, </w:t>
            </w:r>
            <w:r w:rsidRPr="00C944EB">
              <w:rPr>
                <w:rFonts w:ascii="Palatino Linotype" w:eastAsia="Palatino Linotype" w:hAnsi="Palatino Linotype" w:cs="Palatino Linotype"/>
                <w:b/>
                <w:bCs/>
                <w:color w:val="000000"/>
                <w:u w:val="single"/>
              </w:rPr>
              <w:t>para cada caso además de fundar y motivar</w:t>
            </w:r>
            <w:r w:rsidRPr="00C944EB">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F084C" w:rsidRPr="00C944EB" w:rsidTr="00C944EB">
        <w:tc>
          <w:tcPr>
            <w:tcW w:w="2689" w:type="dxa"/>
          </w:tcPr>
          <w:p w:rsidR="005F084C" w:rsidRPr="00C944EB" w:rsidRDefault="007E65DA">
            <w:pPr>
              <w:ind w:right="49"/>
              <w:jc w:val="both"/>
              <w:rPr>
                <w:rFonts w:ascii="Palatino Linotype" w:eastAsia="Palatino Linotype" w:hAnsi="Palatino Linotype" w:cs="Palatino Linotype"/>
              </w:rPr>
            </w:pPr>
            <w:r w:rsidRPr="00C944EB">
              <w:rPr>
                <w:rFonts w:ascii="Palatino Linotype" w:eastAsia="Palatino Linotype" w:hAnsi="Palatino Linotype" w:cs="Palatino Linotype"/>
              </w:rPr>
              <w:lastRenderedPageBreak/>
              <w:t xml:space="preserve">e) Condiciones especiales de la clasificación de la información como confidencial. </w:t>
            </w:r>
          </w:p>
        </w:tc>
        <w:tc>
          <w:tcPr>
            <w:tcW w:w="6944" w:type="dxa"/>
          </w:tcPr>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5F084C" w:rsidRPr="00C944EB" w:rsidRDefault="007E65DA">
            <w:pPr>
              <w:ind w:right="49"/>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w:t>
            </w:r>
            <w:r w:rsidRPr="00C944EB">
              <w:rPr>
                <w:rFonts w:ascii="Palatino Linotype" w:eastAsia="Palatino Linotype" w:hAnsi="Palatino Linotype" w:cs="Palatino Linotype"/>
                <w:color w:val="000000"/>
              </w:rPr>
              <w:lastRenderedPageBreak/>
              <w:t xml:space="preserve">Corte de Justicia de la Nación, los servidores públicos nos encontramos sujetos a un régimen menor de protección. </w:t>
            </w:r>
          </w:p>
          <w:p w:rsidR="005F084C" w:rsidRPr="00C944EB" w:rsidRDefault="007E65DA">
            <w:pPr>
              <w:rPr>
                <w:rFonts w:ascii="Palatino Linotype" w:eastAsia="Palatino Linotype" w:hAnsi="Palatino Linotype" w:cs="Palatino Linotype"/>
              </w:rPr>
            </w:pPr>
            <w:r w:rsidRPr="00C944EB">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222222"/>
        </w:rPr>
        <w:t>Por otro lado, de manera enunciativa mas no limitativas, dentro de los elementos que integran los recibos de nómina se pueden encontrar los siguientes:</w:t>
      </w:r>
    </w:p>
    <w:p w:rsidR="005F084C" w:rsidRPr="00C944EB" w:rsidRDefault="007E65DA">
      <w:pPr>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Clave Única de Registro de Población (CURP);</w:t>
      </w:r>
    </w:p>
    <w:p w:rsidR="005F084C" w:rsidRPr="00C944EB" w:rsidRDefault="007E65DA">
      <w:pPr>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Número de ISSEMyM;</w:t>
      </w:r>
    </w:p>
    <w:p w:rsidR="005F084C" w:rsidRPr="00C944EB" w:rsidRDefault="007E65DA">
      <w:pPr>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Número de empleado;</w:t>
      </w:r>
    </w:p>
    <w:p w:rsidR="005F084C" w:rsidRPr="00C944EB" w:rsidRDefault="007E65DA">
      <w:pPr>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Registro Federal de Contribuyentes (RFC);</w:t>
      </w:r>
    </w:p>
    <w:p w:rsidR="005F084C" w:rsidRPr="00C944EB" w:rsidRDefault="007E65DA">
      <w:pPr>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Número de Serie del CSD del SAT;</w:t>
      </w:r>
    </w:p>
    <w:p w:rsidR="005F084C" w:rsidRPr="00C944EB" w:rsidRDefault="007E65DA">
      <w:pPr>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Número de Serie del CDS del emisor;</w:t>
      </w:r>
    </w:p>
    <w:p w:rsidR="005F084C" w:rsidRPr="00C944EB" w:rsidRDefault="007E65DA">
      <w:pPr>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Serie y folio;</w:t>
      </w:r>
    </w:p>
    <w:p w:rsidR="005F084C" w:rsidRPr="00C944EB" w:rsidRDefault="007E65DA">
      <w:pPr>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Firma;</w:t>
      </w:r>
    </w:p>
    <w:p w:rsidR="005F084C" w:rsidRPr="00C944EB" w:rsidRDefault="007E65DA">
      <w:pPr>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Código QR;</w:t>
      </w:r>
    </w:p>
    <w:p w:rsidR="005F084C" w:rsidRPr="00C944EB" w:rsidRDefault="007E65DA">
      <w:pPr>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Sello Digital del Contribuyente; y</w:t>
      </w:r>
    </w:p>
    <w:p w:rsidR="005F084C" w:rsidRPr="00C944EB" w:rsidRDefault="007E65DA">
      <w:pPr>
        <w:numPr>
          <w:ilvl w:val="0"/>
          <w:numId w:val="8"/>
        </w:numPr>
        <w:pBdr>
          <w:top w:val="nil"/>
          <w:left w:val="nil"/>
          <w:bottom w:val="nil"/>
          <w:right w:val="nil"/>
          <w:between w:val="nil"/>
        </w:pBdr>
        <w:tabs>
          <w:tab w:val="left" w:pos="567"/>
        </w:tabs>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Sello Digital del SAT.</w:t>
      </w:r>
    </w:p>
    <w:p w:rsidR="005F084C" w:rsidRPr="00C944EB" w:rsidRDefault="005F084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5F084C" w:rsidRPr="00C944EB" w:rsidRDefault="007E65DA" w:rsidP="00C944EB">
      <w:pPr>
        <w:pStyle w:val="Ttulo3"/>
        <w:numPr>
          <w:ilvl w:val="0"/>
          <w:numId w:val="8"/>
        </w:numPr>
        <w:ind w:left="0" w:firstLine="0"/>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Clave Única de Registro de Población (CURP).</w:t>
      </w:r>
    </w:p>
    <w:p w:rsidR="005F084C" w:rsidRPr="00C944EB" w:rsidRDefault="007E65DA">
      <w:pPr>
        <w:numPr>
          <w:ilvl w:val="0"/>
          <w:numId w:val="1"/>
        </w:numPr>
        <w:pBdr>
          <w:top w:val="nil"/>
          <w:left w:val="nil"/>
          <w:bottom w:val="nil"/>
          <w:right w:val="nil"/>
          <w:between w:val="nil"/>
        </w:pBd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 xml:space="preserve">La Clave Única de Registro de Población (CURP) según lo establecido en el Instructivo Normativo para la Asignación de la Clave Única de Registro de Población, la CURP es un elemento que permite registrar de forma individual a las o los mexicanos, así </w:t>
      </w:r>
      <w:r w:rsidRPr="00C944EB">
        <w:rPr>
          <w:rFonts w:ascii="Palatino Linotype" w:eastAsia="Palatino Linotype" w:hAnsi="Palatino Linotype" w:cs="Palatino Linotype"/>
          <w:color w:val="000000"/>
        </w:rPr>
        <w:lastRenderedPageBreak/>
        <w:t xml:space="preserve">como a los extranjeros que se encuentren en condiciones de estancia regular en el país o en trámite de ésta, se integra por dieciocho (18) caracteres, los cuales son: </w:t>
      </w:r>
    </w:p>
    <w:p w:rsidR="005F084C" w:rsidRPr="00C944EB" w:rsidRDefault="007E65DA">
      <w:pPr>
        <w:shd w:val="clear" w:color="auto" w:fill="FFFFFF"/>
        <w:spacing w:before="240" w:after="240" w:line="360" w:lineRule="auto"/>
        <w:jc w:val="center"/>
        <w:rPr>
          <w:rFonts w:ascii="Palatino Linotype" w:eastAsia="Palatino Linotype" w:hAnsi="Palatino Linotype" w:cs="Palatino Linotype"/>
          <w:color w:val="222222"/>
        </w:rPr>
      </w:pPr>
      <w:r w:rsidRPr="00C944EB">
        <w:rPr>
          <w:rFonts w:ascii="Palatino Linotype" w:eastAsia="Palatino Linotype" w:hAnsi="Palatino Linotype" w:cs="Palatino Linotype"/>
          <w:noProof/>
          <w:lang w:val="es-MX"/>
        </w:rPr>
        <w:drawing>
          <wp:inline distT="0" distB="0" distL="0" distR="0">
            <wp:extent cx="2647950" cy="2619375"/>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5746" t="8269" r="41253" b="18081"/>
                    <a:stretch>
                      <a:fillRect/>
                    </a:stretch>
                  </pic:blipFill>
                  <pic:spPr>
                    <a:xfrm>
                      <a:off x="0" y="0"/>
                      <a:ext cx="2647950" cy="2619375"/>
                    </a:xfrm>
                    <a:prstGeom prst="rect">
                      <a:avLst/>
                    </a:prstGeom>
                    <a:ln/>
                  </pic:spPr>
                </pic:pic>
              </a:graphicData>
            </a:graphic>
          </wp:inline>
        </w:drawing>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 xml:space="preserve">Entre las características de la CURP, se encuentra: </w:t>
      </w:r>
    </w:p>
    <w:p w:rsidR="005F084C" w:rsidRPr="00C944EB" w:rsidRDefault="007E65DA">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b/>
          <w:bCs/>
          <w:color w:val="000000"/>
        </w:rPr>
        <w:t xml:space="preserve">Composición. </w:t>
      </w:r>
      <w:r w:rsidRPr="00C944EB">
        <w:rPr>
          <w:rFonts w:ascii="Palatino Linotype" w:eastAsia="Palatino Linotype" w:hAnsi="Palatino Linotype" w:cs="Palatino Linotype"/>
          <w:color w:val="000000"/>
        </w:rPr>
        <w:t>Alfanumérica.</w:t>
      </w:r>
    </w:p>
    <w:p w:rsidR="005F084C" w:rsidRPr="00C944EB" w:rsidRDefault="007E65DA">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b/>
          <w:bCs/>
          <w:color w:val="000000"/>
        </w:rPr>
        <w:t xml:space="preserve">Longitud. </w:t>
      </w:r>
      <w:r w:rsidRPr="00C944EB">
        <w:rPr>
          <w:rFonts w:ascii="Palatino Linotype" w:eastAsia="Palatino Linotype" w:hAnsi="Palatino Linotype" w:cs="Palatino Linotype"/>
          <w:color w:val="000000"/>
        </w:rPr>
        <w:t xml:space="preserve"> 18 caracteres.</w:t>
      </w:r>
    </w:p>
    <w:p w:rsidR="005F084C" w:rsidRPr="00C944EB" w:rsidRDefault="007E65DA">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b/>
          <w:bCs/>
          <w:color w:val="000000"/>
        </w:rPr>
        <w:t xml:space="preserve">Naturaleza. </w:t>
      </w:r>
      <w:r w:rsidRPr="00C944EB">
        <w:rPr>
          <w:rFonts w:ascii="Palatino Linotype" w:eastAsia="Palatino Linotype" w:hAnsi="Palatino Linotype" w:cs="Palatino Linotype"/>
          <w:color w:val="000000"/>
        </w:rPr>
        <w:t>Biunívoca.</w:t>
      </w:r>
    </w:p>
    <w:p w:rsidR="005F084C" w:rsidRPr="00C944EB" w:rsidRDefault="007E65DA">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b/>
          <w:bCs/>
          <w:color w:val="000000"/>
        </w:rPr>
        <w:t xml:space="preserve">Universalidad. </w:t>
      </w:r>
      <w:r w:rsidRPr="00C944EB">
        <w:rPr>
          <w:rFonts w:ascii="Palatino Linotype" w:eastAsia="Palatino Linotype" w:hAnsi="Palatino Linotype" w:cs="Palatino Linotype"/>
          <w:color w:val="000000"/>
        </w:rPr>
        <w:t>Se asigna a todas las personas que conforman la población.</w:t>
      </w:r>
    </w:p>
    <w:p w:rsidR="005F084C" w:rsidRPr="00C944EB" w:rsidRDefault="007E65DA">
      <w:pPr>
        <w:pBdr>
          <w:top w:val="nil"/>
          <w:left w:val="nil"/>
          <w:bottom w:val="nil"/>
          <w:right w:val="nil"/>
          <w:between w:val="nil"/>
        </w:pBdr>
        <w:tabs>
          <w:tab w:val="left" w:pos="426"/>
          <w:tab w:val="left" w:pos="567"/>
        </w:tabs>
        <w:ind w:left="567" w:right="567"/>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rsidR="005F084C" w:rsidRPr="00C944EB" w:rsidRDefault="005F084C">
      <w:pPr>
        <w:pBdr>
          <w:top w:val="nil"/>
          <w:left w:val="nil"/>
          <w:bottom w:val="nil"/>
          <w:right w:val="nil"/>
          <w:between w:val="nil"/>
        </w:pBdr>
        <w:tabs>
          <w:tab w:val="left" w:pos="426"/>
          <w:tab w:val="left" w:pos="567"/>
        </w:tabs>
        <w:ind w:right="567"/>
        <w:jc w:val="both"/>
        <w:rPr>
          <w:rFonts w:ascii="Palatino Linotype" w:eastAsia="Palatino Linotype" w:hAnsi="Palatino Linotype" w:cs="Palatino Linotype"/>
          <w:b/>
          <w:bCs/>
          <w:color w:val="000000"/>
        </w:rPr>
      </w:pP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lastRenderedPageBreak/>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 xml:space="preserve">Ante ello, resulta aplicable el Criterio 18/17 emitido por el Instituto Nacional de Transparencia, Acceso a la Información y Protección de Datos Personales, que a la literalidad señala: </w:t>
      </w:r>
    </w:p>
    <w:p w:rsidR="005F084C" w:rsidRPr="00C944EB" w:rsidRDefault="007E65DA">
      <w:pPr>
        <w:pBdr>
          <w:top w:val="nil"/>
          <w:left w:val="nil"/>
          <w:bottom w:val="nil"/>
          <w:right w:val="nil"/>
          <w:between w:val="nil"/>
        </w:pBdr>
        <w:tabs>
          <w:tab w:val="left" w:pos="567"/>
        </w:tabs>
        <w:ind w:left="360"/>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i/>
          <w:iCs/>
          <w:color w:val="000000"/>
        </w:rPr>
        <w:t>“</w:t>
      </w:r>
      <w:r w:rsidRPr="00C944EB">
        <w:rPr>
          <w:rFonts w:ascii="Palatino Linotype" w:eastAsia="Palatino Linotype" w:hAnsi="Palatino Linotype" w:cs="Palatino Linotype"/>
          <w:b/>
          <w:bCs/>
          <w:i/>
          <w:iCs/>
          <w:color w:val="000000"/>
        </w:rPr>
        <w:t xml:space="preserve">Clave Única de Registro de Población (CURP). </w:t>
      </w:r>
      <w:r w:rsidRPr="00C944EB">
        <w:rPr>
          <w:rFonts w:ascii="Palatino Linotype" w:eastAsia="Palatino Linotype" w:hAnsi="Palatino Linotype" w:cs="Palatino Linotype"/>
          <w:i/>
          <w:iCs/>
          <w:color w:val="00000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rsidR="005F084C" w:rsidRPr="00C944EB" w:rsidRDefault="005F084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5F084C" w:rsidRPr="00C944EB" w:rsidRDefault="007E65DA" w:rsidP="00C944EB">
      <w:pPr>
        <w:pStyle w:val="Ttulo3"/>
        <w:numPr>
          <w:ilvl w:val="0"/>
          <w:numId w:val="2"/>
        </w:numPr>
        <w:ind w:left="0" w:firstLine="0"/>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Clave ISSEMyM</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w:t>
      </w:r>
      <w:r w:rsidRPr="00C944EB">
        <w:rPr>
          <w:rFonts w:ascii="Palatino Linotype" w:eastAsia="Palatino Linotype" w:hAnsi="Palatino Linotype" w:cs="Palatino Linotype"/>
          <w:color w:val="000000"/>
        </w:rPr>
        <w:lastRenderedPageBreak/>
        <w:t>de la Ley de Seguridad Social para los Servidores Públicos del Estado de México y Municipios.</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5F084C" w:rsidRPr="00C944EB" w:rsidRDefault="007E65DA" w:rsidP="00C944EB">
      <w:pPr>
        <w:numPr>
          <w:ilvl w:val="0"/>
          <w:numId w:val="5"/>
        </w:numPr>
        <w:pBdr>
          <w:top w:val="nil"/>
          <w:left w:val="nil"/>
          <w:bottom w:val="nil"/>
          <w:right w:val="nil"/>
          <w:between w:val="nil"/>
        </w:pBd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b/>
          <w:bCs/>
          <w:color w:val="000000"/>
        </w:rPr>
        <w:t>Número de empleado.</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 xml:space="preserve">El número de empleado de los servidores públicos del Ayuntamiento son asignados por el Departamento de Recursos Humanos o equivalente y se trata de un código identificador para uso exclusivo del empleado que, de vincularse y relacionarse al RFC lo </w:t>
      </w:r>
      <w:r w:rsidRPr="00C944EB">
        <w:rPr>
          <w:rFonts w:ascii="Palatino Linotype" w:eastAsia="Palatino Linotype" w:hAnsi="Palatino Linotype" w:cs="Palatino Linotype"/>
          <w:color w:val="000000"/>
        </w:rPr>
        <w:lastRenderedPageBreak/>
        <w:t>hace identificable plenamente y, con los mismos se puede tener acceso a diversa información, inclusive con sus datos personales.</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w:t>
      </w:r>
    </w:p>
    <w:p w:rsidR="005F084C" w:rsidRPr="00C944EB" w:rsidRDefault="007E65DA">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b/>
          <w:bCs/>
          <w:i/>
          <w:iCs/>
          <w:color w:val="000000"/>
        </w:rPr>
        <w:t>Número de empleado.</w:t>
      </w:r>
      <w:r w:rsidRPr="00C944EB">
        <w:rPr>
          <w:rFonts w:ascii="Palatino Linotype" w:eastAsia="Palatino Linotype" w:hAnsi="Palatino Linotype" w:cs="Palatino Linotype"/>
          <w:i/>
          <w:iCs/>
          <w:color w:val="000000"/>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rsidR="005F084C" w:rsidRPr="00C944EB" w:rsidRDefault="005F084C">
      <w:pPr>
        <w:pBdr>
          <w:top w:val="nil"/>
          <w:left w:val="nil"/>
          <w:bottom w:val="nil"/>
          <w:right w:val="nil"/>
          <w:between w:val="nil"/>
        </w:pBdr>
        <w:ind w:right="567"/>
        <w:jc w:val="both"/>
        <w:rPr>
          <w:rFonts w:ascii="Palatino Linotype" w:eastAsia="Palatino Linotype" w:hAnsi="Palatino Linotype" w:cs="Palatino Linotype"/>
          <w:i/>
          <w:iCs/>
          <w:color w:val="000000"/>
        </w:rPr>
      </w:pP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En otros escenarios, el número de empleado corresponde sólo a un número consecutivo que no contiene datos personales ni se relaciona con los mismos, por lo que, el Sujeto Obligado deberá de clasificar dicho dato únicamente si se integra con datos personales, tal y como lo señala el criterio orientador.</w:t>
      </w:r>
    </w:p>
    <w:p w:rsidR="005F084C" w:rsidRPr="00C944EB" w:rsidRDefault="007E65DA" w:rsidP="00C944EB">
      <w:pPr>
        <w:pStyle w:val="Ttulo3"/>
        <w:numPr>
          <w:ilvl w:val="0"/>
          <w:numId w:val="2"/>
        </w:numPr>
        <w:ind w:left="0" w:firstLine="0"/>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Registro Federal de Contribuyentes (RFC)</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 xml:space="preserve">De acuerdo a lo establecido en el artículo en comento, esta clave se compone de trece caracteres alfanuméricos, con datos obtenidos de los apellidos, nombre (s), fecha de </w:t>
      </w:r>
      <w:r w:rsidRPr="00C944EB">
        <w:rPr>
          <w:rFonts w:ascii="Palatino Linotype" w:eastAsia="Palatino Linotype" w:hAnsi="Palatino Linotype" w:cs="Palatino Linotype"/>
          <w:color w:val="000000"/>
        </w:rPr>
        <w:lastRenderedPageBreak/>
        <w:t>nacimiento del titular, más una homoclave que establece el sistema automático del Servicio de Administración Tributaria.</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rsidR="005F084C" w:rsidRPr="00C944EB" w:rsidRDefault="007E65DA">
      <w:pPr>
        <w:pBdr>
          <w:top w:val="nil"/>
          <w:left w:val="nil"/>
          <w:bottom w:val="nil"/>
          <w:right w:val="nil"/>
          <w:between w:val="nil"/>
        </w:pBdr>
        <w:ind w:left="567" w:right="567"/>
        <w:jc w:val="both"/>
        <w:rPr>
          <w:rFonts w:ascii="Palatino Linotype" w:eastAsia="Palatino Linotype" w:hAnsi="Palatino Linotype" w:cs="Palatino Linotype"/>
          <w:b/>
          <w:bCs/>
          <w:i/>
          <w:iCs/>
          <w:color w:val="000000"/>
        </w:rPr>
      </w:pPr>
      <w:r w:rsidRPr="00C944EB">
        <w:rPr>
          <w:rFonts w:ascii="Palatino Linotype" w:eastAsia="Palatino Linotype" w:hAnsi="Palatino Linotype" w:cs="Palatino Linotype"/>
          <w:b/>
          <w:bCs/>
          <w:i/>
          <w:iCs/>
          <w:color w:val="000000"/>
        </w:rPr>
        <w:t xml:space="preserve">Registro Federal de Contribuyentes (RFC) de personas físicas. </w:t>
      </w:r>
    </w:p>
    <w:p w:rsidR="005F084C" w:rsidRPr="00C944EB" w:rsidRDefault="007E65DA">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El RFC es una clave de carácter fiscal, única e irrepetible, que permite identificar al titular, su edad y fecha de nacimiento, por lo que es un dato personal de carácter confidencial.</w:t>
      </w:r>
    </w:p>
    <w:p w:rsidR="005F084C" w:rsidRPr="00C944EB" w:rsidRDefault="005F084C">
      <w:pPr>
        <w:pBdr>
          <w:top w:val="nil"/>
          <w:left w:val="nil"/>
          <w:bottom w:val="nil"/>
          <w:right w:val="nil"/>
          <w:between w:val="nil"/>
        </w:pBdr>
        <w:ind w:right="567"/>
        <w:jc w:val="both"/>
        <w:rPr>
          <w:rFonts w:ascii="Palatino Linotype" w:eastAsia="Palatino Linotype" w:hAnsi="Palatino Linotype" w:cs="Palatino Linotype"/>
          <w:i/>
          <w:iCs/>
          <w:color w:val="000000"/>
        </w:rPr>
      </w:pP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b/>
          <w:bCs/>
          <w:color w:val="000000"/>
        </w:rPr>
        <w:t>De tal suerte, el Registro Federal de Contribuyentes de las personas físicas no guarda relación con la transparencia de los recursos públicos</w:t>
      </w:r>
      <w:r w:rsidRPr="00C944EB">
        <w:rPr>
          <w:rFonts w:ascii="Palatino Linotype" w:eastAsia="Palatino Linotype" w:hAnsi="Palatino Linotype" w:cs="Palatino Linotype"/>
          <w:color w:val="000000"/>
        </w:rPr>
        <w:t>, así como tampoco con el desempeño laboral que pueda tener una persona.</w:t>
      </w:r>
    </w:p>
    <w:p w:rsidR="005F084C" w:rsidRPr="00C944EB" w:rsidRDefault="007E65DA" w:rsidP="00C944EB">
      <w:pPr>
        <w:pStyle w:val="Ttulo3"/>
        <w:numPr>
          <w:ilvl w:val="0"/>
          <w:numId w:val="2"/>
        </w:numPr>
        <w:ind w:left="0" w:firstLine="0"/>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lastRenderedPageBreak/>
        <w:t>Deducciones personales</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 xml:space="preserve">Es necesario precisar que existen deducciones que se generan con motivo de una decisión libre y voluntaria de los servidores públicos, como son: créditos personales, </w:t>
      </w:r>
      <w:r w:rsidRPr="00C944EB">
        <w:rPr>
          <w:rFonts w:ascii="Palatino Linotype" w:eastAsia="Palatino Linotype" w:hAnsi="Palatino Linotype" w:cs="Palatino Linotype"/>
          <w:b/>
          <w:bCs/>
          <w:color w:val="000000"/>
          <w:u w:val="single"/>
        </w:rPr>
        <w:t>cuotas sindicales y fondo de resistencia del Sindicato Único de Trabajadores de los Poderes, Municipios e Institución Descentralizadas del Estado de México</w:t>
      </w:r>
      <w:r w:rsidRPr="00C944EB">
        <w:rPr>
          <w:rFonts w:ascii="Palatino Linotype" w:eastAsia="Palatino Linotype" w:hAnsi="Palatino Linotype" w:cs="Palatino Linotype"/>
          <w:color w:val="000000"/>
        </w:rPr>
        <w:t>, seguro de vida, accidentes y enfermedades.</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 xml:space="preserve">Asimismo, hay otras que se generan con motivo de una sentencia judicial, como es la pensión alimenticia que periódicamente se retira de la cuenta de un empleado, a efecto de que sea entregado a un tercero.  </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bookmarkStart w:id="10" w:name="_heading=h.1ksv4uv" w:colFirst="0" w:colLast="0"/>
      <w:bookmarkEnd w:id="10"/>
      <w:r w:rsidRPr="00C944EB">
        <w:rPr>
          <w:rFonts w:ascii="Palatino Linotype" w:eastAsia="Palatino Linotype" w:hAnsi="Palatino Linotype" w:cs="Palatino Linotype"/>
          <w:color w:val="000000"/>
        </w:rPr>
        <w:t>Así, dichas deducciones reflejan el destino que un servidor público da a su patrimonio, lo que se aleja de la transparencia y rendición de cuentas.</w:t>
      </w:r>
    </w:p>
    <w:p w:rsidR="005F084C" w:rsidRPr="00C944EB" w:rsidRDefault="007E65DA" w:rsidP="00C944EB">
      <w:pPr>
        <w:pStyle w:val="Ttulo3"/>
        <w:numPr>
          <w:ilvl w:val="0"/>
          <w:numId w:val="2"/>
        </w:numPr>
        <w:ind w:left="0" w:firstLine="0"/>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CÓDIGO QR</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 xml:space="preserve">En principio, resulta necesario señalar que los comprobantes fiscales digitales por Internet, deben de incluir un código bidimensional conforme al formato </w:t>
      </w:r>
      <w:r w:rsidRPr="00C944EB">
        <w:rPr>
          <w:rFonts w:ascii="Palatino Linotype" w:eastAsia="Palatino Linotype" w:hAnsi="Palatino Linotype" w:cs="Palatino Linotype"/>
          <w:i/>
          <w:iCs/>
          <w:color w:val="000000"/>
        </w:rPr>
        <w:t>QR Code (Quick Response Code)</w:t>
      </w:r>
      <w:r w:rsidRPr="00C944EB">
        <w:rPr>
          <w:rFonts w:ascii="Palatino Linotype" w:eastAsia="Palatino Linotype" w:hAnsi="Palatino Linotype" w:cs="Palatino Linotype"/>
          <w:color w:val="000000"/>
        </w:rPr>
        <w:t xml:space="preserve">, el cual contiene el Registro Federal de Contribuyentes del receptor, del emisor, o de ambos; lo anterior, conforme al Anexo 20 de la Segunda Resolución de </w:t>
      </w:r>
      <w:r w:rsidRPr="00C944EB">
        <w:rPr>
          <w:rFonts w:ascii="Palatino Linotype" w:eastAsia="Palatino Linotype" w:hAnsi="Palatino Linotype" w:cs="Palatino Linotype"/>
          <w:color w:val="000000"/>
        </w:rPr>
        <w:lastRenderedPageBreak/>
        <w:t xml:space="preserve">modificación a la Resolución Miscelánea Fiscal para el 2017, localizada en la página electrónica </w:t>
      </w:r>
      <w:hyperlink r:id="rId14">
        <w:r w:rsidRPr="00C944EB">
          <w:rPr>
            <w:rFonts w:ascii="Palatino Linotype" w:eastAsia="Palatino Linotype" w:hAnsi="Palatino Linotype" w:cs="Palatino Linotype"/>
            <w:color w:val="0563C1"/>
            <w:u w:val="single"/>
          </w:rPr>
          <w:t>http://dof.gob.mx/nota_detalle.php?codigo=5492254&amp;fecha=28/07/2017</w:t>
        </w:r>
      </w:hyperlink>
      <w:r w:rsidRPr="00C944EB">
        <w:rPr>
          <w:rFonts w:ascii="Palatino Linotype" w:eastAsia="Palatino Linotype" w:hAnsi="Palatino Linotype" w:cs="Palatino Linotype"/>
          <w:color w:val="000000"/>
        </w:rPr>
        <w:t>. Incluso con la captura de dicho código, a través de la aplicación móvil del Servicio de Administración Tributaria, permite el acceso al Registro Federal de Contribuyentes, como del Sujeto Obligado, como de los servidores públicos.</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Hasta este punto, se considera que la información relacionada con los siguientes puntos actualiza una causal de confidencialidad, toda vez que identifica o hace identificable a su titular.</w:t>
      </w:r>
    </w:p>
    <w:p w:rsidR="005F084C" w:rsidRPr="00C944EB" w:rsidRDefault="007E65DA">
      <w:pPr>
        <w:numPr>
          <w:ilvl w:val="0"/>
          <w:numId w:val="9"/>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Clave Única de Registro de Población (CURP)</w:t>
      </w:r>
    </w:p>
    <w:p w:rsidR="005F084C" w:rsidRPr="00C944EB" w:rsidRDefault="007E65DA">
      <w:pPr>
        <w:numPr>
          <w:ilvl w:val="0"/>
          <w:numId w:val="9"/>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Clave ISSEMyM</w:t>
      </w:r>
    </w:p>
    <w:p w:rsidR="005F084C" w:rsidRPr="00C944EB" w:rsidRDefault="007E65DA">
      <w:pPr>
        <w:numPr>
          <w:ilvl w:val="0"/>
          <w:numId w:val="9"/>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Número de empleado </w:t>
      </w:r>
      <w:r w:rsidRPr="00C944EB">
        <w:rPr>
          <w:rFonts w:ascii="Palatino Linotype" w:eastAsia="Palatino Linotype" w:hAnsi="Palatino Linotype" w:cs="Palatino Linotype"/>
          <w:b/>
          <w:bCs/>
          <w:color w:val="000000"/>
        </w:rPr>
        <w:t>(sólo en el caso de que contenga datos personales o se relacione con los mismos, de lo contrario es información pública)</w:t>
      </w:r>
    </w:p>
    <w:p w:rsidR="005F084C" w:rsidRPr="00C944EB" w:rsidRDefault="007E65DA">
      <w:pPr>
        <w:numPr>
          <w:ilvl w:val="0"/>
          <w:numId w:val="9"/>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Registro Federal de Contribuyentes (RFC)</w:t>
      </w:r>
    </w:p>
    <w:p w:rsidR="005F084C" w:rsidRPr="00C944EB" w:rsidRDefault="007E65DA">
      <w:pPr>
        <w:numPr>
          <w:ilvl w:val="0"/>
          <w:numId w:val="9"/>
        </w:numPr>
        <w:pBdr>
          <w:top w:val="nil"/>
          <w:left w:val="nil"/>
          <w:bottom w:val="nil"/>
          <w:right w:val="nil"/>
          <w:between w:val="nil"/>
        </w:pBdr>
        <w:ind w:left="567" w:right="567" w:firstLine="0"/>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Deducciones personales</w:t>
      </w:r>
    </w:p>
    <w:p w:rsidR="005F084C" w:rsidRPr="00C944EB" w:rsidRDefault="007E65DA">
      <w:pPr>
        <w:numPr>
          <w:ilvl w:val="0"/>
          <w:numId w:val="9"/>
        </w:numPr>
        <w:pBdr>
          <w:top w:val="nil"/>
          <w:left w:val="nil"/>
          <w:bottom w:val="nil"/>
          <w:right w:val="nil"/>
          <w:between w:val="nil"/>
        </w:pBdr>
        <w:ind w:left="567" w:right="567" w:firstLine="0"/>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Código QR</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Es decir, los datos personales enlistados constituyen datos personales confidenciales al actualizar el supuesto normativo del artículo 143, fracción I de la Ley de Transparencia y Acceso a la Información Pública del Estado de México y Municipios.</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lastRenderedPageBreak/>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bookmarkStart w:id="11" w:name="_heading=h.44sinio" w:colFirst="0" w:colLast="0"/>
      <w:bookmarkEnd w:id="11"/>
      <w:r w:rsidRPr="00C944EB">
        <w:rPr>
          <w:rFonts w:ascii="Palatino Linotype" w:eastAsia="Palatino Linotype" w:hAnsi="Palatino Linotype" w:cs="Palatino Linotype"/>
          <w:color w:val="000000"/>
        </w:rPr>
        <w:t>Ahora bien, siguiendo con el análisis de los datos que contienen los recibos remitidos, siguen los siguientes:</w:t>
      </w:r>
    </w:p>
    <w:p w:rsidR="005F084C" w:rsidRPr="00C944EB" w:rsidRDefault="007E65DA">
      <w:pPr>
        <w:pStyle w:val="Ttulo3"/>
        <w:numPr>
          <w:ilvl w:val="0"/>
          <w:numId w:val="3"/>
        </w:numPr>
        <w:spacing w:line="360" w:lineRule="auto"/>
        <w:ind w:left="567" w:right="567" w:hanging="141"/>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t>Sellos digitales del emisor y del Servicio de Administración Tributaria y cadena original del complemento de certificación digital del órgano previamente señalado; así como folio fiscal. (PUBLICOS)</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Las cadenas originales y sellos que se agregan a las facturas</w:t>
      </w:r>
      <w:r w:rsidRPr="00C944EB">
        <w:rPr>
          <w:rFonts w:ascii="Palatino Linotype" w:eastAsia="Palatino Linotype" w:hAnsi="Palatino Linotype" w:cs="Palatino Linotype"/>
          <w:b/>
          <w:bCs/>
          <w:color w:val="000000"/>
        </w:rPr>
        <w:t>,</w:t>
      </w:r>
      <w:r w:rsidRPr="00C944EB">
        <w:rPr>
          <w:rFonts w:ascii="Palatino Linotype" w:eastAsia="Palatino Linotype" w:hAnsi="Palatino Linotype" w:cs="Palatino Linotype"/>
          <w:color w:val="000000"/>
        </w:rPr>
        <w:t xml:space="preserve"> tienen una secuencia de generación, determinados con base en el ANEXO 20 de la Segunda Resolución de </w:t>
      </w:r>
      <w:r w:rsidRPr="00C944EB">
        <w:rPr>
          <w:rFonts w:ascii="Palatino Linotype" w:eastAsia="Palatino Linotype" w:hAnsi="Palatino Linotype" w:cs="Palatino Linotype"/>
          <w:color w:val="000000"/>
        </w:rPr>
        <w:lastRenderedPageBreak/>
        <w:t>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“Elementos utilizados en la generación de Sellos Digitales:</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•Cadena Original, el elemento a sellar, en este caso de un comprobante fiscal digital a través de Internet.</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•Certificado de Sello Digital y su correspondiente clave privada.</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•Algoritmos de criptografía de clave pública para firma electrónica avanzada.</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•Especificaciones de conversión de la firma electrónica avanzada a Base 64.</w:t>
      </w:r>
    </w:p>
    <w:p w:rsidR="005F084C" w:rsidRPr="00C944EB" w:rsidRDefault="007E65DA">
      <w:pPr>
        <w:ind w:left="567" w:right="539"/>
        <w:jc w:val="both"/>
        <w:rPr>
          <w:rFonts w:ascii="Palatino Linotype" w:eastAsia="Palatino Linotype" w:hAnsi="Palatino Linotype" w:cs="Palatino Linotype"/>
          <w:i/>
          <w:iCs/>
        </w:rPr>
      </w:pPr>
      <w:r w:rsidRPr="00C944EB">
        <w:rPr>
          <w:rFonts w:ascii="Palatino Linotype" w:eastAsia="Palatino Linotype" w:hAnsi="Palatino Linotype" w:cs="Palatino Linotype"/>
          <w:i/>
          <w:iCs/>
        </w:rPr>
        <w:t>Para la generación de sellos digitales se utiliza criptografía de clave pública aplicada a una cadena original.</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Criptografía de la Clave Pública</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5F084C" w:rsidRPr="00C944EB" w:rsidRDefault="005F084C">
      <w:pPr>
        <w:pBdr>
          <w:top w:val="nil"/>
          <w:left w:val="nil"/>
          <w:bottom w:val="nil"/>
          <w:right w:val="nil"/>
          <w:between w:val="nil"/>
        </w:pBdr>
        <w:ind w:right="539"/>
        <w:jc w:val="both"/>
        <w:rPr>
          <w:rFonts w:ascii="Palatino Linotype" w:eastAsia="Palatino Linotype" w:hAnsi="Palatino Linotype" w:cs="Palatino Linotype"/>
          <w:i/>
          <w:iCs/>
          <w:color w:val="000000"/>
        </w:rPr>
      </w:pP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 xml:space="preserve">Por otra parte, por lo que hace Folio Fiscal, cabe precisar que conforme al ANEXO 20 de la Segunda Resolución de modificaciones a la Resolución Miscelánea Fiscal para dos mil </w:t>
      </w:r>
      <w:r w:rsidRPr="00C944EB">
        <w:rPr>
          <w:rFonts w:ascii="Palatino Linotype" w:eastAsia="Palatino Linotype" w:hAnsi="Palatino Linotype" w:cs="Palatino Linotype"/>
          <w:color w:val="000000"/>
        </w:rPr>
        <w:lastRenderedPageBreak/>
        <w:t>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5F084C" w:rsidRPr="00C944EB" w:rsidRDefault="007E65DA">
      <w:pPr>
        <w:shd w:val="clear" w:color="auto" w:fill="FFFFFF"/>
        <w:spacing w:before="240" w:after="240" w:line="360" w:lineRule="auto"/>
        <w:jc w:val="center"/>
        <w:rPr>
          <w:rFonts w:ascii="Palatino Linotype" w:eastAsia="Palatino Linotype" w:hAnsi="Palatino Linotype" w:cs="Palatino Linotype"/>
          <w:color w:val="222222"/>
        </w:rPr>
      </w:pPr>
      <w:r w:rsidRPr="00C944EB">
        <w:rPr>
          <w:rFonts w:ascii="Palatino Linotype" w:eastAsia="Palatino Linotype" w:hAnsi="Palatino Linotype" w:cs="Palatino Linotype"/>
          <w:noProof/>
          <w:lang w:val="es-MX"/>
        </w:rPr>
        <w:drawing>
          <wp:inline distT="0" distB="0" distL="0" distR="0">
            <wp:extent cx="4237117" cy="257994"/>
            <wp:effectExtent l="0" t="0" r="0" b="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40505" r="32587" b="47480"/>
                    <a:stretch>
                      <a:fillRect/>
                    </a:stretch>
                  </pic:blipFill>
                  <pic:spPr>
                    <a:xfrm>
                      <a:off x="0" y="0"/>
                      <a:ext cx="4237117" cy="257994"/>
                    </a:xfrm>
                    <a:prstGeom prst="rect">
                      <a:avLst/>
                    </a:prstGeom>
                    <a:ln/>
                  </pic:spPr>
                </pic:pic>
              </a:graphicData>
            </a:graphic>
          </wp:inline>
        </w:drawing>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color w:val="000000"/>
        </w:rPr>
        <w:t>De lo anteriormente transcrito, se aprecia que la versión pública que remitió el Sujeto Obligado resulta excesiva, pues se pretende clasificar información que es de carácter pública, tal como las deducciones, total de deducciones, otros pagos, así como sellos y cadenas digitales. Además, de que la información que se proporcione en la atención de las solicitudes debe ser la más actualizada, es decir, la solicitud de acceso a la información corresponde al veintinueve (29) de mayo de dos mil veintitrés, por lo que, en un correcto actuar, el Sujeto Obligado debió proporcionar la información relativa a la primera quince del mes de mayo, situación que no ocurrió, en consecuencia, se ORDENA entregar esta última en una correcta versión pública.</w:t>
      </w:r>
    </w:p>
    <w:p w:rsidR="005F084C" w:rsidRPr="00C944EB" w:rsidRDefault="007E65DA" w:rsidP="00C944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C944EB">
        <w:rPr>
          <w:rFonts w:ascii="Palatino Linotype" w:eastAsia="Palatino Linotype" w:hAnsi="Palatino Linotype" w:cs="Palatino Linotype"/>
          <w:b/>
          <w:bCs/>
          <w:color w:val="000000"/>
        </w:rPr>
        <w:lastRenderedPageBreak/>
        <w:t>Deducciones que no son personales.</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rPr>
        <w:t>La Ley del Trabajo de los Servidores Públicos del Estado y Municipios</w:t>
      </w:r>
      <w:r w:rsidRPr="00C944EB">
        <w:rPr>
          <w:rFonts w:ascii="Palatino Linotype" w:eastAsia="Palatino Linotype" w:hAnsi="Palatino Linotype" w:cs="Palatino Linotype"/>
          <w:vertAlign w:val="superscript"/>
        </w:rPr>
        <w:footnoteReference w:id="1"/>
      </w:r>
      <w:r w:rsidRPr="00C944EB">
        <w:rPr>
          <w:rFonts w:ascii="Palatino Linotype" w:eastAsia="Palatino Linotype" w:hAnsi="Palatino Linotype" w:cs="Palatino Linotype"/>
        </w:rPr>
        <w:t xml:space="preserve"> en el artículo 84 establece lo siguiente:</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b/>
          <w:bCs/>
          <w:i/>
          <w:iCs/>
          <w:color w:val="000000"/>
        </w:rPr>
        <w:t>ARTÍCULO 84.</w:t>
      </w:r>
      <w:r w:rsidRPr="00C944EB">
        <w:rPr>
          <w:rFonts w:ascii="Palatino Linotype" w:eastAsia="Palatino Linotype" w:hAnsi="Palatino Linotype" w:cs="Palatino Linotype"/>
          <w:i/>
          <w:iCs/>
          <w:color w:val="000000"/>
        </w:rPr>
        <w:t xml:space="preserve"> Sólo podrán hacerse retenciones, descuentos o deducciones al sueldo de los servidores públicos por concepto de: </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C944EB">
        <w:rPr>
          <w:rFonts w:ascii="Palatino Linotype" w:eastAsia="Palatino Linotype" w:hAnsi="Palatino Linotype" w:cs="Palatino Linotype"/>
          <w:b/>
          <w:bCs/>
          <w:i/>
          <w:iCs/>
          <w:color w:val="000000"/>
        </w:rPr>
        <w:t>I. Gravámenes fiscales relacionados con el sueldo;</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 xml:space="preserve">II. Deudas contraídas con las instituciones públicas o dependencias por concepto de anticipos de sueldo, pagos hechos con exceso, errores o pérdidas debidamente comprobados; </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 xml:space="preserve">III. Cuotas sindicales; </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C944EB">
        <w:rPr>
          <w:rFonts w:ascii="Palatino Linotype" w:eastAsia="Palatino Linotype" w:hAnsi="Palatino Linotype" w:cs="Palatino Linotype"/>
          <w:b/>
          <w:bCs/>
          <w:i/>
          <w:iCs/>
          <w:color w:val="000000"/>
        </w:rPr>
        <w:t xml:space="preserve">IV. Cuotas de aportación a fondos para la constitución de cooperativas y de cajas de ahorro, siempre que el servidor público hubiese manifestado previamente, de manera expresa, su conformidad; </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C944EB">
        <w:rPr>
          <w:rFonts w:ascii="Palatino Linotype" w:eastAsia="Palatino Linotype" w:hAnsi="Palatino Linotype" w:cs="Palatino Linotype"/>
          <w:b/>
          <w:bCs/>
          <w:i/>
          <w:iCs/>
          <w:color w:val="000000"/>
        </w:rPr>
        <w:t xml:space="preserve">V. Descuentos ordenados por el Instituto de Seguridad Social del Estado de México y Municipios, con motivo de cuotas y obligaciones contraídas con éste por los servidores públicos; </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 xml:space="preserve">VI. Obligaciones a cargo del servidor público con las que haya consentido, derivadas de la adquisición o del uso de habitaciones consideradas como de interés social; </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 xml:space="preserve">VII. Faltas de puntualidad o de asistencia injustificadas; </w:t>
      </w:r>
    </w:p>
    <w:p w:rsidR="005F084C" w:rsidRPr="00C944EB"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 xml:space="preserve">VIII. Pensiones alimenticias ordenadas por la autoridad judicial; o </w:t>
      </w:r>
    </w:p>
    <w:p w:rsidR="005F084C" w:rsidRDefault="007E65DA">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C944EB">
        <w:rPr>
          <w:rFonts w:ascii="Palatino Linotype" w:eastAsia="Palatino Linotype" w:hAnsi="Palatino Linotype" w:cs="Palatino Linotype"/>
          <w:i/>
          <w:iCs/>
          <w:color w:val="000000"/>
        </w:rPr>
        <w:t>IX. Cualquier otro convenido con instituciones de servicios y aceptado por el servidor público.</w:t>
      </w:r>
    </w:p>
    <w:p w:rsidR="00C944EB" w:rsidRPr="00C944EB" w:rsidRDefault="00C944EB">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rPr>
        <w:t xml:space="preserve">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Estos mencionados son de carácter público, toda vez que se consideran descuentos que por ley se deben realizar a los servidores </w:t>
      </w:r>
      <w:r w:rsidRPr="00C944EB">
        <w:rPr>
          <w:rFonts w:ascii="Palatino Linotype" w:eastAsia="Palatino Linotype" w:hAnsi="Palatino Linotype" w:cs="Palatino Linotype"/>
        </w:rPr>
        <w:lastRenderedPageBreak/>
        <w:t>públicos contrario a las deducciones personales que son por voluntad de cada servidor público.</w:t>
      </w:r>
    </w:p>
    <w:p w:rsidR="005F084C" w:rsidRPr="00C944EB" w:rsidRDefault="007E65DA" w:rsidP="00D1647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b/>
          <w:bCs/>
          <w:color w:val="000000"/>
        </w:rPr>
        <w:t>Seguro de Capitalización Individualizado.</w:t>
      </w: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rPr>
        <w:t>El Sistema de Capitalización Individualizado es el mecanismo mediante el cual, un servidor público y la Institución en la que labora, acumulan recursos, adicionales a su pensión; mismo que se integra hasta por tres rubros, los cuales son los siguientes:</w:t>
      </w:r>
    </w:p>
    <w:p w:rsidR="005F084C" w:rsidRPr="00C944EB" w:rsidRDefault="007E65DA">
      <w:pPr>
        <w:pBdr>
          <w:top w:val="nil"/>
          <w:left w:val="nil"/>
          <w:bottom w:val="nil"/>
          <w:right w:val="nil"/>
          <w:between w:val="nil"/>
        </w:pBdr>
        <w:ind w:left="567" w:right="567"/>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w:t>
      </w:r>
      <w:r w:rsidRPr="00C944EB">
        <w:rPr>
          <w:rFonts w:ascii="Palatino Linotype" w:eastAsia="Palatino Linotype" w:hAnsi="Palatino Linotype" w:cs="Palatino Linotype"/>
          <w:color w:val="000000"/>
        </w:rPr>
        <w:tab/>
        <w:t>Subcuenta de cuota obligatoria; que corresponde a un porcentaje del sueldo sujeto a cotización, que se descuenta al servir público de manera automática.</w:t>
      </w:r>
    </w:p>
    <w:p w:rsidR="005F084C" w:rsidRPr="00C944EB" w:rsidRDefault="007E65DA">
      <w:pPr>
        <w:pBdr>
          <w:top w:val="nil"/>
          <w:left w:val="nil"/>
          <w:bottom w:val="nil"/>
          <w:right w:val="nil"/>
          <w:between w:val="nil"/>
        </w:pBdr>
        <w:ind w:left="567" w:right="567"/>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w:t>
      </w:r>
      <w:r w:rsidRPr="00C944EB">
        <w:rPr>
          <w:rFonts w:ascii="Palatino Linotype" w:eastAsia="Palatino Linotype" w:hAnsi="Palatino Linotype" w:cs="Palatino Linotype"/>
          <w:color w:val="000000"/>
        </w:rPr>
        <w:tab/>
        <w:t>Subcuenta de aportación obligatoria: que es la aportación que realiza la Institución a favor del servidor público, el cual equivale a un porcentaje del sueldo sujeto a cotización.</w:t>
      </w:r>
    </w:p>
    <w:p w:rsidR="005F084C" w:rsidRPr="00C944EB" w:rsidRDefault="007E65DA">
      <w:pPr>
        <w:pBdr>
          <w:top w:val="nil"/>
          <w:left w:val="nil"/>
          <w:bottom w:val="nil"/>
          <w:right w:val="nil"/>
          <w:between w:val="nil"/>
        </w:pBdr>
        <w:ind w:left="567" w:right="567"/>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w:t>
      </w:r>
      <w:r w:rsidRPr="00C944EB">
        <w:rPr>
          <w:rFonts w:ascii="Palatino Linotype" w:eastAsia="Palatino Linotype" w:hAnsi="Palatino Linotype" w:cs="Palatino Linotype"/>
          <w:color w:val="000000"/>
        </w:rPr>
        <w:tab/>
        <w:t xml:space="preserve">Subcuenta voluntaria: que es la cantidad que cada servidor público decide ahorrar de acuerdo con sus aportaciones, permitiendo acumular mayores ingresos para su retiro. </w:t>
      </w:r>
    </w:p>
    <w:p w:rsidR="00D16478" w:rsidRPr="00D16478" w:rsidRDefault="00D16478" w:rsidP="00D16478">
      <w:pPr>
        <w:shd w:val="clear" w:color="auto" w:fill="FFFFFF"/>
        <w:spacing w:before="240" w:after="240" w:line="360" w:lineRule="auto"/>
        <w:jc w:val="both"/>
        <w:rPr>
          <w:rFonts w:ascii="Palatino Linotype" w:eastAsia="Palatino Linotype" w:hAnsi="Palatino Linotype" w:cs="Palatino Linotype"/>
          <w:color w:val="222222"/>
        </w:rPr>
      </w:pPr>
    </w:p>
    <w:p w:rsidR="005F084C" w:rsidRPr="00C944EB" w:rsidRDefault="007E65DA">
      <w:pPr>
        <w:numPr>
          <w:ilvl w:val="0"/>
          <w:numId w:val="1"/>
        </w:numPr>
        <w:shd w:val="clear" w:color="auto" w:fill="FFFFFF"/>
        <w:spacing w:before="240" w:after="240" w:line="360" w:lineRule="auto"/>
        <w:jc w:val="both"/>
        <w:rPr>
          <w:rFonts w:ascii="Palatino Linotype" w:eastAsia="Palatino Linotype" w:hAnsi="Palatino Linotype" w:cs="Palatino Linotype"/>
          <w:color w:val="222222"/>
        </w:rPr>
      </w:pPr>
      <w:r w:rsidRPr="00C944EB">
        <w:rPr>
          <w:rFonts w:ascii="Palatino Linotype" w:eastAsia="Palatino Linotype" w:hAnsi="Palatino Linotype" w:cs="Palatino Linotype"/>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rsidR="005F084C" w:rsidRPr="00C944EB" w:rsidRDefault="007E65DA">
      <w:pPr>
        <w:pBdr>
          <w:top w:val="nil"/>
          <w:left w:val="nil"/>
          <w:bottom w:val="nil"/>
          <w:right w:val="nil"/>
          <w:between w:val="nil"/>
        </w:pBdr>
        <w:ind w:left="567" w:right="567"/>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i/>
          <w:iCs/>
          <w:color w:val="000000"/>
        </w:rPr>
        <w:lastRenderedPageBreak/>
        <w:t>“Naturaleza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aun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rPr>
      </w:pPr>
    </w:p>
    <w:p w:rsidR="005F084C" w:rsidRPr="00C944EB"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5F084C" w:rsidRPr="00C944EB" w:rsidRDefault="005F084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F084C" w:rsidRDefault="007E65D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C944EB">
        <w:rPr>
          <w:rFonts w:ascii="Palatino Linotype" w:eastAsia="Palatino Linotype" w:hAnsi="Palatino Linotype" w:cs="Palatino Linotype"/>
          <w:color w:val="000000"/>
        </w:rPr>
        <w:t xml:space="preserve">Por lo anteriormente expuesto y fundado, este </w:t>
      </w:r>
      <w:r w:rsidRPr="00C944EB">
        <w:rPr>
          <w:rFonts w:ascii="Palatino Linotype" w:eastAsia="Palatino Linotype" w:hAnsi="Palatino Linotype" w:cs="Palatino Linotype"/>
          <w:b/>
          <w:bCs/>
          <w:color w:val="000000"/>
        </w:rPr>
        <w:t>ÓRGANO GARANTE</w:t>
      </w:r>
      <w:r w:rsidRPr="00C944EB">
        <w:rPr>
          <w:rFonts w:ascii="Palatino Linotype" w:eastAsia="Palatino Linotype" w:hAnsi="Palatino Linotype" w:cs="Palatino Linotype"/>
          <w:color w:val="000000"/>
        </w:rPr>
        <w:t xml:space="preserve"> emite los siguientes:</w:t>
      </w:r>
    </w:p>
    <w:p w:rsidR="00D16478" w:rsidRDefault="00D16478" w:rsidP="00D16478">
      <w:pPr>
        <w:pStyle w:val="Prrafodelista"/>
        <w:rPr>
          <w:rFonts w:ascii="Palatino Linotype" w:eastAsia="Palatino Linotype" w:hAnsi="Palatino Linotype" w:cs="Palatino Linotype"/>
          <w:color w:val="000000"/>
        </w:rPr>
      </w:pPr>
    </w:p>
    <w:p w:rsidR="00D16478" w:rsidRPr="00C944EB" w:rsidRDefault="00D16478" w:rsidP="00D1647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F084C" w:rsidRPr="00C944EB" w:rsidRDefault="007E65DA">
      <w:pPr>
        <w:pStyle w:val="Ttulo1"/>
        <w:spacing w:before="0" w:line="360" w:lineRule="auto"/>
        <w:jc w:val="center"/>
        <w:rPr>
          <w:b w:val="0"/>
          <w:bCs w:val="0"/>
        </w:rPr>
      </w:pPr>
      <w:r w:rsidRPr="00C944EB">
        <w:t>R E S O L U T I V O S</w:t>
      </w:r>
    </w:p>
    <w:p w:rsidR="005F084C" w:rsidRPr="00C944EB" w:rsidRDefault="005F084C">
      <w:pPr>
        <w:spacing w:line="360" w:lineRule="auto"/>
        <w:rPr>
          <w:rFonts w:ascii="Palatino Linotype" w:eastAsia="Palatino Linotype" w:hAnsi="Palatino Linotype" w:cs="Palatino Linotype"/>
        </w:rPr>
      </w:pPr>
    </w:p>
    <w:p w:rsidR="005F084C" w:rsidRPr="00C944EB" w:rsidRDefault="007E65DA">
      <w:pPr>
        <w:spacing w:line="360" w:lineRule="auto"/>
        <w:jc w:val="both"/>
        <w:rPr>
          <w:rFonts w:ascii="Palatino Linotype" w:eastAsia="Palatino Linotype" w:hAnsi="Palatino Linotype" w:cs="Palatino Linotype"/>
        </w:rPr>
      </w:pPr>
      <w:r w:rsidRPr="00C944EB">
        <w:rPr>
          <w:rFonts w:ascii="Palatino Linotype" w:eastAsia="Palatino Linotype" w:hAnsi="Palatino Linotype" w:cs="Palatino Linotype"/>
          <w:b/>
          <w:bCs/>
        </w:rPr>
        <w:t>PRIMERO</w:t>
      </w:r>
      <w:r w:rsidRPr="00C944EB">
        <w:rPr>
          <w:rFonts w:ascii="Palatino Linotype" w:eastAsia="Palatino Linotype" w:hAnsi="Palatino Linotype" w:cs="Palatino Linotype"/>
        </w:rPr>
        <w:t xml:space="preserve">. Resultan fundadas las razones o motivos de inconformidad hechos valer en el Recursos de Revisión </w:t>
      </w:r>
      <w:r w:rsidRPr="00C944EB">
        <w:rPr>
          <w:rFonts w:ascii="Palatino Linotype" w:eastAsia="Palatino Linotype" w:hAnsi="Palatino Linotype" w:cs="Palatino Linotype"/>
          <w:b/>
          <w:bCs/>
        </w:rPr>
        <w:t xml:space="preserve">13098/INFOEM/IP/RR/2025 </w:t>
      </w:r>
      <w:r w:rsidRPr="00C944EB">
        <w:rPr>
          <w:rFonts w:ascii="Palatino Linotype" w:eastAsia="Palatino Linotype" w:hAnsi="Palatino Linotype" w:cs="Palatino Linotype"/>
        </w:rPr>
        <w:t xml:space="preserve">en términos del </w:t>
      </w:r>
      <w:r w:rsidRPr="00C944EB">
        <w:rPr>
          <w:rFonts w:ascii="Palatino Linotype" w:eastAsia="Palatino Linotype" w:hAnsi="Palatino Linotype" w:cs="Palatino Linotype"/>
          <w:b/>
          <w:bCs/>
        </w:rPr>
        <w:t xml:space="preserve">Considerando CUARTO y QUINTO </w:t>
      </w:r>
      <w:r w:rsidRPr="00C944EB">
        <w:rPr>
          <w:rFonts w:ascii="Palatino Linotype" w:eastAsia="Palatino Linotype" w:hAnsi="Palatino Linotype" w:cs="Palatino Linotype"/>
        </w:rPr>
        <w:t>de la presente resolución.</w:t>
      </w:r>
    </w:p>
    <w:p w:rsidR="005F084C" w:rsidRPr="00C944EB" w:rsidRDefault="005F084C">
      <w:pPr>
        <w:spacing w:line="360" w:lineRule="auto"/>
        <w:jc w:val="both"/>
        <w:rPr>
          <w:rFonts w:ascii="Palatino Linotype" w:eastAsia="Palatino Linotype" w:hAnsi="Palatino Linotype" w:cs="Palatino Linotype"/>
        </w:rPr>
      </w:pPr>
    </w:p>
    <w:p w:rsidR="005F084C" w:rsidRPr="00C944EB" w:rsidRDefault="007E65DA">
      <w:pPr>
        <w:pBdr>
          <w:top w:val="nil"/>
          <w:left w:val="nil"/>
          <w:bottom w:val="nil"/>
          <w:right w:val="nil"/>
          <w:between w:val="nil"/>
        </w:pBdr>
        <w:spacing w:line="360" w:lineRule="auto"/>
        <w:ind w:right="1"/>
        <w:jc w:val="both"/>
        <w:rPr>
          <w:rFonts w:ascii="Palatino Linotype" w:eastAsia="Palatino Linotype" w:hAnsi="Palatino Linotype" w:cs="Palatino Linotype"/>
          <w:b/>
          <w:bCs/>
        </w:rPr>
      </w:pPr>
      <w:bookmarkStart w:id="12" w:name="_heading=h.26in1rg" w:colFirst="0" w:colLast="0"/>
      <w:bookmarkEnd w:id="12"/>
      <w:r w:rsidRPr="00C944EB">
        <w:rPr>
          <w:rFonts w:ascii="Palatino Linotype" w:eastAsia="Palatino Linotype" w:hAnsi="Palatino Linotype" w:cs="Palatino Linotype"/>
          <w:b/>
          <w:bCs/>
        </w:rPr>
        <w:t xml:space="preserve">SEGUNDO. </w:t>
      </w:r>
      <w:r w:rsidRPr="00C944EB">
        <w:rPr>
          <w:rFonts w:ascii="Palatino Linotype" w:eastAsia="Palatino Linotype" w:hAnsi="Palatino Linotype" w:cs="Palatino Linotype"/>
          <w:color w:val="000000"/>
        </w:rPr>
        <w:t>Se</w:t>
      </w:r>
      <w:r w:rsidRPr="00C944EB">
        <w:rPr>
          <w:rFonts w:ascii="Palatino Linotype" w:eastAsia="Palatino Linotype" w:hAnsi="Palatino Linotype" w:cs="Palatino Linotype"/>
          <w:b/>
          <w:bCs/>
          <w:color w:val="000000"/>
        </w:rPr>
        <w:t xml:space="preserve"> MODIF</w:t>
      </w:r>
      <w:r w:rsidR="00DB124F" w:rsidRPr="00C944EB">
        <w:rPr>
          <w:rFonts w:ascii="Palatino Linotype" w:eastAsia="Palatino Linotype" w:hAnsi="Palatino Linotype" w:cs="Palatino Linotype"/>
          <w:b/>
          <w:bCs/>
          <w:color w:val="000000"/>
        </w:rPr>
        <w:t>I</w:t>
      </w:r>
      <w:r w:rsidRPr="00C944EB">
        <w:rPr>
          <w:rFonts w:ascii="Palatino Linotype" w:eastAsia="Palatino Linotype" w:hAnsi="Palatino Linotype" w:cs="Palatino Linotype"/>
          <w:b/>
          <w:bCs/>
          <w:color w:val="000000"/>
        </w:rPr>
        <w:t xml:space="preserve">CA </w:t>
      </w:r>
      <w:r w:rsidRPr="00C944EB">
        <w:rPr>
          <w:rFonts w:ascii="Palatino Linotype" w:eastAsia="Palatino Linotype" w:hAnsi="Palatino Linotype" w:cs="Palatino Linotype"/>
          <w:color w:val="000000"/>
        </w:rPr>
        <w:t xml:space="preserve">la respuesta emitida por </w:t>
      </w:r>
      <w:r w:rsidRPr="00C944EB">
        <w:rPr>
          <w:rFonts w:ascii="Palatino Linotype" w:eastAsia="Palatino Linotype" w:hAnsi="Palatino Linotype" w:cs="Palatino Linotype"/>
          <w:b/>
          <w:bCs/>
          <w:color w:val="000000"/>
        </w:rPr>
        <w:t xml:space="preserve">el </w:t>
      </w:r>
      <w:r w:rsidRPr="00C944EB">
        <w:rPr>
          <w:rFonts w:ascii="Palatino Linotype" w:eastAsia="Palatino Linotype" w:hAnsi="Palatino Linotype" w:cs="Palatino Linotype"/>
          <w:b/>
          <w:bCs/>
        </w:rPr>
        <w:t>Ayuntamiento de San Antonio la Isla</w:t>
      </w:r>
      <w:r w:rsidRPr="00C944EB">
        <w:rPr>
          <w:rFonts w:ascii="Palatino Linotype" w:eastAsia="Palatino Linotype" w:hAnsi="Palatino Linotype" w:cs="Palatino Linotype"/>
          <w:b/>
          <w:bCs/>
          <w:color w:val="000000"/>
        </w:rPr>
        <w:t xml:space="preserve">, </w:t>
      </w:r>
      <w:r w:rsidRPr="00C944EB">
        <w:rPr>
          <w:rFonts w:ascii="Palatino Linotype" w:eastAsia="Palatino Linotype" w:hAnsi="Palatino Linotype" w:cs="Palatino Linotype"/>
          <w:color w:val="000000"/>
        </w:rPr>
        <w:t xml:space="preserve">a la </w:t>
      </w:r>
      <w:r w:rsidRPr="00C944EB">
        <w:rPr>
          <w:rFonts w:ascii="Palatino Linotype" w:eastAsia="Palatino Linotype" w:hAnsi="Palatino Linotype" w:cs="Palatino Linotype"/>
        </w:rPr>
        <w:t>solicitud de información pública registrada con el número</w:t>
      </w:r>
      <w:r w:rsidRPr="00C944EB">
        <w:rPr>
          <w:rFonts w:ascii="Palatino Linotype" w:eastAsia="Palatino Linotype" w:hAnsi="Palatino Linotype" w:cs="Palatino Linotype"/>
          <w:b/>
          <w:bCs/>
        </w:rPr>
        <w:t xml:space="preserve"> </w:t>
      </w:r>
      <w:r w:rsidRPr="00C944EB">
        <w:rPr>
          <w:rFonts w:ascii="Palatino Linotype" w:eastAsia="Palatino Linotype" w:hAnsi="Palatino Linotype" w:cs="Palatino Linotype"/>
          <w:b/>
          <w:bCs/>
          <w:color w:val="000000"/>
        </w:rPr>
        <w:t xml:space="preserve">00099/ANTOISLA/IP/2025 </w:t>
      </w:r>
      <w:r w:rsidRPr="00C944EB">
        <w:rPr>
          <w:rFonts w:ascii="Palatino Linotype" w:eastAsia="Palatino Linotype" w:hAnsi="Palatino Linotype" w:cs="Palatino Linotype"/>
          <w:color w:val="000000"/>
        </w:rPr>
        <w:t xml:space="preserve">y se </w:t>
      </w:r>
      <w:r w:rsidRPr="00C944EB">
        <w:rPr>
          <w:rFonts w:ascii="Palatino Linotype" w:eastAsia="Palatino Linotype" w:hAnsi="Palatino Linotype" w:cs="Palatino Linotype"/>
          <w:b/>
          <w:bCs/>
          <w:color w:val="000000"/>
        </w:rPr>
        <w:t>ORDENA</w:t>
      </w:r>
      <w:r w:rsidRPr="00C944EB">
        <w:rPr>
          <w:rFonts w:ascii="Palatino Linotype" w:eastAsia="Palatino Linotype" w:hAnsi="Palatino Linotype" w:cs="Palatino Linotype"/>
          <w:color w:val="000000"/>
        </w:rPr>
        <w:t xml:space="preserve"> entregar vía Sistema de Acceso a la Información Mexiquense </w:t>
      </w:r>
      <w:r w:rsidRPr="00C944EB">
        <w:rPr>
          <w:rFonts w:ascii="Palatino Linotype" w:eastAsia="Palatino Linotype" w:hAnsi="Palatino Linotype" w:cs="Palatino Linotype"/>
          <w:b/>
          <w:bCs/>
          <w:color w:val="000000"/>
        </w:rPr>
        <w:t xml:space="preserve">(SAIMEX), </w:t>
      </w:r>
      <w:r w:rsidRPr="00C944EB">
        <w:rPr>
          <w:rFonts w:ascii="Palatino Linotype" w:eastAsia="Palatino Linotype" w:hAnsi="Palatino Linotype" w:cs="Palatino Linotype"/>
        </w:rPr>
        <w:t xml:space="preserve">en versión pública, </w:t>
      </w:r>
      <w:r w:rsidRPr="00C944EB">
        <w:rPr>
          <w:rFonts w:ascii="Palatino Linotype" w:eastAsia="Palatino Linotype" w:hAnsi="Palatino Linotype" w:cs="Palatino Linotype"/>
          <w:b/>
          <w:bCs/>
        </w:rPr>
        <w:t xml:space="preserve">el o los documentos en donde se advierta el </w:t>
      </w:r>
      <w:r w:rsidRPr="00D16478">
        <w:rPr>
          <w:rFonts w:ascii="Palatino Linotype" w:eastAsia="Palatino Linotype" w:hAnsi="Palatino Linotype" w:cs="Palatino Linotype"/>
          <w:b/>
          <w:bCs/>
        </w:rPr>
        <w:t xml:space="preserve">sueldo </w:t>
      </w:r>
      <w:r w:rsidR="0042799C" w:rsidRPr="00D16478">
        <w:rPr>
          <w:rFonts w:ascii="Palatino Linotype" w:eastAsia="Palatino Linotype" w:hAnsi="Palatino Linotype" w:cs="Palatino Linotype"/>
          <w:b/>
          <w:bCs/>
        </w:rPr>
        <w:t xml:space="preserve">bruto y neto </w:t>
      </w:r>
      <w:r w:rsidRPr="00D16478">
        <w:rPr>
          <w:rFonts w:ascii="Palatino Linotype" w:eastAsia="Palatino Linotype" w:hAnsi="Palatino Linotype" w:cs="Palatino Linotype"/>
          <w:b/>
          <w:bCs/>
        </w:rPr>
        <w:t>de</w:t>
      </w:r>
      <w:r w:rsidRPr="00C944EB">
        <w:rPr>
          <w:rFonts w:ascii="Palatino Linotype" w:eastAsia="Palatino Linotype" w:hAnsi="Palatino Linotype" w:cs="Palatino Linotype"/>
          <w:b/>
          <w:bCs/>
        </w:rPr>
        <w:t xml:space="preserve"> la Directora de Cultura de la segunda quincena de septiembre y la primera quincena de octubre de dos mil veinticinco.</w:t>
      </w:r>
    </w:p>
    <w:p w:rsidR="005F084C" w:rsidRPr="00C944EB" w:rsidRDefault="005F084C">
      <w:pPr>
        <w:spacing w:line="360" w:lineRule="auto"/>
        <w:jc w:val="both"/>
        <w:rPr>
          <w:rFonts w:ascii="Palatino Linotype" w:eastAsia="Palatino Linotype" w:hAnsi="Palatino Linotype" w:cs="Palatino Linotype"/>
          <w:color w:val="000000"/>
          <w:highlight w:val="yellow"/>
        </w:rPr>
      </w:pPr>
    </w:p>
    <w:p w:rsidR="005F084C" w:rsidRPr="00C944EB" w:rsidRDefault="007E65DA">
      <w:pPr>
        <w:spacing w:line="360" w:lineRule="auto"/>
        <w:jc w:val="both"/>
        <w:rPr>
          <w:rFonts w:ascii="Palatino Linotype" w:eastAsia="Palatino Linotype" w:hAnsi="Palatino Linotype" w:cs="Palatino Linotype"/>
          <w:b/>
          <w:bCs/>
        </w:rPr>
      </w:pPr>
      <w:bookmarkStart w:id="13" w:name="_heading=h.4d34og8" w:colFirst="0" w:colLast="0"/>
      <w:bookmarkEnd w:id="13"/>
      <w:r w:rsidRPr="00C944EB">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w:t>
      </w:r>
      <w:r w:rsidRPr="00C944EB">
        <w:rPr>
          <w:rFonts w:ascii="Palatino Linotype" w:eastAsia="Palatino Linotype" w:hAnsi="Palatino Linotype" w:cs="Palatino Linotype"/>
        </w:rPr>
        <w:lastRenderedPageBreak/>
        <w:t xml:space="preserve">motive las razones sobre los datos que se supriman o eliminen dentro del soporte documental respectivo objeto de las versiones públicas que se formulen, y se pongan a disposición de la parte </w:t>
      </w:r>
      <w:r w:rsidRPr="00C944EB">
        <w:rPr>
          <w:rFonts w:ascii="Palatino Linotype" w:eastAsia="Palatino Linotype" w:hAnsi="Palatino Linotype" w:cs="Palatino Linotype"/>
          <w:b/>
          <w:bCs/>
        </w:rPr>
        <w:t>RECURRENTE.</w:t>
      </w:r>
    </w:p>
    <w:p w:rsidR="005F084C" w:rsidRPr="00C944EB" w:rsidRDefault="005F084C">
      <w:pPr>
        <w:tabs>
          <w:tab w:val="left" w:pos="8080"/>
        </w:tabs>
        <w:spacing w:line="360" w:lineRule="auto"/>
        <w:ind w:right="49"/>
        <w:jc w:val="both"/>
        <w:rPr>
          <w:rFonts w:ascii="Palatino Linotype" w:eastAsia="Palatino Linotype" w:hAnsi="Palatino Linotype" w:cs="Palatino Linotype"/>
        </w:rPr>
      </w:pPr>
      <w:bookmarkStart w:id="14" w:name="_heading=h.lnxbz9" w:colFirst="0" w:colLast="0"/>
      <w:bookmarkEnd w:id="14"/>
    </w:p>
    <w:p w:rsidR="005F084C" w:rsidRPr="00C944EB" w:rsidRDefault="007E65DA">
      <w:pPr>
        <w:tabs>
          <w:tab w:val="left" w:pos="8080"/>
        </w:tabs>
        <w:spacing w:line="360" w:lineRule="auto"/>
        <w:ind w:right="49"/>
        <w:jc w:val="both"/>
        <w:rPr>
          <w:rFonts w:ascii="Palatino Linotype" w:eastAsia="Palatino Linotype" w:hAnsi="Palatino Linotype" w:cs="Palatino Linotype"/>
          <w:b/>
          <w:bCs/>
        </w:rPr>
      </w:pPr>
      <w:r w:rsidRPr="00C944EB">
        <w:rPr>
          <w:rFonts w:ascii="Palatino Linotype" w:eastAsia="Palatino Linotype" w:hAnsi="Palatino Linotype" w:cs="Palatino Linotype"/>
          <w:b/>
          <w:bCs/>
        </w:rPr>
        <w:t xml:space="preserve">TERCERO. NOTIFÍQUESE </w:t>
      </w:r>
      <w:r w:rsidRPr="00C944EB">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C944EB">
        <w:rPr>
          <w:rFonts w:ascii="Palatino Linotype" w:eastAsia="Palatino Linotype" w:hAnsi="Palatino Linotype" w:cs="Palatino Linotype"/>
          <w:b/>
          <w:bCs/>
        </w:rPr>
        <w:t>dé cumplimiento a lo ordenado dentro del plazo de diez días hábiles,</w:t>
      </w:r>
      <w:r w:rsidRPr="00C944EB">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F084C" w:rsidRPr="00C944EB" w:rsidRDefault="005F084C">
      <w:pPr>
        <w:tabs>
          <w:tab w:val="left" w:pos="8080"/>
        </w:tabs>
        <w:spacing w:line="360" w:lineRule="auto"/>
        <w:ind w:right="49"/>
        <w:jc w:val="both"/>
        <w:rPr>
          <w:rFonts w:ascii="Palatino Linotype" w:eastAsia="Palatino Linotype" w:hAnsi="Palatino Linotype" w:cs="Palatino Linotype"/>
        </w:rPr>
      </w:pPr>
    </w:p>
    <w:p w:rsidR="005F084C" w:rsidRPr="00C944EB" w:rsidRDefault="007E65DA">
      <w:pPr>
        <w:spacing w:line="360" w:lineRule="auto"/>
        <w:jc w:val="both"/>
        <w:rPr>
          <w:rFonts w:ascii="Palatino Linotype" w:eastAsia="Palatino Linotype" w:hAnsi="Palatino Linotype" w:cs="Palatino Linotype"/>
        </w:rPr>
      </w:pPr>
      <w:r w:rsidRPr="00C944EB">
        <w:rPr>
          <w:rFonts w:ascii="Palatino Linotype" w:eastAsia="Palatino Linotype" w:hAnsi="Palatino Linotype" w:cs="Palatino Linotype"/>
          <w:b/>
          <w:bCs/>
        </w:rPr>
        <w:t xml:space="preserve">CUARTO. </w:t>
      </w:r>
      <w:r w:rsidRPr="00C944E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C944EB">
        <w:rPr>
          <w:rFonts w:ascii="Palatino Linotype" w:eastAsia="Palatino Linotype" w:hAnsi="Palatino Linotype" w:cs="Palatino Linotype"/>
          <w:b/>
          <w:bCs/>
        </w:rPr>
        <w:t>SUJETO OBLIGADO</w:t>
      </w:r>
      <w:r w:rsidRPr="00C944EB">
        <w:rPr>
          <w:rFonts w:ascii="Palatino Linotype" w:eastAsia="Palatino Linotype" w:hAnsi="Palatino Linotype" w:cs="Palatino Linotype"/>
        </w:rPr>
        <w:t xml:space="preserve"> de manera fundada y motivada, podrá solicitar una ampliación de plazo para el cumplimiento de la presente resolución.</w:t>
      </w:r>
    </w:p>
    <w:p w:rsidR="005F084C" w:rsidRPr="00C944EB" w:rsidRDefault="005F084C">
      <w:pPr>
        <w:spacing w:line="360" w:lineRule="auto"/>
        <w:jc w:val="both"/>
        <w:rPr>
          <w:rFonts w:ascii="Palatino Linotype" w:eastAsia="Palatino Linotype" w:hAnsi="Palatino Linotype" w:cs="Palatino Linotype"/>
        </w:rPr>
      </w:pPr>
    </w:p>
    <w:p w:rsidR="005F084C" w:rsidRPr="00C944EB" w:rsidRDefault="007E65DA">
      <w:pPr>
        <w:tabs>
          <w:tab w:val="left" w:pos="8080"/>
        </w:tabs>
        <w:spacing w:line="360" w:lineRule="auto"/>
        <w:ind w:right="49"/>
        <w:jc w:val="both"/>
        <w:rPr>
          <w:rFonts w:ascii="Palatino Linotype" w:eastAsia="Palatino Linotype" w:hAnsi="Palatino Linotype" w:cs="Palatino Linotype"/>
        </w:rPr>
      </w:pPr>
      <w:bookmarkStart w:id="15" w:name="_heading=h.35nkun2" w:colFirst="0" w:colLast="0"/>
      <w:bookmarkEnd w:id="15"/>
      <w:r w:rsidRPr="00C944EB">
        <w:rPr>
          <w:rFonts w:ascii="Palatino Linotype" w:eastAsia="Palatino Linotype" w:hAnsi="Palatino Linotype" w:cs="Palatino Linotype"/>
          <w:b/>
          <w:bCs/>
        </w:rPr>
        <w:t xml:space="preserve">QUINTO. </w:t>
      </w:r>
      <w:r w:rsidRPr="00C944EB">
        <w:rPr>
          <w:rFonts w:ascii="Palatino Linotype" w:eastAsia="Palatino Linotype" w:hAnsi="Palatino Linotype" w:cs="Palatino Linotype"/>
        </w:rPr>
        <w:t>Notifíquese a la parte</w:t>
      </w:r>
      <w:r w:rsidRPr="00C944EB">
        <w:rPr>
          <w:rFonts w:ascii="Palatino Linotype" w:eastAsia="Palatino Linotype" w:hAnsi="Palatino Linotype" w:cs="Palatino Linotype"/>
          <w:b/>
          <w:bCs/>
        </w:rPr>
        <w:t xml:space="preserve"> RECURRENTE</w:t>
      </w:r>
      <w:r w:rsidRPr="00C944EB">
        <w:rPr>
          <w:rFonts w:ascii="Palatino Linotype" w:eastAsia="Palatino Linotype" w:hAnsi="Palatino Linotype" w:cs="Palatino Linotype"/>
        </w:rPr>
        <w:t xml:space="preserve"> la presente resolución, vía </w:t>
      </w:r>
      <w:r w:rsidRPr="00C944EB">
        <w:rPr>
          <w:rFonts w:ascii="Palatino Linotype" w:eastAsia="Palatino Linotype" w:hAnsi="Palatino Linotype" w:cs="Palatino Linotype"/>
          <w:b/>
          <w:bCs/>
        </w:rPr>
        <w:t>SAIMEX.</w:t>
      </w:r>
    </w:p>
    <w:p w:rsidR="005F084C" w:rsidRPr="00C944EB" w:rsidRDefault="005F084C">
      <w:pPr>
        <w:tabs>
          <w:tab w:val="left" w:pos="8080"/>
        </w:tabs>
        <w:spacing w:line="360" w:lineRule="auto"/>
        <w:ind w:right="49"/>
        <w:jc w:val="both"/>
        <w:rPr>
          <w:rFonts w:ascii="Palatino Linotype" w:eastAsia="Palatino Linotype" w:hAnsi="Palatino Linotype" w:cs="Palatino Linotype"/>
        </w:rPr>
      </w:pPr>
    </w:p>
    <w:p w:rsidR="005F084C" w:rsidRPr="00C944EB" w:rsidRDefault="007E65DA">
      <w:pPr>
        <w:shd w:val="clear" w:color="auto" w:fill="FFFFFF"/>
        <w:spacing w:line="360" w:lineRule="auto"/>
        <w:jc w:val="both"/>
        <w:rPr>
          <w:rFonts w:ascii="Palatino Linotype" w:eastAsia="Palatino Linotype" w:hAnsi="Palatino Linotype" w:cs="Palatino Linotype"/>
        </w:rPr>
      </w:pPr>
      <w:r w:rsidRPr="00C944EB">
        <w:rPr>
          <w:rFonts w:ascii="Palatino Linotype" w:eastAsia="Palatino Linotype" w:hAnsi="Palatino Linotype" w:cs="Palatino Linotype"/>
          <w:b/>
          <w:bCs/>
        </w:rPr>
        <w:t>SEXTO.</w:t>
      </w:r>
      <w:r w:rsidRPr="00C944EB">
        <w:rPr>
          <w:rFonts w:ascii="Palatino Linotype" w:eastAsia="Palatino Linotype" w:hAnsi="Palatino Linotype" w:cs="Palatino Linotype"/>
        </w:rPr>
        <w:t xml:space="preserve"> Se hace del conocimiento de la parte</w:t>
      </w:r>
      <w:r w:rsidRPr="00C944EB">
        <w:rPr>
          <w:rFonts w:ascii="Palatino Linotype" w:eastAsia="Palatino Linotype" w:hAnsi="Palatino Linotype" w:cs="Palatino Linotype"/>
          <w:b/>
          <w:bCs/>
        </w:rPr>
        <w:t xml:space="preserve"> RECURRENTE</w:t>
      </w:r>
      <w:r w:rsidRPr="00C944EB">
        <w:rPr>
          <w:rFonts w:ascii="Palatino Linotype" w:eastAsia="Palatino Linotype" w:hAnsi="Palatino Linotype" w:cs="Palatino Linotype"/>
        </w:rPr>
        <w:t xml:space="preserve"> que, de conformidad con lo establecido en el artículo 196 de la Ley de Transparencia y Acceso a la Información Pública </w:t>
      </w:r>
      <w:r w:rsidRPr="00C944EB">
        <w:rPr>
          <w:rFonts w:ascii="Palatino Linotype" w:eastAsia="Palatino Linotype" w:hAnsi="Palatino Linotype" w:cs="Palatino Linotype"/>
        </w:rPr>
        <w:lastRenderedPageBreak/>
        <w:t>del Estado de México y Municipios, en caso de que considere que la resolución le cause algún perjuicio podrá impugnar vía juicio de amparo en los términos de las leyes aplicables.</w:t>
      </w:r>
    </w:p>
    <w:p w:rsidR="00DB124F" w:rsidRPr="00C944EB" w:rsidRDefault="00DB124F">
      <w:pPr>
        <w:shd w:val="clear" w:color="auto" w:fill="FFFFFF"/>
        <w:spacing w:line="360" w:lineRule="auto"/>
        <w:jc w:val="both"/>
        <w:rPr>
          <w:rFonts w:ascii="Palatino Linotype" w:eastAsia="Palatino Linotype" w:hAnsi="Palatino Linotype" w:cs="Palatino Linotype"/>
        </w:rPr>
      </w:pPr>
    </w:p>
    <w:p w:rsidR="00DB124F" w:rsidRPr="00C944EB" w:rsidRDefault="00DB124F" w:rsidP="00DB124F">
      <w:pPr>
        <w:spacing w:before="240" w:after="240" w:line="360" w:lineRule="auto"/>
        <w:ind w:firstLine="1"/>
        <w:jc w:val="both"/>
        <w:rPr>
          <w:rFonts w:ascii="Palatino Linotype" w:hAnsi="Palatino Linotype"/>
        </w:rPr>
      </w:pPr>
      <w:bookmarkStart w:id="16" w:name="_heading=h.dipqbfvvq8qp" w:colFirst="0" w:colLast="0"/>
      <w:bookmarkStart w:id="17" w:name="_Hlk99014733"/>
      <w:bookmarkEnd w:id="16"/>
      <w:r w:rsidRPr="00C944EB">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(21) DE ENERO DE DOS MIL VEINTISÉIS, ANTE EL SECRETARIO TÉCNICO DEL PLENO </w:t>
      </w:r>
      <w:r w:rsidRPr="00C944EB">
        <w:rPr>
          <w:rFonts w:ascii="Palatino Linotype" w:hAnsi="Palatino Linotype" w:cs="Palatino Linotype"/>
          <w:color w:val="000000" w:themeColor="text1"/>
        </w:rPr>
        <w:t>ALEXIS TAPIA RAMÍREZ.</w:t>
      </w:r>
    </w:p>
    <w:bookmarkEnd w:id="17"/>
    <w:p w:rsidR="005F084C" w:rsidRDefault="005F084C">
      <w:pPr>
        <w:spacing w:before="240" w:after="240" w:line="360" w:lineRule="auto"/>
        <w:ind w:firstLine="1"/>
        <w:jc w:val="both"/>
        <w:rPr>
          <w:rFonts w:ascii="Palatino Linotype" w:eastAsia="Palatino Linotype" w:hAnsi="Palatino Linotype" w:cs="Palatino Linotype"/>
        </w:rPr>
      </w:pPr>
    </w:p>
    <w:p w:rsidR="00D16478" w:rsidRDefault="00D16478">
      <w:pPr>
        <w:spacing w:before="240" w:after="240" w:line="360" w:lineRule="auto"/>
        <w:ind w:firstLine="1"/>
        <w:jc w:val="both"/>
        <w:rPr>
          <w:rFonts w:ascii="Palatino Linotype" w:eastAsia="Palatino Linotype" w:hAnsi="Palatino Linotype" w:cs="Palatino Linotype"/>
        </w:rPr>
      </w:pPr>
    </w:p>
    <w:p w:rsidR="00D16478" w:rsidRDefault="00D16478">
      <w:pPr>
        <w:spacing w:before="240" w:after="240" w:line="360" w:lineRule="auto"/>
        <w:ind w:firstLine="1"/>
        <w:jc w:val="both"/>
        <w:rPr>
          <w:rFonts w:ascii="Palatino Linotype" w:eastAsia="Palatino Linotype" w:hAnsi="Palatino Linotype" w:cs="Palatino Linotype"/>
        </w:rPr>
      </w:pPr>
    </w:p>
    <w:p w:rsidR="00D16478" w:rsidRDefault="00D16478">
      <w:pPr>
        <w:spacing w:before="240" w:after="240" w:line="360" w:lineRule="auto"/>
        <w:ind w:firstLine="1"/>
        <w:jc w:val="both"/>
        <w:rPr>
          <w:rFonts w:ascii="Palatino Linotype" w:eastAsia="Palatino Linotype" w:hAnsi="Palatino Linotype" w:cs="Palatino Linotype"/>
        </w:rPr>
      </w:pPr>
    </w:p>
    <w:p w:rsidR="00D16478" w:rsidRDefault="00D16478">
      <w:pPr>
        <w:spacing w:before="240" w:after="240" w:line="360" w:lineRule="auto"/>
        <w:ind w:firstLine="1"/>
        <w:jc w:val="both"/>
        <w:rPr>
          <w:rFonts w:ascii="Palatino Linotype" w:eastAsia="Palatino Linotype" w:hAnsi="Palatino Linotype" w:cs="Palatino Linotype"/>
        </w:rPr>
      </w:pPr>
    </w:p>
    <w:p w:rsidR="00D16478" w:rsidRDefault="00D16478">
      <w:pPr>
        <w:spacing w:before="240" w:after="240" w:line="360" w:lineRule="auto"/>
        <w:ind w:firstLine="1"/>
        <w:jc w:val="both"/>
        <w:rPr>
          <w:rFonts w:ascii="Palatino Linotype" w:eastAsia="Palatino Linotype" w:hAnsi="Palatino Linotype" w:cs="Palatino Linotype"/>
        </w:rPr>
      </w:pPr>
    </w:p>
    <w:p w:rsidR="00D16478" w:rsidRDefault="00D16478">
      <w:pPr>
        <w:spacing w:before="240" w:after="240" w:line="360" w:lineRule="auto"/>
        <w:ind w:firstLine="1"/>
        <w:jc w:val="both"/>
        <w:rPr>
          <w:rFonts w:ascii="Palatino Linotype" w:eastAsia="Palatino Linotype" w:hAnsi="Palatino Linotype" w:cs="Palatino Linotype"/>
        </w:rPr>
      </w:pPr>
    </w:p>
    <w:p w:rsidR="00D16478" w:rsidRDefault="00D16478">
      <w:pPr>
        <w:spacing w:before="240" w:after="240" w:line="360" w:lineRule="auto"/>
        <w:ind w:firstLine="1"/>
        <w:jc w:val="both"/>
        <w:rPr>
          <w:rFonts w:ascii="Palatino Linotype" w:eastAsia="Palatino Linotype" w:hAnsi="Palatino Linotype" w:cs="Palatino Linotype"/>
        </w:rPr>
      </w:pPr>
    </w:p>
    <w:p w:rsidR="00D16478" w:rsidRDefault="00D16478">
      <w:pPr>
        <w:spacing w:before="240" w:after="240" w:line="360" w:lineRule="auto"/>
        <w:ind w:firstLine="1"/>
        <w:jc w:val="both"/>
        <w:rPr>
          <w:rFonts w:ascii="Palatino Linotype" w:eastAsia="Palatino Linotype" w:hAnsi="Palatino Linotype" w:cs="Palatino Linotype"/>
        </w:rPr>
      </w:pPr>
    </w:p>
    <w:p w:rsidR="00D16478" w:rsidRDefault="00D16478">
      <w:pPr>
        <w:spacing w:before="240" w:after="240" w:line="360" w:lineRule="auto"/>
        <w:ind w:firstLine="1"/>
        <w:jc w:val="both"/>
        <w:rPr>
          <w:rFonts w:ascii="Palatino Linotype" w:eastAsia="Palatino Linotype" w:hAnsi="Palatino Linotype" w:cs="Palatino Linotype"/>
        </w:rPr>
      </w:pPr>
    </w:p>
    <w:p w:rsidR="00D16478" w:rsidRPr="00C944EB" w:rsidRDefault="00D16478">
      <w:pPr>
        <w:spacing w:before="240" w:after="240" w:line="360" w:lineRule="auto"/>
        <w:ind w:firstLine="1"/>
        <w:jc w:val="both"/>
        <w:rPr>
          <w:rFonts w:ascii="Palatino Linotype" w:eastAsia="Palatino Linotype" w:hAnsi="Palatino Linotype" w:cs="Palatino Linotype"/>
        </w:rPr>
      </w:pPr>
    </w:p>
    <w:p w:rsidR="005F084C" w:rsidRPr="00C944EB" w:rsidRDefault="005F084C">
      <w:pPr>
        <w:spacing w:before="240" w:after="240" w:line="360" w:lineRule="auto"/>
        <w:ind w:firstLine="1"/>
        <w:jc w:val="both"/>
        <w:rPr>
          <w:rFonts w:ascii="Palatino Linotype" w:eastAsia="Palatino Linotype" w:hAnsi="Palatino Linotype" w:cs="Palatino Linotype"/>
        </w:rPr>
      </w:pPr>
    </w:p>
    <w:p w:rsidR="005F084C" w:rsidRPr="00C944EB" w:rsidRDefault="005F084C">
      <w:pPr>
        <w:pStyle w:val="Ttulo2"/>
        <w:spacing w:before="0" w:line="360" w:lineRule="auto"/>
      </w:pPr>
    </w:p>
    <w:sectPr w:rsidR="005F084C" w:rsidRPr="00C944EB" w:rsidSect="00C944EB">
      <w:headerReference w:type="default" r:id="rId16"/>
      <w:footerReference w:type="default" r:id="rId17"/>
      <w:headerReference w:type="first" r:id="rId18"/>
      <w:footerReference w:type="first" r:id="rId19"/>
      <w:pgSz w:w="12240" w:h="15840"/>
      <w:pgMar w:top="1691" w:right="900"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220" w:rsidRDefault="009D2220">
      <w:r>
        <w:separator/>
      </w:r>
    </w:p>
  </w:endnote>
  <w:endnote w:type="continuationSeparator" w:id="0">
    <w:p w:rsidR="009D2220" w:rsidRDefault="009D2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FB16B2DA-FD8F-472B-B060-D4C1052DC5F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1E89E5D-785A-47B5-9A12-1F1C45DAE29A}"/>
    <w:embedBold r:id="rId3" w:fontKey="{D9F06ACA-1B7A-4DB6-9B8B-131F5CCE8F61}"/>
    <w:embedItalic r:id="rId4" w:fontKey="{0330917A-7A5C-4592-A291-D460D343B3AB}"/>
    <w:embedBoldItalic r:id="rId5" w:fontKey="{CBAF4758-8BA6-485F-AC60-A8A199F8833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688F067C-ED80-4C0B-B040-A84D4C2AB216}"/>
    <w:embedBold r:id="rId7" w:fontKey="{DB5165A3-D383-4DB0-B805-5CC01D6E742A}"/>
  </w:font>
  <w:font w:name="Calibri">
    <w:panose1 w:val="020F0502020204030204"/>
    <w:charset w:val="00"/>
    <w:family w:val="swiss"/>
    <w:pitch w:val="variable"/>
    <w:sig w:usb0="E4002EFF" w:usb1="C200247B" w:usb2="00000009" w:usb3="00000000" w:csb0="000001FF" w:csb1="00000000"/>
    <w:embedRegular r:id="rId8" w:fontKey="{73EFD321-7832-4307-B232-C6351C7A2092}"/>
    <w:embedItalic r:id="rId9" w:fontKey="{41645B69-5561-4200-AA11-9055EE8275AF}"/>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D38B8EC2-185B-4652-8EAC-CFA2199DDA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84C" w:rsidRPr="00C944EB" w:rsidRDefault="007E65DA">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bCs/>
        <w:color w:val="000000"/>
        <w:sz w:val="22"/>
        <w:szCs w:val="22"/>
      </w:rPr>
    </w:pPr>
    <w:r w:rsidRPr="00C944EB">
      <w:rPr>
        <w:rFonts w:ascii="Palatino Linotype" w:eastAsia="Palatino Linotype" w:hAnsi="Palatino Linotype" w:cs="Palatino Linotype"/>
        <w:b/>
        <w:color w:val="000000"/>
        <w:sz w:val="22"/>
        <w:szCs w:val="22"/>
      </w:rPr>
      <w:t xml:space="preserve">Página </w:t>
    </w:r>
    <w:r w:rsidRPr="00C944EB">
      <w:rPr>
        <w:rFonts w:ascii="Palatino Linotype" w:eastAsia="Palatino Linotype" w:hAnsi="Palatino Linotype" w:cs="Palatino Linotype"/>
        <w:b/>
        <w:bCs/>
        <w:color w:val="000000"/>
        <w:sz w:val="22"/>
        <w:szCs w:val="22"/>
      </w:rPr>
      <w:fldChar w:fldCharType="begin"/>
    </w:r>
    <w:r w:rsidRPr="00C944EB">
      <w:rPr>
        <w:rFonts w:ascii="Palatino Linotype" w:eastAsia="Palatino Linotype" w:hAnsi="Palatino Linotype" w:cs="Palatino Linotype"/>
        <w:b/>
        <w:bCs/>
        <w:color w:val="000000"/>
        <w:sz w:val="22"/>
        <w:szCs w:val="22"/>
      </w:rPr>
      <w:instrText>PAGE</w:instrText>
    </w:r>
    <w:r w:rsidRPr="00C944EB">
      <w:rPr>
        <w:rFonts w:ascii="Palatino Linotype" w:eastAsia="Palatino Linotype" w:hAnsi="Palatino Linotype" w:cs="Palatino Linotype"/>
        <w:b/>
        <w:bCs/>
        <w:color w:val="000000"/>
        <w:sz w:val="22"/>
        <w:szCs w:val="22"/>
      </w:rPr>
      <w:fldChar w:fldCharType="separate"/>
    </w:r>
    <w:r w:rsidR="007B0B2F">
      <w:rPr>
        <w:rFonts w:ascii="Palatino Linotype" w:eastAsia="Palatino Linotype" w:hAnsi="Palatino Linotype" w:cs="Palatino Linotype"/>
        <w:b/>
        <w:bCs/>
        <w:noProof/>
        <w:color w:val="000000"/>
        <w:sz w:val="22"/>
        <w:szCs w:val="22"/>
      </w:rPr>
      <w:t>21</w:t>
    </w:r>
    <w:r w:rsidRPr="00C944EB">
      <w:rPr>
        <w:rFonts w:ascii="Palatino Linotype" w:eastAsia="Palatino Linotype" w:hAnsi="Palatino Linotype" w:cs="Palatino Linotype"/>
        <w:b/>
        <w:bCs/>
        <w:color w:val="000000"/>
        <w:sz w:val="22"/>
        <w:szCs w:val="22"/>
      </w:rPr>
      <w:fldChar w:fldCharType="end"/>
    </w:r>
    <w:r w:rsidRPr="00C944EB">
      <w:rPr>
        <w:rFonts w:ascii="Palatino Linotype" w:eastAsia="Palatino Linotype" w:hAnsi="Palatino Linotype" w:cs="Palatino Linotype"/>
        <w:b/>
        <w:color w:val="000000"/>
        <w:sz w:val="22"/>
        <w:szCs w:val="22"/>
      </w:rPr>
      <w:t xml:space="preserve"> de </w:t>
    </w:r>
    <w:r w:rsidRPr="00C944EB">
      <w:rPr>
        <w:rFonts w:ascii="Palatino Linotype" w:eastAsia="Palatino Linotype" w:hAnsi="Palatino Linotype" w:cs="Palatino Linotype"/>
        <w:b/>
        <w:bCs/>
        <w:color w:val="000000"/>
        <w:sz w:val="22"/>
        <w:szCs w:val="22"/>
      </w:rPr>
      <w:fldChar w:fldCharType="begin"/>
    </w:r>
    <w:r w:rsidRPr="00C944EB">
      <w:rPr>
        <w:rFonts w:ascii="Palatino Linotype" w:eastAsia="Palatino Linotype" w:hAnsi="Palatino Linotype" w:cs="Palatino Linotype"/>
        <w:b/>
        <w:bCs/>
        <w:color w:val="000000"/>
        <w:sz w:val="22"/>
        <w:szCs w:val="22"/>
      </w:rPr>
      <w:instrText>NUMPAGES</w:instrText>
    </w:r>
    <w:r w:rsidRPr="00C944EB">
      <w:rPr>
        <w:rFonts w:ascii="Palatino Linotype" w:eastAsia="Palatino Linotype" w:hAnsi="Palatino Linotype" w:cs="Palatino Linotype"/>
        <w:b/>
        <w:bCs/>
        <w:color w:val="000000"/>
        <w:sz w:val="22"/>
        <w:szCs w:val="22"/>
      </w:rPr>
      <w:fldChar w:fldCharType="separate"/>
    </w:r>
    <w:r w:rsidR="007B0B2F">
      <w:rPr>
        <w:rFonts w:ascii="Palatino Linotype" w:eastAsia="Palatino Linotype" w:hAnsi="Palatino Linotype" w:cs="Palatino Linotype"/>
        <w:b/>
        <w:bCs/>
        <w:noProof/>
        <w:color w:val="000000"/>
        <w:sz w:val="22"/>
        <w:szCs w:val="22"/>
      </w:rPr>
      <w:t>37</w:t>
    </w:r>
    <w:r w:rsidRPr="00C944EB">
      <w:rPr>
        <w:rFonts w:ascii="Palatino Linotype" w:eastAsia="Palatino Linotype" w:hAnsi="Palatino Linotype" w:cs="Palatino Linotype"/>
        <w:b/>
        <w:bCs/>
        <w:color w:val="000000"/>
        <w:sz w:val="22"/>
        <w:szCs w:val="22"/>
      </w:rPr>
      <w:fldChar w:fldCharType="end"/>
    </w:r>
  </w:p>
  <w:p w:rsidR="005F084C" w:rsidRDefault="005F084C">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5F084C" w:rsidRDefault="005F084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84C" w:rsidRPr="00C944EB" w:rsidRDefault="007E65DA">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sidRPr="00C944EB">
      <w:rPr>
        <w:rFonts w:ascii="Palatino Linotype" w:eastAsia="Palatino Linotype" w:hAnsi="Palatino Linotype" w:cs="Palatino Linotype"/>
        <w:b/>
        <w:color w:val="000000"/>
        <w:sz w:val="22"/>
        <w:szCs w:val="22"/>
      </w:rPr>
      <w:t xml:space="preserve">Página </w:t>
    </w:r>
    <w:r w:rsidRPr="00C944EB">
      <w:rPr>
        <w:rFonts w:ascii="Palatino Linotype" w:eastAsia="Palatino Linotype" w:hAnsi="Palatino Linotype" w:cs="Palatino Linotype"/>
        <w:b/>
        <w:color w:val="000000"/>
        <w:sz w:val="22"/>
        <w:szCs w:val="22"/>
      </w:rPr>
      <w:fldChar w:fldCharType="begin"/>
    </w:r>
    <w:r w:rsidRPr="00C944EB">
      <w:rPr>
        <w:rFonts w:ascii="Palatino Linotype" w:eastAsia="Palatino Linotype" w:hAnsi="Palatino Linotype" w:cs="Palatino Linotype"/>
        <w:b/>
        <w:color w:val="000000"/>
        <w:sz w:val="22"/>
        <w:szCs w:val="22"/>
      </w:rPr>
      <w:instrText>PAGE</w:instrText>
    </w:r>
    <w:r w:rsidRPr="00C944EB">
      <w:rPr>
        <w:rFonts w:ascii="Palatino Linotype" w:eastAsia="Palatino Linotype" w:hAnsi="Palatino Linotype" w:cs="Palatino Linotype"/>
        <w:b/>
        <w:color w:val="000000"/>
        <w:sz w:val="22"/>
        <w:szCs w:val="22"/>
      </w:rPr>
      <w:fldChar w:fldCharType="separate"/>
    </w:r>
    <w:r w:rsidR="007B0B2F">
      <w:rPr>
        <w:rFonts w:ascii="Palatino Linotype" w:eastAsia="Palatino Linotype" w:hAnsi="Palatino Linotype" w:cs="Palatino Linotype"/>
        <w:b/>
        <w:noProof/>
        <w:color w:val="000000"/>
        <w:sz w:val="22"/>
        <w:szCs w:val="22"/>
      </w:rPr>
      <w:t>1</w:t>
    </w:r>
    <w:r w:rsidRPr="00C944EB">
      <w:rPr>
        <w:rFonts w:ascii="Palatino Linotype" w:eastAsia="Palatino Linotype" w:hAnsi="Palatino Linotype" w:cs="Palatino Linotype"/>
        <w:b/>
        <w:color w:val="000000"/>
        <w:sz w:val="22"/>
        <w:szCs w:val="22"/>
      </w:rPr>
      <w:fldChar w:fldCharType="end"/>
    </w:r>
    <w:r w:rsidRPr="00C944EB">
      <w:rPr>
        <w:rFonts w:ascii="Palatino Linotype" w:eastAsia="Palatino Linotype" w:hAnsi="Palatino Linotype" w:cs="Palatino Linotype"/>
        <w:b/>
        <w:color w:val="000000"/>
        <w:sz w:val="22"/>
        <w:szCs w:val="22"/>
      </w:rPr>
      <w:t xml:space="preserve"> de </w:t>
    </w:r>
    <w:r w:rsidRPr="00C944EB">
      <w:rPr>
        <w:rFonts w:ascii="Palatino Linotype" w:eastAsia="Palatino Linotype" w:hAnsi="Palatino Linotype" w:cs="Palatino Linotype"/>
        <w:b/>
        <w:color w:val="000000"/>
        <w:sz w:val="22"/>
        <w:szCs w:val="22"/>
      </w:rPr>
      <w:fldChar w:fldCharType="begin"/>
    </w:r>
    <w:r w:rsidRPr="00C944EB">
      <w:rPr>
        <w:rFonts w:ascii="Palatino Linotype" w:eastAsia="Palatino Linotype" w:hAnsi="Palatino Linotype" w:cs="Palatino Linotype"/>
        <w:b/>
        <w:color w:val="000000"/>
        <w:sz w:val="22"/>
        <w:szCs w:val="22"/>
      </w:rPr>
      <w:instrText>NUMPAGES</w:instrText>
    </w:r>
    <w:r w:rsidRPr="00C944EB">
      <w:rPr>
        <w:rFonts w:ascii="Palatino Linotype" w:eastAsia="Palatino Linotype" w:hAnsi="Palatino Linotype" w:cs="Palatino Linotype"/>
        <w:b/>
        <w:color w:val="000000"/>
        <w:sz w:val="22"/>
        <w:szCs w:val="22"/>
      </w:rPr>
      <w:fldChar w:fldCharType="separate"/>
    </w:r>
    <w:r w:rsidR="007B0B2F">
      <w:rPr>
        <w:rFonts w:ascii="Palatino Linotype" w:eastAsia="Palatino Linotype" w:hAnsi="Palatino Linotype" w:cs="Palatino Linotype"/>
        <w:b/>
        <w:noProof/>
        <w:color w:val="000000"/>
        <w:sz w:val="22"/>
        <w:szCs w:val="22"/>
      </w:rPr>
      <w:t>37</w:t>
    </w:r>
    <w:r w:rsidRPr="00C944EB">
      <w:rPr>
        <w:rFonts w:ascii="Palatino Linotype" w:eastAsia="Palatino Linotype" w:hAnsi="Palatino Linotype" w:cs="Palatino Linotype"/>
        <w:b/>
        <w:color w:val="000000"/>
        <w:sz w:val="22"/>
        <w:szCs w:val="22"/>
      </w:rPr>
      <w:fldChar w:fldCharType="end"/>
    </w:r>
  </w:p>
  <w:p w:rsidR="005F084C" w:rsidRDefault="005F084C">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5F084C" w:rsidRDefault="005F08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220" w:rsidRDefault="009D2220">
      <w:r>
        <w:separator/>
      </w:r>
    </w:p>
  </w:footnote>
  <w:footnote w:type="continuationSeparator" w:id="0">
    <w:p w:rsidR="009D2220" w:rsidRDefault="009D2220">
      <w:r>
        <w:continuationSeparator/>
      </w:r>
    </w:p>
  </w:footnote>
  <w:footnote w:id="1">
    <w:p w:rsidR="005F084C" w:rsidRDefault="007E65D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https://legislacion.edomex.gob.mx/sites/legislacion.edomex.gob.mx/files/files/pdf/ley/vig/leyvig083.pdf</w:t>
        </w:r>
      </w:hyperlink>
    </w:p>
    <w:p w:rsidR="005F084C" w:rsidRDefault="005F084C">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2"/>
      <w:tblW w:w="7128"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876"/>
      <w:gridCol w:w="4252"/>
    </w:tblGrid>
    <w:tr w:rsidR="005F084C" w:rsidTr="00C944EB">
      <w:trPr>
        <w:trHeight w:val="138"/>
      </w:trPr>
      <w:tc>
        <w:tcPr>
          <w:tcW w:w="2876" w:type="dxa"/>
          <w:vAlign w:val="center"/>
        </w:tcPr>
        <w:p w:rsidR="005F084C" w:rsidRPr="00C944EB" w:rsidRDefault="007E65DA" w:rsidP="00C944EB">
          <w:pPr>
            <w:jc w:val="right"/>
            <w:rPr>
              <w:rFonts w:ascii="Palatino Linotype" w:eastAsia="Palatino Linotype" w:hAnsi="Palatino Linotype" w:cs="Palatino Linotype"/>
              <w:b/>
              <w:bCs/>
              <w:sz w:val="24"/>
            </w:rPr>
          </w:pPr>
          <w:r w:rsidRPr="00C944EB">
            <w:rPr>
              <w:rFonts w:ascii="Palatino Linotype" w:eastAsia="Palatino Linotype" w:hAnsi="Palatino Linotype" w:cs="Palatino Linotype"/>
              <w:b/>
              <w:bCs/>
              <w:sz w:val="24"/>
            </w:rPr>
            <w:t>Recurso de Revisión:</w:t>
          </w:r>
        </w:p>
      </w:tc>
      <w:tc>
        <w:tcPr>
          <w:tcW w:w="4252" w:type="dxa"/>
          <w:vAlign w:val="center"/>
        </w:tcPr>
        <w:p w:rsidR="005F084C" w:rsidRPr="00C944EB" w:rsidRDefault="007E65DA" w:rsidP="00C944EB">
          <w:pPr>
            <w:pBdr>
              <w:top w:val="nil"/>
              <w:left w:val="nil"/>
              <w:bottom w:val="nil"/>
              <w:right w:val="nil"/>
              <w:between w:val="nil"/>
            </w:pBdr>
            <w:tabs>
              <w:tab w:val="right" w:pos="8504"/>
            </w:tabs>
            <w:rPr>
              <w:rFonts w:ascii="Palatino Linotype" w:eastAsia="Palatino Linotype" w:hAnsi="Palatino Linotype" w:cs="Palatino Linotype"/>
              <w:color w:val="000000"/>
              <w:sz w:val="24"/>
              <w:highlight w:val="yellow"/>
            </w:rPr>
          </w:pPr>
          <w:r w:rsidRPr="00C944EB">
            <w:rPr>
              <w:rFonts w:ascii="Palatino Linotype" w:eastAsia="Palatino Linotype" w:hAnsi="Palatino Linotype" w:cs="Palatino Linotype"/>
              <w:color w:val="000000"/>
              <w:sz w:val="24"/>
            </w:rPr>
            <w:t>13098/INFOEM/IP/RR/2025</w:t>
          </w:r>
        </w:p>
      </w:tc>
    </w:tr>
    <w:tr w:rsidR="005F084C" w:rsidTr="00C944EB">
      <w:trPr>
        <w:trHeight w:val="321"/>
      </w:trPr>
      <w:tc>
        <w:tcPr>
          <w:tcW w:w="2876" w:type="dxa"/>
          <w:vAlign w:val="center"/>
        </w:tcPr>
        <w:p w:rsidR="005F084C" w:rsidRPr="00C944EB" w:rsidRDefault="007E65DA" w:rsidP="00C944EB">
          <w:pPr>
            <w:jc w:val="right"/>
            <w:rPr>
              <w:rFonts w:ascii="Palatino Linotype" w:eastAsia="Palatino Linotype" w:hAnsi="Palatino Linotype" w:cs="Palatino Linotype"/>
              <w:b/>
              <w:bCs/>
              <w:sz w:val="24"/>
            </w:rPr>
          </w:pPr>
          <w:r w:rsidRPr="00C944EB">
            <w:rPr>
              <w:rFonts w:ascii="Palatino Linotype" w:eastAsia="Palatino Linotype" w:hAnsi="Palatino Linotype" w:cs="Palatino Linotype"/>
              <w:b/>
              <w:bCs/>
              <w:sz w:val="24"/>
            </w:rPr>
            <w:t>Sujeto Obligado:</w:t>
          </w:r>
        </w:p>
      </w:tc>
      <w:tc>
        <w:tcPr>
          <w:tcW w:w="4252" w:type="dxa"/>
          <w:vAlign w:val="center"/>
        </w:tcPr>
        <w:p w:rsidR="005F084C" w:rsidRPr="00C944EB" w:rsidRDefault="007E65DA" w:rsidP="00C944EB">
          <w:pPr>
            <w:rPr>
              <w:rFonts w:ascii="Palatino Linotype" w:eastAsia="Palatino Linotype" w:hAnsi="Palatino Linotype" w:cs="Palatino Linotype"/>
              <w:sz w:val="24"/>
            </w:rPr>
          </w:pPr>
          <w:r w:rsidRPr="00C944EB">
            <w:rPr>
              <w:rFonts w:ascii="Palatino Linotype" w:eastAsia="Palatino Linotype" w:hAnsi="Palatino Linotype" w:cs="Palatino Linotype"/>
              <w:sz w:val="24"/>
            </w:rPr>
            <w:t>Ayuntamiento de San Antonio la Isla</w:t>
          </w:r>
        </w:p>
      </w:tc>
    </w:tr>
    <w:tr w:rsidR="005F084C" w:rsidTr="00C944EB">
      <w:trPr>
        <w:trHeight w:val="321"/>
      </w:trPr>
      <w:tc>
        <w:tcPr>
          <w:tcW w:w="2876" w:type="dxa"/>
          <w:vAlign w:val="center"/>
        </w:tcPr>
        <w:p w:rsidR="005F084C" w:rsidRPr="00C944EB" w:rsidRDefault="007E65DA" w:rsidP="00C944EB">
          <w:pPr>
            <w:jc w:val="right"/>
            <w:rPr>
              <w:rFonts w:ascii="Palatino Linotype" w:eastAsia="Palatino Linotype" w:hAnsi="Palatino Linotype" w:cs="Palatino Linotype"/>
              <w:b/>
              <w:bCs/>
              <w:sz w:val="24"/>
            </w:rPr>
          </w:pPr>
          <w:r w:rsidRPr="00C944EB">
            <w:rPr>
              <w:rFonts w:ascii="Palatino Linotype" w:eastAsia="Palatino Linotype" w:hAnsi="Palatino Linotype" w:cs="Palatino Linotype"/>
              <w:b/>
              <w:bCs/>
              <w:sz w:val="24"/>
            </w:rPr>
            <w:t>Comisionada Ponente:</w:t>
          </w:r>
        </w:p>
      </w:tc>
      <w:tc>
        <w:tcPr>
          <w:tcW w:w="4252" w:type="dxa"/>
          <w:vAlign w:val="center"/>
        </w:tcPr>
        <w:p w:rsidR="005F084C" w:rsidRPr="00C944EB" w:rsidRDefault="007E65DA" w:rsidP="00C944EB">
          <w:pPr>
            <w:pBdr>
              <w:top w:val="nil"/>
              <w:left w:val="nil"/>
              <w:bottom w:val="nil"/>
              <w:right w:val="nil"/>
              <w:between w:val="nil"/>
            </w:pBdr>
            <w:tabs>
              <w:tab w:val="right" w:pos="8504"/>
            </w:tabs>
            <w:rPr>
              <w:rFonts w:ascii="Palatino Linotype" w:eastAsia="Palatino Linotype" w:hAnsi="Palatino Linotype" w:cs="Palatino Linotype"/>
              <w:color w:val="000000"/>
              <w:sz w:val="24"/>
            </w:rPr>
          </w:pPr>
          <w:r w:rsidRPr="00C944EB">
            <w:rPr>
              <w:rFonts w:ascii="Palatino Linotype" w:eastAsia="Palatino Linotype" w:hAnsi="Palatino Linotype" w:cs="Palatino Linotype"/>
              <w:color w:val="000000"/>
              <w:sz w:val="24"/>
            </w:rPr>
            <w:t>María del Rosario Mejía Ayala</w:t>
          </w:r>
        </w:p>
      </w:tc>
    </w:tr>
  </w:tbl>
  <w:p w:rsidR="005F084C" w:rsidRDefault="00C944EB">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8240" behindDoc="1" locked="0" layoutInCell="1" hidden="0" allowOverlap="1">
          <wp:simplePos x="0" y="0"/>
          <wp:positionH relativeFrom="column">
            <wp:posOffset>-991977</wp:posOffset>
          </wp:positionH>
          <wp:positionV relativeFrom="paragraph">
            <wp:posOffset>-1067914</wp:posOffset>
          </wp:positionV>
          <wp:extent cx="7809876" cy="10165823"/>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5F084C" w:rsidRDefault="005F084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3"/>
      <w:tblW w:w="7544" w:type="dxa"/>
      <w:tblInd w:w="24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08"/>
      <w:gridCol w:w="255"/>
      <w:gridCol w:w="4281"/>
    </w:tblGrid>
    <w:tr w:rsidR="005F084C" w:rsidTr="00C944EB">
      <w:trPr>
        <w:trHeight w:val="138"/>
      </w:trPr>
      <w:tc>
        <w:tcPr>
          <w:tcW w:w="3008" w:type="dxa"/>
          <w:vAlign w:val="center"/>
        </w:tcPr>
        <w:p w:rsidR="005F084C" w:rsidRPr="00C944EB" w:rsidRDefault="007E65DA" w:rsidP="00C944EB">
          <w:pPr>
            <w:jc w:val="right"/>
            <w:rPr>
              <w:rFonts w:ascii="Palatino Linotype" w:eastAsia="Palatino Linotype" w:hAnsi="Palatino Linotype" w:cs="Palatino Linotype"/>
              <w:b/>
              <w:bCs/>
              <w:sz w:val="24"/>
            </w:rPr>
          </w:pPr>
          <w:r w:rsidRPr="00C944EB">
            <w:rPr>
              <w:rFonts w:ascii="Palatino Linotype" w:eastAsia="Palatino Linotype" w:hAnsi="Palatino Linotype" w:cs="Palatino Linotype"/>
              <w:b/>
              <w:bCs/>
              <w:sz w:val="24"/>
            </w:rPr>
            <w:t>Recurso de Revisión:</w:t>
          </w:r>
        </w:p>
      </w:tc>
      <w:tc>
        <w:tcPr>
          <w:tcW w:w="255" w:type="dxa"/>
          <w:vAlign w:val="center"/>
        </w:tcPr>
        <w:p w:rsidR="005F084C" w:rsidRPr="00C944EB" w:rsidRDefault="005F084C">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281" w:type="dxa"/>
          <w:vAlign w:val="center"/>
        </w:tcPr>
        <w:p w:rsidR="005F084C" w:rsidRPr="00C944EB" w:rsidRDefault="007E65DA" w:rsidP="00C944EB">
          <w:pPr>
            <w:pBdr>
              <w:top w:val="nil"/>
              <w:left w:val="nil"/>
              <w:bottom w:val="nil"/>
              <w:right w:val="nil"/>
              <w:between w:val="nil"/>
            </w:pBdr>
            <w:tabs>
              <w:tab w:val="right" w:pos="8504"/>
            </w:tabs>
            <w:ind w:right="-73"/>
            <w:rPr>
              <w:rFonts w:ascii="Palatino Linotype" w:eastAsia="Palatino Linotype" w:hAnsi="Palatino Linotype" w:cs="Palatino Linotype"/>
              <w:color w:val="000000"/>
              <w:sz w:val="24"/>
            </w:rPr>
          </w:pPr>
          <w:r w:rsidRPr="00C944EB">
            <w:rPr>
              <w:rFonts w:ascii="Palatino Linotype" w:eastAsia="Palatino Linotype" w:hAnsi="Palatino Linotype" w:cs="Palatino Linotype"/>
              <w:color w:val="000000"/>
              <w:sz w:val="24"/>
            </w:rPr>
            <w:t>13098/INFOEM/IP/RR/2025</w:t>
          </w:r>
        </w:p>
      </w:tc>
    </w:tr>
    <w:tr w:rsidR="005F084C" w:rsidTr="00C944EB">
      <w:trPr>
        <w:trHeight w:val="227"/>
      </w:trPr>
      <w:tc>
        <w:tcPr>
          <w:tcW w:w="3008" w:type="dxa"/>
          <w:vAlign w:val="center"/>
        </w:tcPr>
        <w:p w:rsidR="005F084C" w:rsidRPr="00C944EB" w:rsidRDefault="007E65DA" w:rsidP="00C944EB">
          <w:pPr>
            <w:jc w:val="right"/>
            <w:rPr>
              <w:rFonts w:ascii="Palatino Linotype" w:eastAsia="Palatino Linotype" w:hAnsi="Palatino Linotype" w:cs="Palatino Linotype"/>
              <w:b/>
              <w:bCs/>
              <w:sz w:val="24"/>
            </w:rPr>
          </w:pPr>
          <w:r w:rsidRPr="00C944EB">
            <w:rPr>
              <w:rFonts w:ascii="Palatino Linotype" w:eastAsia="Palatino Linotype" w:hAnsi="Palatino Linotype" w:cs="Palatino Linotype"/>
              <w:b/>
              <w:bCs/>
              <w:sz w:val="24"/>
            </w:rPr>
            <w:t>Recurrente:</w:t>
          </w:r>
        </w:p>
      </w:tc>
      <w:tc>
        <w:tcPr>
          <w:tcW w:w="255" w:type="dxa"/>
          <w:vAlign w:val="center"/>
        </w:tcPr>
        <w:p w:rsidR="005F084C" w:rsidRPr="00C944EB" w:rsidRDefault="005F084C">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281" w:type="dxa"/>
          <w:vAlign w:val="center"/>
        </w:tcPr>
        <w:p w:rsidR="005F084C" w:rsidRPr="00C944EB" w:rsidRDefault="007B0B2F">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rPr>
          </w:pPr>
          <w:r>
            <w:rPr>
              <w:rFonts w:ascii="Palatino Linotype" w:eastAsia="Palatino Linotype" w:hAnsi="Palatino Linotype" w:cs="Palatino Linotype"/>
              <w:color w:val="000000"/>
              <w:sz w:val="24"/>
            </w:rPr>
            <w:t>XXXX</w:t>
          </w:r>
        </w:p>
      </w:tc>
    </w:tr>
    <w:tr w:rsidR="005F084C" w:rsidTr="00C944EB">
      <w:trPr>
        <w:trHeight w:val="232"/>
      </w:trPr>
      <w:tc>
        <w:tcPr>
          <w:tcW w:w="3008" w:type="dxa"/>
          <w:vAlign w:val="center"/>
        </w:tcPr>
        <w:p w:rsidR="005F084C" w:rsidRPr="00C944EB" w:rsidRDefault="007E65DA" w:rsidP="00C944EB">
          <w:pPr>
            <w:jc w:val="right"/>
            <w:rPr>
              <w:rFonts w:ascii="Palatino Linotype" w:eastAsia="Palatino Linotype" w:hAnsi="Palatino Linotype" w:cs="Palatino Linotype"/>
              <w:b/>
              <w:bCs/>
              <w:sz w:val="24"/>
            </w:rPr>
          </w:pPr>
          <w:r w:rsidRPr="00C944EB">
            <w:rPr>
              <w:rFonts w:ascii="Palatino Linotype" w:eastAsia="Palatino Linotype" w:hAnsi="Palatino Linotype" w:cs="Palatino Linotype"/>
              <w:b/>
              <w:bCs/>
              <w:sz w:val="24"/>
            </w:rPr>
            <w:t>Sujeto Obligado:</w:t>
          </w:r>
        </w:p>
      </w:tc>
      <w:tc>
        <w:tcPr>
          <w:tcW w:w="255" w:type="dxa"/>
          <w:vAlign w:val="center"/>
        </w:tcPr>
        <w:p w:rsidR="005F084C" w:rsidRPr="00C944EB" w:rsidRDefault="005F084C">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281" w:type="dxa"/>
          <w:vAlign w:val="center"/>
        </w:tcPr>
        <w:p w:rsidR="005F084C" w:rsidRPr="00C944EB" w:rsidRDefault="007E65DA">
          <w:pPr>
            <w:ind w:right="-73"/>
            <w:rPr>
              <w:sz w:val="24"/>
            </w:rPr>
          </w:pPr>
          <w:r w:rsidRPr="00C944EB">
            <w:rPr>
              <w:rFonts w:ascii="Palatino Linotype" w:eastAsia="Palatino Linotype" w:hAnsi="Palatino Linotype" w:cs="Palatino Linotype"/>
              <w:sz w:val="24"/>
            </w:rPr>
            <w:t>Ayuntamiento de San Antonio la Isla</w:t>
          </w:r>
        </w:p>
      </w:tc>
    </w:tr>
    <w:tr w:rsidR="005F084C" w:rsidTr="00C944EB">
      <w:trPr>
        <w:trHeight w:val="320"/>
      </w:trPr>
      <w:tc>
        <w:tcPr>
          <w:tcW w:w="3008" w:type="dxa"/>
          <w:vAlign w:val="center"/>
        </w:tcPr>
        <w:p w:rsidR="005F084C" w:rsidRPr="00C944EB" w:rsidRDefault="007E65DA" w:rsidP="00C944EB">
          <w:pPr>
            <w:jc w:val="right"/>
            <w:rPr>
              <w:rFonts w:ascii="Palatino Linotype" w:eastAsia="Palatino Linotype" w:hAnsi="Palatino Linotype" w:cs="Palatino Linotype"/>
              <w:b/>
              <w:bCs/>
              <w:sz w:val="24"/>
            </w:rPr>
          </w:pPr>
          <w:r w:rsidRPr="00C944EB">
            <w:rPr>
              <w:rFonts w:ascii="Palatino Linotype" w:eastAsia="Palatino Linotype" w:hAnsi="Palatino Linotype" w:cs="Palatino Linotype"/>
              <w:b/>
              <w:bCs/>
              <w:sz w:val="24"/>
            </w:rPr>
            <w:t>Comisionada Ponente:</w:t>
          </w:r>
        </w:p>
      </w:tc>
      <w:tc>
        <w:tcPr>
          <w:tcW w:w="255" w:type="dxa"/>
          <w:vAlign w:val="center"/>
        </w:tcPr>
        <w:p w:rsidR="005F084C" w:rsidRPr="00C944EB" w:rsidRDefault="005F084C">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281" w:type="dxa"/>
          <w:vAlign w:val="center"/>
        </w:tcPr>
        <w:p w:rsidR="005F084C" w:rsidRPr="00C944EB" w:rsidRDefault="007E65DA">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rPr>
          </w:pPr>
          <w:r w:rsidRPr="00C944EB">
            <w:rPr>
              <w:rFonts w:ascii="Palatino Linotype" w:eastAsia="Palatino Linotype" w:hAnsi="Palatino Linotype" w:cs="Palatino Linotype"/>
              <w:color w:val="000000"/>
              <w:sz w:val="24"/>
            </w:rPr>
            <w:t>María del Rosario Mejía Ayala</w:t>
          </w:r>
        </w:p>
      </w:tc>
    </w:tr>
  </w:tbl>
  <w:p w:rsidR="005F084C" w:rsidRDefault="00C944EB">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9264" behindDoc="1" locked="0" layoutInCell="1" hidden="0" allowOverlap="1">
          <wp:simplePos x="0" y="0"/>
          <wp:positionH relativeFrom="column">
            <wp:posOffset>-1059839</wp:posOffset>
          </wp:positionH>
          <wp:positionV relativeFrom="paragraph">
            <wp:posOffset>-1246672</wp:posOffset>
          </wp:positionV>
          <wp:extent cx="7809876" cy="10165823"/>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5F084C" w:rsidRDefault="005F08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B0356"/>
    <w:multiLevelType w:val="multilevel"/>
    <w:tmpl w:val="2F44A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CF1E46"/>
    <w:multiLevelType w:val="multilevel"/>
    <w:tmpl w:val="27266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C15974"/>
    <w:multiLevelType w:val="multilevel"/>
    <w:tmpl w:val="E1A06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8F49E2"/>
    <w:multiLevelType w:val="multilevel"/>
    <w:tmpl w:val="53F674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864C1F"/>
    <w:multiLevelType w:val="multilevel"/>
    <w:tmpl w:val="2F647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344A39"/>
    <w:multiLevelType w:val="multilevel"/>
    <w:tmpl w:val="6AB8AD14"/>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8892D11"/>
    <w:multiLevelType w:val="multilevel"/>
    <w:tmpl w:val="551ED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374C5F"/>
    <w:multiLevelType w:val="multilevel"/>
    <w:tmpl w:val="1512B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466253"/>
    <w:multiLevelType w:val="hybridMultilevel"/>
    <w:tmpl w:val="CEA05C6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7AFD1891"/>
    <w:multiLevelType w:val="multilevel"/>
    <w:tmpl w:val="5E86A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9"/>
  </w:num>
  <w:num w:numId="4">
    <w:abstractNumId w:val="4"/>
  </w:num>
  <w:num w:numId="5">
    <w:abstractNumId w:val="6"/>
  </w:num>
  <w:num w:numId="6">
    <w:abstractNumId w:val="0"/>
  </w:num>
  <w:num w:numId="7">
    <w:abstractNumId w:val="3"/>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84C"/>
    <w:rsid w:val="0042799C"/>
    <w:rsid w:val="005F084C"/>
    <w:rsid w:val="00700082"/>
    <w:rsid w:val="007B0B2F"/>
    <w:rsid w:val="007E65DA"/>
    <w:rsid w:val="009D2220"/>
    <w:rsid w:val="00C944EB"/>
    <w:rsid w:val="00CA1771"/>
    <w:rsid w:val="00D16478"/>
    <w:rsid w:val="00DB124F"/>
    <w:rsid w:val="00F93E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15963B-35F9-4558-85C1-C35E2F4F7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bCs/>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bCs/>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iCs/>
      <w:color w:val="366091"/>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table" w:customStyle="1" w:styleId="3">
    <w:name w:val="3"/>
    <w:basedOn w:val="TableNormal4"/>
    <w:tblPr>
      <w:tblStyleRowBandSize w:val="1"/>
      <w:tblStyleColBandSize w:val="1"/>
      <w:tblCellMar>
        <w:left w:w="115" w:type="dxa"/>
        <w:right w:w="115" w:type="dxa"/>
      </w:tblCellMar>
    </w:tblPr>
  </w:style>
  <w:style w:type="table" w:customStyle="1" w:styleId="2">
    <w:name w:val="2"/>
    <w:basedOn w:val="TableNormal4"/>
    <w:rPr>
      <w:sz w:val="22"/>
      <w:szCs w:val="22"/>
    </w:rPr>
    <w:tblPr>
      <w:tblStyleRowBandSize w:val="1"/>
      <w:tblStyleColBandSize w:val="1"/>
      <w:tblCellMar>
        <w:left w:w="108" w:type="dxa"/>
        <w:right w:w="108" w:type="dxa"/>
      </w:tblCellMar>
    </w:tblPr>
  </w:style>
  <w:style w:type="table" w:customStyle="1" w:styleId="1">
    <w:name w:val="1"/>
    <w:basedOn w:val="TableNormal4"/>
    <w:rPr>
      <w:sz w:val="22"/>
      <w:szCs w:val="22"/>
    </w:rPr>
    <w:tblPr>
      <w:tblStyleRowBandSize w:val="1"/>
      <w:tblStyleColBandSize w:val="1"/>
      <w:tblCellMar>
        <w:left w:w="108" w:type="dxa"/>
        <w:right w:w="108" w:type="dxa"/>
      </w:tblCellMar>
    </w:tblPr>
  </w:style>
  <w:style w:type="table" w:customStyle="1" w:styleId="a0">
    <w:basedOn w:val="TableNormal4"/>
    <w:tblPr>
      <w:tblStyleRowBandSize w:val="1"/>
      <w:tblStyleColBandSize w:val="1"/>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rPr>
      <w:sz w:val="22"/>
      <w:szCs w:val="22"/>
    </w:rPr>
    <w:tblPr>
      <w:tblStyleRowBandSize w:val="1"/>
      <w:tblStyleColBandSize w:val="1"/>
      <w:tblCellMar>
        <w:left w:w="108" w:type="dxa"/>
        <w:right w:w="108" w:type="dxa"/>
      </w:tblCellMar>
    </w:tblPr>
  </w:style>
  <w:style w:type="table" w:customStyle="1" w:styleId="a3">
    <w:basedOn w:val="TableNormal4"/>
    <w:rPr>
      <w:sz w:val="22"/>
      <w:szCs w:val="22"/>
    </w:rPr>
    <w:tblPr>
      <w:tblStyleRowBandSize w:val="1"/>
      <w:tblStyleColBandSize w:val="1"/>
      <w:tblCellMar>
        <w:left w:w="108" w:type="dxa"/>
        <w:right w:w="108" w:type="dxa"/>
      </w:tblCellMar>
    </w:tblPr>
  </w:style>
  <w:style w:type="table" w:customStyle="1" w:styleId="a4">
    <w:basedOn w:val="TableNormal3"/>
    <w:tblPr>
      <w:tblStyleRowBandSize w:val="1"/>
      <w:tblStyleColBandSize w:val="1"/>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rPr>
      <w:sz w:val="22"/>
      <w:szCs w:val="22"/>
    </w:rPr>
    <w:tblPr>
      <w:tblStyleRowBandSize w:val="1"/>
      <w:tblStyleColBandSize w:val="1"/>
      <w:tblCellMar>
        <w:left w:w="108" w:type="dxa"/>
        <w:right w:w="108" w:type="dxa"/>
      </w:tblCellMar>
    </w:tblPr>
  </w:style>
  <w:style w:type="table" w:customStyle="1" w:styleId="a7">
    <w:basedOn w:val="TableNormal3"/>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rPr>
      <w:sz w:val="22"/>
      <w:szCs w:val="22"/>
    </w:rPr>
    <w:tblPr>
      <w:tblStyleRowBandSize w:val="1"/>
      <w:tblStyleColBandSize w:val="1"/>
      <w:tblCellMar>
        <w:left w:w="108" w:type="dxa"/>
        <w:right w:w="108" w:type="dxa"/>
      </w:tblCellMar>
    </w:tblPr>
  </w:style>
  <w:style w:type="table" w:customStyle="1" w:styleId="ab">
    <w:basedOn w:val="TableNormal2"/>
    <w:rPr>
      <w:sz w:val="22"/>
      <w:szCs w:val="22"/>
    </w:rPr>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rPr>
      <w:sz w:val="22"/>
      <w:szCs w:val="22"/>
    </w:rPr>
    <w:tblPr>
      <w:tblStyleRowBandSize w:val="1"/>
      <w:tblStyleColBandSize w:val="1"/>
      <w:tblCellMar>
        <w:left w:w="108" w:type="dxa"/>
        <w:right w:w="108" w:type="dxa"/>
      </w:tblCellMar>
    </w:tblPr>
  </w:style>
  <w:style w:type="table" w:customStyle="1" w:styleId="af">
    <w:basedOn w:val="TableNormal2"/>
    <w:rPr>
      <w:sz w:val="22"/>
      <w:szCs w:val="22"/>
    </w:r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3">
    <w:basedOn w:val="TableNormal0"/>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anantoniolaisla@itaipem.org.mx"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2616347.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616308.pag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saimex.org.mx/saimex/solicitud/downloadAttach/2616306.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2616305.page" TargetMode="External"/><Relationship Id="rId14" Type="http://schemas.openxmlformats.org/officeDocument/2006/relationships/hyperlink" Target="http://dof.gob.mx/nota_detalle.php?codigo=5492254&amp;fecha=28/07/201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q4NZ08sec3nR0lgNXaNsKkLNNg==">CgMxLjAyDmguc3JlOWgwNXE0djBiMghoLmdqZGd4czIJaC4zMGowemxsMgloLjFmb2I5dGUyCWguM3pueXNoNzIJaC4yZXQ5MnAwMghoLnR5amN3dDIJaC4zZHk2dmttMgloLjF0M2g1c2YyCWguMWtzdjR1djIJaC40NHNpbmlvMgloLjI2aW4xcmcyCWguNGQzNG9nODIIaC5sbnhiejkyCWguMzVua3VuMjIOaC5kaXBxYmZ2dnE4cXA4AHIhMTFhVGhPZU1NRG5NVi1IX1ExWWxIOTJlZ0Rxd1RfdD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9373</Words>
  <Characters>51555</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5</cp:revision>
  <dcterms:created xsi:type="dcterms:W3CDTF">2026-01-19T17:57:00Z</dcterms:created>
  <dcterms:modified xsi:type="dcterms:W3CDTF">2026-02-06T18:59:00Z</dcterms:modified>
</cp:coreProperties>
</file>