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D44E6B" w14:textId="77777777" w:rsidR="005E5156" w:rsidRPr="007A2AEB" w:rsidRDefault="00A104FE">
      <w:pPr>
        <w:spacing w:line="360" w:lineRule="auto"/>
        <w:ind w:right="49" w:hanging="22"/>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7A2AEB">
        <w:rPr>
          <w:rFonts w:ascii="Palatino Linotype" w:eastAsia="Palatino Linotype" w:hAnsi="Palatino Linotype" w:cs="Palatino Linotype"/>
          <w:b/>
          <w:bCs/>
          <w:sz w:val="22"/>
          <w:szCs w:val="22"/>
        </w:rPr>
        <w:t>once de febrero</w:t>
      </w:r>
      <w:r w:rsidRPr="007A2AEB">
        <w:rPr>
          <w:rFonts w:ascii="Palatino Linotype" w:eastAsia="Palatino Linotype" w:hAnsi="Palatino Linotype" w:cs="Palatino Linotype"/>
          <w:sz w:val="22"/>
          <w:szCs w:val="22"/>
        </w:rPr>
        <w:t xml:space="preserve"> </w:t>
      </w:r>
      <w:r w:rsidRPr="007A2AEB">
        <w:rPr>
          <w:rFonts w:ascii="Palatino Linotype" w:eastAsia="Palatino Linotype" w:hAnsi="Palatino Linotype" w:cs="Palatino Linotype"/>
          <w:b/>
          <w:bCs/>
          <w:sz w:val="22"/>
          <w:szCs w:val="22"/>
        </w:rPr>
        <w:t xml:space="preserve">de dos mil veintiséis. </w:t>
      </w:r>
    </w:p>
    <w:p w14:paraId="17D11280" w14:textId="77777777" w:rsidR="005E5156" w:rsidRPr="007A2AEB" w:rsidRDefault="005E5156">
      <w:pPr>
        <w:spacing w:line="360" w:lineRule="auto"/>
        <w:ind w:right="49" w:hanging="22"/>
        <w:jc w:val="both"/>
        <w:rPr>
          <w:rFonts w:ascii="Palatino Linotype" w:eastAsia="Palatino Linotype" w:hAnsi="Palatino Linotype" w:cs="Palatino Linotype"/>
          <w:sz w:val="22"/>
          <w:szCs w:val="22"/>
        </w:rPr>
      </w:pPr>
    </w:p>
    <w:p w14:paraId="4ABF71BF" w14:textId="693FB0AF" w:rsidR="005E5156" w:rsidRPr="007A2AEB" w:rsidRDefault="00A104FE">
      <w:pPr>
        <w:spacing w:line="360" w:lineRule="auto"/>
        <w:ind w:right="49"/>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b/>
          <w:bCs/>
          <w:sz w:val="22"/>
          <w:szCs w:val="22"/>
        </w:rPr>
        <w:t xml:space="preserve">VISTO </w:t>
      </w:r>
      <w:r w:rsidRPr="007A2AEB">
        <w:rPr>
          <w:rFonts w:ascii="Palatino Linotype" w:eastAsia="Palatino Linotype" w:hAnsi="Palatino Linotype" w:cs="Palatino Linotype"/>
          <w:sz w:val="22"/>
          <w:szCs w:val="22"/>
        </w:rPr>
        <w:t xml:space="preserve">el expediente relativo al recurso de revisión </w:t>
      </w:r>
      <w:r w:rsidRPr="007A2AEB">
        <w:rPr>
          <w:rFonts w:ascii="Palatino Linotype" w:eastAsia="Palatino Linotype" w:hAnsi="Palatino Linotype" w:cs="Palatino Linotype"/>
          <w:b/>
          <w:bCs/>
          <w:sz w:val="22"/>
          <w:szCs w:val="22"/>
        </w:rPr>
        <w:t xml:space="preserve">14194/INFOEM/IP/RR/2025, </w:t>
      </w:r>
      <w:r w:rsidRPr="007A2AEB">
        <w:rPr>
          <w:rFonts w:ascii="Palatino Linotype" w:eastAsia="Palatino Linotype" w:hAnsi="Palatino Linotype" w:cs="Palatino Linotype"/>
          <w:sz w:val="22"/>
          <w:szCs w:val="22"/>
        </w:rPr>
        <w:t xml:space="preserve">interpuesto por </w:t>
      </w:r>
      <w:r w:rsidR="00B675C2" w:rsidRPr="00B675C2">
        <w:rPr>
          <w:rFonts w:ascii="Palatino Linotype" w:eastAsia="Palatino Linotype" w:hAnsi="Palatino Linotype" w:cs="Palatino Linotype"/>
          <w:b/>
          <w:bCs/>
          <w:sz w:val="22"/>
          <w:szCs w:val="22"/>
        </w:rPr>
        <w:t>XXXXXXXXXX XXXXXXXX XXXXXXX XXXXXXXX .</w:t>
      </w:r>
      <w:bookmarkStart w:id="0" w:name="_GoBack"/>
      <w:bookmarkEnd w:id="0"/>
      <w:r w:rsidRPr="007A2AEB">
        <w:rPr>
          <w:rFonts w:ascii="Palatino Linotype" w:eastAsia="Palatino Linotype" w:hAnsi="Palatino Linotype" w:cs="Palatino Linotype"/>
          <w:sz w:val="22"/>
          <w:szCs w:val="22"/>
        </w:rPr>
        <w:t xml:space="preserve">, en lo sucesivo la parte </w:t>
      </w:r>
      <w:r w:rsidRPr="007A2AEB">
        <w:rPr>
          <w:rFonts w:ascii="Palatino Linotype" w:eastAsia="Palatino Linotype" w:hAnsi="Palatino Linotype" w:cs="Palatino Linotype"/>
          <w:b/>
          <w:bCs/>
          <w:sz w:val="22"/>
          <w:szCs w:val="22"/>
        </w:rPr>
        <w:t>Recurrente</w:t>
      </w:r>
      <w:r w:rsidRPr="007A2AEB">
        <w:rPr>
          <w:rFonts w:ascii="Palatino Linotype" w:eastAsia="Palatino Linotype" w:hAnsi="Palatino Linotype" w:cs="Palatino Linotype"/>
          <w:sz w:val="22"/>
          <w:szCs w:val="22"/>
        </w:rPr>
        <w:t xml:space="preserve">, en contra de la respuesta a la solicitud de información por parte de la </w:t>
      </w:r>
      <w:r w:rsidRPr="007A2AEB">
        <w:rPr>
          <w:rFonts w:ascii="Palatino Linotype" w:eastAsia="Palatino Linotype" w:hAnsi="Palatino Linotype" w:cs="Palatino Linotype"/>
          <w:b/>
          <w:bCs/>
          <w:sz w:val="22"/>
          <w:szCs w:val="22"/>
        </w:rPr>
        <w:t>Fiscalía General de Justicia del Estado de México</w:t>
      </w:r>
      <w:r w:rsidRPr="007A2AEB">
        <w:rPr>
          <w:rFonts w:ascii="Palatino Linotype" w:eastAsia="Palatino Linotype" w:hAnsi="Palatino Linotype" w:cs="Palatino Linotype"/>
          <w:sz w:val="22"/>
          <w:szCs w:val="22"/>
        </w:rPr>
        <w:t xml:space="preserve">, en lo sucesivo el </w:t>
      </w:r>
      <w:r w:rsidRPr="007A2AEB">
        <w:rPr>
          <w:rFonts w:ascii="Palatino Linotype" w:eastAsia="Palatino Linotype" w:hAnsi="Palatino Linotype" w:cs="Palatino Linotype"/>
          <w:b/>
          <w:bCs/>
          <w:sz w:val="22"/>
          <w:szCs w:val="22"/>
        </w:rPr>
        <w:t xml:space="preserve">Sujeto Obligado; </w:t>
      </w:r>
      <w:r w:rsidRPr="007A2AEB">
        <w:rPr>
          <w:rFonts w:ascii="Palatino Linotype" w:eastAsia="Palatino Linotype" w:hAnsi="Palatino Linotype" w:cs="Palatino Linotype"/>
          <w:sz w:val="22"/>
          <w:szCs w:val="22"/>
        </w:rPr>
        <w:t>se procede a dictar la presente resolución, con base en lo siguiente.</w:t>
      </w:r>
    </w:p>
    <w:p w14:paraId="2D7B7D89" w14:textId="77777777" w:rsidR="005E5156" w:rsidRPr="007A2AEB" w:rsidRDefault="005E5156">
      <w:pPr>
        <w:spacing w:line="360" w:lineRule="auto"/>
        <w:ind w:right="49"/>
        <w:jc w:val="both"/>
        <w:rPr>
          <w:rFonts w:ascii="Palatino Linotype" w:eastAsia="Palatino Linotype" w:hAnsi="Palatino Linotype" w:cs="Palatino Linotype"/>
          <w:sz w:val="22"/>
          <w:szCs w:val="22"/>
        </w:rPr>
      </w:pPr>
    </w:p>
    <w:p w14:paraId="758BBFBE" w14:textId="77777777" w:rsidR="005E5156" w:rsidRPr="007A2AEB" w:rsidRDefault="00A104FE">
      <w:pPr>
        <w:spacing w:line="360" w:lineRule="auto"/>
        <w:ind w:right="49"/>
        <w:jc w:val="center"/>
        <w:rPr>
          <w:rFonts w:ascii="Palatino Linotype" w:eastAsia="Palatino Linotype" w:hAnsi="Palatino Linotype" w:cs="Palatino Linotype"/>
          <w:b/>
          <w:bCs/>
          <w:sz w:val="22"/>
          <w:szCs w:val="22"/>
        </w:rPr>
      </w:pPr>
      <w:r w:rsidRPr="007A2AEB">
        <w:rPr>
          <w:rFonts w:ascii="Palatino Linotype" w:eastAsia="Palatino Linotype" w:hAnsi="Palatino Linotype" w:cs="Palatino Linotype"/>
          <w:b/>
          <w:bCs/>
          <w:sz w:val="22"/>
          <w:szCs w:val="22"/>
        </w:rPr>
        <w:t>I.</w:t>
      </w:r>
      <w:r w:rsidRPr="007A2AEB">
        <w:rPr>
          <w:rFonts w:ascii="Palatino Linotype" w:eastAsia="Palatino Linotype" w:hAnsi="Palatino Linotype" w:cs="Palatino Linotype"/>
          <w:b/>
          <w:bCs/>
          <w:sz w:val="22"/>
          <w:szCs w:val="22"/>
        </w:rPr>
        <w:tab/>
        <w:t>A N T E C E D E N T E S</w:t>
      </w:r>
    </w:p>
    <w:p w14:paraId="0D47C719" w14:textId="77777777" w:rsidR="005E5156" w:rsidRPr="007A2AEB" w:rsidRDefault="005E5156">
      <w:pPr>
        <w:spacing w:line="360" w:lineRule="auto"/>
        <w:ind w:right="49"/>
        <w:jc w:val="both"/>
        <w:rPr>
          <w:rFonts w:ascii="Palatino Linotype" w:eastAsia="Palatino Linotype" w:hAnsi="Palatino Linotype" w:cs="Palatino Linotype"/>
          <w:sz w:val="22"/>
          <w:szCs w:val="22"/>
        </w:rPr>
      </w:pPr>
    </w:p>
    <w:p w14:paraId="15ADD34A" w14:textId="77777777" w:rsidR="005E5156" w:rsidRPr="007A2AEB" w:rsidRDefault="00A104FE">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b/>
          <w:bCs/>
          <w:sz w:val="22"/>
          <w:szCs w:val="22"/>
        </w:rPr>
        <w:t>1.</w:t>
      </w:r>
      <w:r w:rsidRPr="007A2AEB">
        <w:rPr>
          <w:rFonts w:ascii="Palatino Linotype" w:eastAsia="Palatino Linotype" w:hAnsi="Palatino Linotype" w:cs="Palatino Linotype"/>
          <w:sz w:val="22"/>
          <w:szCs w:val="22"/>
        </w:rPr>
        <w:t xml:space="preserve"> </w:t>
      </w:r>
      <w:r w:rsidRPr="007A2AEB">
        <w:rPr>
          <w:rFonts w:ascii="Palatino Linotype" w:eastAsia="Palatino Linotype" w:hAnsi="Palatino Linotype" w:cs="Palatino Linotype"/>
          <w:b/>
          <w:bCs/>
          <w:sz w:val="22"/>
          <w:szCs w:val="22"/>
        </w:rPr>
        <w:t>Solicitud de Acceso a la Información. El veinte de noviembre de dos mil veinticinco</w:t>
      </w:r>
      <w:r w:rsidRPr="007A2AEB">
        <w:rPr>
          <w:rFonts w:ascii="Palatino Linotype" w:eastAsia="Palatino Linotype" w:hAnsi="Palatino Linotype" w:cs="Palatino Linotype"/>
          <w:sz w:val="22"/>
          <w:szCs w:val="22"/>
        </w:rPr>
        <w:t xml:space="preserve">, </w:t>
      </w:r>
      <w:r w:rsidRPr="007A2AEB">
        <w:rPr>
          <w:rFonts w:ascii="Palatino Linotype" w:eastAsia="Palatino Linotype" w:hAnsi="Palatino Linotype" w:cs="Palatino Linotype"/>
          <w:b/>
          <w:bCs/>
          <w:sz w:val="22"/>
          <w:szCs w:val="22"/>
        </w:rPr>
        <w:t>LA PARTE</w:t>
      </w:r>
      <w:r w:rsidRPr="007A2AEB">
        <w:rPr>
          <w:rFonts w:ascii="Palatino Linotype" w:eastAsia="Palatino Linotype" w:hAnsi="Palatino Linotype" w:cs="Palatino Linotype"/>
          <w:sz w:val="22"/>
          <w:szCs w:val="22"/>
        </w:rPr>
        <w:t xml:space="preserve"> </w:t>
      </w:r>
      <w:r w:rsidRPr="007A2AEB">
        <w:rPr>
          <w:rFonts w:ascii="Palatino Linotype" w:eastAsia="Palatino Linotype" w:hAnsi="Palatino Linotype" w:cs="Palatino Linotype"/>
          <w:b/>
          <w:bCs/>
          <w:sz w:val="22"/>
          <w:szCs w:val="22"/>
        </w:rPr>
        <w:t>RECURRENTE</w:t>
      </w:r>
      <w:r w:rsidRPr="007A2AEB">
        <w:rPr>
          <w:rFonts w:ascii="Palatino Linotype" w:eastAsia="Palatino Linotype" w:hAnsi="Palatino Linotype" w:cs="Palatino Linotype"/>
          <w:sz w:val="22"/>
          <w:szCs w:val="22"/>
        </w:rPr>
        <w:t xml:space="preserve"> formuló solicitud de acceso a información pública a través del </w:t>
      </w:r>
      <w:r w:rsidRPr="007A2AEB">
        <w:rPr>
          <w:rFonts w:ascii="Palatino Linotype" w:eastAsia="Palatino Linotype" w:hAnsi="Palatino Linotype" w:cs="Palatino Linotype"/>
          <w:b/>
          <w:bCs/>
          <w:sz w:val="22"/>
          <w:szCs w:val="22"/>
        </w:rPr>
        <w:t>SAIMEX</w:t>
      </w:r>
      <w:r w:rsidRPr="007A2AEB">
        <w:rPr>
          <w:rFonts w:ascii="Palatino Linotype" w:eastAsia="Palatino Linotype" w:hAnsi="Palatino Linotype" w:cs="Palatino Linotype"/>
          <w:sz w:val="22"/>
          <w:szCs w:val="22"/>
        </w:rPr>
        <w:t xml:space="preserve">, en la que requirió lo siguiente: </w:t>
      </w:r>
    </w:p>
    <w:p w14:paraId="488F831E" w14:textId="77777777" w:rsidR="005E5156" w:rsidRPr="007A2AEB" w:rsidRDefault="005E5156">
      <w:pPr>
        <w:spacing w:line="360" w:lineRule="auto"/>
        <w:jc w:val="both"/>
        <w:rPr>
          <w:rFonts w:ascii="Palatino Linotype" w:eastAsia="Palatino Linotype" w:hAnsi="Palatino Linotype" w:cs="Palatino Linotype"/>
          <w:sz w:val="22"/>
          <w:szCs w:val="22"/>
        </w:rPr>
      </w:pPr>
    </w:p>
    <w:p w14:paraId="44A5E972" w14:textId="77777777" w:rsidR="005E5156" w:rsidRPr="007A2AEB" w:rsidRDefault="00A104FE">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bCs/>
          <w:sz w:val="22"/>
          <w:szCs w:val="22"/>
        </w:rPr>
      </w:pPr>
      <w:bookmarkStart w:id="1" w:name="_heading=h.3znysh7" w:colFirst="0" w:colLast="0"/>
      <w:bookmarkEnd w:id="1"/>
      <w:r w:rsidRPr="007A2AEB">
        <w:rPr>
          <w:rFonts w:ascii="Palatino Linotype" w:eastAsia="Palatino Linotype" w:hAnsi="Palatino Linotype" w:cs="Palatino Linotype"/>
          <w:b/>
          <w:bCs/>
          <w:sz w:val="22"/>
          <w:szCs w:val="22"/>
        </w:rPr>
        <w:t xml:space="preserve">00806/FGJ/IP/2025 </w:t>
      </w:r>
    </w:p>
    <w:p w14:paraId="2BF98232" w14:textId="77777777" w:rsidR="005E5156" w:rsidRPr="007A2AEB" w:rsidRDefault="00A104FE">
      <w:pPr>
        <w:spacing w:line="360" w:lineRule="auto"/>
        <w:ind w:left="567" w:right="843"/>
        <w:jc w:val="both"/>
        <w:rPr>
          <w:rFonts w:ascii="Palatino Linotype" w:eastAsia="Palatino Linotype" w:hAnsi="Palatino Linotype" w:cs="Palatino Linotype"/>
          <w:b/>
          <w:bCs/>
          <w:i/>
          <w:iCs/>
          <w:sz w:val="22"/>
          <w:szCs w:val="22"/>
        </w:rPr>
      </w:pPr>
      <w:r w:rsidRPr="007A2AEB">
        <w:rPr>
          <w:rFonts w:ascii="Palatino Linotype" w:eastAsia="Palatino Linotype" w:hAnsi="Palatino Linotype" w:cs="Palatino Linotype"/>
          <w:i/>
          <w:iCs/>
          <w:sz w:val="22"/>
          <w:szCs w:val="22"/>
        </w:rPr>
        <w:t>"</w:t>
      </w:r>
      <w:r w:rsidRPr="007A2AEB">
        <w:rPr>
          <w:rFonts w:ascii="Palatino Linotype" w:hAnsi="Palatino Linotype"/>
          <w:sz w:val="22"/>
          <w:szCs w:val="22"/>
        </w:rPr>
        <w:t xml:space="preserve"> </w:t>
      </w:r>
      <w:r w:rsidRPr="007A2AEB">
        <w:rPr>
          <w:rFonts w:ascii="Palatino Linotype" w:eastAsia="Palatino Linotype" w:hAnsi="Palatino Linotype" w:cs="Palatino Linotype"/>
          <w:i/>
          <w:iCs/>
          <w:sz w:val="22"/>
          <w:szCs w:val="22"/>
        </w:rPr>
        <w:t xml:space="preserve">Con fundamento en las fracciones I y IV del artículo 2, fracciones XII y XIII del artículo 3, artículo 4, la sección primera del capítulo II, artículo 34, fracciones I y III del artículo 40, fracción II del artículo 41, y el capítulo I del título séptimo; todos de la Ley General de Transparencia y Acceso a la Información Pública, nueva ley publicada en el Diario Oficial de la Federación el 20 de marzo de 2025; solicito la información necesaria para la continuación de la redacción de mi tesis para la obtención del grado de Maestría, la cual se encuentra detallada en el documento en formato docx anexo. La respuesta </w:t>
      </w:r>
      <w:r w:rsidRPr="007A2AEB">
        <w:rPr>
          <w:rFonts w:ascii="Palatino Linotype" w:eastAsia="Palatino Linotype" w:hAnsi="Palatino Linotype" w:cs="Palatino Linotype"/>
          <w:i/>
          <w:iCs/>
          <w:sz w:val="22"/>
          <w:szCs w:val="22"/>
        </w:rPr>
        <w:lastRenderedPageBreak/>
        <w:t>proporcionada la requiero en formato abierto, y puede ser entregada por vía electrónica por medio del apartado respectivo de la Plataforma Nacional de Transparencia.</w:t>
      </w:r>
      <w:r w:rsidRPr="007A2AEB">
        <w:rPr>
          <w:rFonts w:ascii="Palatino Linotype" w:eastAsia="Palatino Linotype" w:hAnsi="Palatino Linotype" w:cs="Palatino Linotype"/>
          <w:b/>
          <w:bCs/>
          <w:i/>
          <w:iCs/>
          <w:sz w:val="22"/>
          <w:szCs w:val="22"/>
        </w:rPr>
        <w:t>” (Sic.)</w:t>
      </w:r>
    </w:p>
    <w:p w14:paraId="1E049274" w14:textId="77777777" w:rsidR="005E5156" w:rsidRPr="007A2AEB" w:rsidRDefault="005E5156">
      <w:pPr>
        <w:spacing w:line="360" w:lineRule="auto"/>
        <w:ind w:right="843"/>
        <w:jc w:val="both"/>
        <w:rPr>
          <w:rFonts w:ascii="Palatino Linotype" w:eastAsia="Palatino Linotype" w:hAnsi="Palatino Linotype" w:cs="Palatino Linotype"/>
          <w:i/>
          <w:iCs/>
          <w:sz w:val="22"/>
          <w:szCs w:val="22"/>
        </w:rPr>
      </w:pPr>
    </w:p>
    <w:p w14:paraId="30734143" w14:textId="77777777" w:rsidR="005E5156" w:rsidRPr="007A2AEB" w:rsidRDefault="00A104FE">
      <w:pPr>
        <w:spacing w:line="360" w:lineRule="auto"/>
        <w:ind w:right="843"/>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El Recurrente adjuntó el documento electrónico denominado Archivo Adjunto a la Solicitud, cuyo contenido es el siguiente:</w:t>
      </w:r>
    </w:p>
    <w:p w14:paraId="509B6801" w14:textId="77777777" w:rsidR="005E5156" w:rsidRPr="007A2AEB" w:rsidRDefault="005E5156">
      <w:pPr>
        <w:spacing w:line="360" w:lineRule="auto"/>
        <w:ind w:right="843"/>
        <w:jc w:val="both"/>
        <w:rPr>
          <w:rFonts w:ascii="Palatino Linotype" w:eastAsia="Palatino Linotype" w:hAnsi="Palatino Linotype" w:cs="Palatino Linotype"/>
          <w:sz w:val="22"/>
          <w:szCs w:val="22"/>
        </w:rPr>
      </w:pPr>
    </w:p>
    <w:p w14:paraId="74F1BED5" w14:textId="77777777" w:rsidR="005E5156" w:rsidRPr="007A2AEB" w:rsidRDefault="00A104FE">
      <w:pPr>
        <w:ind w:left="567" w:right="843"/>
        <w:jc w:val="right"/>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Naucalpan, Estado de México a 20 de noviembre de 2025</w:t>
      </w:r>
    </w:p>
    <w:p w14:paraId="7932F4BA" w14:textId="77777777" w:rsidR="005E5156" w:rsidRPr="007A2AEB" w:rsidRDefault="005E5156">
      <w:pPr>
        <w:ind w:left="567" w:right="843"/>
        <w:jc w:val="both"/>
        <w:rPr>
          <w:rFonts w:ascii="Palatino Linotype" w:eastAsia="Palatino Linotype" w:hAnsi="Palatino Linotype" w:cs="Palatino Linotype"/>
          <w:i/>
          <w:iCs/>
          <w:sz w:val="22"/>
          <w:szCs w:val="22"/>
        </w:rPr>
      </w:pPr>
    </w:p>
    <w:p w14:paraId="32E36D72" w14:textId="77777777" w:rsidR="005E5156" w:rsidRPr="007A2AEB" w:rsidRDefault="00A104FE">
      <w:pPr>
        <w:ind w:left="567" w:right="843"/>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Estimada persona enlace en materia de transparencia.</w:t>
      </w:r>
    </w:p>
    <w:p w14:paraId="59EA7B37" w14:textId="77777777" w:rsidR="005E5156" w:rsidRPr="007A2AEB" w:rsidRDefault="005E5156">
      <w:pPr>
        <w:ind w:left="567" w:right="843"/>
        <w:jc w:val="both"/>
        <w:rPr>
          <w:rFonts w:ascii="Palatino Linotype" w:eastAsia="Palatino Linotype" w:hAnsi="Palatino Linotype" w:cs="Palatino Linotype"/>
          <w:i/>
          <w:iCs/>
          <w:sz w:val="22"/>
          <w:szCs w:val="22"/>
        </w:rPr>
      </w:pPr>
    </w:p>
    <w:p w14:paraId="1385CDCA" w14:textId="77777777" w:rsidR="005E5156" w:rsidRPr="007A2AEB" w:rsidRDefault="00A104FE">
      <w:pPr>
        <w:ind w:left="567" w:right="843"/>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Con fundamento en las fracciones I y IV del artículo 2, fracciones XII y XIII del artículo 3, artículo 4, la sección primera del capítulo II, artículo 34, fracciones I y III del artículo 40, fracción II del artículo 41, y el capítulo I del título séptimo; todos de la Ley General de Transparencia y Acceso a la Información Pública, nueva ley publicada en el Diario Oficial de la Federación el 20 de marzo de 2025; solicito la siguiente información necesaria para la continuación de la redacción de mi tesis para la obtención del grado de Maestría.</w:t>
      </w:r>
    </w:p>
    <w:p w14:paraId="0F348BF0" w14:textId="77777777" w:rsidR="005E5156" w:rsidRPr="007A2AEB" w:rsidRDefault="005E5156">
      <w:pPr>
        <w:ind w:left="567" w:right="843"/>
        <w:jc w:val="both"/>
        <w:rPr>
          <w:rFonts w:ascii="Palatino Linotype" w:eastAsia="Palatino Linotype" w:hAnsi="Palatino Linotype" w:cs="Palatino Linotype"/>
          <w:i/>
          <w:iCs/>
          <w:sz w:val="22"/>
          <w:szCs w:val="22"/>
        </w:rPr>
      </w:pPr>
    </w:p>
    <w:p w14:paraId="6DE92996" w14:textId="77777777" w:rsidR="005E5156" w:rsidRPr="007A2AEB" w:rsidRDefault="00A104FE">
      <w:pPr>
        <w:ind w:left="567" w:right="843"/>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La respuesta proporcionada la requiero en formato abierto, y puede ser entregada por vía electrónica por medio del apartado respectivo de la Plataforma Nacional de Transparencia.</w:t>
      </w:r>
    </w:p>
    <w:p w14:paraId="24ED5090" w14:textId="77777777" w:rsidR="005E5156" w:rsidRPr="007A2AEB" w:rsidRDefault="005E5156">
      <w:pPr>
        <w:ind w:left="567" w:right="843"/>
        <w:jc w:val="both"/>
        <w:rPr>
          <w:rFonts w:ascii="Palatino Linotype" w:eastAsia="Palatino Linotype" w:hAnsi="Palatino Linotype" w:cs="Palatino Linotype"/>
          <w:i/>
          <w:iCs/>
          <w:sz w:val="22"/>
          <w:szCs w:val="22"/>
        </w:rPr>
      </w:pPr>
    </w:p>
    <w:p w14:paraId="3F385B89" w14:textId="77777777" w:rsidR="005E5156" w:rsidRPr="007A2AEB" w:rsidRDefault="00A104FE">
      <w:pPr>
        <w:numPr>
          <w:ilvl w:val="0"/>
          <w:numId w:val="6"/>
        </w:numPr>
        <w:pBdr>
          <w:top w:val="nil"/>
          <w:left w:val="nil"/>
          <w:bottom w:val="nil"/>
          <w:right w:val="nil"/>
          <w:between w:val="nil"/>
        </w:pBdr>
        <w:ind w:left="851" w:right="843" w:hanging="284"/>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Favor de indicar la fecha de publicación del DECRETO, Acuerdo, Acta o documento legal por medio del cual se creó la fiscalía especializada en materia de investigación de los delitos en materia de personas desaparecidas. De ser posible, anexar el referido documento, o en su defecto el enlace de consulta.</w:t>
      </w:r>
    </w:p>
    <w:p w14:paraId="701C6B96" w14:textId="77777777" w:rsidR="005E5156" w:rsidRPr="007A2AEB" w:rsidRDefault="005E5156">
      <w:pPr>
        <w:pBdr>
          <w:top w:val="nil"/>
          <w:left w:val="nil"/>
          <w:bottom w:val="nil"/>
          <w:right w:val="nil"/>
          <w:between w:val="nil"/>
        </w:pBdr>
        <w:ind w:left="851" w:right="843" w:hanging="284"/>
        <w:jc w:val="both"/>
        <w:rPr>
          <w:rFonts w:ascii="Palatino Linotype" w:eastAsia="Palatino Linotype" w:hAnsi="Palatino Linotype" w:cs="Palatino Linotype"/>
          <w:i/>
          <w:iCs/>
          <w:sz w:val="22"/>
          <w:szCs w:val="22"/>
        </w:rPr>
      </w:pPr>
    </w:p>
    <w:p w14:paraId="0D584B03" w14:textId="77777777" w:rsidR="005E5156" w:rsidRPr="007A2AEB" w:rsidRDefault="00A104FE">
      <w:pPr>
        <w:numPr>
          <w:ilvl w:val="0"/>
          <w:numId w:val="6"/>
        </w:numPr>
        <w:pBdr>
          <w:top w:val="nil"/>
          <w:left w:val="nil"/>
          <w:bottom w:val="nil"/>
          <w:right w:val="nil"/>
          <w:between w:val="nil"/>
        </w:pBdr>
        <w:ind w:left="851" w:right="843" w:hanging="284"/>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Indicar el proceso de designación de la persona titular de la fiscalía especializada en materia de investigación de los delitos en materia de personas desaparecidas, así como los procesos de designación que se han realizado entre el 17 de noviembre de 2017 al 30 de septiembre de 2024. De ser posible, anexar el CV de las personas designadas como titulares de la fiscalía especializada en materia de investigación de los delitos en materia de personas desaparecidas.</w:t>
      </w:r>
    </w:p>
    <w:p w14:paraId="0F426CC3" w14:textId="77777777" w:rsidR="005E5156" w:rsidRPr="007A2AEB" w:rsidRDefault="005E5156">
      <w:pPr>
        <w:pBdr>
          <w:top w:val="nil"/>
          <w:left w:val="nil"/>
          <w:bottom w:val="nil"/>
          <w:right w:val="nil"/>
          <w:between w:val="nil"/>
        </w:pBdr>
        <w:ind w:left="851" w:right="843" w:hanging="284"/>
        <w:rPr>
          <w:rFonts w:ascii="Palatino Linotype" w:eastAsia="Palatino Linotype" w:hAnsi="Palatino Linotype" w:cs="Palatino Linotype"/>
          <w:i/>
          <w:iCs/>
          <w:sz w:val="22"/>
          <w:szCs w:val="22"/>
        </w:rPr>
      </w:pPr>
    </w:p>
    <w:p w14:paraId="025330F0" w14:textId="77777777" w:rsidR="005E5156" w:rsidRPr="007A2AEB" w:rsidRDefault="00A104FE">
      <w:pPr>
        <w:numPr>
          <w:ilvl w:val="0"/>
          <w:numId w:val="6"/>
        </w:numPr>
        <w:pBdr>
          <w:top w:val="nil"/>
          <w:left w:val="nil"/>
          <w:bottom w:val="nil"/>
          <w:right w:val="nil"/>
          <w:between w:val="nil"/>
        </w:pBdr>
        <w:ind w:left="851" w:right="843" w:hanging="284"/>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lastRenderedPageBreak/>
        <w:t>Indicar si la fiscalía especializada en materia de investigación de los delitos en materia de personas desaparecidas, o la fiscalía y/o procuraduría a la que se encuentra adscrita, ha celebrado convenios de colaboración y/o coordinación interinstitucional. En caso afirmativo, señalar la fecha y autoridad con la que se han realizado los convenios referidos. De ser posible anexar copia simple de los convenios celebrados o en su caso, la liga de consulta.</w:t>
      </w:r>
    </w:p>
    <w:p w14:paraId="4C890E3A" w14:textId="77777777" w:rsidR="005E5156" w:rsidRPr="007A2AEB" w:rsidRDefault="005E5156">
      <w:pPr>
        <w:pBdr>
          <w:top w:val="nil"/>
          <w:left w:val="nil"/>
          <w:bottom w:val="nil"/>
          <w:right w:val="nil"/>
          <w:between w:val="nil"/>
        </w:pBdr>
        <w:ind w:left="851" w:right="843" w:hanging="284"/>
        <w:rPr>
          <w:rFonts w:ascii="Palatino Linotype" w:eastAsia="Palatino Linotype" w:hAnsi="Palatino Linotype" w:cs="Palatino Linotype"/>
          <w:i/>
          <w:iCs/>
          <w:sz w:val="22"/>
          <w:szCs w:val="22"/>
        </w:rPr>
      </w:pPr>
    </w:p>
    <w:p w14:paraId="40F392E6" w14:textId="77777777" w:rsidR="005E5156" w:rsidRPr="007A2AEB" w:rsidRDefault="00A104FE">
      <w:pPr>
        <w:numPr>
          <w:ilvl w:val="0"/>
          <w:numId w:val="6"/>
        </w:numPr>
        <w:pBdr>
          <w:top w:val="nil"/>
          <w:left w:val="nil"/>
          <w:bottom w:val="nil"/>
          <w:right w:val="nil"/>
          <w:between w:val="nil"/>
        </w:pBdr>
        <w:ind w:left="851" w:right="843" w:hanging="284"/>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Respecto al presupuesto asignado a la fiscalía especializada en materia de investigación de los delitos en materia de personas desaparecidas, desde su creación y hasta el 30 de septiembre de 2024, indicar cuál es el monto asignado desagregado por año, considerando el monto solicitado, y el monto ejercido. De ser posible, anexar los documentos soporte o en su caso, la liga de consulta.</w:t>
      </w:r>
    </w:p>
    <w:p w14:paraId="5B576B80" w14:textId="77777777" w:rsidR="005E5156" w:rsidRPr="007A2AEB" w:rsidRDefault="005E5156">
      <w:pPr>
        <w:pBdr>
          <w:top w:val="nil"/>
          <w:left w:val="nil"/>
          <w:bottom w:val="nil"/>
          <w:right w:val="nil"/>
          <w:between w:val="nil"/>
        </w:pBdr>
        <w:ind w:left="851" w:right="843" w:hanging="284"/>
        <w:rPr>
          <w:rFonts w:ascii="Palatino Linotype" w:eastAsia="Palatino Linotype" w:hAnsi="Palatino Linotype" w:cs="Palatino Linotype"/>
          <w:i/>
          <w:iCs/>
          <w:sz w:val="22"/>
          <w:szCs w:val="22"/>
        </w:rPr>
      </w:pPr>
    </w:p>
    <w:p w14:paraId="43C4078F" w14:textId="77777777" w:rsidR="005E5156" w:rsidRPr="007A2AEB" w:rsidRDefault="00A104FE">
      <w:pPr>
        <w:numPr>
          <w:ilvl w:val="0"/>
          <w:numId w:val="6"/>
        </w:numPr>
        <w:pBdr>
          <w:top w:val="nil"/>
          <w:left w:val="nil"/>
          <w:bottom w:val="nil"/>
          <w:right w:val="nil"/>
          <w:between w:val="nil"/>
        </w:pBdr>
        <w:ind w:left="851" w:right="843" w:hanging="284"/>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¿La fiscalía especializada en materia de investigación de los delitos en materia de personas desaparecidas cuenta con acceso o posibilidad de uso de centros de resguardo temporal para restos óseos en el período comprendido entre el 17 de noviembre de 2017 y el 30 de septiembre de 2024? En caso afirmativo indicar cuántos centros existen en el estado y de ser posible, anexar el documento soporte de su operación o en su caso, la liga de consulta.</w:t>
      </w:r>
    </w:p>
    <w:p w14:paraId="5262CEAB" w14:textId="77777777" w:rsidR="005E5156" w:rsidRPr="007A2AEB" w:rsidRDefault="005E5156">
      <w:pPr>
        <w:pBdr>
          <w:top w:val="nil"/>
          <w:left w:val="nil"/>
          <w:bottom w:val="nil"/>
          <w:right w:val="nil"/>
          <w:between w:val="nil"/>
        </w:pBdr>
        <w:ind w:left="851" w:right="843" w:hanging="284"/>
        <w:rPr>
          <w:rFonts w:ascii="Palatino Linotype" w:eastAsia="Palatino Linotype" w:hAnsi="Palatino Linotype" w:cs="Palatino Linotype"/>
          <w:i/>
          <w:iCs/>
          <w:sz w:val="22"/>
          <w:szCs w:val="22"/>
        </w:rPr>
      </w:pPr>
    </w:p>
    <w:p w14:paraId="339F482B" w14:textId="77777777" w:rsidR="005E5156" w:rsidRPr="007A2AEB" w:rsidRDefault="00A104FE">
      <w:pPr>
        <w:numPr>
          <w:ilvl w:val="0"/>
          <w:numId w:val="6"/>
        </w:numPr>
        <w:pBdr>
          <w:top w:val="nil"/>
          <w:left w:val="nil"/>
          <w:bottom w:val="nil"/>
          <w:right w:val="nil"/>
          <w:between w:val="nil"/>
        </w:pBdr>
        <w:ind w:left="851" w:right="843" w:hanging="284"/>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¿Cuántas carpetas de investigación se han iniciado entre el 17 de noviembre de 2017 y el 30 de septiembre de 2024? Desglosar la cantidad de carpetas de investigación por año (2017, 2018, 2019, 2020, 2021, 2022, 2023 y 2024).</w:t>
      </w:r>
    </w:p>
    <w:p w14:paraId="00A06F7E" w14:textId="77777777" w:rsidR="005E5156" w:rsidRPr="007A2AEB" w:rsidRDefault="005E5156">
      <w:pPr>
        <w:pBdr>
          <w:top w:val="nil"/>
          <w:left w:val="nil"/>
          <w:bottom w:val="nil"/>
          <w:right w:val="nil"/>
          <w:between w:val="nil"/>
        </w:pBdr>
        <w:ind w:left="851" w:right="843" w:hanging="284"/>
        <w:rPr>
          <w:rFonts w:ascii="Palatino Linotype" w:eastAsia="Palatino Linotype" w:hAnsi="Palatino Linotype" w:cs="Palatino Linotype"/>
          <w:i/>
          <w:iCs/>
          <w:sz w:val="22"/>
          <w:szCs w:val="22"/>
        </w:rPr>
      </w:pPr>
    </w:p>
    <w:p w14:paraId="25E1EE65" w14:textId="77777777" w:rsidR="005E5156" w:rsidRPr="007A2AEB" w:rsidRDefault="00A104FE">
      <w:pPr>
        <w:numPr>
          <w:ilvl w:val="0"/>
          <w:numId w:val="6"/>
        </w:numPr>
        <w:pBdr>
          <w:top w:val="nil"/>
          <w:left w:val="nil"/>
          <w:bottom w:val="nil"/>
          <w:right w:val="nil"/>
          <w:between w:val="nil"/>
        </w:pBdr>
        <w:ind w:left="851" w:right="843" w:hanging="284"/>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¿La fiscalía especializada en materia de investigación de los delitos en materia de personas desaparecidas ha realizado jornadas de toma de muestra referencial, jornadas de búsqueda en vida en centros de reclusión y/o penitenciarios, jornadas de búsqueda en vida en lugares de detención administrativa, jornadas de búsqueda en vida en centros hospitalarios o de atención a la salud mental? En caso afirmativo, desglosar la cantidad de jornadas realizadas por año (2017, 2018, 2019, 2020, 2021, 2022, 2023 y 2024).</w:t>
      </w:r>
    </w:p>
    <w:p w14:paraId="67836651" w14:textId="77777777" w:rsidR="005E5156" w:rsidRPr="007A2AEB" w:rsidRDefault="005E5156">
      <w:pPr>
        <w:pBdr>
          <w:top w:val="nil"/>
          <w:left w:val="nil"/>
          <w:bottom w:val="nil"/>
          <w:right w:val="nil"/>
          <w:between w:val="nil"/>
        </w:pBdr>
        <w:ind w:left="851" w:right="843" w:hanging="284"/>
        <w:rPr>
          <w:rFonts w:ascii="Palatino Linotype" w:eastAsia="Palatino Linotype" w:hAnsi="Palatino Linotype" w:cs="Palatino Linotype"/>
          <w:i/>
          <w:iCs/>
          <w:sz w:val="22"/>
          <w:szCs w:val="22"/>
        </w:rPr>
      </w:pPr>
    </w:p>
    <w:p w14:paraId="36F91DA9" w14:textId="77777777" w:rsidR="005E5156" w:rsidRPr="007A2AEB" w:rsidRDefault="00A104FE">
      <w:pPr>
        <w:numPr>
          <w:ilvl w:val="0"/>
          <w:numId w:val="6"/>
        </w:numPr>
        <w:pBdr>
          <w:top w:val="nil"/>
          <w:left w:val="nil"/>
          <w:bottom w:val="nil"/>
          <w:right w:val="nil"/>
          <w:between w:val="nil"/>
        </w:pBdr>
        <w:ind w:left="851" w:right="843" w:hanging="284"/>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¿Existe algún mecanismo de coordinación y/o colaboración con la comisión local de búsqueda del estado? En caso afirmativo indicar los principales resultados de este mecanismo de coordinación y/o colaboración desglosados por año (2017, 2018, 2019, 2020, 2021, 2022, 2023 y 2024).</w:t>
      </w:r>
    </w:p>
    <w:p w14:paraId="0DF3B1AB" w14:textId="77777777" w:rsidR="005E5156" w:rsidRPr="007A2AEB" w:rsidRDefault="005E5156">
      <w:pPr>
        <w:pBdr>
          <w:top w:val="nil"/>
          <w:left w:val="nil"/>
          <w:bottom w:val="nil"/>
          <w:right w:val="nil"/>
          <w:between w:val="nil"/>
        </w:pBdr>
        <w:ind w:left="851" w:right="843" w:hanging="284"/>
        <w:rPr>
          <w:rFonts w:ascii="Palatino Linotype" w:eastAsia="Palatino Linotype" w:hAnsi="Palatino Linotype" w:cs="Palatino Linotype"/>
          <w:i/>
          <w:iCs/>
          <w:sz w:val="22"/>
          <w:szCs w:val="22"/>
        </w:rPr>
      </w:pPr>
    </w:p>
    <w:p w14:paraId="58F3955B" w14:textId="77777777" w:rsidR="005E5156" w:rsidRPr="007A2AEB" w:rsidRDefault="00A104FE">
      <w:pPr>
        <w:numPr>
          <w:ilvl w:val="0"/>
          <w:numId w:val="6"/>
        </w:numPr>
        <w:pBdr>
          <w:top w:val="nil"/>
          <w:left w:val="nil"/>
          <w:bottom w:val="nil"/>
          <w:right w:val="nil"/>
          <w:between w:val="nil"/>
        </w:pBdr>
        <w:ind w:left="851" w:right="843" w:hanging="284"/>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¿Cuántas carpetas de investigación ha judicializado la fiscalía especializada en materia de investigación de los delitos en materia de personas desaparecidas, y cuántas sentencias condenatorias se han obtenido? Desglosar la respuesta en números totales por año (2017, 2018, 2019, 2020, 2021, 2022, 2023 y 2024).</w:t>
      </w:r>
    </w:p>
    <w:p w14:paraId="13B5B2A8" w14:textId="77777777" w:rsidR="005E5156" w:rsidRPr="007A2AEB" w:rsidRDefault="005E5156">
      <w:pPr>
        <w:pBdr>
          <w:top w:val="nil"/>
          <w:left w:val="nil"/>
          <w:bottom w:val="nil"/>
          <w:right w:val="nil"/>
          <w:between w:val="nil"/>
        </w:pBdr>
        <w:ind w:left="851" w:right="843" w:hanging="284"/>
        <w:rPr>
          <w:rFonts w:ascii="Palatino Linotype" w:eastAsia="Palatino Linotype" w:hAnsi="Palatino Linotype" w:cs="Palatino Linotype"/>
          <w:i/>
          <w:iCs/>
          <w:sz w:val="22"/>
          <w:szCs w:val="22"/>
        </w:rPr>
      </w:pPr>
    </w:p>
    <w:p w14:paraId="3C938E67" w14:textId="77777777" w:rsidR="005E5156" w:rsidRPr="007A2AEB" w:rsidRDefault="00A104FE">
      <w:pPr>
        <w:numPr>
          <w:ilvl w:val="0"/>
          <w:numId w:val="6"/>
        </w:numPr>
        <w:pBdr>
          <w:top w:val="nil"/>
          <w:left w:val="nil"/>
          <w:bottom w:val="nil"/>
          <w:right w:val="nil"/>
          <w:between w:val="nil"/>
        </w:pBdr>
        <w:ind w:left="851" w:right="843" w:hanging="284"/>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¿Cuántas personas vivas ha localizado la fiscalía especializada en materia de investigación de los delitos en materia de personas desaparecidas? Desglosar la respuesta en números totales por año (2017, 2018, 2019, 2020, 2021, 2022, 2023 y 2024).</w:t>
      </w:r>
    </w:p>
    <w:p w14:paraId="03CAE82D" w14:textId="77777777" w:rsidR="005E5156" w:rsidRPr="007A2AEB" w:rsidRDefault="005E5156">
      <w:pPr>
        <w:pBdr>
          <w:top w:val="nil"/>
          <w:left w:val="nil"/>
          <w:bottom w:val="nil"/>
          <w:right w:val="nil"/>
          <w:between w:val="nil"/>
        </w:pBdr>
        <w:ind w:left="851" w:right="843" w:hanging="284"/>
        <w:rPr>
          <w:rFonts w:ascii="Palatino Linotype" w:eastAsia="Palatino Linotype" w:hAnsi="Palatino Linotype" w:cs="Palatino Linotype"/>
          <w:i/>
          <w:iCs/>
          <w:sz w:val="22"/>
          <w:szCs w:val="22"/>
        </w:rPr>
      </w:pPr>
    </w:p>
    <w:p w14:paraId="1A39C943" w14:textId="77777777" w:rsidR="005E5156" w:rsidRPr="007A2AEB" w:rsidRDefault="00A104FE">
      <w:pPr>
        <w:numPr>
          <w:ilvl w:val="0"/>
          <w:numId w:val="6"/>
        </w:numPr>
        <w:pBdr>
          <w:top w:val="nil"/>
          <w:left w:val="nil"/>
          <w:bottom w:val="nil"/>
          <w:right w:val="nil"/>
          <w:between w:val="nil"/>
        </w:pBdr>
        <w:ind w:left="851" w:right="843" w:hanging="284"/>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¿Cuántos restos óseos y cadáveres ha localizado la fiscalía especializada en materia de investigación de los delitos en materia de personas desaparecidas? Desglosar la respuesta en números totales por año (2017, 2018, 2019, 2020, 2021, 2022, 2023 y 2024).</w:t>
      </w:r>
    </w:p>
    <w:p w14:paraId="35EACAAF" w14:textId="77777777" w:rsidR="005E5156" w:rsidRPr="007A2AEB" w:rsidRDefault="005E5156">
      <w:pPr>
        <w:pBdr>
          <w:top w:val="nil"/>
          <w:left w:val="nil"/>
          <w:bottom w:val="nil"/>
          <w:right w:val="nil"/>
          <w:between w:val="nil"/>
        </w:pBdr>
        <w:ind w:left="851" w:right="843" w:hanging="284"/>
        <w:rPr>
          <w:rFonts w:ascii="Palatino Linotype" w:eastAsia="Palatino Linotype" w:hAnsi="Palatino Linotype" w:cs="Palatino Linotype"/>
          <w:i/>
          <w:iCs/>
          <w:sz w:val="22"/>
          <w:szCs w:val="22"/>
        </w:rPr>
      </w:pPr>
    </w:p>
    <w:p w14:paraId="0B6E7006" w14:textId="77777777" w:rsidR="005E5156" w:rsidRPr="007A2AEB" w:rsidRDefault="00A104FE">
      <w:pPr>
        <w:numPr>
          <w:ilvl w:val="0"/>
          <w:numId w:val="6"/>
        </w:numPr>
        <w:pBdr>
          <w:top w:val="nil"/>
          <w:left w:val="nil"/>
          <w:bottom w:val="nil"/>
          <w:right w:val="nil"/>
          <w:between w:val="nil"/>
        </w:pBdr>
        <w:ind w:left="851" w:right="843" w:hanging="284"/>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¿Cuántas restituciones al núcleo familiar ha realizado la fiscalía especializada en materia de investigación de los delitos en materia de personas desaparecidas? Desglosar la respuesta en números totales por año (2017, 2018, 2019, 2020, 2021, 2022, 2023 y 2024).</w:t>
      </w:r>
    </w:p>
    <w:p w14:paraId="26CC3E7E" w14:textId="77777777" w:rsidR="005E5156" w:rsidRPr="007A2AEB" w:rsidRDefault="005E5156">
      <w:pPr>
        <w:pBdr>
          <w:top w:val="nil"/>
          <w:left w:val="nil"/>
          <w:bottom w:val="nil"/>
          <w:right w:val="nil"/>
          <w:between w:val="nil"/>
        </w:pBdr>
        <w:ind w:left="567" w:right="843"/>
        <w:rPr>
          <w:rFonts w:ascii="Palatino Linotype" w:eastAsia="Palatino Linotype" w:hAnsi="Palatino Linotype" w:cs="Palatino Linotype"/>
          <w:i/>
          <w:iCs/>
          <w:sz w:val="22"/>
          <w:szCs w:val="22"/>
        </w:rPr>
      </w:pPr>
    </w:p>
    <w:p w14:paraId="048636FA" w14:textId="77777777" w:rsidR="005E5156" w:rsidRPr="007A2AEB" w:rsidRDefault="00A104FE">
      <w:pPr>
        <w:ind w:left="567" w:right="843"/>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Agradeciendo el tiempo brindado a la respuesta y sin otro particular, reitero las seguridades de mi más atenta y distinguida consideración.</w:t>
      </w:r>
    </w:p>
    <w:p w14:paraId="2BF7C813" w14:textId="77777777" w:rsidR="005E5156" w:rsidRPr="007A2AEB" w:rsidRDefault="005E5156">
      <w:pPr>
        <w:spacing w:line="360" w:lineRule="auto"/>
        <w:ind w:right="843"/>
        <w:jc w:val="both"/>
        <w:rPr>
          <w:rFonts w:ascii="Palatino Linotype" w:eastAsia="Palatino Linotype" w:hAnsi="Palatino Linotype" w:cs="Palatino Linotype"/>
          <w:sz w:val="22"/>
          <w:szCs w:val="22"/>
        </w:rPr>
      </w:pPr>
    </w:p>
    <w:p w14:paraId="5BC33DAB" w14:textId="77777777" w:rsidR="005E5156" w:rsidRPr="007A2AEB" w:rsidRDefault="00A104FE">
      <w:pPr>
        <w:spacing w:line="360" w:lineRule="auto"/>
        <w:ind w:right="49"/>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b/>
          <w:bCs/>
          <w:sz w:val="22"/>
          <w:szCs w:val="22"/>
        </w:rPr>
        <w:t>Modalidad elegida para la entrega de la información:</w:t>
      </w:r>
      <w:r w:rsidRPr="007A2AEB">
        <w:rPr>
          <w:rFonts w:ascii="Palatino Linotype" w:eastAsia="Palatino Linotype" w:hAnsi="Palatino Linotype" w:cs="Palatino Linotype"/>
          <w:sz w:val="22"/>
          <w:szCs w:val="22"/>
        </w:rPr>
        <w:t xml:space="preserve"> a través del Sistema de Acceso a la Información Mexiquense (SAIMEX).</w:t>
      </w:r>
    </w:p>
    <w:p w14:paraId="6C21AEDF" w14:textId="77777777" w:rsidR="005E5156" w:rsidRPr="007A2AEB" w:rsidRDefault="005E5156">
      <w:pPr>
        <w:spacing w:line="360" w:lineRule="auto"/>
        <w:ind w:right="49"/>
        <w:jc w:val="both"/>
        <w:rPr>
          <w:rFonts w:ascii="Palatino Linotype" w:eastAsia="Palatino Linotype" w:hAnsi="Palatino Linotype" w:cs="Palatino Linotype"/>
          <w:sz w:val="22"/>
          <w:szCs w:val="22"/>
        </w:rPr>
      </w:pPr>
    </w:p>
    <w:p w14:paraId="633E9479" w14:textId="77777777" w:rsidR="005E5156" w:rsidRPr="007A2AEB" w:rsidRDefault="00A104FE">
      <w:pPr>
        <w:widowControl w:val="0"/>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b/>
          <w:bCs/>
          <w:sz w:val="22"/>
          <w:szCs w:val="22"/>
        </w:rPr>
        <w:t>2. Respuesta.</w:t>
      </w:r>
      <w:r w:rsidRPr="007A2AEB">
        <w:rPr>
          <w:rFonts w:ascii="Palatino Linotype" w:eastAsia="Palatino Linotype" w:hAnsi="Palatino Linotype" w:cs="Palatino Linotype"/>
          <w:sz w:val="22"/>
          <w:szCs w:val="22"/>
        </w:rPr>
        <w:t xml:space="preserve"> El </w:t>
      </w:r>
      <w:r w:rsidRPr="007A2AEB">
        <w:rPr>
          <w:rFonts w:ascii="Palatino Linotype" w:eastAsia="Palatino Linotype" w:hAnsi="Palatino Linotype" w:cs="Palatino Linotype"/>
          <w:b/>
          <w:bCs/>
          <w:sz w:val="22"/>
          <w:szCs w:val="22"/>
        </w:rPr>
        <w:t>once de diciembre de dos mil veinticinco</w:t>
      </w:r>
      <w:r w:rsidRPr="007A2AEB">
        <w:rPr>
          <w:rFonts w:ascii="Palatino Linotype" w:eastAsia="Palatino Linotype" w:hAnsi="Palatino Linotype" w:cs="Palatino Linotype"/>
          <w:sz w:val="22"/>
          <w:szCs w:val="22"/>
        </w:rPr>
        <w:t>, el Sujeto Obligado dio respuesta a la solicitud, señalando lo siguiente:</w:t>
      </w:r>
    </w:p>
    <w:p w14:paraId="72D2E2B6" w14:textId="77777777" w:rsidR="005E5156" w:rsidRPr="007A2AEB" w:rsidRDefault="005E5156">
      <w:pPr>
        <w:widowControl w:val="0"/>
        <w:spacing w:line="360" w:lineRule="auto"/>
        <w:jc w:val="both"/>
        <w:rPr>
          <w:rFonts w:ascii="Palatino Linotype" w:eastAsia="Palatino Linotype" w:hAnsi="Palatino Linotype" w:cs="Palatino Linotype"/>
          <w:sz w:val="22"/>
          <w:szCs w:val="22"/>
        </w:rPr>
      </w:pPr>
    </w:p>
    <w:p w14:paraId="1F504A85" w14:textId="77777777" w:rsidR="005E5156" w:rsidRPr="007A2AEB" w:rsidRDefault="00A104FE">
      <w:pPr>
        <w:widowControl w:val="0"/>
        <w:spacing w:line="360" w:lineRule="auto"/>
        <w:ind w:left="567" w:right="843"/>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“SE ANEXA RESPUESTA Asimismo, se hace de conocimiento que de conformidad con el artículo 178 de la Ley de la materia, podrá inconformarse de la respuesta otorgada, por sí mismo o a través de su representante, de manera directa o por medios electrónicos, a través del recurso de revisión, presentado ante el INFOEM o esta Unidad de Transparencia, dentro de los quince días hábiles, siguientes a la fecha de la notificación de presente respuesta.</w:t>
      </w:r>
    </w:p>
    <w:p w14:paraId="66478118" w14:textId="77777777" w:rsidR="005E5156" w:rsidRPr="007A2AEB" w:rsidRDefault="00A104FE">
      <w:pPr>
        <w:widowControl w:val="0"/>
        <w:spacing w:line="360" w:lineRule="auto"/>
        <w:ind w:left="567" w:right="843"/>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ATENTAMENTE</w:t>
      </w:r>
    </w:p>
    <w:p w14:paraId="60305912" w14:textId="77777777" w:rsidR="005E5156" w:rsidRPr="007A2AEB" w:rsidRDefault="00A104FE">
      <w:pPr>
        <w:widowControl w:val="0"/>
        <w:spacing w:line="360" w:lineRule="auto"/>
        <w:ind w:left="567" w:right="843"/>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LICENCIADA EN DERECHO NORMA ANGÉLICA ZETINA MARTÍNEZ”</w:t>
      </w:r>
    </w:p>
    <w:p w14:paraId="39D60233" w14:textId="77777777" w:rsidR="005E5156" w:rsidRPr="007A2AEB" w:rsidRDefault="005E5156">
      <w:pPr>
        <w:widowControl w:val="0"/>
        <w:spacing w:line="360" w:lineRule="auto"/>
        <w:jc w:val="both"/>
        <w:rPr>
          <w:rFonts w:ascii="Palatino Linotype" w:eastAsia="Palatino Linotype" w:hAnsi="Palatino Linotype" w:cs="Palatino Linotype"/>
          <w:sz w:val="22"/>
          <w:szCs w:val="22"/>
        </w:rPr>
      </w:pPr>
    </w:p>
    <w:p w14:paraId="621F1F43" w14:textId="77777777" w:rsidR="005E5156" w:rsidRPr="007A2AEB" w:rsidRDefault="00A104FE">
      <w:pPr>
        <w:widowControl w:val="0"/>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Además, adjuntó a la respuesta los documentos electrónicos siguientes:</w:t>
      </w:r>
    </w:p>
    <w:p w14:paraId="5EFF4B25" w14:textId="77777777" w:rsidR="005E5156" w:rsidRPr="007A2AEB" w:rsidRDefault="00A104FE">
      <w:pPr>
        <w:widowControl w:val="0"/>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7A2AEB">
        <w:rPr>
          <w:rFonts w:ascii="Palatino Linotype" w:eastAsia="Palatino Linotype" w:hAnsi="Palatino Linotype" w:cs="Palatino Linotype"/>
          <w:b/>
          <w:bCs/>
          <w:sz w:val="22"/>
          <w:szCs w:val="22"/>
        </w:rPr>
        <w:t xml:space="preserve">Respuesta 00806.pdf: </w:t>
      </w:r>
      <w:r w:rsidRPr="007A2AEB">
        <w:rPr>
          <w:rFonts w:ascii="Palatino Linotype" w:eastAsia="Palatino Linotype" w:hAnsi="Palatino Linotype" w:cs="Palatino Linotype"/>
          <w:sz w:val="22"/>
          <w:szCs w:val="22"/>
        </w:rPr>
        <w:t>Documento suscrito por el Titular de la Unidad de Transparencia mediante el cual refiere que se realizó una búsqueda exhaustiva y razonable en la Fiscalía Especializada para la Investigación y Persecución de Delitos en Materia de Desaparición Forzada de Personas y la Desaparición por Particulares, la Coordinación General de Servicios Periciales, la Dirección de Reclutamiento, Selección de Personal y Desarrollo Organizacional, la Dirección General Jurídica y Consultiva y la Dirección de Recursos Financieros y Control Presupuestal, áreas que adjuntaron la información que se remite en PDF.</w:t>
      </w:r>
    </w:p>
    <w:p w14:paraId="02F2A34F" w14:textId="77777777" w:rsidR="005E5156" w:rsidRPr="007A2AEB" w:rsidRDefault="005E5156">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316FD183" w14:textId="77777777" w:rsidR="005E5156" w:rsidRPr="007A2AEB" w:rsidRDefault="00A104FE">
      <w:pPr>
        <w:widowControl w:val="0"/>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7A2AEB">
        <w:rPr>
          <w:rFonts w:ascii="Palatino Linotype" w:eastAsia="Palatino Linotype" w:hAnsi="Palatino Linotype" w:cs="Palatino Linotype"/>
          <w:b/>
          <w:bCs/>
          <w:sz w:val="22"/>
          <w:szCs w:val="22"/>
        </w:rPr>
        <w:t xml:space="preserve">ANEXO SOL 00806.pdf: </w:t>
      </w:r>
      <w:r w:rsidRPr="007A2AEB">
        <w:rPr>
          <w:rFonts w:ascii="Palatino Linotype" w:eastAsia="Palatino Linotype" w:hAnsi="Palatino Linotype" w:cs="Palatino Linotype"/>
          <w:sz w:val="22"/>
          <w:szCs w:val="22"/>
        </w:rPr>
        <w:t>Documento sin firma ni membrete que contiene lo siguiente:</w:t>
      </w:r>
    </w:p>
    <w:p w14:paraId="29C550D5" w14:textId="77777777" w:rsidR="005E5156" w:rsidRPr="007A2AEB" w:rsidRDefault="005E5156">
      <w:pPr>
        <w:pBdr>
          <w:top w:val="nil"/>
          <w:left w:val="nil"/>
          <w:bottom w:val="nil"/>
          <w:right w:val="nil"/>
          <w:between w:val="nil"/>
        </w:pBdr>
        <w:ind w:left="720"/>
        <w:rPr>
          <w:rFonts w:ascii="Palatino Linotype" w:eastAsia="Palatino Linotype" w:hAnsi="Palatino Linotype" w:cs="Palatino Linotype"/>
          <w:b/>
          <w:bCs/>
          <w:sz w:val="22"/>
          <w:szCs w:val="22"/>
        </w:rPr>
      </w:pPr>
    </w:p>
    <w:p w14:paraId="11BAB560" w14:textId="77777777" w:rsidR="005E5156" w:rsidRPr="007A2AEB" w:rsidRDefault="00A104FE">
      <w:pPr>
        <w:widowControl w:val="0"/>
        <w:spacing w:line="360" w:lineRule="auto"/>
        <w:jc w:val="center"/>
        <w:rPr>
          <w:rFonts w:ascii="Palatino Linotype" w:hAnsi="Palatino Linotype"/>
          <w:sz w:val="22"/>
          <w:szCs w:val="22"/>
        </w:rPr>
      </w:pPr>
      <w:r w:rsidRPr="007A2AEB">
        <w:rPr>
          <w:rFonts w:ascii="Palatino Linotype" w:eastAsia="Palatino Linotype" w:hAnsi="Palatino Linotype" w:cs="Palatino Linotype"/>
          <w:b/>
          <w:bCs/>
          <w:noProof/>
          <w:sz w:val="22"/>
          <w:szCs w:val="22"/>
        </w:rPr>
        <w:drawing>
          <wp:inline distT="0" distB="0" distL="0" distR="0" wp14:anchorId="0F7820F3" wp14:editId="0E94CD0B">
            <wp:extent cx="4620270" cy="6087325"/>
            <wp:effectExtent l="0" t="0" r="0" b="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620270" cy="6087325"/>
                    </a:xfrm>
                    <a:prstGeom prst="rect">
                      <a:avLst/>
                    </a:prstGeom>
                    <a:ln/>
                  </pic:spPr>
                </pic:pic>
              </a:graphicData>
            </a:graphic>
          </wp:inline>
        </w:drawing>
      </w:r>
      <w:r w:rsidRPr="007A2AEB">
        <w:rPr>
          <w:rFonts w:ascii="Palatino Linotype" w:hAnsi="Palatino Linotype"/>
          <w:sz w:val="22"/>
          <w:szCs w:val="22"/>
        </w:rPr>
        <w:t xml:space="preserve"> </w:t>
      </w:r>
      <w:r w:rsidRPr="007A2AEB">
        <w:rPr>
          <w:rFonts w:ascii="Palatino Linotype" w:eastAsia="Palatino Linotype" w:hAnsi="Palatino Linotype" w:cs="Palatino Linotype"/>
          <w:noProof/>
          <w:sz w:val="22"/>
          <w:szCs w:val="22"/>
        </w:rPr>
        <w:drawing>
          <wp:inline distT="0" distB="0" distL="0" distR="0" wp14:anchorId="7D8ACC66" wp14:editId="50D0681B">
            <wp:extent cx="4639322" cy="6230219"/>
            <wp:effectExtent l="0" t="0" r="0" b="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639322" cy="6230219"/>
                    </a:xfrm>
                    <a:prstGeom prst="rect">
                      <a:avLst/>
                    </a:prstGeom>
                    <a:ln/>
                  </pic:spPr>
                </pic:pic>
              </a:graphicData>
            </a:graphic>
          </wp:inline>
        </w:drawing>
      </w:r>
    </w:p>
    <w:p w14:paraId="42CCEDFB" w14:textId="77777777" w:rsidR="005E5156" w:rsidRPr="007A2AEB" w:rsidRDefault="00A104FE">
      <w:pPr>
        <w:widowControl w:val="0"/>
        <w:spacing w:line="360" w:lineRule="auto"/>
        <w:jc w:val="center"/>
        <w:rPr>
          <w:rFonts w:ascii="Palatino Linotype" w:eastAsia="Palatino Linotype" w:hAnsi="Palatino Linotype" w:cs="Palatino Linotype"/>
          <w:sz w:val="22"/>
          <w:szCs w:val="22"/>
        </w:rPr>
      </w:pPr>
      <w:r w:rsidRPr="007A2AEB">
        <w:rPr>
          <w:rFonts w:ascii="Palatino Linotype" w:eastAsia="Palatino Linotype" w:hAnsi="Palatino Linotype" w:cs="Palatino Linotype"/>
          <w:noProof/>
          <w:sz w:val="22"/>
          <w:szCs w:val="22"/>
        </w:rPr>
        <w:drawing>
          <wp:inline distT="0" distB="0" distL="0" distR="0" wp14:anchorId="6636A1CF" wp14:editId="58EA5F69">
            <wp:extent cx="4639322" cy="6306430"/>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639322" cy="6306430"/>
                    </a:xfrm>
                    <a:prstGeom prst="rect">
                      <a:avLst/>
                    </a:prstGeom>
                    <a:ln/>
                  </pic:spPr>
                </pic:pic>
              </a:graphicData>
            </a:graphic>
          </wp:inline>
        </w:drawing>
      </w:r>
    </w:p>
    <w:p w14:paraId="4AD2824F" w14:textId="77777777" w:rsidR="005E5156" w:rsidRPr="007A2AEB" w:rsidRDefault="00A104FE">
      <w:pPr>
        <w:widowControl w:val="0"/>
        <w:spacing w:line="360" w:lineRule="auto"/>
        <w:jc w:val="center"/>
        <w:rPr>
          <w:rFonts w:ascii="Palatino Linotype" w:eastAsia="Palatino Linotype" w:hAnsi="Palatino Linotype" w:cs="Palatino Linotype"/>
          <w:sz w:val="22"/>
          <w:szCs w:val="22"/>
        </w:rPr>
      </w:pPr>
      <w:r w:rsidRPr="007A2AEB">
        <w:rPr>
          <w:rFonts w:ascii="Palatino Linotype" w:eastAsia="Palatino Linotype" w:hAnsi="Palatino Linotype" w:cs="Palatino Linotype"/>
          <w:noProof/>
          <w:sz w:val="22"/>
          <w:szCs w:val="22"/>
        </w:rPr>
        <w:drawing>
          <wp:inline distT="0" distB="0" distL="0" distR="0" wp14:anchorId="325B177C" wp14:editId="6BA0CFCE">
            <wp:extent cx="4658375" cy="2991267"/>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658375" cy="2991267"/>
                    </a:xfrm>
                    <a:prstGeom prst="rect">
                      <a:avLst/>
                    </a:prstGeom>
                    <a:ln/>
                  </pic:spPr>
                </pic:pic>
              </a:graphicData>
            </a:graphic>
          </wp:inline>
        </w:drawing>
      </w:r>
    </w:p>
    <w:p w14:paraId="08DDFF86" w14:textId="77777777" w:rsidR="005E5156" w:rsidRPr="007A2AEB" w:rsidRDefault="00A104FE">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b/>
          <w:bCs/>
          <w:sz w:val="22"/>
          <w:szCs w:val="22"/>
        </w:rPr>
        <w:t xml:space="preserve">3. Del Recurso de Revisión. </w:t>
      </w:r>
      <w:r w:rsidRPr="007A2AEB">
        <w:rPr>
          <w:rFonts w:ascii="Palatino Linotype" w:eastAsia="Palatino Linotype" w:hAnsi="Palatino Linotype" w:cs="Palatino Linotype"/>
          <w:sz w:val="22"/>
          <w:szCs w:val="22"/>
        </w:rPr>
        <w:t>Inconforme con la respuesta del</w:t>
      </w:r>
      <w:r w:rsidRPr="007A2AEB">
        <w:rPr>
          <w:rFonts w:ascii="Palatino Linotype" w:eastAsia="Palatino Linotype" w:hAnsi="Palatino Linotype" w:cs="Palatino Linotype"/>
          <w:b/>
          <w:bCs/>
          <w:sz w:val="22"/>
          <w:szCs w:val="22"/>
        </w:rPr>
        <w:t xml:space="preserve"> SUJETO OBLIGADO, </w:t>
      </w:r>
      <w:r w:rsidRPr="007A2AEB">
        <w:rPr>
          <w:rFonts w:ascii="Palatino Linotype" w:eastAsia="Palatino Linotype" w:hAnsi="Palatino Linotype" w:cs="Palatino Linotype"/>
          <w:sz w:val="22"/>
          <w:szCs w:val="22"/>
        </w:rPr>
        <w:t xml:space="preserve">el </w:t>
      </w:r>
      <w:r w:rsidRPr="007A2AEB">
        <w:rPr>
          <w:rFonts w:ascii="Palatino Linotype" w:eastAsia="Palatino Linotype" w:hAnsi="Palatino Linotype" w:cs="Palatino Linotype"/>
          <w:b/>
          <w:bCs/>
          <w:sz w:val="22"/>
          <w:szCs w:val="22"/>
        </w:rPr>
        <w:t xml:space="preserve">once de diciembre de dos mil veinticinco, LA PARTE RECURRENTE </w:t>
      </w:r>
      <w:r w:rsidRPr="007A2AEB">
        <w:rPr>
          <w:rFonts w:ascii="Palatino Linotype" w:eastAsia="Palatino Linotype" w:hAnsi="Palatino Linotype" w:cs="Palatino Linotype"/>
          <w:sz w:val="22"/>
          <w:szCs w:val="22"/>
        </w:rPr>
        <w:t xml:space="preserve">interpuso el recurso de revisión, mediante el cual y manifestó lo siguiente: </w:t>
      </w:r>
    </w:p>
    <w:p w14:paraId="47A05D98" w14:textId="77777777" w:rsidR="005E5156" w:rsidRPr="007A2AEB" w:rsidRDefault="005E5156">
      <w:pPr>
        <w:spacing w:line="360" w:lineRule="auto"/>
        <w:jc w:val="both"/>
        <w:rPr>
          <w:rFonts w:ascii="Palatino Linotype" w:eastAsia="Palatino Linotype" w:hAnsi="Palatino Linotype" w:cs="Palatino Linotype"/>
          <w:sz w:val="22"/>
          <w:szCs w:val="22"/>
        </w:rPr>
      </w:pPr>
    </w:p>
    <w:p w14:paraId="6E33669C" w14:textId="77777777" w:rsidR="005E5156" w:rsidRPr="007A2AEB" w:rsidRDefault="00A104FE">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7A2AEB">
        <w:rPr>
          <w:rFonts w:ascii="Palatino Linotype" w:hAnsi="Palatino Linotype"/>
          <w:b/>
          <w:bCs/>
          <w:sz w:val="22"/>
          <w:szCs w:val="22"/>
        </w:rPr>
        <w:t>Acto Impugnado</w:t>
      </w:r>
      <w:r w:rsidRPr="007A2AEB">
        <w:rPr>
          <w:rFonts w:ascii="Palatino Linotype" w:hAnsi="Palatino Linotype"/>
          <w:sz w:val="22"/>
          <w:szCs w:val="22"/>
        </w:rPr>
        <w:t>: “</w:t>
      </w:r>
      <w:r w:rsidRPr="007A2AEB">
        <w:rPr>
          <w:rFonts w:ascii="Palatino Linotype" w:eastAsia="Palatino Linotype" w:hAnsi="Palatino Linotype" w:cs="Palatino Linotype"/>
          <w:i/>
          <w:iCs/>
          <w:sz w:val="22"/>
          <w:szCs w:val="22"/>
        </w:rPr>
        <w:t>La respuesta que la autoridad responsable, Fiscalía General de Justicia del Estado de México, por lo que hace únicamente al número 6 de la solicitud.</w:t>
      </w:r>
      <w:r w:rsidRPr="007A2AEB">
        <w:rPr>
          <w:rFonts w:ascii="Palatino Linotype" w:hAnsi="Palatino Linotype"/>
          <w:sz w:val="22"/>
          <w:szCs w:val="22"/>
        </w:rPr>
        <w:t>” (Sic.)</w:t>
      </w:r>
    </w:p>
    <w:p w14:paraId="44F45912" w14:textId="77777777" w:rsidR="005E5156" w:rsidRPr="007A2AEB" w:rsidRDefault="005E5156">
      <w:pPr>
        <w:pBdr>
          <w:top w:val="nil"/>
          <w:left w:val="nil"/>
          <w:bottom w:val="nil"/>
          <w:right w:val="nil"/>
          <w:between w:val="nil"/>
        </w:pBdr>
        <w:spacing w:line="360" w:lineRule="auto"/>
        <w:ind w:left="720" w:right="560"/>
        <w:jc w:val="both"/>
        <w:rPr>
          <w:rFonts w:ascii="Palatino Linotype" w:eastAsia="Palatino Linotype" w:hAnsi="Palatino Linotype" w:cs="Palatino Linotype"/>
          <w:i/>
          <w:iCs/>
          <w:sz w:val="22"/>
          <w:szCs w:val="22"/>
        </w:rPr>
      </w:pPr>
    </w:p>
    <w:p w14:paraId="6D09DEAE" w14:textId="77777777" w:rsidR="005E5156" w:rsidRPr="007A2AEB" w:rsidRDefault="00A104FE">
      <w:pPr>
        <w:numPr>
          <w:ilvl w:val="0"/>
          <w:numId w:val="1"/>
        </w:numPr>
        <w:pBdr>
          <w:top w:val="nil"/>
          <w:left w:val="nil"/>
          <w:bottom w:val="nil"/>
          <w:right w:val="nil"/>
          <w:between w:val="nil"/>
        </w:pBdr>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b/>
          <w:bCs/>
          <w:sz w:val="22"/>
          <w:szCs w:val="22"/>
        </w:rPr>
        <w:t>Motivo de inconformidad:</w:t>
      </w:r>
      <w:r w:rsidRPr="007A2AEB">
        <w:rPr>
          <w:rFonts w:ascii="Palatino Linotype" w:eastAsia="Palatino Linotype" w:hAnsi="Palatino Linotype" w:cs="Palatino Linotype"/>
          <w:sz w:val="22"/>
          <w:szCs w:val="22"/>
        </w:rPr>
        <w:t xml:space="preserve"> “</w:t>
      </w:r>
      <w:r w:rsidRPr="007A2AEB">
        <w:rPr>
          <w:rFonts w:ascii="Palatino Linotype" w:eastAsia="Palatino Linotype" w:hAnsi="Palatino Linotype" w:cs="Palatino Linotype"/>
          <w:i/>
          <w:iCs/>
          <w:sz w:val="22"/>
          <w:szCs w:val="22"/>
        </w:rPr>
        <w:t>Respecto al punto 6: ¿</w:t>
      </w:r>
      <w:r w:rsidRPr="007A2AEB">
        <w:rPr>
          <w:rFonts w:ascii="Palatino Linotype" w:eastAsia="Palatino Linotype" w:hAnsi="Palatino Linotype" w:cs="Palatino Linotype"/>
          <w:b/>
          <w:bCs/>
          <w:i/>
          <w:iCs/>
          <w:sz w:val="22"/>
          <w:szCs w:val="22"/>
          <w:u w:val="single"/>
        </w:rPr>
        <w:t>Cuántas carpetas de investigación se han iniciado entre el 17 de noviembre de 2017 y el 30 de septiembre de 2024? Desglosar la cantidad de carpetas de investigación por año (2017, 2018, 2019, 2020, 2021, 2022, 2023 y 2024).</w:t>
      </w:r>
      <w:r w:rsidRPr="007A2AEB">
        <w:rPr>
          <w:rFonts w:ascii="Palatino Linotype" w:eastAsia="Palatino Linotype" w:hAnsi="Palatino Linotype" w:cs="Palatino Linotype"/>
          <w:i/>
          <w:iCs/>
          <w:sz w:val="22"/>
          <w:szCs w:val="22"/>
        </w:rPr>
        <w:t xml:space="preserve"> La respuesta proporcionada no hace referencia a la pregunta planteada porque el argumento de la autoridad se relaciona con acciones de búsqueda, señalando diversos supuestos referentes a la Ley General y a los supuestos de apertura de la carpeta de investigación: "a) De acuerdo con la Ley en Materia de Desaparición Forzada de Personas y Desaparición Cometida por Particulares para el Estado Libre y Soberano de México, establece en su artículo 4 fracción XVIII, persona desaparecida es aquella cuya ubicación y paradero se desconoce, independientemente de que su ausencia se relacione o no con la comisión de un delito. b) La presunción de la comisión de un delito es uno de los fundamentos no el único para el despliegue de la acción pública en búsqueda de la persona, pero, una vez localizada ésta, es factible que se demuestre infundada, es decir, que no fuera dé hecho la comisión de un delito la causante de la imposibilidad de localizar a la persona. c) De acuerdo con el Protocolo Homologado para la Búsqueda de Personas Desaparecidas, y No Localizadas, las acciones de búsqueda no se limitan a personas que están específicamente siendo víctima de los delitos tipificados en la Ley General, es decir, forzada o cometida por particular, sino que es aplicable a toda persona cuya desaparición puede estar vinculada con una ausencia voluntaria, es decir, las razones o motivos por los cuales la persona decide ausentarse, pueden ser estrictamente personales. d) En consecuencia, se advierte que de las carpetas de investigación que se inician por desaparición de persona en el Estado de México, no todas se encuentran vinculadas con la probable comisión de un delito, como es el caso del tipo penal desaparición forzada y cometida por particulares" Bajo esa cadena argumentativa, la fiscalía orienta la presente petición a la consulta del Registro Nacional de Personas Desaparecidas y No Localizadas, lo cual, es incorrecto, debido a que, de conformidad con el artículo 21 de la CPEUM, así como 81 de la Constitución Política del Estado Libre y Soberano de México, ambos en relación con las fracciones I y XVII del artículo 10 de la Ley de la Fiscalía General de Justicia del Estado de México</w:t>
      </w:r>
      <w:r w:rsidRPr="007A2AEB">
        <w:rPr>
          <w:rFonts w:ascii="Palatino Linotype" w:eastAsia="Palatino Linotype" w:hAnsi="Palatino Linotype" w:cs="Palatino Linotype"/>
          <w:b/>
          <w:bCs/>
          <w:i/>
          <w:iCs/>
          <w:sz w:val="22"/>
          <w:szCs w:val="22"/>
          <w:u w:val="single"/>
        </w:rPr>
        <w:t>; la información que se proporcionó no guarda relación con las estadísticas solicitadas sobre carpetas de investigación iniciadas por los delitos relacionados con la desaparición de personas</w:t>
      </w:r>
      <w:r w:rsidRPr="007A2AEB">
        <w:rPr>
          <w:rFonts w:ascii="Palatino Linotype" w:eastAsia="Palatino Linotype" w:hAnsi="Palatino Linotype" w:cs="Palatino Linotype"/>
          <w:i/>
          <w:iCs/>
          <w:sz w:val="22"/>
          <w:szCs w:val="22"/>
        </w:rPr>
        <w:t>. Por otro lado, la respuesta proporcionada es contradictoria con la respuesta otorgada al número 9, en la que se desglosó la cantidad de carpetas judicializadas, es decir, si se cuenta con la estadística de carpetas que se presentan ante autoridad judicial, es porque se cuenta con la información sobre carpetas de investigación iniciadas por los delitos de desaparición (en sus modalidades de forzada y cometida por particulares), sin importar si se determina un NEAP, se judicializan o se archivan. Por lo tanto, requiero que se desglose la información solicitada en el numeral 6, en los términos solicitados.</w:t>
      </w:r>
      <w:r w:rsidRPr="007A2AEB">
        <w:rPr>
          <w:rFonts w:ascii="Palatino Linotype" w:eastAsia="Palatino Linotype" w:hAnsi="Palatino Linotype" w:cs="Palatino Linotype"/>
          <w:sz w:val="22"/>
          <w:szCs w:val="22"/>
        </w:rPr>
        <w:t>” (Sic.)</w:t>
      </w:r>
    </w:p>
    <w:p w14:paraId="2EB09C91" w14:textId="77777777" w:rsidR="005E5156" w:rsidRPr="007A2AEB" w:rsidRDefault="005E5156">
      <w:pPr>
        <w:pBdr>
          <w:top w:val="nil"/>
          <w:left w:val="nil"/>
          <w:bottom w:val="nil"/>
          <w:right w:val="nil"/>
          <w:between w:val="nil"/>
        </w:pBdr>
        <w:spacing w:line="360" w:lineRule="auto"/>
        <w:ind w:left="720"/>
        <w:rPr>
          <w:rFonts w:ascii="Palatino Linotype" w:eastAsia="Palatino Linotype" w:hAnsi="Palatino Linotype" w:cs="Palatino Linotype"/>
          <w:i/>
          <w:iCs/>
          <w:sz w:val="22"/>
          <w:szCs w:val="22"/>
        </w:rPr>
      </w:pPr>
    </w:p>
    <w:p w14:paraId="48733B1F" w14:textId="77777777" w:rsidR="005E5156" w:rsidRPr="007A2AEB" w:rsidRDefault="00A104FE">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b/>
          <w:bCs/>
          <w:sz w:val="22"/>
          <w:szCs w:val="22"/>
        </w:rPr>
        <w:t xml:space="preserve">4. Turno. </w:t>
      </w:r>
      <w:r w:rsidRPr="007A2AEB">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7A2AEB">
        <w:rPr>
          <w:rFonts w:ascii="Palatino Linotype" w:eastAsia="Palatino Linotype" w:hAnsi="Palatino Linotype" w:cs="Palatino Linotype"/>
          <w:b/>
          <w:bCs/>
          <w:sz w:val="22"/>
          <w:szCs w:val="22"/>
        </w:rPr>
        <w:t>14194/INFOEM/IP/RR/2025</w:t>
      </w:r>
      <w:r w:rsidRPr="007A2AEB">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7A2AEB">
        <w:rPr>
          <w:rFonts w:ascii="Palatino Linotype" w:eastAsia="Palatino Linotype" w:hAnsi="Palatino Linotype" w:cs="Palatino Linotype"/>
          <w:b/>
          <w:bCs/>
          <w:sz w:val="22"/>
          <w:szCs w:val="22"/>
        </w:rPr>
        <w:t>Guadalupe Ramírez Peña</w:t>
      </w:r>
      <w:r w:rsidRPr="007A2AEB">
        <w:rPr>
          <w:rFonts w:ascii="Palatino Linotype" w:eastAsia="Palatino Linotype" w:hAnsi="Palatino Linotype" w:cs="Palatino Linotype"/>
          <w:sz w:val="22"/>
          <w:szCs w:val="22"/>
        </w:rPr>
        <w:t xml:space="preserve">, para su análisis, estudio, elaboración del proyecto y presentación ante el Pleno de este Instituto. </w:t>
      </w:r>
    </w:p>
    <w:p w14:paraId="07AFE2F1" w14:textId="77777777" w:rsidR="005E5156" w:rsidRPr="007A2AEB" w:rsidRDefault="005E5156">
      <w:pPr>
        <w:spacing w:line="360" w:lineRule="auto"/>
        <w:jc w:val="both"/>
        <w:rPr>
          <w:rFonts w:ascii="Palatino Linotype" w:eastAsia="Palatino Linotype" w:hAnsi="Palatino Linotype" w:cs="Palatino Linotype"/>
          <w:sz w:val="22"/>
          <w:szCs w:val="22"/>
        </w:rPr>
      </w:pPr>
    </w:p>
    <w:p w14:paraId="01A1E064" w14:textId="77777777" w:rsidR="005E5156" w:rsidRPr="007A2AEB" w:rsidRDefault="00A104FE">
      <w:pPr>
        <w:spacing w:line="360" w:lineRule="auto"/>
        <w:jc w:val="both"/>
        <w:rPr>
          <w:rFonts w:ascii="Palatino Linotype" w:eastAsia="Palatino Linotype" w:hAnsi="Palatino Linotype" w:cs="Palatino Linotype"/>
          <w:b/>
          <w:bCs/>
          <w:sz w:val="22"/>
          <w:szCs w:val="22"/>
        </w:rPr>
      </w:pPr>
      <w:r w:rsidRPr="007A2AEB">
        <w:rPr>
          <w:rFonts w:ascii="Palatino Linotype" w:eastAsia="Palatino Linotype" w:hAnsi="Palatino Linotype" w:cs="Palatino Linotype"/>
          <w:b/>
          <w:bCs/>
          <w:sz w:val="22"/>
          <w:szCs w:val="22"/>
        </w:rPr>
        <w:t xml:space="preserve">5. Admisión. </w:t>
      </w:r>
      <w:r w:rsidRPr="007A2AEB">
        <w:rPr>
          <w:rFonts w:ascii="Palatino Linotype" w:eastAsia="Palatino Linotype" w:hAnsi="Palatino Linotype" w:cs="Palatino Linotype"/>
          <w:sz w:val="22"/>
          <w:szCs w:val="22"/>
        </w:rPr>
        <w:t xml:space="preserve">El </w:t>
      </w:r>
      <w:r w:rsidRPr="007A2AEB">
        <w:rPr>
          <w:rFonts w:ascii="Palatino Linotype" w:eastAsia="Palatino Linotype" w:hAnsi="Palatino Linotype" w:cs="Palatino Linotype"/>
          <w:b/>
          <w:bCs/>
          <w:sz w:val="22"/>
          <w:szCs w:val="22"/>
        </w:rPr>
        <w:t>diecisiete de diciembre de dos mil veinticinco</w:t>
      </w:r>
      <w:r w:rsidRPr="007A2AEB">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7A2AEB">
        <w:rPr>
          <w:rFonts w:ascii="Palatino Linotype" w:eastAsia="Palatino Linotype" w:hAnsi="Palatino Linotype" w:cs="Palatino Linotype"/>
          <w:b/>
          <w:bCs/>
          <w:sz w:val="22"/>
          <w:szCs w:val="22"/>
        </w:rPr>
        <w:t xml:space="preserve">. </w:t>
      </w:r>
    </w:p>
    <w:p w14:paraId="3A2A0F94" w14:textId="77777777" w:rsidR="005E5156" w:rsidRPr="007A2AEB" w:rsidRDefault="005E5156">
      <w:pPr>
        <w:spacing w:line="360" w:lineRule="auto"/>
        <w:jc w:val="both"/>
        <w:rPr>
          <w:rFonts w:ascii="Palatino Linotype" w:eastAsia="Palatino Linotype" w:hAnsi="Palatino Linotype" w:cs="Palatino Linotype"/>
          <w:b/>
          <w:bCs/>
          <w:sz w:val="22"/>
          <w:szCs w:val="22"/>
        </w:rPr>
      </w:pPr>
    </w:p>
    <w:p w14:paraId="7AA483E5" w14:textId="77777777" w:rsidR="005E5156" w:rsidRPr="007A2AEB" w:rsidRDefault="00A104FE">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b/>
          <w:bCs/>
          <w:sz w:val="22"/>
          <w:szCs w:val="22"/>
        </w:rPr>
        <w:t>6. Manifestaciones.</w:t>
      </w:r>
      <w:r w:rsidRPr="007A2AEB">
        <w:rPr>
          <w:rFonts w:ascii="Palatino Linotype" w:eastAsia="Palatino Linotype" w:hAnsi="Palatino Linotype" w:cs="Palatino Linotype"/>
          <w:sz w:val="22"/>
          <w:szCs w:val="22"/>
        </w:rPr>
        <w:t xml:space="preserve"> De las constancias que obran en el expediente electrónico del SAIMEX, se advierte que el Sujeto Obligado, el </w:t>
      </w:r>
      <w:r w:rsidRPr="007A2AEB">
        <w:rPr>
          <w:rFonts w:ascii="Palatino Linotype" w:eastAsia="Palatino Linotype" w:hAnsi="Palatino Linotype" w:cs="Palatino Linotype"/>
          <w:b/>
          <w:bCs/>
          <w:sz w:val="22"/>
          <w:szCs w:val="22"/>
        </w:rPr>
        <w:t>trece de</w:t>
      </w:r>
      <w:r w:rsidRPr="007A2AEB">
        <w:rPr>
          <w:rFonts w:ascii="Palatino Linotype" w:eastAsia="Palatino Linotype" w:hAnsi="Palatino Linotype" w:cs="Palatino Linotype"/>
          <w:sz w:val="22"/>
          <w:szCs w:val="22"/>
        </w:rPr>
        <w:t xml:space="preserve"> </w:t>
      </w:r>
      <w:r w:rsidRPr="007A2AEB">
        <w:rPr>
          <w:rFonts w:ascii="Palatino Linotype" w:eastAsia="Palatino Linotype" w:hAnsi="Palatino Linotype" w:cs="Palatino Linotype"/>
          <w:b/>
          <w:bCs/>
          <w:sz w:val="22"/>
          <w:szCs w:val="22"/>
        </w:rPr>
        <w:t>enero de dos mil veintiséis</w:t>
      </w:r>
      <w:r w:rsidRPr="007A2AEB">
        <w:rPr>
          <w:rFonts w:ascii="Palatino Linotype" w:eastAsia="Palatino Linotype" w:hAnsi="Palatino Linotype" w:cs="Palatino Linotype"/>
          <w:sz w:val="22"/>
          <w:szCs w:val="22"/>
        </w:rPr>
        <w:t xml:space="preserve"> rindió su informe justificado a través de los documentos electrónicos denominados </w:t>
      </w:r>
      <w:r w:rsidRPr="007A2AEB">
        <w:rPr>
          <w:rFonts w:ascii="Palatino Linotype" w:eastAsia="Palatino Linotype" w:hAnsi="Palatino Linotype" w:cs="Palatino Linotype"/>
          <w:b/>
          <w:bCs/>
          <w:i/>
          <w:iCs/>
          <w:sz w:val="22"/>
          <w:szCs w:val="22"/>
        </w:rPr>
        <w:t xml:space="preserve">Informe J of 0069 RR 14194 sol 806_2025.pdf; y of 0071 RR 14194 sol 806_2025_01_08_19_54_11_231.pdf </w:t>
      </w:r>
      <w:r w:rsidRPr="007A2AEB">
        <w:rPr>
          <w:rFonts w:ascii="Palatino Linotype" w:eastAsia="Palatino Linotype" w:hAnsi="Palatino Linotype" w:cs="Palatino Linotype"/>
          <w:sz w:val="22"/>
          <w:szCs w:val="22"/>
        </w:rPr>
        <w:t>mediante el cual medularmente refiere que la información requerida se encuentra disponible en la dirección electrónica:</w:t>
      </w:r>
    </w:p>
    <w:p w14:paraId="1464D969" w14:textId="77777777" w:rsidR="005E5156" w:rsidRPr="007A2AEB" w:rsidRDefault="00A104FE">
      <w:pPr>
        <w:spacing w:line="360" w:lineRule="auto"/>
        <w:jc w:val="center"/>
        <w:rPr>
          <w:rFonts w:ascii="Palatino Linotype" w:eastAsia="Palatino Linotype" w:hAnsi="Palatino Linotype" w:cs="Palatino Linotype"/>
          <w:sz w:val="22"/>
          <w:szCs w:val="22"/>
        </w:rPr>
      </w:pPr>
      <w:r w:rsidRPr="007A2AEB">
        <w:rPr>
          <w:rFonts w:ascii="Palatino Linotype" w:eastAsia="Palatino Linotype" w:hAnsi="Palatino Linotype" w:cs="Palatino Linotype"/>
          <w:noProof/>
          <w:sz w:val="22"/>
          <w:szCs w:val="22"/>
        </w:rPr>
        <w:drawing>
          <wp:inline distT="0" distB="0" distL="0" distR="0" wp14:anchorId="1350F0EC" wp14:editId="2337548B">
            <wp:extent cx="5068007" cy="924054"/>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068007" cy="924054"/>
                    </a:xfrm>
                    <a:prstGeom prst="rect">
                      <a:avLst/>
                    </a:prstGeom>
                    <a:ln/>
                  </pic:spPr>
                </pic:pic>
              </a:graphicData>
            </a:graphic>
          </wp:inline>
        </w:drawing>
      </w:r>
    </w:p>
    <w:p w14:paraId="7BF5564D" w14:textId="77777777" w:rsidR="005E5156" w:rsidRPr="007A2AEB" w:rsidRDefault="00A104F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El contenido del informe justificado se puso a la vista del particular el cinco de febrero de dos mil veintiséis.</w:t>
      </w:r>
    </w:p>
    <w:p w14:paraId="0DFCBAEB" w14:textId="77777777" w:rsidR="005E5156" w:rsidRPr="007A2AEB" w:rsidRDefault="005E5156">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
    <w:p w14:paraId="339B6F10" w14:textId="77777777" w:rsidR="005E5156" w:rsidRPr="007A2AEB" w:rsidRDefault="00A104F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b/>
          <w:bCs/>
          <w:sz w:val="22"/>
          <w:szCs w:val="22"/>
        </w:rPr>
        <w:t>7. Cierre de instrucción</w:t>
      </w:r>
      <w:r w:rsidRPr="007A2AEB">
        <w:rPr>
          <w:rFonts w:ascii="Palatino Linotype" w:eastAsia="Palatino Linotype" w:hAnsi="Palatino Linotype" w:cs="Palatino Linotype"/>
          <w:sz w:val="22"/>
          <w:szCs w:val="22"/>
        </w:rPr>
        <w:t xml:space="preserve">. En fecha </w:t>
      </w:r>
      <w:r w:rsidRPr="007A2AEB">
        <w:rPr>
          <w:rFonts w:ascii="Palatino Linotype" w:eastAsia="Palatino Linotype" w:hAnsi="Palatino Linotype" w:cs="Palatino Linotype"/>
          <w:b/>
          <w:bCs/>
          <w:sz w:val="22"/>
          <w:szCs w:val="22"/>
        </w:rPr>
        <w:t>once</w:t>
      </w:r>
      <w:r w:rsidRPr="007A2AEB">
        <w:rPr>
          <w:rFonts w:ascii="Palatino Linotype" w:eastAsia="Palatino Linotype" w:hAnsi="Palatino Linotype" w:cs="Palatino Linotype"/>
          <w:sz w:val="22"/>
          <w:szCs w:val="22"/>
        </w:rPr>
        <w:t xml:space="preserve"> </w:t>
      </w:r>
      <w:r w:rsidRPr="007A2AEB">
        <w:rPr>
          <w:rFonts w:ascii="Palatino Linotype" w:eastAsia="Palatino Linotype" w:hAnsi="Palatino Linotype" w:cs="Palatino Linotype"/>
          <w:b/>
          <w:bCs/>
          <w:sz w:val="22"/>
          <w:szCs w:val="22"/>
        </w:rPr>
        <w:t>de febrero de dos mil veintiséis</w:t>
      </w:r>
      <w:r w:rsidRPr="007A2AEB">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6D007A4C" w14:textId="77777777" w:rsidR="005E5156" w:rsidRPr="007A2AEB" w:rsidRDefault="005E5156">
      <w:pPr>
        <w:spacing w:line="360" w:lineRule="auto"/>
        <w:ind w:right="49"/>
        <w:jc w:val="both"/>
        <w:rPr>
          <w:rFonts w:ascii="Palatino Linotype" w:eastAsia="Palatino Linotype" w:hAnsi="Palatino Linotype" w:cs="Palatino Linotype"/>
          <w:sz w:val="22"/>
          <w:szCs w:val="22"/>
        </w:rPr>
      </w:pPr>
    </w:p>
    <w:p w14:paraId="4660AC5F" w14:textId="77777777" w:rsidR="005E5156" w:rsidRPr="007A2AEB" w:rsidRDefault="00A104FE">
      <w:pPr>
        <w:spacing w:line="360" w:lineRule="auto"/>
        <w:ind w:right="49"/>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 xml:space="preserve">Debido a que fue debidamente sustanciado </w:t>
      </w:r>
      <w:r w:rsidRPr="007A2AEB">
        <w:rPr>
          <w:rFonts w:ascii="Palatino Linotype" w:eastAsia="Palatino Linotype" w:hAnsi="Palatino Linotype" w:cs="Palatino Linotype"/>
          <w:sz w:val="22"/>
          <w:szCs w:val="22"/>
        </w:rPr>
        <w:tab/>
        <w:t xml:space="preserve">el expediente electrónico y no existe diligencia pendiente de desahogo, se emite la Resolución que conforme a Derecho proceda, de acuerdo con los siguientes: </w:t>
      </w:r>
    </w:p>
    <w:p w14:paraId="6091BD4B" w14:textId="77777777" w:rsidR="005E5156" w:rsidRPr="007A2AEB" w:rsidRDefault="00A104FE">
      <w:pPr>
        <w:spacing w:line="360" w:lineRule="auto"/>
        <w:ind w:right="49"/>
        <w:jc w:val="center"/>
        <w:rPr>
          <w:rFonts w:ascii="Palatino Linotype" w:eastAsia="Palatino Linotype" w:hAnsi="Palatino Linotype" w:cs="Palatino Linotype"/>
          <w:b/>
          <w:bCs/>
          <w:sz w:val="22"/>
          <w:szCs w:val="22"/>
        </w:rPr>
      </w:pPr>
      <w:r w:rsidRPr="007A2AEB">
        <w:rPr>
          <w:rFonts w:ascii="Palatino Linotype" w:eastAsia="Palatino Linotype" w:hAnsi="Palatino Linotype" w:cs="Palatino Linotype"/>
          <w:b/>
          <w:bCs/>
          <w:sz w:val="22"/>
          <w:szCs w:val="22"/>
        </w:rPr>
        <w:t>II.</w:t>
      </w:r>
      <w:r w:rsidRPr="007A2AEB">
        <w:rPr>
          <w:rFonts w:ascii="Palatino Linotype" w:eastAsia="Palatino Linotype" w:hAnsi="Palatino Linotype" w:cs="Palatino Linotype"/>
          <w:b/>
          <w:bCs/>
          <w:sz w:val="22"/>
          <w:szCs w:val="22"/>
        </w:rPr>
        <w:tab/>
        <w:t>C O N S I D E R A N D O:</w:t>
      </w:r>
    </w:p>
    <w:p w14:paraId="5217CF98" w14:textId="77777777" w:rsidR="005E5156" w:rsidRPr="007A2AEB" w:rsidRDefault="005E5156">
      <w:pPr>
        <w:spacing w:line="360" w:lineRule="auto"/>
        <w:ind w:right="49"/>
        <w:jc w:val="both"/>
        <w:rPr>
          <w:rFonts w:ascii="Palatino Linotype" w:eastAsia="Palatino Linotype" w:hAnsi="Palatino Linotype" w:cs="Palatino Linotype"/>
          <w:sz w:val="22"/>
          <w:szCs w:val="22"/>
        </w:rPr>
      </w:pPr>
    </w:p>
    <w:p w14:paraId="7683E2E4" w14:textId="77777777" w:rsidR="005E5156" w:rsidRPr="007A2AEB" w:rsidRDefault="00A104FE">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b/>
          <w:bCs/>
          <w:sz w:val="22"/>
          <w:szCs w:val="22"/>
        </w:rPr>
        <w:t>Primero. Competencia.</w:t>
      </w:r>
      <w:r w:rsidRPr="007A2AEB">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CA43B84" w14:textId="77777777" w:rsidR="005E5156" w:rsidRPr="007A2AEB" w:rsidRDefault="00A104FE">
      <w:pPr>
        <w:spacing w:before="240" w:after="240"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b/>
          <w:bCs/>
          <w:sz w:val="22"/>
          <w:szCs w:val="22"/>
        </w:rPr>
        <w:t xml:space="preserve">Segundo. Oportunidad y Procedibilidad del Recurso de Revisión. </w:t>
      </w:r>
      <w:r w:rsidRPr="007A2AEB">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38C0602" w14:textId="77777777" w:rsidR="005E5156" w:rsidRPr="007A2AEB" w:rsidRDefault="00A104FE">
      <w:pPr>
        <w:spacing w:before="240" w:after="240"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2DCF200B" w14:textId="77777777" w:rsidR="005E5156" w:rsidRPr="007A2AEB" w:rsidRDefault="00A104FE">
      <w:pPr>
        <w:spacing w:line="360" w:lineRule="auto"/>
        <w:ind w:left="851" w:right="900"/>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b/>
          <w:bCs/>
          <w:i/>
          <w:iCs/>
          <w:sz w:val="22"/>
          <w:szCs w:val="22"/>
        </w:rPr>
        <w:t xml:space="preserve">“Artículo 178. </w:t>
      </w:r>
      <w:r w:rsidRPr="007A2AEB">
        <w:rPr>
          <w:rFonts w:ascii="Palatino Linotype" w:eastAsia="Palatino Linotype" w:hAnsi="Palatino Linotype" w:cs="Palatino Linotype"/>
          <w:i/>
          <w:iCs/>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E0D0B00" w14:textId="77777777" w:rsidR="005E5156" w:rsidRPr="007A2AEB" w:rsidRDefault="00A104FE">
      <w:pPr>
        <w:spacing w:before="240" w:after="240" w:line="360" w:lineRule="auto"/>
        <w:ind w:right="49"/>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7A2AEB">
        <w:rPr>
          <w:rFonts w:ascii="Palatino Linotype" w:eastAsia="Palatino Linotype" w:hAnsi="Palatino Linotype" w:cs="Palatino Linotype"/>
          <w:b/>
          <w:bCs/>
          <w:sz w:val="22"/>
          <w:szCs w:val="22"/>
        </w:rPr>
        <w:t>SUJETO OBLIGADO</w:t>
      </w:r>
      <w:r w:rsidRPr="007A2AEB">
        <w:rPr>
          <w:rFonts w:ascii="Palatino Linotype" w:eastAsia="Palatino Linotype" w:hAnsi="Palatino Linotype" w:cs="Palatino Linotype"/>
          <w:sz w:val="22"/>
          <w:szCs w:val="22"/>
        </w:rPr>
        <w:t xml:space="preserve"> remitió la respuesta a la solicitud de información el día </w:t>
      </w:r>
      <w:r w:rsidRPr="007A2AEB">
        <w:rPr>
          <w:rFonts w:ascii="Palatino Linotype" w:eastAsia="Palatino Linotype" w:hAnsi="Palatino Linotype" w:cs="Palatino Linotype"/>
          <w:b/>
          <w:bCs/>
          <w:sz w:val="22"/>
          <w:szCs w:val="22"/>
        </w:rPr>
        <w:t>once</w:t>
      </w:r>
      <w:r w:rsidRPr="007A2AEB">
        <w:rPr>
          <w:rFonts w:ascii="Palatino Linotype" w:eastAsia="Palatino Linotype" w:hAnsi="Palatino Linotype" w:cs="Palatino Linotype"/>
          <w:sz w:val="22"/>
          <w:szCs w:val="22"/>
        </w:rPr>
        <w:t xml:space="preserve"> </w:t>
      </w:r>
      <w:r w:rsidRPr="007A2AEB">
        <w:rPr>
          <w:rFonts w:ascii="Palatino Linotype" w:eastAsia="Palatino Linotype" w:hAnsi="Palatino Linotype" w:cs="Palatino Linotype"/>
          <w:b/>
          <w:bCs/>
          <w:sz w:val="22"/>
          <w:szCs w:val="22"/>
        </w:rPr>
        <w:t xml:space="preserve">de diciembre de dos mil veinticinco, </w:t>
      </w:r>
      <w:r w:rsidRPr="007A2AEB">
        <w:rPr>
          <w:rFonts w:ascii="Palatino Linotype" w:eastAsia="Palatino Linotype" w:hAnsi="Palatino Linotype" w:cs="Palatino Linotype"/>
          <w:sz w:val="22"/>
          <w:szCs w:val="22"/>
        </w:rPr>
        <w:t xml:space="preserve">mientras que el recurso de revisión interpuesto por la parte </w:t>
      </w:r>
      <w:r w:rsidRPr="007A2AEB">
        <w:rPr>
          <w:rFonts w:ascii="Palatino Linotype" w:eastAsia="Palatino Linotype" w:hAnsi="Palatino Linotype" w:cs="Palatino Linotype"/>
          <w:b/>
          <w:bCs/>
          <w:sz w:val="22"/>
          <w:szCs w:val="22"/>
        </w:rPr>
        <w:t>RECURRENTE</w:t>
      </w:r>
      <w:r w:rsidRPr="007A2AEB">
        <w:rPr>
          <w:rFonts w:ascii="Palatino Linotype" w:eastAsia="Palatino Linotype" w:hAnsi="Palatino Linotype" w:cs="Palatino Linotype"/>
          <w:sz w:val="22"/>
          <w:szCs w:val="22"/>
        </w:rPr>
        <w:t xml:space="preserve">, se tuvo por presentado el </w:t>
      </w:r>
      <w:r w:rsidRPr="007A2AEB">
        <w:rPr>
          <w:rFonts w:ascii="Palatino Linotype" w:eastAsia="Palatino Linotype" w:hAnsi="Palatino Linotype" w:cs="Palatino Linotype"/>
          <w:b/>
          <w:bCs/>
          <w:sz w:val="22"/>
          <w:szCs w:val="22"/>
        </w:rPr>
        <w:t>once de diciembre del año dos mil veinticinco</w:t>
      </w:r>
      <w:r w:rsidRPr="007A2AEB">
        <w:rPr>
          <w:rFonts w:ascii="Palatino Linotype" w:eastAsia="Palatino Linotype" w:hAnsi="Palatino Linotype" w:cs="Palatino Linotype"/>
          <w:sz w:val="22"/>
          <w:szCs w:val="22"/>
        </w:rPr>
        <w:t xml:space="preserve">; esto es, el </w:t>
      </w:r>
      <w:r w:rsidRPr="007A2AEB">
        <w:rPr>
          <w:rFonts w:ascii="Palatino Linotype" w:eastAsia="Palatino Linotype" w:hAnsi="Palatino Linotype" w:cs="Palatino Linotype"/>
          <w:b/>
          <w:bCs/>
          <w:sz w:val="22"/>
          <w:szCs w:val="22"/>
        </w:rPr>
        <w:t>mismo día</w:t>
      </w:r>
      <w:r w:rsidRPr="007A2AEB">
        <w:rPr>
          <w:rFonts w:ascii="Palatino Linotype" w:eastAsia="Palatino Linotype" w:hAnsi="Palatino Linotype" w:cs="Palatino Linotype"/>
          <w:sz w:val="22"/>
          <w:szCs w:val="22"/>
        </w:rPr>
        <w:t xml:space="preserve"> hábil que se tuvo conocimiento de la respuesta.</w:t>
      </w:r>
    </w:p>
    <w:p w14:paraId="556C0A5E" w14:textId="77777777" w:rsidR="005E5156" w:rsidRPr="007A2AEB" w:rsidRDefault="00A104FE">
      <w:pPr>
        <w:pBdr>
          <w:top w:val="nil"/>
          <w:left w:val="nil"/>
          <w:bottom w:val="nil"/>
          <w:right w:val="nil"/>
          <w:between w:val="nil"/>
        </w:pBdr>
        <w:spacing w:before="240" w:after="240" w:line="360" w:lineRule="auto"/>
        <w:jc w:val="both"/>
        <w:rPr>
          <w:rFonts w:ascii="Palatino Linotype" w:hAnsi="Palatino Linotype"/>
          <w:sz w:val="22"/>
          <w:szCs w:val="22"/>
        </w:rPr>
      </w:pPr>
      <w:bookmarkStart w:id="2" w:name="_heading=h.5praw0er9ib7" w:colFirst="0" w:colLast="0"/>
      <w:bookmarkEnd w:id="2"/>
      <w:r w:rsidRPr="007A2AEB">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2CD68C4B" w14:textId="77777777" w:rsidR="005E5156" w:rsidRPr="007A2AEB" w:rsidRDefault="00A104FE">
      <w:pPr>
        <w:pBdr>
          <w:top w:val="nil"/>
          <w:left w:val="nil"/>
          <w:bottom w:val="nil"/>
          <w:right w:val="nil"/>
          <w:between w:val="nil"/>
        </w:pBdr>
        <w:spacing w:before="120" w:after="120"/>
        <w:ind w:left="860" w:right="900"/>
        <w:jc w:val="both"/>
        <w:rPr>
          <w:rFonts w:ascii="Palatino Linotype" w:hAnsi="Palatino Linotype"/>
          <w:sz w:val="22"/>
          <w:szCs w:val="22"/>
        </w:rPr>
      </w:pPr>
      <w:r w:rsidRPr="007A2AEB">
        <w:rPr>
          <w:rFonts w:ascii="Palatino Linotype" w:eastAsia="Palatino Linotype" w:hAnsi="Palatino Linotype" w:cs="Palatino Linotype"/>
          <w:b/>
          <w:bCs/>
          <w:i/>
          <w:iCs/>
          <w:sz w:val="22"/>
          <w:szCs w:val="22"/>
        </w:rPr>
        <w:t>“RECURSO DE RECLAMACIÓN. SU INTERPOSICIÓN NO ES EXTEMPORÁNEA SI SE REALIZA ANTES DE QUE INICIE EL PLAZO PARA HACERLO</w:t>
      </w:r>
      <w:r w:rsidRPr="007A2AEB">
        <w:rPr>
          <w:rFonts w:ascii="Palatino Linotype" w:eastAsia="Palatino Linotype" w:hAnsi="Palatino Linotype" w:cs="Palatino Linotype"/>
          <w:i/>
          <w:iCs/>
          <w:sz w:val="22"/>
          <w:szCs w:val="22"/>
        </w:rPr>
        <w:t>.</w:t>
      </w:r>
    </w:p>
    <w:p w14:paraId="3DD0F269" w14:textId="77777777" w:rsidR="005E5156" w:rsidRPr="007A2AEB" w:rsidRDefault="00A104FE">
      <w:pPr>
        <w:pBdr>
          <w:top w:val="nil"/>
          <w:left w:val="nil"/>
          <w:bottom w:val="nil"/>
          <w:right w:val="nil"/>
          <w:between w:val="nil"/>
        </w:pBdr>
        <w:spacing w:before="120" w:after="120"/>
        <w:ind w:left="860" w:right="900"/>
        <w:jc w:val="both"/>
        <w:rPr>
          <w:rFonts w:ascii="Palatino Linotype" w:hAnsi="Palatino Linotype"/>
          <w:sz w:val="22"/>
          <w:szCs w:val="22"/>
        </w:rPr>
      </w:pPr>
      <w:r w:rsidRPr="007A2AEB">
        <w:rPr>
          <w:rFonts w:ascii="Palatino Linotype" w:eastAsia="Palatino Linotype" w:hAnsi="Palatino Linotype" w:cs="Palatino Linotype"/>
          <w:i/>
          <w:iCs/>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13F085D5" w14:textId="1B3863F4" w:rsidR="005E5156" w:rsidRPr="007A2AEB" w:rsidRDefault="00A104FE">
      <w:pPr>
        <w:spacing w:before="240" w:after="240" w:line="360" w:lineRule="auto"/>
        <w:ind w:right="49"/>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685E7E2" w14:textId="77777777" w:rsidR="00AE21D8" w:rsidRPr="007A2AEB" w:rsidRDefault="00AE21D8" w:rsidP="00AE21D8">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A1D844B" w14:textId="77777777" w:rsidR="00AE21D8" w:rsidRPr="007A2AEB" w:rsidRDefault="00AE21D8" w:rsidP="00AE21D8">
      <w:pPr>
        <w:ind w:left="426" w:right="701"/>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b/>
          <w:sz w:val="22"/>
          <w:szCs w:val="22"/>
        </w:rPr>
        <w:br/>
      </w:r>
      <w:r w:rsidRPr="007A2AEB">
        <w:rPr>
          <w:rFonts w:ascii="Palatino Linotype" w:eastAsia="Palatino Linotype" w:hAnsi="Palatino Linotype" w:cs="Palatino Linotype"/>
          <w:b/>
          <w:i/>
          <w:sz w:val="22"/>
          <w:szCs w:val="22"/>
        </w:rPr>
        <w:t xml:space="preserve">"Las solicitudes anónimas, </w:t>
      </w:r>
      <w:r w:rsidRPr="007A2AEB">
        <w:rPr>
          <w:rFonts w:ascii="Palatino Linotype" w:eastAsia="Palatino Linotype" w:hAnsi="Palatino Linotype" w:cs="Palatino Linotype"/>
          <w:i/>
          <w:sz w:val="22"/>
          <w:szCs w:val="22"/>
        </w:rPr>
        <w:t>con nombre incompleto o seudónimo </w:t>
      </w:r>
      <w:r w:rsidRPr="007A2AEB">
        <w:rPr>
          <w:rFonts w:ascii="Palatino Linotype" w:eastAsia="Palatino Linotype" w:hAnsi="Palatino Linotype" w:cs="Palatino Linotype"/>
          <w:b/>
          <w:i/>
          <w:sz w:val="22"/>
          <w:szCs w:val="22"/>
        </w:rPr>
        <w:t>serán procedentes para su trámite por parte del sujeto obligado ante quien se presente.</w:t>
      </w:r>
      <w:r w:rsidRPr="007A2AEB">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0D4AEE22" w14:textId="77777777" w:rsidR="005E5156" w:rsidRPr="007A2AEB" w:rsidRDefault="00A104FE">
      <w:pPr>
        <w:spacing w:before="240" w:after="240"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fracciones V de la ley de la materia, que a la letra dice:</w:t>
      </w:r>
    </w:p>
    <w:p w14:paraId="0E9E5935" w14:textId="77777777" w:rsidR="005E5156" w:rsidRPr="007A2AEB" w:rsidRDefault="00A104FE">
      <w:pPr>
        <w:spacing w:line="360" w:lineRule="auto"/>
        <w:ind w:left="851" w:right="1041"/>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w:t>
      </w:r>
      <w:r w:rsidRPr="007A2AEB">
        <w:rPr>
          <w:rFonts w:ascii="Palatino Linotype" w:eastAsia="Palatino Linotype" w:hAnsi="Palatino Linotype" w:cs="Palatino Linotype"/>
          <w:b/>
          <w:bCs/>
          <w:i/>
          <w:iCs/>
          <w:sz w:val="22"/>
          <w:szCs w:val="22"/>
        </w:rPr>
        <w:t xml:space="preserve">Artículo 179. </w:t>
      </w:r>
      <w:r w:rsidRPr="007A2AEB">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14:paraId="6BD10B56" w14:textId="77777777" w:rsidR="005E5156" w:rsidRPr="007A2AEB" w:rsidRDefault="00A104FE">
      <w:pPr>
        <w:spacing w:line="360" w:lineRule="auto"/>
        <w:ind w:left="851" w:right="1041"/>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w:t>
      </w:r>
    </w:p>
    <w:p w14:paraId="4DACCE37" w14:textId="77777777" w:rsidR="005E5156" w:rsidRPr="007A2AEB" w:rsidRDefault="00A104FE">
      <w:pPr>
        <w:spacing w:line="360" w:lineRule="auto"/>
        <w:ind w:left="851" w:right="1041"/>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V. La entrega de información incompleta;</w:t>
      </w:r>
    </w:p>
    <w:p w14:paraId="796FE413" w14:textId="77777777" w:rsidR="005E5156" w:rsidRPr="007A2AEB" w:rsidRDefault="00A104FE">
      <w:pPr>
        <w:spacing w:line="360" w:lineRule="auto"/>
        <w:ind w:left="851" w:right="1041"/>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w:t>
      </w:r>
    </w:p>
    <w:p w14:paraId="548DB3C6" w14:textId="77777777" w:rsidR="005E5156" w:rsidRPr="007A2AEB" w:rsidRDefault="00A104FE">
      <w:pPr>
        <w:spacing w:before="240" w:after="240"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b/>
          <w:bCs/>
          <w:sz w:val="22"/>
          <w:szCs w:val="22"/>
        </w:rPr>
        <w:t xml:space="preserve">Tercero. Materia de la revisión. </w:t>
      </w:r>
      <w:r w:rsidRPr="007A2AEB">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7A2AEB">
        <w:rPr>
          <w:rFonts w:ascii="Palatino Linotype" w:eastAsia="Palatino Linotype" w:hAnsi="Palatino Linotype" w:cs="Palatino Linotype"/>
          <w:b/>
          <w:bCs/>
          <w:sz w:val="22"/>
          <w:szCs w:val="22"/>
        </w:rPr>
        <w:t xml:space="preserve">verificar si la respuesta otorgada por el Sujeto Obligado es adecuada y suficiente para satisfacer el derecho de acceso a la información pública </w:t>
      </w:r>
      <w:r w:rsidRPr="007A2AEB">
        <w:rPr>
          <w:rFonts w:ascii="Palatino Linotype" w:eastAsia="Palatino Linotype" w:hAnsi="Palatino Linotype" w:cs="Palatino Linotype"/>
          <w:sz w:val="22"/>
          <w:szCs w:val="22"/>
        </w:rPr>
        <w:t xml:space="preserve">de la parte </w:t>
      </w:r>
      <w:r w:rsidRPr="007A2AEB">
        <w:rPr>
          <w:rFonts w:ascii="Palatino Linotype" w:eastAsia="Palatino Linotype" w:hAnsi="Palatino Linotype" w:cs="Palatino Linotype"/>
          <w:b/>
          <w:bCs/>
          <w:sz w:val="22"/>
          <w:szCs w:val="22"/>
        </w:rPr>
        <w:t>Recurrente</w:t>
      </w:r>
      <w:r w:rsidRPr="007A2AEB">
        <w:rPr>
          <w:rFonts w:ascii="Palatino Linotype" w:eastAsia="Palatino Linotype" w:hAnsi="Palatino Linotype" w:cs="Palatino Linotype"/>
          <w:sz w:val="22"/>
          <w:szCs w:val="22"/>
        </w:rPr>
        <w:t>, o en su defecto, en caso de ser procedente, ordenar la entrega de información.</w:t>
      </w:r>
    </w:p>
    <w:p w14:paraId="5B368AF8" w14:textId="77777777" w:rsidR="005E5156" w:rsidRPr="007A2AEB" w:rsidRDefault="00A104FE">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b/>
          <w:bCs/>
          <w:sz w:val="22"/>
          <w:szCs w:val="22"/>
        </w:rPr>
        <w:t xml:space="preserve">Cuarto. Estudio del asunto. </w:t>
      </w:r>
      <w:r w:rsidRPr="007A2AEB">
        <w:rPr>
          <w:rFonts w:ascii="Palatino Linotype" w:eastAsia="Palatino Linotype" w:hAnsi="Palatino Linotype" w:cs="Palatino Linotype"/>
          <w:sz w:val="22"/>
          <w:szCs w:val="22"/>
        </w:rPr>
        <w:t xml:space="preserve">En principio, es conveniente analizar si la respuesta del </w:t>
      </w:r>
      <w:r w:rsidRPr="007A2AEB">
        <w:rPr>
          <w:rFonts w:ascii="Palatino Linotype" w:eastAsia="Palatino Linotype" w:hAnsi="Palatino Linotype" w:cs="Palatino Linotype"/>
          <w:b/>
          <w:bCs/>
          <w:sz w:val="22"/>
          <w:szCs w:val="22"/>
        </w:rPr>
        <w:t>SUJETO OBLIGADO</w:t>
      </w:r>
      <w:r w:rsidRPr="007A2AEB">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67E3657" w14:textId="77777777" w:rsidR="005E5156" w:rsidRPr="007A2AEB" w:rsidRDefault="005E5156">
      <w:pPr>
        <w:spacing w:line="360" w:lineRule="auto"/>
        <w:jc w:val="both"/>
        <w:rPr>
          <w:rFonts w:ascii="Palatino Linotype" w:eastAsia="Palatino Linotype" w:hAnsi="Palatino Linotype" w:cs="Palatino Linotype"/>
          <w:sz w:val="22"/>
          <w:szCs w:val="22"/>
        </w:rPr>
      </w:pPr>
    </w:p>
    <w:p w14:paraId="42F7972D" w14:textId="77777777" w:rsidR="005E5156" w:rsidRPr="007A2AEB" w:rsidRDefault="00A104FE">
      <w:pPr>
        <w:ind w:left="567" w:right="616"/>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w:t>
      </w:r>
      <w:r w:rsidRPr="007A2AEB">
        <w:rPr>
          <w:rFonts w:ascii="Palatino Linotype" w:eastAsia="Palatino Linotype" w:hAnsi="Palatino Linotype" w:cs="Palatino Linotype"/>
          <w:b/>
          <w:bCs/>
          <w:i/>
          <w:iCs/>
          <w:sz w:val="22"/>
          <w:szCs w:val="22"/>
        </w:rPr>
        <w:t>Artículo 4</w:t>
      </w:r>
      <w:r w:rsidRPr="007A2AEB">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F6F5E95" w14:textId="77777777" w:rsidR="005E5156" w:rsidRPr="007A2AEB" w:rsidRDefault="00A104FE">
      <w:pPr>
        <w:ind w:left="567" w:right="616"/>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7A2AEB">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E8C4DAC" w14:textId="77777777" w:rsidR="005E5156" w:rsidRPr="007A2AEB" w:rsidRDefault="00A104FE">
      <w:pPr>
        <w:ind w:left="567" w:right="616"/>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7A2AEB">
        <w:rPr>
          <w:rFonts w:ascii="Palatino Linotype" w:eastAsia="Palatino Linotype" w:hAnsi="Palatino Linotype" w:cs="Palatino Linotype"/>
          <w:i/>
          <w:iCs/>
          <w:sz w:val="22"/>
          <w:szCs w:val="22"/>
        </w:rPr>
        <w:t>.”</w:t>
      </w:r>
    </w:p>
    <w:p w14:paraId="478CADA1" w14:textId="77777777" w:rsidR="005E5156" w:rsidRPr="007A2AEB" w:rsidRDefault="005E5156">
      <w:pPr>
        <w:spacing w:line="360" w:lineRule="auto"/>
        <w:jc w:val="both"/>
        <w:rPr>
          <w:rFonts w:ascii="Palatino Linotype" w:eastAsia="Palatino Linotype" w:hAnsi="Palatino Linotype" w:cs="Palatino Linotype"/>
          <w:sz w:val="22"/>
          <w:szCs w:val="22"/>
        </w:rPr>
      </w:pPr>
    </w:p>
    <w:p w14:paraId="7AEDD3C6" w14:textId="77777777" w:rsidR="005E5156" w:rsidRPr="007A2AEB" w:rsidRDefault="00A104FE">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0E24E6A" w14:textId="77777777" w:rsidR="005E5156" w:rsidRPr="007A2AEB" w:rsidRDefault="005E5156">
      <w:pPr>
        <w:spacing w:line="360" w:lineRule="auto"/>
        <w:jc w:val="both"/>
        <w:rPr>
          <w:rFonts w:ascii="Palatino Linotype" w:eastAsia="Palatino Linotype" w:hAnsi="Palatino Linotype" w:cs="Palatino Linotype"/>
          <w:sz w:val="22"/>
          <w:szCs w:val="22"/>
        </w:rPr>
      </w:pPr>
    </w:p>
    <w:p w14:paraId="54E6F92C" w14:textId="77777777" w:rsidR="005E5156" w:rsidRPr="007A2AEB" w:rsidRDefault="00A104FE">
      <w:pPr>
        <w:spacing w:line="276" w:lineRule="auto"/>
        <w:ind w:left="567" w:right="616"/>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b/>
          <w:bCs/>
          <w:i/>
          <w:iCs/>
          <w:sz w:val="22"/>
          <w:szCs w:val="22"/>
        </w:rPr>
        <w:t>“Artículo 12.-</w:t>
      </w:r>
      <w:r w:rsidRPr="007A2AEB">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3BF1DD75" w14:textId="77777777" w:rsidR="005E5156" w:rsidRPr="007A2AEB" w:rsidRDefault="005E5156">
      <w:pPr>
        <w:spacing w:line="276" w:lineRule="auto"/>
        <w:ind w:left="567" w:right="616"/>
        <w:jc w:val="both"/>
        <w:rPr>
          <w:rFonts w:ascii="Palatino Linotype" w:eastAsia="Palatino Linotype" w:hAnsi="Palatino Linotype" w:cs="Palatino Linotype"/>
          <w:i/>
          <w:iCs/>
          <w:sz w:val="22"/>
          <w:szCs w:val="22"/>
        </w:rPr>
      </w:pPr>
    </w:p>
    <w:p w14:paraId="48C9AE7D" w14:textId="77777777" w:rsidR="005E5156" w:rsidRPr="007A2AEB" w:rsidRDefault="00A104FE">
      <w:pPr>
        <w:spacing w:line="276" w:lineRule="auto"/>
        <w:ind w:left="567" w:right="616"/>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7A2AEB">
        <w:rPr>
          <w:rFonts w:ascii="Palatino Linotype" w:eastAsia="Palatino Linotype" w:hAnsi="Palatino Linotype" w:cs="Palatino Linotype"/>
          <w:i/>
          <w:iCs/>
          <w:sz w:val="22"/>
          <w:szCs w:val="22"/>
        </w:rPr>
        <w:t xml:space="preserve">. </w:t>
      </w:r>
      <w:r w:rsidRPr="007A2AEB">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7C37DB35" w14:textId="77777777" w:rsidR="005E5156" w:rsidRPr="007A2AEB" w:rsidRDefault="005E5156">
      <w:pPr>
        <w:spacing w:line="360" w:lineRule="auto"/>
        <w:ind w:right="-93"/>
        <w:jc w:val="both"/>
        <w:rPr>
          <w:rFonts w:ascii="Palatino Linotype" w:eastAsia="Palatino Linotype" w:hAnsi="Palatino Linotype" w:cs="Palatino Linotype"/>
          <w:sz w:val="22"/>
          <w:szCs w:val="22"/>
        </w:rPr>
      </w:pPr>
    </w:p>
    <w:p w14:paraId="05E16C61" w14:textId="77777777" w:rsidR="005E5156" w:rsidRPr="007A2AEB" w:rsidRDefault="00A104FE">
      <w:pPr>
        <w:spacing w:line="360" w:lineRule="auto"/>
        <w:ind w:right="-93"/>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34077CE9" w14:textId="77777777" w:rsidR="005E5156" w:rsidRPr="007A2AEB" w:rsidRDefault="005E5156">
      <w:pPr>
        <w:spacing w:line="360" w:lineRule="auto"/>
        <w:ind w:right="-93"/>
        <w:jc w:val="both"/>
        <w:rPr>
          <w:rFonts w:ascii="Palatino Linotype" w:eastAsia="Palatino Linotype" w:hAnsi="Palatino Linotype" w:cs="Palatino Linotype"/>
          <w:sz w:val="22"/>
          <w:szCs w:val="22"/>
        </w:rPr>
      </w:pPr>
    </w:p>
    <w:p w14:paraId="1E4FCEEA" w14:textId="77777777" w:rsidR="005E5156" w:rsidRPr="007A2AEB" w:rsidRDefault="00A104FE">
      <w:pPr>
        <w:spacing w:line="360" w:lineRule="auto"/>
        <w:ind w:right="-93"/>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7A2AEB">
        <w:rPr>
          <w:rFonts w:ascii="Palatino Linotype" w:eastAsia="Palatino Linotype" w:hAnsi="Palatino Linotype" w:cs="Palatino Linotype"/>
          <w:b/>
          <w:bCs/>
          <w:sz w:val="22"/>
          <w:szCs w:val="22"/>
        </w:rPr>
        <w:t xml:space="preserve"> </w:t>
      </w:r>
    </w:p>
    <w:p w14:paraId="76C1996E" w14:textId="77777777" w:rsidR="005E5156" w:rsidRPr="007A2AEB" w:rsidRDefault="005E5156">
      <w:pPr>
        <w:spacing w:line="360" w:lineRule="auto"/>
        <w:jc w:val="both"/>
        <w:rPr>
          <w:rFonts w:ascii="Palatino Linotype" w:eastAsia="Palatino Linotype" w:hAnsi="Palatino Linotype" w:cs="Palatino Linotype"/>
          <w:b/>
          <w:bCs/>
          <w:sz w:val="22"/>
          <w:szCs w:val="22"/>
        </w:rPr>
      </w:pPr>
    </w:p>
    <w:p w14:paraId="7C281A87" w14:textId="77777777" w:rsidR="005E5156" w:rsidRPr="007A2AEB" w:rsidRDefault="00A104FE">
      <w:pPr>
        <w:spacing w:line="276" w:lineRule="auto"/>
        <w:ind w:left="567" w:right="616"/>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w:t>
      </w:r>
      <w:r w:rsidRPr="007A2AEB">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7A2AEB">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98E99C4" w14:textId="77777777" w:rsidR="005E5156" w:rsidRPr="007A2AEB" w:rsidRDefault="005E5156">
      <w:pPr>
        <w:spacing w:line="360" w:lineRule="auto"/>
        <w:ind w:right="-93"/>
        <w:jc w:val="both"/>
        <w:rPr>
          <w:rFonts w:ascii="Palatino Linotype" w:eastAsia="Palatino Linotype" w:hAnsi="Palatino Linotype" w:cs="Palatino Linotype"/>
          <w:sz w:val="22"/>
          <w:szCs w:val="22"/>
        </w:rPr>
      </w:pPr>
    </w:p>
    <w:p w14:paraId="5EADBD42" w14:textId="77777777" w:rsidR="005E5156" w:rsidRPr="007A2AEB" w:rsidRDefault="00A104FE">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A426AA3" w14:textId="77777777" w:rsidR="005E5156" w:rsidRPr="007A2AEB" w:rsidRDefault="005E5156">
      <w:pPr>
        <w:spacing w:line="360" w:lineRule="auto"/>
        <w:jc w:val="both"/>
        <w:rPr>
          <w:rFonts w:ascii="Palatino Linotype" w:eastAsia="Palatino Linotype" w:hAnsi="Palatino Linotype" w:cs="Palatino Linotype"/>
          <w:sz w:val="22"/>
          <w:szCs w:val="22"/>
        </w:rPr>
      </w:pPr>
    </w:p>
    <w:p w14:paraId="7101CB00" w14:textId="77777777" w:rsidR="005E5156" w:rsidRPr="007A2AEB" w:rsidRDefault="00A104FE">
      <w:pPr>
        <w:spacing w:line="360" w:lineRule="auto"/>
        <w:ind w:right="49"/>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CD5AC65" w14:textId="77777777" w:rsidR="005E5156" w:rsidRPr="007A2AEB" w:rsidRDefault="005E5156">
      <w:pPr>
        <w:spacing w:line="360" w:lineRule="auto"/>
        <w:ind w:right="49"/>
        <w:jc w:val="both"/>
        <w:rPr>
          <w:rFonts w:ascii="Palatino Linotype" w:eastAsia="Palatino Linotype" w:hAnsi="Palatino Linotype" w:cs="Palatino Linotype"/>
          <w:sz w:val="22"/>
          <w:szCs w:val="22"/>
        </w:rPr>
      </w:pPr>
    </w:p>
    <w:p w14:paraId="5C438006" w14:textId="77777777" w:rsidR="005E5156" w:rsidRPr="007A2AEB" w:rsidRDefault="00A104FE">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4933E39" w14:textId="77777777" w:rsidR="005E5156" w:rsidRPr="007A2AEB" w:rsidRDefault="005E5156">
      <w:pPr>
        <w:spacing w:line="360" w:lineRule="auto"/>
        <w:ind w:left="567" w:right="616"/>
        <w:jc w:val="both"/>
        <w:rPr>
          <w:rFonts w:ascii="Palatino Linotype" w:eastAsia="Palatino Linotype" w:hAnsi="Palatino Linotype" w:cs="Palatino Linotype"/>
          <w:i/>
          <w:iCs/>
          <w:sz w:val="22"/>
          <w:szCs w:val="22"/>
        </w:rPr>
      </w:pPr>
    </w:p>
    <w:p w14:paraId="3FC6D498" w14:textId="77777777" w:rsidR="005E5156" w:rsidRPr="007A2AEB" w:rsidRDefault="00A104FE">
      <w:pPr>
        <w:spacing w:line="276" w:lineRule="auto"/>
        <w:ind w:left="567" w:right="616"/>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w:t>
      </w:r>
      <w:r w:rsidRPr="007A2AEB">
        <w:rPr>
          <w:rFonts w:ascii="Palatino Linotype" w:eastAsia="Palatino Linotype" w:hAnsi="Palatino Linotype" w:cs="Palatino Linotype"/>
          <w:b/>
          <w:bCs/>
          <w:i/>
          <w:iCs/>
          <w:sz w:val="22"/>
          <w:szCs w:val="22"/>
        </w:rPr>
        <w:t xml:space="preserve">Artículo 3. </w:t>
      </w:r>
      <w:r w:rsidRPr="007A2AEB">
        <w:rPr>
          <w:rFonts w:ascii="Palatino Linotype" w:eastAsia="Palatino Linotype" w:hAnsi="Palatino Linotype" w:cs="Palatino Linotype"/>
          <w:i/>
          <w:iCs/>
          <w:sz w:val="22"/>
          <w:szCs w:val="22"/>
        </w:rPr>
        <w:t>Para los efectos de la presente Ley se entenderá por:</w:t>
      </w:r>
    </w:p>
    <w:p w14:paraId="49D6946C" w14:textId="77777777" w:rsidR="005E5156" w:rsidRPr="007A2AEB" w:rsidRDefault="00A104FE">
      <w:pPr>
        <w:spacing w:line="276" w:lineRule="auto"/>
        <w:ind w:left="567" w:right="616"/>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w:t>
      </w:r>
    </w:p>
    <w:p w14:paraId="4808DED5" w14:textId="77777777" w:rsidR="005E5156" w:rsidRPr="007A2AEB" w:rsidRDefault="00A104FE">
      <w:pPr>
        <w:spacing w:line="276" w:lineRule="auto"/>
        <w:ind w:left="567" w:right="616"/>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b/>
          <w:bCs/>
          <w:i/>
          <w:iCs/>
          <w:sz w:val="22"/>
          <w:szCs w:val="22"/>
        </w:rPr>
        <w:t>XI. Documento:</w:t>
      </w:r>
      <w:r w:rsidRPr="007A2AEB">
        <w:rPr>
          <w:rFonts w:ascii="Palatino Linotype" w:eastAsia="Palatino Linotype" w:hAnsi="Palatino Linotype" w:cs="Palatino Linotype"/>
          <w:i/>
          <w:iCs/>
          <w:sz w:val="22"/>
          <w:szCs w:val="22"/>
        </w:rPr>
        <w:t xml:space="preserve"> Los expedientes, reportes, estudios, actas</w:t>
      </w:r>
      <w:r w:rsidRPr="007A2AEB">
        <w:rPr>
          <w:rFonts w:ascii="Palatino Linotype" w:eastAsia="Palatino Linotype" w:hAnsi="Palatino Linotype" w:cs="Palatino Linotype"/>
          <w:b/>
          <w:bCs/>
          <w:i/>
          <w:iCs/>
          <w:sz w:val="22"/>
          <w:szCs w:val="22"/>
        </w:rPr>
        <w:t>,</w:t>
      </w:r>
      <w:r w:rsidRPr="007A2AEB">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75964ED" w14:textId="77777777" w:rsidR="005E5156" w:rsidRPr="007A2AEB" w:rsidRDefault="005E5156">
      <w:pPr>
        <w:spacing w:line="360" w:lineRule="auto"/>
        <w:ind w:left="851" w:right="899"/>
        <w:jc w:val="both"/>
        <w:rPr>
          <w:rFonts w:ascii="Palatino Linotype" w:eastAsia="Palatino Linotype" w:hAnsi="Palatino Linotype" w:cs="Palatino Linotype"/>
          <w:sz w:val="22"/>
          <w:szCs w:val="22"/>
        </w:rPr>
      </w:pPr>
    </w:p>
    <w:p w14:paraId="5B819FE1" w14:textId="77777777" w:rsidR="005E5156" w:rsidRPr="007A2AEB" w:rsidRDefault="00A104FE">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6DF5508" w14:textId="77777777" w:rsidR="005E5156" w:rsidRPr="007A2AEB" w:rsidRDefault="005E5156">
      <w:pPr>
        <w:spacing w:line="360" w:lineRule="auto"/>
        <w:jc w:val="both"/>
        <w:rPr>
          <w:rFonts w:ascii="Palatino Linotype" w:eastAsia="Palatino Linotype" w:hAnsi="Palatino Linotype" w:cs="Palatino Linotype"/>
          <w:sz w:val="22"/>
          <w:szCs w:val="22"/>
        </w:rPr>
      </w:pPr>
    </w:p>
    <w:p w14:paraId="10CDC2AA" w14:textId="77777777" w:rsidR="005E5156" w:rsidRPr="007A2AEB" w:rsidRDefault="00A104FE">
      <w:pPr>
        <w:spacing w:line="276" w:lineRule="auto"/>
        <w:ind w:left="567" w:right="616"/>
        <w:jc w:val="both"/>
        <w:rPr>
          <w:rFonts w:ascii="Palatino Linotype" w:eastAsia="Palatino Linotype" w:hAnsi="Palatino Linotype" w:cs="Palatino Linotype"/>
          <w:b/>
          <w:bCs/>
          <w:i/>
          <w:iCs/>
          <w:sz w:val="22"/>
          <w:szCs w:val="22"/>
        </w:rPr>
      </w:pPr>
      <w:r w:rsidRPr="007A2AEB">
        <w:rPr>
          <w:rFonts w:ascii="Palatino Linotype" w:eastAsia="Palatino Linotype" w:hAnsi="Palatino Linotype" w:cs="Palatino Linotype"/>
          <w:b/>
          <w:bCs/>
          <w:sz w:val="22"/>
          <w:szCs w:val="22"/>
        </w:rPr>
        <w:t>“</w:t>
      </w:r>
      <w:r w:rsidRPr="007A2AEB">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7A2AEB">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0B1B46C" w14:textId="77777777" w:rsidR="005E5156" w:rsidRPr="007A2AEB" w:rsidRDefault="00A104FE">
      <w:pPr>
        <w:spacing w:line="276" w:lineRule="auto"/>
        <w:ind w:left="567" w:right="616"/>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7C6363B4" w14:textId="77777777" w:rsidR="005E5156" w:rsidRPr="007A2AEB" w:rsidRDefault="00A104FE">
      <w:pPr>
        <w:spacing w:line="276" w:lineRule="auto"/>
        <w:ind w:left="567" w:right="616"/>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0BF4F3BE" w14:textId="77777777" w:rsidR="005E5156" w:rsidRPr="007A2AEB" w:rsidRDefault="00A104FE">
      <w:pPr>
        <w:spacing w:line="276" w:lineRule="auto"/>
        <w:ind w:left="567" w:right="616"/>
        <w:jc w:val="both"/>
        <w:rPr>
          <w:rFonts w:ascii="Palatino Linotype" w:eastAsia="Palatino Linotype" w:hAnsi="Palatino Linotype" w:cs="Palatino Linotype"/>
          <w:b/>
          <w:bCs/>
          <w:i/>
          <w:iCs/>
          <w:sz w:val="22"/>
          <w:szCs w:val="22"/>
        </w:rPr>
      </w:pPr>
      <w:r w:rsidRPr="007A2AEB">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14:paraId="4F378389" w14:textId="77777777" w:rsidR="005E5156" w:rsidRPr="007A2AEB" w:rsidRDefault="00A104FE">
      <w:pPr>
        <w:spacing w:line="276" w:lineRule="auto"/>
        <w:ind w:left="567" w:right="616"/>
        <w:jc w:val="both"/>
        <w:rPr>
          <w:rFonts w:ascii="Palatino Linotype" w:eastAsia="Palatino Linotype" w:hAnsi="Palatino Linotype" w:cs="Palatino Linotype"/>
          <w:b/>
          <w:bCs/>
          <w:i/>
          <w:iCs/>
          <w:sz w:val="22"/>
          <w:szCs w:val="22"/>
        </w:rPr>
      </w:pPr>
      <w:r w:rsidRPr="007A2AEB">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14:paraId="1FBDEB80" w14:textId="77777777" w:rsidR="005E5156" w:rsidRPr="007A2AEB" w:rsidRDefault="005E5156">
      <w:pPr>
        <w:tabs>
          <w:tab w:val="left" w:pos="8647"/>
        </w:tabs>
        <w:spacing w:line="360" w:lineRule="auto"/>
        <w:jc w:val="both"/>
        <w:rPr>
          <w:rFonts w:ascii="Palatino Linotype" w:eastAsia="Palatino Linotype" w:hAnsi="Palatino Linotype" w:cs="Palatino Linotype"/>
          <w:b/>
          <w:bCs/>
          <w:sz w:val="22"/>
          <w:szCs w:val="22"/>
        </w:rPr>
      </w:pPr>
    </w:p>
    <w:p w14:paraId="540040FA" w14:textId="2B73DFD5" w:rsidR="005E5156" w:rsidRPr="007A2AEB" w:rsidRDefault="00A104FE">
      <w:pPr>
        <w:spacing w:after="240" w:line="360" w:lineRule="auto"/>
        <w:jc w:val="both"/>
        <w:rPr>
          <w:rFonts w:ascii="Palatino Linotype" w:eastAsia="Palatino Linotype" w:hAnsi="Palatino Linotype" w:cs="Palatino Linotype"/>
          <w:b/>
          <w:bCs/>
          <w:sz w:val="22"/>
          <w:szCs w:val="22"/>
        </w:rPr>
      </w:pPr>
      <w:r w:rsidRPr="007A2AEB">
        <w:rPr>
          <w:rFonts w:ascii="Palatino Linotype" w:eastAsia="Palatino Linotype" w:hAnsi="Palatino Linotype" w:cs="Palatino Linotype"/>
          <w:sz w:val="22"/>
          <w:szCs w:val="22"/>
        </w:rPr>
        <w:t xml:space="preserve">Del análisis de la solicitud de información motivo del recurso de revisión que ahora se resuelve, se tiene que el Recurrente solicitó a la </w:t>
      </w:r>
      <w:r w:rsidR="00622697" w:rsidRPr="007A2AEB">
        <w:rPr>
          <w:rFonts w:ascii="Palatino Linotype" w:eastAsia="Palatino Linotype" w:hAnsi="Palatino Linotype" w:cs="Palatino Linotype"/>
          <w:b/>
          <w:bCs/>
          <w:sz w:val="22"/>
          <w:szCs w:val="22"/>
        </w:rPr>
        <w:t>fiscalía general</w:t>
      </w:r>
      <w:r w:rsidRPr="007A2AEB">
        <w:rPr>
          <w:rFonts w:ascii="Palatino Linotype" w:eastAsia="Palatino Linotype" w:hAnsi="Palatino Linotype" w:cs="Palatino Linotype"/>
          <w:b/>
          <w:bCs/>
          <w:sz w:val="22"/>
          <w:szCs w:val="22"/>
        </w:rPr>
        <w:t xml:space="preserve"> de Justicia del Estado de México, lo siguiente:</w:t>
      </w:r>
    </w:p>
    <w:p w14:paraId="28C9887E" w14:textId="77777777" w:rsidR="005E5156" w:rsidRPr="007A2AEB" w:rsidRDefault="00A104FE">
      <w:pPr>
        <w:numPr>
          <w:ilvl w:val="0"/>
          <w:numId w:val="8"/>
        </w:numPr>
        <w:pBdr>
          <w:top w:val="nil"/>
          <w:left w:val="nil"/>
          <w:bottom w:val="nil"/>
          <w:right w:val="nil"/>
          <w:between w:val="nil"/>
        </w:pBdr>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Favor de indicar la fecha de publicación del DECRETO, Acuerdo, Acta o documento legal por medio del cual se creó la fiscalía especializada en materia de investigación de los delitos en materia de personas desaparecidas. De ser posible, anexar el referido documento, o en su defecto el enlace de consulta.</w:t>
      </w:r>
    </w:p>
    <w:p w14:paraId="56862329" w14:textId="77777777" w:rsidR="005E5156" w:rsidRPr="007A2AEB" w:rsidRDefault="005E5156">
      <w:pPr>
        <w:pBdr>
          <w:top w:val="nil"/>
          <w:left w:val="nil"/>
          <w:bottom w:val="nil"/>
          <w:right w:val="nil"/>
          <w:between w:val="nil"/>
        </w:pBdr>
        <w:ind w:left="720"/>
        <w:jc w:val="both"/>
        <w:rPr>
          <w:rFonts w:ascii="Palatino Linotype" w:eastAsia="Palatino Linotype" w:hAnsi="Palatino Linotype" w:cs="Palatino Linotype"/>
          <w:i/>
          <w:iCs/>
          <w:sz w:val="22"/>
          <w:szCs w:val="22"/>
        </w:rPr>
      </w:pPr>
    </w:p>
    <w:p w14:paraId="72FFD07B" w14:textId="77777777" w:rsidR="005E5156" w:rsidRPr="007A2AEB" w:rsidRDefault="00A104FE">
      <w:pPr>
        <w:numPr>
          <w:ilvl w:val="0"/>
          <w:numId w:val="8"/>
        </w:numPr>
        <w:pBdr>
          <w:top w:val="nil"/>
          <w:left w:val="nil"/>
          <w:bottom w:val="nil"/>
          <w:right w:val="nil"/>
          <w:between w:val="nil"/>
        </w:pBdr>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Indicar el proceso de designación de la persona titular de la fiscalía especializada en materia de investigación de los delitos en materia de personas desaparecidas, así como los procesos de designación que se han realizado entre el 17 de noviembre de 2017 al 30 de septiembre de 2024. De ser posible, anexar el CV de las personas designadas como titulares de la fiscalía especializada en materia de investigación de los delitos en materia de personas desaparecidas.</w:t>
      </w:r>
    </w:p>
    <w:p w14:paraId="5AEDF0CC" w14:textId="77777777" w:rsidR="005E5156" w:rsidRPr="007A2AEB" w:rsidRDefault="005E5156">
      <w:pPr>
        <w:pBdr>
          <w:top w:val="nil"/>
          <w:left w:val="nil"/>
          <w:bottom w:val="nil"/>
          <w:right w:val="nil"/>
          <w:between w:val="nil"/>
        </w:pBdr>
        <w:ind w:left="720"/>
        <w:rPr>
          <w:rFonts w:ascii="Palatino Linotype" w:eastAsia="Palatino Linotype" w:hAnsi="Palatino Linotype" w:cs="Palatino Linotype"/>
          <w:i/>
          <w:iCs/>
          <w:sz w:val="22"/>
          <w:szCs w:val="22"/>
        </w:rPr>
      </w:pPr>
    </w:p>
    <w:p w14:paraId="753BB486" w14:textId="77777777" w:rsidR="005E5156" w:rsidRPr="007A2AEB" w:rsidRDefault="00A104FE">
      <w:pPr>
        <w:numPr>
          <w:ilvl w:val="0"/>
          <w:numId w:val="8"/>
        </w:numPr>
        <w:pBdr>
          <w:top w:val="nil"/>
          <w:left w:val="nil"/>
          <w:bottom w:val="nil"/>
          <w:right w:val="nil"/>
          <w:between w:val="nil"/>
        </w:pBdr>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Indicar si la fiscalía especializada en materia de investigación de los delitos en materia de personas desaparecidas, o la fiscalía y/o procuraduría a la que se encuentra adscrita, ha celebrado convenios de colaboración y/o coordinación interinstitucional. En caso afirmativo, señalar la fecha y autoridad con la que se han realizado los convenios referidos. De ser posible anexar copia simple de los convenios celebrados o en su caso, la liga de consulta.</w:t>
      </w:r>
    </w:p>
    <w:p w14:paraId="0E896089" w14:textId="77777777" w:rsidR="005E5156" w:rsidRPr="007A2AEB" w:rsidRDefault="005E5156">
      <w:pPr>
        <w:pBdr>
          <w:top w:val="nil"/>
          <w:left w:val="nil"/>
          <w:bottom w:val="nil"/>
          <w:right w:val="nil"/>
          <w:between w:val="nil"/>
        </w:pBdr>
        <w:ind w:left="720"/>
        <w:rPr>
          <w:rFonts w:ascii="Palatino Linotype" w:eastAsia="Palatino Linotype" w:hAnsi="Palatino Linotype" w:cs="Palatino Linotype"/>
          <w:i/>
          <w:iCs/>
          <w:sz w:val="22"/>
          <w:szCs w:val="22"/>
        </w:rPr>
      </w:pPr>
    </w:p>
    <w:p w14:paraId="474911F4" w14:textId="77777777" w:rsidR="005E5156" w:rsidRPr="007A2AEB" w:rsidRDefault="00A104FE">
      <w:pPr>
        <w:numPr>
          <w:ilvl w:val="0"/>
          <w:numId w:val="8"/>
        </w:numPr>
        <w:pBdr>
          <w:top w:val="nil"/>
          <w:left w:val="nil"/>
          <w:bottom w:val="nil"/>
          <w:right w:val="nil"/>
          <w:between w:val="nil"/>
        </w:pBdr>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Respecto al presupuesto asignado a la fiscalía especializada en materia de investigación de los delitos en materia de personas desaparecidas, desde su creación y hasta el 30 de septiembre de 2024, indicar cuál es el monto asignado desagregado por año, considerando el monto solicitado, y el monto ejercido. De ser posible, anexar los documentos soporte o en su caso, la liga de consulta.</w:t>
      </w:r>
    </w:p>
    <w:p w14:paraId="5942A198" w14:textId="77777777" w:rsidR="005E5156" w:rsidRPr="007A2AEB" w:rsidRDefault="005E5156">
      <w:pPr>
        <w:pBdr>
          <w:top w:val="nil"/>
          <w:left w:val="nil"/>
          <w:bottom w:val="nil"/>
          <w:right w:val="nil"/>
          <w:between w:val="nil"/>
        </w:pBdr>
        <w:ind w:left="720"/>
        <w:rPr>
          <w:rFonts w:ascii="Palatino Linotype" w:eastAsia="Palatino Linotype" w:hAnsi="Palatino Linotype" w:cs="Palatino Linotype"/>
          <w:i/>
          <w:iCs/>
          <w:sz w:val="22"/>
          <w:szCs w:val="22"/>
        </w:rPr>
      </w:pPr>
    </w:p>
    <w:p w14:paraId="6C3E29E5" w14:textId="77777777" w:rsidR="005E5156" w:rsidRPr="007A2AEB" w:rsidRDefault="00A104FE">
      <w:pPr>
        <w:numPr>
          <w:ilvl w:val="0"/>
          <w:numId w:val="8"/>
        </w:numPr>
        <w:pBdr>
          <w:top w:val="nil"/>
          <w:left w:val="nil"/>
          <w:bottom w:val="nil"/>
          <w:right w:val="nil"/>
          <w:between w:val="nil"/>
        </w:pBdr>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¿La fiscalía especializada en materia de investigación de los delitos en materia de personas desaparecidas cuenta con acceso o posibilidad de uso de centros de resguardo temporal para restos óseos en el período comprendido entre el 17 de noviembre de 2017 y el 30 de septiembre de 2024? En caso afirmativo indicar cuántos centros existen en el estado y de ser posible, anexar el documento soporte de su operación o en su caso, la liga de consulta.</w:t>
      </w:r>
    </w:p>
    <w:p w14:paraId="27DA22B0" w14:textId="77777777" w:rsidR="005E5156" w:rsidRPr="007A2AEB" w:rsidRDefault="005E5156">
      <w:pPr>
        <w:pBdr>
          <w:top w:val="nil"/>
          <w:left w:val="nil"/>
          <w:bottom w:val="nil"/>
          <w:right w:val="nil"/>
          <w:between w:val="nil"/>
        </w:pBdr>
        <w:ind w:left="720"/>
        <w:rPr>
          <w:rFonts w:ascii="Palatino Linotype" w:eastAsia="Palatino Linotype" w:hAnsi="Palatino Linotype" w:cs="Palatino Linotype"/>
          <w:i/>
          <w:iCs/>
          <w:sz w:val="22"/>
          <w:szCs w:val="22"/>
        </w:rPr>
      </w:pPr>
    </w:p>
    <w:p w14:paraId="7671945F" w14:textId="77777777" w:rsidR="005E5156" w:rsidRPr="007A2AEB" w:rsidRDefault="00A104FE">
      <w:pPr>
        <w:numPr>
          <w:ilvl w:val="0"/>
          <w:numId w:val="8"/>
        </w:numPr>
        <w:pBdr>
          <w:top w:val="nil"/>
          <w:left w:val="nil"/>
          <w:bottom w:val="nil"/>
          <w:right w:val="nil"/>
          <w:between w:val="nil"/>
        </w:pBdr>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¿Cuántas carpetas de investigación se han iniciado entre el 17 de noviembre de 2017 y el 30 de septiembre de 2024? Desglosar la cantidad de carpetas de investigación por año (2017, 2018, 2019, 2020, 2021, 2022, 2023 y 2024).</w:t>
      </w:r>
    </w:p>
    <w:p w14:paraId="7E5609ED" w14:textId="77777777" w:rsidR="005E5156" w:rsidRPr="007A2AEB" w:rsidRDefault="005E5156">
      <w:pPr>
        <w:pBdr>
          <w:top w:val="nil"/>
          <w:left w:val="nil"/>
          <w:bottom w:val="nil"/>
          <w:right w:val="nil"/>
          <w:between w:val="nil"/>
        </w:pBdr>
        <w:ind w:left="720"/>
        <w:rPr>
          <w:rFonts w:ascii="Palatino Linotype" w:eastAsia="Palatino Linotype" w:hAnsi="Palatino Linotype" w:cs="Palatino Linotype"/>
          <w:i/>
          <w:iCs/>
          <w:sz w:val="22"/>
          <w:szCs w:val="22"/>
        </w:rPr>
      </w:pPr>
    </w:p>
    <w:p w14:paraId="45C7CE65" w14:textId="77777777" w:rsidR="005E5156" w:rsidRPr="007A2AEB" w:rsidRDefault="00A104FE">
      <w:pPr>
        <w:numPr>
          <w:ilvl w:val="0"/>
          <w:numId w:val="8"/>
        </w:numPr>
        <w:pBdr>
          <w:top w:val="nil"/>
          <w:left w:val="nil"/>
          <w:bottom w:val="nil"/>
          <w:right w:val="nil"/>
          <w:between w:val="nil"/>
        </w:pBdr>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¿La fiscalía especializada en materia de investigación de los delitos en materia de personas desaparecidas ha realizado jornadas de toma de muestra referencial, jornadas de búsqueda en vida en centros de reclusión y/o penitenciarios, jornadas de búsqueda en vida en lugares de detención administrativa, jornadas de búsqueda en vida en centros hospitalarios o de atención a la salud mental? En caso afirmativo, desglosar la cantidad de jornadas realizadas por año (2017, 2018, 2019, 2020, 2021, 2022, 2023 y 2024).</w:t>
      </w:r>
    </w:p>
    <w:p w14:paraId="1D45D7ED" w14:textId="77777777" w:rsidR="005E5156" w:rsidRPr="007A2AEB" w:rsidRDefault="005E5156">
      <w:pPr>
        <w:pBdr>
          <w:top w:val="nil"/>
          <w:left w:val="nil"/>
          <w:bottom w:val="nil"/>
          <w:right w:val="nil"/>
          <w:between w:val="nil"/>
        </w:pBdr>
        <w:ind w:left="720"/>
        <w:rPr>
          <w:rFonts w:ascii="Palatino Linotype" w:eastAsia="Palatino Linotype" w:hAnsi="Palatino Linotype" w:cs="Palatino Linotype"/>
          <w:i/>
          <w:iCs/>
          <w:sz w:val="22"/>
          <w:szCs w:val="22"/>
        </w:rPr>
      </w:pPr>
    </w:p>
    <w:p w14:paraId="1B7973C5" w14:textId="77777777" w:rsidR="005E5156" w:rsidRPr="007A2AEB" w:rsidRDefault="00A104FE">
      <w:pPr>
        <w:numPr>
          <w:ilvl w:val="0"/>
          <w:numId w:val="8"/>
        </w:numPr>
        <w:pBdr>
          <w:top w:val="nil"/>
          <w:left w:val="nil"/>
          <w:bottom w:val="nil"/>
          <w:right w:val="nil"/>
          <w:between w:val="nil"/>
        </w:pBdr>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¿Existe algún mecanismo de coordinación y/o colaboración con la comisión local de búsqueda del estado? En caso afirmativo indicar los principales resultados de este mecanismo de coordinación y/o colaboración desglosados por año (2017, 2018, 2019, 2020, 2021, 2022, 2023 y 2024).</w:t>
      </w:r>
    </w:p>
    <w:p w14:paraId="1D5B09C9" w14:textId="77777777" w:rsidR="005E5156" w:rsidRPr="007A2AEB" w:rsidRDefault="005E5156">
      <w:pPr>
        <w:pBdr>
          <w:top w:val="nil"/>
          <w:left w:val="nil"/>
          <w:bottom w:val="nil"/>
          <w:right w:val="nil"/>
          <w:between w:val="nil"/>
        </w:pBdr>
        <w:ind w:left="720"/>
        <w:rPr>
          <w:rFonts w:ascii="Palatino Linotype" w:eastAsia="Palatino Linotype" w:hAnsi="Palatino Linotype" w:cs="Palatino Linotype"/>
          <w:i/>
          <w:iCs/>
          <w:sz w:val="22"/>
          <w:szCs w:val="22"/>
        </w:rPr>
      </w:pPr>
    </w:p>
    <w:p w14:paraId="489326DB" w14:textId="77777777" w:rsidR="005E5156" w:rsidRPr="007A2AEB" w:rsidRDefault="00A104FE">
      <w:pPr>
        <w:numPr>
          <w:ilvl w:val="0"/>
          <w:numId w:val="8"/>
        </w:numPr>
        <w:pBdr>
          <w:top w:val="nil"/>
          <w:left w:val="nil"/>
          <w:bottom w:val="nil"/>
          <w:right w:val="nil"/>
          <w:between w:val="nil"/>
        </w:pBdr>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¿Cuántas carpetas de investigación ha judicializado la fiscalía especializada en materia de investigación de los delitos en materia de personas desaparecidas, y cuántas sentencias condenatorias se han obtenido? Desglosar la respuesta en números totales por año (2017, 2018, 2019, 2020, 2021, 2022, 2023 y 2024).</w:t>
      </w:r>
    </w:p>
    <w:p w14:paraId="50467A4C" w14:textId="77777777" w:rsidR="005E5156" w:rsidRPr="007A2AEB" w:rsidRDefault="005E5156">
      <w:pPr>
        <w:pBdr>
          <w:top w:val="nil"/>
          <w:left w:val="nil"/>
          <w:bottom w:val="nil"/>
          <w:right w:val="nil"/>
          <w:between w:val="nil"/>
        </w:pBdr>
        <w:ind w:left="720"/>
        <w:rPr>
          <w:rFonts w:ascii="Palatino Linotype" w:eastAsia="Palatino Linotype" w:hAnsi="Palatino Linotype" w:cs="Palatino Linotype"/>
          <w:i/>
          <w:iCs/>
          <w:sz w:val="22"/>
          <w:szCs w:val="22"/>
        </w:rPr>
      </w:pPr>
    </w:p>
    <w:p w14:paraId="3ACE8E2D" w14:textId="77777777" w:rsidR="005E5156" w:rsidRPr="007A2AEB" w:rsidRDefault="00A104FE">
      <w:pPr>
        <w:numPr>
          <w:ilvl w:val="0"/>
          <w:numId w:val="8"/>
        </w:numPr>
        <w:pBdr>
          <w:top w:val="nil"/>
          <w:left w:val="nil"/>
          <w:bottom w:val="nil"/>
          <w:right w:val="nil"/>
          <w:between w:val="nil"/>
        </w:pBdr>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¿Cuántas personas vivas ha localizado la fiscalía especializada en materia de investigación de los delitos en materia de personas desaparecidas? Desglosar la respuesta en números totales por año (2017, 2018, 2019, 2020, 2021, 2022, 2023 y 2024).</w:t>
      </w:r>
    </w:p>
    <w:p w14:paraId="213122A6" w14:textId="77777777" w:rsidR="005E5156" w:rsidRPr="007A2AEB" w:rsidRDefault="005E5156">
      <w:pPr>
        <w:pBdr>
          <w:top w:val="nil"/>
          <w:left w:val="nil"/>
          <w:bottom w:val="nil"/>
          <w:right w:val="nil"/>
          <w:between w:val="nil"/>
        </w:pBdr>
        <w:ind w:left="720"/>
        <w:rPr>
          <w:rFonts w:ascii="Palatino Linotype" w:eastAsia="Palatino Linotype" w:hAnsi="Palatino Linotype" w:cs="Palatino Linotype"/>
          <w:i/>
          <w:iCs/>
          <w:sz w:val="22"/>
          <w:szCs w:val="22"/>
        </w:rPr>
      </w:pPr>
    </w:p>
    <w:p w14:paraId="750B0D06" w14:textId="77777777" w:rsidR="005E5156" w:rsidRPr="007A2AEB" w:rsidRDefault="00A104FE">
      <w:pPr>
        <w:numPr>
          <w:ilvl w:val="0"/>
          <w:numId w:val="8"/>
        </w:numPr>
        <w:pBdr>
          <w:top w:val="nil"/>
          <w:left w:val="nil"/>
          <w:bottom w:val="nil"/>
          <w:right w:val="nil"/>
          <w:between w:val="nil"/>
        </w:pBdr>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¿Cuántos restos óseos y cadáveres ha localizado la fiscalía especializada en materia de investigación de los delitos en materia de personas desaparecidas? Desglosar la respuesta en números totales por año (2017, 2018, 2019, 2020, 2021, 2022, 2023 y 2024).</w:t>
      </w:r>
    </w:p>
    <w:p w14:paraId="43FF8D66" w14:textId="77777777" w:rsidR="005E5156" w:rsidRPr="007A2AEB" w:rsidRDefault="005E5156">
      <w:pPr>
        <w:pBdr>
          <w:top w:val="nil"/>
          <w:left w:val="nil"/>
          <w:bottom w:val="nil"/>
          <w:right w:val="nil"/>
          <w:between w:val="nil"/>
        </w:pBdr>
        <w:ind w:left="720"/>
        <w:rPr>
          <w:rFonts w:ascii="Palatino Linotype" w:eastAsia="Palatino Linotype" w:hAnsi="Palatino Linotype" w:cs="Palatino Linotype"/>
          <w:i/>
          <w:iCs/>
          <w:sz w:val="22"/>
          <w:szCs w:val="22"/>
        </w:rPr>
      </w:pPr>
    </w:p>
    <w:p w14:paraId="3DE06363" w14:textId="77777777" w:rsidR="005E5156" w:rsidRPr="007A2AEB" w:rsidRDefault="00A104FE">
      <w:pPr>
        <w:numPr>
          <w:ilvl w:val="0"/>
          <w:numId w:val="8"/>
        </w:numPr>
        <w:pBdr>
          <w:top w:val="nil"/>
          <w:left w:val="nil"/>
          <w:bottom w:val="nil"/>
          <w:right w:val="nil"/>
          <w:between w:val="nil"/>
        </w:pBdr>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¿Cuántas restituciones al núcleo familiar ha realizado la fiscalía especializada en materia de investigación de los delitos en materia de personas desaparecidas? Desglosar la respuesta en números totales por año (2017, 2018, 2019, 2020, 2021, 2022, 2023 y 2024).</w:t>
      </w:r>
    </w:p>
    <w:p w14:paraId="6451A4EE" w14:textId="77777777" w:rsidR="005E5156" w:rsidRPr="007A2AEB" w:rsidRDefault="005E5156">
      <w:pPr>
        <w:pBdr>
          <w:top w:val="nil"/>
          <w:left w:val="nil"/>
          <w:bottom w:val="nil"/>
          <w:right w:val="nil"/>
          <w:between w:val="nil"/>
        </w:pBdr>
        <w:spacing w:line="360" w:lineRule="auto"/>
        <w:ind w:left="851"/>
        <w:jc w:val="both"/>
        <w:rPr>
          <w:rFonts w:ascii="Palatino Linotype" w:eastAsia="Palatino Linotype" w:hAnsi="Palatino Linotype" w:cs="Palatino Linotype"/>
          <w:b/>
          <w:bCs/>
          <w:sz w:val="22"/>
          <w:szCs w:val="22"/>
        </w:rPr>
      </w:pPr>
    </w:p>
    <w:p w14:paraId="2B3121BE" w14:textId="77777777" w:rsidR="005E5156" w:rsidRPr="007A2AEB" w:rsidRDefault="00A104FE">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Conocida la respuesta, el Recurrente se inconformó de manera expresa por el punto 6 de la solicitud, en los siguientes términos “</w:t>
      </w:r>
      <w:r w:rsidRPr="007A2AEB">
        <w:rPr>
          <w:rFonts w:ascii="Palatino Linotype" w:eastAsia="Palatino Linotype" w:hAnsi="Palatino Linotype" w:cs="Palatino Linotype"/>
          <w:i/>
          <w:iCs/>
          <w:sz w:val="22"/>
          <w:szCs w:val="22"/>
        </w:rPr>
        <w:t>Respecto al punto 6: ¿Cuántas carpetas de investigación se han iniciado entre el 17 de noviembre de 2017 y el 30 de septiembre de 2024? Desglosar la cantidad de carpetas de investigación por año (2017, 2018, 2019, 2020, 2021, 2022, 2023 y 2024). La respuesta proporcionada no hace referencia a la pregunta planteada porque el argumento de la autoridad se relaciona con acciones de búsqueda, señalando diversos supuestos referentes a la Ley General y a los supuestos de apertura de la carpeta de investigación: "a) De acuerdo con la Ley en Materia de Desaparición Forzada de Personas y Desaparición Cometida por Particulares para el Estado Libre y Soberano de México, establece en su artículo 4 fracción XVIII, persona desaparecida es aquella cuya ubicación y paradero se desconoce, independientemente de que su ausencia se relacione o no con la comisión de un delito. b) La presunción de la comisión de un delito es uno de los fundamentos no el único para el despliegue de la acción pública en búsqueda de la persona, pero, una vez localizada ésta, es factible que se demuestre infundada, es decir, que no fuera dé hecho la comisión de un delito la causante de la imposibilidad de localizar a la persona. c) De acuerdo con el Protocolo Homologado para la Búsqueda de Personas Desaparecidas, y No Localizadas, las acciones de búsqueda no se limitan a personas que están específicamente siendo víctima de los delitos tipificados en la Ley General, es decir, forzada o cometida por particular, sino que es aplicable a toda persona cuya desaparición puede estar vinculada con una ausencia voluntaria, es decir, las razones o motivos por los cuales la persona decide ausentarse, pueden ser estrictamente personales. d) En consecuencia, se advierte que de las carpetas de investigación que se inician por desaparición de persona en el Estado de México, no todas se encuentran vinculadas con la probable comisión de un delito, como es el caso del tipo penal desaparición forzada y cometida por particulares" Bajo esa cadena argumentativa, la fiscalía orienta la presente petición a la consulta del Registro Nacional de Personas Desaparecidas y No Localizadas, lo cual, es incorrecto, debido a que, de conformidad con el artículo 21 de la CPEUM, así como 81 de la Constitución Política del Estado Libre y Soberano de México, ambos en relación con las fracciones I y XVII del artículo 10 de la Ley de la Fiscalía General de Justicia del Estado de México; la información que se proporcionó no guarda relación con las estadísticas solicitadas sobre carpetas de investigación iniciadas por los delitos relacionados con la desaparición de personas. Por otro lado, la respuesta proporcionada es contradictoria con la respuesta otorgada al número 9, en la que se desglosó la cantidad de carpetas judicializadas, es decir, si se cuenta con la estadística de carpetas que se presentan ante autoridad judicial, es porque se cuenta con la información sobre carpetas de investigación iniciadas por los delitos de desaparición (en sus modalidades de forzada y cometida por particulares), sin importar si se determina un NEAP, se judicializan o se archivan. Por lo tanto, requiero que se desglose la información solicitada en el numeral 6, en los términos solicitados.”</w:t>
      </w:r>
      <w:r w:rsidRPr="007A2AEB">
        <w:rPr>
          <w:rFonts w:ascii="Palatino Linotype" w:eastAsia="Palatino Linotype" w:hAnsi="Palatino Linotype" w:cs="Palatino Linotype"/>
          <w:b/>
          <w:bCs/>
          <w:sz w:val="22"/>
          <w:szCs w:val="22"/>
        </w:rPr>
        <w:t xml:space="preserve"> </w:t>
      </w:r>
      <w:r w:rsidRPr="007A2AEB">
        <w:rPr>
          <w:rFonts w:ascii="Palatino Linotype" w:eastAsia="Palatino Linotype" w:hAnsi="Palatino Linotype" w:cs="Palatino Linotype"/>
          <w:sz w:val="22"/>
          <w:szCs w:val="22"/>
        </w:rPr>
        <w:t>Se colige que, la parte de la respuesta que no fue impugnada debe declararse consentida, como lo es los puntos 1, 2, 3, 4, 5, 7, 8, 9, 10, 11 y 12, toda vez que, al no haber realizado manifestaciones de inconformidad al respecto, no pueden producirse efectos jurídicos tendentes a revocar, confirmar o modificar el acto reclamado, en sentido de las versiones públicas de los oficios remitidos en respuesta, ya que, de esta información no emitió pronunciamiento alguno el Recurrente.</w:t>
      </w:r>
    </w:p>
    <w:p w14:paraId="16E8435A" w14:textId="77777777" w:rsidR="005E5156" w:rsidRPr="007A2AEB" w:rsidRDefault="005E5156">
      <w:pPr>
        <w:spacing w:line="360" w:lineRule="auto"/>
        <w:jc w:val="both"/>
        <w:rPr>
          <w:rFonts w:ascii="Palatino Linotype" w:eastAsia="Palatino Linotype" w:hAnsi="Palatino Linotype" w:cs="Palatino Linotype"/>
          <w:sz w:val="22"/>
          <w:szCs w:val="22"/>
        </w:rPr>
      </w:pPr>
    </w:p>
    <w:p w14:paraId="676C988D" w14:textId="175EC1C7" w:rsidR="005E5156" w:rsidRPr="007A2AEB" w:rsidRDefault="00A104FE">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293CA924" w14:textId="77777777" w:rsidR="00622697" w:rsidRPr="007A2AEB" w:rsidRDefault="00622697">
      <w:pPr>
        <w:spacing w:line="360" w:lineRule="auto"/>
        <w:jc w:val="both"/>
        <w:rPr>
          <w:rFonts w:ascii="Palatino Linotype" w:eastAsia="Palatino Linotype" w:hAnsi="Palatino Linotype" w:cs="Palatino Linotype"/>
          <w:sz w:val="22"/>
          <w:szCs w:val="22"/>
        </w:rPr>
      </w:pPr>
    </w:p>
    <w:p w14:paraId="4C2556A7" w14:textId="77777777" w:rsidR="005E5156" w:rsidRPr="007A2AEB" w:rsidRDefault="00A104FE">
      <w:pPr>
        <w:ind w:left="567" w:right="616"/>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b/>
          <w:bCs/>
          <w:i/>
          <w:iCs/>
          <w:sz w:val="22"/>
          <w:szCs w:val="22"/>
        </w:rPr>
        <w:t xml:space="preserve">“REVISIÓN EN AMPARO. LOS RESOLUTIVOS NO COMBATIDOS DEBEN DECLARARSE FIRMES. </w:t>
      </w:r>
      <w:r w:rsidRPr="007A2AEB">
        <w:rPr>
          <w:rFonts w:ascii="Palatino Linotype" w:eastAsia="Palatino Linotype" w:hAnsi="Palatino Linotype" w:cs="Palatino Linotype"/>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F7A210E" w14:textId="77777777" w:rsidR="005E5156" w:rsidRPr="007A2AEB" w:rsidRDefault="005E5156">
      <w:pPr>
        <w:spacing w:line="360" w:lineRule="auto"/>
        <w:jc w:val="both"/>
        <w:rPr>
          <w:rFonts w:ascii="Palatino Linotype" w:eastAsia="Palatino Linotype" w:hAnsi="Palatino Linotype" w:cs="Palatino Linotype"/>
          <w:sz w:val="22"/>
          <w:szCs w:val="22"/>
        </w:rPr>
      </w:pPr>
    </w:p>
    <w:p w14:paraId="1B52EE81" w14:textId="77777777" w:rsidR="005E5156" w:rsidRPr="007A2AEB" w:rsidRDefault="00A104FE">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Consecuentemente, se insiste, ante la falta de impugnación eficaz, la respuesta entregada debe declararse consentida por persona solicitante.</w:t>
      </w:r>
    </w:p>
    <w:p w14:paraId="57948B3A" w14:textId="77777777" w:rsidR="005E5156" w:rsidRPr="007A2AEB" w:rsidRDefault="005E5156">
      <w:pPr>
        <w:spacing w:line="360" w:lineRule="auto"/>
        <w:jc w:val="both"/>
        <w:rPr>
          <w:rFonts w:ascii="Palatino Linotype" w:eastAsia="Palatino Linotype" w:hAnsi="Palatino Linotype" w:cs="Palatino Linotype"/>
          <w:sz w:val="22"/>
          <w:szCs w:val="22"/>
        </w:rPr>
      </w:pPr>
    </w:p>
    <w:p w14:paraId="78AE0B08" w14:textId="77777777" w:rsidR="005E5156" w:rsidRPr="007A2AEB" w:rsidRDefault="00A104FE">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 xml:space="preserve">Lo anterior se sustenta con lo plasmado en el criterio orientador 01/20 emitido por el entonces Instituto Nacional de Transparencia, Acceso a la Información, y Protección de Datos Personales, INAI, que lleva por rubro y texto los siguientes: </w:t>
      </w:r>
    </w:p>
    <w:p w14:paraId="47EA1F60" w14:textId="77777777" w:rsidR="005E5156" w:rsidRPr="007A2AEB" w:rsidRDefault="005E5156">
      <w:pPr>
        <w:spacing w:line="360" w:lineRule="auto"/>
        <w:jc w:val="both"/>
        <w:rPr>
          <w:rFonts w:ascii="Palatino Linotype" w:eastAsia="Palatino Linotype" w:hAnsi="Palatino Linotype" w:cs="Palatino Linotype"/>
          <w:sz w:val="22"/>
          <w:szCs w:val="22"/>
        </w:rPr>
      </w:pPr>
    </w:p>
    <w:p w14:paraId="7BC28E3F" w14:textId="77777777" w:rsidR="005E5156" w:rsidRPr="007A2AEB" w:rsidRDefault="00A104FE">
      <w:pPr>
        <w:pBdr>
          <w:top w:val="nil"/>
          <w:left w:val="nil"/>
          <w:bottom w:val="nil"/>
          <w:right w:val="nil"/>
          <w:between w:val="nil"/>
        </w:pBdr>
        <w:spacing w:line="276" w:lineRule="auto"/>
        <w:ind w:left="567" w:right="902"/>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w:t>
      </w:r>
      <w:r w:rsidRPr="007A2AEB">
        <w:rPr>
          <w:rFonts w:ascii="Palatino Linotype" w:eastAsia="Palatino Linotype" w:hAnsi="Palatino Linotype" w:cs="Palatino Linotype"/>
          <w:b/>
          <w:bCs/>
          <w:i/>
          <w:iCs/>
          <w:sz w:val="22"/>
          <w:szCs w:val="22"/>
        </w:rPr>
        <w:t xml:space="preserve">Actos consentidos tácitamente. Improcedencia de su análisis. </w:t>
      </w:r>
      <w:r w:rsidRPr="007A2AEB">
        <w:rPr>
          <w:rFonts w:ascii="Palatino Linotype" w:eastAsia="Palatino Linotype" w:hAnsi="Palatino Linotype" w:cs="Palatino Linotype"/>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71D8080F" w14:textId="77777777" w:rsidR="005E5156" w:rsidRPr="007A2AEB" w:rsidRDefault="005E5156">
      <w:pPr>
        <w:pBdr>
          <w:top w:val="nil"/>
          <w:left w:val="nil"/>
          <w:bottom w:val="nil"/>
          <w:right w:val="nil"/>
          <w:between w:val="nil"/>
        </w:pBdr>
        <w:spacing w:line="360" w:lineRule="auto"/>
        <w:ind w:left="567" w:right="902"/>
        <w:jc w:val="both"/>
        <w:rPr>
          <w:rFonts w:ascii="Palatino Linotype" w:eastAsia="Palatino Linotype" w:hAnsi="Palatino Linotype" w:cs="Palatino Linotype"/>
          <w:i/>
          <w:iCs/>
          <w:sz w:val="22"/>
          <w:szCs w:val="22"/>
        </w:rPr>
      </w:pPr>
    </w:p>
    <w:p w14:paraId="07BA2D5A" w14:textId="77777777" w:rsidR="005E5156" w:rsidRPr="007A2AEB" w:rsidRDefault="00A104FE">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0C6A7997" w14:textId="77777777" w:rsidR="005E5156" w:rsidRPr="007A2AEB" w:rsidRDefault="005E5156">
      <w:pPr>
        <w:spacing w:line="360" w:lineRule="auto"/>
        <w:ind w:left="851" w:right="900"/>
        <w:jc w:val="both"/>
        <w:rPr>
          <w:rFonts w:ascii="Palatino Linotype" w:eastAsia="Palatino Linotype" w:hAnsi="Palatino Linotype" w:cs="Palatino Linotype"/>
          <w:b/>
          <w:bCs/>
          <w:i/>
          <w:iCs/>
          <w:smallCaps/>
          <w:sz w:val="22"/>
          <w:szCs w:val="22"/>
        </w:rPr>
      </w:pPr>
    </w:p>
    <w:p w14:paraId="6BC7498E" w14:textId="77777777" w:rsidR="005E5156" w:rsidRPr="007A2AEB" w:rsidRDefault="00A104FE">
      <w:pPr>
        <w:tabs>
          <w:tab w:val="left" w:pos="851"/>
          <w:tab w:val="left" w:pos="1276"/>
        </w:tabs>
        <w:ind w:left="567" w:right="709"/>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b/>
          <w:bCs/>
          <w:i/>
          <w:iCs/>
          <w:smallCaps/>
          <w:sz w:val="22"/>
          <w:szCs w:val="22"/>
        </w:rPr>
        <w:t xml:space="preserve">“ACTOS CONSENTIDOS. SON LOS QUE NO SE IMPUGNAN MEDIANTE EL RECURSO IDÓNEO. </w:t>
      </w:r>
      <w:r w:rsidRPr="007A2AEB">
        <w:rPr>
          <w:rFonts w:ascii="Palatino Linotype" w:eastAsia="Palatino Linotype" w:hAnsi="Palatino Linotype" w:cs="Palatino Linotype"/>
          <w:i/>
          <w:iCs/>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75DB329" w14:textId="77777777" w:rsidR="005E5156" w:rsidRPr="007A2AEB" w:rsidRDefault="005E515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0AF1F5C" w14:textId="77777777" w:rsidR="005E5156" w:rsidRPr="007A2AEB" w:rsidRDefault="00A104F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Dicho lo anterior, la información de la que resulta procedente pronunciarse el punto 6, el cual versa sobre lo siguiente:</w:t>
      </w:r>
    </w:p>
    <w:p w14:paraId="1952E2BE" w14:textId="77777777" w:rsidR="005E5156" w:rsidRPr="007A2AEB" w:rsidRDefault="005E5156">
      <w:pPr>
        <w:pBdr>
          <w:top w:val="nil"/>
          <w:left w:val="nil"/>
          <w:bottom w:val="nil"/>
          <w:right w:val="nil"/>
          <w:between w:val="nil"/>
        </w:pBdr>
        <w:spacing w:line="360" w:lineRule="auto"/>
        <w:ind w:right="49"/>
        <w:jc w:val="both"/>
        <w:rPr>
          <w:rFonts w:ascii="Palatino Linotype" w:eastAsia="Palatino Linotype" w:hAnsi="Palatino Linotype" w:cs="Palatino Linotype"/>
          <w:i/>
          <w:iCs/>
          <w:sz w:val="22"/>
          <w:szCs w:val="22"/>
        </w:rPr>
      </w:pPr>
    </w:p>
    <w:p w14:paraId="1BD15018" w14:textId="77777777" w:rsidR="005E5156" w:rsidRPr="007A2AEB" w:rsidRDefault="00A104FE">
      <w:pPr>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i/>
          <w:iCs/>
          <w:sz w:val="22"/>
          <w:szCs w:val="22"/>
        </w:rPr>
        <w:t>¿Cuántas carpetas de investigación se han iniciado entre el 17 de noviembre de 2017 y el 30 de septiembre de 2024? Desglosar la cantidad de carpetas de investigación por año (2017, 2018, 2019, 2020, 2021, 2022, 2023 y 2024).</w:t>
      </w:r>
    </w:p>
    <w:p w14:paraId="47FA5D9E" w14:textId="77777777" w:rsidR="005E5156" w:rsidRPr="007A2AEB" w:rsidRDefault="005E515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AE65960" w14:textId="77777777" w:rsidR="005E5156" w:rsidRPr="007A2AEB" w:rsidRDefault="00A104FE">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Por su parte, el Sujeto Obligado a través de su respuesta indicó lo siguiente:</w:t>
      </w:r>
    </w:p>
    <w:p w14:paraId="21FFB60E" w14:textId="77777777" w:rsidR="005E5156" w:rsidRPr="007A2AEB" w:rsidRDefault="005E5156">
      <w:pPr>
        <w:spacing w:line="360" w:lineRule="auto"/>
        <w:jc w:val="both"/>
        <w:rPr>
          <w:rFonts w:ascii="Palatino Linotype" w:eastAsia="Palatino Linotype" w:hAnsi="Palatino Linotype" w:cs="Palatino Linotype"/>
          <w:sz w:val="22"/>
          <w:szCs w:val="22"/>
        </w:rPr>
      </w:pPr>
    </w:p>
    <w:p w14:paraId="69F80C6D" w14:textId="77777777" w:rsidR="005E5156" w:rsidRPr="007A2AEB" w:rsidRDefault="00A104FE">
      <w:pPr>
        <w:spacing w:line="360" w:lineRule="auto"/>
        <w:ind w:left="567" w:right="843"/>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Respuesta numeral 6, 10 y 12: Resulta importante precisar que, a efecto de dar respuesta al peticionario respecto a las cifras solicitadas relacionadas con desaparición de personas, para mayor entendimiento del receptor, se deben tomar en consideración los siguientes puntos:</w:t>
      </w:r>
    </w:p>
    <w:p w14:paraId="6C01AD87" w14:textId="77777777" w:rsidR="005E5156" w:rsidRPr="007A2AEB" w:rsidRDefault="00A104FE">
      <w:pPr>
        <w:spacing w:line="360" w:lineRule="auto"/>
        <w:ind w:left="567" w:right="843"/>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 xml:space="preserve">a) De acuerdo con la Ley en Materia de Desaparición Forzada de Personas y Desaparición Cometida por Particulares para el Estado Libre y Soberano de México, establece en su artículo 4 fracción XVIII, persona desaparecida es aquella cuya ubicación y paradero se desconoce, independientemente de que su ausencia se relacione o no con la comisión de un delito. </w:t>
      </w:r>
    </w:p>
    <w:p w14:paraId="176AFE85" w14:textId="77777777" w:rsidR="005E5156" w:rsidRPr="007A2AEB" w:rsidRDefault="00A104FE">
      <w:pPr>
        <w:spacing w:line="360" w:lineRule="auto"/>
        <w:ind w:left="567" w:right="843"/>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 xml:space="preserve">b) La presunción de la comisión de un delito es uno de los fundamentos no el único para el despliegue de la acción pública en búsqueda de la persona, pero, una vez localizada ésta, es factible que se demuestre infundada, es decir, que no fuera dé hecho la comisión de un delito la causante de la imposibilidad de localizar a la persona. </w:t>
      </w:r>
    </w:p>
    <w:p w14:paraId="7EB2EC22" w14:textId="77777777" w:rsidR="005E5156" w:rsidRPr="007A2AEB" w:rsidRDefault="00A104FE">
      <w:pPr>
        <w:spacing w:line="360" w:lineRule="auto"/>
        <w:ind w:left="567" w:right="843"/>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 xml:space="preserve">c) De acuerdo con el Protocolo Homologado para la Búsqueda de Personas Desaparecidas, y No Localizadas, las acciones de búsqueda no se limitan a personas que están específicamente siendo víctima de los delitos tipificados en la Ley General, es decir, forzada o cometida por particular, sino que es aplicable a toda persona cuya desaparición puede estar vinculada con una ausencia voluntaria, es decir, las razones o motivos por los cuales la persona decide ausentarse, pueden ser estrictamente personales. </w:t>
      </w:r>
    </w:p>
    <w:p w14:paraId="3119E0EB" w14:textId="77777777" w:rsidR="005E5156" w:rsidRPr="007A2AEB" w:rsidRDefault="00A104FE">
      <w:pPr>
        <w:spacing w:line="360" w:lineRule="auto"/>
        <w:ind w:left="567" w:right="843"/>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 xml:space="preserve">d) En consecuencia, se advierte que de las carpetas de investigación que se inician por desaparición de persona en el Estado de México, no todas se encuentran vinculadas con la probable comisión de un delito, como es el caso del tipo penal desaparición forzada y cometida por particulares. </w:t>
      </w:r>
    </w:p>
    <w:p w14:paraId="48D667EB" w14:textId="77777777" w:rsidR="005E5156" w:rsidRPr="007A2AEB" w:rsidRDefault="005E5156">
      <w:pPr>
        <w:spacing w:line="360" w:lineRule="auto"/>
        <w:ind w:left="567" w:right="843"/>
        <w:jc w:val="both"/>
        <w:rPr>
          <w:rFonts w:ascii="Palatino Linotype" w:eastAsia="Palatino Linotype" w:hAnsi="Palatino Linotype" w:cs="Palatino Linotype"/>
          <w:i/>
          <w:iCs/>
          <w:sz w:val="22"/>
          <w:szCs w:val="22"/>
        </w:rPr>
      </w:pPr>
    </w:p>
    <w:p w14:paraId="645D8653" w14:textId="77777777" w:rsidR="005E5156" w:rsidRPr="007A2AEB" w:rsidRDefault="00A104FE">
      <w:pPr>
        <w:spacing w:line="360" w:lineRule="auto"/>
        <w:ind w:left="567" w:right="843"/>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Por lo antes expuesto, en atención al artículo 12 párrafo segundo y 161 de la Ley de Transparencia y Acceso a la Información Pública del Estado de México y Municipios, en respuesta, de conformidad con los artículos 102,103,104,109 de la Ley General en Materia de Desaparición Forzada de Personas y la Desaparición Cometida por Particulares y del Sistema Nacional de Búsqueda de Personas, el REGISTRO NACIONAL DE PERSONAS DESAPARECIDAS O NO LOCALIZADAS (RNPDNO) es una herramienta de búsqueda e identificación que organiza y concentra la información sobre Personas Desaparecidas y No Localizadas, se conforma con la información que recaban las autoridades de la Federación y de las Entidades Federativas; corresponde a la Comisión Nacional de Búsqueda administrar y coordinar la operación del Registro Nacional; en ese tenor, dicha información puede ser consultada en su versión pública, a través de la página electrónica que para tal efecto estableció la Comisión Nacional de Búsqueda, lo anterior, de conformidad con lo que determine el protocolo respectivo y las disposiciones jurídicas aplicables en materia de transparencia y protección de datos personales, la cual se anexa a la presente en formato pdf.</w:t>
      </w:r>
    </w:p>
    <w:p w14:paraId="72F703D4" w14:textId="77777777" w:rsidR="005E5156" w:rsidRPr="007A2AEB" w:rsidRDefault="005E5156">
      <w:pPr>
        <w:spacing w:line="360" w:lineRule="auto"/>
        <w:jc w:val="both"/>
        <w:rPr>
          <w:rFonts w:ascii="Palatino Linotype" w:hAnsi="Palatino Linotype"/>
          <w:sz w:val="22"/>
          <w:szCs w:val="22"/>
        </w:rPr>
      </w:pPr>
    </w:p>
    <w:p w14:paraId="095AC884" w14:textId="77777777" w:rsidR="005E5156" w:rsidRPr="007A2AEB" w:rsidRDefault="00A104FE">
      <w:pPr>
        <w:spacing w:line="360" w:lineRule="auto"/>
        <w:jc w:val="both"/>
        <w:rPr>
          <w:rFonts w:ascii="Palatino Linotype" w:hAnsi="Palatino Linotype"/>
          <w:sz w:val="22"/>
          <w:szCs w:val="22"/>
        </w:rPr>
      </w:pPr>
      <w:r w:rsidRPr="007A2AEB">
        <w:rPr>
          <w:rFonts w:ascii="Palatino Linotype" w:hAnsi="Palatino Linotype"/>
          <w:sz w:val="22"/>
          <w:szCs w:val="22"/>
        </w:rPr>
        <w:t>Sin embargo, mediante el informe justificado, el Sujeto Obligado indicó que la información requerida se encuentra en la dirección electrónica siguiente:</w:t>
      </w:r>
    </w:p>
    <w:p w14:paraId="7ACB2406" w14:textId="77777777" w:rsidR="005E5156" w:rsidRPr="007A2AEB" w:rsidRDefault="005E5156">
      <w:pPr>
        <w:spacing w:line="360" w:lineRule="auto"/>
        <w:jc w:val="both"/>
        <w:rPr>
          <w:rFonts w:ascii="Palatino Linotype" w:hAnsi="Palatino Linotype"/>
          <w:sz w:val="22"/>
          <w:szCs w:val="22"/>
        </w:rPr>
      </w:pPr>
    </w:p>
    <w:p w14:paraId="5E320399" w14:textId="77777777" w:rsidR="005E5156" w:rsidRPr="007A2AEB" w:rsidRDefault="00A104FE">
      <w:pPr>
        <w:spacing w:line="360" w:lineRule="auto"/>
        <w:jc w:val="both"/>
        <w:rPr>
          <w:rFonts w:ascii="Palatino Linotype" w:hAnsi="Palatino Linotype"/>
          <w:sz w:val="22"/>
          <w:szCs w:val="22"/>
        </w:rPr>
      </w:pPr>
      <w:r w:rsidRPr="007A2AEB">
        <w:rPr>
          <w:rFonts w:ascii="Palatino Linotype" w:eastAsia="Palatino Linotype" w:hAnsi="Palatino Linotype" w:cs="Palatino Linotype"/>
          <w:noProof/>
          <w:sz w:val="22"/>
          <w:szCs w:val="22"/>
        </w:rPr>
        <w:drawing>
          <wp:inline distT="0" distB="0" distL="0" distR="0" wp14:anchorId="1CB324ED" wp14:editId="1F9C5611">
            <wp:extent cx="5068007" cy="924054"/>
            <wp:effectExtent l="0" t="0" r="0" b="0"/>
            <wp:docPr id="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068007" cy="924054"/>
                    </a:xfrm>
                    <a:prstGeom prst="rect">
                      <a:avLst/>
                    </a:prstGeom>
                    <a:ln/>
                  </pic:spPr>
                </pic:pic>
              </a:graphicData>
            </a:graphic>
          </wp:inline>
        </w:drawing>
      </w:r>
    </w:p>
    <w:p w14:paraId="3FC0E384" w14:textId="77777777" w:rsidR="005E5156" w:rsidRPr="007A2AEB" w:rsidRDefault="005E5156">
      <w:pPr>
        <w:spacing w:line="360" w:lineRule="auto"/>
        <w:jc w:val="both"/>
        <w:rPr>
          <w:rFonts w:ascii="Palatino Linotype" w:hAnsi="Palatino Linotype"/>
          <w:sz w:val="22"/>
          <w:szCs w:val="22"/>
        </w:rPr>
      </w:pPr>
    </w:p>
    <w:p w14:paraId="65E51E1C" w14:textId="77777777" w:rsidR="005E5156" w:rsidRPr="007A2AEB" w:rsidRDefault="00A104F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 xml:space="preserve">Al respecto es necesario precisar que la Ley de Transparencia y Acceso a la Información Pública del Estado de México y Municipios establece en su artículo 11 que en </w:t>
      </w:r>
      <w:r w:rsidRPr="007A2AEB">
        <w:rPr>
          <w:rFonts w:ascii="Palatino Linotype" w:eastAsia="Palatino Linotype" w:hAnsi="Palatino Linotype" w:cs="Palatino Linotype"/>
          <w:i/>
          <w:iCs/>
          <w:sz w:val="22"/>
          <w:szCs w:val="22"/>
        </w:rPr>
        <w:t xml:space="preserve">la entrega de la información se deberá garantizar que ésta sea </w:t>
      </w:r>
      <w:r w:rsidRPr="007A2AEB">
        <w:rPr>
          <w:rFonts w:ascii="Palatino Linotype" w:eastAsia="Palatino Linotype" w:hAnsi="Palatino Linotype" w:cs="Palatino Linotype"/>
          <w:b/>
          <w:bCs/>
          <w:i/>
          <w:iCs/>
          <w:sz w:val="22"/>
          <w:szCs w:val="22"/>
        </w:rPr>
        <w:t>accesible</w:t>
      </w:r>
      <w:r w:rsidRPr="007A2AEB">
        <w:rPr>
          <w:rFonts w:ascii="Palatino Linotype" w:eastAsia="Palatino Linotype" w:hAnsi="Palatino Linotype" w:cs="Palatino Linotype"/>
          <w:i/>
          <w:iCs/>
          <w:sz w:val="22"/>
          <w:szCs w:val="22"/>
        </w:rPr>
        <w:t xml:space="preserve">, </w:t>
      </w:r>
      <w:r w:rsidRPr="007A2AEB">
        <w:rPr>
          <w:rFonts w:ascii="Palatino Linotype" w:eastAsia="Palatino Linotype" w:hAnsi="Palatino Linotype" w:cs="Palatino Linotype"/>
          <w:b/>
          <w:bCs/>
          <w:i/>
          <w:iCs/>
          <w:sz w:val="22"/>
          <w:szCs w:val="22"/>
        </w:rPr>
        <w:t>actualizada, completa,</w:t>
      </w:r>
      <w:r w:rsidRPr="007A2AEB">
        <w:rPr>
          <w:rFonts w:ascii="Palatino Linotype" w:eastAsia="Palatino Linotype" w:hAnsi="Palatino Linotype" w:cs="Palatino Linotype"/>
          <w:i/>
          <w:iCs/>
          <w:sz w:val="22"/>
          <w:szCs w:val="22"/>
        </w:rPr>
        <w:t xml:space="preserve"> congruente, confiable, </w:t>
      </w:r>
      <w:r w:rsidRPr="007A2AEB">
        <w:rPr>
          <w:rFonts w:ascii="Palatino Linotype" w:eastAsia="Palatino Linotype" w:hAnsi="Palatino Linotype" w:cs="Palatino Linotype"/>
          <w:b/>
          <w:bCs/>
          <w:i/>
          <w:iCs/>
          <w:sz w:val="22"/>
          <w:szCs w:val="22"/>
        </w:rPr>
        <w:t>verificable</w:t>
      </w:r>
      <w:r w:rsidRPr="007A2AEB">
        <w:rPr>
          <w:rFonts w:ascii="Palatino Linotype" w:eastAsia="Palatino Linotype" w:hAnsi="Palatino Linotype" w:cs="Palatino Linotype"/>
          <w:i/>
          <w:iCs/>
          <w:sz w:val="22"/>
          <w:szCs w:val="22"/>
        </w:rPr>
        <w:t xml:space="preserve">, veraz, integral, oportuna y expedita. </w:t>
      </w:r>
      <w:r w:rsidRPr="007A2AEB">
        <w:rPr>
          <w:rFonts w:ascii="Palatino Linotype" w:eastAsia="Palatino Linotype" w:hAnsi="Palatino Linotype" w:cs="Palatino Linotype"/>
          <w:sz w:val="22"/>
          <w:szCs w:val="22"/>
        </w:rPr>
        <w:t>Asimismo, el artículo 161 de la Ley en comento, refiere lo siguiente:</w:t>
      </w:r>
    </w:p>
    <w:p w14:paraId="21C10C3D" w14:textId="77777777" w:rsidR="005E5156" w:rsidRPr="007A2AEB" w:rsidRDefault="005E5156">
      <w:pPr>
        <w:pBdr>
          <w:top w:val="nil"/>
          <w:left w:val="nil"/>
          <w:bottom w:val="nil"/>
          <w:right w:val="nil"/>
          <w:between w:val="nil"/>
        </w:pBdr>
        <w:ind w:left="708"/>
        <w:jc w:val="both"/>
        <w:rPr>
          <w:rFonts w:ascii="Palatino Linotype" w:eastAsia="Palatino Linotype" w:hAnsi="Palatino Linotype" w:cs="Palatino Linotype"/>
          <w:sz w:val="22"/>
          <w:szCs w:val="22"/>
        </w:rPr>
      </w:pPr>
    </w:p>
    <w:p w14:paraId="05FF4180" w14:textId="77777777" w:rsidR="005E5156" w:rsidRPr="007A2AEB" w:rsidRDefault="00A104FE">
      <w:pPr>
        <w:spacing w:line="360" w:lineRule="auto"/>
        <w:ind w:left="567" w:right="567"/>
        <w:jc w:val="both"/>
        <w:rPr>
          <w:rFonts w:ascii="Palatino Linotype" w:eastAsia="Palatino Linotype" w:hAnsi="Palatino Linotype" w:cs="Palatino Linotype"/>
          <w:b/>
          <w:bCs/>
          <w:i/>
          <w:iCs/>
          <w:sz w:val="22"/>
          <w:szCs w:val="22"/>
        </w:rPr>
      </w:pPr>
      <w:r w:rsidRPr="007A2AEB">
        <w:rPr>
          <w:rFonts w:ascii="Palatino Linotype" w:eastAsia="Palatino Linotype" w:hAnsi="Palatino Linotype" w:cs="Palatino Linotype"/>
          <w:b/>
          <w:bCs/>
          <w:i/>
          <w:iCs/>
          <w:sz w:val="22"/>
          <w:szCs w:val="22"/>
        </w:rPr>
        <w:t xml:space="preserve">Artículo 161. Cuando la información requerida por el solicitante ya esté disponible al público </w:t>
      </w:r>
      <w:r w:rsidRPr="007A2AEB">
        <w:rPr>
          <w:rFonts w:ascii="Palatino Linotype" w:eastAsia="Palatino Linotype" w:hAnsi="Palatino Linotype" w:cs="Palatino Linotype"/>
          <w:i/>
          <w:iCs/>
          <w:sz w:val="22"/>
          <w:szCs w:val="22"/>
        </w:rPr>
        <w:t xml:space="preserve">en medios impresos, tales como libros, compendios, trípticos, registros públicos, </w:t>
      </w:r>
      <w:r w:rsidRPr="007A2AEB">
        <w:rPr>
          <w:rFonts w:ascii="Palatino Linotype" w:eastAsia="Palatino Linotype" w:hAnsi="Palatino Linotype" w:cs="Palatino Linotype"/>
          <w:b/>
          <w:bCs/>
          <w:i/>
          <w:iCs/>
          <w:sz w:val="22"/>
          <w:szCs w:val="22"/>
        </w:rPr>
        <w:t>en formatos electrónicos</w:t>
      </w:r>
      <w:r w:rsidRPr="007A2AEB">
        <w:rPr>
          <w:rFonts w:ascii="Palatino Linotype" w:eastAsia="Palatino Linotype" w:hAnsi="Palatino Linotype" w:cs="Palatino Linotype"/>
          <w:i/>
          <w:iCs/>
          <w:sz w:val="22"/>
          <w:szCs w:val="22"/>
        </w:rPr>
        <w:t xml:space="preserve"> disponibles en Internet o en cualquier otro medio, </w:t>
      </w:r>
      <w:r w:rsidRPr="007A2AEB">
        <w:rPr>
          <w:rFonts w:ascii="Palatino Linotype" w:eastAsia="Palatino Linotype" w:hAnsi="Palatino Linotype" w:cs="Palatino Linotype"/>
          <w:b/>
          <w:bCs/>
          <w:i/>
          <w:iCs/>
          <w:sz w:val="22"/>
          <w:szCs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61F7F341" w14:textId="77777777" w:rsidR="00622697" w:rsidRPr="007A2AEB" w:rsidRDefault="006226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AD2F4A0" w14:textId="003BF2B0" w:rsidR="005E5156" w:rsidRPr="007A2AEB" w:rsidRDefault="00A104F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 xml:space="preserve">Es así que, toda aquella información que sea requerida por los particulares que, previamente se encuentre disponible en sitios electrónicos, como puede ser de manera enunciativa más no limitativa, el sitio oficial del Sujeto Obligado o el portal IPOMEX o las páginas institucionales. Los Sujetos Obligado deben indicar la dirección electrónica donde obra la información solicitada. </w:t>
      </w:r>
      <w:r w:rsidRPr="007A2AEB">
        <w:rPr>
          <w:rFonts w:ascii="Palatino Linotype" w:eastAsia="Palatino Linotype" w:hAnsi="Palatino Linotype" w:cs="Palatino Linotype"/>
          <w:b/>
          <w:bCs/>
          <w:sz w:val="22"/>
          <w:szCs w:val="22"/>
        </w:rPr>
        <w:t>Esta dirección electrónica debe ser precisa, de tal modo que no implique realizar una búsqueda en toda la información que ahí se encuentre, debiendo cumplir</w:t>
      </w:r>
      <w:r w:rsidRPr="007A2AEB">
        <w:rPr>
          <w:rFonts w:ascii="Palatino Linotype" w:eastAsia="Palatino Linotype" w:hAnsi="Palatino Linotype" w:cs="Palatino Linotype"/>
          <w:sz w:val="22"/>
          <w:szCs w:val="22"/>
        </w:rPr>
        <w:t xml:space="preserve"> una serie de requisitos, a saber:</w:t>
      </w:r>
    </w:p>
    <w:p w14:paraId="16D9F6E6" w14:textId="77777777" w:rsidR="00622697" w:rsidRPr="007A2AEB" w:rsidRDefault="006226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9FF8B4B" w14:textId="77777777" w:rsidR="005E5156" w:rsidRPr="007A2AEB" w:rsidRDefault="00A104FE">
      <w:pPr>
        <w:numPr>
          <w:ilvl w:val="0"/>
          <w:numId w:val="4"/>
        </w:numPr>
        <w:pBdr>
          <w:top w:val="nil"/>
          <w:left w:val="nil"/>
          <w:bottom w:val="nil"/>
          <w:right w:val="nil"/>
          <w:between w:val="nil"/>
        </w:pBdr>
        <w:spacing w:line="360" w:lineRule="auto"/>
        <w:ind w:right="48"/>
        <w:jc w:val="both"/>
        <w:rPr>
          <w:rFonts w:ascii="Palatino Linotype" w:eastAsia="Palatino Linotype" w:hAnsi="Palatino Linotype" w:cs="Palatino Linotype"/>
          <w:b/>
          <w:bCs/>
          <w:sz w:val="22"/>
          <w:szCs w:val="22"/>
        </w:rPr>
      </w:pPr>
      <w:r w:rsidRPr="007A2AEB">
        <w:rPr>
          <w:rFonts w:ascii="Palatino Linotype" w:eastAsia="Palatino Linotype" w:hAnsi="Palatino Linotype" w:cs="Palatino Linotype"/>
          <w:b/>
          <w:bCs/>
          <w:sz w:val="22"/>
          <w:szCs w:val="22"/>
        </w:rPr>
        <w:t>La dirección electrónica debe señalarse en un plazo no mayor a cinco días hábiles;</w:t>
      </w:r>
    </w:p>
    <w:p w14:paraId="0B8FAF0A" w14:textId="77777777" w:rsidR="005E5156" w:rsidRPr="007A2AEB" w:rsidRDefault="00A104FE">
      <w:pPr>
        <w:numPr>
          <w:ilvl w:val="0"/>
          <w:numId w:val="4"/>
        </w:numPr>
        <w:pBdr>
          <w:top w:val="nil"/>
          <w:left w:val="nil"/>
          <w:bottom w:val="nil"/>
          <w:right w:val="nil"/>
          <w:between w:val="nil"/>
        </w:pBdr>
        <w:spacing w:line="360" w:lineRule="auto"/>
        <w:ind w:right="48"/>
        <w:jc w:val="both"/>
        <w:rPr>
          <w:rFonts w:ascii="Palatino Linotype" w:eastAsia="Palatino Linotype" w:hAnsi="Palatino Linotype" w:cs="Palatino Linotype"/>
          <w:b/>
          <w:bCs/>
          <w:sz w:val="22"/>
          <w:szCs w:val="22"/>
        </w:rPr>
      </w:pPr>
      <w:r w:rsidRPr="007A2AEB">
        <w:rPr>
          <w:rFonts w:ascii="Palatino Linotype" w:eastAsia="Palatino Linotype" w:hAnsi="Palatino Linotype" w:cs="Palatino Linotype"/>
          <w:b/>
          <w:bCs/>
          <w:sz w:val="22"/>
          <w:szCs w:val="22"/>
        </w:rPr>
        <w:t>La dirección electrónica debe ser precisa, de tal modo que no implique realizar una búsqueda en toda la información que ahí se encuentre; y,</w:t>
      </w:r>
    </w:p>
    <w:p w14:paraId="223AD09A" w14:textId="77777777" w:rsidR="005E5156" w:rsidRPr="007A2AEB" w:rsidRDefault="00A104FE">
      <w:pPr>
        <w:numPr>
          <w:ilvl w:val="0"/>
          <w:numId w:val="4"/>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b/>
          <w:bCs/>
          <w:sz w:val="22"/>
          <w:szCs w:val="22"/>
        </w:rPr>
        <w:t>La dirección electrónica debe ir acompañada del procedimiento a seguir, en caso de que la información se encuentre en distintos puntos del sitio electrónico referido; y,</w:t>
      </w:r>
    </w:p>
    <w:p w14:paraId="45615FBD" w14:textId="77777777" w:rsidR="005E5156" w:rsidRPr="007A2AEB" w:rsidRDefault="00A104FE">
      <w:pPr>
        <w:numPr>
          <w:ilvl w:val="0"/>
          <w:numId w:val="4"/>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b/>
          <w:bCs/>
          <w:sz w:val="22"/>
          <w:szCs w:val="22"/>
          <w:u w:val="single"/>
        </w:rPr>
        <w:t>La dirección electrónica se debe entregar en formato abierto,</w:t>
      </w:r>
      <w:r w:rsidRPr="007A2AEB">
        <w:rPr>
          <w:rFonts w:ascii="Palatino Linotype" w:eastAsia="Palatino Linotype" w:hAnsi="Palatino Linotype" w:cs="Palatino Linotype"/>
          <w:b/>
          <w:bCs/>
          <w:sz w:val="22"/>
          <w:szCs w:val="22"/>
        </w:rPr>
        <w:t xml:space="preserve"> para que el Recurrente pueda copiar y pegar sin la necesidad de transcribir la liga electrónica.</w:t>
      </w:r>
    </w:p>
    <w:p w14:paraId="43A2AD8D" w14:textId="77777777" w:rsidR="005E5156" w:rsidRPr="007A2AEB" w:rsidRDefault="005E515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23683D5" w14:textId="77777777" w:rsidR="005E5156" w:rsidRPr="007A2AEB" w:rsidRDefault="00A104FE">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506C369A" w14:textId="77777777" w:rsidR="005E5156" w:rsidRPr="007A2AEB" w:rsidRDefault="005E5156">
      <w:pPr>
        <w:spacing w:line="360" w:lineRule="auto"/>
        <w:jc w:val="both"/>
        <w:rPr>
          <w:rFonts w:ascii="Palatino Linotype" w:eastAsia="Palatino Linotype" w:hAnsi="Palatino Linotype" w:cs="Palatino Linotype"/>
          <w:sz w:val="22"/>
          <w:szCs w:val="22"/>
        </w:rPr>
      </w:pPr>
    </w:p>
    <w:p w14:paraId="6277A2EF" w14:textId="77777777" w:rsidR="005E5156" w:rsidRPr="007A2AEB" w:rsidRDefault="00A104FE">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22B2A7BB" w14:textId="77777777" w:rsidR="005E5156" w:rsidRPr="007A2AEB" w:rsidRDefault="005E5156">
      <w:pPr>
        <w:spacing w:line="360" w:lineRule="auto"/>
        <w:jc w:val="both"/>
        <w:rPr>
          <w:rFonts w:ascii="Palatino Linotype" w:eastAsia="Palatino Linotype" w:hAnsi="Palatino Linotype" w:cs="Palatino Linotype"/>
          <w:sz w:val="22"/>
          <w:szCs w:val="22"/>
        </w:rPr>
      </w:pPr>
    </w:p>
    <w:p w14:paraId="3AD982E8" w14:textId="77777777" w:rsidR="005E5156" w:rsidRPr="007A2AEB" w:rsidRDefault="00A104F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7A2AEB">
        <w:rPr>
          <w:rFonts w:ascii="Palatino Linotype" w:eastAsia="Palatino Linotype" w:hAnsi="Palatino Linotype" w:cs="Palatino Linotype"/>
          <w:b/>
          <w:bCs/>
          <w:sz w:val="22"/>
          <w:szCs w:val="22"/>
        </w:rPr>
        <w:t xml:space="preserve">Dato abierto: </w:t>
      </w:r>
      <w:r w:rsidRPr="007A2AEB">
        <w:rPr>
          <w:rFonts w:ascii="Palatino Linotype" w:eastAsia="Palatino Linotype" w:hAnsi="Palatino Linotype" w:cs="Palatino Linotype"/>
          <w:sz w:val="22"/>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457FCD2E" w14:textId="77777777" w:rsidR="005E5156" w:rsidRPr="007A2AEB" w:rsidRDefault="00A104F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7A2AEB">
        <w:rPr>
          <w:rFonts w:ascii="Palatino Linotype" w:eastAsia="Palatino Linotype" w:hAnsi="Palatino Linotype" w:cs="Palatino Linotype"/>
          <w:b/>
          <w:bCs/>
          <w:sz w:val="22"/>
          <w:szCs w:val="22"/>
        </w:rPr>
        <w:t xml:space="preserve">Formato accesible: </w:t>
      </w:r>
      <w:r w:rsidRPr="007A2AEB">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52EF41D0" w14:textId="77777777" w:rsidR="005E5156" w:rsidRPr="007A2AEB" w:rsidRDefault="005E5156">
      <w:pPr>
        <w:spacing w:line="360" w:lineRule="auto"/>
        <w:jc w:val="both"/>
        <w:rPr>
          <w:rFonts w:ascii="Palatino Linotype" w:eastAsia="Palatino Linotype" w:hAnsi="Palatino Linotype" w:cs="Palatino Linotype"/>
          <w:sz w:val="22"/>
          <w:szCs w:val="22"/>
        </w:rPr>
      </w:pPr>
    </w:p>
    <w:p w14:paraId="4554B056" w14:textId="0827BB76" w:rsidR="00A51FCF" w:rsidRPr="007A2AEB" w:rsidRDefault="00A51FCF">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El Sujeto Obligado entregó la información en formato abierto, lo cual permite ingresar a la información que ahí se contiene, siendo la siguiente:</w:t>
      </w:r>
    </w:p>
    <w:p w14:paraId="774F4367" w14:textId="77777777" w:rsidR="00A51FCF" w:rsidRPr="007A2AEB" w:rsidRDefault="00A51FCF">
      <w:pPr>
        <w:spacing w:line="360" w:lineRule="auto"/>
        <w:jc w:val="both"/>
        <w:rPr>
          <w:rFonts w:ascii="Palatino Linotype" w:eastAsia="Palatino Linotype" w:hAnsi="Palatino Linotype" w:cs="Palatino Linotype"/>
          <w:sz w:val="22"/>
          <w:szCs w:val="22"/>
        </w:rPr>
      </w:pPr>
    </w:p>
    <w:p w14:paraId="5BA8734E" w14:textId="77777777" w:rsidR="00A51FCF" w:rsidRPr="007A2AEB" w:rsidRDefault="00A51FCF" w:rsidP="00A51FCF">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 xml:space="preserve">Ahora bien, no debe perderse de vista que el Sujeto Obligado entregó una dirección electrónica en formato cerrado; sin embargo, al ingresar a la misma, se localiza la siguiente información: </w:t>
      </w:r>
    </w:p>
    <w:p w14:paraId="685C4C9A" w14:textId="77777777" w:rsidR="00A51FCF" w:rsidRPr="007A2AEB" w:rsidRDefault="00A51FCF" w:rsidP="00A51FCF">
      <w:pPr>
        <w:spacing w:line="360" w:lineRule="auto"/>
        <w:jc w:val="both"/>
        <w:rPr>
          <w:rFonts w:ascii="Palatino Linotype" w:eastAsia="Palatino Linotype" w:hAnsi="Palatino Linotype" w:cs="Palatino Linotype"/>
          <w:sz w:val="22"/>
          <w:szCs w:val="22"/>
        </w:rPr>
      </w:pPr>
    </w:p>
    <w:p w14:paraId="37F3A4E9" w14:textId="77777777" w:rsidR="00A51FCF" w:rsidRPr="007A2AEB" w:rsidRDefault="00A51FCF" w:rsidP="00A51FCF">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noProof/>
          <w:sz w:val="22"/>
          <w:szCs w:val="22"/>
        </w:rPr>
        <w:drawing>
          <wp:inline distT="0" distB="0" distL="0" distR="0" wp14:anchorId="58285DED" wp14:editId="1FA83660">
            <wp:extent cx="5756275" cy="2439035"/>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756275" cy="2439035"/>
                    </a:xfrm>
                    <a:prstGeom prst="rect">
                      <a:avLst/>
                    </a:prstGeom>
                    <a:ln/>
                  </pic:spPr>
                </pic:pic>
              </a:graphicData>
            </a:graphic>
          </wp:inline>
        </w:drawing>
      </w:r>
    </w:p>
    <w:p w14:paraId="190A46E1" w14:textId="77777777" w:rsidR="00A51FCF" w:rsidRPr="007A2AEB" w:rsidRDefault="00A51FCF" w:rsidP="00A51FCF">
      <w:pPr>
        <w:spacing w:line="360" w:lineRule="auto"/>
        <w:jc w:val="both"/>
        <w:rPr>
          <w:rFonts w:ascii="Palatino Linotype" w:eastAsia="Palatino Linotype" w:hAnsi="Palatino Linotype" w:cs="Palatino Linotype"/>
          <w:sz w:val="22"/>
          <w:szCs w:val="22"/>
        </w:rPr>
      </w:pPr>
    </w:p>
    <w:p w14:paraId="195040A9" w14:textId="4BBDA9AF" w:rsidR="00A51FCF" w:rsidRPr="007A2AEB" w:rsidRDefault="00A51FCF">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Tal y como se aprecia, la información que proporcionó el Sujeto Obligado en informe justificado corresponde a información estadística sobre personas desaparecidas, lo cual no se relaciona con la información que solicitó el particular.</w:t>
      </w:r>
    </w:p>
    <w:p w14:paraId="36CD648B" w14:textId="77777777" w:rsidR="00A51FCF" w:rsidRPr="007A2AEB" w:rsidRDefault="00A51FCF">
      <w:pPr>
        <w:spacing w:line="360" w:lineRule="auto"/>
        <w:jc w:val="both"/>
        <w:rPr>
          <w:rFonts w:ascii="Palatino Linotype" w:eastAsia="Palatino Linotype" w:hAnsi="Palatino Linotype" w:cs="Palatino Linotype"/>
          <w:sz w:val="22"/>
          <w:szCs w:val="22"/>
        </w:rPr>
      </w:pPr>
    </w:p>
    <w:p w14:paraId="112DA55E" w14:textId="77777777" w:rsidR="005E5156" w:rsidRPr="007A2AEB" w:rsidRDefault="00A104FE">
      <w:pPr>
        <w:spacing w:before="240" w:after="240"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Establecido lo anterior, es necesario mencionar que, quien dio respuesta es la Fiscalía Especializada Anticorrupción, por lo que es necesario traer a contexto la Ley de la Fiscalía General de Justicia del Estado de México, cuyo contenido es el siguiente:</w:t>
      </w:r>
    </w:p>
    <w:p w14:paraId="1F2DBCBA" w14:textId="77777777" w:rsidR="005E5156" w:rsidRPr="007A2AEB" w:rsidRDefault="00A104FE">
      <w:pPr>
        <w:spacing w:before="240" w:after="240"/>
        <w:ind w:left="567" w:right="843"/>
        <w:jc w:val="center"/>
        <w:rPr>
          <w:rFonts w:ascii="Palatino Linotype" w:eastAsia="Palatino Linotype" w:hAnsi="Palatino Linotype" w:cs="Palatino Linotype"/>
          <w:b/>
          <w:bCs/>
          <w:i/>
          <w:iCs/>
          <w:sz w:val="22"/>
          <w:szCs w:val="22"/>
        </w:rPr>
      </w:pPr>
      <w:r w:rsidRPr="007A2AEB">
        <w:rPr>
          <w:rFonts w:ascii="Palatino Linotype" w:eastAsia="Palatino Linotype" w:hAnsi="Palatino Linotype" w:cs="Palatino Linotype"/>
          <w:b/>
          <w:bCs/>
          <w:i/>
          <w:iCs/>
          <w:sz w:val="22"/>
          <w:szCs w:val="22"/>
        </w:rPr>
        <w:t>CAPÍTULO CUARTO</w:t>
      </w:r>
    </w:p>
    <w:p w14:paraId="38ADE5AE" w14:textId="77777777" w:rsidR="005E5156" w:rsidRPr="007A2AEB" w:rsidRDefault="00A104FE">
      <w:pPr>
        <w:spacing w:before="240" w:after="240"/>
        <w:ind w:left="567" w:right="843"/>
        <w:jc w:val="center"/>
        <w:rPr>
          <w:rFonts w:ascii="Palatino Linotype" w:eastAsia="Palatino Linotype" w:hAnsi="Palatino Linotype" w:cs="Palatino Linotype"/>
          <w:b/>
          <w:bCs/>
          <w:i/>
          <w:iCs/>
          <w:sz w:val="22"/>
          <w:szCs w:val="22"/>
        </w:rPr>
      </w:pPr>
      <w:r w:rsidRPr="007A2AEB">
        <w:rPr>
          <w:rFonts w:ascii="Palatino Linotype" w:eastAsia="Palatino Linotype" w:hAnsi="Palatino Linotype" w:cs="Palatino Linotype"/>
          <w:b/>
          <w:bCs/>
          <w:i/>
          <w:iCs/>
          <w:sz w:val="22"/>
          <w:szCs w:val="22"/>
        </w:rPr>
        <w:t>DE LA ESTRUCTURA ORGÁNICA DE LA FISCALÍA GENERAL</w:t>
      </w:r>
    </w:p>
    <w:p w14:paraId="02510597" w14:textId="77777777" w:rsidR="005E5156" w:rsidRPr="007A2AEB" w:rsidRDefault="00A104FE">
      <w:pPr>
        <w:spacing w:before="240" w:after="240"/>
        <w:ind w:left="567" w:right="843"/>
        <w:jc w:val="center"/>
        <w:rPr>
          <w:rFonts w:ascii="Palatino Linotype" w:eastAsia="Palatino Linotype" w:hAnsi="Palatino Linotype" w:cs="Palatino Linotype"/>
          <w:b/>
          <w:bCs/>
          <w:i/>
          <w:iCs/>
          <w:sz w:val="22"/>
          <w:szCs w:val="22"/>
        </w:rPr>
      </w:pPr>
      <w:r w:rsidRPr="007A2AEB">
        <w:rPr>
          <w:rFonts w:ascii="Palatino Linotype" w:eastAsia="Palatino Linotype" w:hAnsi="Palatino Linotype" w:cs="Palatino Linotype"/>
          <w:b/>
          <w:bCs/>
          <w:i/>
          <w:iCs/>
          <w:sz w:val="22"/>
          <w:szCs w:val="22"/>
        </w:rPr>
        <w:t>DE JUSTICIA DEL ESTADO DE MÉXICO</w:t>
      </w:r>
    </w:p>
    <w:p w14:paraId="795024A7" w14:textId="77777777" w:rsidR="005E5156" w:rsidRPr="007A2AEB" w:rsidRDefault="00A104FE">
      <w:pPr>
        <w:spacing w:before="240" w:after="240"/>
        <w:ind w:left="567" w:right="843"/>
        <w:jc w:val="both"/>
        <w:rPr>
          <w:rFonts w:ascii="Palatino Linotype" w:eastAsia="Palatino Linotype" w:hAnsi="Palatino Linotype" w:cs="Palatino Linotype"/>
          <w:b/>
          <w:bCs/>
          <w:i/>
          <w:iCs/>
          <w:sz w:val="22"/>
          <w:szCs w:val="22"/>
        </w:rPr>
      </w:pPr>
      <w:r w:rsidRPr="007A2AEB">
        <w:rPr>
          <w:rFonts w:ascii="Palatino Linotype" w:eastAsia="Palatino Linotype" w:hAnsi="Palatino Linotype" w:cs="Palatino Linotype"/>
          <w:b/>
          <w:bCs/>
          <w:i/>
          <w:iCs/>
          <w:sz w:val="22"/>
          <w:szCs w:val="22"/>
        </w:rPr>
        <w:t>Artículo 28. Para el despacho de los asuntos que competen a la Fiscalía, esta se auxiliará de las unidades administrativas siguientes:</w:t>
      </w:r>
    </w:p>
    <w:p w14:paraId="129B20B8" w14:textId="77777777" w:rsidR="005E5156" w:rsidRPr="007A2AEB" w:rsidRDefault="00A104FE">
      <w:pPr>
        <w:spacing w:before="240" w:after="240"/>
        <w:ind w:left="567" w:right="843"/>
        <w:jc w:val="both"/>
        <w:rPr>
          <w:rFonts w:ascii="Palatino Linotype" w:eastAsia="Palatino Linotype" w:hAnsi="Palatino Linotype" w:cs="Palatino Linotype"/>
          <w:b/>
          <w:bCs/>
          <w:i/>
          <w:iCs/>
          <w:sz w:val="22"/>
          <w:szCs w:val="22"/>
        </w:rPr>
      </w:pPr>
      <w:r w:rsidRPr="007A2AEB">
        <w:rPr>
          <w:rFonts w:ascii="Palatino Linotype" w:eastAsia="Palatino Linotype" w:hAnsi="Palatino Linotype" w:cs="Palatino Linotype"/>
          <w:b/>
          <w:bCs/>
          <w:i/>
          <w:iCs/>
          <w:sz w:val="22"/>
          <w:szCs w:val="22"/>
        </w:rPr>
        <w:t>…</w:t>
      </w:r>
    </w:p>
    <w:p w14:paraId="6442FB99" w14:textId="77777777" w:rsidR="005E5156" w:rsidRPr="007A2AEB" w:rsidRDefault="00A104FE">
      <w:pPr>
        <w:spacing w:before="240" w:after="240"/>
        <w:ind w:left="567" w:right="843"/>
        <w:jc w:val="both"/>
        <w:rPr>
          <w:rFonts w:ascii="Palatino Linotype" w:eastAsia="Palatino Linotype" w:hAnsi="Palatino Linotype" w:cs="Palatino Linotype"/>
          <w:b/>
          <w:bCs/>
          <w:i/>
          <w:iCs/>
          <w:sz w:val="22"/>
          <w:szCs w:val="22"/>
        </w:rPr>
      </w:pPr>
      <w:r w:rsidRPr="007A2AEB">
        <w:rPr>
          <w:rFonts w:ascii="Palatino Linotype" w:eastAsia="Palatino Linotype" w:hAnsi="Palatino Linotype" w:cs="Palatino Linotype"/>
          <w:b/>
          <w:bCs/>
          <w:i/>
          <w:iCs/>
          <w:sz w:val="22"/>
          <w:szCs w:val="22"/>
        </w:rPr>
        <w:t>IV. Fiscalías regionales y especializadas.</w:t>
      </w:r>
    </w:p>
    <w:p w14:paraId="78BB04BB" w14:textId="77777777" w:rsidR="005E5156" w:rsidRPr="007A2AEB" w:rsidRDefault="00A104FE">
      <w:pPr>
        <w:spacing w:before="240" w:after="240"/>
        <w:ind w:left="567" w:right="843"/>
        <w:jc w:val="both"/>
        <w:rPr>
          <w:rFonts w:ascii="Palatino Linotype" w:eastAsia="Palatino Linotype" w:hAnsi="Palatino Linotype" w:cs="Palatino Linotype"/>
          <w:b/>
          <w:bCs/>
          <w:i/>
          <w:iCs/>
          <w:sz w:val="22"/>
          <w:szCs w:val="22"/>
        </w:rPr>
      </w:pPr>
      <w:r w:rsidRPr="007A2AEB">
        <w:rPr>
          <w:rFonts w:ascii="Palatino Linotype" w:eastAsia="Palatino Linotype" w:hAnsi="Palatino Linotype" w:cs="Palatino Linotype"/>
          <w:b/>
          <w:bCs/>
          <w:i/>
          <w:iCs/>
          <w:sz w:val="22"/>
          <w:szCs w:val="22"/>
        </w:rPr>
        <w:t>…</w:t>
      </w:r>
    </w:p>
    <w:p w14:paraId="39B16635" w14:textId="77777777" w:rsidR="005E5156" w:rsidRPr="007A2AEB" w:rsidRDefault="00A104FE">
      <w:pPr>
        <w:spacing w:before="240" w:after="240"/>
        <w:ind w:left="567" w:right="843"/>
        <w:jc w:val="both"/>
        <w:rPr>
          <w:rFonts w:ascii="Palatino Linotype" w:eastAsia="Palatino Linotype" w:hAnsi="Palatino Linotype" w:cs="Palatino Linotype"/>
          <w:b/>
          <w:bCs/>
          <w:i/>
          <w:iCs/>
          <w:sz w:val="22"/>
          <w:szCs w:val="22"/>
        </w:rPr>
      </w:pPr>
      <w:r w:rsidRPr="007A2AEB">
        <w:rPr>
          <w:rFonts w:ascii="Palatino Linotype" w:eastAsia="Palatino Linotype" w:hAnsi="Palatino Linotype" w:cs="Palatino Linotype"/>
          <w:b/>
          <w:bCs/>
          <w:i/>
          <w:iCs/>
          <w:sz w:val="22"/>
          <w:szCs w:val="22"/>
        </w:rPr>
        <w:t>Artículo 29. La Fiscalía contará con las Fiscalías Especializadas en las materias siguientes:</w:t>
      </w:r>
    </w:p>
    <w:p w14:paraId="65AAC4DC" w14:textId="77777777" w:rsidR="005E5156" w:rsidRPr="007A2AEB" w:rsidRDefault="00A104FE">
      <w:pPr>
        <w:spacing w:before="240" w:after="240"/>
        <w:ind w:left="567" w:right="843"/>
        <w:jc w:val="both"/>
        <w:rPr>
          <w:rFonts w:ascii="Palatino Linotype" w:eastAsia="Palatino Linotype" w:hAnsi="Palatino Linotype" w:cs="Palatino Linotype"/>
          <w:bCs/>
          <w:i/>
          <w:iCs/>
          <w:sz w:val="22"/>
          <w:szCs w:val="22"/>
        </w:rPr>
      </w:pPr>
      <w:r w:rsidRPr="007A2AEB">
        <w:rPr>
          <w:rFonts w:ascii="Palatino Linotype" w:eastAsia="Palatino Linotype" w:hAnsi="Palatino Linotype" w:cs="Palatino Linotype"/>
          <w:bCs/>
          <w:i/>
          <w:iCs/>
          <w:sz w:val="22"/>
          <w:szCs w:val="22"/>
        </w:rPr>
        <w:t xml:space="preserve">I. Anticorrupción. </w:t>
      </w:r>
    </w:p>
    <w:p w14:paraId="634F224F" w14:textId="77777777" w:rsidR="005E5156" w:rsidRPr="007A2AEB" w:rsidRDefault="00A104FE">
      <w:pPr>
        <w:spacing w:before="240" w:after="240"/>
        <w:ind w:left="567" w:right="843"/>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 xml:space="preserve">II. Delitos vinculados a la violencia de género. </w:t>
      </w:r>
    </w:p>
    <w:p w14:paraId="6DE40A3C" w14:textId="77777777" w:rsidR="005E5156" w:rsidRPr="007A2AEB" w:rsidRDefault="00A104FE">
      <w:pPr>
        <w:spacing w:before="240" w:after="240"/>
        <w:ind w:left="567" w:right="843"/>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 xml:space="preserve">III. Delitos cometidos por adolescentes. </w:t>
      </w:r>
    </w:p>
    <w:p w14:paraId="6069A252" w14:textId="77777777" w:rsidR="005E5156" w:rsidRPr="007A2AEB" w:rsidRDefault="00A104FE">
      <w:pPr>
        <w:spacing w:before="240" w:after="240"/>
        <w:ind w:left="567" w:right="843"/>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 xml:space="preserve">IV. Delitos electorales. </w:t>
      </w:r>
    </w:p>
    <w:p w14:paraId="4F850DD0" w14:textId="77777777" w:rsidR="005E5156" w:rsidRPr="007A2AEB" w:rsidRDefault="00A104FE">
      <w:pPr>
        <w:spacing w:before="240" w:after="240"/>
        <w:ind w:left="567" w:right="843"/>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V. Para la Atención de los Delitos cometidos contra la Libertad de Expresión, Periodistas y Personas Defensoras de Derechos Humanos.</w:t>
      </w:r>
    </w:p>
    <w:p w14:paraId="3E6FBF3A" w14:textId="77777777" w:rsidR="005E5156" w:rsidRPr="007A2AEB" w:rsidRDefault="00A104FE">
      <w:pPr>
        <w:spacing w:before="240" w:after="240"/>
        <w:ind w:left="567" w:right="843"/>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 xml:space="preserve">VI. Las demás que se establezcan en el Reglamento. </w:t>
      </w:r>
    </w:p>
    <w:p w14:paraId="6007E5AA" w14:textId="77777777" w:rsidR="005E5156" w:rsidRPr="007A2AEB" w:rsidRDefault="00A104FE">
      <w:pPr>
        <w:spacing w:before="240" w:after="240"/>
        <w:ind w:left="567" w:right="843"/>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El personal operativo que integre las unidades administrativas antes referidas contará con la capacitación y en su caso especialización continua en los asuntos de su competencia, observando las mejores prácticas para el desempeño de sus funciones y la atención de las víctimas u ofendidos.</w:t>
      </w:r>
    </w:p>
    <w:p w14:paraId="2A02A38B" w14:textId="77777777" w:rsidR="005E5156" w:rsidRPr="007A2AEB" w:rsidRDefault="005E5156">
      <w:pPr>
        <w:pBdr>
          <w:top w:val="nil"/>
          <w:left w:val="nil"/>
          <w:bottom w:val="nil"/>
          <w:right w:val="nil"/>
          <w:between w:val="nil"/>
        </w:pBdr>
        <w:spacing w:before="120" w:after="120" w:line="360" w:lineRule="auto"/>
        <w:ind w:right="843"/>
        <w:jc w:val="both"/>
        <w:rPr>
          <w:rFonts w:ascii="Palatino Linotype" w:eastAsia="Palatino Linotype" w:hAnsi="Palatino Linotype" w:cs="Palatino Linotype"/>
          <w:sz w:val="22"/>
          <w:szCs w:val="22"/>
        </w:rPr>
      </w:pPr>
    </w:p>
    <w:p w14:paraId="4248DDD8" w14:textId="77777777" w:rsidR="005E5156" w:rsidRPr="007A2AEB" w:rsidRDefault="00A104FE">
      <w:pPr>
        <w:pBdr>
          <w:top w:val="nil"/>
          <w:left w:val="nil"/>
          <w:bottom w:val="nil"/>
          <w:right w:val="nil"/>
          <w:between w:val="nil"/>
        </w:pBdr>
        <w:spacing w:before="120" w:after="120" w:line="360" w:lineRule="auto"/>
        <w:ind w:right="843"/>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Por su parte, el acuerdo número 02/2018, del Fiscal General de Justicia del Estado de México, por el que se cambia la denominación y se amplían las facultades de la Fiscalía Especializada para la Investigación de Personas Desaparecidas, no Localizadas, Ausentes o Extraviadas de la Fiscalía General de Justicia del Estado de México, establece lo siguiente:</w:t>
      </w:r>
    </w:p>
    <w:p w14:paraId="007372DA" w14:textId="77777777" w:rsidR="005E5156" w:rsidRPr="007A2AEB" w:rsidRDefault="005E5156">
      <w:pPr>
        <w:pBdr>
          <w:top w:val="nil"/>
          <w:left w:val="nil"/>
          <w:bottom w:val="nil"/>
          <w:right w:val="nil"/>
          <w:between w:val="nil"/>
        </w:pBdr>
        <w:spacing w:before="120" w:after="120" w:line="360" w:lineRule="auto"/>
        <w:ind w:right="843"/>
        <w:jc w:val="both"/>
        <w:rPr>
          <w:rFonts w:ascii="Palatino Linotype" w:eastAsia="Palatino Linotype" w:hAnsi="Palatino Linotype" w:cs="Palatino Linotype"/>
          <w:sz w:val="22"/>
          <w:szCs w:val="22"/>
        </w:rPr>
      </w:pPr>
    </w:p>
    <w:p w14:paraId="6809BE54" w14:textId="77777777" w:rsidR="005E5156" w:rsidRPr="007A2AEB" w:rsidRDefault="00A104FE">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b/>
          <w:bCs/>
          <w:i/>
          <w:iCs/>
          <w:sz w:val="22"/>
          <w:szCs w:val="22"/>
        </w:rPr>
      </w:pPr>
      <w:r w:rsidRPr="007A2AEB">
        <w:rPr>
          <w:rFonts w:ascii="Palatino Linotype" w:eastAsia="Palatino Linotype" w:hAnsi="Palatino Linotype" w:cs="Palatino Linotype"/>
          <w:b/>
          <w:bCs/>
          <w:i/>
          <w:iCs/>
          <w:sz w:val="22"/>
          <w:szCs w:val="22"/>
        </w:rPr>
        <w:t xml:space="preserve">SEGUNDO.- Ampliación de facultades </w:t>
      </w:r>
    </w:p>
    <w:p w14:paraId="58D79201" w14:textId="77777777" w:rsidR="005E5156" w:rsidRPr="007A2AEB" w:rsidRDefault="00A104FE">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 xml:space="preserve">La Fiscalía Especializada, contará con las atribuciones siguientes: </w:t>
      </w:r>
    </w:p>
    <w:p w14:paraId="61090E79" w14:textId="77777777" w:rsidR="005E5156" w:rsidRPr="007A2AEB" w:rsidRDefault="00A104FE">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 xml:space="preserve">A) En la Investigación y persecución de los delitos de desaparición forzada y aquella cometida por particulares, así como los delitos vinculados que establece la Ley General en Materia de Desaparición Forzada de Personas, Desaparición Cometida por Particulares y del Sistema Nacional de Búsqueda de Personas, en adelante la Ley General: </w:t>
      </w:r>
    </w:p>
    <w:p w14:paraId="337D1731" w14:textId="77777777" w:rsidR="005E5156" w:rsidRPr="007A2AEB" w:rsidRDefault="00A104FE">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b/>
          <w:bCs/>
          <w:i/>
          <w:iCs/>
          <w:sz w:val="22"/>
          <w:szCs w:val="22"/>
          <w:u w:val="single"/>
        </w:rPr>
      </w:pPr>
      <w:r w:rsidRPr="007A2AEB">
        <w:rPr>
          <w:rFonts w:ascii="Palatino Linotype" w:eastAsia="Palatino Linotype" w:hAnsi="Palatino Linotype" w:cs="Palatino Linotype"/>
          <w:b/>
          <w:bCs/>
          <w:i/>
          <w:iCs/>
          <w:sz w:val="22"/>
          <w:szCs w:val="22"/>
        </w:rPr>
        <w:t xml:space="preserve">I. Recibir las Denuncias relacionadas con la probable comisión de hechos constitutivos de los delitos materia de la Ley General </w:t>
      </w:r>
      <w:r w:rsidRPr="007A2AEB">
        <w:rPr>
          <w:rFonts w:ascii="Palatino Linotype" w:eastAsia="Palatino Linotype" w:hAnsi="Palatino Linotype" w:cs="Palatino Linotype"/>
          <w:b/>
          <w:bCs/>
          <w:i/>
          <w:iCs/>
          <w:sz w:val="22"/>
          <w:szCs w:val="22"/>
          <w:u w:val="single"/>
        </w:rPr>
        <w:t>e iniciar la carpeta de investigación correspondiente;</w:t>
      </w:r>
    </w:p>
    <w:p w14:paraId="60EF8778" w14:textId="77777777" w:rsidR="005E5156" w:rsidRPr="007A2AEB" w:rsidRDefault="005E5156">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i/>
          <w:iCs/>
          <w:sz w:val="22"/>
          <w:szCs w:val="22"/>
        </w:rPr>
      </w:pPr>
    </w:p>
    <w:p w14:paraId="602CEA2C" w14:textId="77777777" w:rsidR="005E5156" w:rsidRPr="007A2AEB" w:rsidRDefault="00A104FE">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B) En la búsqueda y localización de Personas Desaparecidas:</w:t>
      </w:r>
    </w:p>
    <w:p w14:paraId="3620832F" w14:textId="77777777" w:rsidR="005E5156" w:rsidRPr="007A2AEB" w:rsidRDefault="00A104FE">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w:t>
      </w:r>
    </w:p>
    <w:p w14:paraId="18557CD1" w14:textId="77777777" w:rsidR="005E5156" w:rsidRPr="007A2AEB" w:rsidRDefault="00A104FE">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 xml:space="preserve">III. Iniciar la noticia en todos los casos en que tenga conocimiento de la desaparición de alguna persona, y </w:t>
      </w:r>
      <w:r w:rsidRPr="007A2AEB">
        <w:rPr>
          <w:rFonts w:ascii="Palatino Linotype" w:eastAsia="Palatino Linotype" w:hAnsi="Palatino Linotype" w:cs="Palatino Linotype"/>
          <w:b/>
          <w:bCs/>
          <w:i/>
          <w:iCs/>
          <w:sz w:val="22"/>
          <w:szCs w:val="22"/>
        </w:rPr>
        <w:t>elevarla a Carpeta de Investigación</w:t>
      </w:r>
      <w:r w:rsidRPr="007A2AEB">
        <w:rPr>
          <w:rFonts w:ascii="Palatino Linotype" w:eastAsia="Palatino Linotype" w:hAnsi="Palatino Linotype" w:cs="Palatino Linotype"/>
          <w:i/>
          <w:iCs/>
          <w:sz w:val="22"/>
          <w:szCs w:val="22"/>
        </w:rPr>
        <w:t xml:space="preserve"> cuando en ella se identifiquen elementos que presuman la comisión de un hecho delictuoso;</w:t>
      </w:r>
    </w:p>
    <w:p w14:paraId="22A21021" w14:textId="77777777" w:rsidR="005E5156" w:rsidRPr="007A2AEB" w:rsidRDefault="00A104FE">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i/>
          <w:iCs/>
          <w:sz w:val="22"/>
          <w:szCs w:val="22"/>
        </w:rPr>
        <w:t>…</w:t>
      </w:r>
    </w:p>
    <w:p w14:paraId="3E51904A" w14:textId="77777777" w:rsidR="005E5156" w:rsidRPr="007A2AEB" w:rsidRDefault="00A104FE">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i/>
          <w:iCs/>
          <w:sz w:val="22"/>
          <w:szCs w:val="22"/>
        </w:rPr>
      </w:pPr>
      <w:r w:rsidRPr="007A2AEB">
        <w:rPr>
          <w:rFonts w:ascii="Palatino Linotype" w:eastAsia="Palatino Linotype" w:hAnsi="Palatino Linotype" w:cs="Palatino Linotype"/>
          <w:b/>
          <w:bCs/>
          <w:i/>
          <w:iCs/>
          <w:sz w:val="22"/>
          <w:szCs w:val="22"/>
        </w:rPr>
        <w:t>V. Dirigir y actualizar la base de datos de personas reportadas como desaparecidas, con la información de las noticias criminales, y en su caso carpetas de investigación iniciadas con este motivo;</w:t>
      </w:r>
      <w:r w:rsidRPr="007A2AEB">
        <w:rPr>
          <w:rFonts w:ascii="Palatino Linotype" w:eastAsia="Palatino Linotype" w:hAnsi="Palatino Linotype" w:cs="Palatino Linotype"/>
          <w:i/>
          <w:iCs/>
          <w:sz w:val="22"/>
          <w:szCs w:val="22"/>
        </w:rPr>
        <w:t xml:space="preserve"> coordinando esta información con la que otras dependencias emitan en la materia;</w:t>
      </w:r>
    </w:p>
    <w:p w14:paraId="5A19399A" w14:textId="77777777" w:rsidR="005E5156" w:rsidRPr="007A2AEB" w:rsidRDefault="005E5156">
      <w:pPr>
        <w:pBdr>
          <w:top w:val="nil"/>
          <w:left w:val="nil"/>
          <w:bottom w:val="nil"/>
          <w:right w:val="nil"/>
          <w:between w:val="nil"/>
        </w:pBdr>
        <w:spacing w:before="120" w:after="120" w:line="360" w:lineRule="auto"/>
        <w:ind w:right="843"/>
        <w:jc w:val="both"/>
        <w:rPr>
          <w:rFonts w:ascii="Palatino Linotype" w:eastAsia="Palatino Linotype" w:hAnsi="Palatino Linotype" w:cs="Palatino Linotype"/>
          <w:i/>
          <w:iCs/>
          <w:sz w:val="22"/>
          <w:szCs w:val="22"/>
        </w:rPr>
      </w:pPr>
    </w:p>
    <w:p w14:paraId="14C3B72B" w14:textId="77777777" w:rsidR="005E5156" w:rsidRPr="007A2AEB" w:rsidRDefault="00A104FE">
      <w:pPr>
        <w:pBdr>
          <w:top w:val="nil"/>
          <w:left w:val="nil"/>
          <w:bottom w:val="nil"/>
          <w:right w:val="nil"/>
          <w:between w:val="nil"/>
        </w:pBdr>
        <w:spacing w:before="120" w:after="120" w:line="360" w:lineRule="auto"/>
        <w:ind w:right="-7"/>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 xml:space="preserve">Tal y como se aprecia, la Fiscalía Especializada para la Investigación de Personas Desaparecidas, no Localizadas, Ausentes o Extraviadas de la Fiscalía General de Justicia del Estado de México tiene atribuciones para iniciar carpetas de investigación por denuncias por delitos vinculados que establece la Ley General en Materia de Desaparición Forzada de Personas, Desaparición Cometida por Particulares y del Sistema Nacional de Búsqueda de Personas, así como dirigir y actualizar la base de datos de personas reportadas como desaparecidas y, en su caso, carpetas de investigación iniciadas con ese motivo. </w:t>
      </w:r>
    </w:p>
    <w:p w14:paraId="3356A784" w14:textId="77777777" w:rsidR="005E5156" w:rsidRPr="007A2AEB" w:rsidRDefault="00A104FE">
      <w:pPr>
        <w:pBdr>
          <w:top w:val="nil"/>
          <w:left w:val="nil"/>
          <w:bottom w:val="nil"/>
          <w:right w:val="nil"/>
          <w:between w:val="nil"/>
        </w:pBdr>
        <w:spacing w:before="120" w:after="120" w:line="360" w:lineRule="auto"/>
        <w:ind w:right="-7"/>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 xml:space="preserve">Entonces, al haber turnado la solicitud a la Fiscalía Especializada para la Investigación de Personas Desaparecidas, no Localizadas, Ausentes o Extraviadas es que se tiene que se siguió con ello el procedimiento para la atención a las solicitudes de acceso a la información, establecido en los artículos 151, 160, 162, 163, 164, 165 y 166, de la Ley de Transparencia y Acceso a la Información Pública del Estado de México y Municipios:  </w:t>
      </w:r>
    </w:p>
    <w:p w14:paraId="1E6543F4" w14:textId="77777777" w:rsidR="005E5156" w:rsidRPr="007A2AEB" w:rsidRDefault="00A104FE">
      <w:pPr>
        <w:spacing w:after="240" w:line="360" w:lineRule="auto"/>
        <w:ind w:left="284"/>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2DECA8AE" w14:textId="77777777" w:rsidR="005E5156" w:rsidRPr="007A2AEB" w:rsidRDefault="00A104FE">
      <w:pPr>
        <w:spacing w:after="240" w:line="360" w:lineRule="auto"/>
        <w:ind w:left="284"/>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6B0FE829" w14:textId="77777777" w:rsidR="005E5156" w:rsidRPr="007A2AEB" w:rsidRDefault="00A104FE">
      <w:pPr>
        <w:spacing w:after="240" w:line="360" w:lineRule="auto"/>
        <w:ind w:left="284"/>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5C4A5BA3" w14:textId="77777777" w:rsidR="005E5156" w:rsidRPr="007A2AEB" w:rsidRDefault="00A104FE">
      <w:pPr>
        <w:spacing w:after="240" w:line="360" w:lineRule="auto"/>
        <w:ind w:left="284"/>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2BAA680A" w14:textId="77777777" w:rsidR="005E5156" w:rsidRPr="007A2AEB" w:rsidRDefault="00A104FE">
      <w:pPr>
        <w:spacing w:after="240" w:line="360" w:lineRule="auto"/>
        <w:ind w:left="284"/>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436609B8" w14:textId="77777777" w:rsidR="005E5156" w:rsidRPr="007A2AEB" w:rsidRDefault="00A104FE">
      <w:pPr>
        <w:spacing w:after="240" w:line="360" w:lineRule="auto"/>
        <w:ind w:left="284"/>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3C8FB9A0" w14:textId="77777777" w:rsidR="005E5156" w:rsidRPr="007A2AEB" w:rsidRDefault="00A104FE">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En este orden de ideas, se reitera que la solicitud al turnarse a la unidad administrativa que cuentan con atribuciones para generar, administrar o poseer la información relacionada con facturas por contratos es que se acreditó la correcta búsqueda exhaustiva y razonable de la información.</w:t>
      </w:r>
    </w:p>
    <w:p w14:paraId="70D10A89" w14:textId="77777777" w:rsidR="005E5156" w:rsidRPr="007A2AEB" w:rsidRDefault="005E5156">
      <w:pPr>
        <w:spacing w:line="360" w:lineRule="auto"/>
        <w:jc w:val="both"/>
        <w:rPr>
          <w:rFonts w:ascii="Palatino Linotype" w:eastAsia="Palatino Linotype" w:hAnsi="Palatino Linotype" w:cs="Palatino Linotype"/>
          <w:sz w:val="22"/>
          <w:szCs w:val="22"/>
        </w:rPr>
      </w:pPr>
    </w:p>
    <w:p w14:paraId="140872EA" w14:textId="4DE6EC11" w:rsidR="005E5156" w:rsidRPr="007A2AEB" w:rsidRDefault="00A104FE">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Ahora bien, no debe perderse de vista que el Sujeto Obligado entregó un</w:t>
      </w:r>
      <w:r w:rsidR="00A51FCF" w:rsidRPr="007A2AEB">
        <w:rPr>
          <w:rFonts w:ascii="Palatino Linotype" w:eastAsia="Palatino Linotype" w:hAnsi="Palatino Linotype" w:cs="Palatino Linotype"/>
          <w:sz w:val="22"/>
          <w:szCs w:val="22"/>
        </w:rPr>
        <w:t xml:space="preserve">a dirección electrónica que contiene información estadística sobre personas desaparecidas y no localizadas, lo cual no se relaciona con la información requerida por el particular, toda vez que </w:t>
      </w:r>
      <w:r w:rsidR="00CF3345" w:rsidRPr="007A2AEB">
        <w:rPr>
          <w:rFonts w:ascii="Palatino Linotype" w:eastAsia="Palatino Linotype" w:hAnsi="Palatino Linotype" w:cs="Palatino Linotype"/>
          <w:sz w:val="22"/>
          <w:szCs w:val="22"/>
        </w:rPr>
        <w:t xml:space="preserve">el requerimiento inicial versa sobre el número estadístico de las carpetas de investigación iniciadas </w:t>
      </w:r>
      <w:r w:rsidRPr="007A2AEB">
        <w:rPr>
          <w:rFonts w:ascii="Palatino Linotype" w:eastAsia="Palatino Linotype" w:hAnsi="Palatino Linotype" w:cs="Palatino Linotype"/>
          <w:sz w:val="22"/>
          <w:szCs w:val="22"/>
        </w:rPr>
        <w:t>del diecisiete de noviembre de dos mil diecisiete al treinta de septiembre de dos mil veinticuatro.</w:t>
      </w:r>
    </w:p>
    <w:p w14:paraId="232D32FB" w14:textId="77777777" w:rsidR="005E5156" w:rsidRPr="007A2AEB" w:rsidRDefault="005E5156">
      <w:pPr>
        <w:spacing w:line="360" w:lineRule="auto"/>
        <w:jc w:val="both"/>
        <w:rPr>
          <w:rFonts w:ascii="Palatino Linotype" w:eastAsia="Palatino Linotype" w:hAnsi="Palatino Linotype" w:cs="Palatino Linotype"/>
          <w:sz w:val="22"/>
          <w:szCs w:val="22"/>
        </w:rPr>
      </w:pPr>
    </w:p>
    <w:p w14:paraId="180994F6" w14:textId="77777777" w:rsidR="005E5156" w:rsidRPr="007A2AEB" w:rsidRDefault="00A104FE">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 xml:space="preserve">Sin embargo, no pasa desapercibido que el Sujeto Obligado cuenta con atribuciones dirigir y actualizar la base de datos de personas reportadas como desaparecidas </w:t>
      </w:r>
      <w:r w:rsidRPr="007A2AEB">
        <w:rPr>
          <w:rFonts w:ascii="Palatino Linotype" w:eastAsia="Palatino Linotype" w:hAnsi="Palatino Linotype" w:cs="Palatino Linotype"/>
          <w:b/>
          <w:bCs/>
          <w:sz w:val="22"/>
          <w:szCs w:val="22"/>
        </w:rPr>
        <w:t>y en su caso las carpetas de investigación iniciadas</w:t>
      </w:r>
      <w:r w:rsidRPr="007A2AEB">
        <w:rPr>
          <w:rFonts w:ascii="Palatino Linotype" w:eastAsia="Palatino Linotype" w:hAnsi="Palatino Linotype" w:cs="Palatino Linotype"/>
          <w:sz w:val="22"/>
          <w:szCs w:val="22"/>
        </w:rPr>
        <w:t xml:space="preserve"> con ese motivo, razón por la que se considera que genera, administra y posee la información de interés para el particular. </w:t>
      </w:r>
    </w:p>
    <w:p w14:paraId="42A469AC" w14:textId="77777777" w:rsidR="005E5156" w:rsidRPr="007A2AEB" w:rsidRDefault="005E5156">
      <w:pPr>
        <w:spacing w:line="360" w:lineRule="auto"/>
        <w:jc w:val="both"/>
        <w:rPr>
          <w:rFonts w:ascii="Palatino Linotype" w:eastAsia="Palatino Linotype" w:hAnsi="Palatino Linotype" w:cs="Palatino Linotype"/>
          <w:sz w:val="22"/>
          <w:szCs w:val="22"/>
        </w:rPr>
      </w:pPr>
    </w:p>
    <w:p w14:paraId="3876D030" w14:textId="77777777" w:rsidR="005E5156" w:rsidRPr="007A2AEB" w:rsidRDefault="00A104FE">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 xml:space="preserve">Lo anterior, cobra relevancia con lo manifestado por el Sujeto Obligado en informe justificado, ya que indicó que la totalidad de las carpetas de investigación no corresponden a delitos de desaparición, señalando que un número reducido de los casos se encuentra vinculado a dichas conductas. Este hecho corresponde a la naturaleza de los casos en los que se inicia la investigación, conforme a los parámetros establecidos en la normatividad vigente, y a la clasificación de los hechos denunciados que, en su gran mayoría, no resultan en la tipificación de las desapariciones bajo las referidas modalidades. </w:t>
      </w:r>
    </w:p>
    <w:p w14:paraId="411DA012" w14:textId="77777777" w:rsidR="005E5156" w:rsidRPr="007A2AEB" w:rsidRDefault="005E5156">
      <w:pPr>
        <w:spacing w:line="360" w:lineRule="auto"/>
        <w:jc w:val="both"/>
        <w:rPr>
          <w:rFonts w:ascii="Palatino Linotype" w:eastAsia="Palatino Linotype" w:hAnsi="Palatino Linotype" w:cs="Palatino Linotype"/>
          <w:sz w:val="22"/>
          <w:szCs w:val="22"/>
        </w:rPr>
      </w:pPr>
    </w:p>
    <w:p w14:paraId="2892BC31" w14:textId="77777777" w:rsidR="005E5156" w:rsidRPr="007A2AEB" w:rsidRDefault="00A104FE">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Con la manifestación vertida en informe justificado se determina que el Sujeto Obligado cuenta con la información requerida por el particular, por lo que se ordena los documentos donde conste el número de carpetas de investigación iniciadas del diecisiete de noviembre de dos mil diecisiete al treinta de septiembre de dos mil veinticuatro.</w:t>
      </w:r>
    </w:p>
    <w:p w14:paraId="7AC08B07" w14:textId="77777777" w:rsidR="004A3DDD" w:rsidRPr="007A2AEB" w:rsidRDefault="004A3DDD">
      <w:pPr>
        <w:spacing w:line="360" w:lineRule="auto"/>
        <w:jc w:val="both"/>
        <w:rPr>
          <w:rFonts w:ascii="Palatino Linotype" w:eastAsia="Palatino Linotype" w:hAnsi="Palatino Linotype" w:cs="Palatino Linotype"/>
          <w:sz w:val="22"/>
          <w:szCs w:val="22"/>
        </w:rPr>
      </w:pPr>
    </w:p>
    <w:p w14:paraId="4FD82720" w14:textId="260B6202" w:rsidR="004A3DDD" w:rsidRPr="007A2AEB" w:rsidRDefault="004A3DDD" w:rsidP="004A3DDD">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Derivado de la naturaleza de la información requerida, debe precisarse que conforme con el Acuerdo Número 16/2016</w:t>
      </w:r>
      <w:r w:rsidRPr="007A2AEB">
        <w:rPr>
          <w:rFonts w:ascii="Palatino Linotype" w:eastAsia="Palatino Linotype" w:hAnsi="Palatino Linotype" w:cs="Palatino Linotype"/>
          <w:sz w:val="22"/>
          <w:szCs w:val="22"/>
          <w:vertAlign w:val="superscript"/>
        </w:rPr>
        <w:footnoteReference w:id="1"/>
      </w:r>
      <w:r w:rsidRPr="007A2AEB">
        <w:rPr>
          <w:rFonts w:ascii="Palatino Linotype" w:eastAsia="Palatino Linotype" w:hAnsi="Palatino Linotype" w:cs="Palatino Linotype"/>
          <w:sz w:val="22"/>
          <w:szCs w:val="22"/>
        </w:rPr>
        <w:t xml:space="preserve">, Mediante el que se crea el Sistema Informático de Gestión Institucional del Procedimiento Penal en el Estado de México “Sigippem”, de la entonces Procuraduría General de Justicia del Estado de México, mismo que el Procurador General de Justicia del Estado de México instruye su uso obligatorio, en el cual, dentro de su artículo segundo establece quienes operaran dicho sistema y establece como se deberá de generar el número interno de control (NIC), y en caso de que sea necesario realizar una carpeta de investigación se generará el número único de causa (NUC), como a continuación se indica: </w:t>
      </w:r>
    </w:p>
    <w:p w14:paraId="3261E79E" w14:textId="77777777" w:rsidR="004A3DDD" w:rsidRPr="007A2AEB" w:rsidRDefault="004A3DDD" w:rsidP="004A3DDD">
      <w:pPr>
        <w:spacing w:before="240" w:after="240"/>
        <w:ind w:left="567" w:right="567"/>
        <w:jc w:val="both"/>
        <w:rPr>
          <w:rFonts w:ascii="Palatino Linotype" w:eastAsia="Palatino Linotype" w:hAnsi="Palatino Linotype" w:cs="Palatino Linotype"/>
          <w:i/>
          <w:sz w:val="22"/>
          <w:szCs w:val="22"/>
        </w:rPr>
      </w:pPr>
      <w:r w:rsidRPr="007A2AEB">
        <w:rPr>
          <w:rFonts w:ascii="Palatino Linotype" w:eastAsia="Palatino Linotype" w:hAnsi="Palatino Linotype" w:cs="Palatino Linotype"/>
          <w:i/>
          <w:sz w:val="22"/>
          <w:szCs w:val="22"/>
        </w:rPr>
        <w:t xml:space="preserve">Instrucciones al personal operativo </w:t>
      </w:r>
    </w:p>
    <w:p w14:paraId="70FF6EF0" w14:textId="77777777" w:rsidR="004A3DDD" w:rsidRPr="007A2AEB" w:rsidRDefault="004A3DDD" w:rsidP="004A3DDD">
      <w:pPr>
        <w:spacing w:before="240" w:after="240"/>
        <w:ind w:left="567" w:right="567"/>
        <w:jc w:val="both"/>
        <w:rPr>
          <w:rFonts w:ascii="Palatino Linotype" w:eastAsia="Palatino Linotype" w:hAnsi="Palatino Linotype" w:cs="Palatino Linotype"/>
          <w:i/>
          <w:sz w:val="22"/>
          <w:szCs w:val="22"/>
        </w:rPr>
      </w:pPr>
      <w:r w:rsidRPr="007A2AEB">
        <w:rPr>
          <w:rFonts w:ascii="Palatino Linotype" w:eastAsia="Palatino Linotype" w:hAnsi="Palatino Linotype" w:cs="Palatino Linotype"/>
          <w:i/>
          <w:sz w:val="22"/>
          <w:szCs w:val="22"/>
        </w:rPr>
        <w:t xml:space="preserve">ARTÍCULO SEGUNDO.- Los orientadores jurídicos, agentes del Ministerio Público, Policías de Investigación, Peritos y facilitadores de justicia restaurativa de la Procuraduría General de Justicia del Estado de México, deberán utilizar y operar el SIGIPPEM en sus actividades con motivo del procedimiento penal acorde al Código Nacional de Procedimientos Penales. Los servidores públicos antes citados, en la aplicación del SIGIPPEM deberán cumplir con lo siguiente: </w:t>
      </w:r>
    </w:p>
    <w:p w14:paraId="124FE587" w14:textId="77777777" w:rsidR="004A3DDD" w:rsidRPr="007A2AEB" w:rsidRDefault="004A3DDD" w:rsidP="004A3DDD">
      <w:pPr>
        <w:spacing w:before="240" w:after="240"/>
        <w:ind w:left="567" w:right="567"/>
        <w:jc w:val="both"/>
        <w:rPr>
          <w:rFonts w:ascii="Palatino Linotype" w:eastAsia="Palatino Linotype" w:hAnsi="Palatino Linotype" w:cs="Palatino Linotype"/>
          <w:i/>
          <w:sz w:val="22"/>
          <w:szCs w:val="22"/>
        </w:rPr>
      </w:pPr>
      <w:r w:rsidRPr="007A2AEB">
        <w:rPr>
          <w:rFonts w:ascii="Palatino Linotype" w:eastAsia="Palatino Linotype" w:hAnsi="Palatino Linotype" w:cs="Palatino Linotype"/>
          <w:i/>
          <w:sz w:val="22"/>
          <w:szCs w:val="22"/>
        </w:rPr>
        <w:t xml:space="preserve">… </w:t>
      </w:r>
    </w:p>
    <w:p w14:paraId="1E2514BB" w14:textId="77777777" w:rsidR="004A3DDD" w:rsidRPr="007A2AEB" w:rsidRDefault="004A3DDD" w:rsidP="004A3DDD">
      <w:pPr>
        <w:spacing w:before="240" w:after="240"/>
        <w:ind w:left="567" w:right="567"/>
        <w:jc w:val="both"/>
        <w:rPr>
          <w:rFonts w:ascii="Palatino Linotype" w:eastAsia="Palatino Linotype" w:hAnsi="Palatino Linotype" w:cs="Palatino Linotype"/>
          <w:i/>
          <w:sz w:val="22"/>
          <w:szCs w:val="22"/>
        </w:rPr>
      </w:pPr>
      <w:r w:rsidRPr="007A2AEB">
        <w:rPr>
          <w:rFonts w:ascii="Palatino Linotype" w:eastAsia="Palatino Linotype" w:hAnsi="Palatino Linotype" w:cs="Palatino Linotype"/>
          <w:i/>
          <w:sz w:val="22"/>
          <w:szCs w:val="22"/>
        </w:rPr>
        <w:t xml:space="preserve">IV. Para iniciar un caso en el SIGIPPEM, los orientadores jurídicos o los agentes del Ministerio Público deberán generar su número interno de control (NIC) que es una clave alfanumérica de 30 dígitos en la que pueden registrar lo actuado como noticia criminal; en caso de que sea necesario realizar una carpeta de investigación se generará el número único de causa (NUC), de 28 dígitos, que será la identificación alfanumérica del caso a lo largo de todo el procedimiento penal y por ello será de uso de todos los operadores de conformidad con los convenios que al efecto se suscriban. Dichos números deberán insertarse en todas las actuaciones institucionales. La composición del NIC y del NUC se establece en el anexo uno del presente Acuerdo. </w:t>
      </w:r>
    </w:p>
    <w:p w14:paraId="0F99159D" w14:textId="77777777" w:rsidR="004A3DDD" w:rsidRPr="007A2AEB" w:rsidRDefault="004A3DDD" w:rsidP="004A3DDD">
      <w:pPr>
        <w:spacing w:before="240" w:after="240" w:line="360" w:lineRule="auto"/>
        <w:jc w:val="both"/>
        <w:rPr>
          <w:rFonts w:ascii="Palatino Linotype" w:eastAsia="Palatino Linotype" w:hAnsi="Palatino Linotype" w:cs="Palatino Linotype"/>
          <w:sz w:val="22"/>
          <w:szCs w:val="22"/>
        </w:rPr>
      </w:pPr>
      <w:r w:rsidRPr="007A2AEB">
        <w:rPr>
          <w:noProof/>
          <w:sz w:val="22"/>
          <w:szCs w:val="22"/>
        </w:rPr>
        <w:drawing>
          <wp:anchor distT="0" distB="0" distL="114300" distR="114300" simplePos="0" relativeHeight="251659264" behindDoc="0" locked="0" layoutInCell="1" hidden="0" allowOverlap="1" wp14:anchorId="6EAB21E8" wp14:editId="2E3428C8">
            <wp:simplePos x="0" y="0"/>
            <wp:positionH relativeFrom="column">
              <wp:posOffset>381148</wp:posOffset>
            </wp:positionH>
            <wp:positionV relativeFrom="paragraph">
              <wp:posOffset>603664</wp:posOffset>
            </wp:positionV>
            <wp:extent cx="5305425" cy="2381250"/>
            <wp:effectExtent l="0" t="0" r="0" b="0"/>
            <wp:wrapTopAndBottom distT="0" distB="0"/>
            <wp:docPr id="3260216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305425" cy="2381250"/>
                    </a:xfrm>
                    <a:prstGeom prst="rect">
                      <a:avLst/>
                    </a:prstGeom>
                    <a:ln/>
                  </pic:spPr>
                </pic:pic>
              </a:graphicData>
            </a:graphic>
          </wp:anchor>
        </w:drawing>
      </w:r>
      <w:r w:rsidRPr="007A2AEB">
        <w:rPr>
          <w:rFonts w:ascii="Palatino Linotype" w:eastAsia="Palatino Linotype" w:hAnsi="Palatino Linotype" w:cs="Palatino Linotype"/>
          <w:sz w:val="22"/>
          <w:szCs w:val="22"/>
        </w:rPr>
        <w:t>El mismo acuerdo, establece en su Anexo Uno, la Composición del NUC (Número único de Causa, equivalente al número de carpeta de investigación):</w:t>
      </w:r>
    </w:p>
    <w:p w14:paraId="7EDEED0A" w14:textId="304DAFFE" w:rsidR="004A3DDD" w:rsidRPr="007A2AEB" w:rsidRDefault="004A3DDD" w:rsidP="004A3DDD">
      <w:pPr>
        <w:spacing w:before="240" w:after="240"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Por otro lado, el treinta de abril de 2010 se publica el Acuerdo Número 10/2018, por el que se crea y se instruye el uso obligatorio del Sistema Informático de Gestión y del Correo Electrónico Institucional, de la Fiscalía General de Justicia del Estado de México</w:t>
      </w:r>
      <w:r w:rsidRPr="007A2AEB">
        <w:rPr>
          <w:rFonts w:ascii="Palatino Linotype" w:eastAsia="Palatino Linotype" w:hAnsi="Palatino Linotype" w:cs="Palatino Linotype"/>
          <w:sz w:val="22"/>
          <w:szCs w:val="22"/>
          <w:vertAlign w:val="superscript"/>
        </w:rPr>
        <w:footnoteReference w:id="2"/>
      </w:r>
      <w:r w:rsidRPr="007A2AEB">
        <w:rPr>
          <w:rFonts w:ascii="Palatino Linotype" w:eastAsia="Palatino Linotype" w:hAnsi="Palatino Linotype" w:cs="Palatino Linotype"/>
          <w:sz w:val="22"/>
          <w:szCs w:val="22"/>
        </w:rPr>
        <w:t xml:space="preserve">, en el cual se crea y se autoriza la implementación del Sistema Informático Institucional (SIGI) y se deroga el sistema SIGIPPEM, continua contemplado el número interno de control (NIC) y el número único de causa (NUC) como a continuación se indica: </w:t>
      </w:r>
    </w:p>
    <w:p w14:paraId="4938A400" w14:textId="77777777" w:rsidR="004A3DDD" w:rsidRPr="007A2AEB" w:rsidRDefault="004A3DDD" w:rsidP="004A3DDD">
      <w:pPr>
        <w:spacing w:before="240" w:after="240"/>
        <w:ind w:left="567"/>
        <w:jc w:val="both"/>
        <w:rPr>
          <w:rFonts w:ascii="Palatino Linotype" w:eastAsia="Palatino Linotype" w:hAnsi="Palatino Linotype" w:cs="Palatino Linotype"/>
          <w:i/>
          <w:sz w:val="22"/>
          <w:szCs w:val="22"/>
        </w:rPr>
      </w:pPr>
      <w:r w:rsidRPr="007A2AEB">
        <w:rPr>
          <w:rFonts w:ascii="Palatino Linotype" w:eastAsia="Palatino Linotype" w:hAnsi="Palatino Linotype" w:cs="Palatino Linotype"/>
          <w:i/>
          <w:sz w:val="22"/>
          <w:szCs w:val="22"/>
        </w:rPr>
        <w:t xml:space="preserve">“Instrucciones al personal operativo </w:t>
      </w:r>
    </w:p>
    <w:p w14:paraId="1CF86826" w14:textId="77777777" w:rsidR="004A3DDD" w:rsidRPr="007A2AEB" w:rsidRDefault="004A3DDD" w:rsidP="004A3DDD">
      <w:pPr>
        <w:spacing w:before="240" w:after="240"/>
        <w:ind w:left="567" w:right="567"/>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i/>
          <w:sz w:val="22"/>
          <w:szCs w:val="22"/>
        </w:rPr>
        <w:t>SEGUNDO.- Se instruye el uso obligatorio de “EL SIGI” para registrar las investigaciones y procesos penales substanciados conforme al Código Nacional</w:t>
      </w:r>
      <w:r w:rsidRPr="007A2AEB">
        <w:rPr>
          <w:rFonts w:ascii="Palatino Linotype" w:eastAsia="Palatino Linotype" w:hAnsi="Palatino Linotype" w:cs="Palatino Linotype"/>
          <w:sz w:val="22"/>
          <w:szCs w:val="22"/>
        </w:rPr>
        <w:t xml:space="preserve"> </w:t>
      </w:r>
      <w:r w:rsidRPr="007A2AEB">
        <w:rPr>
          <w:rFonts w:ascii="Palatino Linotype" w:eastAsia="Palatino Linotype" w:hAnsi="Palatino Linotype" w:cs="Palatino Linotype"/>
          <w:i/>
          <w:sz w:val="22"/>
          <w:szCs w:val="22"/>
        </w:rPr>
        <w:t>de Procedimientos Penales, la Ley Nacional de Mecanismos Alternativos de Solución de Controversias en Materia Penal, la Ley Nacional del Sistema Integral de Justicia Penal para Adolescentes, así como los juicios de amparo indirecto y</w:t>
      </w:r>
      <w:r w:rsidRPr="007A2AEB">
        <w:rPr>
          <w:rFonts w:ascii="Palatino Linotype" w:eastAsia="Palatino Linotype" w:hAnsi="Palatino Linotype" w:cs="Palatino Linotype"/>
          <w:sz w:val="22"/>
          <w:szCs w:val="22"/>
        </w:rPr>
        <w:t xml:space="preserve"> </w:t>
      </w:r>
      <w:r w:rsidRPr="007A2AEB">
        <w:rPr>
          <w:rFonts w:ascii="Palatino Linotype" w:eastAsia="Palatino Linotype" w:hAnsi="Palatino Linotype" w:cs="Palatino Linotype"/>
          <w:i/>
          <w:sz w:val="22"/>
          <w:szCs w:val="22"/>
        </w:rPr>
        <w:t>directo en los que intervenga o tenga noticia el</w:t>
      </w:r>
      <w:r w:rsidRPr="007A2AEB">
        <w:rPr>
          <w:rFonts w:ascii="Palatino Linotype" w:eastAsia="Palatino Linotype" w:hAnsi="Palatino Linotype" w:cs="Palatino Linotype"/>
          <w:sz w:val="22"/>
          <w:szCs w:val="22"/>
        </w:rPr>
        <w:t xml:space="preserve"> </w:t>
      </w:r>
      <w:r w:rsidRPr="007A2AEB">
        <w:rPr>
          <w:rFonts w:ascii="Palatino Linotype" w:eastAsia="Palatino Linotype" w:hAnsi="Palatino Linotype" w:cs="Palatino Linotype"/>
          <w:i/>
          <w:sz w:val="22"/>
          <w:szCs w:val="22"/>
        </w:rPr>
        <w:t xml:space="preserve">Ministerio Público. </w:t>
      </w:r>
    </w:p>
    <w:p w14:paraId="00C02C9C" w14:textId="77777777" w:rsidR="004A3DDD" w:rsidRPr="007A2AEB" w:rsidRDefault="004A3DDD" w:rsidP="004A3DDD">
      <w:pPr>
        <w:spacing w:before="240" w:after="240"/>
        <w:ind w:left="567" w:right="567"/>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 xml:space="preserve">… </w:t>
      </w:r>
    </w:p>
    <w:p w14:paraId="677C15FD" w14:textId="77777777" w:rsidR="004A3DDD" w:rsidRPr="007A2AEB" w:rsidRDefault="004A3DDD" w:rsidP="004A3DDD">
      <w:pPr>
        <w:spacing w:before="240" w:after="240"/>
        <w:ind w:left="567" w:right="567"/>
        <w:jc w:val="both"/>
        <w:rPr>
          <w:rFonts w:ascii="Palatino Linotype" w:eastAsia="Palatino Linotype" w:hAnsi="Palatino Linotype" w:cs="Palatino Linotype"/>
          <w:i/>
          <w:sz w:val="22"/>
          <w:szCs w:val="22"/>
        </w:rPr>
      </w:pPr>
      <w:r w:rsidRPr="007A2AEB">
        <w:rPr>
          <w:rFonts w:ascii="Palatino Linotype" w:eastAsia="Palatino Linotype" w:hAnsi="Palatino Linotype" w:cs="Palatino Linotype"/>
          <w:i/>
          <w:sz w:val="22"/>
          <w:szCs w:val="22"/>
        </w:rPr>
        <w:t xml:space="preserve">Los servidores públicos antes citados, en la aplicación del Sistema, deberán cumplir con lo siguiente: </w:t>
      </w:r>
    </w:p>
    <w:p w14:paraId="1E648965" w14:textId="77777777" w:rsidR="004A3DDD" w:rsidRPr="007A2AEB" w:rsidRDefault="004A3DDD" w:rsidP="004A3DDD">
      <w:pPr>
        <w:numPr>
          <w:ilvl w:val="0"/>
          <w:numId w:val="10"/>
        </w:numPr>
        <w:spacing w:before="240" w:after="240"/>
        <w:ind w:left="567" w:right="567" w:firstLine="0"/>
        <w:jc w:val="both"/>
        <w:rPr>
          <w:rFonts w:ascii="Palatino Linotype" w:eastAsia="Palatino Linotype" w:hAnsi="Palatino Linotype" w:cs="Palatino Linotype"/>
          <w:i/>
          <w:sz w:val="22"/>
          <w:szCs w:val="22"/>
        </w:rPr>
      </w:pPr>
      <w:r w:rsidRPr="007A2AEB">
        <w:rPr>
          <w:rFonts w:ascii="Palatino Linotype" w:eastAsia="Palatino Linotype" w:hAnsi="Palatino Linotype" w:cs="Palatino Linotype"/>
          <w:i/>
          <w:sz w:val="22"/>
          <w:szCs w:val="22"/>
        </w:rPr>
        <w:t>Para iniciar un caso en “EL SIGI”, los orientadores jurídicos o los agentes del Ministerio Público, deberán generar un número interno de control (NIC) que es una clave alfanumérica de 30 dígitos en la que pueden registrar lo actuado como noticia criminal; en caso de que sea necesario realizar una carpeta de investigación se generará el número único de causa (NUC) de 28 dígitos, que será la identificación alfanumérica del caso a lo largo de todo el procedimiento penal y por ello será de uso de todos los operadores de conformidad con los convenios que al efecto se suscriban. Dichos números deberán insertarse en todas las actuaciones institucionales. La composición del NIC y del NUC se</w:t>
      </w:r>
      <w:r w:rsidRPr="007A2AEB">
        <w:rPr>
          <w:rFonts w:ascii="Palatino Linotype" w:eastAsia="Palatino Linotype" w:hAnsi="Palatino Linotype" w:cs="Palatino Linotype"/>
          <w:sz w:val="22"/>
          <w:szCs w:val="22"/>
        </w:rPr>
        <w:t xml:space="preserve"> </w:t>
      </w:r>
      <w:r w:rsidRPr="007A2AEB">
        <w:rPr>
          <w:rFonts w:ascii="Palatino Linotype" w:eastAsia="Palatino Linotype" w:hAnsi="Palatino Linotype" w:cs="Palatino Linotype"/>
          <w:i/>
          <w:sz w:val="22"/>
          <w:szCs w:val="22"/>
        </w:rPr>
        <w:t xml:space="preserve">establece en el anexo uno del presente Acuerdo; </w:t>
      </w:r>
    </w:p>
    <w:p w14:paraId="11F797A6" w14:textId="77777777" w:rsidR="004A3DDD" w:rsidRPr="007A2AEB" w:rsidRDefault="004A3DDD" w:rsidP="004A3DDD">
      <w:pPr>
        <w:spacing w:before="240" w:after="240"/>
        <w:ind w:left="567" w:right="567"/>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 xml:space="preserve">…” </w:t>
      </w:r>
    </w:p>
    <w:p w14:paraId="6281785F" w14:textId="77777777" w:rsidR="004A3DDD" w:rsidRPr="007A2AEB" w:rsidRDefault="004A3DDD" w:rsidP="004A3DDD">
      <w:pPr>
        <w:spacing w:before="240" w:after="240"/>
        <w:ind w:left="567" w:right="567"/>
        <w:jc w:val="both"/>
        <w:rPr>
          <w:rFonts w:ascii="Palatino Linotype" w:eastAsia="Palatino Linotype" w:hAnsi="Palatino Linotype" w:cs="Palatino Linotype"/>
          <w:i/>
          <w:sz w:val="22"/>
          <w:szCs w:val="22"/>
        </w:rPr>
      </w:pPr>
      <w:r w:rsidRPr="007A2AEB">
        <w:rPr>
          <w:rFonts w:ascii="Palatino Linotype" w:eastAsia="Palatino Linotype" w:hAnsi="Palatino Linotype" w:cs="Palatino Linotype"/>
          <w:i/>
          <w:sz w:val="22"/>
          <w:szCs w:val="22"/>
        </w:rPr>
        <w:t xml:space="preserve">(Énfasis añadido) </w:t>
      </w:r>
    </w:p>
    <w:p w14:paraId="1BF3AFC7" w14:textId="77777777" w:rsidR="004A3DDD" w:rsidRPr="007A2AEB" w:rsidRDefault="004A3DDD" w:rsidP="004A3DDD">
      <w:pPr>
        <w:spacing w:before="240" w:after="240"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En este contexto, y en referencia a lo señalado en párrafos anteriores, el número de carpeta de investigación solo se refiere a una composición alfanumérica, que no revela algún dato relacionado con la investigación, ni datos de la vida privada de las personas, por tal razón, el número de carpeta de investigación es información que no es susceptible de clasificación.</w:t>
      </w:r>
    </w:p>
    <w:p w14:paraId="5FA9C8F6" w14:textId="77777777" w:rsidR="005E5156" w:rsidRPr="007A2AEB" w:rsidRDefault="00A104FE">
      <w:pPr>
        <w:spacing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De lo anterior, no escapa de la óptica de este Organismo Garante que el particular requiere únicamente información estadística, para lo cual es necesario traer a contexto el Criterio orientador con clave de control SO/008/2023, emitido por el entonces Instituto Nacional de Transparencia y Acceso a la Información y Protección de Datos Personales, INAI, de rubro y texto siguientes:</w:t>
      </w:r>
    </w:p>
    <w:p w14:paraId="0F8F7C48" w14:textId="77777777" w:rsidR="005E5156" w:rsidRPr="007A2AEB" w:rsidRDefault="005E5156">
      <w:pPr>
        <w:spacing w:line="360" w:lineRule="auto"/>
        <w:jc w:val="both"/>
        <w:rPr>
          <w:rFonts w:ascii="Palatino Linotype" w:eastAsia="Palatino Linotype" w:hAnsi="Palatino Linotype" w:cs="Palatino Linotype"/>
          <w:sz w:val="22"/>
          <w:szCs w:val="22"/>
        </w:rPr>
      </w:pPr>
    </w:p>
    <w:p w14:paraId="0E9F93C0" w14:textId="77777777" w:rsidR="005E5156" w:rsidRPr="007A2AEB" w:rsidRDefault="00A104FE">
      <w:pPr>
        <w:spacing w:line="360" w:lineRule="auto"/>
        <w:ind w:left="567" w:right="843"/>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i/>
          <w:iCs/>
          <w:sz w:val="22"/>
          <w:szCs w:val="22"/>
        </w:rPr>
        <w:t>“</w:t>
      </w:r>
      <w:r w:rsidRPr="007A2AEB">
        <w:rPr>
          <w:rFonts w:ascii="Palatino Linotype" w:eastAsia="Palatino Linotype" w:hAnsi="Palatino Linotype" w:cs="Palatino Linotype"/>
          <w:b/>
          <w:bCs/>
          <w:i/>
          <w:iCs/>
          <w:sz w:val="22"/>
          <w:szCs w:val="22"/>
        </w:rPr>
        <w:t xml:space="preserve">Ejercicio del derecho de Acceso a la Información Pública. La información estadística es de naturaleza pública, independientemente de la materia con la que se encuentre vinculada. </w:t>
      </w:r>
      <w:r w:rsidRPr="007A2AEB">
        <w:rPr>
          <w:rFonts w:ascii="Palatino Linotype" w:eastAsia="Palatino Linotype" w:hAnsi="Palatino Linotype" w:cs="Palatino Linotype"/>
          <w:i/>
          <w:iCs/>
          <w:sz w:val="22"/>
          <w:szCs w:val="22"/>
        </w:rPr>
        <w:t xml:space="preserve">Considerando que la información estadística es el producto de un conjunto de resultados cuantitativos obtenidos de un proceso sistemático de captación de datos primarios obtenidos sobre hechos que constan en documentos que los sujetos obligados poseen, derivado del ejercicio de sus atribuciones; con base en lo dispuesto por el artículo 70 fracción XLVIII de la Ley General de Transparencia y Acceso a la Información Pública, </w:t>
      </w:r>
      <w:r w:rsidRPr="007A2AEB">
        <w:rPr>
          <w:rFonts w:ascii="Palatino Linotype" w:eastAsia="Palatino Linotype" w:hAnsi="Palatino Linotype" w:cs="Palatino Linotype"/>
          <w:b/>
          <w:bCs/>
          <w:i/>
          <w:iCs/>
          <w:sz w:val="22"/>
          <w:szCs w:val="22"/>
        </w:rPr>
        <w:t>los sujetos obligados deberán poner a disposición del público, entre otra, la relativa a la que con base en la información estadística</w:t>
      </w:r>
      <w:r w:rsidRPr="007A2AEB">
        <w:rPr>
          <w:rFonts w:ascii="Palatino Linotype" w:eastAsia="Palatino Linotype" w:hAnsi="Palatino Linotype" w:cs="Palatino Linotype"/>
          <w:i/>
          <w:iCs/>
          <w:sz w:val="22"/>
          <w:szCs w:val="22"/>
        </w:rPr>
        <w:t xml:space="preserve">, responda a las preguntas hechas con más frecuencia por el público, por lo que es posible afirmar que la información estadística es de naturaleza pública, </w:t>
      </w:r>
      <w:r w:rsidRPr="007A2AEB">
        <w:rPr>
          <w:rFonts w:ascii="Palatino Linotype" w:eastAsia="Palatino Linotype" w:hAnsi="Palatino Linotype" w:cs="Palatino Linotype"/>
          <w:b/>
          <w:bCs/>
          <w:i/>
          <w:iCs/>
          <w:sz w:val="22"/>
          <w:szCs w:val="22"/>
        </w:rPr>
        <w:t>siempre y cuando los datos estadísticos no se encuentren individualizados o personalizados a casos o situaciones específicas,</w:t>
      </w:r>
      <w:r w:rsidRPr="007A2AEB">
        <w:rPr>
          <w:rFonts w:ascii="Palatino Linotype" w:eastAsia="Palatino Linotype" w:hAnsi="Palatino Linotype" w:cs="Palatino Linotype"/>
          <w:i/>
          <w:iCs/>
          <w:sz w:val="22"/>
          <w:szCs w:val="22"/>
        </w:rPr>
        <w:t xml:space="preserve"> que pudieran llegar a justificar su clasificación.”</w:t>
      </w:r>
    </w:p>
    <w:p w14:paraId="1AF3EC11" w14:textId="77777777" w:rsidR="005E5156" w:rsidRPr="007A2AEB" w:rsidRDefault="00A104F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 xml:space="preserve">De lo hasta aquí expuesto, se concluye que los motivos de inconformidad de la parte </w:t>
      </w:r>
      <w:r w:rsidRPr="007A2AEB">
        <w:rPr>
          <w:rFonts w:ascii="Palatino Linotype" w:eastAsia="Palatino Linotype" w:hAnsi="Palatino Linotype" w:cs="Palatino Linotype"/>
          <w:b/>
          <w:bCs/>
          <w:sz w:val="22"/>
          <w:szCs w:val="22"/>
        </w:rPr>
        <w:t xml:space="preserve">Recurrente </w:t>
      </w:r>
      <w:r w:rsidRPr="007A2AEB">
        <w:rPr>
          <w:rFonts w:ascii="Palatino Linotype" w:eastAsia="Palatino Linotype" w:hAnsi="Palatino Linotype" w:cs="Palatino Linotype"/>
          <w:sz w:val="22"/>
          <w:szCs w:val="22"/>
        </w:rPr>
        <w:t>devienen fundados, siendo procedente Modifica</w:t>
      </w:r>
      <w:r w:rsidRPr="007A2AEB">
        <w:rPr>
          <w:rFonts w:ascii="Palatino Linotype" w:eastAsia="Palatino Linotype" w:hAnsi="Palatino Linotype" w:cs="Palatino Linotype"/>
          <w:i/>
          <w:iCs/>
          <w:sz w:val="22"/>
          <w:szCs w:val="22"/>
        </w:rPr>
        <w:t xml:space="preserve"> </w:t>
      </w:r>
      <w:r w:rsidRPr="007A2AEB">
        <w:rPr>
          <w:rFonts w:ascii="Palatino Linotype" w:eastAsia="Palatino Linotype" w:hAnsi="Palatino Linotype" w:cs="Palatino Linotype"/>
          <w:sz w:val="22"/>
          <w:szCs w:val="22"/>
        </w:rPr>
        <w:t xml:space="preserve">la respuesta proporcionada por el </w:t>
      </w:r>
      <w:r w:rsidRPr="007A2AEB">
        <w:rPr>
          <w:rFonts w:ascii="Palatino Linotype" w:eastAsia="Palatino Linotype" w:hAnsi="Palatino Linotype" w:cs="Palatino Linotype"/>
          <w:b/>
          <w:bCs/>
          <w:sz w:val="22"/>
          <w:szCs w:val="22"/>
        </w:rPr>
        <w:t xml:space="preserve">Sujeto Obligado </w:t>
      </w:r>
      <w:r w:rsidRPr="007A2AEB">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1AB40E50" w14:textId="77777777" w:rsidR="005E5156" w:rsidRPr="007A2AEB" w:rsidRDefault="00A104FE">
      <w:pPr>
        <w:spacing w:before="240" w:after="240"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0895C724" w14:textId="77777777" w:rsidR="005E5156" w:rsidRPr="007A2AEB" w:rsidRDefault="00A104FE">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bCs/>
          <w:sz w:val="22"/>
          <w:szCs w:val="22"/>
        </w:rPr>
      </w:pPr>
      <w:r w:rsidRPr="007A2AEB">
        <w:rPr>
          <w:rFonts w:ascii="Palatino Linotype" w:eastAsia="Palatino Linotype" w:hAnsi="Palatino Linotype" w:cs="Palatino Linotype"/>
          <w:b/>
          <w:bCs/>
          <w:sz w:val="22"/>
          <w:szCs w:val="22"/>
        </w:rPr>
        <w:t>R E S U E L V E:</w:t>
      </w:r>
    </w:p>
    <w:p w14:paraId="75056CC4" w14:textId="77777777" w:rsidR="005E5156" w:rsidRPr="007A2AEB" w:rsidRDefault="00A104FE">
      <w:pPr>
        <w:spacing w:before="240" w:after="240" w:line="360" w:lineRule="auto"/>
        <w:jc w:val="both"/>
        <w:rPr>
          <w:rFonts w:ascii="Palatino Linotype" w:eastAsia="Palatino Linotype" w:hAnsi="Palatino Linotype" w:cs="Palatino Linotype"/>
          <w:b/>
          <w:bCs/>
          <w:sz w:val="22"/>
          <w:szCs w:val="22"/>
        </w:rPr>
      </w:pPr>
      <w:r w:rsidRPr="007A2AEB">
        <w:rPr>
          <w:rFonts w:ascii="Palatino Linotype" w:eastAsia="Palatino Linotype" w:hAnsi="Palatino Linotype" w:cs="Palatino Linotype"/>
          <w:b/>
          <w:bCs/>
          <w:sz w:val="22"/>
          <w:szCs w:val="22"/>
        </w:rPr>
        <w:t xml:space="preserve">Primero. </w:t>
      </w:r>
      <w:r w:rsidRPr="007A2AEB">
        <w:rPr>
          <w:rFonts w:ascii="Palatino Linotype" w:eastAsia="Palatino Linotype" w:hAnsi="Palatino Linotype" w:cs="Palatino Linotype"/>
          <w:sz w:val="22"/>
          <w:szCs w:val="22"/>
        </w:rPr>
        <w:t>Resultan</w:t>
      </w:r>
      <w:r w:rsidRPr="007A2AEB">
        <w:rPr>
          <w:rFonts w:ascii="Palatino Linotype" w:eastAsia="Palatino Linotype" w:hAnsi="Palatino Linotype" w:cs="Palatino Linotype"/>
          <w:b/>
          <w:bCs/>
          <w:sz w:val="22"/>
          <w:szCs w:val="22"/>
        </w:rPr>
        <w:t xml:space="preserve"> parcialmente fundados </w:t>
      </w:r>
      <w:r w:rsidRPr="007A2AEB">
        <w:rPr>
          <w:rFonts w:ascii="Palatino Linotype" w:eastAsia="Palatino Linotype" w:hAnsi="Palatino Linotype" w:cs="Palatino Linotype"/>
          <w:sz w:val="22"/>
          <w:szCs w:val="22"/>
        </w:rPr>
        <w:t xml:space="preserve">los motivos de inconformidad hechos valer por </w:t>
      </w:r>
      <w:r w:rsidRPr="007A2AEB">
        <w:rPr>
          <w:rFonts w:ascii="Palatino Linotype" w:eastAsia="Palatino Linotype" w:hAnsi="Palatino Linotype" w:cs="Palatino Linotype"/>
          <w:b/>
          <w:bCs/>
          <w:sz w:val="22"/>
          <w:szCs w:val="22"/>
        </w:rPr>
        <w:t>la parte Recurrente</w:t>
      </w:r>
      <w:r w:rsidRPr="007A2AEB">
        <w:rPr>
          <w:rFonts w:ascii="Palatino Linotype" w:eastAsia="Palatino Linotype" w:hAnsi="Palatino Linotype" w:cs="Palatino Linotype"/>
          <w:sz w:val="22"/>
          <w:szCs w:val="22"/>
        </w:rPr>
        <w:t xml:space="preserve"> en el Recurso de Revisión</w:t>
      </w:r>
      <w:r w:rsidRPr="007A2AEB">
        <w:rPr>
          <w:rFonts w:ascii="Palatino Linotype" w:eastAsia="Palatino Linotype" w:hAnsi="Palatino Linotype" w:cs="Palatino Linotype"/>
          <w:b/>
          <w:bCs/>
          <w:sz w:val="22"/>
          <w:szCs w:val="22"/>
        </w:rPr>
        <w:t xml:space="preserve"> 14194/INFOEM/IP/RR/2025, </w:t>
      </w:r>
      <w:r w:rsidRPr="007A2AEB">
        <w:rPr>
          <w:rFonts w:ascii="Palatino Linotype" w:eastAsia="Palatino Linotype" w:hAnsi="Palatino Linotype" w:cs="Palatino Linotype"/>
          <w:sz w:val="22"/>
          <w:szCs w:val="22"/>
        </w:rPr>
        <w:t>por lo que</w:t>
      </w:r>
      <w:r w:rsidRPr="007A2AEB">
        <w:rPr>
          <w:rFonts w:ascii="Palatino Linotype" w:eastAsia="Palatino Linotype" w:hAnsi="Palatino Linotype" w:cs="Palatino Linotype"/>
          <w:b/>
          <w:bCs/>
          <w:sz w:val="22"/>
          <w:szCs w:val="22"/>
        </w:rPr>
        <w:t xml:space="preserve">, en términos del Considerando Cuarto </w:t>
      </w:r>
      <w:r w:rsidRPr="007A2AEB">
        <w:rPr>
          <w:rFonts w:ascii="Palatino Linotype" w:eastAsia="Palatino Linotype" w:hAnsi="Palatino Linotype" w:cs="Palatino Linotype"/>
          <w:sz w:val="22"/>
          <w:szCs w:val="22"/>
        </w:rPr>
        <w:t>de la presente resolución</w:t>
      </w:r>
      <w:r w:rsidRPr="007A2AEB">
        <w:rPr>
          <w:rFonts w:ascii="Palatino Linotype" w:eastAsia="Palatino Linotype" w:hAnsi="Palatino Linotype" w:cs="Palatino Linotype"/>
          <w:b/>
          <w:bCs/>
          <w:sz w:val="22"/>
          <w:szCs w:val="22"/>
        </w:rPr>
        <w:t>, se MODIFICA l</w:t>
      </w:r>
      <w:r w:rsidRPr="007A2AEB">
        <w:rPr>
          <w:rFonts w:ascii="Palatino Linotype" w:eastAsia="Palatino Linotype" w:hAnsi="Palatino Linotype" w:cs="Palatino Linotype"/>
          <w:sz w:val="22"/>
          <w:szCs w:val="22"/>
        </w:rPr>
        <w:t>a respuesta del</w:t>
      </w:r>
      <w:r w:rsidRPr="007A2AEB">
        <w:rPr>
          <w:rFonts w:ascii="Palatino Linotype" w:eastAsia="Palatino Linotype" w:hAnsi="Palatino Linotype" w:cs="Palatino Linotype"/>
          <w:b/>
          <w:bCs/>
          <w:sz w:val="22"/>
          <w:szCs w:val="22"/>
        </w:rPr>
        <w:t xml:space="preserve"> Sujeto Obligado. </w:t>
      </w:r>
    </w:p>
    <w:p w14:paraId="6C2AA059" w14:textId="77777777" w:rsidR="005E5156" w:rsidRPr="007A2AEB" w:rsidRDefault="00A104FE">
      <w:pPr>
        <w:spacing w:before="240" w:after="240" w:line="360" w:lineRule="auto"/>
        <w:jc w:val="both"/>
        <w:rPr>
          <w:rFonts w:ascii="Palatino Linotype" w:eastAsia="Palatino Linotype" w:hAnsi="Palatino Linotype" w:cs="Palatino Linotype"/>
          <w:b/>
          <w:bCs/>
          <w:sz w:val="22"/>
          <w:szCs w:val="22"/>
        </w:rPr>
      </w:pPr>
      <w:bookmarkStart w:id="3" w:name="_heading=h.j3ppyxwlb1s2" w:colFirst="0" w:colLast="0"/>
      <w:bookmarkEnd w:id="3"/>
      <w:r w:rsidRPr="007A2AEB">
        <w:rPr>
          <w:rFonts w:ascii="Palatino Linotype" w:eastAsia="Palatino Linotype" w:hAnsi="Palatino Linotype" w:cs="Palatino Linotype"/>
          <w:b/>
          <w:bCs/>
          <w:sz w:val="22"/>
          <w:szCs w:val="22"/>
        </w:rPr>
        <w:t xml:space="preserve">Segundo. Se Ordena al Sujeto Obligado </w:t>
      </w:r>
      <w:r w:rsidRPr="007A2AEB">
        <w:rPr>
          <w:rFonts w:ascii="Palatino Linotype" w:eastAsia="Palatino Linotype" w:hAnsi="Palatino Linotype" w:cs="Palatino Linotype"/>
          <w:sz w:val="22"/>
          <w:szCs w:val="22"/>
        </w:rPr>
        <w:t>que en términos del</w:t>
      </w:r>
      <w:r w:rsidRPr="007A2AEB">
        <w:rPr>
          <w:rFonts w:ascii="Palatino Linotype" w:eastAsia="Palatino Linotype" w:hAnsi="Palatino Linotype" w:cs="Palatino Linotype"/>
          <w:b/>
          <w:bCs/>
          <w:sz w:val="22"/>
          <w:szCs w:val="22"/>
        </w:rPr>
        <w:t xml:space="preserve"> Considerando Cuarto </w:t>
      </w:r>
      <w:r w:rsidRPr="007A2AEB">
        <w:rPr>
          <w:rFonts w:ascii="Palatino Linotype" w:eastAsia="Palatino Linotype" w:hAnsi="Palatino Linotype" w:cs="Palatino Linotype"/>
          <w:sz w:val="22"/>
          <w:szCs w:val="22"/>
        </w:rPr>
        <w:t xml:space="preserve">de esta resolución, haga entrega, a </w:t>
      </w:r>
      <w:r w:rsidRPr="007A2AEB">
        <w:rPr>
          <w:rFonts w:ascii="Palatino Linotype" w:eastAsia="Palatino Linotype" w:hAnsi="Palatino Linotype" w:cs="Palatino Linotype"/>
          <w:b/>
          <w:bCs/>
          <w:sz w:val="22"/>
          <w:szCs w:val="22"/>
        </w:rPr>
        <w:t xml:space="preserve">la parte Recurrente a través del SAIMEX, </w:t>
      </w:r>
      <w:r w:rsidRPr="007A2AEB">
        <w:rPr>
          <w:rFonts w:ascii="Palatino Linotype" w:eastAsia="Palatino Linotype" w:hAnsi="Palatino Linotype" w:cs="Palatino Linotype"/>
          <w:sz w:val="22"/>
          <w:szCs w:val="22"/>
        </w:rPr>
        <w:t>la siguiente información:</w:t>
      </w:r>
    </w:p>
    <w:p w14:paraId="2C6BBC57" w14:textId="42B67352" w:rsidR="00CF3345" w:rsidRPr="007A2AEB" w:rsidRDefault="00A104FE" w:rsidP="00CF3345">
      <w:pPr>
        <w:numPr>
          <w:ilvl w:val="0"/>
          <w:numId w:val="5"/>
        </w:numPr>
        <w:pBdr>
          <w:top w:val="nil"/>
          <w:left w:val="nil"/>
          <w:bottom w:val="nil"/>
          <w:right w:val="nil"/>
          <w:between w:val="nil"/>
        </w:pBdr>
        <w:spacing w:before="240" w:after="240" w:line="276" w:lineRule="auto"/>
        <w:ind w:left="360" w:right="49"/>
        <w:jc w:val="both"/>
        <w:rPr>
          <w:rFonts w:ascii="Palatino Linotype" w:eastAsia="Palatino Linotype" w:hAnsi="Palatino Linotype" w:cs="Palatino Linotype"/>
          <w:b/>
          <w:bCs/>
          <w:sz w:val="22"/>
          <w:szCs w:val="22"/>
        </w:rPr>
      </w:pPr>
      <w:r w:rsidRPr="007A2AEB">
        <w:rPr>
          <w:rFonts w:ascii="Palatino Linotype" w:eastAsia="Palatino Linotype" w:hAnsi="Palatino Linotype" w:cs="Palatino Linotype"/>
          <w:b/>
          <w:bCs/>
          <w:sz w:val="22"/>
          <w:szCs w:val="22"/>
        </w:rPr>
        <w:t xml:space="preserve">Número de carpetas de investigación iniciadas en la </w:t>
      </w:r>
      <w:r w:rsidR="00CF3345" w:rsidRPr="007A2AEB">
        <w:rPr>
          <w:rFonts w:ascii="Palatino Linotype" w:hAnsi="Palatino Linotype"/>
          <w:b/>
          <w:sz w:val="22"/>
        </w:rPr>
        <w:t>Fiscalía Especializada para la Investigación de Personas Desaparecidas, no localizadas, Ausentes o Extraviadas de la Fiscalía General de Justicia del Estado de México</w:t>
      </w:r>
      <w:r w:rsidR="009F317A" w:rsidRPr="007A2AEB">
        <w:rPr>
          <w:rFonts w:ascii="Palatino Linotype" w:hAnsi="Palatino Linotype"/>
          <w:b/>
          <w:sz w:val="22"/>
        </w:rPr>
        <w:t>,</w:t>
      </w:r>
      <w:r w:rsidR="001755E0" w:rsidRPr="007A2AEB">
        <w:rPr>
          <w:rFonts w:ascii="Palatino Linotype" w:hAnsi="Palatino Linotype"/>
          <w:b/>
          <w:sz w:val="22"/>
        </w:rPr>
        <w:t xml:space="preserve"> </w:t>
      </w:r>
      <w:r w:rsidR="001755E0" w:rsidRPr="007A2AEB">
        <w:rPr>
          <w:rFonts w:ascii="Palatino Linotype" w:eastAsia="Palatino Linotype" w:hAnsi="Palatino Linotype" w:cs="Palatino Linotype"/>
          <w:b/>
          <w:sz w:val="22"/>
          <w:szCs w:val="22"/>
        </w:rPr>
        <w:t>del diecisiete de noviembre de dos mil diecisiete al treinta de septiembre de dos mil veinticuatro.</w:t>
      </w:r>
    </w:p>
    <w:p w14:paraId="20C68643" w14:textId="77777777" w:rsidR="005E5156" w:rsidRPr="007A2AEB" w:rsidRDefault="00A104FE">
      <w:pPr>
        <w:spacing w:before="240" w:after="240"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b/>
          <w:bCs/>
          <w:sz w:val="22"/>
          <w:szCs w:val="22"/>
        </w:rPr>
        <w:t xml:space="preserve">Tercero.  Notifíquese vía SAIMEX, </w:t>
      </w:r>
      <w:r w:rsidRPr="007A2AEB">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B197BC6" w14:textId="77777777" w:rsidR="005E5156" w:rsidRPr="007A2AEB" w:rsidRDefault="00A104FE">
      <w:pPr>
        <w:spacing w:before="240" w:after="240" w:line="360" w:lineRule="auto"/>
        <w:jc w:val="both"/>
        <w:rPr>
          <w:rFonts w:ascii="Palatino Linotype" w:eastAsia="Palatino Linotype" w:hAnsi="Palatino Linotype" w:cs="Palatino Linotype"/>
          <w:sz w:val="22"/>
          <w:szCs w:val="22"/>
        </w:rPr>
      </w:pPr>
      <w:r w:rsidRPr="007A2AEB">
        <w:rPr>
          <w:rFonts w:ascii="Palatino Linotype" w:eastAsia="Palatino Linotype" w:hAnsi="Palatino Linotype" w:cs="Palatino Linotype"/>
          <w:b/>
          <w:bCs/>
          <w:sz w:val="22"/>
          <w:szCs w:val="22"/>
        </w:rPr>
        <w:t xml:space="preserve">Cuarto. </w:t>
      </w:r>
      <w:r w:rsidRPr="007A2AEB">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7A2AEB">
        <w:rPr>
          <w:rFonts w:ascii="Palatino Linotype" w:eastAsia="Palatino Linotype" w:hAnsi="Palatino Linotype" w:cs="Palatino Linotype"/>
          <w:b/>
          <w:bCs/>
          <w:sz w:val="22"/>
          <w:szCs w:val="22"/>
        </w:rPr>
        <w:t>Sujeto Obligado</w:t>
      </w:r>
      <w:r w:rsidRPr="007A2AEB">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1BAE470E" w14:textId="77777777" w:rsidR="005E5156" w:rsidRPr="007A2AEB" w:rsidRDefault="00A104FE">
      <w:pPr>
        <w:spacing w:line="360" w:lineRule="auto"/>
        <w:jc w:val="both"/>
        <w:rPr>
          <w:rFonts w:ascii="Palatino Linotype" w:eastAsia="Palatino Linotype" w:hAnsi="Palatino Linotype" w:cs="Palatino Linotype"/>
          <w:sz w:val="22"/>
          <w:szCs w:val="22"/>
        </w:rPr>
      </w:pPr>
      <w:bookmarkStart w:id="4" w:name="_heading=h.tyjcwt" w:colFirst="0" w:colLast="0"/>
      <w:bookmarkEnd w:id="4"/>
      <w:r w:rsidRPr="007A2AEB">
        <w:rPr>
          <w:rFonts w:ascii="Palatino Linotype" w:eastAsia="Palatino Linotype" w:hAnsi="Palatino Linotype" w:cs="Palatino Linotype"/>
          <w:b/>
          <w:bCs/>
          <w:sz w:val="22"/>
          <w:szCs w:val="22"/>
        </w:rPr>
        <w:t xml:space="preserve">Quinto. Notifíquese vía SAIMEX, </w:t>
      </w:r>
      <w:r w:rsidRPr="007A2AEB">
        <w:rPr>
          <w:rFonts w:ascii="Palatino Linotype" w:eastAsia="Palatino Linotype" w:hAnsi="Palatino Linotype" w:cs="Palatino Linotype"/>
          <w:sz w:val="22"/>
          <w:szCs w:val="22"/>
        </w:rPr>
        <w:t>a</w:t>
      </w:r>
      <w:r w:rsidRPr="007A2AEB">
        <w:rPr>
          <w:rFonts w:ascii="Palatino Linotype" w:eastAsia="Palatino Linotype" w:hAnsi="Palatino Linotype" w:cs="Palatino Linotype"/>
          <w:b/>
          <w:bCs/>
          <w:sz w:val="22"/>
          <w:szCs w:val="22"/>
        </w:rPr>
        <w:t xml:space="preserve"> la parte Recurrente</w:t>
      </w:r>
      <w:r w:rsidRPr="007A2AEB">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07E89BC3" w14:textId="77777777" w:rsidR="005E5156" w:rsidRPr="007A2AEB" w:rsidRDefault="005E5156">
      <w:pPr>
        <w:spacing w:line="360" w:lineRule="auto"/>
        <w:jc w:val="both"/>
        <w:rPr>
          <w:rFonts w:ascii="Palatino Linotype" w:eastAsia="Palatino Linotype" w:hAnsi="Palatino Linotype" w:cs="Palatino Linotype"/>
          <w:b/>
          <w:bCs/>
          <w:sz w:val="22"/>
          <w:szCs w:val="22"/>
        </w:rPr>
      </w:pPr>
    </w:p>
    <w:p w14:paraId="01AC39BF" w14:textId="77777777" w:rsidR="005E5156" w:rsidRPr="00A320DE" w:rsidRDefault="00A104FE">
      <w:pPr>
        <w:spacing w:line="360" w:lineRule="auto"/>
        <w:ind w:right="-93"/>
        <w:jc w:val="both"/>
        <w:rPr>
          <w:rFonts w:ascii="Palatino Linotype" w:eastAsia="Palatino Linotype" w:hAnsi="Palatino Linotype" w:cs="Palatino Linotype"/>
          <w:sz w:val="22"/>
          <w:szCs w:val="22"/>
        </w:rPr>
      </w:pPr>
      <w:bookmarkStart w:id="5" w:name="_heading=h.jl0dlasot4f" w:colFirst="0" w:colLast="0"/>
      <w:bookmarkEnd w:id="5"/>
      <w:r w:rsidRPr="007A2AEB">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ONCE DE FEBRERO DE DOS MIL VEINTISÉIS, ANTE EL SECRETARIO TÉCNICO DEL PLENO ALEXIS TAPIA RAMÍREZ.</w:t>
      </w:r>
    </w:p>
    <w:p w14:paraId="473006D0" w14:textId="77777777" w:rsidR="005E5156" w:rsidRPr="00A320DE" w:rsidRDefault="005E5156">
      <w:pPr>
        <w:spacing w:line="360" w:lineRule="auto"/>
        <w:ind w:right="-93"/>
        <w:jc w:val="both"/>
        <w:rPr>
          <w:rFonts w:ascii="Palatino Linotype" w:eastAsia="Palatino Linotype" w:hAnsi="Palatino Linotype" w:cs="Palatino Linotype"/>
          <w:sz w:val="22"/>
          <w:szCs w:val="22"/>
        </w:rPr>
      </w:pPr>
    </w:p>
    <w:p w14:paraId="18823CC6" w14:textId="77777777" w:rsidR="005E5156" w:rsidRPr="00A320DE" w:rsidRDefault="005E5156">
      <w:pPr>
        <w:spacing w:line="360" w:lineRule="auto"/>
        <w:ind w:right="-93"/>
        <w:jc w:val="both"/>
        <w:rPr>
          <w:rFonts w:ascii="Palatino Linotype" w:eastAsia="Palatino Linotype" w:hAnsi="Palatino Linotype" w:cs="Palatino Linotype"/>
          <w:sz w:val="22"/>
          <w:szCs w:val="22"/>
        </w:rPr>
      </w:pPr>
    </w:p>
    <w:p w14:paraId="57622EED" w14:textId="77777777" w:rsidR="005E5156" w:rsidRPr="00A320DE" w:rsidRDefault="005E5156">
      <w:pPr>
        <w:spacing w:line="360" w:lineRule="auto"/>
        <w:ind w:right="-93"/>
        <w:jc w:val="both"/>
        <w:rPr>
          <w:rFonts w:ascii="Palatino Linotype" w:eastAsia="Palatino Linotype" w:hAnsi="Palatino Linotype" w:cs="Palatino Linotype"/>
          <w:sz w:val="22"/>
          <w:szCs w:val="22"/>
        </w:rPr>
      </w:pPr>
    </w:p>
    <w:p w14:paraId="6CAF205F" w14:textId="77777777" w:rsidR="005E5156" w:rsidRPr="00A320DE" w:rsidRDefault="005E5156">
      <w:pPr>
        <w:spacing w:line="360" w:lineRule="auto"/>
        <w:ind w:right="-93"/>
        <w:jc w:val="both"/>
        <w:rPr>
          <w:rFonts w:ascii="Palatino Linotype" w:eastAsia="Palatino Linotype" w:hAnsi="Palatino Linotype" w:cs="Palatino Linotype"/>
          <w:sz w:val="22"/>
          <w:szCs w:val="22"/>
        </w:rPr>
      </w:pPr>
    </w:p>
    <w:p w14:paraId="1579DA65" w14:textId="77777777" w:rsidR="005E5156" w:rsidRPr="00A320DE" w:rsidRDefault="005E5156">
      <w:pPr>
        <w:spacing w:line="360" w:lineRule="auto"/>
        <w:ind w:right="-93"/>
        <w:jc w:val="both"/>
        <w:rPr>
          <w:rFonts w:ascii="Palatino Linotype" w:eastAsia="Palatino Linotype" w:hAnsi="Palatino Linotype" w:cs="Palatino Linotype"/>
          <w:sz w:val="22"/>
          <w:szCs w:val="22"/>
        </w:rPr>
      </w:pPr>
    </w:p>
    <w:p w14:paraId="7EBC0E28" w14:textId="4CE1AB74" w:rsidR="005E5156" w:rsidRPr="00A320DE" w:rsidRDefault="005E5156">
      <w:pPr>
        <w:spacing w:line="360" w:lineRule="auto"/>
        <w:ind w:right="49"/>
        <w:jc w:val="both"/>
        <w:rPr>
          <w:rFonts w:ascii="Palatino Linotype" w:eastAsia="Palatino Linotype" w:hAnsi="Palatino Linotype" w:cs="Palatino Linotype"/>
          <w:sz w:val="22"/>
          <w:szCs w:val="22"/>
        </w:rPr>
      </w:pPr>
    </w:p>
    <w:p w14:paraId="087B70B6" w14:textId="029FBB5B" w:rsidR="00A320DE" w:rsidRPr="00A320DE" w:rsidRDefault="00A320DE">
      <w:pPr>
        <w:spacing w:line="360" w:lineRule="auto"/>
        <w:ind w:right="49"/>
        <w:jc w:val="both"/>
        <w:rPr>
          <w:rFonts w:ascii="Palatino Linotype" w:eastAsia="Palatino Linotype" w:hAnsi="Palatino Linotype" w:cs="Palatino Linotype"/>
          <w:sz w:val="22"/>
          <w:szCs w:val="22"/>
        </w:rPr>
      </w:pPr>
    </w:p>
    <w:p w14:paraId="44E33F3E" w14:textId="5CFDF54E" w:rsidR="00A320DE" w:rsidRPr="00A320DE" w:rsidRDefault="00A320DE">
      <w:pPr>
        <w:spacing w:line="360" w:lineRule="auto"/>
        <w:ind w:right="49"/>
        <w:jc w:val="both"/>
        <w:rPr>
          <w:rFonts w:ascii="Palatino Linotype" w:eastAsia="Palatino Linotype" w:hAnsi="Palatino Linotype" w:cs="Palatino Linotype"/>
          <w:sz w:val="22"/>
          <w:szCs w:val="22"/>
        </w:rPr>
      </w:pPr>
    </w:p>
    <w:p w14:paraId="15B8A2A1" w14:textId="77777777" w:rsidR="00A320DE" w:rsidRPr="00A320DE" w:rsidRDefault="00A320DE">
      <w:pPr>
        <w:spacing w:line="360" w:lineRule="auto"/>
        <w:ind w:right="49"/>
        <w:jc w:val="both"/>
        <w:rPr>
          <w:rFonts w:ascii="Palatino Linotype" w:eastAsia="Palatino Linotype" w:hAnsi="Palatino Linotype" w:cs="Palatino Linotype"/>
          <w:sz w:val="22"/>
          <w:szCs w:val="22"/>
        </w:rPr>
      </w:pPr>
    </w:p>
    <w:sectPr w:rsidR="00A320DE" w:rsidRPr="00A320DE">
      <w:headerReference w:type="default" r:id="rId15"/>
      <w:footerReference w:type="default" r:id="rId16"/>
      <w:headerReference w:type="first" r:id="rId17"/>
      <w:footerReference w:type="first" r:id="rId18"/>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754687" w14:textId="77777777" w:rsidR="00567F54" w:rsidRDefault="00567F54">
      <w:r>
        <w:separator/>
      </w:r>
    </w:p>
  </w:endnote>
  <w:endnote w:type="continuationSeparator" w:id="0">
    <w:p w14:paraId="3BFE8005" w14:textId="77777777" w:rsidR="00567F54" w:rsidRDefault="00567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5754B02C-5F81-423A-ACF0-38022C38863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0663C31C-9619-4504-8B07-05860057E426}"/>
    <w:embedBold r:id="rId3" w:fontKey="{93371838-9AFD-4544-9BD5-730C1F7BDBF7}"/>
    <w:embedItalic r:id="rId4" w:fontKey="{58E68FE0-556C-4FA5-8CAA-162C9DDD9581}"/>
    <w:embedBoldItalic r:id="rId5" w:fontKey="{72F15D79-9A70-47CC-AB23-C2A7724EF96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1BACCBC9-3104-4ED8-AF83-B3079EBE9E3C}"/>
    <w:embedBold r:id="rId7" w:fontKey="{0D68CD8C-9E69-46B6-9797-D91962565C78}"/>
    <w:embedItalic r:id="rId8" w:fontKey="{D5F3F4EF-CF19-4529-8AA6-1EF86DF92CDF}"/>
  </w:font>
  <w:font w:name="Bookman Old Style">
    <w:panose1 w:val="02050604050505020204"/>
    <w:charset w:val="00"/>
    <w:family w:val="roman"/>
    <w:pitch w:val="variable"/>
    <w:sig w:usb0="00000287" w:usb1="00000000" w:usb2="00000000" w:usb3="00000000" w:csb0="0000009F" w:csb1="00000000"/>
    <w:embedRegular r:id="rId9" w:fontKey="{3E0B0E9F-451C-4E0A-90EB-AECD466FEC0A}"/>
  </w:font>
  <w:font w:name="Georgia">
    <w:panose1 w:val="02040502050405020303"/>
    <w:charset w:val="00"/>
    <w:family w:val="roman"/>
    <w:pitch w:val="variable"/>
    <w:sig w:usb0="00000287" w:usb1="00000000" w:usb2="00000000" w:usb3="00000000" w:csb0="0000009F" w:csb1="00000000"/>
    <w:embedItalic r:id="rId10" w:fontKey="{D6EDFD44-6476-4003-9EC8-E8D34D143A8C}"/>
  </w:font>
  <w:font w:name="Cambria">
    <w:panose1 w:val="02040503050406030204"/>
    <w:charset w:val="00"/>
    <w:family w:val="roman"/>
    <w:pitch w:val="variable"/>
    <w:sig w:usb0="E00006FF" w:usb1="420024FF" w:usb2="02000000" w:usb3="00000000" w:csb0="0000019F" w:csb1="00000000"/>
    <w:embedRegular r:id="rId11" w:fontKey="{F098BD99-E7C3-475E-8D0A-B929F084EF27}"/>
  </w:font>
  <w:font w:name="Calibri Light">
    <w:panose1 w:val="020F0302020204030204"/>
    <w:charset w:val="00"/>
    <w:family w:val="swiss"/>
    <w:pitch w:val="variable"/>
    <w:sig w:usb0="E4002EFF" w:usb1="C200247B" w:usb2="00000009" w:usb3="00000000" w:csb0="000001FF" w:csb1="00000000"/>
    <w:embedRegular r:id="rId12" w:fontKey="{AABF7258-3C9C-4295-9FDD-01553DA7539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ECE74" w14:textId="3965EF8B" w:rsidR="00A51FCF" w:rsidRDefault="00A51FCF">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B675C2">
      <w:rPr>
        <w:b/>
        <w:bCs/>
        <w:noProof/>
        <w:color w:val="000000"/>
      </w:rPr>
      <w:t>41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B675C2">
      <w:rPr>
        <w:b/>
        <w:bCs/>
        <w:noProof/>
        <w:color w:val="000000"/>
      </w:rPr>
      <w:t>41</w:t>
    </w:r>
    <w:r>
      <w:rPr>
        <w:b/>
        <w:bCs/>
        <w:color w:val="000000"/>
      </w:rPr>
      <w:fldChar w:fldCharType="end"/>
    </w:r>
  </w:p>
  <w:p w14:paraId="23F30073" w14:textId="77777777" w:rsidR="00A51FCF" w:rsidRDefault="00A51FC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7E924" w14:textId="35DA9809" w:rsidR="00A51FCF" w:rsidRDefault="00A51FCF">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B675C2">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B675C2">
      <w:rPr>
        <w:b/>
        <w:bCs/>
        <w:noProof/>
        <w:color w:val="000000"/>
      </w:rPr>
      <w:t>41</w:t>
    </w:r>
    <w:r>
      <w:rPr>
        <w:b/>
        <w:bCs/>
        <w:color w:val="000000"/>
      </w:rPr>
      <w:fldChar w:fldCharType="end"/>
    </w:r>
  </w:p>
  <w:p w14:paraId="1B27F587" w14:textId="77777777" w:rsidR="00A51FCF" w:rsidRDefault="00A51FC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B15D3" w14:textId="77777777" w:rsidR="00567F54" w:rsidRDefault="00567F54">
      <w:r>
        <w:separator/>
      </w:r>
    </w:p>
  </w:footnote>
  <w:footnote w:type="continuationSeparator" w:id="0">
    <w:p w14:paraId="21B03429" w14:textId="77777777" w:rsidR="00567F54" w:rsidRDefault="00567F54">
      <w:r>
        <w:continuationSeparator/>
      </w:r>
    </w:p>
  </w:footnote>
  <w:footnote w:id="1">
    <w:p w14:paraId="6CFDE735" w14:textId="77777777" w:rsidR="004A3DDD" w:rsidRDefault="004A3DDD" w:rsidP="004A3DDD">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20"/>
          <w:szCs w:val="20"/>
        </w:rPr>
        <w:t xml:space="preserve">Consultable en: </w:t>
      </w:r>
    </w:p>
    <w:p w14:paraId="639BD82F" w14:textId="77777777" w:rsidR="004A3DDD" w:rsidRDefault="00B675C2" w:rsidP="004A3DDD">
      <w:pPr>
        <w:pBdr>
          <w:top w:val="nil"/>
          <w:left w:val="nil"/>
          <w:bottom w:val="nil"/>
          <w:right w:val="nil"/>
          <w:between w:val="nil"/>
        </w:pBdr>
        <w:rPr>
          <w:rFonts w:ascii="Palatino Linotype" w:eastAsia="Palatino Linotype" w:hAnsi="Palatino Linotype" w:cs="Palatino Linotype"/>
          <w:color w:val="000000"/>
          <w:sz w:val="20"/>
          <w:szCs w:val="20"/>
        </w:rPr>
      </w:pPr>
      <w:hyperlink r:id="rId1">
        <w:r w:rsidR="004A3DDD">
          <w:rPr>
            <w:rFonts w:ascii="Palatino Linotype" w:eastAsia="Palatino Linotype" w:hAnsi="Palatino Linotype" w:cs="Palatino Linotype"/>
            <w:color w:val="0000FF"/>
            <w:sz w:val="18"/>
            <w:szCs w:val="18"/>
            <w:u w:val="single"/>
          </w:rPr>
          <w:t>http://legislacion.edomex.gob.mx/sites/legislacion.edomex.gob.mx/files/files/pdf/gct/2016/jun174.pdf</w:t>
        </w:r>
      </w:hyperlink>
      <w:r w:rsidR="004A3DDD">
        <w:rPr>
          <w:rFonts w:ascii="Palatino Linotype" w:eastAsia="Palatino Linotype" w:hAnsi="Palatino Linotype" w:cs="Palatino Linotype"/>
          <w:color w:val="000000"/>
          <w:sz w:val="18"/>
          <w:szCs w:val="18"/>
        </w:rPr>
        <w:t xml:space="preserve"> </w:t>
      </w:r>
    </w:p>
  </w:footnote>
  <w:footnote w:id="2">
    <w:p w14:paraId="6CC16DB2" w14:textId="77777777" w:rsidR="004A3DDD" w:rsidRDefault="004A3DDD" w:rsidP="004A3DDD">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Consultable en: </w:t>
      </w:r>
    </w:p>
    <w:p w14:paraId="539A31B6" w14:textId="77777777" w:rsidR="004A3DDD" w:rsidRDefault="004A3DDD" w:rsidP="004A3DDD">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http://legislacion.edomex.gob.mx/sites/legislacion.edomex.gob.mx/files/files/pdf/gct/2018/may033.pdf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0D6F9" w14:textId="77777777" w:rsidR="00A51FCF" w:rsidRDefault="00A51FCF">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6DC2E6D6" wp14:editId="691EA257">
          <wp:simplePos x="0" y="0"/>
          <wp:positionH relativeFrom="column">
            <wp:posOffset>0</wp:posOffset>
          </wp:positionH>
          <wp:positionV relativeFrom="paragraph">
            <wp:posOffset>-401952</wp:posOffset>
          </wp:positionV>
          <wp:extent cx="7809876" cy="10165823"/>
          <wp:effectExtent l="0" t="0" r="0" b="0"/>
          <wp:wrapNone/>
          <wp:docPr id="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8"/>
      <w:tblW w:w="5603" w:type="dxa"/>
      <w:tblInd w:w="3611" w:type="dxa"/>
      <w:tblLayout w:type="fixed"/>
      <w:tblLook w:val="0400" w:firstRow="0" w:lastRow="0" w:firstColumn="0" w:lastColumn="0" w:noHBand="0" w:noVBand="1"/>
    </w:tblPr>
    <w:tblGrid>
      <w:gridCol w:w="2551"/>
      <w:gridCol w:w="3052"/>
    </w:tblGrid>
    <w:tr w:rsidR="00A51FCF" w14:paraId="0C9C4C05" w14:textId="77777777">
      <w:tc>
        <w:tcPr>
          <w:tcW w:w="2551" w:type="dxa"/>
          <w:vAlign w:val="center"/>
        </w:tcPr>
        <w:p w14:paraId="5503F6AE" w14:textId="77777777" w:rsidR="00A51FCF" w:rsidRDefault="00A51FCF">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Recurso de Revisión:</w:t>
          </w:r>
        </w:p>
        <w:p w14:paraId="141B6474" w14:textId="77777777" w:rsidR="00A51FCF" w:rsidRDefault="00A51FCF">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p>
      </w:tc>
      <w:tc>
        <w:tcPr>
          <w:tcW w:w="3052" w:type="dxa"/>
          <w:vAlign w:val="center"/>
        </w:tcPr>
        <w:p w14:paraId="79E9778D" w14:textId="77777777" w:rsidR="00A51FCF" w:rsidRDefault="00A51FCF">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14194/INFOEM/IP/RR/2025</w:t>
          </w:r>
        </w:p>
      </w:tc>
    </w:tr>
    <w:tr w:rsidR="00A51FCF" w14:paraId="34FE9553" w14:textId="77777777">
      <w:trPr>
        <w:trHeight w:val="217"/>
      </w:trPr>
      <w:tc>
        <w:tcPr>
          <w:tcW w:w="2551" w:type="dxa"/>
          <w:vAlign w:val="center"/>
        </w:tcPr>
        <w:p w14:paraId="631D0F97" w14:textId="77777777" w:rsidR="00A51FCF" w:rsidRDefault="00A51FCF">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Sujeto obligado:</w:t>
          </w:r>
        </w:p>
      </w:tc>
      <w:tc>
        <w:tcPr>
          <w:tcW w:w="3052" w:type="dxa"/>
          <w:vAlign w:val="center"/>
        </w:tcPr>
        <w:p w14:paraId="6CEC0166" w14:textId="77777777" w:rsidR="00A51FCF" w:rsidRDefault="00A51FCF">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Fiscalía General de Justicia del Estado de México</w:t>
          </w:r>
        </w:p>
      </w:tc>
    </w:tr>
    <w:tr w:rsidR="00A51FCF" w14:paraId="7657A6F4" w14:textId="77777777">
      <w:tc>
        <w:tcPr>
          <w:tcW w:w="2551" w:type="dxa"/>
          <w:vAlign w:val="center"/>
        </w:tcPr>
        <w:p w14:paraId="25B360F4" w14:textId="77777777" w:rsidR="00A51FCF" w:rsidRDefault="00A51FCF">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Comisionada ponente:</w:t>
          </w:r>
        </w:p>
      </w:tc>
      <w:tc>
        <w:tcPr>
          <w:tcW w:w="3052" w:type="dxa"/>
          <w:vAlign w:val="center"/>
        </w:tcPr>
        <w:p w14:paraId="6D9B3546" w14:textId="77777777" w:rsidR="00A51FCF" w:rsidRDefault="00A51FCF">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Guadalupe Ramírez Peña</w:t>
          </w:r>
        </w:p>
      </w:tc>
    </w:tr>
  </w:tbl>
  <w:p w14:paraId="1BACC778" w14:textId="77777777" w:rsidR="00A51FCF" w:rsidRDefault="00A51FCF">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C2F89" w14:textId="77777777" w:rsidR="00A51FCF" w:rsidRDefault="00A51FCF">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5746D485" wp14:editId="5353E841">
          <wp:simplePos x="0" y="0"/>
          <wp:positionH relativeFrom="column">
            <wp:posOffset>-929003</wp:posOffset>
          </wp:positionH>
          <wp:positionV relativeFrom="paragraph">
            <wp:posOffset>-644523</wp:posOffset>
          </wp:positionV>
          <wp:extent cx="7809865" cy="10165715"/>
          <wp:effectExtent l="0" t="0" r="0" b="0"/>
          <wp:wrapNone/>
          <wp:docPr id="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5461" w:type="dxa"/>
      <w:tblInd w:w="3611" w:type="dxa"/>
      <w:tblLayout w:type="fixed"/>
      <w:tblLook w:val="0400" w:firstRow="0" w:lastRow="0" w:firstColumn="0" w:lastColumn="0" w:noHBand="0" w:noVBand="1"/>
    </w:tblPr>
    <w:tblGrid>
      <w:gridCol w:w="2343"/>
      <w:gridCol w:w="3118"/>
    </w:tblGrid>
    <w:tr w:rsidR="00A51FCF" w14:paraId="079B2CB2" w14:textId="77777777">
      <w:tc>
        <w:tcPr>
          <w:tcW w:w="2343" w:type="dxa"/>
          <w:vAlign w:val="center"/>
        </w:tcPr>
        <w:p w14:paraId="02185E0F" w14:textId="77777777" w:rsidR="00A51FCF" w:rsidRDefault="00A51FCF">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Recurso de Revisión:</w:t>
          </w:r>
        </w:p>
        <w:p w14:paraId="7BDD1D44" w14:textId="77777777" w:rsidR="00A51FCF" w:rsidRDefault="00A51FCF">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14:paraId="6CB8C645" w14:textId="77777777" w:rsidR="00A51FCF" w:rsidRDefault="00A51FCF">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14194/INFOEM/IP/RR/2025</w:t>
          </w:r>
        </w:p>
      </w:tc>
    </w:tr>
    <w:tr w:rsidR="00A51FCF" w14:paraId="52B22555" w14:textId="77777777">
      <w:tc>
        <w:tcPr>
          <w:tcW w:w="2343" w:type="dxa"/>
          <w:vAlign w:val="center"/>
        </w:tcPr>
        <w:p w14:paraId="670E643B" w14:textId="77777777" w:rsidR="00A51FCF" w:rsidRDefault="00A51FCF">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Recurrente:</w:t>
          </w:r>
        </w:p>
      </w:tc>
      <w:tc>
        <w:tcPr>
          <w:tcW w:w="3118" w:type="dxa"/>
          <w:vAlign w:val="center"/>
        </w:tcPr>
        <w:p w14:paraId="2E2814C9" w14:textId="2F5C6A52" w:rsidR="00A51FCF" w:rsidRDefault="00B675C2" w:rsidP="00B675C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 xml:space="preserve">XXXXXXXXXX XXXXXXXX XXXXXXX XXXXXXXX </w:t>
          </w:r>
          <w:r w:rsidR="00A51FCF">
            <w:rPr>
              <w:rFonts w:ascii="Palatino Linotype" w:eastAsia="Palatino Linotype" w:hAnsi="Palatino Linotype" w:cs="Palatino Linotype"/>
              <w:b/>
              <w:bCs/>
              <w:color w:val="000000"/>
              <w:sz w:val="20"/>
              <w:szCs w:val="20"/>
            </w:rPr>
            <w:t>.</w:t>
          </w:r>
        </w:p>
      </w:tc>
    </w:tr>
    <w:tr w:rsidR="00A51FCF" w14:paraId="628C5871" w14:textId="77777777">
      <w:trPr>
        <w:trHeight w:val="152"/>
      </w:trPr>
      <w:tc>
        <w:tcPr>
          <w:tcW w:w="2343" w:type="dxa"/>
          <w:vAlign w:val="center"/>
        </w:tcPr>
        <w:p w14:paraId="174EFE34" w14:textId="77777777" w:rsidR="00A51FCF" w:rsidRDefault="00A51FCF">
          <w:pP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Sujeto obligado:</w:t>
          </w:r>
        </w:p>
        <w:p w14:paraId="4C7ADFF1" w14:textId="77777777" w:rsidR="00A51FCF" w:rsidRDefault="00A51FCF">
          <w:pP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14:paraId="20EDEC3B" w14:textId="77777777" w:rsidR="00A51FCF" w:rsidRDefault="00A51FCF">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Fiscalía General de Justicia del Estado de México</w:t>
          </w:r>
        </w:p>
      </w:tc>
    </w:tr>
    <w:tr w:rsidR="00A51FCF" w14:paraId="3C1CF599" w14:textId="77777777">
      <w:tc>
        <w:tcPr>
          <w:tcW w:w="2343" w:type="dxa"/>
          <w:vAlign w:val="center"/>
        </w:tcPr>
        <w:p w14:paraId="3D29CC0E" w14:textId="77777777" w:rsidR="00A51FCF" w:rsidRDefault="00A51FCF">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Comisionada ponente:</w:t>
          </w:r>
        </w:p>
      </w:tc>
      <w:tc>
        <w:tcPr>
          <w:tcW w:w="3118" w:type="dxa"/>
          <w:vAlign w:val="center"/>
        </w:tcPr>
        <w:p w14:paraId="0786093C" w14:textId="77777777" w:rsidR="00A51FCF" w:rsidRDefault="00A51FCF">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Guadalupe Ramírez Peña</w:t>
          </w:r>
        </w:p>
      </w:tc>
    </w:tr>
  </w:tbl>
  <w:p w14:paraId="3E06CE44" w14:textId="77777777" w:rsidR="00A51FCF" w:rsidRDefault="00A51FCF">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433EBA"/>
    <w:multiLevelType w:val="multilevel"/>
    <w:tmpl w:val="4D760B40"/>
    <w:lvl w:ilvl="0">
      <w:start w:val="1"/>
      <w:numFmt w:val="bullet"/>
      <w:pStyle w:val="Listaconviet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CC2405"/>
    <w:multiLevelType w:val="multilevel"/>
    <w:tmpl w:val="F40C0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364A48"/>
    <w:multiLevelType w:val="multilevel"/>
    <w:tmpl w:val="EAF0A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E914ECD"/>
    <w:multiLevelType w:val="multilevel"/>
    <w:tmpl w:val="BD3E6D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9B53CD6"/>
    <w:multiLevelType w:val="multilevel"/>
    <w:tmpl w:val="3F02A6D0"/>
    <w:lvl w:ilvl="0">
      <w:start w:val="1"/>
      <w:numFmt w:val="upperRoman"/>
      <w:lvlText w:val="%1."/>
      <w:lvlJc w:val="left"/>
      <w:pPr>
        <w:ind w:left="1287" w:hanging="720"/>
      </w:pPr>
      <w:rPr>
        <w:i/>
        <w:sz w:val="22"/>
        <w:szCs w:val="22"/>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65070C84"/>
    <w:multiLevelType w:val="multilevel"/>
    <w:tmpl w:val="8A2A1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08320B5"/>
    <w:multiLevelType w:val="multilevel"/>
    <w:tmpl w:val="D8D4C21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AD33155"/>
    <w:multiLevelType w:val="multilevel"/>
    <w:tmpl w:val="79A29A44"/>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D8952AA"/>
    <w:multiLevelType w:val="multilevel"/>
    <w:tmpl w:val="218A21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FED07E9"/>
    <w:multiLevelType w:val="multilevel"/>
    <w:tmpl w:val="363ABC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9"/>
  </w:num>
  <w:num w:numId="3">
    <w:abstractNumId w:val="5"/>
  </w:num>
  <w:num w:numId="4">
    <w:abstractNumId w:val="0"/>
  </w:num>
  <w:num w:numId="5">
    <w:abstractNumId w:val="7"/>
  </w:num>
  <w:num w:numId="6">
    <w:abstractNumId w:val="8"/>
  </w:num>
  <w:num w:numId="7">
    <w:abstractNumId w:val="1"/>
  </w:num>
  <w:num w:numId="8">
    <w:abstractNumId w:val="3"/>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156"/>
    <w:rsid w:val="001755E0"/>
    <w:rsid w:val="002249AE"/>
    <w:rsid w:val="004A3DDD"/>
    <w:rsid w:val="00567F54"/>
    <w:rsid w:val="005E5156"/>
    <w:rsid w:val="00622697"/>
    <w:rsid w:val="007A2AEB"/>
    <w:rsid w:val="009B4B64"/>
    <w:rsid w:val="009F317A"/>
    <w:rsid w:val="00A104FE"/>
    <w:rsid w:val="00A10E8D"/>
    <w:rsid w:val="00A320DE"/>
    <w:rsid w:val="00A51FCF"/>
    <w:rsid w:val="00AE21D8"/>
    <w:rsid w:val="00B675C2"/>
    <w:rsid w:val="00B958DD"/>
    <w:rsid w:val="00CF3345"/>
    <w:rsid w:val="00E550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67D47"/>
  <w15:docId w15:val="{D0F5F482-A4FF-44E9-8D45-6C04E2C83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5"/>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top w:w="15" w:type="dxa"/>
        <w:left w:w="115" w:type="dxa"/>
        <w:bottom w:w="15" w:type="dxa"/>
        <w:right w:w="115" w:type="dxa"/>
      </w:tblCellMar>
    </w:tblPr>
  </w:style>
  <w:style w:type="table" w:customStyle="1" w:styleId="aa">
    <w:basedOn w:val="TableNormal4"/>
    <w:tblPr>
      <w:tblStyleRowBandSize w:val="1"/>
      <w:tblStyleColBandSize w:val="1"/>
      <w:tblCellMar>
        <w:top w:w="15" w:type="dxa"/>
        <w:left w:w="115" w:type="dxa"/>
        <w:bottom w:w="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top w:w="15" w:type="dxa"/>
        <w:left w:w="115" w:type="dxa"/>
        <w:bottom w:w="15" w:type="dxa"/>
        <w:right w:w="115" w:type="dxa"/>
      </w:tblCellMar>
    </w:tblPr>
  </w:style>
  <w:style w:type="table" w:customStyle="1" w:styleId="af2">
    <w:basedOn w:val="TableNormal3"/>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top w:w="15" w:type="dxa"/>
        <w:left w:w="115" w:type="dxa"/>
        <w:bottom w:w="15" w:type="dxa"/>
        <w:right w:w="115" w:type="dxa"/>
      </w:tblCellMar>
    </w:tblPr>
  </w:style>
  <w:style w:type="table" w:customStyle="1" w:styleId="af5">
    <w:basedOn w:val="TableNormal2"/>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table" w:customStyle="1" w:styleId="af6">
    <w:basedOn w:val="TableNormal1"/>
    <w:tblPr>
      <w:tblStyleRowBandSize w:val="1"/>
      <w:tblStyleColBandSize w:val="1"/>
      <w:tblCellMar>
        <w:top w:w="15" w:type="dxa"/>
        <w:left w:w="115" w:type="dxa"/>
        <w:bottom w:w="15" w:type="dxa"/>
        <w:right w:w="115" w:type="dxa"/>
      </w:tblCellMar>
    </w:tblPr>
  </w:style>
  <w:style w:type="table" w:customStyle="1" w:styleId="af7">
    <w:basedOn w:val="TableNormal1"/>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customStyle="1" w:styleId="p1">
    <w:name w:val="p1"/>
    <w:basedOn w:val="Normal"/>
    <w:rsid w:val="00E41FFF"/>
    <w:rPr>
      <w:rFonts w:ascii="Bookman Old Style" w:hAnsi="Bookman Old Style"/>
      <w:color w:val="000000"/>
      <w:sz w:val="15"/>
      <w:szCs w:val="15"/>
      <w:lang w:val="es-ES" w:eastAsia="es-ES_tradnl"/>
    </w:rPr>
  </w:style>
  <w:style w:type="character" w:customStyle="1" w:styleId="s1">
    <w:name w:val="s1"/>
    <w:basedOn w:val="Fuentedeprrafopredeter"/>
    <w:rsid w:val="00E41FFF"/>
    <w:rPr>
      <w:rFonts w:ascii="Bookman Old Style" w:hAnsi="Bookman Old Style" w:hint="default"/>
      <w:sz w:val="15"/>
      <w:szCs w:val="15"/>
    </w:rPr>
  </w:style>
  <w:style w:type="character" w:customStyle="1" w:styleId="s2">
    <w:name w:val="s2"/>
    <w:basedOn w:val="Fuentedeprrafopredeter"/>
    <w:rsid w:val="00E41FFF"/>
    <w:rPr>
      <w:rFonts w:ascii="Arial" w:hAnsi="Arial" w:cs="Arial" w:hint="default"/>
      <w:sz w:val="15"/>
      <w:szCs w:val="15"/>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0"/>
    <w:tblPr>
      <w:tblStyleRowBandSize w:val="1"/>
      <w:tblStyleColBandSize w:val="1"/>
      <w:tblCellMar>
        <w:top w:w="15" w:type="dxa"/>
        <w:left w:w="115" w:type="dxa"/>
        <w:bottom w:w="15" w:type="dxa"/>
        <w:right w:w="115" w:type="dxa"/>
      </w:tblCellMar>
    </w:tblPr>
  </w:style>
  <w:style w:type="table" w:customStyle="1" w:styleId="af9">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legislacion.edomex.gob.mx/sites/legislacion.edomex.gob.mx/files/files/pdf/gct/2016/jun17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E/Y9wj2hIKcalruwZXRNv8YH6w==">CgMxLjAyCWguM3pueXNoNzIOaC41cHJhdzBlcjlpYjcyDmguajNwcHl4d2xiMXMyMghoLnR5amN3dDINaC5qbDBkbGFzb3Q0ZjgAciExSTg5OGstdGJYbmw3bXVhdU13bVZzY2xQR29VMERhMkI=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9887</Words>
  <Characters>54383</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2026-02-13T17:03:00Z</cp:lastPrinted>
  <dcterms:created xsi:type="dcterms:W3CDTF">2026-04-06T17:57:00Z</dcterms:created>
  <dcterms:modified xsi:type="dcterms:W3CDTF">2026-04-06T17:57:00Z</dcterms:modified>
</cp:coreProperties>
</file>