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560" w:rsidRDefault="00B75560">
      <w:pPr>
        <w:widowControl w:val="0"/>
        <w:pBdr>
          <w:top w:val="nil"/>
          <w:left w:val="nil"/>
          <w:bottom w:val="nil"/>
          <w:right w:val="nil"/>
          <w:between w:val="nil"/>
        </w:pBdr>
        <w:spacing w:after="0" w:line="276" w:lineRule="auto"/>
        <w:jc w:val="left"/>
      </w:pPr>
    </w:p>
    <w:p w:rsidR="00B75560" w:rsidRDefault="00B75560">
      <w:pPr>
        <w:widowControl w:val="0"/>
        <w:pBdr>
          <w:top w:val="nil"/>
          <w:left w:val="nil"/>
          <w:bottom w:val="nil"/>
          <w:right w:val="nil"/>
          <w:between w:val="nil"/>
        </w:pBdr>
        <w:spacing w:after="0" w:line="276" w:lineRule="auto"/>
        <w:jc w:val="left"/>
      </w:pPr>
    </w:p>
    <w:p w:rsidR="00B75560" w:rsidRDefault="00B75560">
      <w:pPr>
        <w:tabs>
          <w:tab w:val="left" w:pos="8931"/>
        </w:tabs>
        <w:spacing w:after="0" w:line="360" w:lineRule="auto"/>
      </w:pPr>
    </w:p>
    <w:p w:rsidR="00B75560" w:rsidRDefault="00FB2252">
      <w:pPr>
        <w:keepNext/>
        <w:keepLines/>
        <w:pBdr>
          <w:top w:val="nil"/>
          <w:left w:val="nil"/>
          <w:bottom w:val="nil"/>
          <w:right w:val="nil"/>
          <w:between w:val="nil"/>
        </w:pBdr>
        <w:spacing w:after="0" w:line="360" w:lineRule="auto"/>
        <w:jc w:val="center"/>
        <w:rPr>
          <w:color w:val="000000"/>
        </w:rPr>
      </w:pPr>
      <w:r>
        <w:rPr>
          <w:color w:val="000000"/>
        </w:rPr>
        <w:t>RESOLUCIÓN DEL RECURSO DE REVISIÓN 09706/INFOEM/IP/RR/2025</w:t>
      </w:r>
    </w:p>
    <w:p w:rsidR="00B75560" w:rsidRDefault="00B75560">
      <w:pPr>
        <w:tabs>
          <w:tab w:val="left" w:pos="8931"/>
        </w:tabs>
        <w:spacing w:after="0" w:line="360" w:lineRule="auto"/>
      </w:pPr>
    </w:p>
    <w:sdt>
      <w:sdtPr>
        <w:rPr>
          <w:rFonts w:ascii="Palatino Linotype" w:eastAsia="Palatino Linotype" w:hAnsi="Palatino Linotype" w:cs="Palatino Linotype"/>
          <w:color w:val="auto"/>
          <w:sz w:val="22"/>
          <w:szCs w:val="22"/>
          <w:lang w:val="es-ES"/>
        </w:rPr>
        <w:id w:val="-1905901540"/>
        <w:docPartObj>
          <w:docPartGallery w:val="Table of Contents"/>
          <w:docPartUnique/>
        </w:docPartObj>
      </w:sdtPr>
      <w:sdtEndPr>
        <w:rPr>
          <w:b/>
          <w:bCs/>
        </w:rPr>
      </w:sdtEndPr>
      <w:sdtContent>
        <w:p w:rsidR="00F922F2" w:rsidRDefault="00F922F2">
          <w:pPr>
            <w:pStyle w:val="TtulodeTDC"/>
          </w:pPr>
        </w:p>
        <w:p w:rsidR="00F922F2" w:rsidRDefault="00F922F2">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386934" w:history="1">
            <w:r w:rsidRPr="00E041A4">
              <w:rPr>
                <w:rStyle w:val="Hipervnculo"/>
                <w:noProof/>
              </w:rPr>
              <w:t>A N T E C E D E N T E S</w:t>
            </w:r>
            <w:r>
              <w:rPr>
                <w:noProof/>
                <w:webHidden/>
              </w:rPr>
              <w:tab/>
            </w:r>
            <w:r>
              <w:rPr>
                <w:noProof/>
                <w:webHidden/>
              </w:rPr>
              <w:fldChar w:fldCharType="begin"/>
            </w:r>
            <w:r>
              <w:rPr>
                <w:noProof/>
                <w:webHidden/>
              </w:rPr>
              <w:instrText xml:space="preserve"> PAGEREF _Toc219386934 \h </w:instrText>
            </w:r>
            <w:r>
              <w:rPr>
                <w:noProof/>
                <w:webHidden/>
              </w:rPr>
            </w:r>
            <w:r>
              <w:rPr>
                <w:noProof/>
                <w:webHidden/>
              </w:rPr>
              <w:fldChar w:fldCharType="separate"/>
            </w:r>
            <w:r w:rsidR="007440DC">
              <w:rPr>
                <w:noProof/>
                <w:webHidden/>
              </w:rPr>
              <w:t>2</w:t>
            </w:r>
            <w:r>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35" w:history="1">
            <w:r w:rsidR="00F922F2" w:rsidRPr="00E041A4">
              <w:rPr>
                <w:rStyle w:val="Hipervnculo"/>
                <w:noProof/>
              </w:rPr>
              <w:t>I. Presentación de la solicitud de información</w:t>
            </w:r>
            <w:r w:rsidR="00F922F2">
              <w:rPr>
                <w:noProof/>
                <w:webHidden/>
              </w:rPr>
              <w:tab/>
            </w:r>
            <w:r w:rsidR="00F922F2">
              <w:rPr>
                <w:noProof/>
                <w:webHidden/>
              </w:rPr>
              <w:fldChar w:fldCharType="begin"/>
            </w:r>
            <w:r w:rsidR="00F922F2">
              <w:rPr>
                <w:noProof/>
                <w:webHidden/>
              </w:rPr>
              <w:instrText xml:space="preserve"> PAGEREF _Toc219386935 \h </w:instrText>
            </w:r>
            <w:r w:rsidR="00F922F2">
              <w:rPr>
                <w:noProof/>
                <w:webHidden/>
              </w:rPr>
            </w:r>
            <w:r w:rsidR="00F922F2">
              <w:rPr>
                <w:noProof/>
                <w:webHidden/>
              </w:rPr>
              <w:fldChar w:fldCharType="separate"/>
            </w:r>
            <w:r w:rsidR="007440DC">
              <w:rPr>
                <w:noProof/>
                <w:webHidden/>
              </w:rPr>
              <w:t>2</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36" w:history="1">
            <w:r w:rsidR="00F922F2" w:rsidRPr="00E041A4">
              <w:rPr>
                <w:rStyle w:val="Hipervnculo"/>
                <w:noProof/>
              </w:rPr>
              <w:t>II. Respuesta del Sujeto Obligado</w:t>
            </w:r>
            <w:r w:rsidR="00F922F2">
              <w:rPr>
                <w:noProof/>
                <w:webHidden/>
              </w:rPr>
              <w:tab/>
            </w:r>
            <w:r w:rsidR="00F922F2">
              <w:rPr>
                <w:noProof/>
                <w:webHidden/>
              </w:rPr>
              <w:fldChar w:fldCharType="begin"/>
            </w:r>
            <w:r w:rsidR="00F922F2">
              <w:rPr>
                <w:noProof/>
                <w:webHidden/>
              </w:rPr>
              <w:instrText xml:space="preserve"> PAGEREF _Toc219386936 \h </w:instrText>
            </w:r>
            <w:r w:rsidR="00F922F2">
              <w:rPr>
                <w:noProof/>
                <w:webHidden/>
              </w:rPr>
            </w:r>
            <w:r w:rsidR="00F922F2">
              <w:rPr>
                <w:noProof/>
                <w:webHidden/>
              </w:rPr>
              <w:fldChar w:fldCharType="separate"/>
            </w:r>
            <w:r w:rsidR="007440DC">
              <w:rPr>
                <w:noProof/>
                <w:webHidden/>
              </w:rPr>
              <w:t>3</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37" w:history="1">
            <w:r w:rsidR="00F922F2" w:rsidRPr="00E041A4">
              <w:rPr>
                <w:rStyle w:val="Hipervnculo"/>
                <w:noProof/>
              </w:rPr>
              <w:t>III. Interposición del Recurso de Revisión</w:t>
            </w:r>
            <w:r w:rsidR="00F922F2">
              <w:rPr>
                <w:noProof/>
                <w:webHidden/>
              </w:rPr>
              <w:tab/>
            </w:r>
            <w:r w:rsidR="00F922F2">
              <w:rPr>
                <w:noProof/>
                <w:webHidden/>
              </w:rPr>
              <w:fldChar w:fldCharType="begin"/>
            </w:r>
            <w:r w:rsidR="00F922F2">
              <w:rPr>
                <w:noProof/>
                <w:webHidden/>
              </w:rPr>
              <w:instrText xml:space="preserve"> PAGEREF _Toc219386937 \h </w:instrText>
            </w:r>
            <w:r w:rsidR="00F922F2">
              <w:rPr>
                <w:noProof/>
                <w:webHidden/>
              </w:rPr>
            </w:r>
            <w:r w:rsidR="00F922F2">
              <w:rPr>
                <w:noProof/>
                <w:webHidden/>
              </w:rPr>
              <w:fldChar w:fldCharType="separate"/>
            </w:r>
            <w:r w:rsidR="007440DC">
              <w:rPr>
                <w:noProof/>
                <w:webHidden/>
              </w:rPr>
              <w:t>3</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38" w:history="1">
            <w:r w:rsidR="00F922F2" w:rsidRPr="00E041A4">
              <w:rPr>
                <w:rStyle w:val="Hipervnculo"/>
                <w:noProof/>
              </w:rPr>
              <w:t>IV. Trámite del Recurso de Revisión ante este Instituto</w:t>
            </w:r>
            <w:r w:rsidR="00F922F2">
              <w:rPr>
                <w:noProof/>
                <w:webHidden/>
              </w:rPr>
              <w:tab/>
            </w:r>
            <w:r w:rsidR="00F922F2">
              <w:rPr>
                <w:noProof/>
                <w:webHidden/>
              </w:rPr>
              <w:fldChar w:fldCharType="begin"/>
            </w:r>
            <w:r w:rsidR="00F922F2">
              <w:rPr>
                <w:noProof/>
                <w:webHidden/>
              </w:rPr>
              <w:instrText xml:space="preserve"> PAGEREF _Toc219386938 \h </w:instrText>
            </w:r>
            <w:r w:rsidR="00F922F2">
              <w:rPr>
                <w:noProof/>
                <w:webHidden/>
              </w:rPr>
            </w:r>
            <w:r w:rsidR="00F922F2">
              <w:rPr>
                <w:noProof/>
                <w:webHidden/>
              </w:rPr>
              <w:fldChar w:fldCharType="separate"/>
            </w:r>
            <w:r w:rsidR="007440DC">
              <w:rPr>
                <w:noProof/>
                <w:webHidden/>
              </w:rPr>
              <w:t>4</w:t>
            </w:r>
            <w:r w:rsidR="00F922F2">
              <w:rPr>
                <w:noProof/>
                <w:webHidden/>
              </w:rPr>
              <w:fldChar w:fldCharType="end"/>
            </w:r>
          </w:hyperlink>
        </w:p>
        <w:p w:rsidR="00F922F2" w:rsidRDefault="0026361D">
          <w:pPr>
            <w:pStyle w:val="TDC1"/>
            <w:tabs>
              <w:tab w:val="right" w:leader="dot" w:pos="8921"/>
            </w:tabs>
            <w:rPr>
              <w:rFonts w:asciiTheme="minorHAnsi" w:eastAsiaTheme="minorEastAsia" w:hAnsiTheme="minorHAnsi" w:cstheme="minorBidi"/>
              <w:noProof/>
            </w:rPr>
          </w:pPr>
          <w:hyperlink w:anchor="_Toc219386939" w:history="1">
            <w:r w:rsidR="00F922F2" w:rsidRPr="00E041A4">
              <w:rPr>
                <w:rStyle w:val="Hipervnculo"/>
                <w:noProof/>
              </w:rPr>
              <w:t>C O N S I D E R A N D O S</w:t>
            </w:r>
            <w:r w:rsidR="00F922F2">
              <w:rPr>
                <w:noProof/>
                <w:webHidden/>
              </w:rPr>
              <w:tab/>
            </w:r>
            <w:r w:rsidR="00F922F2">
              <w:rPr>
                <w:noProof/>
                <w:webHidden/>
              </w:rPr>
              <w:fldChar w:fldCharType="begin"/>
            </w:r>
            <w:r w:rsidR="00F922F2">
              <w:rPr>
                <w:noProof/>
                <w:webHidden/>
              </w:rPr>
              <w:instrText xml:space="preserve"> PAGEREF _Toc219386939 \h </w:instrText>
            </w:r>
            <w:r w:rsidR="00F922F2">
              <w:rPr>
                <w:noProof/>
                <w:webHidden/>
              </w:rPr>
            </w:r>
            <w:r w:rsidR="00F922F2">
              <w:rPr>
                <w:noProof/>
                <w:webHidden/>
              </w:rPr>
              <w:fldChar w:fldCharType="separate"/>
            </w:r>
            <w:r w:rsidR="007440DC">
              <w:rPr>
                <w:noProof/>
                <w:webHidden/>
              </w:rPr>
              <w:t>6</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40" w:history="1">
            <w:r w:rsidR="00F922F2" w:rsidRPr="00E041A4">
              <w:rPr>
                <w:rStyle w:val="Hipervnculo"/>
                <w:noProof/>
              </w:rPr>
              <w:t>PRIMERO. Competencia</w:t>
            </w:r>
            <w:r w:rsidR="00F922F2">
              <w:rPr>
                <w:noProof/>
                <w:webHidden/>
              </w:rPr>
              <w:tab/>
            </w:r>
            <w:r w:rsidR="00F922F2">
              <w:rPr>
                <w:noProof/>
                <w:webHidden/>
              </w:rPr>
              <w:fldChar w:fldCharType="begin"/>
            </w:r>
            <w:r w:rsidR="00F922F2">
              <w:rPr>
                <w:noProof/>
                <w:webHidden/>
              </w:rPr>
              <w:instrText xml:space="preserve"> PAGEREF _Toc219386940 \h </w:instrText>
            </w:r>
            <w:r w:rsidR="00F922F2">
              <w:rPr>
                <w:noProof/>
                <w:webHidden/>
              </w:rPr>
            </w:r>
            <w:r w:rsidR="00F922F2">
              <w:rPr>
                <w:noProof/>
                <w:webHidden/>
              </w:rPr>
              <w:fldChar w:fldCharType="separate"/>
            </w:r>
            <w:r w:rsidR="007440DC">
              <w:rPr>
                <w:noProof/>
                <w:webHidden/>
              </w:rPr>
              <w:t>6</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41" w:history="1">
            <w:r w:rsidR="00F922F2" w:rsidRPr="00E041A4">
              <w:rPr>
                <w:rStyle w:val="Hipervnculo"/>
                <w:noProof/>
              </w:rPr>
              <w:t>SEGUNDO. Causales de improcedencia y sobreseimiento</w:t>
            </w:r>
            <w:r w:rsidR="00F922F2">
              <w:rPr>
                <w:noProof/>
                <w:webHidden/>
              </w:rPr>
              <w:tab/>
            </w:r>
            <w:r w:rsidR="00F922F2">
              <w:rPr>
                <w:noProof/>
                <w:webHidden/>
              </w:rPr>
              <w:fldChar w:fldCharType="begin"/>
            </w:r>
            <w:r w:rsidR="00F922F2">
              <w:rPr>
                <w:noProof/>
                <w:webHidden/>
              </w:rPr>
              <w:instrText xml:space="preserve"> PAGEREF _Toc219386941 \h </w:instrText>
            </w:r>
            <w:r w:rsidR="00F922F2">
              <w:rPr>
                <w:noProof/>
                <w:webHidden/>
              </w:rPr>
            </w:r>
            <w:r w:rsidR="00F922F2">
              <w:rPr>
                <w:noProof/>
                <w:webHidden/>
              </w:rPr>
              <w:fldChar w:fldCharType="separate"/>
            </w:r>
            <w:r w:rsidR="007440DC">
              <w:rPr>
                <w:noProof/>
                <w:webHidden/>
              </w:rPr>
              <w:t>6</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42" w:history="1">
            <w:r w:rsidR="00F922F2" w:rsidRPr="00E041A4">
              <w:rPr>
                <w:rStyle w:val="Hipervnculo"/>
                <w:noProof/>
              </w:rPr>
              <w:t>TERCERO. Determinación de la Controversia</w:t>
            </w:r>
            <w:r w:rsidR="00F922F2">
              <w:rPr>
                <w:noProof/>
                <w:webHidden/>
              </w:rPr>
              <w:tab/>
            </w:r>
            <w:r w:rsidR="00F922F2">
              <w:rPr>
                <w:noProof/>
                <w:webHidden/>
              </w:rPr>
              <w:fldChar w:fldCharType="begin"/>
            </w:r>
            <w:r w:rsidR="00F922F2">
              <w:rPr>
                <w:noProof/>
                <w:webHidden/>
              </w:rPr>
              <w:instrText xml:space="preserve"> PAGEREF _Toc219386942 \h </w:instrText>
            </w:r>
            <w:r w:rsidR="00F922F2">
              <w:rPr>
                <w:noProof/>
                <w:webHidden/>
              </w:rPr>
            </w:r>
            <w:r w:rsidR="00F922F2">
              <w:rPr>
                <w:noProof/>
                <w:webHidden/>
              </w:rPr>
              <w:fldChar w:fldCharType="separate"/>
            </w:r>
            <w:r w:rsidR="007440DC">
              <w:rPr>
                <w:noProof/>
                <w:webHidden/>
              </w:rPr>
              <w:t>8</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43" w:history="1">
            <w:r w:rsidR="00F922F2" w:rsidRPr="00E041A4">
              <w:rPr>
                <w:rStyle w:val="Hipervnculo"/>
                <w:noProof/>
              </w:rPr>
              <w:t>CUARTO. Marco normativo aplicable en materia de transparencia y acceso a la información pública</w:t>
            </w:r>
            <w:r w:rsidR="00F922F2">
              <w:rPr>
                <w:noProof/>
                <w:webHidden/>
              </w:rPr>
              <w:tab/>
            </w:r>
            <w:r w:rsidR="00F922F2">
              <w:rPr>
                <w:noProof/>
                <w:webHidden/>
              </w:rPr>
              <w:fldChar w:fldCharType="begin"/>
            </w:r>
            <w:r w:rsidR="00F922F2">
              <w:rPr>
                <w:noProof/>
                <w:webHidden/>
              </w:rPr>
              <w:instrText xml:space="preserve"> PAGEREF _Toc219386943 \h </w:instrText>
            </w:r>
            <w:r w:rsidR="00F922F2">
              <w:rPr>
                <w:noProof/>
                <w:webHidden/>
              </w:rPr>
            </w:r>
            <w:r w:rsidR="00F922F2">
              <w:rPr>
                <w:noProof/>
                <w:webHidden/>
              </w:rPr>
              <w:fldChar w:fldCharType="separate"/>
            </w:r>
            <w:r w:rsidR="007440DC">
              <w:rPr>
                <w:noProof/>
                <w:webHidden/>
              </w:rPr>
              <w:t>9</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44" w:history="1">
            <w:r w:rsidR="00F922F2" w:rsidRPr="00E041A4">
              <w:rPr>
                <w:rStyle w:val="Hipervnculo"/>
                <w:noProof/>
              </w:rPr>
              <w:t>QUINTO. Estudio de Fondo</w:t>
            </w:r>
            <w:r w:rsidR="00F922F2">
              <w:rPr>
                <w:noProof/>
                <w:webHidden/>
              </w:rPr>
              <w:tab/>
            </w:r>
            <w:r w:rsidR="00F922F2">
              <w:rPr>
                <w:noProof/>
                <w:webHidden/>
              </w:rPr>
              <w:fldChar w:fldCharType="begin"/>
            </w:r>
            <w:r w:rsidR="00F922F2">
              <w:rPr>
                <w:noProof/>
                <w:webHidden/>
              </w:rPr>
              <w:instrText xml:space="preserve"> PAGEREF _Toc219386944 \h </w:instrText>
            </w:r>
            <w:r w:rsidR="00F922F2">
              <w:rPr>
                <w:noProof/>
                <w:webHidden/>
              </w:rPr>
            </w:r>
            <w:r w:rsidR="00F922F2">
              <w:rPr>
                <w:noProof/>
                <w:webHidden/>
              </w:rPr>
              <w:fldChar w:fldCharType="separate"/>
            </w:r>
            <w:r w:rsidR="007440DC">
              <w:rPr>
                <w:noProof/>
                <w:webHidden/>
              </w:rPr>
              <w:t>10</w:t>
            </w:r>
            <w:r w:rsidR="00F922F2">
              <w:rPr>
                <w:noProof/>
                <w:webHidden/>
              </w:rPr>
              <w:fldChar w:fldCharType="end"/>
            </w:r>
          </w:hyperlink>
        </w:p>
        <w:p w:rsidR="00F922F2" w:rsidRDefault="0026361D">
          <w:pPr>
            <w:pStyle w:val="TDC2"/>
            <w:tabs>
              <w:tab w:val="right" w:leader="dot" w:pos="8921"/>
            </w:tabs>
            <w:rPr>
              <w:rFonts w:asciiTheme="minorHAnsi" w:eastAsiaTheme="minorEastAsia" w:hAnsiTheme="minorHAnsi" w:cstheme="minorBidi"/>
              <w:noProof/>
            </w:rPr>
          </w:pPr>
          <w:hyperlink w:anchor="_Toc219386945" w:history="1">
            <w:r w:rsidR="00F922F2" w:rsidRPr="00E041A4">
              <w:rPr>
                <w:rStyle w:val="Hipervnculo"/>
                <w:noProof/>
              </w:rPr>
              <w:t>SEXTO. Decisión</w:t>
            </w:r>
            <w:r w:rsidR="00F922F2">
              <w:rPr>
                <w:noProof/>
                <w:webHidden/>
              </w:rPr>
              <w:tab/>
            </w:r>
            <w:r w:rsidR="00F922F2">
              <w:rPr>
                <w:noProof/>
                <w:webHidden/>
              </w:rPr>
              <w:fldChar w:fldCharType="begin"/>
            </w:r>
            <w:r w:rsidR="00F922F2">
              <w:rPr>
                <w:noProof/>
                <w:webHidden/>
              </w:rPr>
              <w:instrText xml:space="preserve"> PAGEREF _Toc219386945 \h </w:instrText>
            </w:r>
            <w:r w:rsidR="00F922F2">
              <w:rPr>
                <w:noProof/>
                <w:webHidden/>
              </w:rPr>
            </w:r>
            <w:r w:rsidR="00F922F2">
              <w:rPr>
                <w:noProof/>
                <w:webHidden/>
              </w:rPr>
              <w:fldChar w:fldCharType="separate"/>
            </w:r>
            <w:r w:rsidR="007440DC">
              <w:rPr>
                <w:noProof/>
                <w:webHidden/>
              </w:rPr>
              <w:t>17</w:t>
            </w:r>
            <w:r w:rsidR="00F922F2">
              <w:rPr>
                <w:noProof/>
                <w:webHidden/>
              </w:rPr>
              <w:fldChar w:fldCharType="end"/>
            </w:r>
          </w:hyperlink>
        </w:p>
        <w:p w:rsidR="00F922F2" w:rsidRDefault="0026361D">
          <w:pPr>
            <w:pStyle w:val="TDC1"/>
            <w:tabs>
              <w:tab w:val="right" w:leader="dot" w:pos="8921"/>
            </w:tabs>
            <w:rPr>
              <w:rFonts w:asciiTheme="minorHAnsi" w:eastAsiaTheme="minorEastAsia" w:hAnsiTheme="minorHAnsi" w:cstheme="minorBidi"/>
              <w:noProof/>
            </w:rPr>
          </w:pPr>
          <w:hyperlink w:anchor="_Toc219386946" w:history="1">
            <w:r w:rsidR="00F922F2" w:rsidRPr="00E041A4">
              <w:rPr>
                <w:rStyle w:val="Hipervnculo"/>
                <w:noProof/>
              </w:rPr>
              <w:t>R E S U E L V E</w:t>
            </w:r>
            <w:r w:rsidR="00F922F2">
              <w:rPr>
                <w:noProof/>
                <w:webHidden/>
              </w:rPr>
              <w:tab/>
            </w:r>
            <w:r w:rsidR="00F922F2">
              <w:rPr>
                <w:noProof/>
                <w:webHidden/>
              </w:rPr>
              <w:fldChar w:fldCharType="begin"/>
            </w:r>
            <w:r w:rsidR="00F922F2">
              <w:rPr>
                <w:noProof/>
                <w:webHidden/>
              </w:rPr>
              <w:instrText xml:space="preserve"> PAGEREF _Toc219386946 \h </w:instrText>
            </w:r>
            <w:r w:rsidR="00F922F2">
              <w:rPr>
                <w:noProof/>
                <w:webHidden/>
              </w:rPr>
            </w:r>
            <w:r w:rsidR="00F922F2">
              <w:rPr>
                <w:noProof/>
                <w:webHidden/>
              </w:rPr>
              <w:fldChar w:fldCharType="separate"/>
            </w:r>
            <w:r w:rsidR="007440DC">
              <w:rPr>
                <w:noProof/>
                <w:webHidden/>
              </w:rPr>
              <w:t>17</w:t>
            </w:r>
            <w:r w:rsidR="00F922F2">
              <w:rPr>
                <w:noProof/>
                <w:webHidden/>
              </w:rPr>
              <w:fldChar w:fldCharType="end"/>
            </w:r>
          </w:hyperlink>
        </w:p>
        <w:p w:rsidR="00F922F2" w:rsidRDefault="00F922F2">
          <w:r>
            <w:rPr>
              <w:b/>
              <w:bCs/>
              <w:lang w:val="es-ES"/>
            </w:rPr>
            <w:fldChar w:fldCharType="end"/>
          </w:r>
        </w:p>
      </w:sdtContent>
    </w:sdt>
    <w:p w:rsidR="00F922F2" w:rsidRDefault="00F922F2">
      <w:pPr>
        <w:tabs>
          <w:tab w:val="left" w:pos="8931"/>
        </w:tabs>
        <w:spacing w:after="0" w:line="360" w:lineRule="auto"/>
      </w:pPr>
    </w:p>
    <w:p w:rsidR="00F922F2" w:rsidRDefault="00F922F2">
      <w:pPr>
        <w:tabs>
          <w:tab w:val="left" w:pos="8931"/>
        </w:tabs>
        <w:spacing w:after="0" w:line="360" w:lineRule="auto"/>
      </w:pPr>
    </w:p>
    <w:p w:rsidR="00F922F2" w:rsidRDefault="00F922F2">
      <w:pPr>
        <w:tabs>
          <w:tab w:val="left" w:pos="8931"/>
        </w:tabs>
        <w:spacing w:after="0" w:line="360" w:lineRule="auto"/>
      </w:pPr>
    </w:p>
    <w:p w:rsidR="00F922F2" w:rsidRDefault="00F922F2">
      <w:pPr>
        <w:tabs>
          <w:tab w:val="left" w:pos="8931"/>
        </w:tabs>
        <w:spacing w:after="0" w:line="360" w:lineRule="auto"/>
      </w:pPr>
    </w:p>
    <w:p w:rsidR="00F922F2" w:rsidRDefault="00F922F2">
      <w:pPr>
        <w:tabs>
          <w:tab w:val="left" w:pos="8931"/>
        </w:tabs>
        <w:spacing w:after="0" w:line="360" w:lineRule="auto"/>
      </w:pPr>
    </w:p>
    <w:p w:rsidR="00F922F2" w:rsidRDefault="00F922F2">
      <w:pPr>
        <w:tabs>
          <w:tab w:val="left" w:pos="8931"/>
        </w:tabs>
        <w:spacing w:after="0" w:line="360" w:lineRule="auto"/>
      </w:pPr>
    </w:p>
    <w:p w:rsidR="00B75560" w:rsidRDefault="00B75560">
      <w:pPr>
        <w:tabs>
          <w:tab w:val="left" w:pos="8931"/>
        </w:tabs>
        <w:spacing w:after="0" w:line="360" w:lineRule="auto"/>
      </w:pPr>
    </w:p>
    <w:p w:rsidR="00B75560" w:rsidRDefault="00FB2252">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catorce de enero de dos mil veintiséis.</w:t>
      </w:r>
    </w:p>
    <w:p w:rsidR="00B75560" w:rsidRDefault="00B75560">
      <w:pPr>
        <w:spacing w:after="0" w:line="360" w:lineRule="auto"/>
        <w:rPr>
          <w:b/>
          <w:bCs/>
        </w:rPr>
      </w:pPr>
    </w:p>
    <w:p w:rsidR="00B75560" w:rsidRDefault="00FB2252">
      <w:pPr>
        <w:spacing w:after="0" w:line="360" w:lineRule="auto"/>
        <w:rPr>
          <w:color w:val="0D0D0D"/>
        </w:rPr>
      </w:pPr>
      <w:r>
        <w:rPr>
          <w:b/>
          <w:bCs/>
        </w:rPr>
        <w:t xml:space="preserve">VISTO </w:t>
      </w:r>
      <w:r>
        <w:t xml:space="preserve">el expediente electrónico conformado con motivo del Recurso de Revisión </w:t>
      </w:r>
      <w:r w:rsidRPr="009B5BCD">
        <w:rPr>
          <w:b/>
        </w:rPr>
        <w:t>09706/INFOEM/IP/RR</w:t>
      </w:r>
      <w:r>
        <w:t xml:space="preserve">/2025, interpuesto por, quien será la persona </w:t>
      </w:r>
      <w:r>
        <w:rPr>
          <w:color w:val="0D0D0D"/>
        </w:rPr>
        <w:t xml:space="preserve">Recurrente o Particular, en contra de la respuesta del Sujeto Obligado, </w:t>
      </w:r>
      <w:bookmarkStart w:id="0" w:name="_GoBack"/>
      <w:r w:rsidRPr="009B5BCD">
        <w:rPr>
          <w:b/>
        </w:rPr>
        <w:t>Ayuntamiento de Toluca</w:t>
      </w:r>
      <w:bookmarkEnd w:id="0"/>
      <w:r>
        <w:t>,</w:t>
      </w:r>
      <w:r>
        <w:rPr>
          <w:color w:val="0D0D0D"/>
        </w:rPr>
        <w:t xml:space="preserve"> a la solicitud de acceso a la información pública </w:t>
      </w:r>
      <w:r>
        <w:t>04050/TOLUCA/IP/2025</w:t>
      </w:r>
      <w:r>
        <w:rPr>
          <w:color w:val="000000"/>
        </w:rPr>
        <w:t xml:space="preserve">, </w:t>
      </w:r>
      <w:r>
        <w:rPr>
          <w:color w:val="0D0D0D"/>
        </w:rPr>
        <w:t>se emite la presente Resolución, con base en los Antecedentes y Considerandos que se exponen a continuación:</w:t>
      </w:r>
    </w:p>
    <w:p w:rsidR="00B75560" w:rsidRDefault="00B75560">
      <w:pPr>
        <w:spacing w:after="0" w:line="360" w:lineRule="auto"/>
        <w:rPr>
          <w:b/>
          <w:bCs/>
        </w:rPr>
      </w:pPr>
    </w:p>
    <w:p w:rsidR="00B75560" w:rsidRDefault="00FB2252">
      <w:pPr>
        <w:pStyle w:val="Ttulo1"/>
        <w:spacing w:before="0" w:after="0" w:line="360" w:lineRule="auto"/>
        <w:jc w:val="center"/>
        <w:rPr>
          <w:sz w:val="22"/>
          <w:szCs w:val="22"/>
        </w:rPr>
      </w:pPr>
      <w:bookmarkStart w:id="1" w:name="_heading=h.v5x47yx7st2c" w:colFirst="0" w:colLast="0"/>
      <w:bookmarkStart w:id="2" w:name="_Toc219386934"/>
      <w:bookmarkEnd w:id="1"/>
      <w:r>
        <w:rPr>
          <w:sz w:val="22"/>
          <w:szCs w:val="22"/>
        </w:rPr>
        <w:t>A N T E C E D E N T E S</w:t>
      </w:r>
      <w:bookmarkEnd w:id="2"/>
    </w:p>
    <w:p w:rsidR="00B75560" w:rsidRDefault="00B75560">
      <w:pPr>
        <w:spacing w:after="0" w:line="360" w:lineRule="auto"/>
        <w:jc w:val="center"/>
        <w:rPr>
          <w:b/>
          <w:bCs/>
        </w:rPr>
      </w:pPr>
    </w:p>
    <w:p w:rsidR="00B75560" w:rsidRDefault="00FB2252">
      <w:pPr>
        <w:pStyle w:val="Ttulo2"/>
        <w:spacing w:before="0" w:after="0" w:line="360" w:lineRule="auto"/>
        <w:rPr>
          <w:sz w:val="22"/>
          <w:szCs w:val="22"/>
        </w:rPr>
      </w:pPr>
      <w:bookmarkStart w:id="3" w:name="_heading=h.iqzxwu90s0dt" w:colFirst="0" w:colLast="0"/>
      <w:bookmarkStart w:id="4" w:name="_Toc219386935"/>
      <w:bookmarkEnd w:id="3"/>
      <w:r>
        <w:rPr>
          <w:sz w:val="22"/>
          <w:szCs w:val="22"/>
        </w:rPr>
        <w:t>I. Presentación de la solicitud de información</w:t>
      </w:r>
      <w:bookmarkEnd w:id="4"/>
    </w:p>
    <w:p w:rsidR="00B75560" w:rsidRDefault="00B75560">
      <w:pPr>
        <w:tabs>
          <w:tab w:val="left" w:pos="567"/>
        </w:tabs>
        <w:spacing w:after="0" w:line="360" w:lineRule="auto"/>
      </w:pPr>
    </w:p>
    <w:p w:rsidR="00B75560" w:rsidRDefault="00FB2252">
      <w:pPr>
        <w:spacing w:after="0" w:line="360" w:lineRule="auto"/>
      </w:pPr>
      <w:r>
        <w:t>El cuatro de agosto de dos mil veinticinco, el Particular presentó una solicitud de acceso a la información pública (si bien se presentó el veinticuatro de julio que fue inhábil se recorre al día siguiente hábil), a través del Sistema de Acceso a la Información Mexiquense (SAIMEX), ante el Ayuntamiento de Toluca</w:t>
      </w:r>
      <w:r>
        <w:rPr>
          <w:color w:val="000000"/>
        </w:rPr>
        <w:t>,</w:t>
      </w:r>
      <w:r>
        <w:t xml:space="preserve"> en los siguientes términos: </w:t>
      </w:r>
    </w:p>
    <w:p w:rsidR="00B75560" w:rsidRDefault="00B75560">
      <w:pPr>
        <w:spacing w:after="0" w:line="360" w:lineRule="auto"/>
      </w:pPr>
    </w:p>
    <w:p w:rsidR="00B75560" w:rsidRDefault="00FB2252">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B75560" w:rsidRDefault="00FB2252">
      <w:pPr>
        <w:tabs>
          <w:tab w:val="left" w:pos="4667"/>
        </w:tabs>
        <w:spacing w:after="0" w:line="360" w:lineRule="auto"/>
        <w:ind w:left="567" w:right="567"/>
        <w:rPr>
          <w:i/>
          <w:iCs/>
          <w:sz w:val="20"/>
          <w:szCs w:val="20"/>
        </w:rPr>
      </w:pPr>
      <w:r>
        <w:rPr>
          <w:i/>
          <w:iCs/>
          <w:sz w:val="20"/>
          <w:szCs w:val="20"/>
        </w:rPr>
        <w:t xml:space="preserve">El presupuesto autorizado por partida y dependencia incluyendo </w:t>
      </w:r>
      <w:proofErr w:type="spellStart"/>
      <w:r>
        <w:rPr>
          <w:i/>
          <w:iCs/>
          <w:sz w:val="20"/>
          <w:szCs w:val="20"/>
        </w:rPr>
        <w:t>regisdurías</w:t>
      </w:r>
      <w:proofErr w:type="spellEnd"/>
      <w:r>
        <w:rPr>
          <w:i/>
          <w:iCs/>
          <w:sz w:val="20"/>
          <w:szCs w:val="20"/>
        </w:rPr>
        <w:t xml:space="preserve"> y sindicaturas por capítulo para el año 2024.” (Sic.)</w:t>
      </w:r>
    </w:p>
    <w:p w:rsidR="00B75560" w:rsidRDefault="00B75560">
      <w:pPr>
        <w:tabs>
          <w:tab w:val="left" w:pos="4667"/>
        </w:tabs>
        <w:spacing w:after="0" w:line="360" w:lineRule="auto"/>
        <w:ind w:left="567" w:right="567"/>
        <w:rPr>
          <w:b/>
          <w:bCs/>
          <w:i/>
          <w:iCs/>
          <w:sz w:val="20"/>
          <w:szCs w:val="20"/>
        </w:rPr>
      </w:pPr>
    </w:p>
    <w:p w:rsidR="00B75560" w:rsidRDefault="00FB2252">
      <w:pPr>
        <w:tabs>
          <w:tab w:val="left" w:pos="4667"/>
        </w:tabs>
        <w:spacing w:after="0" w:line="360" w:lineRule="auto"/>
        <w:ind w:left="567" w:right="567"/>
        <w:rPr>
          <w:b/>
          <w:bCs/>
          <w:i/>
          <w:iCs/>
          <w:sz w:val="20"/>
          <w:szCs w:val="20"/>
        </w:rPr>
      </w:pPr>
      <w:r>
        <w:rPr>
          <w:b/>
          <w:bCs/>
          <w:i/>
          <w:iCs/>
          <w:sz w:val="20"/>
          <w:szCs w:val="20"/>
        </w:rPr>
        <w:t>“MODALIDAD DE ENTREGA</w:t>
      </w:r>
    </w:p>
    <w:p w:rsidR="00B75560" w:rsidRDefault="00FB2252">
      <w:pPr>
        <w:spacing w:after="0" w:line="360" w:lineRule="auto"/>
        <w:ind w:left="567" w:right="567"/>
        <w:rPr>
          <w:i/>
          <w:iCs/>
          <w:sz w:val="20"/>
          <w:szCs w:val="20"/>
        </w:rPr>
      </w:pPr>
      <w:r>
        <w:rPr>
          <w:i/>
          <w:iCs/>
          <w:sz w:val="20"/>
          <w:szCs w:val="20"/>
        </w:rPr>
        <w:t>A través del SAIMEX”</w:t>
      </w:r>
    </w:p>
    <w:p w:rsidR="00B75560" w:rsidRDefault="00B75560">
      <w:pPr>
        <w:spacing w:after="0" w:line="360" w:lineRule="auto"/>
        <w:ind w:right="567"/>
        <w:rPr>
          <w:i/>
          <w:iCs/>
          <w:sz w:val="20"/>
          <w:szCs w:val="20"/>
        </w:rPr>
      </w:pPr>
    </w:p>
    <w:p w:rsidR="00B75560" w:rsidRDefault="00FB2252">
      <w:pPr>
        <w:pStyle w:val="Ttulo2"/>
        <w:spacing w:before="0" w:after="0" w:line="360" w:lineRule="auto"/>
        <w:rPr>
          <w:sz w:val="22"/>
          <w:szCs w:val="22"/>
        </w:rPr>
      </w:pPr>
      <w:bookmarkStart w:id="5" w:name="_heading=h.6kb9inydd5c5" w:colFirst="0" w:colLast="0"/>
      <w:bookmarkStart w:id="6" w:name="_Toc219386936"/>
      <w:bookmarkEnd w:id="5"/>
      <w:r>
        <w:rPr>
          <w:sz w:val="22"/>
          <w:szCs w:val="22"/>
        </w:rPr>
        <w:lastRenderedPageBreak/>
        <w:t>II. Respuesta del Sujeto Obligado</w:t>
      </w:r>
      <w:bookmarkEnd w:id="6"/>
    </w:p>
    <w:p w:rsidR="00B75560" w:rsidRDefault="00B75560">
      <w:pPr>
        <w:spacing w:after="0" w:line="360" w:lineRule="auto"/>
        <w:rPr>
          <w:b/>
          <w:bCs/>
        </w:rPr>
      </w:pPr>
    </w:p>
    <w:p w:rsidR="00B75560" w:rsidRDefault="00FB2252">
      <w:pPr>
        <w:spacing w:after="0" w:line="360" w:lineRule="auto"/>
      </w:pPr>
      <w:r>
        <w:t>El catorce de agosto de dos mil veinticinco, el Sujeto Obligado notificó, a través del Sistema de Acceso a la Información Mexiquense (SAIMEX), la respuesta a la solicitud de acceso a la información pública, a través del oficio número 202010000/02705/2025, del cinco de agosto  de dos mil veinticinco, suscrito por el Tesorero Municipal y dirigido al Solicitante, por medio del cual mencionó lo siguiente:</w:t>
      </w:r>
    </w:p>
    <w:p w:rsidR="00B75560" w:rsidRDefault="00B75560">
      <w:pPr>
        <w:spacing w:after="0" w:line="360" w:lineRule="auto"/>
      </w:pPr>
    </w:p>
    <w:p w:rsidR="00B75560" w:rsidRDefault="00FB2252">
      <w:pPr>
        <w:spacing w:after="0" w:line="360" w:lineRule="auto"/>
        <w:ind w:left="567" w:right="567"/>
        <w:rPr>
          <w:i/>
          <w:iCs/>
          <w:sz w:val="20"/>
          <w:szCs w:val="20"/>
        </w:rPr>
      </w:pPr>
      <w:r>
        <w:rPr>
          <w:i/>
          <w:iCs/>
          <w:sz w:val="20"/>
          <w:szCs w:val="20"/>
        </w:rPr>
        <w:t xml:space="preserve">“…Con el fin de garantizar el derecho de acceso a la información </w:t>
      </w:r>
      <w:proofErr w:type="spellStart"/>
      <w:r>
        <w:rPr>
          <w:i/>
          <w:iCs/>
          <w:sz w:val="20"/>
          <w:szCs w:val="20"/>
        </w:rPr>
        <w:t>publica</w:t>
      </w:r>
      <w:proofErr w:type="spellEnd"/>
      <w:r>
        <w:rPr>
          <w:i/>
          <w:iCs/>
          <w:sz w:val="20"/>
          <w:szCs w:val="20"/>
        </w:rPr>
        <w:t xml:space="preserve"> de la persona solicitante, se adjunta al presente, los siguientes documentos:</w:t>
      </w:r>
    </w:p>
    <w:p w:rsidR="00B75560" w:rsidRDefault="00B75560">
      <w:pPr>
        <w:spacing w:after="0" w:line="360" w:lineRule="auto"/>
        <w:ind w:left="567" w:right="567"/>
        <w:rPr>
          <w:i/>
          <w:iCs/>
          <w:sz w:val="20"/>
          <w:szCs w:val="20"/>
        </w:rPr>
      </w:pPr>
    </w:p>
    <w:p w:rsidR="00B75560" w:rsidRDefault="00FB2252">
      <w:pPr>
        <w:numPr>
          <w:ilvl w:val="0"/>
          <w:numId w:val="1"/>
        </w:numPr>
        <w:pBdr>
          <w:top w:val="nil"/>
          <w:left w:val="nil"/>
          <w:bottom w:val="nil"/>
          <w:right w:val="nil"/>
          <w:between w:val="nil"/>
        </w:pBdr>
        <w:spacing w:after="0" w:line="360" w:lineRule="auto"/>
        <w:ind w:right="567"/>
        <w:rPr>
          <w:i/>
          <w:iCs/>
          <w:color w:val="000000"/>
          <w:sz w:val="20"/>
          <w:szCs w:val="20"/>
        </w:rPr>
      </w:pPr>
      <w:r>
        <w:rPr>
          <w:i/>
          <w:iCs/>
          <w:color w:val="000000"/>
          <w:sz w:val="20"/>
          <w:szCs w:val="20"/>
        </w:rPr>
        <w:t>Caratula de presupuesto de egresos del ejercicio fiscal 2024.</w:t>
      </w:r>
    </w:p>
    <w:p w:rsidR="00B75560" w:rsidRDefault="00B75560">
      <w:pPr>
        <w:pBdr>
          <w:top w:val="nil"/>
          <w:left w:val="nil"/>
          <w:bottom w:val="nil"/>
          <w:right w:val="nil"/>
          <w:between w:val="nil"/>
        </w:pBdr>
        <w:spacing w:after="0" w:line="360" w:lineRule="auto"/>
        <w:ind w:left="927" w:right="567"/>
        <w:rPr>
          <w:i/>
          <w:iCs/>
          <w:color w:val="000000"/>
          <w:sz w:val="20"/>
          <w:szCs w:val="20"/>
        </w:rPr>
      </w:pPr>
    </w:p>
    <w:p w:rsidR="00B75560" w:rsidRDefault="00FB2252">
      <w:pPr>
        <w:spacing w:after="0" w:line="360" w:lineRule="auto"/>
        <w:ind w:left="567" w:right="567"/>
        <w:rPr>
          <w:i/>
          <w:iCs/>
          <w:sz w:val="20"/>
          <w:szCs w:val="20"/>
        </w:rPr>
      </w:pPr>
      <w:r>
        <w:rPr>
          <w:i/>
          <w:iCs/>
          <w:sz w:val="20"/>
          <w:szCs w:val="20"/>
        </w:rPr>
        <w:t xml:space="preserve">No omito mencionar que la información se encuentra integrada de forma general y no de forma particular; así mismo dicha información se encuentra pública en la página oficial del ayuntamiento de Toluca, en la siguiente liga </w:t>
      </w:r>
    </w:p>
    <w:p w:rsidR="00B75560" w:rsidRDefault="0026361D">
      <w:pPr>
        <w:spacing w:after="0" w:line="360" w:lineRule="auto"/>
        <w:ind w:left="567" w:right="567"/>
        <w:rPr>
          <w:i/>
          <w:iCs/>
          <w:sz w:val="20"/>
          <w:szCs w:val="20"/>
        </w:rPr>
      </w:pPr>
      <w:hyperlink r:id="rId9">
        <w:r w:rsidR="00FB2252">
          <w:rPr>
            <w:i/>
            <w:iCs/>
            <w:color w:val="0000FF"/>
            <w:sz w:val="20"/>
            <w:szCs w:val="20"/>
            <w:u w:val="single"/>
          </w:rPr>
          <w:t>https://www2.toluca.gob.mx/proactiva-fiscal/</w:t>
        </w:r>
      </w:hyperlink>
      <w:r w:rsidR="00FB2252">
        <w:rPr>
          <w:i/>
          <w:iCs/>
          <w:sz w:val="20"/>
          <w:szCs w:val="20"/>
        </w:rPr>
        <w:t xml:space="preserve">. </w:t>
      </w:r>
    </w:p>
    <w:p w:rsidR="00B75560" w:rsidRDefault="00FB2252">
      <w:pPr>
        <w:spacing w:after="0" w:line="360" w:lineRule="auto"/>
        <w:ind w:left="567" w:right="567"/>
        <w:rPr>
          <w:i/>
          <w:iCs/>
          <w:sz w:val="20"/>
          <w:szCs w:val="20"/>
        </w:rPr>
      </w:pPr>
      <w:r>
        <w:rPr>
          <w:i/>
          <w:iCs/>
          <w:sz w:val="20"/>
          <w:szCs w:val="20"/>
        </w:rPr>
        <w:t>…”</w:t>
      </w:r>
    </w:p>
    <w:p w:rsidR="00B75560" w:rsidRDefault="00B75560">
      <w:pPr>
        <w:spacing w:after="0" w:line="360" w:lineRule="auto"/>
        <w:ind w:left="567" w:right="567"/>
        <w:rPr>
          <w:i/>
          <w:iCs/>
          <w:sz w:val="20"/>
          <w:szCs w:val="20"/>
        </w:rPr>
      </w:pPr>
    </w:p>
    <w:p w:rsidR="00B75560" w:rsidRDefault="00FB2252">
      <w:pPr>
        <w:pStyle w:val="Ttulo2"/>
        <w:spacing w:before="0" w:after="0" w:line="360" w:lineRule="auto"/>
        <w:rPr>
          <w:sz w:val="22"/>
          <w:szCs w:val="22"/>
        </w:rPr>
      </w:pPr>
      <w:bookmarkStart w:id="7" w:name="_heading=h.1mx5vdq8o7x" w:colFirst="0" w:colLast="0"/>
      <w:bookmarkStart w:id="8" w:name="_Toc219386937"/>
      <w:bookmarkEnd w:id="7"/>
      <w:r>
        <w:rPr>
          <w:sz w:val="22"/>
          <w:szCs w:val="22"/>
        </w:rPr>
        <w:t>III. Interposición del Recurso de Revisión</w:t>
      </w:r>
      <w:bookmarkEnd w:id="8"/>
    </w:p>
    <w:p w:rsidR="00B75560" w:rsidRDefault="00B75560">
      <w:pPr>
        <w:spacing w:after="0" w:line="360" w:lineRule="auto"/>
        <w:rPr>
          <w:b/>
          <w:bCs/>
        </w:rPr>
      </w:pPr>
    </w:p>
    <w:p w:rsidR="00B75560" w:rsidRDefault="00FB2252">
      <w:pPr>
        <w:spacing w:after="0" w:line="360" w:lineRule="auto"/>
      </w:pPr>
      <w:r>
        <w:t>El diecinueve de agosto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B75560" w:rsidRDefault="00B75560">
      <w:pPr>
        <w:spacing w:after="0" w:line="360" w:lineRule="auto"/>
        <w:ind w:left="567" w:right="567"/>
        <w:rPr>
          <w:b/>
          <w:bCs/>
          <w:i/>
          <w:iCs/>
          <w:sz w:val="20"/>
          <w:szCs w:val="20"/>
        </w:rPr>
      </w:pPr>
    </w:p>
    <w:p w:rsidR="00B75560" w:rsidRDefault="00FB2252">
      <w:pPr>
        <w:spacing w:after="0" w:line="360" w:lineRule="auto"/>
        <w:ind w:left="567" w:right="567"/>
        <w:rPr>
          <w:i/>
          <w:iCs/>
          <w:sz w:val="20"/>
          <w:szCs w:val="20"/>
        </w:rPr>
      </w:pPr>
      <w:r>
        <w:rPr>
          <w:b/>
          <w:bCs/>
          <w:i/>
          <w:iCs/>
          <w:sz w:val="20"/>
          <w:szCs w:val="20"/>
        </w:rPr>
        <w:t>‘’ACTO IMPUGNADO</w:t>
      </w:r>
    </w:p>
    <w:p w:rsidR="00B75560" w:rsidRDefault="00FB2252">
      <w:pPr>
        <w:spacing w:after="0" w:line="360" w:lineRule="auto"/>
        <w:ind w:left="567" w:right="567"/>
        <w:rPr>
          <w:i/>
          <w:iCs/>
          <w:sz w:val="20"/>
          <w:szCs w:val="20"/>
        </w:rPr>
      </w:pPr>
      <w:r>
        <w:rPr>
          <w:i/>
          <w:iCs/>
          <w:sz w:val="20"/>
          <w:szCs w:val="20"/>
        </w:rPr>
        <w:lastRenderedPageBreak/>
        <w:t>La opacidad a todo en ese municipio no entrega la información solicitada se pide se entregue conforme a la ley se entregue la información.” (Sic.)</w:t>
      </w:r>
    </w:p>
    <w:p w:rsidR="00B75560" w:rsidRDefault="00B75560">
      <w:pPr>
        <w:spacing w:after="0" w:line="360" w:lineRule="auto"/>
        <w:ind w:left="567" w:right="567"/>
        <w:rPr>
          <w:i/>
          <w:iCs/>
          <w:sz w:val="20"/>
          <w:szCs w:val="20"/>
        </w:rPr>
      </w:pPr>
    </w:p>
    <w:p w:rsidR="00B75560" w:rsidRDefault="00FB2252">
      <w:pPr>
        <w:spacing w:after="0" w:line="360" w:lineRule="auto"/>
        <w:ind w:left="567" w:right="567"/>
        <w:rPr>
          <w:b/>
          <w:bCs/>
          <w:i/>
          <w:iCs/>
          <w:sz w:val="20"/>
          <w:szCs w:val="20"/>
        </w:rPr>
      </w:pPr>
      <w:r>
        <w:rPr>
          <w:b/>
          <w:bCs/>
          <w:i/>
          <w:iCs/>
          <w:sz w:val="20"/>
          <w:szCs w:val="20"/>
        </w:rPr>
        <w:t>‘’RAZONES O MOTIVOS DE LA INCONFORMIDAD</w:t>
      </w:r>
    </w:p>
    <w:p w:rsidR="00B75560" w:rsidRDefault="00FB2252">
      <w:pPr>
        <w:spacing w:after="0" w:line="360" w:lineRule="auto"/>
        <w:ind w:left="567" w:right="567"/>
        <w:rPr>
          <w:i/>
          <w:iCs/>
          <w:sz w:val="20"/>
          <w:szCs w:val="20"/>
        </w:rPr>
      </w:pPr>
      <w:r>
        <w:rPr>
          <w:i/>
          <w:iCs/>
          <w:sz w:val="20"/>
          <w:szCs w:val="20"/>
        </w:rPr>
        <w:t>La opacidad a todo en ese municipio no entrega la información solicitada se pide se entregue conforme a la ley se entregue la información” (Sic.)</w:t>
      </w:r>
    </w:p>
    <w:p w:rsidR="00B75560" w:rsidRDefault="00B75560">
      <w:pPr>
        <w:spacing w:after="0" w:line="360" w:lineRule="auto"/>
        <w:ind w:left="567" w:right="567"/>
        <w:rPr>
          <w:i/>
          <w:iCs/>
          <w:sz w:val="20"/>
          <w:szCs w:val="20"/>
        </w:rPr>
      </w:pPr>
    </w:p>
    <w:p w:rsidR="00B75560" w:rsidRDefault="00FB2252">
      <w:pPr>
        <w:pStyle w:val="Ttulo2"/>
        <w:spacing w:before="0" w:after="0" w:line="360" w:lineRule="auto"/>
        <w:rPr>
          <w:sz w:val="22"/>
          <w:szCs w:val="22"/>
        </w:rPr>
      </w:pPr>
      <w:bookmarkStart w:id="9" w:name="_heading=h.bvwomaoyen4y" w:colFirst="0" w:colLast="0"/>
      <w:bookmarkStart w:id="10" w:name="_Toc219386938"/>
      <w:bookmarkEnd w:id="9"/>
      <w:r>
        <w:rPr>
          <w:sz w:val="22"/>
          <w:szCs w:val="22"/>
        </w:rPr>
        <w:t>IV. Trámite del Recurso de Revisión ante este Instituto</w:t>
      </w:r>
      <w:bookmarkEnd w:id="10"/>
    </w:p>
    <w:p w:rsidR="00B75560" w:rsidRDefault="00B75560">
      <w:pPr>
        <w:spacing w:after="0" w:line="360" w:lineRule="auto"/>
        <w:rPr>
          <w:b/>
          <w:bCs/>
        </w:rPr>
      </w:pPr>
    </w:p>
    <w:p w:rsidR="00B75560" w:rsidRDefault="00FB2252">
      <w:pPr>
        <w:spacing w:after="0" w:line="360" w:lineRule="auto"/>
      </w:pPr>
      <w:r>
        <w:rPr>
          <w:b/>
          <w:bCs/>
        </w:rPr>
        <w:t>a) Turno del Medio de Impugnación.</w:t>
      </w:r>
      <w:r>
        <w:t xml:space="preserve"> El diecinueve de agosto de dos mil veinticinco, el Sistema de Acceso a la Información Mexiquense (SAIMEX), asignó el número de expediente </w:t>
      </w:r>
      <w:r>
        <w:rPr>
          <w:b/>
          <w:bCs/>
        </w:rPr>
        <w:t>09706/INFOEM/IP/RR/2025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B75560" w:rsidRDefault="00B75560">
      <w:pPr>
        <w:spacing w:after="0" w:line="360" w:lineRule="auto"/>
        <w:rPr>
          <w:b/>
          <w:bCs/>
        </w:rPr>
      </w:pPr>
    </w:p>
    <w:p w:rsidR="00B75560" w:rsidRDefault="00FB2252">
      <w:pPr>
        <w:spacing w:after="0" w:line="360" w:lineRule="auto"/>
      </w:pPr>
      <w:r>
        <w:rPr>
          <w:b/>
          <w:bCs/>
        </w:rPr>
        <w:t xml:space="preserve">b) Admisión del Recurso de Revisión. </w:t>
      </w:r>
      <w:r>
        <w:t>El veinticinco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B75560" w:rsidRDefault="00B75560">
      <w:pPr>
        <w:spacing w:after="0" w:line="360" w:lineRule="auto"/>
      </w:pPr>
    </w:p>
    <w:p w:rsidR="00B75560" w:rsidRDefault="00FB2252">
      <w:pPr>
        <w:spacing w:after="0" w:line="360" w:lineRule="auto"/>
      </w:pPr>
      <w:r>
        <w:rPr>
          <w:b/>
          <w:bCs/>
        </w:rPr>
        <w:t xml:space="preserve">c) Informe Justificado. </w:t>
      </w:r>
      <w:r>
        <w:t>El tres de septiembre de dos mil veinticinco, se recibió, a través del Sistema de Acceso a la Información Mexiquense (SAIMEX), el Informe Justificado del Sujeto Obligado, donde ratifica su respuesta inicial.</w:t>
      </w:r>
    </w:p>
    <w:p w:rsidR="00B75560" w:rsidRDefault="00B75560">
      <w:pPr>
        <w:spacing w:after="0" w:line="360" w:lineRule="auto"/>
      </w:pPr>
    </w:p>
    <w:p w:rsidR="00B75560" w:rsidRDefault="00FB2252">
      <w:pPr>
        <w:spacing w:after="0" w:line="360" w:lineRule="auto"/>
        <w:rPr>
          <w:b/>
          <w:bCs/>
        </w:rPr>
      </w:pPr>
      <w:r>
        <w:rPr>
          <w:b/>
          <w:bCs/>
        </w:rPr>
        <w:t xml:space="preserve">d) Vista de Informe Justificado. </w:t>
      </w:r>
      <w:r>
        <w:t xml:space="preserve">El dieciséis de diciembre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rsidR="00B75560" w:rsidRDefault="00B75560">
      <w:pPr>
        <w:spacing w:after="0" w:line="360" w:lineRule="auto"/>
      </w:pPr>
    </w:p>
    <w:p w:rsidR="00B75560" w:rsidRDefault="00FB2252">
      <w:pPr>
        <w:spacing w:after="0" w:line="360" w:lineRule="auto"/>
      </w:pPr>
      <w:bookmarkStart w:id="11" w:name="_heading=h.dchkmyku94g0" w:colFirst="0" w:colLast="0"/>
      <w:bookmarkEnd w:id="11"/>
      <w:r>
        <w:rPr>
          <w:b/>
          <w:bCs/>
        </w:rPr>
        <w:t>e) Ampliación de plazo para resolver.</w:t>
      </w:r>
      <w:r>
        <w:t xml:space="preserve"> El dieciocho de diciembre de dos mil veinticinco, el Comisionado Ponente, con fundamento en lo dispuesto por el artículo 181, párrafo tercero, de la Ley de Transparencia y Acceso a la Información Pública del Estado de México y Municipios, acordó ampliar por un periodo de </w:t>
      </w:r>
      <w:r>
        <w:rPr>
          <w:b/>
          <w:bCs/>
        </w:rPr>
        <w:t>quince días hábiles</w:t>
      </w:r>
      <w:r>
        <w:t>, el plazo para resolver el Recurso de Revisión que nos ocupa; acto que fue notificado a las partes el mismo día, mediante el Sistema de Acceso a la Información Mexiquense (SAIMEX).</w:t>
      </w:r>
    </w:p>
    <w:p w:rsidR="00B75560" w:rsidRDefault="00B75560">
      <w:pPr>
        <w:spacing w:after="0" w:line="360" w:lineRule="auto"/>
        <w:rPr>
          <w:b/>
          <w:bCs/>
          <w:color w:val="000000"/>
        </w:rPr>
      </w:pPr>
    </w:p>
    <w:p w:rsidR="00B75560" w:rsidRDefault="00FB2252">
      <w:pPr>
        <w:spacing w:after="0" w:line="360" w:lineRule="auto"/>
      </w:pPr>
      <w:r>
        <w:rPr>
          <w:b/>
          <w:bCs/>
        </w:rPr>
        <w:t>f) Cierre de instrucción.</w:t>
      </w:r>
      <w:r>
        <w:t xml:space="preserve"> El quince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B75560" w:rsidRDefault="00B75560">
      <w:pPr>
        <w:spacing w:after="0" w:line="360" w:lineRule="auto"/>
        <w:rPr>
          <w:b/>
          <w:bCs/>
        </w:rPr>
      </w:pPr>
    </w:p>
    <w:p w:rsidR="00B75560" w:rsidRDefault="00FB2252">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B75560" w:rsidRDefault="00B75560">
      <w:pPr>
        <w:spacing w:after="0" w:line="360" w:lineRule="auto"/>
        <w:rPr>
          <w:color w:val="000000"/>
        </w:rPr>
      </w:pPr>
    </w:p>
    <w:p w:rsidR="00B75560" w:rsidRDefault="00B75560">
      <w:pPr>
        <w:spacing w:after="0" w:line="360" w:lineRule="auto"/>
        <w:rPr>
          <w:color w:val="000000"/>
        </w:rPr>
      </w:pPr>
    </w:p>
    <w:p w:rsidR="00B75560" w:rsidRDefault="00FB2252">
      <w:pPr>
        <w:pStyle w:val="Ttulo1"/>
        <w:spacing w:before="0" w:after="0" w:line="360" w:lineRule="auto"/>
        <w:jc w:val="center"/>
        <w:rPr>
          <w:sz w:val="22"/>
          <w:szCs w:val="22"/>
        </w:rPr>
      </w:pPr>
      <w:bookmarkStart w:id="12" w:name="_heading=h.sjw8qwptoj3y" w:colFirst="0" w:colLast="0"/>
      <w:bookmarkStart w:id="13" w:name="_Toc219386939"/>
      <w:bookmarkEnd w:id="12"/>
      <w:r>
        <w:rPr>
          <w:sz w:val="22"/>
          <w:szCs w:val="22"/>
        </w:rPr>
        <w:lastRenderedPageBreak/>
        <w:t>C O N S I D E R A N D O S</w:t>
      </w:r>
      <w:bookmarkEnd w:id="13"/>
    </w:p>
    <w:p w:rsidR="00B75560" w:rsidRDefault="00B75560">
      <w:pPr>
        <w:spacing w:after="0" w:line="360" w:lineRule="auto"/>
        <w:jc w:val="center"/>
        <w:rPr>
          <w:b/>
          <w:bCs/>
          <w:color w:val="000000"/>
        </w:rPr>
      </w:pPr>
    </w:p>
    <w:p w:rsidR="00B75560" w:rsidRDefault="00FB2252">
      <w:pPr>
        <w:pStyle w:val="Ttulo2"/>
        <w:spacing w:before="0" w:after="0" w:line="360" w:lineRule="auto"/>
        <w:rPr>
          <w:sz w:val="22"/>
          <w:szCs w:val="22"/>
        </w:rPr>
      </w:pPr>
      <w:bookmarkStart w:id="14" w:name="_heading=h.gcyqt1g99lrd" w:colFirst="0" w:colLast="0"/>
      <w:bookmarkStart w:id="15" w:name="_Toc219386940"/>
      <w:bookmarkEnd w:id="14"/>
      <w:r>
        <w:rPr>
          <w:sz w:val="22"/>
          <w:szCs w:val="22"/>
        </w:rPr>
        <w:t>PRIMERO. Competencia</w:t>
      </w:r>
      <w:bookmarkEnd w:id="15"/>
    </w:p>
    <w:p w:rsidR="00B75560" w:rsidRDefault="00B75560">
      <w:pPr>
        <w:spacing w:after="0" w:line="360" w:lineRule="auto"/>
      </w:pPr>
      <w:bookmarkStart w:id="16" w:name="_heading=h.30j0zll" w:colFirst="0" w:colLast="0"/>
      <w:bookmarkEnd w:id="16"/>
    </w:p>
    <w:p w:rsidR="00B75560" w:rsidRDefault="00FB2252">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B75560" w:rsidRDefault="00B75560">
      <w:pPr>
        <w:spacing w:after="0" w:line="360" w:lineRule="auto"/>
      </w:pPr>
    </w:p>
    <w:p w:rsidR="00B75560" w:rsidRDefault="00FB2252">
      <w:pPr>
        <w:pStyle w:val="Ttulo2"/>
        <w:spacing w:before="0" w:after="0" w:line="360" w:lineRule="auto"/>
        <w:rPr>
          <w:sz w:val="22"/>
          <w:szCs w:val="22"/>
        </w:rPr>
      </w:pPr>
      <w:bookmarkStart w:id="17" w:name="_heading=h.p9celsa2qke8" w:colFirst="0" w:colLast="0"/>
      <w:bookmarkStart w:id="18" w:name="_Toc219386941"/>
      <w:bookmarkEnd w:id="17"/>
      <w:r>
        <w:rPr>
          <w:sz w:val="22"/>
          <w:szCs w:val="22"/>
        </w:rPr>
        <w:t>SEGUNDO. Causales de improcedencia y sobreseimiento</w:t>
      </w:r>
      <w:bookmarkEnd w:id="18"/>
    </w:p>
    <w:p w:rsidR="00B75560" w:rsidRDefault="00B75560"/>
    <w:p w:rsidR="00B75560" w:rsidRDefault="00FB2252">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B75560" w:rsidRDefault="00B75560">
      <w:pPr>
        <w:spacing w:after="0" w:line="360" w:lineRule="auto"/>
        <w:rPr>
          <w:color w:val="000000"/>
        </w:rPr>
      </w:pPr>
    </w:p>
    <w:p w:rsidR="00B75560" w:rsidRDefault="00FB2252">
      <w:pPr>
        <w:spacing w:after="0" w:line="360" w:lineRule="auto"/>
        <w:rPr>
          <w:b/>
          <w:bCs/>
        </w:rPr>
      </w:pPr>
      <w:r>
        <w:rPr>
          <w:b/>
          <w:bCs/>
        </w:rPr>
        <w:t>Causales de improcedencia</w:t>
      </w:r>
    </w:p>
    <w:p w:rsidR="00B75560" w:rsidRDefault="00B75560">
      <w:pPr>
        <w:spacing w:after="0" w:line="360" w:lineRule="auto"/>
        <w:rPr>
          <w:b/>
          <w:bCs/>
        </w:rPr>
      </w:pPr>
    </w:p>
    <w:p w:rsidR="00B75560" w:rsidRDefault="00FB2252">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w:t>
      </w:r>
      <w:r>
        <w:rPr>
          <w:color w:val="000000"/>
        </w:rPr>
        <w:lastRenderedPageBreak/>
        <w:t>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B75560" w:rsidRDefault="00B75560">
      <w:pPr>
        <w:spacing w:after="0" w:line="360" w:lineRule="auto"/>
        <w:rPr>
          <w:color w:val="000000"/>
        </w:rPr>
      </w:pPr>
    </w:p>
    <w:p w:rsidR="00B75560" w:rsidRDefault="00FB2252">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B75560" w:rsidRDefault="00B75560">
      <w:pPr>
        <w:spacing w:after="0" w:line="360" w:lineRule="auto"/>
        <w:rPr>
          <w:color w:val="000000"/>
        </w:rPr>
      </w:pPr>
    </w:p>
    <w:p w:rsidR="00B75560" w:rsidRDefault="00FB2252">
      <w:pPr>
        <w:spacing w:after="0" w:line="360" w:lineRule="auto"/>
      </w:pPr>
      <w:r>
        <w:t>Por lo cual, se actualiza la causal de procedencia del Recurso de Revisión señalada en el artículo 179, fracción VI, de la Ley en cita, pues la persona Recurrente se inconformó de la entrega de información que no corresponda con lo solicitado.</w:t>
      </w:r>
    </w:p>
    <w:p w:rsidR="00B75560" w:rsidRDefault="00B75560">
      <w:pPr>
        <w:spacing w:after="0" w:line="360" w:lineRule="auto"/>
      </w:pPr>
    </w:p>
    <w:p w:rsidR="00B75560" w:rsidRDefault="00FB2252">
      <w:pPr>
        <w:spacing w:after="0" w:line="360" w:lineRule="auto"/>
        <w:rPr>
          <w:color w:val="0D0D0D"/>
        </w:rPr>
      </w:pPr>
      <w:r>
        <w:rPr>
          <w:b/>
          <w:bCs/>
          <w:color w:val="0D0D0D"/>
        </w:rPr>
        <w:t>Causales de sobreseimiento</w:t>
      </w:r>
    </w:p>
    <w:p w:rsidR="00B75560" w:rsidRDefault="00B75560">
      <w:pPr>
        <w:spacing w:after="0" w:line="360" w:lineRule="auto"/>
        <w:rPr>
          <w:color w:val="0D0D0D"/>
        </w:rPr>
      </w:pPr>
    </w:p>
    <w:p w:rsidR="00B75560" w:rsidRDefault="00FB2252">
      <w:pPr>
        <w:spacing w:after="0" w:line="360" w:lineRule="auto"/>
        <w:rPr>
          <w:color w:val="0D0D0D"/>
        </w:rPr>
      </w:pPr>
      <w:r>
        <w:rPr>
          <w:color w:val="0D0D0D"/>
        </w:rPr>
        <w:t>Por ser de previo y especial pronunciamiento, este Instituto analiza si se actualiza alguna causal de sobreseimiento.</w:t>
      </w:r>
    </w:p>
    <w:p w:rsidR="00B75560" w:rsidRDefault="00B75560">
      <w:pPr>
        <w:spacing w:after="0" w:line="360" w:lineRule="auto"/>
        <w:rPr>
          <w:color w:val="0D0D0D"/>
        </w:rPr>
      </w:pPr>
    </w:p>
    <w:p w:rsidR="00B75560" w:rsidRDefault="00FB2252">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w:t>
      </w:r>
      <w:r>
        <w:rPr>
          <w:color w:val="000000"/>
        </w:rPr>
        <w:lastRenderedPageBreak/>
        <w:t>del recurso, haya fallecido, sobreviniera alguna causal de improcedencia, que el Sujeto Obligado hubiese modificado o revocado el acto impugnado o bien, haya quedado sin materia.</w:t>
      </w:r>
    </w:p>
    <w:p w:rsidR="00B75560" w:rsidRDefault="00B75560">
      <w:pPr>
        <w:spacing w:after="0" w:line="360" w:lineRule="auto"/>
        <w:rPr>
          <w:color w:val="000000"/>
        </w:rPr>
      </w:pPr>
    </w:p>
    <w:p w:rsidR="00B75560" w:rsidRDefault="00FB2252">
      <w:pPr>
        <w:spacing w:after="0" w:line="360" w:lineRule="auto"/>
        <w:rPr>
          <w:color w:val="0D0D0D"/>
        </w:rPr>
      </w:pPr>
      <w:r>
        <w:rPr>
          <w:color w:val="0D0D0D"/>
        </w:rPr>
        <w:t>Por tales motivos, se considera procedente entrar al fondo del presente asunto.</w:t>
      </w:r>
    </w:p>
    <w:p w:rsidR="00B75560" w:rsidRDefault="00B75560">
      <w:pPr>
        <w:spacing w:after="0" w:line="360" w:lineRule="auto"/>
        <w:rPr>
          <w:b/>
          <w:bCs/>
          <w:color w:val="000000"/>
        </w:rPr>
      </w:pPr>
    </w:p>
    <w:p w:rsidR="00B75560" w:rsidRDefault="00FB2252">
      <w:pPr>
        <w:pStyle w:val="Ttulo2"/>
        <w:spacing w:before="0" w:after="0" w:line="360" w:lineRule="auto"/>
        <w:rPr>
          <w:sz w:val="22"/>
          <w:szCs w:val="22"/>
        </w:rPr>
      </w:pPr>
      <w:bookmarkStart w:id="19" w:name="_heading=h.a1wrhh114tfq" w:colFirst="0" w:colLast="0"/>
      <w:bookmarkStart w:id="20" w:name="_Toc219386942"/>
      <w:bookmarkEnd w:id="19"/>
      <w:r>
        <w:rPr>
          <w:sz w:val="22"/>
          <w:szCs w:val="22"/>
        </w:rPr>
        <w:t>TERCERO. Determinación de la Controversia</w:t>
      </w:r>
      <w:bookmarkEnd w:id="20"/>
    </w:p>
    <w:p w:rsidR="00B75560" w:rsidRDefault="00B75560">
      <w:pPr>
        <w:spacing w:after="0" w:line="360" w:lineRule="auto"/>
        <w:rPr>
          <w:b/>
          <w:bCs/>
          <w:color w:val="000000"/>
        </w:rPr>
      </w:pPr>
    </w:p>
    <w:p w:rsidR="00B75560" w:rsidRDefault="00FB2252">
      <w:pPr>
        <w:spacing w:after="0" w:line="360" w:lineRule="auto"/>
      </w:pPr>
      <w:r>
        <w:t>Con el objetivo de ilustrar la controversia planteada, resulta conveniente precisar, que una vez realizado el estudio de las constancias que integran el expediente en el que se actúa, se desprende que el Particular requirió, el Presupuesto autorizado por partida y dependencia incluyendo Regidurías y Sindicaturas, del ejercicio fiscal dos mil veinticuatro.</w:t>
      </w:r>
    </w:p>
    <w:p w:rsidR="00B75560" w:rsidRDefault="00B75560">
      <w:pPr>
        <w:spacing w:after="0" w:line="360" w:lineRule="auto"/>
      </w:pPr>
    </w:p>
    <w:p w:rsidR="00B75560" w:rsidRDefault="00FB2252">
      <w:pPr>
        <w:spacing w:after="0" w:line="360" w:lineRule="auto"/>
      </w:pPr>
      <w:r>
        <w:rPr>
          <w:color w:val="000000"/>
        </w:rPr>
        <w:t xml:space="preserve">En respuesta, el Sujeto Obligado, a través de la Tesorera Municipal remitió la Caratula del Presupuesto de Egresos, del ejercicio fiscal dos mil veinticuatro y adjunto una liga en formato cerrado para acceder al mismo, que refiere que está integrado de manera general y no particular; </w:t>
      </w:r>
      <w:r>
        <w:t>ante dicha circunstancia, el Particular se inconformó de la entrega de información que no corresponda con lo solicitado; al mencionar que no entregan la información solicitada, lo cual actualiza la causal de procedencia prevista en la fracción VI,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fueron omisas en emitir manifestaciones o alegatos. </w:t>
      </w:r>
    </w:p>
    <w:p w:rsidR="00B75560" w:rsidRDefault="00B75560">
      <w:pPr>
        <w:tabs>
          <w:tab w:val="left" w:pos="4962"/>
        </w:tabs>
        <w:spacing w:after="0" w:line="360" w:lineRule="auto"/>
      </w:pPr>
    </w:p>
    <w:p w:rsidR="00B75560" w:rsidRDefault="00FB2252">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escrito </w:t>
      </w:r>
      <w:proofErr w:type="spellStart"/>
      <w:r>
        <w:t>recursal</w:t>
      </w:r>
      <w:proofErr w:type="spellEnd"/>
      <w:r>
        <w:t xml:space="preserve">; instrumentales que se toman en cuenta a efecto de resolver el presente medio </w:t>
      </w:r>
      <w:r>
        <w:lastRenderedPageBreak/>
        <w:t>de impugnación, conforme a lo dispuesto por el artículo 185, fracción IV, de la Ley de Transparencia y Acceso a la Información Pública del Estado de México y Municipios.</w:t>
      </w:r>
    </w:p>
    <w:p w:rsidR="00B75560" w:rsidRDefault="00B75560">
      <w:pPr>
        <w:pStyle w:val="Ttulo2"/>
        <w:spacing w:before="0" w:after="0" w:line="360" w:lineRule="auto"/>
        <w:rPr>
          <w:sz w:val="22"/>
          <w:szCs w:val="22"/>
        </w:rPr>
      </w:pPr>
    </w:p>
    <w:p w:rsidR="00B75560" w:rsidRDefault="00FB2252">
      <w:pPr>
        <w:pStyle w:val="Ttulo2"/>
        <w:spacing w:before="0" w:after="0" w:line="360" w:lineRule="auto"/>
        <w:rPr>
          <w:sz w:val="22"/>
          <w:szCs w:val="22"/>
        </w:rPr>
      </w:pPr>
      <w:bookmarkStart w:id="21" w:name="_heading=h.4jwmkdh7nvh2" w:colFirst="0" w:colLast="0"/>
      <w:bookmarkStart w:id="22" w:name="_Toc219386943"/>
      <w:bookmarkEnd w:id="21"/>
      <w:r>
        <w:rPr>
          <w:sz w:val="22"/>
          <w:szCs w:val="22"/>
        </w:rPr>
        <w:t>CUARTO. Marco normativo aplicable en materia de transparencia y acceso a la información pública</w:t>
      </w:r>
      <w:bookmarkEnd w:id="22"/>
    </w:p>
    <w:p w:rsidR="00B75560" w:rsidRDefault="00B75560">
      <w:pPr>
        <w:spacing w:after="0" w:line="360" w:lineRule="auto"/>
        <w:rPr>
          <w:color w:val="000000"/>
        </w:rPr>
      </w:pPr>
    </w:p>
    <w:p w:rsidR="00B75560" w:rsidRDefault="00FB2252">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B75560" w:rsidRDefault="00B75560">
      <w:pPr>
        <w:spacing w:after="0" w:line="360" w:lineRule="auto"/>
        <w:rPr>
          <w:color w:val="000000"/>
        </w:rPr>
      </w:pPr>
    </w:p>
    <w:p w:rsidR="00B75560" w:rsidRDefault="00FB2252">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B75560" w:rsidRDefault="00B75560">
      <w:pPr>
        <w:spacing w:after="0" w:line="360" w:lineRule="auto"/>
        <w:rPr>
          <w:color w:val="000000"/>
        </w:rPr>
      </w:pPr>
    </w:p>
    <w:p w:rsidR="00B75560" w:rsidRDefault="00FB225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B75560" w:rsidRDefault="00B75560">
      <w:pPr>
        <w:spacing w:after="0" w:line="360" w:lineRule="auto"/>
        <w:rPr>
          <w:color w:val="000000"/>
        </w:rPr>
      </w:pPr>
    </w:p>
    <w:p w:rsidR="00B75560" w:rsidRDefault="00FB2252">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B75560" w:rsidRDefault="00B75560">
      <w:pPr>
        <w:spacing w:after="0" w:line="360" w:lineRule="auto"/>
        <w:rPr>
          <w:color w:val="000000"/>
        </w:rPr>
      </w:pPr>
    </w:p>
    <w:p w:rsidR="00B75560" w:rsidRDefault="00FB2252">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B75560" w:rsidRDefault="00B75560">
      <w:pPr>
        <w:widowControl w:val="0"/>
        <w:spacing w:after="0" w:line="360" w:lineRule="auto"/>
        <w:rPr>
          <w:color w:val="000000"/>
        </w:rPr>
      </w:pPr>
    </w:p>
    <w:p w:rsidR="00B75560" w:rsidRDefault="00FB2252">
      <w:pPr>
        <w:spacing w:after="0" w:line="360" w:lineRule="auto"/>
        <w:rPr>
          <w:color w:val="000000"/>
        </w:rPr>
      </w:pPr>
      <w:r>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B75560" w:rsidRDefault="00B75560">
      <w:pPr>
        <w:spacing w:after="0" w:line="360" w:lineRule="auto"/>
      </w:pPr>
    </w:p>
    <w:p w:rsidR="00B75560" w:rsidRDefault="00FB2252">
      <w:pPr>
        <w:pStyle w:val="Ttulo2"/>
        <w:spacing w:before="0" w:after="0" w:line="360" w:lineRule="auto"/>
        <w:rPr>
          <w:sz w:val="22"/>
          <w:szCs w:val="22"/>
        </w:rPr>
      </w:pPr>
      <w:bookmarkStart w:id="23" w:name="_heading=h.c6iyv7ylgc59" w:colFirst="0" w:colLast="0"/>
      <w:bookmarkStart w:id="24" w:name="_Toc219386944"/>
      <w:bookmarkEnd w:id="23"/>
      <w:r>
        <w:rPr>
          <w:sz w:val="22"/>
          <w:szCs w:val="22"/>
        </w:rPr>
        <w:t>QUINTO. Estudio de Fondo</w:t>
      </w:r>
      <w:bookmarkEnd w:id="24"/>
    </w:p>
    <w:p w:rsidR="00B75560" w:rsidRDefault="00B75560">
      <w:pPr>
        <w:spacing w:after="0" w:line="360" w:lineRule="auto"/>
        <w:rPr>
          <w:b/>
          <w:bCs/>
          <w:color w:val="000000"/>
        </w:rPr>
      </w:pPr>
    </w:p>
    <w:p w:rsidR="00B75560" w:rsidRDefault="00FB2252">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B75560" w:rsidRDefault="00B75560">
      <w:pPr>
        <w:spacing w:after="0" w:line="360" w:lineRule="auto"/>
      </w:pPr>
    </w:p>
    <w:p w:rsidR="00B75560" w:rsidRDefault="00FB2252">
      <w:pPr>
        <w:spacing w:after="0" w:line="360" w:lineRule="auto"/>
      </w:pPr>
      <w:r>
        <w:rPr>
          <w:color w:val="000000"/>
        </w:rPr>
        <w:t xml:space="preserve">Al respecto el artículo 31, fracción XVIII y XIX de la Ley Orgánica Municipal del Estado de México prevé que los Ayuntamientos tienen atribuciones para administrar su hacienda y controlar a través del Presidente y Síndico la aplicación del presupuesto de egresos del municipio; además deberán </w:t>
      </w:r>
      <w:r>
        <w:t>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rsidR="00B75560" w:rsidRDefault="00B75560">
      <w:pPr>
        <w:spacing w:after="0" w:line="360" w:lineRule="auto"/>
      </w:pPr>
    </w:p>
    <w:p w:rsidR="00B75560" w:rsidRDefault="00FB2252">
      <w:pPr>
        <w:spacing w:after="0" w:line="360" w:lineRule="auto"/>
        <w:rPr>
          <w:color w:val="000000"/>
        </w:rPr>
      </w:pPr>
      <w:r>
        <w:rPr>
          <w:color w:val="000000"/>
        </w:rPr>
        <w:t>Aunado a lo anterior, el artículo 101 de la Ley Orgánica Municipal del Estado de México prevé que el proyecto de presupuesto de egresos se integrará básicamente de lo siguiente:</w:t>
      </w:r>
    </w:p>
    <w:p w:rsidR="00B75560" w:rsidRDefault="00B75560">
      <w:pPr>
        <w:spacing w:after="0" w:line="360" w:lineRule="auto"/>
        <w:rPr>
          <w:color w:val="000000"/>
        </w:rPr>
      </w:pPr>
    </w:p>
    <w:p w:rsidR="00B75560" w:rsidRDefault="00FB2252">
      <w:pPr>
        <w:numPr>
          <w:ilvl w:val="0"/>
          <w:numId w:val="2"/>
        </w:numPr>
        <w:pBdr>
          <w:top w:val="nil"/>
          <w:left w:val="nil"/>
          <w:bottom w:val="nil"/>
          <w:right w:val="nil"/>
          <w:between w:val="nil"/>
        </w:pBdr>
        <w:spacing w:after="0" w:line="360" w:lineRule="auto"/>
      </w:pPr>
      <w:r>
        <w:rPr>
          <w:color w:val="000000"/>
        </w:rPr>
        <w:t xml:space="preserve">Los programas en que se señalen objetivos, metas y unidades responsables para su ejecución, así como la valuación estimada del programa; </w:t>
      </w:r>
    </w:p>
    <w:p w:rsidR="00B75560" w:rsidRDefault="00FB2252">
      <w:pPr>
        <w:numPr>
          <w:ilvl w:val="0"/>
          <w:numId w:val="2"/>
        </w:numPr>
        <w:pBdr>
          <w:top w:val="nil"/>
          <w:left w:val="nil"/>
          <w:bottom w:val="nil"/>
          <w:right w:val="nil"/>
          <w:between w:val="nil"/>
        </w:pBdr>
        <w:spacing w:after="0" w:line="360" w:lineRule="auto"/>
      </w:pPr>
      <w:r>
        <w:rPr>
          <w:color w:val="000000"/>
        </w:rPr>
        <w:t xml:space="preserve">Estimación de los ingresos y gastos del ejercicio fiscal calendarizados; </w:t>
      </w:r>
    </w:p>
    <w:p w:rsidR="00B75560" w:rsidRDefault="00FB2252">
      <w:pPr>
        <w:numPr>
          <w:ilvl w:val="0"/>
          <w:numId w:val="2"/>
        </w:numPr>
        <w:pBdr>
          <w:top w:val="nil"/>
          <w:left w:val="nil"/>
          <w:bottom w:val="nil"/>
          <w:right w:val="nil"/>
          <w:between w:val="nil"/>
        </w:pBdr>
        <w:spacing w:after="0" w:line="360" w:lineRule="auto"/>
      </w:pPr>
      <w:r>
        <w:rPr>
          <w:color w:val="000000"/>
        </w:rPr>
        <w:lastRenderedPageBreak/>
        <w:t>Situación de la deuda pública, incluyendo el contingente económico de los litigios laborales en los que el ayuntamiento forme parte.</w:t>
      </w:r>
    </w:p>
    <w:p w:rsidR="00B75560" w:rsidRDefault="00B75560">
      <w:pPr>
        <w:spacing w:after="0" w:line="360" w:lineRule="auto"/>
        <w:rPr>
          <w:color w:val="000000"/>
        </w:rPr>
      </w:pPr>
    </w:p>
    <w:p w:rsidR="00B75560" w:rsidRDefault="00FB2252">
      <w:pPr>
        <w:spacing w:after="0" w:line="360" w:lineRule="auto"/>
      </w:pPr>
      <w:r>
        <w:rPr>
          <w:color w:val="000000"/>
        </w:rPr>
        <w:t xml:space="preserve">A fin de lograr lo anterior se cuenta con un </w:t>
      </w:r>
      <w:r>
        <w:t xml:space="preserve">Manual para la Planeación, Programación y Presupuesto de Egresos Municipal para el Ejercicio Fiscal 2024, del que se desprenden las particularidades para la entrega del presupuesto de egresos que debió ser tomada en consideración por los Municipios del Estado de México. </w:t>
      </w:r>
    </w:p>
    <w:p w:rsidR="00B75560" w:rsidRDefault="00B75560">
      <w:pPr>
        <w:spacing w:after="0" w:line="360" w:lineRule="auto"/>
      </w:pPr>
    </w:p>
    <w:p w:rsidR="00B75560" w:rsidRDefault="00FB2252">
      <w:pPr>
        <w:spacing w:after="0" w:line="360" w:lineRule="auto"/>
      </w:pPr>
      <w:r>
        <w:t xml:space="preserve">Además dentro de los formatos que conforman la entrega del presupuesto de egresos, se encuentran diversos formatos que pueden dar cuenta de lo solicitado, entre ellos el denominado </w:t>
      </w:r>
      <w:proofErr w:type="spellStart"/>
      <w:r>
        <w:t>PbRM</w:t>
      </w:r>
      <w:proofErr w:type="spellEnd"/>
      <w:r>
        <w:t xml:space="preserve"> 04b, correspondiente al Presupuesto de Egresos por Objeto del Gasto y Dependencia General, en el que se advierten las cuentas, conceptos y el prepuesto por mes destinado a una dependencia en concreto, lo cual puede dar cuenta de lo solicitado, a fin de acreditar lo anterior se inserta impresión de pantalla del formato en mención:</w:t>
      </w:r>
    </w:p>
    <w:p w:rsidR="00B75560" w:rsidRDefault="00FB2252">
      <w:pPr>
        <w:spacing w:after="0" w:line="360" w:lineRule="auto"/>
      </w:pPr>
      <w:r>
        <w:rPr>
          <w:noProof/>
        </w:rPr>
        <w:drawing>
          <wp:inline distT="0" distB="0" distL="0" distR="0">
            <wp:extent cx="5850890" cy="2562225"/>
            <wp:effectExtent l="0" t="0" r="0" b="0"/>
            <wp:docPr id="1737675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850890" cy="2562225"/>
                    </a:xfrm>
                    <a:prstGeom prst="rect">
                      <a:avLst/>
                    </a:prstGeom>
                    <a:ln/>
                  </pic:spPr>
                </pic:pic>
              </a:graphicData>
            </a:graphic>
          </wp:inline>
        </w:drawing>
      </w:r>
    </w:p>
    <w:p w:rsidR="00B75560" w:rsidRDefault="00B75560">
      <w:pPr>
        <w:spacing w:after="0" w:line="360" w:lineRule="auto"/>
      </w:pPr>
    </w:p>
    <w:p w:rsidR="00B75560" w:rsidRDefault="00FB2252">
      <w:pPr>
        <w:spacing w:after="0" w:line="360" w:lineRule="auto"/>
      </w:pPr>
      <w:r>
        <w:lastRenderedPageBreak/>
        <w:t>Además, del Catálogo de Dependencias Generales para Municipios del Manual para la Planeación, Programación y Presupuesto de Egresos Municipal para el Ejercicio Fiscal 2025, se advierte lo que es una Dependencia General, tal como se advierte a continuación:</w:t>
      </w:r>
    </w:p>
    <w:p w:rsidR="00B75560" w:rsidRDefault="00FB2252">
      <w:pPr>
        <w:spacing w:after="0" w:line="360" w:lineRule="auto"/>
      </w:pPr>
      <w:r>
        <w:rPr>
          <w:noProof/>
        </w:rPr>
        <w:drawing>
          <wp:inline distT="0" distB="0" distL="0" distR="0">
            <wp:extent cx="5850890" cy="1533525"/>
            <wp:effectExtent l="0" t="0" r="0" b="0"/>
            <wp:docPr id="17376758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850890" cy="1533525"/>
                    </a:xfrm>
                    <a:prstGeom prst="rect">
                      <a:avLst/>
                    </a:prstGeom>
                    <a:ln/>
                  </pic:spPr>
                </pic:pic>
              </a:graphicData>
            </a:graphic>
          </wp:inline>
        </w:drawing>
      </w:r>
    </w:p>
    <w:p w:rsidR="00B75560" w:rsidRDefault="00B75560">
      <w:pPr>
        <w:spacing w:after="0" w:line="360" w:lineRule="auto"/>
      </w:pPr>
    </w:p>
    <w:p w:rsidR="00B75560" w:rsidRDefault="00FB2252">
      <w:pPr>
        <w:spacing w:after="0" w:line="360" w:lineRule="auto"/>
      </w:pPr>
      <w:r>
        <w:t xml:space="preserve">Así, se aprecia que el Sujeto Obligado conoce y genera un documento con la información solicitada, a saber, el formato </w:t>
      </w:r>
      <w:proofErr w:type="spellStart"/>
      <w:r>
        <w:t>PbRM</w:t>
      </w:r>
      <w:proofErr w:type="spellEnd"/>
      <w:r>
        <w:t xml:space="preserve"> 04b “Presupuesto de Egresos por Objeto del Gasto y Dependencia General”, de las áreas que integran el Ayuntamiento de Toluca.</w:t>
      </w:r>
    </w:p>
    <w:p w:rsidR="00B75560" w:rsidRDefault="00B75560">
      <w:pPr>
        <w:spacing w:after="0" w:line="360" w:lineRule="auto"/>
      </w:pPr>
    </w:p>
    <w:p w:rsidR="00B75560" w:rsidRDefault="00FB2252">
      <w:pPr>
        <w:spacing w:after="0" w:line="360" w:lineRule="auto"/>
      </w:pPr>
      <w:r>
        <w:t xml:space="preserve">Cabe señalar que la información requerida se relaciona con información financiera que corresponde a información pública de conformidad con lo dispuesto en el artículo 92, fracción XXV de la Ley de Transparencia y Acceso a la Información Pública del Estado de México y Municipios, que prevé dentro de las obligaciones en materia de transparencia, el dar a conocer la información relativa a las cuestiones financieras sobre el presupuesto asignado. </w:t>
      </w:r>
    </w:p>
    <w:p w:rsidR="00B75560" w:rsidRDefault="00B75560">
      <w:pPr>
        <w:spacing w:after="0" w:line="360" w:lineRule="auto"/>
        <w:rPr>
          <w:color w:val="000000"/>
        </w:rPr>
      </w:pPr>
    </w:p>
    <w:p w:rsidR="00B75560" w:rsidRDefault="00FB2252">
      <w:pPr>
        <w:spacing w:after="0" w:line="360" w:lineRule="auto"/>
        <w:rPr>
          <w:color w:val="000000"/>
        </w:rPr>
      </w:pPr>
      <w:r>
        <w:t xml:space="preserve">Por su parte, el artículo 95, fracción V de la </w:t>
      </w:r>
      <w:r>
        <w:rPr>
          <w:color w:val="000000"/>
        </w:rPr>
        <w:t xml:space="preserve">Ley Orgánica Municipal del Estado de México prevé las atribuciones del Tesorero Municipal, entre las que se encuentran las de proporcionar oportunamente al Ayuntamiento todos los datos o informes necesarios para la formulación del Presupuesto de Egresos Municipales. </w:t>
      </w:r>
    </w:p>
    <w:p w:rsidR="00B75560" w:rsidRDefault="00B75560">
      <w:pPr>
        <w:spacing w:after="0" w:line="360" w:lineRule="auto"/>
      </w:pPr>
    </w:p>
    <w:p w:rsidR="00B75560" w:rsidRDefault="00FB2252">
      <w:pPr>
        <w:spacing w:after="0" w:line="360" w:lineRule="auto"/>
      </w:pPr>
      <w:r>
        <w:lastRenderedPageBreak/>
        <w:t xml:space="preserve">Sumado a lo anterior el artículo 92, fracción II, del Bando Municipal de Toluca dos mil veinticinco, señala que el Ayuntamiento cuenta con una Tesorería Municipal, teniendo como funciones, el control de los recursos financieros del municipio, asegurando el cumplimiento de las disposiciones fiscales y presupuestales. Sus funciones incluyen la recaudación, fiscalización y administración de ingresos municipales, así como la elaboración y supervisión de los informes financieros y la cuenta pública, por lo que dicha área puede conocer de la información solicitada. </w:t>
      </w:r>
    </w:p>
    <w:p w:rsidR="00B75560" w:rsidRDefault="00B75560">
      <w:pPr>
        <w:spacing w:after="0" w:line="360" w:lineRule="auto"/>
      </w:pPr>
    </w:p>
    <w:p w:rsidR="00B75560" w:rsidRDefault="00FB2252">
      <w:pPr>
        <w:spacing w:after="0" w:line="360" w:lineRule="auto"/>
      </w:pPr>
      <w:r>
        <w:t xml:space="preserve">Conforme a lo anterior, se logra vislumbrar que el documento que da cuenta de lo peticionado es el </w:t>
      </w:r>
      <w:proofErr w:type="spellStart"/>
      <w:r>
        <w:rPr>
          <w:b/>
          <w:bCs/>
        </w:rPr>
        <w:t>PbRM</w:t>
      </w:r>
      <w:proofErr w:type="spellEnd"/>
      <w:r>
        <w:rPr>
          <w:b/>
          <w:bCs/>
        </w:rPr>
        <w:t xml:space="preserve"> 04b “Presupuesto de Egresos por Objeto del Gasto y Dependencia General”, </w:t>
      </w:r>
      <w:r>
        <w:t>pues contiene las cuentas, los conceptos y el presupuesto por mes destinado a una dependencia en concreto.</w:t>
      </w:r>
    </w:p>
    <w:p w:rsidR="00B75560" w:rsidRDefault="00B75560">
      <w:pPr>
        <w:spacing w:after="0" w:line="360" w:lineRule="auto"/>
      </w:pPr>
    </w:p>
    <w:p w:rsidR="00B75560" w:rsidRDefault="00FB2252">
      <w:pPr>
        <w:spacing w:after="0" w:line="360" w:lineRule="auto"/>
      </w:pPr>
      <w:r>
        <w:t>Establecida dicha circunstancia, de las constancias que obran en el expediente electrónico, se advierte que el Sujeto Obligado turno la solicitud de información a la Tesorería Municipal;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B75560" w:rsidRDefault="00B75560">
      <w:pPr>
        <w:spacing w:after="0" w:line="360" w:lineRule="auto"/>
      </w:pPr>
    </w:p>
    <w:p w:rsidR="00B75560" w:rsidRDefault="00FB2252">
      <w:pPr>
        <w:spacing w:after="0" w:line="360" w:lineRule="auto"/>
      </w:pPr>
      <w:r>
        <w:t xml:space="preserve">Así y de lo plasmado en párrafos anteriores, se logra colegir que el Sujeto Obligado cumplió con el procedimiento de búsqueda establecido en el artículo 162 de la Ley de Transparencia </w:t>
      </w:r>
      <w:r>
        <w:lastRenderedPageBreak/>
        <w:t>y Acceso a la Información Pública del Estado de México y Municipios, toda vez que turno la solicitud de información al área competente de generar los recibos de nómina.</w:t>
      </w:r>
    </w:p>
    <w:p w:rsidR="00B75560" w:rsidRDefault="00B75560">
      <w:pPr>
        <w:spacing w:after="0" w:line="360" w:lineRule="auto"/>
      </w:pPr>
    </w:p>
    <w:p w:rsidR="00B75560" w:rsidRDefault="00FB2252">
      <w:pPr>
        <w:spacing w:after="0" w:line="360" w:lineRule="auto"/>
        <w:rPr>
          <w:color w:val="000000"/>
        </w:rPr>
      </w:pPr>
      <w:r>
        <w:t xml:space="preserve">Ahora bien, en respuesta, la Tesorería Municipal, </w:t>
      </w:r>
      <w:r>
        <w:rPr>
          <w:color w:val="000000"/>
        </w:rPr>
        <w:t>remitió la Caratula del Presupuesto de Egresos, del ejercicio fiscal dos mil veinticuatro y adjunto una liga en formato cerrado para acceder al mismo, que refiere que está integrado de manera general y no particular.</w:t>
      </w:r>
    </w:p>
    <w:p w:rsidR="00B75560" w:rsidRDefault="00B75560">
      <w:pPr>
        <w:spacing w:after="0" w:line="360" w:lineRule="auto"/>
      </w:pPr>
    </w:p>
    <w:p w:rsidR="00B75560" w:rsidRDefault="00FB2252">
      <w:pPr>
        <w:spacing w:after="0" w:line="360" w:lineRule="auto"/>
      </w:pPr>
      <w: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rsidR="00B75560" w:rsidRDefault="00FB2252">
      <w:pPr>
        <w:spacing w:after="0" w:line="360" w:lineRule="auto"/>
      </w:pPr>
      <w:r>
        <w:t> </w:t>
      </w:r>
    </w:p>
    <w:p w:rsidR="00B75560" w:rsidRDefault="00FB2252">
      <w:pPr>
        <w:numPr>
          <w:ilvl w:val="0"/>
          <w:numId w:val="3"/>
        </w:numPr>
        <w:spacing w:after="0" w:line="360" w:lineRule="auto"/>
      </w:pPr>
      <w:r>
        <w:rPr>
          <w:b/>
          <w:bCs/>
        </w:rPr>
        <w:t>Dato abierto:</w:t>
      </w:r>
      <w:r>
        <w:t> Datos digitales de carácter público que son accesibles en línea que pueden ser usados, reutilizados y redistribuidos por cualquier persona, mismos que se conforman de diversas características, entre las cuales se encuentra que se encuentren en formatos abiertos.</w:t>
      </w:r>
    </w:p>
    <w:p w:rsidR="00B75560" w:rsidRDefault="00FB2252">
      <w:pPr>
        <w:spacing w:after="0" w:line="360" w:lineRule="auto"/>
      </w:pPr>
      <w:r>
        <w:t> </w:t>
      </w:r>
    </w:p>
    <w:p w:rsidR="00B75560" w:rsidRDefault="00FB2252">
      <w:pPr>
        <w:numPr>
          <w:ilvl w:val="0"/>
          <w:numId w:val="3"/>
        </w:numPr>
        <w:spacing w:after="0" w:line="360" w:lineRule="auto"/>
      </w:pPr>
      <w:r>
        <w:rPr>
          <w:b/>
          <w:bCs/>
        </w:rPr>
        <w:t>Formato accesible:</w:t>
      </w:r>
      <w: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rsidR="00B75560" w:rsidRDefault="00FB2252">
      <w:pPr>
        <w:spacing w:after="0" w:line="360" w:lineRule="auto"/>
      </w:pPr>
      <w:r>
        <w:t> </w:t>
      </w:r>
    </w:p>
    <w:p w:rsidR="00B75560" w:rsidRDefault="00FB2252">
      <w:pPr>
        <w:spacing w:after="0" w:line="360" w:lineRule="auto"/>
      </w:pPr>
      <w:r>
        <w:t xml:space="preserve">Conforme a lo anterior, se considera que en el caso de que la información peticionada obre en ligas electrónicas, el Sujeto Obligado deberá privilegiar la entrega de estas, en datos </w:t>
      </w:r>
      <w:r>
        <w:lastRenderedPageBreak/>
        <w:t>abiertos, es decir, en un formato que permita la accesibilidad y facilidad a las personas Particulares, para obtener la información contenida estas.</w:t>
      </w:r>
    </w:p>
    <w:p w:rsidR="00B75560" w:rsidRDefault="00FB2252">
      <w:pPr>
        <w:spacing w:after="0" w:line="360" w:lineRule="auto"/>
      </w:pPr>
      <w:r>
        <w:t> </w:t>
      </w:r>
    </w:p>
    <w:p w:rsidR="00B75560" w:rsidRDefault="00FB2252">
      <w:pPr>
        <w:spacing w:after="0" w:line="360" w:lineRule="auto"/>
      </w:pPr>
      <w: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rsidR="00B75560" w:rsidRDefault="00B75560">
      <w:pPr>
        <w:spacing w:after="0" w:line="360" w:lineRule="auto"/>
      </w:pPr>
    </w:p>
    <w:p w:rsidR="00B75560" w:rsidRDefault="00FB2252">
      <w:pPr>
        <w:spacing w:after="0" w:line="360" w:lineRule="auto"/>
      </w:pPr>
      <w:r>
        <w:t xml:space="preserve">Cómo se logra observar, el Sujeto Obligado si bien señaló una página electrónica y que la información se encontraba en ella, omitió proporcionar en formato abierto, lo cual implica la dificultad de acceder a la misma, pues se traduce al hecho de que la Particular tendría que colocar cada dígito alfanumérico, y cuya equivocación implicaría no acceder a la información contenida en las mismas; de igual forma omitió y señalar el paso a paso para localizar la información. </w:t>
      </w:r>
    </w:p>
    <w:p w:rsidR="00B75560" w:rsidRDefault="00B75560">
      <w:pPr>
        <w:spacing w:after="0" w:line="360" w:lineRule="auto"/>
      </w:pPr>
    </w:p>
    <w:p w:rsidR="00B75560" w:rsidRDefault="00FB2252">
      <w:pPr>
        <w:spacing w:after="0" w:line="360" w:lineRule="auto"/>
      </w:pPr>
      <w:r>
        <w:t>Además, este Organismo Garante revisó la liga electrónica remitida y direcciona al portal proactiva fiscal de distintos años</w:t>
      </w:r>
      <w:r>
        <w:rPr>
          <w:i/>
          <w:iCs/>
        </w:rPr>
        <w:t>,</w:t>
      </w:r>
      <w:r>
        <w:t xml:space="preserve"> sin embargo, dicho sitio no arroja información alguna sobre lo solicitado, por tanto, no satisface la solicitud. </w:t>
      </w:r>
    </w:p>
    <w:p w:rsidR="00B75560" w:rsidRDefault="00B75560">
      <w:pPr>
        <w:spacing w:after="0" w:line="360" w:lineRule="auto"/>
      </w:pPr>
    </w:p>
    <w:p w:rsidR="00B75560" w:rsidRDefault="00FB2252">
      <w:pPr>
        <w:spacing w:after="0" w:line="360" w:lineRule="auto"/>
      </w:pPr>
      <w:r>
        <w:t xml:space="preserve">Por otra parte, si bien proporcionó la Carátula de Presupuesto de Egresos y precisó que únicamente tenía información de carácter general, lo cierto es que dicho documento no atiende la peticionó, al no contener el nivel de desglose solicitado, además que contrario a lo señalado por la Tesorería Municipal, si debe de contar con el documento, pues conforme al  Manual para la Planeación, Programación y Presupuesto de Egresos Municipal para el </w:t>
      </w:r>
      <w:r>
        <w:lastRenderedPageBreak/>
        <w:t xml:space="preserve">Ejercicio Fiscal 2024, debe generarlo, lo cual da como resultado que el agravio sea </w:t>
      </w:r>
      <w:r>
        <w:rPr>
          <w:b/>
          <w:bCs/>
        </w:rPr>
        <w:t>FUNDADO.</w:t>
      </w:r>
    </w:p>
    <w:p w:rsidR="00B75560" w:rsidRDefault="00B75560">
      <w:pPr>
        <w:spacing w:after="0" w:line="360" w:lineRule="auto"/>
      </w:pPr>
    </w:p>
    <w:p w:rsidR="00B75560" w:rsidRDefault="00FB2252">
      <w:pPr>
        <w:spacing w:after="0" w:line="360" w:lineRule="auto"/>
      </w:pPr>
      <w:r>
        <w:t xml:space="preserve">Así, este Instituto considera que para atender el requerimiento de información, el Sujeto Obligado deberá realizar una búsqueda exhaustiva y razonable en todas las áreas competentes, entre las cuales no podrá omitir la Tesorería Municipal, en términos del artículo 162 de la Ley de Transparencia y Acceso a la Información Pública del Estado de México y Municipios, a efecto de que proporcione el formato </w:t>
      </w:r>
      <w:proofErr w:type="spellStart"/>
      <w:r>
        <w:t>PbRM</w:t>
      </w:r>
      <w:proofErr w:type="spellEnd"/>
      <w:r>
        <w:t xml:space="preserve"> 04b “Presupuesto de Egresos por Objeto del Gasto y Dependencia General”, de todas las áreas que integran el Ayuntamiento de Toluca.</w:t>
      </w:r>
    </w:p>
    <w:p w:rsidR="00B75560" w:rsidRDefault="00B75560">
      <w:pPr>
        <w:spacing w:after="0" w:line="360" w:lineRule="auto"/>
      </w:pPr>
    </w:p>
    <w:p w:rsidR="00B75560" w:rsidRDefault="00FB2252">
      <w:pPr>
        <w:spacing w:after="0" w:line="360" w:lineRule="auto"/>
      </w:pP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B75560" w:rsidRDefault="00B75560">
      <w:pPr>
        <w:spacing w:after="0" w:line="360" w:lineRule="auto"/>
      </w:pPr>
    </w:p>
    <w:p w:rsidR="00B75560" w:rsidRDefault="00FB2252">
      <w:pPr>
        <w:spacing w:after="0" w:line="360" w:lineRule="auto"/>
      </w:pPr>
      <w: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rsidR="00B75560" w:rsidRDefault="00B75560">
      <w:pPr>
        <w:spacing w:after="0" w:line="360" w:lineRule="auto"/>
      </w:pPr>
    </w:p>
    <w:p w:rsidR="00B75560" w:rsidRDefault="00FB2252">
      <w:pPr>
        <w:spacing w:after="0" w:line="360" w:lineRule="auto"/>
      </w:pPr>
      <w:r>
        <w:t xml:space="preserve">De tales circunstancias, se concluye que los sujetos obligados únicamente se encuentran constreñidos a proporcionar los documentos que den cuenta de la información solicitada, </w:t>
      </w:r>
      <w:r>
        <w:lastRenderedPageBreak/>
        <w:t xml:space="preserve">como obren en sus archivos, sin tener que elaborarlos a las necesidades del Recurrente; por lo que, en el presente caso, deberá entregar la información solicitada. </w:t>
      </w:r>
    </w:p>
    <w:p w:rsidR="00B75560" w:rsidRDefault="00B75560">
      <w:pPr>
        <w:spacing w:after="0" w:line="360" w:lineRule="auto"/>
      </w:pPr>
    </w:p>
    <w:p w:rsidR="00B75560" w:rsidRDefault="00FB2252">
      <w:pPr>
        <w:spacing w:after="0" w:line="360" w:lineRule="auto"/>
      </w:pPr>
      <w:bookmarkStart w:id="25" w:name="_heading=h.lvllizuwsson" w:colFirst="0" w:colLast="0"/>
      <w:bookmarkEnd w:id="25"/>
      <w:r>
        <w:t>Cabe precisar que, al tratarse de información financiera sobre presupuesto asignado, se advierte que tiene la naturaleza de información pública que no requiere la entrega en versión pública, ni actualiza algún supuesto de clasificación.</w:t>
      </w:r>
    </w:p>
    <w:p w:rsidR="007D25E9" w:rsidRDefault="007D25E9">
      <w:pPr>
        <w:spacing w:after="0" w:line="360" w:lineRule="auto"/>
      </w:pPr>
    </w:p>
    <w:p w:rsidR="00B75560" w:rsidRDefault="00FB2252">
      <w:pPr>
        <w:pStyle w:val="Ttulo2"/>
        <w:spacing w:before="0" w:after="0" w:line="360" w:lineRule="auto"/>
        <w:rPr>
          <w:sz w:val="22"/>
          <w:szCs w:val="22"/>
        </w:rPr>
      </w:pPr>
      <w:bookmarkStart w:id="26" w:name="_heading=h.od32im9wfqrs" w:colFirst="0" w:colLast="0"/>
      <w:bookmarkStart w:id="27" w:name="_Toc219386945"/>
      <w:bookmarkEnd w:id="26"/>
      <w:r>
        <w:rPr>
          <w:sz w:val="22"/>
          <w:szCs w:val="22"/>
        </w:rPr>
        <w:t>SEXTO. Decisión</w:t>
      </w:r>
      <w:bookmarkEnd w:id="27"/>
    </w:p>
    <w:p w:rsidR="00B75560" w:rsidRDefault="00B75560">
      <w:pPr>
        <w:spacing w:after="0" w:line="360" w:lineRule="auto"/>
        <w:rPr>
          <w:b/>
          <w:bCs/>
        </w:rPr>
      </w:pPr>
    </w:p>
    <w:p w:rsidR="00B75560" w:rsidRDefault="00FB2252">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REVOCAR </w:t>
      </w:r>
      <w:r>
        <w:t>la respuesta del Ayuntamiento de Toluca</w:t>
      </w:r>
      <w:r>
        <w:rPr>
          <w:b/>
          <w:bCs/>
        </w:rPr>
        <w:t xml:space="preserve">, </w:t>
      </w:r>
      <w:r>
        <w:t>a efecto de que entregue la información solicitada.</w:t>
      </w:r>
    </w:p>
    <w:p w:rsidR="00B75560" w:rsidRDefault="00B75560">
      <w:pPr>
        <w:spacing w:after="0" w:line="360" w:lineRule="auto"/>
      </w:pPr>
    </w:p>
    <w:p w:rsidR="00B75560" w:rsidRDefault="00FB2252">
      <w:pPr>
        <w:spacing w:after="0" w:line="360" w:lineRule="auto"/>
        <w:rPr>
          <w:b/>
          <w:bCs/>
        </w:rPr>
      </w:pPr>
      <w:r>
        <w:rPr>
          <w:b/>
          <w:bCs/>
        </w:rPr>
        <w:t>Términos de la Resolución para conocimiento del Particular</w:t>
      </w:r>
    </w:p>
    <w:p w:rsidR="00B75560" w:rsidRDefault="00B75560">
      <w:pPr>
        <w:spacing w:after="0" w:line="360" w:lineRule="auto"/>
        <w:rPr>
          <w:b/>
          <w:bCs/>
        </w:rPr>
      </w:pPr>
    </w:p>
    <w:p w:rsidR="00B75560" w:rsidRDefault="00FB2252">
      <w:pPr>
        <w:spacing w:after="0" w:line="360" w:lineRule="auto"/>
        <w:rPr>
          <w:color w:val="000000"/>
        </w:rPr>
      </w:pPr>
      <w:r>
        <w:t>Se le hace del conocimiento a la persona Recurrente que, en el presente asunto, se le da la razón, pues si bien el Sujeto Obligado dio respuesta, este pretendió adjuntar información diversa a la solicitada, por lo que, no procede y deberá entregar la información solicitada;</w:t>
      </w:r>
      <w:r>
        <w:rPr>
          <w:color w:val="000000"/>
        </w:rPr>
        <w:t xml:space="preserve"> </w:t>
      </w:r>
    </w:p>
    <w:p w:rsidR="00B75560" w:rsidRDefault="00B75560">
      <w:pPr>
        <w:spacing w:after="0" w:line="360" w:lineRule="auto"/>
        <w:rPr>
          <w:color w:val="000000"/>
        </w:rPr>
      </w:pPr>
    </w:p>
    <w:p w:rsidR="00B75560" w:rsidRDefault="00FB2252">
      <w:pPr>
        <w:spacing w:after="0" w:line="360" w:lineRule="auto"/>
      </w:pPr>
      <w:r>
        <w:rPr>
          <w:color w:val="000000"/>
        </w:rPr>
        <w:t>La labor del Instituto es apoyar a la población a acceder a la información pública y garantizar la protección de sus datos personales.</w:t>
      </w:r>
    </w:p>
    <w:p w:rsidR="00B75560" w:rsidRDefault="00B75560">
      <w:pPr>
        <w:spacing w:after="0" w:line="360" w:lineRule="auto"/>
      </w:pPr>
    </w:p>
    <w:p w:rsidR="00B75560" w:rsidRDefault="00FB2252">
      <w:pPr>
        <w:spacing w:after="0" w:line="360" w:lineRule="auto"/>
      </w:pPr>
      <w:r>
        <w:t>Por lo expuesto y fundado, este Pleno:</w:t>
      </w:r>
    </w:p>
    <w:p w:rsidR="00B75560" w:rsidRDefault="00B75560">
      <w:pPr>
        <w:spacing w:after="0" w:line="360" w:lineRule="auto"/>
      </w:pPr>
    </w:p>
    <w:p w:rsidR="00B75560" w:rsidRDefault="00FB2252">
      <w:pPr>
        <w:pStyle w:val="Ttulo1"/>
        <w:spacing w:before="0" w:after="0" w:line="360" w:lineRule="auto"/>
        <w:jc w:val="center"/>
        <w:rPr>
          <w:sz w:val="22"/>
          <w:szCs w:val="22"/>
        </w:rPr>
      </w:pPr>
      <w:bookmarkStart w:id="28" w:name="_heading=h.4plij6kb5yxv" w:colFirst="0" w:colLast="0"/>
      <w:bookmarkStart w:id="29" w:name="_Toc219386946"/>
      <w:bookmarkEnd w:id="28"/>
      <w:r>
        <w:rPr>
          <w:sz w:val="22"/>
          <w:szCs w:val="22"/>
        </w:rPr>
        <w:t>R E S U E L V E</w:t>
      </w:r>
      <w:bookmarkEnd w:id="29"/>
    </w:p>
    <w:p w:rsidR="00B75560" w:rsidRDefault="00B75560">
      <w:pPr>
        <w:spacing w:after="0" w:line="360" w:lineRule="auto"/>
        <w:rPr>
          <w:b/>
          <w:bCs/>
        </w:rPr>
      </w:pPr>
    </w:p>
    <w:p w:rsidR="00B75560" w:rsidRDefault="00FB2252">
      <w:pPr>
        <w:spacing w:after="0" w:line="360" w:lineRule="auto"/>
      </w:pPr>
      <w:r>
        <w:rPr>
          <w:b/>
          <w:bCs/>
        </w:rPr>
        <w:lastRenderedPageBreak/>
        <w:t xml:space="preserve">PRIMERO. </w:t>
      </w:r>
      <w:r>
        <w:t xml:space="preserve">Se </w:t>
      </w:r>
      <w:r>
        <w:rPr>
          <w:b/>
          <w:bCs/>
        </w:rPr>
        <w:t xml:space="preserve">REVOCA </w:t>
      </w:r>
      <w:r>
        <w:t xml:space="preserve">la respuesta entregada por el Ayuntamiento de Toluca, a la solicitud de información 04050/TOLUCA/IP/2025, por resultar </w:t>
      </w:r>
      <w:r>
        <w:rPr>
          <w:b/>
          <w:bCs/>
        </w:rPr>
        <w:t xml:space="preserve">FUNDADAS </w:t>
      </w:r>
      <w:r>
        <w:t>las razones o motivos de inconformidad hechos valer por el Recurrente, en términos de los considerandos QUINTO y SEXTO de la presente Resolución.</w:t>
      </w:r>
    </w:p>
    <w:p w:rsidR="00B75560" w:rsidRDefault="00B75560">
      <w:pPr>
        <w:spacing w:after="0" w:line="360" w:lineRule="auto"/>
      </w:pPr>
    </w:p>
    <w:p w:rsidR="00B75560" w:rsidRDefault="00FB2252">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previa búsqueda exhaustiva entregue, a través del Sistema de Acceso a la Información Mexiquense (SAIMEX), en versión íntegra, lo siguiente:</w:t>
      </w:r>
    </w:p>
    <w:p w:rsidR="00B75560" w:rsidRDefault="00B75560">
      <w:pPr>
        <w:spacing w:after="0" w:line="360" w:lineRule="auto"/>
      </w:pPr>
    </w:p>
    <w:p w:rsidR="00B75560" w:rsidRDefault="00FB2252">
      <w:pPr>
        <w:numPr>
          <w:ilvl w:val="0"/>
          <w:numId w:val="1"/>
        </w:numPr>
        <w:pBdr>
          <w:top w:val="nil"/>
          <w:left w:val="nil"/>
          <w:bottom w:val="nil"/>
          <w:right w:val="nil"/>
          <w:between w:val="nil"/>
        </w:pBdr>
        <w:spacing w:after="0" w:line="360" w:lineRule="auto"/>
      </w:pPr>
      <w:proofErr w:type="spellStart"/>
      <w:r>
        <w:rPr>
          <w:color w:val="000000"/>
        </w:rPr>
        <w:t>PbRM</w:t>
      </w:r>
      <w:proofErr w:type="spellEnd"/>
      <w:r>
        <w:rPr>
          <w:color w:val="000000"/>
        </w:rPr>
        <w:t xml:space="preserve"> 04b “Presupuesto de Egresos por Objeto del Gasto y Dependencia General” del ejercicio fiscal dos mil veinticuatro, de todas las áreas que </w:t>
      </w:r>
      <w:r>
        <w:t>integran</w:t>
      </w:r>
      <w:r>
        <w:rPr>
          <w:color w:val="000000"/>
        </w:rPr>
        <w:t xml:space="preserve"> el Ayuntamiento de Toluca.</w:t>
      </w:r>
    </w:p>
    <w:p w:rsidR="00B75560" w:rsidRDefault="00B75560">
      <w:pPr>
        <w:pBdr>
          <w:top w:val="nil"/>
          <w:left w:val="nil"/>
          <w:bottom w:val="nil"/>
          <w:right w:val="nil"/>
          <w:between w:val="nil"/>
        </w:pBdr>
        <w:spacing w:after="0" w:line="360" w:lineRule="auto"/>
        <w:ind w:left="927"/>
        <w:rPr>
          <w:color w:val="000000"/>
        </w:rPr>
      </w:pPr>
    </w:p>
    <w:p w:rsidR="00B75560" w:rsidRDefault="00FB2252">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B75560" w:rsidRDefault="00B75560">
      <w:pPr>
        <w:spacing w:after="0" w:line="360" w:lineRule="auto"/>
        <w:ind w:right="-28"/>
      </w:pPr>
    </w:p>
    <w:p w:rsidR="00B75560" w:rsidRDefault="00FB2252">
      <w:pPr>
        <w:spacing w:after="0" w:line="360" w:lineRule="auto"/>
        <w:ind w:right="-28"/>
      </w:pPr>
      <w:r>
        <w:rPr>
          <w:color w:val="000000"/>
        </w:rPr>
        <w:t xml:space="preserve">De conformidad con el artículo 198 de la </w:t>
      </w:r>
      <w:r>
        <w:t>Ley de la materia</w:t>
      </w:r>
      <w:r>
        <w:rPr>
          <w:color w:val="000000"/>
        </w:rPr>
        <w:t>, de considerarlo procedente, el Sujeto Obligado de manera fundada y motivada, podrá solicitar una ampliación de plazo para el cumplimiento de la presente resolución.</w:t>
      </w:r>
    </w:p>
    <w:p w:rsidR="00B75560" w:rsidRDefault="00B75560">
      <w:pPr>
        <w:spacing w:after="0" w:line="360" w:lineRule="auto"/>
        <w:rPr>
          <w:color w:val="000000"/>
        </w:rPr>
      </w:pPr>
    </w:p>
    <w:p w:rsidR="00B75560" w:rsidRDefault="00FB2252">
      <w:pPr>
        <w:spacing w:after="0" w:line="360" w:lineRule="auto"/>
      </w:pPr>
      <w:r>
        <w:rPr>
          <w:b/>
          <w:bCs/>
        </w:rPr>
        <w:lastRenderedPageBreak/>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B75560" w:rsidRDefault="00B75560">
      <w:pPr>
        <w:spacing w:after="0" w:line="360" w:lineRule="auto"/>
        <w:rPr>
          <w:b/>
          <w:bCs/>
        </w:rPr>
      </w:pPr>
    </w:p>
    <w:p w:rsidR="00B75560" w:rsidRDefault="00FB2252">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PRIMERA SESIÓN ORDINARIA, CELEBRADA EL CATORCE DE ENERO DE DOS MIL VEINTISÉIS, ANTE EL SECRETARIO TÉCNICO DEL PLENO, ALEXIS TAPIA RAMÍREZ.</w:t>
      </w:r>
    </w:p>
    <w:p w:rsidR="00B75560" w:rsidRDefault="00B75560">
      <w:pPr>
        <w:spacing w:after="0" w:line="360" w:lineRule="auto"/>
        <w:ind w:right="-28"/>
        <w:rPr>
          <w:color w:val="000000"/>
        </w:rPr>
      </w:pPr>
    </w:p>
    <w:p w:rsidR="00B75560" w:rsidRDefault="00B75560">
      <w:pPr>
        <w:spacing w:after="0" w:line="360" w:lineRule="auto"/>
        <w:rPr>
          <w:b/>
          <w:bCs/>
        </w:rPr>
      </w:pPr>
    </w:p>
    <w:p w:rsidR="00B75560" w:rsidRDefault="00B75560">
      <w:pPr>
        <w:spacing w:after="0" w:line="360" w:lineRule="auto"/>
        <w:rPr>
          <w:b/>
          <w:bCs/>
        </w:rPr>
      </w:pPr>
    </w:p>
    <w:p w:rsidR="00B75560" w:rsidRDefault="00B75560">
      <w:pPr>
        <w:spacing w:after="0" w:line="360" w:lineRule="auto"/>
        <w:rPr>
          <w:color w:val="000000"/>
        </w:rPr>
      </w:pPr>
    </w:p>
    <w:p w:rsidR="00B75560" w:rsidRDefault="00B75560">
      <w:pPr>
        <w:spacing w:after="0" w:line="360" w:lineRule="auto"/>
        <w:rPr>
          <w:color w:val="000000"/>
        </w:rPr>
      </w:pPr>
    </w:p>
    <w:p w:rsidR="00B75560" w:rsidRDefault="00B75560">
      <w:pPr>
        <w:spacing w:after="0" w:line="360" w:lineRule="auto"/>
      </w:pPr>
    </w:p>
    <w:p w:rsidR="00B75560" w:rsidRDefault="00B75560">
      <w:pPr>
        <w:spacing w:after="0" w:line="360" w:lineRule="auto"/>
      </w:pPr>
    </w:p>
    <w:p w:rsidR="00B75560" w:rsidRDefault="00B75560">
      <w:pPr>
        <w:spacing w:after="0" w:line="360" w:lineRule="auto"/>
        <w:rPr>
          <w:color w:val="000000"/>
        </w:rPr>
      </w:pPr>
    </w:p>
    <w:p w:rsidR="00B75560" w:rsidRDefault="00B75560">
      <w:pPr>
        <w:spacing w:after="0" w:line="360" w:lineRule="auto"/>
        <w:rPr>
          <w:color w:val="000000"/>
        </w:rPr>
      </w:pPr>
    </w:p>
    <w:p w:rsidR="00B75560" w:rsidRDefault="00B75560">
      <w:pPr>
        <w:tabs>
          <w:tab w:val="right" w:pos="8931"/>
        </w:tabs>
        <w:spacing w:after="0" w:line="360" w:lineRule="auto"/>
      </w:pPr>
    </w:p>
    <w:p w:rsidR="00B75560" w:rsidRDefault="00B75560">
      <w:pPr>
        <w:tabs>
          <w:tab w:val="right" w:pos="8931"/>
        </w:tabs>
        <w:spacing w:after="0" w:line="360" w:lineRule="auto"/>
      </w:pPr>
    </w:p>
    <w:p w:rsidR="00B75560" w:rsidRDefault="00B75560">
      <w:pPr>
        <w:spacing w:after="0" w:line="360" w:lineRule="auto"/>
      </w:pPr>
    </w:p>
    <w:p w:rsidR="00B75560" w:rsidRDefault="00B75560">
      <w:pPr>
        <w:spacing w:after="0" w:line="360" w:lineRule="auto"/>
      </w:pPr>
    </w:p>
    <w:p w:rsidR="007D25E9" w:rsidRDefault="007D25E9">
      <w:pPr>
        <w:spacing w:after="0" w:line="360" w:lineRule="auto"/>
      </w:pPr>
    </w:p>
    <w:p w:rsidR="007D25E9" w:rsidRDefault="007D25E9">
      <w:pPr>
        <w:spacing w:after="0" w:line="360" w:lineRule="auto"/>
      </w:pPr>
    </w:p>
    <w:p w:rsidR="007D25E9" w:rsidRDefault="007D25E9">
      <w:pPr>
        <w:spacing w:after="0" w:line="360" w:lineRule="auto"/>
      </w:pPr>
    </w:p>
    <w:sectPr w:rsidR="007D25E9">
      <w:headerReference w:type="even" r:id="rId12"/>
      <w:headerReference w:type="default" r:id="rId13"/>
      <w:footerReference w:type="even" r:id="rId14"/>
      <w:footerReference w:type="default" r:id="rId15"/>
      <w:headerReference w:type="first" r:id="rId16"/>
      <w:footerReference w:type="first" r:id="rId17"/>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61D" w:rsidRDefault="0026361D">
      <w:pPr>
        <w:spacing w:after="0" w:line="240" w:lineRule="auto"/>
      </w:pPr>
      <w:r>
        <w:separator/>
      </w:r>
    </w:p>
  </w:endnote>
  <w:endnote w:type="continuationSeparator" w:id="0">
    <w:p w:rsidR="0026361D" w:rsidRDefault="00263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0BDB91FA-1D78-48B7-8574-83A3333A732A}"/>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54B2162E-8368-43B0-8BA9-0EEBE9FCBDB5}"/>
    <w:embedBold r:id="rId3" w:fontKey="{373327BA-0137-44B6-B49F-B2B66BFA5BFA}"/>
    <w:embedItalic r:id="rId4" w:fontKey="{DA3D1669-CE97-49E7-9BFE-90557D2BFFE2}"/>
    <w:embedBoldItalic r:id="rId5" w:fontKey="{8D9F3505-B2DA-4E4F-8EFF-68B2DCDEC47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E62D17F-A489-4048-8A32-1C7B76C7A915}"/>
  </w:font>
  <w:font w:name="Calibri">
    <w:panose1 w:val="020F0502020204030204"/>
    <w:charset w:val="00"/>
    <w:family w:val="swiss"/>
    <w:pitch w:val="variable"/>
    <w:sig w:usb0="E4002EFF" w:usb1="C200247B" w:usb2="00000009" w:usb3="00000000" w:csb0="000001FF" w:csb1="00000000"/>
    <w:embedRegular r:id="rId7" w:fontKey="{06894673-8F7F-494C-ADE1-FC914EF1B893}"/>
  </w:font>
  <w:font w:name="Georgia">
    <w:panose1 w:val="02040502050405020303"/>
    <w:charset w:val="00"/>
    <w:family w:val="roman"/>
    <w:pitch w:val="variable"/>
    <w:sig w:usb0="00000287" w:usb1="00000000" w:usb2="00000000" w:usb3="00000000" w:csb0="0000009F" w:csb1="00000000"/>
    <w:embedItalic r:id="rId8" w:fontKey="{13F5983E-EAE9-466B-8E34-40CDEF663B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60" w:rsidRDefault="00FB225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7440DC">
      <w:rPr>
        <w:b/>
        <w:bCs/>
        <w:color w:val="000000"/>
        <w:sz w:val="24"/>
        <w:szCs w:val="24"/>
      </w:rPr>
      <w:fldChar w:fldCharType="separate"/>
    </w:r>
    <w:r w:rsidR="007440DC">
      <w:rPr>
        <w:b/>
        <w:bCs/>
        <w:noProof/>
        <w:color w:val="000000"/>
        <w:sz w:val="24"/>
        <w:szCs w:val="24"/>
      </w:rPr>
      <w:t>20</w:t>
    </w:r>
    <w:r>
      <w:rPr>
        <w:b/>
        <w:bCs/>
        <w:color w:val="000000"/>
        <w:sz w:val="24"/>
        <w:szCs w:val="24"/>
      </w:rPr>
      <w:fldChar w:fldCharType="end"/>
    </w:r>
  </w:p>
  <w:p w:rsidR="00B75560" w:rsidRDefault="00B7556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60" w:rsidRDefault="00FB225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440DC">
      <w:rPr>
        <w:b/>
        <w:bCs/>
        <w:noProof/>
        <w:color w:val="000000"/>
        <w:sz w:val="24"/>
        <w:szCs w:val="24"/>
      </w:rPr>
      <w:t>19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440DC">
      <w:rPr>
        <w:b/>
        <w:bCs/>
        <w:noProof/>
        <w:color w:val="000000"/>
        <w:sz w:val="24"/>
        <w:szCs w:val="24"/>
      </w:rPr>
      <w:t>20</w:t>
    </w:r>
    <w:r>
      <w:rPr>
        <w:b/>
        <w:bCs/>
        <w:color w:val="000000"/>
        <w:sz w:val="24"/>
        <w:szCs w:val="24"/>
      </w:rPr>
      <w:fldChar w:fldCharType="end"/>
    </w:r>
  </w:p>
  <w:p w:rsidR="00B75560" w:rsidRDefault="00B7556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60" w:rsidRDefault="00FB225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7440DC">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440DC">
      <w:rPr>
        <w:b/>
        <w:bCs/>
        <w:noProof/>
        <w:color w:val="000000"/>
        <w:sz w:val="24"/>
        <w:szCs w:val="24"/>
      </w:rPr>
      <w:t>20</w:t>
    </w:r>
    <w:r>
      <w:rPr>
        <w:b/>
        <w:bCs/>
        <w:color w:val="000000"/>
        <w:sz w:val="24"/>
        <w:szCs w:val="24"/>
      </w:rPr>
      <w:fldChar w:fldCharType="end"/>
    </w:r>
  </w:p>
  <w:p w:rsidR="00B75560" w:rsidRDefault="00B7556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61D" w:rsidRDefault="0026361D">
      <w:pPr>
        <w:spacing w:after="0" w:line="240" w:lineRule="auto"/>
      </w:pPr>
      <w:r>
        <w:separator/>
      </w:r>
    </w:p>
  </w:footnote>
  <w:footnote w:type="continuationSeparator" w:id="0">
    <w:p w:rsidR="0026361D" w:rsidRDefault="00263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60" w:rsidRDefault="00B75560">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75560">
      <w:trPr>
        <w:trHeight w:val="132"/>
      </w:trPr>
      <w:tc>
        <w:tcPr>
          <w:tcW w:w="0" w:type="auto"/>
        </w:tcPr>
        <w:p w:rsidR="00B75560" w:rsidRDefault="00FB2252">
          <w:pPr>
            <w:tabs>
              <w:tab w:val="right" w:pos="8838"/>
            </w:tabs>
            <w:ind w:right="-105"/>
            <w:rPr>
              <w:b/>
              <w:bCs/>
            </w:rPr>
          </w:pPr>
          <w:r>
            <w:rPr>
              <w:b/>
              <w:bCs/>
            </w:rPr>
            <w:t>Recurso de Revisión:</w:t>
          </w:r>
        </w:p>
      </w:tc>
      <w:tc>
        <w:tcPr>
          <w:tcW w:w="0" w:type="auto"/>
        </w:tcPr>
        <w:p w:rsidR="00B75560" w:rsidRDefault="00FB2252">
          <w:pPr>
            <w:tabs>
              <w:tab w:val="right" w:pos="8838"/>
            </w:tabs>
            <w:ind w:left="-28" w:right="-32"/>
          </w:pPr>
          <w:r>
            <w:t>03846/INFOEM/IP/RR/2020</w:t>
          </w:r>
        </w:p>
      </w:tc>
    </w:tr>
    <w:tr w:rsidR="00B75560">
      <w:trPr>
        <w:trHeight w:val="261"/>
      </w:trPr>
      <w:tc>
        <w:tcPr>
          <w:tcW w:w="0" w:type="auto"/>
        </w:tcPr>
        <w:p w:rsidR="00B75560" w:rsidRDefault="00FB2252">
          <w:pPr>
            <w:tabs>
              <w:tab w:val="right" w:pos="8838"/>
            </w:tabs>
            <w:ind w:right="-105"/>
            <w:rPr>
              <w:b/>
              <w:bCs/>
            </w:rPr>
          </w:pPr>
          <w:r>
            <w:rPr>
              <w:b/>
              <w:bCs/>
            </w:rPr>
            <w:t>Sujeto Obligado:</w:t>
          </w:r>
        </w:p>
      </w:tc>
      <w:tc>
        <w:tcPr>
          <w:tcW w:w="0" w:type="auto"/>
        </w:tcPr>
        <w:p w:rsidR="00B75560" w:rsidRDefault="00FB2252">
          <w:pPr>
            <w:tabs>
              <w:tab w:val="right" w:pos="8838"/>
            </w:tabs>
            <w:ind w:right="-32"/>
          </w:pPr>
          <w:r>
            <w:t xml:space="preserve">Ayuntamiento de </w:t>
          </w:r>
          <w:proofErr w:type="spellStart"/>
          <w:r>
            <w:t>Temascalcingo</w:t>
          </w:r>
          <w:proofErr w:type="spellEnd"/>
        </w:p>
      </w:tc>
    </w:tr>
    <w:tr w:rsidR="00B75560">
      <w:trPr>
        <w:trHeight w:val="261"/>
      </w:trPr>
      <w:tc>
        <w:tcPr>
          <w:tcW w:w="0" w:type="auto"/>
        </w:tcPr>
        <w:p w:rsidR="00B75560" w:rsidRDefault="00FB2252">
          <w:pPr>
            <w:tabs>
              <w:tab w:val="right" w:pos="8838"/>
            </w:tabs>
            <w:ind w:right="-105"/>
            <w:rPr>
              <w:b/>
              <w:bCs/>
            </w:rPr>
          </w:pPr>
          <w:r>
            <w:rPr>
              <w:b/>
              <w:bCs/>
            </w:rPr>
            <w:t>Comisionado Ponente:</w:t>
          </w:r>
        </w:p>
      </w:tc>
      <w:tc>
        <w:tcPr>
          <w:tcW w:w="0" w:type="auto"/>
        </w:tcPr>
        <w:p w:rsidR="00B75560" w:rsidRDefault="00FB2252">
          <w:pPr>
            <w:tabs>
              <w:tab w:val="right" w:pos="8838"/>
            </w:tabs>
            <w:ind w:right="-32"/>
            <w:rPr>
              <w:b/>
              <w:bCs/>
            </w:rPr>
          </w:pPr>
          <w:r>
            <w:t>Luis Gustavo Parra Noriega</w:t>
          </w:r>
        </w:p>
      </w:tc>
    </w:tr>
  </w:tbl>
  <w:p w:rsidR="00B75560" w:rsidRDefault="0026361D">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60" w:rsidRDefault="0026361D">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6662"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B75560">
      <w:trPr>
        <w:trHeight w:val="138"/>
      </w:trPr>
      <w:tc>
        <w:tcPr>
          <w:tcW w:w="2693" w:type="dxa"/>
          <w:vAlign w:val="center"/>
        </w:tcPr>
        <w:p w:rsidR="00B75560" w:rsidRDefault="00B75560">
          <w:pPr>
            <w:tabs>
              <w:tab w:val="right" w:pos="8838"/>
            </w:tabs>
            <w:ind w:left="-108" w:right="-105"/>
            <w:jc w:val="left"/>
            <w:rPr>
              <w:b/>
              <w:bCs/>
            </w:rPr>
          </w:pPr>
        </w:p>
        <w:p w:rsidR="00B75560" w:rsidRDefault="00FB2252">
          <w:pPr>
            <w:tabs>
              <w:tab w:val="right" w:pos="8838"/>
            </w:tabs>
            <w:ind w:left="-108" w:right="-105"/>
            <w:jc w:val="left"/>
            <w:rPr>
              <w:b/>
              <w:bCs/>
            </w:rPr>
          </w:pPr>
          <w:r>
            <w:rPr>
              <w:b/>
              <w:bCs/>
            </w:rPr>
            <w:t>Recurso de Revisión:</w:t>
          </w:r>
        </w:p>
      </w:tc>
      <w:tc>
        <w:tcPr>
          <w:tcW w:w="3969" w:type="dxa"/>
        </w:tcPr>
        <w:p w:rsidR="00B75560" w:rsidRDefault="00B75560">
          <w:pPr>
            <w:tabs>
              <w:tab w:val="right" w:pos="8838"/>
            </w:tabs>
            <w:ind w:right="57"/>
          </w:pPr>
        </w:p>
        <w:p w:rsidR="00B75560" w:rsidRDefault="00FB2252">
          <w:pPr>
            <w:tabs>
              <w:tab w:val="right" w:pos="8838"/>
            </w:tabs>
            <w:ind w:right="57"/>
          </w:pPr>
          <w:r>
            <w:t>09706/INFOEM/IP/RR/2025</w:t>
          </w:r>
        </w:p>
      </w:tc>
    </w:tr>
    <w:tr w:rsidR="00B75560">
      <w:trPr>
        <w:trHeight w:val="273"/>
      </w:trPr>
      <w:tc>
        <w:tcPr>
          <w:tcW w:w="2693" w:type="dxa"/>
        </w:tcPr>
        <w:p w:rsidR="00B75560" w:rsidRDefault="00FB2252">
          <w:pPr>
            <w:tabs>
              <w:tab w:val="right" w:pos="8838"/>
            </w:tabs>
            <w:ind w:left="-108" w:right="-105"/>
            <w:rPr>
              <w:b/>
              <w:bCs/>
            </w:rPr>
          </w:pPr>
          <w:r>
            <w:rPr>
              <w:b/>
              <w:bCs/>
            </w:rPr>
            <w:t>Sujeto Obligado:</w:t>
          </w:r>
        </w:p>
      </w:tc>
      <w:tc>
        <w:tcPr>
          <w:tcW w:w="3969" w:type="dxa"/>
        </w:tcPr>
        <w:p w:rsidR="00B75560" w:rsidRDefault="00FB2252">
          <w:pPr>
            <w:tabs>
              <w:tab w:val="right" w:pos="8838"/>
            </w:tabs>
            <w:ind w:right="180"/>
          </w:pPr>
          <w:r>
            <w:t>Ayuntamiento de Toluca</w:t>
          </w:r>
        </w:p>
      </w:tc>
    </w:tr>
    <w:tr w:rsidR="00B75560">
      <w:trPr>
        <w:trHeight w:val="273"/>
      </w:trPr>
      <w:tc>
        <w:tcPr>
          <w:tcW w:w="2693" w:type="dxa"/>
        </w:tcPr>
        <w:p w:rsidR="00B75560" w:rsidRDefault="00FB2252">
          <w:pPr>
            <w:tabs>
              <w:tab w:val="right" w:pos="8838"/>
            </w:tabs>
            <w:ind w:left="-108" w:right="-105"/>
            <w:rPr>
              <w:b/>
              <w:bCs/>
            </w:rPr>
          </w:pPr>
          <w:r>
            <w:rPr>
              <w:b/>
              <w:bCs/>
            </w:rPr>
            <w:t>Comisionado Ponente:</w:t>
          </w:r>
        </w:p>
      </w:tc>
      <w:tc>
        <w:tcPr>
          <w:tcW w:w="3969" w:type="dxa"/>
        </w:tcPr>
        <w:p w:rsidR="00B75560" w:rsidRDefault="00FB2252">
          <w:pPr>
            <w:tabs>
              <w:tab w:val="right" w:pos="8838"/>
            </w:tabs>
            <w:ind w:right="-170"/>
          </w:pPr>
          <w:r>
            <w:t>Luis Gustavo Parra Noriega</w:t>
          </w:r>
        </w:p>
        <w:p w:rsidR="00B75560" w:rsidRDefault="00B75560">
          <w:pPr>
            <w:tabs>
              <w:tab w:val="right" w:pos="8838"/>
            </w:tabs>
            <w:ind w:right="-170"/>
            <w:rPr>
              <w:b/>
              <w:bCs/>
            </w:rPr>
          </w:pPr>
        </w:p>
      </w:tc>
    </w:tr>
  </w:tbl>
  <w:p w:rsidR="00B75560" w:rsidRDefault="00B75560">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560" w:rsidRDefault="00B75560">
    <w:pPr>
      <w:widowControl w:val="0"/>
      <w:pBdr>
        <w:top w:val="nil"/>
        <w:left w:val="nil"/>
        <w:bottom w:val="nil"/>
        <w:right w:val="nil"/>
        <w:between w:val="nil"/>
      </w:pBdr>
      <w:spacing w:after="0" w:line="276" w:lineRule="auto"/>
      <w:jc w:val="left"/>
      <w:rPr>
        <w:color w:val="000000"/>
      </w:rPr>
    </w:pPr>
  </w:p>
  <w:tbl>
    <w:tblPr>
      <w:tblStyle w:val="a4"/>
      <w:tblW w:w="6804"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B75560">
      <w:trPr>
        <w:trHeight w:val="132"/>
      </w:trPr>
      <w:tc>
        <w:tcPr>
          <w:tcW w:w="2551" w:type="dxa"/>
        </w:tcPr>
        <w:p w:rsidR="00B75560" w:rsidRDefault="00FB2252">
          <w:pPr>
            <w:tabs>
              <w:tab w:val="right" w:pos="8838"/>
            </w:tabs>
            <w:ind w:right="-105"/>
            <w:rPr>
              <w:b/>
              <w:bCs/>
            </w:rPr>
          </w:pPr>
          <w:r>
            <w:rPr>
              <w:b/>
              <w:bCs/>
            </w:rPr>
            <w:t>Recurso de Revisión:</w:t>
          </w:r>
        </w:p>
      </w:tc>
      <w:tc>
        <w:tcPr>
          <w:tcW w:w="4253" w:type="dxa"/>
        </w:tcPr>
        <w:p w:rsidR="00B75560" w:rsidRDefault="00FB2252">
          <w:r>
            <w:t>09706/INFOEM/IP/RR/2025</w:t>
          </w:r>
        </w:p>
      </w:tc>
    </w:tr>
    <w:tr w:rsidR="00B75560">
      <w:trPr>
        <w:trHeight w:val="132"/>
      </w:trPr>
      <w:tc>
        <w:tcPr>
          <w:tcW w:w="2551" w:type="dxa"/>
        </w:tcPr>
        <w:p w:rsidR="00B75560" w:rsidRDefault="00FB2252">
          <w:pPr>
            <w:tabs>
              <w:tab w:val="left" w:pos="1875"/>
            </w:tabs>
            <w:ind w:right="-105"/>
            <w:rPr>
              <w:b/>
              <w:bCs/>
            </w:rPr>
          </w:pPr>
          <w:r>
            <w:rPr>
              <w:b/>
              <w:bCs/>
            </w:rPr>
            <w:t>Recurrente:</w:t>
          </w:r>
          <w:r>
            <w:rPr>
              <w:b/>
              <w:bCs/>
            </w:rPr>
            <w:tab/>
          </w:r>
        </w:p>
      </w:tc>
      <w:tc>
        <w:tcPr>
          <w:tcW w:w="4253" w:type="dxa"/>
        </w:tcPr>
        <w:p w:rsidR="00B75560" w:rsidRDefault="00FB2252">
          <w:pPr>
            <w:tabs>
              <w:tab w:val="right" w:pos="8838"/>
            </w:tabs>
            <w:ind w:right="-250"/>
          </w:pPr>
          <w:r>
            <w:t xml:space="preserve"> </w:t>
          </w:r>
        </w:p>
      </w:tc>
    </w:tr>
    <w:tr w:rsidR="00B75560">
      <w:trPr>
        <w:trHeight w:val="261"/>
      </w:trPr>
      <w:tc>
        <w:tcPr>
          <w:tcW w:w="2551" w:type="dxa"/>
        </w:tcPr>
        <w:p w:rsidR="00B75560" w:rsidRDefault="00FB2252">
          <w:pPr>
            <w:tabs>
              <w:tab w:val="right" w:pos="8838"/>
            </w:tabs>
            <w:ind w:right="-105"/>
            <w:rPr>
              <w:b/>
              <w:bCs/>
            </w:rPr>
          </w:pPr>
          <w:r>
            <w:rPr>
              <w:b/>
              <w:bCs/>
            </w:rPr>
            <w:t>Sujeto Obligado:</w:t>
          </w:r>
        </w:p>
      </w:tc>
      <w:tc>
        <w:tcPr>
          <w:tcW w:w="4253" w:type="dxa"/>
        </w:tcPr>
        <w:p w:rsidR="00B75560" w:rsidRDefault="00FB2252">
          <w:r>
            <w:t>Ayuntamiento de Toluca</w:t>
          </w:r>
        </w:p>
      </w:tc>
    </w:tr>
    <w:tr w:rsidR="00B75560">
      <w:trPr>
        <w:trHeight w:val="261"/>
      </w:trPr>
      <w:tc>
        <w:tcPr>
          <w:tcW w:w="2551" w:type="dxa"/>
        </w:tcPr>
        <w:p w:rsidR="00B75560" w:rsidRDefault="00FB2252">
          <w:pPr>
            <w:tabs>
              <w:tab w:val="right" w:pos="8838"/>
            </w:tabs>
            <w:ind w:right="-105"/>
            <w:rPr>
              <w:b/>
              <w:bCs/>
            </w:rPr>
          </w:pPr>
          <w:r>
            <w:rPr>
              <w:b/>
              <w:bCs/>
            </w:rPr>
            <w:t>Comisionado Ponente:</w:t>
          </w:r>
        </w:p>
      </w:tc>
      <w:tc>
        <w:tcPr>
          <w:tcW w:w="4253" w:type="dxa"/>
        </w:tcPr>
        <w:p w:rsidR="00B75560" w:rsidRDefault="00FB2252">
          <w:pPr>
            <w:tabs>
              <w:tab w:val="right" w:pos="8838"/>
            </w:tabs>
            <w:ind w:right="-32"/>
            <w:rPr>
              <w:b/>
              <w:bCs/>
            </w:rPr>
          </w:pPr>
          <w:r>
            <w:t>Luis Gustavo Parra Noriega</w:t>
          </w:r>
        </w:p>
      </w:tc>
    </w:tr>
  </w:tbl>
  <w:p w:rsidR="00B75560" w:rsidRDefault="0026361D">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FC7F37"/>
    <w:multiLevelType w:val="multilevel"/>
    <w:tmpl w:val="5106B24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E6614C3"/>
    <w:multiLevelType w:val="multilevel"/>
    <w:tmpl w:val="4D5AC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B44DF7"/>
    <w:multiLevelType w:val="multilevel"/>
    <w:tmpl w:val="71765E56"/>
    <w:lvl w:ilvl="0">
      <w:start w:val="2"/>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60"/>
    <w:rsid w:val="0026361D"/>
    <w:rsid w:val="007440DC"/>
    <w:rsid w:val="007D25E9"/>
    <w:rsid w:val="00901939"/>
    <w:rsid w:val="009B5BCD"/>
    <w:rsid w:val="00B75560"/>
    <w:rsid w:val="00F922F2"/>
    <w:rsid w:val="00FB22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847ABDD-C4B5-4DF8-9A0C-3D002FBE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2.toluca.gob.mx/proactiva-fisca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UtKBnUHIy+K/iJFujNqboILiVA==">CgMxLjAyDmgudjV4NDd5eDdzdDJjMg5oLmlxenh3dTkwczBkdDIOaC42a2I5aW55ZGQ1YzUyDWguMW14NXZkcThvN3gyDmguYnZ3b21hb3llbjR5Mg5oLmRjaGtteWt1OTRnMDIOaC5zanc4cXdwdG9qM3kyDmguZ2N5cXQxZzk5bHJkMgloLjMwajB6bGwyDmgucDljZWxzYTJxa2U4Mg5oLmExd3JoaDExNHRmcTIOaC40andta2RoN252aDIyDmguYzZpeXY3eWxnYzU5Mg5oLmx2bGxpenV3c3NvbjIOaC5vZDMyaW05d2ZxcnMyDmguNHBsaWo2a2I1eXh2OAByITEtXzdtS0ZXZ2d6UElkWU4zanBMU2tkc051dTVoam81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B1E37A-A2B7-497F-99EB-F1D200D15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4444</Words>
  <Characters>24445</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2026-01-16T16:30:00Z</cp:lastPrinted>
  <dcterms:created xsi:type="dcterms:W3CDTF">2026-01-16T16:29:00Z</dcterms:created>
  <dcterms:modified xsi:type="dcterms:W3CDTF">2026-01-16T16:30:00Z</dcterms:modified>
</cp:coreProperties>
</file>