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1B8" w:rsidRPr="0046239D" w:rsidRDefault="00E841B8" w:rsidP="00E841B8">
      <w:pPr>
        <w:widowControl w:val="0"/>
        <w:pBdr>
          <w:top w:val="nil"/>
          <w:left w:val="nil"/>
          <w:bottom w:val="nil"/>
          <w:right w:val="nil"/>
          <w:between w:val="nil"/>
        </w:pBdr>
        <w:spacing w:line="276" w:lineRule="auto"/>
        <w:rPr>
          <w:rFonts w:ascii="Palatino Linotype" w:hAnsi="Palatino Linotype"/>
          <w:sz w:val="22"/>
          <w:szCs w:val="22"/>
        </w:rPr>
      </w:pPr>
      <w:bookmarkStart w:id="0" w:name="_GoBack"/>
      <w:bookmarkEnd w:id="0"/>
    </w:p>
    <w:p w:rsidR="00E841B8" w:rsidRPr="0046239D" w:rsidRDefault="00E841B8" w:rsidP="00E841B8">
      <w:pPr>
        <w:spacing w:line="360" w:lineRule="auto"/>
        <w:jc w:val="both"/>
        <w:rPr>
          <w:rFonts w:ascii="Palatino Linotype" w:eastAsia="Palatino Linotype" w:hAnsi="Palatino Linotype" w:cs="Palatino Linotype"/>
          <w:sz w:val="22"/>
          <w:szCs w:val="22"/>
        </w:rPr>
      </w:pPr>
      <w:bookmarkStart w:id="1" w:name="_heading=h.3dy6vkm" w:colFirst="0" w:colLast="0"/>
      <w:bookmarkEnd w:id="1"/>
      <w:r w:rsidRPr="0046239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sz w:val="22"/>
          <w:szCs w:val="22"/>
        </w:rPr>
        <w:t>veinticinco de marzo de dos mil veintiséis</w:t>
      </w:r>
      <w:r w:rsidRPr="0046239D">
        <w:rPr>
          <w:rFonts w:ascii="Palatino Linotype" w:eastAsia="Palatino Linotype" w:hAnsi="Palatino Linotype" w:cs="Palatino Linotype"/>
          <w:sz w:val="22"/>
          <w:szCs w:val="22"/>
        </w:rPr>
        <w:t>.</w:t>
      </w:r>
    </w:p>
    <w:p w:rsidR="00E841B8" w:rsidRPr="0046239D" w:rsidRDefault="00E841B8" w:rsidP="00E841B8">
      <w:pPr>
        <w:spacing w:line="360" w:lineRule="auto"/>
        <w:jc w:val="both"/>
        <w:rPr>
          <w:rFonts w:ascii="Palatino Linotype" w:eastAsia="Palatino Linotype" w:hAnsi="Palatino Linotype" w:cs="Palatino Linotype"/>
          <w:sz w:val="22"/>
          <w:szCs w:val="22"/>
        </w:rPr>
      </w:pPr>
    </w:p>
    <w:p w:rsidR="00E841B8" w:rsidRPr="0046239D" w:rsidRDefault="00E841B8" w:rsidP="00E841B8">
      <w:pPr>
        <w:spacing w:line="360" w:lineRule="auto"/>
        <w:jc w:val="both"/>
        <w:rPr>
          <w:rFonts w:ascii="Palatino Linotype" w:eastAsia="Palatino Linotype" w:hAnsi="Palatino Linotype" w:cs="Palatino Linotype"/>
          <w:sz w:val="22"/>
          <w:szCs w:val="22"/>
        </w:rPr>
      </w:pPr>
      <w:r w:rsidRPr="0046239D">
        <w:rPr>
          <w:rFonts w:ascii="Palatino Linotype" w:eastAsia="Palatino Linotype" w:hAnsi="Palatino Linotype" w:cs="Palatino Linotype"/>
          <w:b/>
          <w:sz w:val="22"/>
          <w:szCs w:val="22"/>
        </w:rPr>
        <w:t>VISTO</w:t>
      </w:r>
      <w:r w:rsidRPr="0046239D">
        <w:rPr>
          <w:rFonts w:ascii="Palatino Linotype" w:eastAsia="Palatino Linotype" w:hAnsi="Palatino Linotype" w:cs="Palatino Linotype"/>
          <w:sz w:val="22"/>
          <w:szCs w:val="22"/>
        </w:rPr>
        <w:t xml:space="preserve"> el expediente electrónico formado con motivo del recurso de revisión </w:t>
      </w:r>
      <w:r w:rsidR="00B26F31">
        <w:rPr>
          <w:rFonts w:ascii="Palatino Linotype" w:eastAsia="Palatino Linotype" w:hAnsi="Palatino Linotype" w:cs="Palatino Linotype"/>
          <w:b/>
          <w:sz w:val="22"/>
          <w:szCs w:val="22"/>
        </w:rPr>
        <w:t>09873/INFOEM/IP/RR/2025</w:t>
      </w:r>
      <w:r w:rsidRPr="0046239D">
        <w:rPr>
          <w:rFonts w:ascii="Palatino Linotype" w:eastAsia="Palatino Linotype" w:hAnsi="Palatino Linotype" w:cs="Palatino Linotype"/>
          <w:b/>
          <w:sz w:val="22"/>
          <w:szCs w:val="22"/>
        </w:rPr>
        <w:t xml:space="preserve">, </w:t>
      </w:r>
      <w:r w:rsidRPr="0046239D">
        <w:rPr>
          <w:rFonts w:ascii="Palatino Linotype" w:eastAsia="Palatino Linotype" w:hAnsi="Palatino Linotype" w:cs="Palatino Linotype"/>
          <w:sz w:val="22"/>
          <w:szCs w:val="22"/>
        </w:rPr>
        <w:t>promovido por</w:t>
      </w:r>
      <w:r w:rsidRPr="0046239D">
        <w:rPr>
          <w:rFonts w:ascii="Palatino Linotype" w:eastAsia="Palatino Linotype" w:hAnsi="Palatino Linotype" w:cs="Palatino Linotype"/>
          <w:b/>
          <w:bCs/>
          <w:color w:val="000000"/>
          <w:sz w:val="22"/>
          <w:szCs w:val="22"/>
        </w:rPr>
        <w:t xml:space="preserve"> </w:t>
      </w:r>
      <w:r w:rsidR="00B26F31">
        <w:rPr>
          <w:rFonts w:ascii="Palatino Linotype" w:eastAsia="Palatino Linotype" w:hAnsi="Palatino Linotype" w:cs="Palatino Linotype"/>
          <w:b/>
          <w:bCs/>
          <w:color w:val="000000"/>
          <w:sz w:val="22"/>
          <w:szCs w:val="22"/>
        </w:rPr>
        <w:t>una persona que no proporciona datos de identificación</w:t>
      </w:r>
      <w:r w:rsidRPr="0046239D">
        <w:rPr>
          <w:rFonts w:ascii="Palatino Linotype" w:eastAsia="Palatino Linotype" w:hAnsi="Palatino Linotype" w:cs="Palatino Linotype"/>
          <w:sz w:val="22"/>
          <w:szCs w:val="22"/>
        </w:rPr>
        <w:t xml:space="preserve">, a quien en lo sucesivo se le identificará como </w:t>
      </w:r>
      <w:r w:rsidRPr="0046239D">
        <w:rPr>
          <w:rFonts w:ascii="Palatino Linotype" w:eastAsia="Palatino Linotype" w:hAnsi="Palatino Linotype" w:cs="Palatino Linotype"/>
          <w:b/>
          <w:sz w:val="22"/>
          <w:szCs w:val="22"/>
        </w:rPr>
        <w:t>el RECURRENTE</w:t>
      </w:r>
      <w:r w:rsidRPr="0046239D">
        <w:rPr>
          <w:rFonts w:ascii="Palatino Linotype" w:eastAsia="Palatino Linotype" w:hAnsi="Palatino Linotype" w:cs="Palatino Linotype"/>
          <w:sz w:val="22"/>
          <w:szCs w:val="22"/>
        </w:rPr>
        <w:t xml:space="preserve">, en contra de la respuesta del  </w:t>
      </w:r>
      <w:r w:rsidR="007E3DF3">
        <w:rPr>
          <w:rFonts w:ascii="Palatino Linotype" w:eastAsia="Palatino Linotype" w:hAnsi="Palatino Linotype" w:cs="Palatino Linotype"/>
          <w:b/>
          <w:sz w:val="22"/>
          <w:szCs w:val="22"/>
        </w:rPr>
        <w:t>Ayuntamiento de Xalatlaco</w:t>
      </w:r>
      <w:r w:rsidRPr="0046239D">
        <w:rPr>
          <w:rFonts w:ascii="Palatino Linotype" w:eastAsia="Palatino Linotype" w:hAnsi="Palatino Linotype" w:cs="Palatino Linotype"/>
          <w:b/>
          <w:sz w:val="22"/>
          <w:szCs w:val="22"/>
        </w:rPr>
        <w:t xml:space="preserve">, </w:t>
      </w:r>
      <w:r w:rsidRPr="0046239D">
        <w:rPr>
          <w:rFonts w:ascii="Palatino Linotype" w:eastAsia="Palatino Linotype" w:hAnsi="Palatino Linotype" w:cs="Palatino Linotype"/>
          <w:sz w:val="22"/>
          <w:szCs w:val="22"/>
        </w:rPr>
        <w:t>en adelante el</w:t>
      </w:r>
      <w:r w:rsidRPr="0046239D">
        <w:rPr>
          <w:rFonts w:ascii="Palatino Linotype" w:eastAsia="Palatino Linotype" w:hAnsi="Palatino Linotype" w:cs="Palatino Linotype"/>
          <w:b/>
          <w:sz w:val="22"/>
          <w:szCs w:val="22"/>
        </w:rPr>
        <w:t xml:space="preserve"> SUJETO OBLIGADO</w:t>
      </w:r>
      <w:r w:rsidRPr="0046239D">
        <w:rPr>
          <w:rFonts w:ascii="Palatino Linotype" w:eastAsia="Palatino Linotype" w:hAnsi="Palatino Linotype" w:cs="Palatino Linotype"/>
          <w:sz w:val="22"/>
          <w:szCs w:val="22"/>
        </w:rPr>
        <w:t>, se procede a dictar la presente resolución, con base en los siguientes:</w:t>
      </w:r>
    </w:p>
    <w:p w:rsidR="00E841B8" w:rsidRPr="0046239D" w:rsidRDefault="00E841B8" w:rsidP="00E841B8">
      <w:pPr>
        <w:spacing w:line="360" w:lineRule="auto"/>
        <w:jc w:val="both"/>
        <w:rPr>
          <w:rFonts w:ascii="Palatino Linotype" w:eastAsia="Palatino Linotype" w:hAnsi="Palatino Linotype" w:cs="Palatino Linotype"/>
          <w:b/>
          <w:sz w:val="22"/>
          <w:szCs w:val="22"/>
        </w:rPr>
      </w:pPr>
    </w:p>
    <w:p w:rsidR="00E841B8" w:rsidRPr="0046239D" w:rsidRDefault="00E841B8" w:rsidP="00E841B8">
      <w:pPr>
        <w:pStyle w:val="Ttulo1"/>
        <w:spacing w:before="0" w:line="360" w:lineRule="auto"/>
        <w:jc w:val="center"/>
        <w:rPr>
          <w:rFonts w:ascii="Palatino Linotype" w:eastAsia="Palatino Linotype" w:hAnsi="Palatino Linotype" w:cs="Palatino Linotype"/>
          <w:b/>
          <w:color w:val="000000"/>
          <w:sz w:val="22"/>
          <w:szCs w:val="22"/>
        </w:rPr>
      </w:pPr>
      <w:bookmarkStart w:id="2" w:name="_heading=h.gjdgxs" w:colFirst="0" w:colLast="0"/>
      <w:bookmarkEnd w:id="2"/>
      <w:r w:rsidRPr="0046239D">
        <w:rPr>
          <w:rFonts w:ascii="Palatino Linotype" w:eastAsia="Palatino Linotype" w:hAnsi="Palatino Linotype" w:cs="Palatino Linotype"/>
          <w:b/>
          <w:color w:val="000000"/>
          <w:sz w:val="22"/>
          <w:szCs w:val="22"/>
        </w:rPr>
        <w:t>A N T E C E D E N T E S</w:t>
      </w:r>
    </w:p>
    <w:p w:rsidR="00E841B8" w:rsidRPr="0046239D" w:rsidRDefault="00E841B8" w:rsidP="00E841B8">
      <w:pPr>
        <w:rPr>
          <w:rFonts w:ascii="Palatino Linotype" w:hAnsi="Palatino Linotype"/>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sz w:val="22"/>
          <w:szCs w:val="22"/>
        </w:rPr>
      </w:pPr>
      <w:r w:rsidRPr="0046239D">
        <w:rPr>
          <w:rFonts w:ascii="Palatino Linotype" w:eastAsia="Palatino Linotype" w:hAnsi="Palatino Linotype" w:cs="Palatino Linotype"/>
          <w:color w:val="000000"/>
          <w:sz w:val="22"/>
          <w:szCs w:val="22"/>
        </w:rPr>
        <w:t>El día</w:t>
      </w:r>
      <w:r w:rsidRPr="0046239D">
        <w:rPr>
          <w:rFonts w:ascii="Palatino Linotype" w:eastAsia="Palatino Linotype" w:hAnsi="Palatino Linotype" w:cs="Palatino Linotype"/>
          <w:b/>
          <w:color w:val="000000"/>
          <w:sz w:val="22"/>
          <w:szCs w:val="22"/>
        </w:rPr>
        <w:t xml:space="preserve"> </w:t>
      </w:r>
      <w:r w:rsidR="007E3DF3">
        <w:rPr>
          <w:rFonts w:ascii="Palatino Linotype" w:eastAsia="Palatino Linotype" w:hAnsi="Palatino Linotype" w:cs="Palatino Linotype"/>
          <w:b/>
          <w:color w:val="000000"/>
          <w:sz w:val="22"/>
          <w:szCs w:val="22"/>
        </w:rPr>
        <w:t xml:space="preserve">nueve </w:t>
      </w:r>
      <w:r>
        <w:rPr>
          <w:rFonts w:ascii="Palatino Linotype" w:eastAsia="Palatino Linotype" w:hAnsi="Palatino Linotype" w:cs="Palatino Linotype"/>
          <w:b/>
          <w:color w:val="000000"/>
          <w:sz w:val="22"/>
          <w:szCs w:val="22"/>
        </w:rPr>
        <w:t xml:space="preserve">de julio </w:t>
      </w:r>
      <w:r w:rsidRPr="0046239D">
        <w:rPr>
          <w:rFonts w:ascii="Palatino Linotype" w:eastAsia="Palatino Linotype" w:hAnsi="Palatino Linotype" w:cs="Palatino Linotype"/>
          <w:b/>
          <w:color w:val="000000"/>
          <w:sz w:val="22"/>
          <w:szCs w:val="22"/>
        </w:rPr>
        <w:t xml:space="preserve">de dos mil veinticinco, </w:t>
      </w:r>
      <w:r w:rsidRPr="0046239D">
        <w:rPr>
          <w:rFonts w:ascii="Palatino Linotype" w:eastAsia="Palatino Linotype" w:hAnsi="Palatino Linotype" w:cs="Palatino Linotype"/>
          <w:color w:val="000000"/>
          <w:sz w:val="22"/>
          <w:szCs w:val="22"/>
        </w:rPr>
        <w:t xml:space="preserve">se presentó ante el </w:t>
      </w:r>
      <w:r w:rsidRPr="0046239D">
        <w:rPr>
          <w:rFonts w:ascii="Palatino Linotype" w:eastAsia="Palatino Linotype" w:hAnsi="Palatino Linotype" w:cs="Palatino Linotype"/>
          <w:b/>
          <w:color w:val="000000"/>
          <w:sz w:val="22"/>
          <w:szCs w:val="22"/>
        </w:rPr>
        <w:t>SUJETO OBLIGADO</w:t>
      </w:r>
      <w:r w:rsidRPr="0046239D">
        <w:rPr>
          <w:rFonts w:ascii="Palatino Linotype" w:eastAsia="Palatino Linotype" w:hAnsi="Palatino Linotype" w:cs="Palatino Linotype"/>
          <w:color w:val="000000"/>
          <w:sz w:val="22"/>
          <w:szCs w:val="22"/>
        </w:rPr>
        <w:t xml:space="preserve"> vía Sistema de Acceso a la Información, la solicitud de información pública registrada con el número</w:t>
      </w:r>
      <w:r w:rsidRPr="0046239D">
        <w:rPr>
          <w:rFonts w:ascii="Palatino Linotype" w:eastAsia="Palatino Linotype" w:hAnsi="Palatino Linotype" w:cs="Palatino Linotype"/>
          <w:b/>
          <w:color w:val="000000"/>
          <w:sz w:val="22"/>
          <w:szCs w:val="22"/>
        </w:rPr>
        <w:t xml:space="preserve"> </w:t>
      </w:r>
      <w:r w:rsidR="007E3DF3">
        <w:rPr>
          <w:rFonts w:ascii="Palatino Linotype" w:eastAsia="Palatino Linotype" w:hAnsi="Palatino Linotype" w:cs="Palatino Linotype"/>
          <w:b/>
          <w:color w:val="000000"/>
          <w:sz w:val="22"/>
          <w:szCs w:val="22"/>
        </w:rPr>
        <w:t>00019/XALATLA/IP/2025</w:t>
      </w:r>
      <w:r w:rsidRPr="0046239D">
        <w:rPr>
          <w:rFonts w:ascii="Palatino Linotype" w:eastAsia="Palatino Linotype" w:hAnsi="Palatino Linotype" w:cs="Palatino Linotype"/>
          <w:b/>
          <w:color w:val="000000"/>
          <w:sz w:val="22"/>
          <w:szCs w:val="22"/>
        </w:rPr>
        <w:t>;</w:t>
      </w:r>
      <w:r w:rsidRPr="0046239D">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 xml:space="preserve">la solicitud de información consistió en obtener la siguiente </w:t>
      </w:r>
      <w:r w:rsidRPr="0046239D">
        <w:rPr>
          <w:rFonts w:ascii="Palatino Linotype" w:eastAsia="Palatino Linotype" w:hAnsi="Palatino Linotype" w:cs="Palatino Linotype"/>
          <w:color w:val="000000"/>
          <w:sz w:val="22"/>
          <w:szCs w:val="22"/>
        </w:rPr>
        <w:t>información:</w:t>
      </w:r>
    </w:p>
    <w:p w:rsidR="00E841B8" w:rsidRPr="0046239D" w:rsidRDefault="00E841B8" w:rsidP="00E841B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E841B8" w:rsidRPr="0046239D" w:rsidRDefault="00E841B8" w:rsidP="00E841B8">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sidRPr="0046239D">
        <w:rPr>
          <w:rFonts w:ascii="Palatino Linotype" w:eastAsia="Palatino Linotype" w:hAnsi="Palatino Linotype" w:cs="Palatino Linotype"/>
          <w:i/>
          <w:color w:val="000000"/>
          <w:sz w:val="22"/>
          <w:szCs w:val="22"/>
        </w:rPr>
        <w:t>“</w:t>
      </w:r>
      <w:r w:rsidR="007E3DF3" w:rsidRPr="007E3DF3">
        <w:rPr>
          <w:rFonts w:ascii="Palatino Linotype" w:eastAsia="Palatino Linotype" w:hAnsi="Palatino Linotype" w:cs="Palatino Linotype"/>
          <w:i/>
          <w:color w:val="000000"/>
          <w:sz w:val="22"/>
          <w:szCs w:val="22"/>
        </w:rPr>
        <w:t xml:space="preserve">DE TODAS LAS ESCUELAS QUE SE ENCUENTRAN EN EL MUNICIPIO DESDE KINDER, PRIMARIAS, SECUNDARIAS, PREPARATORIAS Y UNIVERSIDADES, INFORME LO SIGUIENTE EN RELACIÓN A LOS PREDIOS QUE OCUPAN DICHOS INMUEBLES, ESPECIFICANDO EL NOMBRE DE LA ESCUELA, NIVEL Y UBICACIÓN; UNICAMENTE DE AQUELLOS DONDE EL AYUNTAMIENTO REALIZÓ LA CESIÓN DE LOS TERRENOS: 1. COMO LES FUE CEDIDO EL PREDIO: CONTRATO DE COMPRA VENTA, DONACIÓN, CESION DE DERECHOS. 2. SI DICHOS PREDIOS SE ENCUENTRAN INCORPORADOS A LOS BIENES QUE FORMAN PARTE DEL ACTIVO Y DE LOS LIBROS CONTABLES DEL AYUNTAMIENTO. 3. ESTATUS QUE GUARDA ACTUALMENTE EL PREDIO EN CUANTO A SU INCORPORACIÓN, AFECTACIÓN, USO </w:t>
      </w:r>
      <w:r w:rsidR="007E3DF3" w:rsidRPr="007E3DF3">
        <w:rPr>
          <w:rFonts w:ascii="Palatino Linotype" w:eastAsia="Palatino Linotype" w:hAnsi="Palatino Linotype" w:cs="Palatino Linotype"/>
          <w:i/>
          <w:color w:val="000000"/>
          <w:sz w:val="22"/>
          <w:szCs w:val="22"/>
        </w:rPr>
        <w:lastRenderedPageBreak/>
        <w:t>DESTINO EN CUANTO AL ALTA DE LOS BIENES DEL AYUNTAMIENTO 4. EN SU CASO SI YA FUERON DESAFECTADOS, DESINCORPORADOS Y EL USO FINAL RESPECTO DE LA DONACIÓN A LAS INSTITUCIONES EDUCATIVAS 5. EN CASO DE QUE AUN SE ENCUENTREN EN PROCESO DE DESINCORPORACIÓN MENCIONE EN QUE ETAPA SE ENCUENTRAN.</w:t>
      </w:r>
      <w:r w:rsidRPr="0046239D">
        <w:rPr>
          <w:rFonts w:ascii="Palatino Linotype" w:eastAsia="Palatino Linotype" w:hAnsi="Palatino Linotype" w:cs="Palatino Linotype"/>
          <w:i/>
          <w:color w:val="000000"/>
          <w:sz w:val="22"/>
          <w:szCs w:val="22"/>
        </w:rPr>
        <w:t>.”</w:t>
      </w:r>
    </w:p>
    <w:p w:rsidR="00E841B8" w:rsidRPr="0046239D" w:rsidRDefault="00E841B8" w:rsidP="00E841B8">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sz w:val="22"/>
          <w:szCs w:val="22"/>
        </w:rPr>
      </w:pPr>
    </w:p>
    <w:p w:rsidR="00E841B8" w:rsidRPr="00B96D5D" w:rsidRDefault="00E841B8" w:rsidP="00E841B8">
      <w:pPr>
        <w:numPr>
          <w:ilvl w:val="0"/>
          <w:numId w:val="2"/>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sz w:val="22"/>
          <w:szCs w:val="22"/>
        </w:rPr>
      </w:pPr>
      <w:r w:rsidRPr="0046239D">
        <w:rPr>
          <w:rFonts w:ascii="Palatino Linotype" w:eastAsia="Palatino Linotype" w:hAnsi="Palatino Linotype" w:cs="Palatino Linotype"/>
          <w:b/>
          <w:color w:val="000000"/>
          <w:sz w:val="22"/>
          <w:szCs w:val="22"/>
        </w:rPr>
        <w:t>Se eligió como modalidad de entrega de la información</w:t>
      </w:r>
      <w:r w:rsidRPr="0046239D">
        <w:rPr>
          <w:rFonts w:ascii="Palatino Linotype" w:eastAsia="Palatino Linotype" w:hAnsi="Palatino Linotype" w:cs="Palatino Linotype"/>
          <w:color w:val="000000"/>
          <w:sz w:val="22"/>
          <w:szCs w:val="22"/>
        </w:rPr>
        <w:t>: el  Sistema de Acceso a la Información</w:t>
      </w:r>
      <w:r w:rsidRPr="0046239D">
        <w:rPr>
          <w:rFonts w:ascii="Palatino Linotype" w:eastAsia="Palatino Linotype" w:hAnsi="Palatino Linotype" w:cs="Palatino Linotype"/>
          <w:b/>
          <w:color w:val="000000"/>
          <w:sz w:val="22"/>
          <w:szCs w:val="22"/>
        </w:rPr>
        <w:t>.</w:t>
      </w:r>
    </w:p>
    <w:p w:rsidR="007E3DF3" w:rsidRPr="00B96D5D" w:rsidRDefault="007E3DF3" w:rsidP="007E3DF3">
      <w:pPr>
        <w:pBdr>
          <w:top w:val="nil"/>
          <w:left w:val="nil"/>
          <w:bottom w:val="nil"/>
          <w:right w:val="nil"/>
          <w:between w:val="nil"/>
        </w:pBdr>
        <w:tabs>
          <w:tab w:val="left" w:pos="0"/>
        </w:tabs>
        <w:spacing w:line="360" w:lineRule="auto"/>
        <w:ind w:right="49"/>
        <w:jc w:val="both"/>
        <w:rPr>
          <w:rFonts w:ascii="Palatino Linotype" w:hAnsi="Palatino Linotype"/>
          <w:color w:val="000000"/>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sz w:val="22"/>
          <w:szCs w:val="22"/>
        </w:rPr>
      </w:pPr>
      <w:r w:rsidRPr="0046239D">
        <w:rPr>
          <w:rFonts w:ascii="Palatino Linotype" w:eastAsia="Palatino Linotype" w:hAnsi="Palatino Linotype" w:cs="Palatino Linotype"/>
          <w:color w:val="000000"/>
          <w:sz w:val="22"/>
          <w:szCs w:val="22"/>
        </w:rPr>
        <w:t xml:space="preserve">El </w:t>
      </w:r>
      <w:r w:rsidR="007E3DF3">
        <w:rPr>
          <w:rFonts w:ascii="Palatino Linotype" w:eastAsia="Palatino Linotype" w:hAnsi="Palatino Linotype" w:cs="Palatino Linotype"/>
          <w:b/>
          <w:color w:val="000000"/>
          <w:sz w:val="22"/>
          <w:szCs w:val="22"/>
        </w:rPr>
        <w:t>veintiuno</w:t>
      </w:r>
      <w:r>
        <w:rPr>
          <w:rFonts w:ascii="Palatino Linotype" w:eastAsia="Palatino Linotype" w:hAnsi="Palatino Linotype" w:cs="Palatino Linotype"/>
          <w:b/>
          <w:color w:val="000000"/>
          <w:sz w:val="22"/>
          <w:szCs w:val="22"/>
        </w:rPr>
        <w:t xml:space="preserve"> de agosto</w:t>
      </w:r>
      <w:r w:rsidRPr="0046239D">
        <w:rPr>
          <w:rFonts w:ascii="Palatino Linotype" w:eastAsia="Palatino Linotype" w:hAnsi="Palatino Linotype" w:cs="Palatino Linotype"/>
          <w:b/>
          <w:color w:val="000000"/>
          <w:sz w:val="22"/>
          <w:szCs w:val="22"/>
        </w:rPr>
        <w:t xml:space="preserve"> de dos mil veinticinco</w:t>
      </w:r>
      <w:r w:rsidRPr="0046239D">
        <w:rPr>
          <w:rFonts w:ascii="Palatino Linotype" w:eastAsia="Palatino Linotype" w:hAnsi="Palatino Linotype" w:cs="Palatino Linotype"/>
          <w:color w:val="000000"/>
          <w:sz w:val="22"/>
          <w:szCs w:val="22"/>
        </w:rPr>
        <w:t xml:space="preserve">, el </w:t>
      </w:r>
      <w:r w:rsidRPr="0046239D">
        <w:rPr>
          <w:rFonts w:ascii="Palatino Linotype" w:eastAsia="Palatino Linotype" w:hAnsi="Palatino Linotype" w:cs="Palatino Linotype"/>
          <w:b/>
          <w:color w:val="000000"/>
          <w:sz w:val="22"/>
          <w:szCs w:val="22"/>
        </w:rPr>
        <w:t>SUJETO OBLIGADO,</w:t>
      </w:r>
      <w:r w:rsidRPr="0046239D">
        <w:rPr>
          <w:rFonts w:ascii="Palatino Linotype" w:eastAsia="Palatino Linotype" w:hAnsi="Palatino Linotype" w:cs="Palatino Linotype"/>
          <w:color w:val="000000"/>
          <w:sz w:val="22"/>
          <w:szCs w:val="22"/>
        </w:rPr>
        <w:t xml:space="preserve"> dio respuesta </w:t>
      </w:r>
      <w:r>
        <w:rPr>
          <w:rFonts w:ascii="Palatino Linotype" w:eastAsia="Palatino Linotype" w:hAnsi="Palatino Linotype" w:cs="Palatino Linotype"/>
          <w:color w:val="000000"/>
          <w:sz w:val="22"/>
          <w:szCs w:val="22"/>
        </w:rPr>
        <w:t>mediante</w:t>
      </w:r>
      <w:r w:rsidR="007E3DF3">
        <w:rPr>
          <w:rFonts w:ascii="Palatino Linotype" w:eastAsia="Palatino Linotype" w:hAnsi="Palatino Linotype" w:cs="Palatino Linotype"/>
          <w:color w:val="000000"/>
          <w:sz w:val="22"/>
          <w:szCs w:val="22"/>
        </w:rPr>
        <w:t xml:space="preserve"> un archivo electrónico en formato pdf, cuyo contenido grosso modo es el siguiente. </w:t>
      </w:r>
      <w:r>
        <w:rPr>
          <w:rFonts w:ascii="Palatino Linotype" w:eastAsia="Palatino Linotype" w:hAnsi="Palatino Linotype" w:cs="Palatino Linotype"/>
          <w:color w:val="000000"/>
          <w:sz w:val="22"/>
          <w:szCs w:val="22"/>
        </w:rPr>
        <w:t xml:space="preserve"> </w:t>
      </w:r>
    </w:p>
    <w:p w:rsidR="00E841B8" w:rsidRPr="0046239D" w:rsidRDefault="00E841B8" w:rsidP="00E841B8">
      <w:pPr>
        <w:pStyle w:val="Prrafodelista"/>
        <w:ind w:left="1134" w:right="900"/>
        <w:rPr>
          <w:rFonts w:ascii="Palatino Linotype" w:hAnsi="Palatino Linotype"/>
          <w:color w:val="000000"/>
          <w:sz w:val="22"/>
          <w:szCs w:val="22"/>
        </w:rPr>
      </w:pPr>
    </w:p>
    <w:p w:rsidR="00E841B8" w:rsidRDefault="007E3DF3" w:rsidP="007E3DF3">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bookmarkStart w:id="3" w:name="_heading=h.9pf8vy1dgkhd" w:colFirst="0" w:colLast="0"/>
      <w:bookmarkEnd w:id="3"/>
      <w:r w:rsidRPr="007E3DF3">
        <w:rPr>
          <w:rFonts w:ascii="Palatino Linotype" w:eastAsia="Palatino Linotype" w:hAnsi="Palatino Linotype" w:cs="Palatino Linotype"/>
          <w:b/>
          <w:i/>
          <w:color w:val="000000"/>
          <w:sz w:val="22"/>
          <w:szCs w:val="22"/>
        </w:rPr>
        <w:t>Solicitud 019.pdf</w:t>
      </w:r>
      <w:r>
        <w:rPr>
          <w:rFonts w:ascii="Palatino Linotype" w:eastAsia="Palatino Linotype" w:hAnsi="Palatino Linotype" w:cs="Palatino Linotype"/>
          <w:b/>
          <w:i/>
          <w:color w:val="000000"/>
          <w:sz w:val="22"/>
          <w:szCs w:val="22"/>
        </w:rPr>
        <w:t xml:space="preserve">: </w:t>
      </w:r>
      <w:r w:rsidR="0071786D">
        <w:rPr>
          <w:rFonts w:ascii="Palatino Linotype" w:eastAsia="Palatino Linotype" w:hAnsi="Palatino Linotype" w:cs="Palatino Linotype"/>
          <w:i/>
          <w:color w:val="000000"/>
          <w:sz w:val="22"/>
          <w:szCs w:val="22"/>
        </w:rPr>
        <w:t xml:space="preserve">   </w:t>
      </w:r>
      <w:r w:rsidR="00311853">
        <w:rPr>
          <w:rFonts w:ascii="Palatino Linotype" w:eastAsia="Palatino Linotype" w:hAnsi="Palatino Linotype" w:cs="Palatino Linotype"/>
          <w:i/>
          <w:color w:val="000000"/>
          <w:sz w:val="22"/>
          <w:szCs w:val="22"/>
        </w:rPr>
        <w:t xml:space="preserve">oficio del Síndico Municipal, mediante el cual informa lo siguiente por cada punto de la solicitud de información. </w:t>
      </w:r>
    </w:p>
    <w:p w:rsidR="00311853" w:rsidRDefault="00311853" w:rsidP="00311853">
      <w:pPr>
        <w:pStyle w:val="Prrafodelista"/>
        <w:numPr>
          <w:ilvl w:val="0"/>
          <w:numId w:val="4"/>
        </w:numPr>
        <w:ind w:left="1134" w:right="900" w:firstLine="0"/>
        <w:jc w:val="both"/>
        <w:rPr>
          <w:rFonts w:ascii="Palatino Linotype" w:hAnsi="Palatino Linotype"/>
          <w:i/>
          <w:color w:val="000000"/>
        </w:rPr>
      </w:pPr>
      <w:r w:rsidRPr="009F5FB3">
        <w:rPr>
          <w:rFonts w:ascii="Palatino Linotype" w:hAnsi="Palatino Linotype"/>
          <w:i/>
          <w:color w:val="000000"/>
        </w:rPr>
        <w:t xml:space="preserve">Como les fue cedido el predio: contrato de compra venta, donación, cesión de derechos. </w:t>
      </w:r>
    </w:p>
    <w:p w:rsidR="00311853" w:rsidRPr="008134D6" w:rsidRDefault="00311853" w:rsidP="00311853">
      <w:pPr>
        <w:pStyle w:val="Prrafodelista"/>
        <w:ind w:left="1134" w:right="900"/>
        <w:jc w:val="both"/>
        <w:rPr>
          <w:rFonts w:ascii="Palatino Linotype" w:hAnsi="Palatino Linotype"/>
          <w:b/>
          <w:i/>
          <w:color w:val="000000"/>
        </w:rPr>
      </w:pPr>
      <w:r>
        <w:rPr>
          <w:rFonts w:ascii="Palatino Linotype" w:hAnsi="Palatino Linotype"/>
          <w:b/>
          <w:i/>
          <w:color w:val="000000"/>
        </w:rPr>
        <w:t xml:space="preserve">Donación </w:t>
      </w:r>
    </w:p>
    <w:p w:rsidR="00311853" w:rsidRPr="009F5FB3" w:rsidRDefault="00311853" w:rsidP="00311853">
      <w:pPr>
        <w:ind w:left="1134" w:right="900"/>
        <w:jc w:val="both"/>
        <w:rPr>
          <w:rFonts w:ascii="Palatino Linotype" w:hAnsi="Palatino Linotype"/>
          <w:i/>
          <w:color w:val="000000"/>
        </w:rPr>
      </w:pPr>
      <w:r w:rsidRPr="009F5FB3">
        <w:rPr>
          <w:rFonts w:ascii="Palatino Linotype" w:hAnsi="Palatino Linotype"/>
          <w:i/>
          <w:color w:val="000000"/>
        </w:rPr>
        <w:t xml:space="preserve">2. Si dichos predios se encuentran incorporados a los bienes que forman parte del activo y de los libros contables del ayuntamiento. </w:t>
      </w:r>
    </w:p>
    <w:p w:rsidR="00311853" w:rsidRPr="008134D6" w:rsidRDefault="00311853" w:rsidP="00311853">
      <w:pPr>
        <w:ind w:left="1134" w:right="900"/>
        <w:jc w:val="both"/>
        <w:rPr>
          <w:rFonts w:ascii="Palatino Linotype" w:hAnsi="Palatino Linotype"/>
          <w:b/>
          <w:i/>
          <w:color w:val="000000"/>
        </w:rPr>
      </w:pPr>
      <w:r>
        <w:rPr>
          <w:rFonts w:ascii="Palatino Linotype" w:hAnsi="Palatino Linotype"/>
          <w:b/>
          <w:i/>
          <w:color w:val="000000"/>
        </w:rPr>
        <w:t xml:space="preserve">Si </w:t>
      </w:r>
    </w:p>
    <w:p w:rsidR="00311853" w:rsidRPr="009F5FB3" w:rsidRDefault="00311853" w:rsidP="00311853">
      <w:pPr>
        <w:ind w:left="1134" w:right="900"/>
        <w:jc w:val="both"/>
        <w:rPr>
          <w:rFonts w:ascii="Palatino Linotype" w:hAnsi="Palatino Linotype"/>
          <w:i/>
          <w:color w:val="000000"/>
        </w:rPr>
      </w:pPr>
      <w:r w:rsidRPr="009F5FB3">
        <w:rPr>
          <w:rFonts w:ascii="Palatino Linotype" w:hAnsi="Palatino Linotype"/>
          <w:i/>
          <w:color w:val="000000"/>
        </w:rPr>
        <w:t xml:space="preserve">3. Estatus que guarda actualmente el predio en cuanto a su incorporación, afectación, uso destino en cuanto al alta de los bienes del ayuntamiento </w:t>
      </w:r>
    </w:p>
    <w:p w:rsidR="00311853" w:rsidRPr="008134D6" w:rsidRDefault="00311853" w:rsidP="00311853">
      <w:pPr>
        <w:ind w:left="1134" w:right="900"/>
        <w:jc w:val="both"/>
        <w:rPr>
          <w:rFonts w:ascii="Palatino Linotype" w:hAnsi="Palatino Linotype"/>
          <w:b/>
          <w:i/>
          <w:color w:val="000000"/>
        </w:rPr>
      </w:pPr>
      <w:r>
        <w:rPr>
          <w:rFonts w:ascii="Palatino Linotype" w:hAnsi="Palatino Linotype"/>
          <w:b/>
          <w:i/>
          <w:color w:val="000000"/>
        </w:rPr>
        <w:t>Activo</w:t>
      </w:r>
    </w:p>
    <w:p w:rsidR="00311853" w:rsidRPr="009F5FB3" w:rsidRDefault="00311853" w:rsidP="00311853">
      <w:pPr>
        <w:ind w:left="1134" w:right="900"/>
        <w:jc w:val="both"/>
        <w:rPr>
          <w:rFonts w:ascii="Palatino Linotype" w:hAnsi="Palatino Linotype"/>
          <w:i/>
          <w:color w:val="000000"/>
        </w:rPr>
      </w:pPr>
      <w:r w:rsidRPr="009F5FB3">
        <w:rPr>
          <w:rFonts w:ascii="Palatino Linotype" w:hAnsi="Palatino Linotype"/>
          <w:i/>
          <w:color w:val="000000"/>
        </w:rPr>
        <w:t xml:space="preserve">4. En su caso si ya fueron desafectados, desincorporados y el uso final respecto de la donación a las instituciones educativas </w:t>
      </w:r>
    </w:p>
    <w:p w:rsidR="00311853" w:rsidRPr="008134D6" w:rsidRDefault="00311853" w:rsidP="00311853">
      <w:pPr>
        <w:ind w:left="1134" w:right="900"/>
        <w:jc w:val="both"/>
        <w:rPr>
          <w:rFonts w:ascii="Palatino Linotype" w:hAnsi="Palatino Linotype"/>
          <w:b/>
          <w:i/>
          <w:color w:val="000000"/>
        </w:rPr>
      </w:pPr>
      <w:r>
        <w:rPr>
          <w:rFonts w:ascii="Palatino Linotype" w:hAnsi="Palatino Linotype"/>
          <w:b/>
          <w:i/>
          <w:color w:val="000000"/>
        </w:rPr>
        <w:t>No es el caso</w:t>
      </w:r>
    </w:p>
    <w:p w:rsidR="00311853" w:rsidRDefault="00311853" w:rsidP="00311853">
      <w:pPr>
        <w:ind w:left="1134" w:right="900"/>
        <w:jc w:val="both"/>
        <w:rPr>
          <w:rFonts w:ascii="Palatino Linotype" w:hAnsi="Palatino Linotype"/>
          <w:i/>
          <w:color w:val="000000"/>
        </w:rPr>
      </w:pPr>
      <w:r w:rsidRPr="009F5FB3">
        <w:rPr>
          <w:rFonts w:ascii="Palatino Linotype" w:hAnsi="Palatino Linotype"/>
          <w:i/>
          <w:color w:val="000000"/>
        </w:rPr>
        <w:t>5. En caso de que aún se encuentren en proceso de desincorporación mencione en qué etapa se encuentran.</w:t>
      </w:r>
    </w:p>
    <w:p w:rsidR="00311853" w:rsidRPr="008134D6" w:rsidRDefault="00311853" w:rsidP="00311853">
      <w:pPr>
        <w:ind w:left="1134" w:right="900"/>
        <w:jc w:val="both"/>
        <w:rPr>
          <w:rFonts w:ascii="Palatino Linotype" w:hAnsi="Palatino Linotype"/>
          <w:b/>
          <w:i/>
        </w:rPr>
      </w:pPr>
      <w:r>
        <w:rPr>
          <w:rFonts w:ascii="Palatino Linotype" w:hAnsi="Palatino Linotype"/>
          <w:b/>
          <w:i/>
          <w:color w:val="000000"/>
        </w:rPr>
        <w:t>No aplica</w:t>
      </w:r>
    </w:p>
    <w:p w:rsidR="00311853" w:rsidRPr="007E3DF3" w:rsidRDefault="00311853" w:rsidP="007E3DF3">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sz w:val="22"/>
          <w:szCs w:val="22"/>
        </w:rPr>
      </w:pPr>
      <w:r w:rsidRPr="0046239D">
        <w:rPr>
          <w:rFonts w:ascii="Palatino Linotype" w:eastAsia="Palatino Linotype" w:hAnsi="Palatino Linotype" w:cs="Palatino Linotype"/>
          <w:color w:val="000000"/>
          <w:sz w:val="22"/>
          <w:szCs w:val="22"/>
        </w:rPr>
        <w:t>El</w:t>
      </w:r>
      <w:r w:rsidRPr="0046239D">
        <w:rPr>
          <w:rFonts w:ascii="Palatino Linotype" w:eastAsia="Palatino Linotype" w:hAnsi="Palatino Linotype" w:cs="Palatino Linotype"/>
          <w:b/>
          <w:color w:val="000000"/>
          <w:sz w:val="22"/>
          <w:szCs w:val="22"/>
        </w:rPr>
        <w:t xml:space="preserve"> </w:t>
      </w:r>
      <w:r w:rsidR="00E50D33">
        <w:rPr>
          <w:rFonts w:ascii="Palatino Linotype" w:eastAsia="Palatino Linotype" w:hAnsi="Palatino Linotype" w:cs="Palatino Linotype"/>
          <w:b/>
          <w:color w:val="000000"/>
          <w:sz w:val="22"/>
          <w:szCs w:val="22"/>
        </w:rPr>
        <w:t xml:space="preserve">veintiuno de </w:t>
      </w:r>
      <w:r>
        <w:rPr>
          <w:rFonts w:ascii="Palatino Linotype" w:eastAsia="Palatino Linotype" w:hAnsi="Palatino Linotype" w:cs="Palatino Linotype"/>
          <w:b/>
          <w:color w:val="000000"/>
          <w:sz w:val="22"/>
          <w:szCs w:val="22"/>
        </w:rPr>
        <w:t>agosto</w:t>
      </w:r>
      <w:r w:rsidRPr="0046239D">
        <w:rPr>
          <w:rFonts w:ascii="Palatino Linotype" w:eastAsia="Palatino Linotype" w:hAnsi="Palatino Linotype" w:cs="Palatino Linotype"/>
          <w:b/>
          <w:color w:val="000000"/>
          <w:sz w:val="22"/>
          <w:szCs w:val="22"/>
        </w:rPr>
        <w:t xml:space="preserve"> de dos mil veinticinco</w:t>
      </w:r>
      <w:r w:rsidRPr="0046239D">
        <w:rPr>
          <w:rFonts w:ascii="Palatino Linotype" w:eastAsia="Palatino Linotype" w:hAnsi="Palatino Linotype" w:cs="Palatino Linotype"/>
          <w:color w:val="000000"/>
          <w:sz w:val="22"/>
          <w:szCs w:val="22"/>
        </w:rPr>
        <w:t>, el particular interpuso el recurso de revisión en contra de la respuesta, manifestando las siguientes razones o motivos de inconformidad:</w:t>
      </w:r>
    </w:p>
    <w:p w:rsidR="00E841B8" w:rsidRPr="0046239D" w:rsidRDefault="00E841B8" w:rsidP="00E841B8">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rPr>
      </w:pPr>
    </w:p>
    <w:p w:rsidR="00E841B8" w:rsidRPr="0046239D" w:rsidRDefault="00E841B8" w:rsidP="00E50D33">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color w:val="000000"/>
          <w:sz w:val="22"/>
          <w:szCs w:val="22"/>
        </w:rPr>
      </w:pPr>
      <w:bookmarkStart w:id="4" w:name="_heading=h.bu48n3507cx8" w:colFirst="0" w:colLast="0"/>
      <w:bookmarkEnd w:id="4"/>
      <w:r w:rsidRPr="0046239D">
        <w:rPr>
          <w:rFonts w:ascii="Palatino Linotype" w:eastAsia="Palatino Linotype" w:hAnsi="Palatino Linotype" w:cs="Palatino Linotype"/>
          <w:b/>
          <w:color w:val="000000"/>
          <w:sz w:val="22"/>
          <w:szCs w:val="22"/>
        </w:rPr>
        <w:t xml:space="preserve">Acto impugnado: </w:t>
      </w:r>
      <w:r w:rsidRPr="0046239D">
        <w:rPr>
          <w:rFonts w:ascii="Palatino Linotype" w:eastAsia="Palatino Linotype" w:hAnsi="Palatino Linotype" w:cs="Palatino Linotype"/>
          <w:i/>
          <w:color w:val="000000"/>
          <w:sz w:val="22"/>
          <w:szCs w:val="22"/>
        </w:rPr>
        <w:t>“</w:t>
      </w:r>
      <w:r w:rsidR="00E50D33" w:rsidRPr="00E50D33">
        <w:rPr>
          <w:rFonts w:ascii="Palatino Linotype" w:eastAsia="Palatino Linotype" w:hAnsi="Palatino Linotype" w:cs="Palatino Linotype"/>
          <w:i/>
          <w:color w:val="000000"/>
          <w:sz w:val="22"/>
          <w:szCs w:val="22"/>
        </w:rPr>
        <w:t>respuesta presentada por el ayuntamiento de xalatlaco a la solicitud de información 000019/XALATLA/IP/2025</w:t>
      </w:r>
      <w:r w:rsidRPr="0046239D">
        <w:rPr>
          <w:rFonts w:ascii="Palatino Linotype" w:eastAsia="Palatino Linotype" w:hAnsi="Palatino Linotype" w:cs="Palatino Linotype"/>
          <w:i/>
          <w:color w:val="000000"/>
          <w:sz w:val="22"/>
          <w:szCs w:val="22"/>
        </w:rPr>
        <w:t>”</w:t>
      </w:r>
    </w:p>
    <w:p w:rsidR="00E841B8" w:rsidRPr="0046239D" w:rsidRDefault="00E841B8" w:rsidP="00E841B8">
      <w:pPr>
        <w:pBdr>
          <w:top w:val="nil"/>
          <w:left w:val="nil"/>
          <w:bottom w:val="nil"/>
          <w:right w:val="nil"/>
          <w:between w:val="nil"/>
        </w:pBdr>
        <w:tabs>
          <w:tab w:val="left" w:pos="7020"/>
        </w:tabs>
        <w:ind w:left="1134" w:right="900"/>
        <w:jc w:val="both"/>
        <w:rPr>
          <w:rFonts w:ascii="Palatino Linotype" w:eastAsia="Palatino Linotype" w:hAnsi="Palatino Linotype" w:cs="Palatino Linotype"/>
          <w:i/>
          <w:color w:val="000000"/>
          <w:sz w:val="22"/>
          <w:szCs w:val="22"/>
        </w:rPr>
      </w:pPr>
      <w:r w:rsidRPr="0046239D">
        <w:rPr>
          <w:rFonts w:ascii="Palatino Linotype" w:eastAsia="Palatino Linotype" w:hAnsi="Palatino Linotype" w:cs="Palatino Linotype"/>
          <w:i/>
          <w:color w:val="000000"/>
          <w:sz w:val="22"/>
          <w:szCs w:val="22"/>
        </w:rPr>
        <w:tab/>
      </w:r>
    </w:p>
    <w:p w:rsidR="00E841B8" w:rsidRPr="0046239D" w:rsidRDefault="00E841B8" w:rsidP="00E841B8">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b/>
          <w:i/>
          <w:color w:val="000000"/>
          <w:sz w:val="22"/>
          <w:szCs w:val="22"/>
        </w:rPr>
      </w:pPr>
      <w:bookmarkStart w:id="5" w:name="_heading=h.966ghff0b3fn" w:colFirst="0" w:colLast="0"/>
      <w:bookmarkEnd w:id="5"/>
      <w:r w:rsidRPr="0046239D">
        <w:rPr>
          <w:rFonts w:ascii="Palatino Linotype" w:eastAsia="Palatino Linotype" w:hAnsi="Palatino Linotype" w:cs="Palatino Linotype"/>
          <w:b/>
          <w:color w:val="000000"/>
          <w:sz w:val="22"/>
          <w:szCs w:val="22"/>
        </w:rPr>
        <w:t xml:space="preserve">Razones o Motivos de inconformidad: </w:t>
      </w:r>
      <w:r w:rsidRPr="0046239D">
        <w:rPr>
          <w:rFonts w:ascii="Palatino Linotype" w:eastAsia="Palatino Linotype" w:hAnsi="Palatino Linotype" w:cs="Palatino Linotype"/>
          <w:i/>
          <w:color w:val="000000"/>
          <w:sz w:val="22"/>
          <w:szCs w:val="22"/>
        </w:rPr>
        <w:t>“</w:t>
      </w:r>
      <w:r w:rsidR="00E50D33" w:rsidRPr="00E50D33">
        <w:rPr>
          <w:rFonts w:ascii="Palatino Linotype" w:eastAsia="Palatino Linotype" w:hAnsi="Palatino Linotype" w:cs="Palatino Linotype"/>
          <w:i/>
          <w:color w:val="000000"/>
          <w:sz w:val="22"/>
          <w:szCs w:val="22"/>
        </w:rPr>
        <w:t>No presenta la información de manera completa pues no informo por escuela, nivel y ubicación el estatus de cada una; por otra parte dice que si están registrados en los libros contables pero no exhibe documentación que lo acredite, no es claro al referir que estatus guarda cada uno en cuanto a la desincorporación, no es claro con que quiere decir en la respuesta 3. al decir "activo", y tampoco especifica en que etapa de desincorporación se encuentra cada uno pues se sabe y conoce que no basta solo con los contratos de donación sino que los ayuntamientos deben llevar a cabo los procesos de desafectación.</w:t>
      </w:r>
      <w:r w:rsidRPr="0046239D">
        <w:rPr>
          <w:rFonts w:ascii="Palatino Linotype" w:eastAsia="Palatino Linotype" w:hAnsi="Palatino Linotype" w:cs="Palatino Linotype"/>
          <w:i/>
          <w:color w:val="000000"/>
          <w:sz w:val="22"/>
          <w:szCs w:val="22"/>
        </w:rPr>
        <w:t>.”</w:t>
      </w:r>
    </w:p>
    <w:p w:rsidR="00E841B8" w:rsidRPr="0046239D" w:rsidRDefault="00E841B8" w:rsidP="00E841B8">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sz w:val="22"/>
          <w:szCs w:val="22"/>
        </w:rPr>
      </w:pPr>
      <w:r w:rsidRPr="0046239D">
        <w:rPr>
          <w:rFonts w:ascii="Palatino Linotype" w:eastAsia="Palatino Linotype" w:hAnsi="Palatino Linotype" w:cs="Palatino Linotype"/>
          <w:color w:val="000000"/>
          <w:sz w:val="22"/>
          <w:szCs w:val="22"/>
        </w:rPr>
        <w:t xml:space="preserve">La Comisionada Ponente con fundamento en lo dispuesto por el artículo 185 fracción II de la ley de la materia, a través del acuerdo de admisión de fecha </w:t>
      </w:r>
      <w:r w:rsidR="00E50D33">
        <w:rPr>
          <w:rFonts w:ascii="Palatino Linotype" w:eastAsia="Palatino Linotype" w:hAnsi="Palatino Linotype" w:cs="Palatino Linotype"/>
          <w:b/>
          <w:color w:val="000000"/>
          <w:sz w:val="22"/>
          <w:szCs w:val="22"/>
        </w:rPr>
        <w:t xml:space="preserve">veinticinco de agosto </w:t>
      </w:r>
      <w:r w:rsidRPr="0046239D">
        <w:rPr>
          <w:rFonts w:ascii="Palatino Linotype" w:eastAsia="Palatino Linotype" w:hAnsi="Palatino Linotype" w:cs="Palatino Linotype"/>
          <w:b/>
          <w:color w:val="000000"/>
          <w:sz w:val="22"/>
          <w:szCs w:val="22"/>
        </w:rPr>
        <w:t>de dos mil veinticinco</w:t>
      </w:r>
      <w:r w:rsidRPr="0046239D">
        <w:rPr>
          <w:rFonts w:ascii="Palatino Linotype" w:eastAsia="Palatino Linotype" w:hAnsi="Palatino Linotype" w:cs="Palatino Linotype"/>
          <w:color w:val="000000"/>
          <w:sz w:val="22"/>
          <w:szCs w:val="22"/>
        </w:rPr>
        <w:t xml:space="preserve">, puso a disposición de las partes el expediente electrónico vía </w:t>
      </w:r>
      <w:r w:rsidRPr="0046239D">
        <w:rPr>
          <w:rFonts w:ascii="Palatino Linotype" w:eastAsia="Palatino Linotype" w:hAnsi="Palatino Linotype" w:cs="Palatino Linotype"/>
          <w:b/>
          <w:color w:val="000000"/>
          <w:sz w:val="22"/>
          <w:szCs w:val="22"/>
        </w:rPr>
        <w:t xml:space="preserve">SAIMEX </w:t>
      </w:r>
      <w:r w:rsidRPr="0046239D">
        <w:rPr>
          <w:rFonts w:ascii="Palatino Linotype" w:eastAsia="Palatino Linotype" w:hAnsi="Palatino Linotype" w:cs="Palatino Linotype"/>
          <w:color w:val="000000"/>
          <w:sz w:val="22"/>
          <w:szCs w:val="22"/>
        </w:rPr>
        <w:t xml:space="preserve">a efecto de que en un plazo máximo de siete días manifestaran lo que a su derecho conviniera, ofrecieran pruebas y alegatos según corresponda a los casos concretos, y el </w:t>
      </w:r>
      <w:r w:rsidRPr="0046239D">
        <w:rPr>
          <w:rFonts w:ascii="Palatino Linotype" w:eastAsia="Palatino Linotype" w:hAnsi="Palatino Linotype" w:cs="Palatino Linotype"/>
          <w:b/>
          <w:color w:val="000000"/>
          <w:sz w:val="22"/>
          <w:szCs w:val="22"/>
        </w:rPr>
        <w:t>SUJETO OBLIGADO</w:t>
      </w:r>
      <w:r w:rsidRPr="0046239D">
        <w:rPr>
          <w:rFonts w:ascii="Palatino Linotype" w:eastAsia="Palatino Linotype" w:hAnsi="Palatino Linotype" w:cs="Palatino Linotype"/>
          <w:color w:val="000000"/>
          <w:sz w:val="22"/>
          <w:szCs w:val="22"/>
        </w:rPr>
        <w:t xml:space="preserve"> presentará el Informe Justificado procedente.</w:t>
      </w:r>
    </w:p>
    <w:p w:rsidR="00E841B8" w:rsidRPr="0046239D" w:rsidRDefault="00E841B8" w:rsidP="00E841B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sz w:val="22"/>
          <w:szCs w:val="22"/>
        </w:rPr>
      </w:pPr>
      <w:r w:rsidRPr="0046239D">
        <w:rPr>
          <w:rFonts w:ascii="Palatino Linotype" w:eastAsia="Palatino Linotype" w:hAnsi="Palatino Linotype" w:cs="Palatino Linotype"/>
          <w:color w:val="000000"/>
          <w:sz w:val="22"/>
          <w:szCs w:val="22"/>
        </w:rPr>
        <w:t xml:space="preserve">De lo anterior, tal y como se observa en el expediente electrónico el </w:t>
      </w:r>
      <w:r w:rsidR="00B064A2">
        <w:rPr>
          <w:rFonts w:ascii="Palatino Linotype" w:eastAsia="Palatino Linotype" w:hAnsi="Palatino Linotype" w:cs="Palatino Linotype"/>
          <w:b/>
          <w:color w:val="000000"/>
          <w:sz w:val="22"/>
          <w:szCs w:val="22"/>
        </w:rPr>
        <w:t xml:space="preserve">ocho </w:t>
      </w:r>
      <w:r>
        <w:rPr>
          <w:rFonts w:ascii="Palatino Linotype" w:eastAsia="Palatino Linotype" w:hAnsi="Palatino Linotype" w:cs="Palatino Linotype"/>
          <w:b/>
          <w:color w:val="000000"/>
          <w:sz w:val="22"/>
          <w:szCs w:val="22"/>
        </w:rPr>
        <w:t xml:space="preserve">de septiembre </w:t>
      </w:r>
      <w:r w:rsidRPr="0046239D">
        <w:rPr>
          <w:rFonts w:ascii="Palatino Linotype" w:eastAsia="Palatino Linotype" w:hAnsi="Palatino Linotype" w:cs="Palatino Linotype"/>
          <w:b/>
          <w:color w:val="000000"/>
          <w:sz w:val="22"/>
          <w:szCs w:val="22"/>
        </w:rPr>
        <w:t>de dos mil veinticinco, el</w:t>
      </w:r>
      <w:r w:rsidRPr="0046239D">
        <w:rPr>
          <w:rFonts w:ascii="Palatino Linotype" w:eastAsia="Palatino Linotype" w:hAnsi="Palatino Linotype" w:cs="Palatino Linotype"/>
          <w:color w:val="000000"/>
          <w:sz w:val="22"/>
          <w:szCs w:val="22"/>
        </w:rPr>
        <w:t xml:space="preserve"> </w:t>
      </w:r>
      <w:r w:rsidRPr="0046239D">
        <w:rPr>
          <w:rFonts w:ascii="Palatino Linotype" w:eastAsia="Palatino Linotype" w:hAnsi="Palatino Linotype" w:cs="Palatino Linotype"/>
          <w:b/>
          <w:color w:val="000000"/>
          <w:sz w:val="22"/>
          <w:szCs w:val="22"/>
        </w:rPr>
        <w:t xml:space="preserve">SUJETO OBLIGADO </w:t>
      </w:r>
      <w:r w:rsidRPr="0046239D">
        <w:rPr>
          <w:rFonts w:ascii="Palatino Linotype" w:eastAsia="Palatino Linotype" w:hAnsi="Palatino Linotype" w:cs="Palatino Linotype"/>
          <w:color w:val="000000"/>
          <w:sz w:val="22"/>
          <w:szCs w:val="22"/>
        </w:rPr>
        <w:t xml:space="preserve">entrego </w:t>
      </w:r>
      <w:r>
        <w:rPr>
          <w:rFonts w:ascii="Palatino Linotype" w:eastAsia="Palatino Linotype" w:hAnsi="Palatino Linotype" w:cs="Palatino Linotype"/>
          <w:color w:val="000000"/>
          <w:sz w:val="22"/>
          <w:szCs w:val="22"/>
        </w:rPr>
        <w:t>un archivo electrónico</w:t>
      </w:r>
      <w:r w:rsidRPr="0046239D">
        <w:rPr>
          <w:rFonts w:ascii="Palatino Linotype" w:eastAsia="Palatino Linotype" w:hAnsi="Palatino Linotype" w:cs="Palatino Linotype"/>
          <w:color w:val="000000"/>
          <w:sz w:val="22"/>
          <w:szCs w:val="22"/>
        </w:rPr>
        <w:t xml:space="preserve"> en formato pdf, cuyo contenido grosso modo es el siguiente. </w:t>
      </w:r>
    </w:p>
    <w:p w:rsidR="00E841B8" w:rsidRPr="0046239D" w:rsidRDefault="00E841B8" w:rsidP="00E841B8">
      <w:pPr>
        <w:pBdr>
          <w:top w:val="nil"/>
          <w:left w:val="nil"/>
          <w:bottom w:val="nil"/>
          <w:right w:val="nil"/>
          <w:between w:val="nil"/>
        </w:pBdr>
        <w:ind w:left="720"/>
        <w:rPr>
          <w:rFonts w:ascii="Palatino Linotype" w:eastAsia="Palatino Linotype" w:hAnsi="Palatino Linotype" w:cs="Palatino Linotype"/>
          <w:b/>
          <w:i/>
          <w:color w:val="000000"/>
          <w:sz w:val="22"/>
          <w:szCs w:val="22"/>
        </w:rPr>
      </w:pPr>
    </w:p>
    <w:p w:rsidR="00E841B8" w:rsidRDefault="00B064A2" w:rsidP="00E841B8">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B064A2">
        <w:rPr>
          <w:rFonts w:ascii="Palatino Linotype" w:eastAsia="Palatino Linotype" w:hAnsi="Palatino Linotype" w:cs="Palatino Linotype"/>
          <w:b/>
          <w:i/>
          <w:color w:val="000000"/>
          <w:sz w:val="22"/>
          <w:szCs w:val="22"/>
        </w:rPr>
        <w:t>solicitud 19 (1).pdf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oficio del Síndico Municipal mediante el cual informa que lo único que hizo falta mencionar fue el nombre de al escuela su nivel y ubicación que es el Centro de Atención Múltiple “JEAN PIAGET” el cual es </w:t>
      </w:r>
      <w:r>
        <w:rPr>
          <w:rFonts w:ascii="Palatino Linotype" w:eastAsia="Palatino Linotype" w:hAnsi="Palatino Linotype" w:cs="Palatino Linotype"/>
          <w:i/>
          <w:color w:val="000000"/>
          <w:sz w:val="22"/>
          <w:szCs w:val="22"/>
        </w:rPr>
        <w:lastRenderedPageBreak/>
        <w:t xml:space="preserve">un centro educación especial ubicado en la calle Coxto, Barrio de San Agustín Xalatlaco, Estado de México. </w:t>
      </w:r>
    </w:p>
    <w:p w:rsidR="00B064A2" w:rsidRPr="00B064A2" w:rsidRDefault="00B064A2" w:rsidP="00E841B8">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sz w:val="22"/>
          <w:szCs w:val="22"/>
        </w:rPr>
      </w:pPr>
      <w:r w:rsidRPr="0046239D">
        <w:rPr>
          <w:rFonts w:ascii="Palatino Linotype" w:eastAsia="Palatino Linotype" w:hAnsi="Palatino Linotype" w:cs="Palatino Linotype"/>
          <w:b/>
          <w:color w:val="000000"/>
          <w:sz w:val="22"/>
          <w:szCs w:val="22"/>
        </w:rPr>
        <w:t xml:space="preserve"> </w:t>
      </w:r>
      <w:r w:rsidRPr="0046239D">
        <w:rPr>
          <w:rFonts w:ascii="Palatino Linotype" w:eastAsia="Palatino Linotype" w:hAnsi="Palatino Linotype" w:cs="Palatino Linotype"/>
          <w:color w:val="000000"/>
          <w:sz w:val="22"/>
          <w:szCs w:val="22"/>
        </w:rPr>
        <w:t xml:space="preserve">Por su parte el </w:t>
      </w:r>
      <w:r w:rsidRPr="0046239D">
        <w:rPr>
          <w:rFonts w:ascii="Palatino Linotype" w:eastAsia="Palatino Linotype" w:hAnsi="Palatino Linotype" w:cs="Palatino Linotype"/>
          <w:b/>
          <w:color w:val="000000"/>
          <w:sz w:val="22"/>
          <w:szCs w:val="22"/>
        </w:rPr>
        <w:t xml:space="preserve">RECURRENTE </w:t>
      </w:r>
      <w:r w:rsidRPr="0046239D">
        <w:rPr>
          <w:rFonts w:ascii="Palatino Linotype" w:eastAsia="Palatino Linotype" w:hAnsi="Palatino Linotype" w:cs="Palatino Linotype"/>
          <w:color w:val="000000"/>
          <w:sz w:val="22"/>
          <w:szCs w:val="22"/>
        </w:rPr>
        <w:t xml:space="preserve">fue omiso en manifestar lo que a su derecho conviniera y asistiera. </w:t>
      </w:r>
    </w:p>
    <w:p w:rsidR="00E841B8" w:rsidRPr="0046239D" w:rsidRDefault="00E841B8" w:rsidP="00E841B8">
      <w:pPr>
        <w:pBdr>
          <w:top w:val="nil"/>
          <w:left w:val="nil"/>
          <w:bottom w:val="nil"/>
          <w:right w:val="nil"/>
          <w:between w:val="nil"/>
        </w:pBdr>
        <w:tabs>
          <w:tab w:val="left" w:pos="0"/>
        </w:tabs>
        <w:spacing w:line="360" w:lineRule="auto"/>
        <w:ind w:right="49"/>
        <w:rPr>
          <w:rFonts w:ascii="Palatino Linotype" w:eastAsia="Palatino Linotype" w:hAnsi="Palatino Linotype" w:cs="Palatino Linotype"/>
          <w:i/>
          <w:color w:val="000000"/>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bookmarkStart w:id="6" w:name="_heading=h.l3xxakc7t6i0" w:colFirst="0" w:colLast="0"/>
      <w:bookmarkEnd w:id="6"/>
      <w:r w:rsidRPr="0046239D">
        <w:rPr>
          <w:rFonts w:ascii="Palatino Linotype" w:eastAsia="Palatino Linotype" w:hAnsi="Palatino Linotype" w:cs="Palatino Linotype"/>
          <w:color w:val="000000"/>
          <w:sz w:val="22"/>
          <w:szCs w:val="22"/>
        </w:rPr>
        <w:t xml:space="preserve">El </w:t>
      </w:r>
      <w:r w:rsidR="00187325">
        <w:rPr>
          <w:rFonts w:ascii="Palatino Linotype" w:eastAsia="Palatino Linotype" w:hAnsi="Palatino Linotype" w:cs="Palatino Linotype"/>
          <w:b/>
          <w:color w:val="000000"/>
          <w:sz w:val="22"/>
          <w:szCs w:val="22"/>
        </w:rPr>
        <w:t xml:space="preserve">dieciocho de marzo </w:t>
      </w:r>
      <w:r>
        <w:rPr>
          <w:rFonts w:ascii="Palatino Linotype" w:eastAsia="Palatino Linotype" w:hAnsi="Palatino Linotype" w:cs="Palatino Linotype"/>
          <w:b/>
          <w:color w:val="000000"/>
          <w:sz w:val="22"/>
          <w:szCs w:val="22"/>
        </w:rPr>
        <w:t>de dos mil veintiséis</w:t>
      </w:r>
      <w:r w:rsidRPr="0046239D">
        <w:rPr>
          <w:rFonts w:ascii="Palatino Linotype" w:eastAsia="Palatino Linotype" w:hAnsi="Palatino Linotype" w:cs="Palatino Linotype"/>
          <w:color w:val="000000"/>
          <w:sz w:val="22"/>
          <w:szCs w:val="22"/>
        </w:rPr>
        <w:t xml:space="preserve">, la Comisionada Ponente notificó el acuerdo de ampliación para emitir resolución, en términos del artículo 181 párrafo tercero de la Ley de Transparencia y Acceso a la Información Pública del Estado de México y Municipios_____________________________________________________________________. </w:t>
      </w:r>
    </w:p>
    <w:p w:rsidR="00E841B8" w:rsidRPr="0046239D" w:rsidRDefault="00E841B8" w:rsidP="00E841B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46239D">
        <w:rPr>
          <w:rFonts w:ascii="Palatino Linotype" w:eastAsia="Palatino Linotype" w:hAnsi="Palatino Linotype" w:cs="Palatino Linotype"/>
          <w:color w:val="000000"/>
          <w:sz w:val="22"/>
          <w:szCs w:val="22"/>
        </w:rPr>
        <w:t>Finalmente, la Comisionada Ponente mediante acuerdo de fecha</w:t>
      </w:r>
      <w:r w:rsidRPr="0046239D">
        <w:rPr>
          <w:rFonts w:ascii="Palatino Linotype" w:eastAsia="Palatino Linotype" w:hAnsi="Palatino Linotype" w:cs="Palatino Linotype"/>
          <w:b/>
          <w:color w:val="000000"/>
          <w:sz w:val="22"/>
          <w:szCs w:val="22"/>
        </w:rPr>
        <w:t xml:space="preserve"> </w:t>
      </w:r>
      <w:r w:rsidR="0032569B">
        <w:rPr>
          <w:rFonts w:ascii="Palatino Linotype" w:eastAsia="Palatino Linotype" w:hAnsi="Palatino Linotype" w:cs="Palatino Linotype"/>
          <w:b/>
          <w:color w:val="000000"/>
          <w:sz w:val="22"/>
          <w:szCs w:val="22"/>
        </w:rPr>
        <w:t xml:space="preserve">veintitrés </w:t>
      </w:r>
      <w:r>
        <w:rPr>
          <w:rFonts w:ascii="Palatino Linotype" w:eastAsia="Palatino Linotype" w:hAnsi="Palatino Linotype" w:cs="Palatino Linotype"/>
          <w:b/>
          <w:color w:val="000000"/>
          <w:sz w:val="22"/>
          <w:szCs w:val="22"/>
        </w:rPr>
        <w:t>de marzo de dos mil veintiséis</w:t>
      </w:r>
      <w:r w:rsidRPr="0046239D">
        <w:rPr>
          <w:rFonts w:ascii="Palatino Linotype" w:eastAsia="Palatino Linotype" w:hAnsi="Palatino Linotype" w:cs="Palatino Linotype"/>
          <w:color w:val="000000"/>
          <w:sz w:val="22"/>
          <w:szCs w:val="22"/>
        </w:rPr>
        <w:t>, decretó el cierre de instrucción de los expedientes, por lo que no habiendo más que hacer constar, y______________________________________________________________________________.</w:t>
      </w:r>
    </w:p>
    <w:p w:rsidR="00E841B8" w:rsidRPr="0046239D" w:rsidRDefault="00E841B8" w:rsidP="00E841B8">
      <w:pPr>
        <w:rPr>
          <w:rFonts w:ascii="Palatino Linotype" w:eastAsia="Palatino Linotype" w:hAnsi="Palatino Linotype" w:cs="Palatino Linotype"/>
          <w:b/>
          <w:color w:val="000000"/>
          <w:sz w:val="22"/>
          <w:szCs w:val="22"/>
        </w:rPr>
      </w:pPr>
    </w:p>
    <w:p w:rsidR="00E841B8" w:rsidRPr="0046239D" w:rsidRDefault="00E841B8" w:rsidP="00E841B8">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r w:rsidRPr="0046239D">
        <w:rPr>
          <w:rFonts w:ascii="Palatino Linotype" w:eastAsia="Palatino Linotype" w:hAnsi="Palatino Linotype" w:cs="Palatino Linotype"/>
          <w:b/>
          <w:color w:val="000000"/>
          <w:sz w:val="22"/>
          <w:szCs w:val="22"/>
        </w:rPr>
        <w:t>CONSIDERANDO</w:t>
      </w:r>
    </w:p>
    <w:p w:rsidR="00E841B8" w:rsidRPr="0046239D" w:rsidRDefault="00E841B8" w:rsidP="00E841B8">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rsidR="00E841B8" w:rsidRPr="0046239D" w:rsidRDefault="00E841B8" w:rsidP="00E841B8">
      <w:pPr>
        <w:pStyle w:val="Ttulo2"/>
        <w:spacing w:before="0" w:line="360" w:lineRule="auto"/>
        <w:rPr>
          <w:rFonts w:ascii="Palatino Linotype" w:eastAsia="Palatino Linotype" w:hAnsi="Palatino Linotype" w:cs="Palatino Linotype"/>
          <w:b/>
          <w:color w:val="000000"/>
          <w:sz w:val="22"/>
          <w:szCs w:val="22"/>
        </w:rPr>
      </w:pPr>
      <w:bookmarkStart w:id="7" w:name="_heading=h.tgyb9poxpo9e" w:colFirst="0" w:colLast="0"/>
      <w:bookmarkEnd w:id="7"/>
      <w:r w:rsidRPr="0046239D">
        <w:rPr>
          <w:rFonts w:ascii="Palatino Linotype" w:eastAsia="Palatino Linotype" w:hAnsi="Palatino Linotype" w:cs="Palatino Linotype"/>
          <w:b/>
          <w:color w:val="000000"/>
          <w:sz w:val="22"/>
          <w:szCs w:val="22"/>
        </w:rPr>
        <w:t>PRIMERO. De la competencia</w:t>
      </w:r>
    </w:p>
    <w:p w:rsidR="00E841B8" w:rsidRPr="0046239D" w:rsidRDefault="00E841B8" w:rsidP="00E841B8">
      <w:pPr>
        <w:spacing w:line="360" w:lineRule="auto"/>
        <w:rPr>
          <w:rFonts w:ascii="Palatino Linotype" w:eastAsia="Palatino Linotype" w:hAnsi="Palatino Linotype" w:cs="Palatino Linotype"/>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color w:val="000000"/>
          <w:sz w:val="22"/>
          <w:szCs w:val="22"/>
        </w:rPr>
      </w:pPr>
      <w:bookmarkStart w:id="8" w:name="_heading=h.8vqc9jp1uzo6" w:colFirst="0" w:colLast="0"/>
      <w:bookmarkEnd w:id="8"/>
      <w:r w:rsidRPr="0046239D">
        <w:rPr>
          <w:rFonts w:ascii="Palatino Linotype" w:eastAsia="Palatino Linotype" w:hAnsi="Palatino Linotype" w:cs="Palatino Linotype"/>
          <w:color w:val="000000"/>
          <w:sz w:val="22"/>
          <w:szCs w:val="22"/>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w:t>
      </w:r>
      <w:r w:rsidRPr="0046239D">
        <w:rPr>
          <w:rFonts w:ascii="Palatino Linotype" w:eastAsia="Palatino Linotype" w:hAnsi="Palatino Linotype" w:cs="Palatino Linotype"/>
          <w:color w:val="000000"/>
          <w:sz w:val="22"/>
          <w:szCs w:val="22"/>
        </w:rPr>
        <w:lastRenderedPageBreak/>
        <w:t>Interior del Instituto de Transparencia, Acceso a la Información Pública y Protección de Datos Personales del Estado de México y Municipios.</w:t>
      </w:r>
      <w:r w:rsidRPr="0046239D">
        <w:rPr>
          <w:rFonts w:ascii="Palatino Linotype" w:eastAsia="Palatino Linotype" w:hAnsi="Palatino Linotype" w:cs="Palatino Linotype"/>
          <w:b/>
          <w:color w:val="000000"/>
          <w:sz w:val="22"/>
          <w:szCs w:val="22"/>
        </w:rPr>
        <w:t>.</w:t>
      </w:r>
    </w:p>
    <w:p w:rsidR="00E841B8" w:rsidRPr="0046239D" w:rsidRDefault="00E841B8" w:rsidP="00E841B8">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rsidR="00E841B8" w:rsidRPr="0046239D" w:rsidRDefault="00E841B8" w:rsidP="00E841B8">
      <w:pPr>
        <w:spacing w:line="360" w:lineRule="auto"/>
        <w:rPr>
          <w:rFonts w:ascii="Palatino Linotype" w:eastAsia="Palatino Linotype" w:hAnsi="Palatino Linotype" w:cs="Palatino Linotype"/>
          <w:b/>
          <w:color w:val="000000"/>
          <w:sz w:val="22"/>
          <w:szCs w:val="22"/>
        </w:rPr>
      </w:pPr>
      <w:r w:rsidRPr="0046239D">
        <w:rPr>
          <w:rFonts w:ascii="Palatino Linotype" w:eastAsia="Palatino Linotype" w:hAnsi="Palatino Linotype" w:cs="Palatino Linotype"/>
          <w:b/>
          <w:color w:val="000000"/>
          <w:sz w:val="22"/>
          <w:szCs w:val="22"/>
        </w:rPr>
        <w:t>SEGUNDO. De la oportunidad y procedencia.</w:t>
      </w:r>
    </w:p>
    <w:p w:rsidR="00E841B8" w:rsidRPr="0046239D" w:rsidRDefault="00E841B8" w:rsidP="00E841B8">
      <w:pPr>
        <w:spacing w:line="360" w:lineRule="auto"/>
        <w:rPr>
          <w:rFonts w:ascii="Palatino Linotype" w:eastAsia="Palatino Linotype" w:hAnsi="Palatino Linotype" w:cs="Palatino Linotype"/>
          <w:sz w:val="22"/>
          <w:szCs w:val="22"/>
        </w:rPr>
      </w:pPr>
    </w:p>
    <w:p w:rsidR="00E841B8"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46239D">
        <w:rPr>
          <w:rFonts w:ascii="Palatino Linotype" w:eastAsia="Palatino Linotype" w:hAnsi="Palatino Linotype" w:cs="Palatino Linotype"/>
          <w:color w:val="000000"/>
          <w:sz w:val="22"/>
          <w:szCs w:val="22"/>
        </w:rPr>
        <w:t xml:space="preserve">El medio de impugnación fue presentado a través del </w:t>
      </w:r>
      <w:r w:rsidRPr="0046239D">
        <w:rPr>
          <w:rFonts w:ascii="Palatino Linotype" w:eastAsia="Palatino Linotype" w:hAnsi="Palatino Linotype" w:cs="Palatino Linotype"/>
          <w:b/>
          <w:color w:val="000000"/>
          <w:sz w:val="22"/>
          <w:szCs w:val="22"/>
        </w:rPr>
        <w:t>SAIMEX,</w:t>
      </w:r>
      <w:r w:rsidRPr="0046239D">
        <w:rPr>
          <w:rFonts w:ascii="Palatino Linotype" w:eastAsia="Palatino Linotype" w:hAnsi="Palatino Linotype" w:cs="Palatino Linotype"/>
          <w:color w:val="000000"/>
          <w:sz w:val="22"/>
          <w:szCs w:val="22"/>
        </w:rPr>
        <w:t xml:space="preserve"> en el formato previamente aprobado para tal efecto y dentro del plazo legal de quince días hábiles otorgados; para el caso en particular es de señalar que el </w:t>
      </w:r>
      <w:r w:rsidRPr="0046239D">
        <w:rPr>
          <w:rFonts w:ascii="Palatino Linotype" w:eastAsia="Palatino Linotype" w:hAnsi="Palatino Linotype" w:cs="Palatino Linotype"/>
          <w:b/>
          <w:color w:val="000000"/>
          <w:sz w:val="22"/>
          <w:szCs w:val="22"/>
        </w:rPr>
        <w:t>SUJETO OBLIGADO</w:t>
      </w:r>
      <w:r w:rsidRPr="0046239D">
        <w:rPr>
          <w:rFonts w:ascii="Palatino Linotype" w:eastAsia="Palatino Linotype" w:hAnsi="Palatino Linotype" w:cs="Palatino Linotype"/>
          <w:color w:val="000000"/>
          <w:sz w:val="22"/>
          <w:szCs w:val="22"/>
        </w:rPr>
        <w:t xml:space="preserve"> entregó su respuesta el </w:t>
      </w:r>
      <w:r w:rsidR="00EB4025">
        <w:rPr>
          <w:rFonts w:ascii="Palatino Linotype" w:eastAsia="Palatino Linotype" w:hAnsi="Palatino Linotype" w:cs="Palatino Linotype"/>
          <w:b/>
          <w:color w:val="000000"/>
          <w:sz w:val="22"/>
          <w:szCs w:val="22"/>
        </w:rPr>
        <w:t xml:space="preserve">veintiuno </w:t>
      </w:r>
      <w:r>
        <w:rPr>
          <w:rFonts w:ascii="Palatino Linotype" w:eastAsia="Palatino Linotype" w:hAnsi="Palatino Linotype" w:cs="Palatino Linotype"/>
          <w:b/>
          <w:color w:val="000000"/>
          <w:sz w:val="22"/>
          <w:szCs w:val="22"/>
        </w:rPr>
        <w:t xml:space="preserve">de agosto </w:t>
      </w:r>
      <w:r w:rsidRPr="0046239D">
        <w:rPr>
          <w:rFonts w:ascii="Palatino Linotype" w:eastAsia="Palatino Linotype" w:hAnsi="Palatino Linotype" w:cs="Palatino Linotype"/>
          <w:b/>
          <w:color w:val="000000"/>
          <w:sz w:val="22"/>
          <w:szCs w:val="22"/>
        </w:rPr>
        <w:t>de dos mil veinticinco</w:t>
      </w:r>
      <w:r w:rsidRPr="0046239D">
        <w:rPr>
          <w:rFonts w:ascii="Palatino Linotype" w:eastAsia="Palatino Linotype" w:hAnsi="Palatino Linotype" w:cs="Palatino Linotype"/>
          <w:color w:val="000000"/>
          <w:sz w:val="22"/>
          <w:szCs w:val="22"/>
        </w:rPr>
        <w:t xml:space="preserve">, de tal forma que el plazo para interponer el recurso de revisión transcurrió del </w:t>
      </w:r>
      <w:r w:rsidR="00EB4025">
        <w:rPr>
          <w:rFonts w:ascii="Palatino Linotype" w:eastAsia="Palatino Linotype" w:hAnsi="Palatino Linotype" w:cs="Palatino Linotype"/>
          <w:b/>
          <w:color w:val="000000"/>
          <w:sz w:val="22"/>
          <w:szCs w:val="22"/>
        </w:rPr>
        <w:t xml:space="preserve">veintidós </w:t>
      </w:r>
      <w:r>
        <w:rPr>
          <w:rFonts w:ascii="Palatino Linotype" w:eastAsia="Palatino Linotype" w:hAnsi="Palatino Linotype" w:cs="Palatino Linotype"/>
          <w:b/>
          <w:color w:val="000000"/>
          <w:sz w:val="22"/>
          <w:szCs w:val="22"/>
        </w:rPr>
        <w:t>de</w:t>
      </w:r>
      <w:r w:rsidRPr="0046239D">
        <w:rPr>
          <w:rFonts w:ascii="Palatino Linotype" w:eastAsia="Palatino Linotype" w:hAnsi="Palatino Linotype" w:cs="Palatino Linotype"/>
          <w:b/>
          <w:color w:val="000000"/>
          <w:sz w:val="22"/>
          <w:szCs w:val="22"/>
        </w:rPr>
        <w:t xml:space="preserve"> agosto</w:t>
      </w:r>
      <w:r w:rsidR="00EB4025">
        <w:rPr>
          <w:rFonts w:ascii="Palatino Linotype" w:eastAsia="Palatino Linotype" w:hAnsi="Palatino Linotype" w:cs="Palatino Linotype"/>
          <w:b/>
          <w:color w:val="000000"/>
          <w:sz w:val="22"/>
          <w:szCs w:val="22"/>
        </w:rPr>
        <w:t xml:space="preserve"> al once</w:t>
      </w:r>
      <w:r>
        <w:rPr>
          <w:rFonts w:ascii="Palatino Linotype" w:eastAsia="Palatino Linotype" w:hAnsi="Palatino Linotype" w:cs="Palatino Linotype"/>
          <w:b/>
          <w:color w:val="000000"/>
          <w:sz w:val="22"/>
          <w:szCs w:val="22"/>
        </w:rPr>
        <w:t xml:space="preserve"> de septiembre</w:t>
      </w:r>
      <w:r w:rsidRPr="0046239D">
        <w:rPr>
          <w:rFonts w:ascii="Palatino Linotype" w:eastAsia="Palatino Linotype" w:hAnsi="Palatino Linotype" w:cs="Palatino Linotype"/>
          <w:b/>
          <w:color w:val="000000"/>
          <w:sz w:val="22"/>
          <w:szCs w:val="22"/>
        </w:rPr>
        <w:t xml:space="preserve"> de dos mil veinticinco</w:t>
      </w:r>
      <w:r w:rsidRPr="0046239D">
        <w:rPr>
          <w:rFonts w:ascii="Palatino Linotype" w:eastAsia="Palatino Linotype" w:hAnsi="Palatino Linotype" w:cs="Palatino Linotype"/>
          <w:color w:val="000000"/>
          <w:sz w:val="22"/>
          <w:szCs w:val="22"/>
        </w:rPr>
        <w:t xml:space="preserve">; en consecuencia, el ahora </w:t>
      </w:r>
      <w:r w:rsidRPr="0046239D">
        <w:rPr>
          <w:rFonts w:ascii="Palatino Linotype" w:eastAsia="Palatino Linotype" w:hAnsi="Palatino Linotype" w:cs="Palatino Linotype"/>
          <w:b/>
          <w:color w:val="000000"/>
          <w:sz w:val="22"/>
          <w:szCs w:val="22"/>
        </w:rPr>
        <w:t>RECURRENTE</w:t>
      </w:r>
      <w:r w:rsidRPr="0046239D">
        <w:rPr>
          <w:rFonts w:ascii="Palatino Linotype" w:eastAsia="Palatino Linotype" w:hAnsi="Palatino Linotype" w:cs="Palatino Linotype"/>
          <w:color w:val="000000"/>
          <w:sz w:val="22"/>
          <w:szCs w:val="22"/>
        </w:rPr>
        <w:t xml:space="preserve"> presentó su inconformidad el día </w:t>
      </w:r>
      <w:r w:rsidR="00EB4025">
        <w:rPr>
          <w:rFonts w:ascii="Palatino Linotype" w:eastAsia="Palatino Linotype" w:hAnsi="Palatino Linotype" w:cs="Palatino Linotype"/>
          <w:b/>
          <w:color w:val="000000"/>
          <w:sz w:val="22"/>
          <w:szCs w:val="22"/>
        </w:rPr>
        <w:t xml:space="preserve">veintiuno </w:t>
      </w:r>
      <w:r>
        <w:rPr>
          <w:rFonts w:ascii="Palatino Linotype" w:eastAsia="Palatino Linotype" w:hAnsi="Palatino Linotype" w:cs="Palatino Linotype"/>
          <w:b/>
          <w:color w:val="000000"/>
          <w:sz w:val="22"/>
          <w:szCs w:val="22"/>
        </w:rPr>
        <w:t xml:space="preserve">de agosto </w:t>
      </w:r>
      <w:r w:rsidRPr="0046239D">
        <w:rPr>
          <w:rFonts w:ascii="Palatino Linotype" w:eastAsia="Palatino Linotype" w:hAnsi="Palatino Linotype" w:cs="Palatino Linotype"/>
          <w:b/>
          <w:color w:val="000000"/>
          <w:sz w:val="22"/>
          <w:szCs w:val="22"/>
        </w:rPr>
        <w:t>de dos mil veinticinco</w:t>
      </w:r>
      <w:r w:rsidRPr="0046239D">
        <w:rPr>
          <w:rFonts w:ascii="Palatino Linotype" w:eastAsia="Palatino Linotype" w:hAnsi="Palatino Linotype" w:cs="Palatino Linotype"/>
          <w:color w:val="000000"/>
          <w:sz w:val="22"/>
          <w:szCs w:val="22"/>
        </w:rPr>
        <w:t>; por lo que se estima que la inconformidad se presentó dentro del lapso legalmente establecido para tal efecto.</w:t>
      </w:r>
    </w:p>
    <w:p w:rsidR="00E841B8" w:rsidRPr="00B54C1A" w:rsidRDefault="00E841B8" w:rsidP="00E841B8">
      <w:pPr>
        <w:rPr>
          <w:rFonts w:ascii="Palatino Linotype" w:eastAsia="Calibri" w:hAnsi="Palatino Linotype" w:cs="Arial"/>
          <w:sz w:val="22"/>
          <w:szCs w:val="22"/>
        </w:rPr>
      </w:pPr>
    </w:p>
    <w:p w:rsidR="00AD2510" w:rsidRPr="00A8633F" w:rsidRDefault="00AD2510" w:rsidP="00AD251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hAnsi="Palatino Linotype" w:cs="Arial"/>
          <w:bCs/>
          <w:color w:val="555555"/>
          <w:sz w:val="22"/>
          <w:szCs w:val="22"/>
          <w:lang w:eastAsia="es-MX"/>
        </w:rPr>
      </w:pPr>
      <w:r w:rsidRPr="00A8633F">
        <w:rPr>
          <w:rFonts w:ascii="Palatino Linotype" w:hAnsi="Palatino Linotype" w:cs="Arial"/>
          <w:sz w:val="22"/>
          <w:szCs w:val="22"/>
        </w:rPr>
        <w:t xml:space="preserve">Al </w:t>
      </w:r>
      <w:r w:rsidRPr="00A8633F">
        <w:rPr>
          <w:rFonts w:ascii="Palatino Linotype" w:eastAsia="Calibri" w:hAnsi="Palatino Linotype" w:cs="Arial"/>
          <w:sz w:val="22"/>
          <w:szCs w:val="22"/>
        </w:rPr>
        <w:t>respecto</w:t>
      </w:r>
      <w:r w:rsidRPr="00A8633F">
        <w:rPr>
          <w:rFonts w:ascii="Palatino Linotype" w:hAnsi="Palatino Linotype" w:cs="Arial"/>
          <w:sz w:val="22"/>
          <w:szCs w:val="22"/>
        </w:rPr>
        <w:t xml:space="preserve"> </w:t>
      </w:r>
      <w:r w:rsidRPr="00A8633F">
        <w:rPr>
          <w:rFonts w:ascii="Palatino Linotype" w:eastAsia="Palatino Linotype" w:hAnsi="Palatino Linotype" w:cs="Palatino Linotype"/>
          <w:color w:val="000000"/>
          <w:sz w:val="22"/>
          <w:szCs w:val="22"/>
        </w:rPr>
        <w:t>resulta</w:t>
      </w:r>
      <w:r w:rsidRPr="00A8633F">
        <w:rPr>
          <w:rFonts w:ascii="Palatino Linotype" w:hAnsi="Palatino Linotype" w:cs="Arial"/>
          <w:bCs/>
          <w:color w:val="000000"/>
          <w:sz w:val="22"/>
          <w:szCs w:val="22"/>
          <w:lang w:eastAsia="es-MX"/>
        </w:rPr>
        <w:t xml:space="preserve">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AD2510" w:rsidRPr="00A8633F" w:rsidRDefault="00AD2510" w:rsidP="00AD2510">
      <w:pPr>
        <w:spacing w:line="360" w:lineRule="auto"/>
        <w:ind w:left="360" w:hanging="360"/>
        <w:contextualSpacing/>
        <w:rPr>
          <w:rFonts w:ascii="Palatino Linotype" w:hAnsi="Palatino Linotype" w:cs="Arial"/>
          <w:sz w:val="22"/>
          <w:szCs w:val="22"/>
        </w:rPr>
      </w:pPr>
    </w:p>
    <w:p w:rsidR="00AD2510" w:rsidRPr="00A8633F" w:rsidRDefault="00AD2510" w:rsidP="00AD251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hAnsi="Palatino Linotype" w:cs="Arial"/>
          <w:bCs/>
          <w:color w:val="555555"/>
          <w:sz w:val="22"/>
          <w:szCs w:val="22"/>
          <w:lang w:eastAsia="es-MX"/>
        </w:rPr>
      </w:pPr>
      <w:r w:rsidRPr="00A8633F">
        <w:rPr>
          <w:rFonts w:ascii="Palatino Linotype" w:hAnsi="Palatino Linotype" w:cs="Arial"/>
          <w:sz w:val="22"/>
          <w:szCs w:val="22"/>
        </w:rPr>
        <w:t xml:space="preserve">Lo anterior se robustece con la jurisprudencia número 1a./J. 41/2015 (10a.), Décima </w:t>
      </w:r>
      <w:r w:rsidRPr="00A8633F">
        <w:rPr>
          <w:rFonts w:ascii="Palatino Linotype" w:eastAsia="Palatino Linotype" w:hAnsi="Palatino Linotype" w:cs="Palatino Linotype"/>
          <w:color w:val="000000"/>
          <w:sz w:val="22"/>
          <w:szCs w:val="22"/>
        </w:rPr>
        <w:t>época</w:t>
      </w:r>
      <w:r w:rsidRPr="00A8633F">
        <w:rPr>
          <w:rFonts w:ascii="Palatino Linotype" w:hAnsi="Palatino Linotype" w:cs="Arial"/>
          <w:sz w:val="22"/>
          <w:szCs w:val="22"/>
        </w:rPr>
        <w:t xml:space="preserve">, sustentada por la Primera Sala de la Suprema Corte de Justicia de la Nación, visible </w:t>
      </w:r>
      <w:r w:rsidRPr="00A8633F">
        <w:rPr>
          <w:rFonts w:ascii="Palatino Linotype" w:hAnsi="Palatino Linotype" w:cs="Arial"/>
          <w:sz w:val="22"/>
          <w:szCs w:val="22"/>
        </w:rPr>
        <w:lastRenderedPageBreak/>
        <w:t xml:space="preserve">en la página 569, libro 19, tomo I, de la Gaceta del Semanario Judicial de la Federación, del diecinueve de junio de 2015, cuyo rubro y texto disponen: </w:t>
      </w:r>
    </w:p>
    <w:p w:rsidR="00AD2510" w:rsidRPr="00A8633F" w:rsidRDefault="00AD2510" w:rsidP="00AD2510">
      <w:pPr>
        <w:tabs>
          <w:tab w:val="left" w:pos="3670"/>
        </w:tabs>
        <w:spacing w:line="360" w:lineRule="auto"/>
        <w:ind w:left="720"/>
        <w:contextualSpacing/>
        <w:rPr>
          <w:rFonts w:ascii="Palatino Linotype" w:hAnsi="Palatino Linotype" w:cs="Arial"/>
          <w:bCs/>
          <w:color w:val="555555"/>
          <w:sz w:val="22"/>
          <w:szCs w:val="22"/>
          <w:lang w:eastAsia="es-MX"/>
        </w:rPr>
      </w:pPr>
      <w:r w:rsidRPr="00A8633F">
        <w:rPr>
          <w:rFonts w:ascii="Palatino Linotype" w:hAnsi="Palatino Linotype" w:cs="Arial"/>
          <w:bCs/>
          <w:color w:val="555555"/>
          <w:sz w:val="22"/>
          <w:szCs w:val="22"/>
          <w:lang w:eastAsia="es-MX"/>
        </w:rPr>
        <w:tab/>
      </w:r>
    </w:p>
    <w:p w:rsidR="00AD2510" w:rsidRPr="00A8633F" w:rsidRDefault="00AD2510" w:rsidP="00AD2510">
      <w:pPr>
        <w:ind w:left="1134" w:right="900"/>
        <w:contextualSpacing/>
        <w:jc w:val="both"/>
        <w:rPr>
          <w:rFonts w:ascii="Palatino Linotype" w:hAnsi="Palatino Linotype" w:cs="Arial"/>
          <w:i/>
          <w:sz w:val="22"/>
          <w:szCs w:val="22"/>
        </w:rPr>
      </w:pPr>
      <w:r w:rsidRPr="00A8633F">
        <w:rPr>
          <w:rFonts w:ascii="Palatino Linotype" w:hAnsi="Palatino Linotype" w:cs="Arial"/>
          <w:b/>
          <w:i/>
          <w:sz w:val="22"/>
          <w:szCs w:val="22"/>
        </w:rPr>
        <w:t>“RECURSO DE RECLAMACIÓN. SU INTERPOSICIÓN NO ES EXTEMPORÁNEA SI SE REALIZA ANTES DE QUE INICIE EL PLAZO PARA HACERLO</w:t>
      </w:r>
      <w:r w:rsidRPr="00A8633F">
        <w:rPr>
          <w:rFonts w:ascii="Palatino Linotype" w:hAnsi="Palatino Linotype" w:cs="Arial"/>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D2510" w:rsidRPr="00A8633F" w:rsidRDefault="00AD2510" w:rsidP="00AD2510">
      <w:pPr>
        <w:spacing w:line="360" w:lineRule="auto"/>
        <w:ind w:left="426" w:right="616"/>
        <w:contextualSpacing/>
        <w:jc w:val="both"/>
        <w:rPr>
          <w:rFonts w:ascii="Palatino Linotype" w:hAnsi="Palatino Linotype" w:cs="Arial"/>
          <w:i/>
          <w:sz w:val="22"/>
          <w:szCs w:val="22"/>
        </w:rPr>
      </w:pPr>
    </w:p>
    <w:p w:rsidR="00AD2510" w:rsidRPr="00A8633F" w:rsidRDefault="00AD2510" w:rsidP="00AD251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hAnsi="Palatino Linotype" w:cs="Arial"/>
          <w:i/>
          <w:sz w:val="22"/>
          <w:szCs w:val="22"/>
        </w:rPr>
      </w:pPr>
      <w:r w:rsidRPr="00A8633F">
        <w:rPr>
          <w:rFonts w:ascii="Palatino Linotype" w:hAnsi="Palatino Linotype" w:cs="Arial"/>
          <w:sz w:val="22"/>
          <w:szCs w:val="22"/>
        </w:rPr>
        <w:t>Esto</w:t>
      </w:r>
      <w:r w:rsidRPr="00A8633F">
        <w:rPr>
          <w:rFonts w:ascii="Palatino Linotype" w:hAnsi="Palatino Linotype"/>
          <w:sz w:val="22"/>
          <w:szCs w:val="22"/>
        </w:rPr>
        <w:t xml:space="preserve"> es así porque en primer lugar es necesario que </w:t>
      </w:r>
      <w:r w:rsidRPr="00A8633F">
        <w:rPr>
          <w:rFonts w:ascii="Palatino Linotype" w:hAnsi="Palatino Linotype"/>
          <w:b/>
          <w:sz w:val="22"/>
          <w:szCs w:val="22"/>
        </w:rPr>
        <w:t>EL RECURRENTE</w:t>
      </w:r>
      <w:r w:rsidRPr="00A8633F">
        <w:rPr>
          <w:rFonts w:ascii="Palatino Linotype" w:hAnsi="Palatino Linotype"/>
          <w:sz w:val="22"/>
          <w:szCs w:val="22"/>
        </w:rPr>
        <w:t xml:space="preserve"> conozca el acto que le provoca agravio y a partir de ahí formular su recurso de revisión </w:t>
      </w:r>
      <w:r w:rsidRPr="00A8633F">
        <w:rPr>
          <w:rFonts w:ascii="Palatino Linotype" w:eastAsia="Palatino Linotype" w:hAnsi="Palatino Linotype" w:cs="Palatino Linotype"/>
          <w:color w:val="000000"/>
          <w:sz w:val="22"/>
          <w:szCs w:val="22"/>
        </w:rPr>
        <w:t>señalando</w:t>
      </w:r>
      <w:r w:rsidRPr="00A8633F">
        <w:rPr>
          <w:rFonts w:ascii="Palatino Linotype" w:hAnsi="Palatino Linotype"/>
          <w:sz w:val="22"/>
          <w:szCs w:val="22"/>
        </w:rPr>
        <w:t xml:space="preserve"> </w:t>
      </w:r>
      <w:r w:rsidRPr="00A8633F">
        <w:rPr>
          <w:rFonts w:ascii="Palatino Linotype" w:hAnsi="Palatino Linotype" w:cs="Arial"/>
          <w:sz w:val="22"/>
          <w:szCs w:val="22"/>
        </w:rPr>
        <w:t>tanto</w:t>
      </w:r>
      <w:r w:rsidRPr="00A8633F">
        <w:rPr>
          <w:rFonts w:ascii="Palatino Linotype" w:hAnsi="Palatino Linotype"/>
          <w:sz w:val="22"/>
          <w:szCs w:val="22"/>
        </w:rPr>
        <w:t xml:space="preserve"> el acto impugnado como el motivo de inconformidad. Y si bien la ley señala que el plazo corre un día después de haber sido notificada la respuesta, en nada se afecta al proceso que el mismo día de </w:t>
      </w:r>
      <w:r w:rsidRPr="00A8633F">
        <w:rPr>
          <w:rFonts w:ascii="Palatino Linotype" w:hAnsi="Palatino Linotype"/>
          <w:b/>
          <w:sz w:val="22"/>
          <w:szCs w:val="22"/>
        </w:rPr>
        <w:t>notificada EL RECURRENTE</w:t>
      </w:r>
      <w:r w:rsidRPr="00A8633F">
        <w:rPr>
          <w:rFonts w:ascii="Palatino Linotype" w:hAnsi="Palatino Linotype"/>
          <w:sz w:val="22"/>
          <w:szCs w:val="22"/>
        </w:rPr>
        <w:t xml:space="preserve"> actúe, ya que al contrario lo que demuestra es el interés del mismo para ejercer su derecho bajo el principio constitucional de justicia expedita.</w:t>
      </w:r>
    </w:p>
    <w:p w:rsidR="00AD2510" w:rsidRPr="00A8633F" w:rsidRDefault="00AD2510" w:rsidP="00AD2510">
      <w:pPr>
        <w:pBdr>
          <w:top w:val="nil"/>
          <w:left w:val="nil"/>
          <w:bottom w:val="nil"/>
          <w:right w:val="nil"/>
          <w:between w:val="nil"/>
        </w:pBdr>
        <w:tabs>
          <w:tab w:val="left" w:pos="0"/>
        </w:tabs>
        <w:spacing w:line="360" w:lineRule="auto"/>
        <w:ind w:right="49"/>
        <w:jc w:val="both"/>
        <w:rPr>
          <w:rFonts w:ascii="Palatino Linotype" w:hAnsi="Palatino Linotype" w:cs="Arial"/>
          <w:i/>
          <w:sz w:val="22"/>
          <w:szCs w:val="22"/>
        </w:rPr>
      </w:pPr>
    </w:p>
    <w:p w:rsidR="00AD2510" w:rsidRPr="00A8633F" w:rsidRDefault="00AD2510" w:rsidP="00AD251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hAnsi="Palatino Linotype" w:cs="Arial"/>
          <w:i/>
          <w:sz w:val="22"/>
          <w:szCs w:val="22"/>
        </w:rPr>
      </w:pPr>
      <w:r w:rsidRPr="00A8633F">
        <w:rPr>
          <w:rFonts w:ascii="Palatino Linotype" w:hAnsi="Palatino Linotype"/>
          <w:sz w:val="22"/>
          <w:szCs w:val="22"/>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AD2510" w:rsidRPr="00A8633F" w:rsidRDefault="00AD2510" w:rsidP="00AD2510">
      <w:pPr>
        <w:spacing w:line="360" w:lineRule="auto"/>
        <w:ind w:left="360" w:hanging="360"/>
        <w:contextualSpacing/>
        <w:rPr>
          <w:rFonts w:ascii="Palatino Linotype" w:hAnsi="Palatino Linotype"/>
          <w:sz w:val="22"/>
          <w:szCs w:val="22"/>
        </w:rPr>
      </w:pPr>
    </w:p>
    <w:p w:rsidR="00AD2510" w:rsidRPr="00A8633F" w:rsidRDefault="00AD2510" w:rsidP="00AD251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hAnsi="Palatino Linotype" w:cs="Arial"/>
          <w:i/>
          <w:sz w:val="22"/>
          <w:szCs w:val="22"/>
        </w:rPr>
      </w:pPr>
      <w:r w:rsidRPr="00A8633F">
        <w:rPr>
          <w:rFonts w:ascii="Palatino Linotype" w:hAnsi="Palatino Linotype"/>
          <w:sz w:val="22"/>
          <w:szCs w:val="22"/>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A8633F">
        <w:rPr>
          <w:rFonts w:ascii="Palatino Linotype" w:hAnsi="Palatino Linotype"/>
          <w:b/>
          <w:sz w:val="22"/>
          <w:szCs w:val="22"/>
        </w:rPr>
        <w:t>SUJETO OBLIGADO.</w:t>
      </w:r>
    </w:p>
    <w:p w:rsidR="00AD2510" w:rsidRDefault="00AD2510" w:rsidP="00AD2510">
      <w:pPr>
        <w:pBdr>
          <w:top w:val="nil"/>
          <w:left w:val="nil"/>
          <w:bottom w:val="nil"/>
          <w:right w:val="nil"/>
          <w:between w:val="nil"/>
        </w:pBdr>
        <w:tabs>
          <w:tab w:val="left" w:pos="0"/>
        </w:tabs>
        <w:spacing w:line="360" w:lineRule="auto"/>
        <w:ind w:right="49"/>
        <w:jc w:val="both"/>
        <w:rPr>
          <w:rFonts w:ascii="Palatino Linotype" w:eastAsia="Calibri" w:hAnsi="Palatino Linotype" w:cs="Arial"/>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46239D">
        <w:rPr>
          <w:rFonts w:ascii="Palatino Linotype" w:eastAsia="Calibri" w:hAnsi="Palatino Linotype" w:cs="Arial"/>
          <w:sz w:val="22"/>
          <w:szCs w:val="22"/>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841B8" w:rsidRPr="0046239D" w:rsidRDefault="00E841B8" w:rsidP="00E841B8">
      <w:pPr>
        <w:ind w:left="1134" w:right="900"/>
        <w:jc w:val="both"/>
        <w:rPr>
          <w:rFonts w:ascii="Palatino Linotype" w:eastAsia="Palatino Linotype" w:hAnsi="Palatino Linotype" w:cs="Palatino Linotype"/>
          <w:sz w:val="22"/>
          <w:szCs w:val="22"/>
          <w:lang w:val="es-MX" w:eastAsia="es-MX"/>
        </w:rPr>
      </w:pP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w:t>
      </w:r>
      <w:r w:rsidRPr="0046239D">
        <w:rPr>
          <w:rFonts w:ascii="Palatino Linotype" w:eastAsia="Palatino Linotype" w:hAnsi="Palatino Linotype" w:cs="Palatino Linotype"/>
          <w:b/>
          <w:i/>
          <w:sz w:val="22"/>
          <w:szCs w:val="22"/>
          <w:lang w:val="es-MX" w:eastAsia="es-MX"/>
        </w:rPr>
        <w:t>Las solicitudes anónimas</w:t>
      </w:r>
      <w:r w:rsidRPr="0046239D">
        <w:rPr>
          <w:rFonts w:ascii="Palatino Linotype" w:eastAsia="Palatino Linotype" w:hAnsi="Palatino Linotype" w:cs="Palatino Linotype"/>
          <w:i/>
          <w:sz w:val="22"/>
          <w:szCs w:val="22"/>
          <w:lang w:val="es-MX" w:eastAsia="es-MX"/>
        </w:rPr>
        <w:t xml:space="preserve">, con nombre incompleto o seudónimo </w:t>
      </w:r>
      <w:r w:rsidRPr="0046239D">
        <w:rPr>
          <w:rFonts w:ascii="Palatino Linotype" w:eastAsia="Palatino Linotype" w:hAnsi="Palatino Linotype" w:cs="Palatino Linotype"/>
          <w:b/>
          <w:i/>
          <w:sz w:val="22"/>
          <w:szCs w:val="22"/>
          <w:lang w:val="es-MX" w:eastAsia="es-MX"/>
        </w:rPr>
        <w:t>serán procedentes para su trámite por parte del sujeto obligado ante quien se presente</w:t>
      </w:r>
      <w:r w:rsidRPr="0046239D">
        <w:rPr>
          <w:rFonts w:ascii="Palatino Linotype" w:eastAsia="Palatino Linotype" w:hAnsi="Palatino Linotype" w:cs="Palatino Linotype"/>
          <w:i/>
          <w:sz w:val="22"/>
          <w:szCs w:val="22"/>
          <w:lang w:val="es-MX" w:eastAsia="es-MX"/>
        </w:rPr>
        <w:t>. No podrá requerirse información adicional con motivo del nombre proporcionado por el solicitante."</w:t>
      </w:r>
    </w:p>
    <w:p w:rsidR="00E841B8" w:rsidRPr="0046239D" w:rsidRDefault="00E841B8" w:rsidP="00E841B8">
      <w:pPr>
        <w:spacing w:line="360" w:lineRule="auto"/>
        <w:jc w:val="both"/>
        <w:rPr>
          <w:rFonts w:ascii="Palatino Linotype" w:eastAsia="Palatino Linotype" w:hAnsi="Palatino Linotype" w:cs="Palatino Linotype"/>
          <w:sz w:val="22"/>
          <w:szCs w:val="22"/>
          <w:lang w:val="es-MX" w:eastAsia="es-MX"/>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46239D">
        <w:rPr>
          <w:rFonts w:ascii="Palatino Linotype" w:eastAsia="Palatino Linotype" w:hAnsi="Palatino Linotype" w:cs="Palatino Linotype"/>
          <w:color w:val="000000"/>
          <w:sz w:val="22"/>
          <w:szCs w:val="22"/>
        </w:rPr>
        <w:t>Robusteciendo</w:t>
      </w:r>
      <w:r w:rsidRPr="0046239D">
        <w:rPr>
          <w:rFonts w:ascii="Palatino Linotype" w:eastAsia="Calibri" w:hAnsi="Palatino Linotype" w:cs="Arial"/>
          <w:sz w:val="22"/>
          <w:szCs w:val="22"/>
        </w:rPr>
        <w:t xml:space="preserve"> lo anterior se encuentra lo dispuesto en el artículo 6, Apartado A, fracciones III de la Constitución Política de los Estados Unidos Mexicanos que establece:</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w:t>
      </w:r>
      <w:r w:rsidRPr="0046239D">
        <w:rPr>
          <w:rFonts w:ascii="Palatino Linotype" w:eastAsia="Palatino Linotype" w:hAnsi="Palatino Linotype" w:cs="Palatino Linotype"/>
          <w:b/>
          <w:i/>
          <w:sz w:val="22"/>
          <w:szCs w:val="22"/>
          <w:lang w:val="es-MX" w:eastAsia="es-MX"/>
        </w:rPr>
        <w:t>Artículo 6.-</w:t>
      </w:r>
      <w:r w:rsidRPr="0046239D">
        <w:rPr>
          <w:rFonts w:ascii="Palatino Linotype" w:eastAsia="Palatino Linotype" w:hAnsi="Palatino Linotype" w:cs="Palatino Linotype"/>
          <w:i/>
          <w:sz w:val="22"/>
          <w:szCs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Para efectos de lo dispuesto en el presente artículo se observará lo siguiente:</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A. Para el ejercicio del derecho de acceso a la información, la Federación, los Estados y el Distrito Federal, en el ámbito de sus respectivas competencias, se regirán por los siguientes principios y bases:</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 xml:space="preserve">III. Toda persona, sin necesidad de acreditar interés alguno o justificar su utilización, tendrá acceso gratuito a la información pública, a sus datos personales o a la rectificación de éstos.” </w:t>
      </w:r>
      <w:r w:rsidRPr="0046239D">
        <w:rPr>
          <w:rFonts w:ascii="Palatino Linotype" w:eastAsia="Palatino Linotype" w:hAnsi="Palatino Linotype" w:cs="Palatino Linotype"/>
          <w:sz w:val="22"/>
          <w:szCs w:val="22"/>
          <w:lang w:val="es-MX" w:eastAsia="es-MX"/>
        </w:rPr>
        <w:t>(Sic)</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46239D">
        <w:rPr>
          <w:rFonts w:ascii="Palatino Linotype" w:eastAsia="Calibri" w:hAnsi="Palatino Linotype" w:cs="Arial"/>
          <w:sz w:val="22"/>
          <w:szCs w:val="22"/>
        </w:rPr>
        <w:lastRenderedPageBreak/>
        <w:t xml:space="preserve">Así </w:t>
      </w:r>
      <w:r w:rsidRPr="0046239D">
        <w:rPr>
          <w:rFonts w:ascii="Palatino Linotype" w:eastAsia="Palatino Linotype" w:hAnsi="Palatino Linotype" w:cs="Palatino Linotype"/>
          <w:color w:val="000000"/>
          <w:sz w:val="22"/>
          <w:szCs w:val="22"/>
        </w:rPr>
        <w:t>como</w:t>
      </w:r>
      <w:r w:rsidRPr="0046239D">
        <w:rPr>
          <w:rFonts w:ascii="Palatino Linotype" w:eastAsia="Calibri" w:hAnsi="Palatino Linotype" w:cs="Arial"/>
          <w:sz w:val="22"/>
          <w:szCs w:val="22"/>
        </w:rPr>
        <w:t xml:space="preserve"> el artículo 5 fracción III, párrafo vigésimo noveno, trigésimo y trigésimo primero, de la Constitución Política del Estado Libre y Soberano de México, que determina lo siguiente:</w:t>
      </w:r>
    </w:p>
    <w:p w:rsidR="00E841B8" w:rsidRPr="0046239D" w:rsidRDefault="00E841B8" w:rsidP="00E841B8">
      <w:pPr>
        <w:spacing w:line="360" w:lineRule="auto"/>
        <w:ind w:right="474"/>
        <w:jc w:val="both"/>
        <w:rPr>
          <w:rFonts w:ascii="Palatino Linotype" w:eastAsia="Palatino Linotype" w:hAnsi="Palatino Linotype" w:cs="Palatino Linotype"/>
          <w:i/>
          <w:sz w:val="22"/>
          <w:szCs w:val="22"/>
          <w:lang w:val="es-MX" w:eastAsia="es-MX"/>
        </w:rPr>
      </w:pP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w:t>
      </w:r>
      <w:r w:rsidRPr="0046239D">
        <w:rPr>
          <w:rFonts w:ascii="Palatino Linotype" w:eastAsia="Palatino Linotype" w:hAnsi="Palatino Linotype" w:cs="Palatino Linotype"/>
          <w:b/>
          <w:i/>
          <w:sz w:val="22"/>
          <w:szCs w:val="22"/>
          <w:lang w:val="es-MX" w:eastAsia="es-MX"/>
        </w:rPr>
        <w:t>Artículo 5.-</w:t>
      </w:r>
      <w:r w:rsidRPr="0046239D">
        <w:rPr>
          <w:rFonts w:ascii="Palatino Linotype" w:eastAsia="Palatino Linotype" w:hAnsi="Palatino Linotype" w:cs="Palatino Linotype"/>
          <w:i/>
          <w:sz w:val="22"/>
          <w:szCs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Toda persona en el Estado de México, tiene derecho al libre acceso a la información plural y oportuna, así como a buscar recibir y difundir información e ideas de toda índole por cualquier medio de expresión.</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El derecho a la información será garantizado por el Estado. La ley establecerá las previsiones que permitan asegurar la protección, el respeto y la difusión de este derecho.</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III. Toda persona, sin necesidad de acreditar interés alguno o justificar su utilización, tendrá acceso gratuito a la información pública, a sus datos personales o a la rectificación de éstos;</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46239D">
        <w:rPr>
          <w:rFonts w:ascii="Palatino Linotype" w:eastAsia="Palatino Linotype" w:hAnsi="Palatino Linotype" w:cs="Palatino Linotype"/>
          <w:sz w:val="22"/>
          <w:szCs w:val="22"/>
          <w:lang w:val="es-MX" w:eastAsia="es-MX"/>
        </w:rPr>
        <w:t>(Sic)</w:t>
      </w:r>
    </w:p>
    <w:p w:rsidR="00E841B8" w:rsidRPr="0046239D" w:rsidRDefault="00E841B8" w:rsidP="00E841B8">
      <w:pPr>
        <w:spacing w:line="360" w:lineRule="auto"/>
        <w:ind w:left="426" w:right="476"/>
        <w:jc w:val="both"/>
        <w:rPr>
          <w:rFonts w:ascii="Palatino Linotype" w:eastAsia="Palatino Linotype" w:hAnsi="Palatino Linotype" w:cs="Palatino Linotype"/>
          <w:i/>
          <w:sz w:val="22"/>
          <w:szCs w:val="22"/>
          <w:lang w:val="es-MX" w:eastAsia="es-MX"/>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46239D">
        <w:rPr>
          <w:rFonts w:ascii="Palatino Linotype" w:eastAsia="Calibri" w:hAnsi="Palatino Linotype" w:cs="Arial"/>
          <w:sz w:val="22"/>
          <w:szCs w:val="22"/>
        </w:rPr>
        <w:lastRenderedPageBreak/>
        <w:t xml:space="preserve">Por otra parte, del contenido del artículo 1 de la Constitución Política de los Estados Unidos </w:t>
      </w:r>
      <w:r w:rsidRPr="0046239D">
        <w:rPr>
          <w:rFonts w:ascii="Palatino Linotype" w:eastAsia="Palatino Linotype" w:hAnsi="Palatino Linotype" w:cs="Palatino Linotype"/>
          <w:color w:val="000000"/>
          <w:sz w:val="22"/>
          <w:szCs w:val="22"/>
        </w:rPr>
        <w:t>mexicanos</w:t>
      </w:r>
      <w:r w:rsidRPr="0046239D">
        <w:rPr>
          <w:rFonts w:ascii="Palatino Linotype" w:eastAsia="Calibri" w:hAnsi="Palatino Linotype" w:cs="Arial"/>
          <w:sz w:val="22"/>
          <w:szCs w:val="22"/>
        </w:rPr>
        <w:t>, se destaca lo siguiente:</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w:t>
      </w:r>
      <w:r w:rsidRPr="0046239D">
        <w:rPr>
          <w:rFonts w:ascii="Palatino Linotype" w:eastAsia="Palatino Linotype" w:hAnsi="Palatino Linotype" w:cs="Palatino Linotype"/>
          <w:b/>
          <w:i/>
          <w:sz w:val="22"/>
          <w:szCs w:val="22"/>
          <w:lang w:val="es-MX" w:eastAsia="es-MX"/>
        </w:rPr>
        <w:t>Artículo 1</w:t>
      </w:r>
      <w:r w:rsidRPr="0046239D">
        <w:rPr>
          <w:rFonts w:ascii="Palatino Linotype" w:eastAsia="Palatino Linotype" w:hAnsi="Palatino Linotype" w:cs="Palatino Linotype"/>
          <w:i/>
          <w:sz w:val="22"/>
          <w:szCs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Las normas relativas a los derechos humanos se interpretarán de conformidad con esta Constitución y con los tratados internacionales de la materia favoreciendo en todo tiempo a las personas la protección más amplia.</w:t>
      </w:r>
    </w:p>
    <w:p w:rsidR="00E841B8" w:rsidRPr="0046239D" w:rsidRDefault="00E841B8" w:rsidP="00E841B8">
      <w:pPr>
        <w:ind w:left="1134" w:right="900"/>
        <w:jc w:val="both"/>
        <w:rPr>
          <w:rFonts w:ascii="Palatino Linotype" w:eastAsia="Palatino Linotype" w:hAnsi="Palatino Linotype" w:cs="Palatino Linotype"/>
          <w:i/>
          <w:sz w:val="22"/>
          <w:szCs w:val="22"/>
          <w:lang w:val="es-MX" w:eastAsia="es-MX"/>
        </w:rPr>
      </w:pPr>
      <w:r w:rsidRPr="0046239D">
        <w:rPr>
          <w:rFonts w:ascii="Palatino Linotype" w:eastAsia="Palatino Linotype" w:hAnsi="Palatino Linotype" w:cs="Palatino Linotype"/>
          <w:i/>
          <w:sz w:val="22"/>
          <w:szCs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E841B8" w:rsidRPr="0046239D" w:rsidRDefault="00E841B8" w:rsidP="00E841B8">
      <w:pPr>
        <w:spacing w:line="360" w:lineRule="auto"/>
        <w:ind w:left="426" w:right="474"/>
        <w:jc w:val="both"/>
        <w:rPr>
          <w:rFonts w:ascii="Palatino Linotype" w:eastAsia="Palatino Linotype" w:hAnsi="Palatino Linotype" w:cs="Palatino Linotype"/>
          <w:i/>
          <w:sz w:val="22"/>
          <w:szCs w:val="22"/>
          <w:lang w:val="es-MX" w:eastAsia="es-MX"/>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46239D">
        <w:rPr>
          <w:rFonts w:ascii="Palatino Linotype" w:eastAsia="Calibri" w:hAnsi="Palatino Linotype" w:cs="Arial"/>
          <w:sz w:val="22"/>
          <w:szCs w:val="22"/>
        </w:rPr>
        <w:t xml:space="preserve">Esto es, que el derecho humano de acceso a la información pública, se aprecia que toda persona, </w:t>
      </w:r>
      <w:r w:rsidRPr="0046239D">
        <w:rPr>
          <w:rFonts w:ascii="Palatino Linotype" w:eastAsia="Palatino Linotype" w:hAnsi="Palatino Linotype" w:cs="Palatino Linotype"/>
          <w:color w:val="000000"/>
          <w:sz w:val="22"/>
          <w:szCs w:val="22"/>
        </w:rPr>
        <w:t>sin</w:t>
      </w:r>
      <w:r w:rsidRPr="0046239D">
        <w:rPr>
          <w:rFonts w:ascii="Palatino Linotype" w:eastAsia="Calibri" w:hAnsi="Palatino Linotype" w:cs="Arial"/>
          <w:sz w:val="22"/>
          <w:szCs w:val="22"/>
        </w:rPr>
        <w:t xml:space="preserve"> necesidad de acreditar interés alguno o justificar su interposición, deberá tener acceso a la información pública, es decir, dicho</w:t>
      </w:r>
      <w:r w:rsidRPr="0046239D">
        <w:rPr>
          <w:rFonts w:ascii="Palatino Linotype" w:eastAsia="Palatino Linotype" w:hAnsi="Palatino Linotype" w:cs="Palatino Linotype"/>
          <w:sz w:val="22"/>
          <w:szCs w:val="22"/>
          <w:lang w:val="es-ES" w:eastAsia="en-US"/>
        </w:rPr>
        <w:t xml:space="preserve"> </w:t>
      </w:r>
      <w:r w:rsidRPr="0046239D">
        <w:rPr>
          <w:rFonts w:ascii="Palatino Linotype" w:eastAsia="Palatino Linotype" w:hAnsi="Palatino Linotype" w:cs="Palatino Linotype"/>
          <w:i/>
          <w:sz w:val="22"/>
          <w:szCs w:val="22"/>
          <w:lang w:val="es-ES" w:eastAsia="en-US"/>
        </w:rPr>
        <w:t>derecho fundamental exime a quien lo ejerce</w:t>
      </w:r>
      <w:r w:rsidRPr="0046239D">
        <w:rPr>
          <w:rFonts w:ascii="Palatino Linotype" w:eastAsia="Palatino Linotype" w:hAnsi="Palatino Linotype" w:cs="Palatino Linotype"/>
          <w:sz w:val="22"/>
          <w:szCs w:val="22"/>
          <w:lang w:val="es-ES" w:eastAsia="en-US"/>
        </w:rPr>
        <w:t xml:space="preserve">, </w:t>
      </w:r>
      <w:r w:rsidRPr="0046239D">
        <w:rPr>
          <w:rFonts w:ascii="Palatino Linotype" w:eastAsia="Calibri" w:hAnsi="Palatino Linotype" w:cs="Arial"/>
          <w:sz w:val="22"/>
          <w:szCs w:val="22"/>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841B8" w:rsidRPr="0046239D" w:rsidRDefault="00E841B8" w:rsidP="00E841B8">
      <w:pPr>
        <w:spacing w:line="360" w:lineRule="auto"/>
        <w:jc w:val="both"/>
        <w:rPr>
          <w:rFonts w:ascii="Palatino Linotype" w:eastAsia="Calibri" w:hAnsi="Palatino Linotype" w:cs="Arial"/>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46239D">
        <w:rPr>
          <w:rFonts w:ascii="Palatino Linotype" w:eastAsia="Calibri" w:hAnsi="Palatino Linotype" w:cs="Arial"/>
          <w:sz w:val="22"/>
          <w:szCs w:val="22"/>
        </w:rPr>
        <w:t xml:space="preserve">En consecuencia, dado lo expuesto y fundado con anterioridad, se estima que el requisito relativo al nombre del </w:t>
      </w:r>
      <w:r w:rsidRPr="0046239D">
        <w:rPr>
          <w:rFonts w:ascii="Palatino Linotype" w:eastAsia="Calibri" w:hAnsi="Palatino Linotype" w:cs="Arial"/>
          <w:b/>
          <w:sz w:val="22"/>
          <w:szCs w:val="22"/>
        </w:rPr>
        <w:t>RECURRENTE</w:t>
      </w:r>
      <w:r w:rsidRPr="0046239D">
        <w:rPr>
          <w:rFonts w:ascii="Palatino Linotype" w:eastAsia="Calibri" w:hAnsi="Palatino Linotype" w:cs="Arial"/>
          <w:sz w:val="22"/>
          <w:szCs w:val="22"/>
        </w:rPr>
        <w:t xml:space="preserve"> no constituye un presupuesto indispensable de procedencia del Recurso de Revisión, en términos de los artículos 25 de la </w:t>
      </w:r>
      <w:r w:rsidRPr="0046239D">
        <w:rPr>
          <w:rFonts w:ascii="Palatino Linotype" w:eastAsia="Palatino Linotype" w:hAnsi="Palatino Linotype" w:cs="Palatino Linotype"/>
          <w:color w:val="000000"/>
          <w:sz w:val="22"/>
          <w:szCs w:val="22"/>
        </w:rPr>
        <w:t>Convención</w:t>
      </w:r>
      <w:r w:rsidRPr="0046239D">
        <w:rPr>
          <w:rFonts w:ascii="Palatino Linotype" w:eastAsia="Calibri" w:hAnsi="Palatino Linotype" w:cs="Arial"/>
          <w:sz w:val="22"/>
          <w:szCs w:val="22"/>
        </w:rPr>
        <w:t xml:space="preserve"> Americana de Derechos Humanos, 1, párrafos segundo y tercero, 6 apartado A fracción III de la Constitución Política de los Estados Unidos Mexicanos y 5 párrafo </w:t>
      </w:r>
      <w:r w:rsidRPr="0046239D">
        <w:rPr>
          <w:rFonts w:ascii="Palatino Linotype" w:eastAsia="Calibri" w:hAnsi="Palatino Linotype" w:cs="Arial"/>
          <w:sz w:val="22"/>
          <w:szCs w:val="22"/>
        </w:rPr>
        <w:lastRenderedPageBreak/>
        <w:t>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E841B8" w:rsidRPr="0046239D" w:rsidRDefault="00E841B8" w:rsidP="00E841B8">
      <w:pPr>
        <w:pStyle w:val="Prrafodelista"/>
        <w:rPr>
          <w:rFonts w:ascii="Palatino Linotype" w:eastAsia="Palatino Linotype" w:hAnsi="Palatino Linotype" w:cs="Palatino Linotype"/>
          <w:sz w:val="22"/>
          <w:szCs w:val="22"/>
        </w:rPr>
      </w:pPr>
    </w:p>
    <w:p w:rsidR="00E841B8" w:rsidRPr="0046239D" w:rsidRDefault="00E841B8" w:rsidP="00E841B8">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sidRPr="0046239D">
        <w:rPr>
          <w:rFonts w:ascii="Palatino Linotype" w:eastAsia="Palatino Linotype" w:hAnsi="Palatino Linotype" w:cs="Palatino Linotype"/>
          <w:sz w:val="22"/>
          <w:szCs w:val="22"/>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841B8" w:rsidRPr="0046239D" w:rsidRDefault="00E841B8" w:rsidP="00E841B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E841B8" w:rsidRPr="0046239D" w:rsidRDefault="00E841B8" w:rsidP="00E841B8">
      <w:pPr>
        <w:keepNext/>
        <w:keepLines/>
        <w:spacing w:line="360" w:lineRule="auto"/>
        <w:rPr>
          <w:rFonts w:ascii="Palatino Linotype" w:eastAsia="Palatino Linotype" w:hAnsi="Palatino Linotype" w:cs="Palatino Linotype"/>
          <w:b/>
          <w:color w:val="000000"/>
          <w:sz w:val="22"/>
          <w:szCs w:val="22"/>
        </w:rPr>
      </w:pPr>
      <w:r w:rsidRPr="0046239D">
        <w:rPr>
          <w:rFonts w:ascii="Palatino Linotype" w:eastAsia="Palatino Linotype" w:hAnsi="Palatino Linotype" w:cs="Palatino Linotype"/>
          <w:b/>
          <w:color w:val="000000"/>
          <w:sz w:val="22"/>
          <w:szCs w:val="22"/>
        </w:rPr>
        <w:t>TERCERO. De las causales de sobreseimiento.</w:t>
      </w:r>
    </w:p>
    <w:p w:rsidR="00E841B8" w:rsidRPr="0046239D" w:rsidRDefault="00E841B8" w:rsidP="00E841B8">
      <w:pPr>
        <w:keepNext/>
        <w:keepLines/>
        <w:spacing w:line="360" w:lineRule="auto"/>
        <w:rPr>
          <w:rFonts w:ascii="Palatino Linotype" w:eastAsia="Palatino Linotype" w:hAnsi="Palatino Linotype" w:cs="Palatino Linotype"/>
          <w:b/>
          <w:color w:val="000000"/>
          <w:sz w:val="22"/>
          <w:szCs w:val="22"/>
        </w:rPr>
      </w:pPr>
    </w:p>
    <w:p w:rsidR="00E841B8" w:rsidRPr="0046239D" w:rsidRDefault="00E841B8" w:rsidP="00E841B8">
      <w:pPr>
        <w:numPr>
          <w:ilvl w:val="0"/>
          <w:numId w:val="1"/>
        </w:numPr>
        <w:spacing w:line="360" w:lineRule="auto"/>
        <w:ind w:left="0" w:firstLine="0"/>
        <w:jc w:val="both"/>
        <w:rPr>
          <w:rFonts w:ascii="Palatino Linotype" w:hAnsi="Palatino Linotype"/>
          <w:sz w:val="22"/>
          <w:szCs w:val="22"/>
        </w:rPr>
      </w:pPr>
      <w:r w:rsidRPr="0046239D">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rsidR="00E841B8" w:rsidRPr="0046239D" w:rsidRDefault="00E841B8" w:rsidP="00E841B8">
      <w:pPr>
        <w:spacing w:line="360" w:lineRule="auto"/>
        <w:jc w:val="both"/>
        <w:rPr>
          <w:rFonts w:ascii="Palatino Linotype" w:hAnsi="Palatino Linotype"/>
          <w:sz w:val="22"/>
          <w:szCs w:val="22"/>
        </w:rPr>
      </w:pP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b/>
          <w:i/>
          <w:sz w:val="22"/>
          <w:szCs w:val="22"/>
        </w:rPr>
        <w:lastRenderedPageBreak/>
        <w:t xml:space="preserve">“Artículo 179. </w:t>
      </w:r>
      <w:r w:rsidRPr="0046239D">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I. La negativa a la información solicitada;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II. La clasificación de la información;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III. La declaración de inexistencia de la información;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IV. La declaración de incompetencia por el sujeto obligado;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V. La entrega de información incompleta;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VI. La entrega de información que no corresponda con lo solicitado;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VII. La falta de respuesta a una solicitud de acceso a la información;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X. Los costos o tiempos de entrega de la información;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XI. La falta de trámite a una solicitud;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XII. La negativa a permitir la consulta directa de la información;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 xml:space="preserve">XIII. La falta, deficiencia o insuficiencia de la fundamentación y/o motivación en la respuesta; y </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XIV. La orientación a un trámite específico.</w:t>
      </w:r>
    </w:p>
    <w:p w:rsidR="00E841B8" w:rsidRPr="0046239D" w:rsidRDefault="00E841B8" w:rsidP="00E841B8">
      <w:pPr>
        <w:ind w:left="1134" w:right="900"/>
        <w:jc w:val="both"/>
        <w:rPr>
          <w:rFonts w:ascii="Palatino Linotype" w:eastAsia="Palatino Linotype" w:hAnsi="Palatino Linotype" w:cs="Palatino Linotype"/>
          <w:i/>
          <w:sz w:val="22"/>
          <w:szCs w:val="22"/>
        </w:rPr>
      </w:pPr>
      <w:r w:rsidRPr="0046239D">
        <w:rPr>
          <w:rFonts w:ascii="Palatino Linotype" w:eastAsia="Palatino Linotype" w:hAnsi="Palatino Linotype" w:cs="Palatino Linotype"/>
          <w:i/>
          <w:sz w:val="22"/>
          <w:szCs w:val="22"/>
        </w:rPr>
        <w:t>...”</w:t>
      </w:r>
    </w:p>
    <w:p w:rsidR="00E841B8" w:rsidRPr="0046239D" w:rsidRDefault="00E841B8" w:rsidP="00E841B8">
      <w:pPr>
        <w:ind w:left="1134" w:right="900"/>
        <w:jc w:val="both"/>
        <w:rPr>
          <w:rFonts w:ascii="Palatino Linotype" w:eastAsia="Palatino Linotype" w:hAnsi="Palatino Linotype" w:cs="Palatino Linotype"/>
          <w:i/>
          <w:sz w:val="22"/>
          <w:szCs w:val="22"/>
        </w:rPr>
      </w:pPr>
    </w:p>
    <w:p w:rsidR="00E841B8" w:rsidRPr="0046239D" w:rsidRDefault="00E841B8" w:rsidP="00E841B8">
      <w:pPr>
        <w:numPr>
          <w:ilvl w:val="0"/>
          <w:numId w:val="1"/>
        </w:numPr>
        <w:spacing w:line="360" w:lineRule="auto"/>
        <w:ind w:left="0" w:firstLine="0"/>
        <w:jc w:val="both"/>
        <w:rPr>
          <w:rFonts w:ascii="Palatino Linotype" w:hAnsi="Palatino Linotype"/>
          <w:sz w:val="22"/>
          <w:szCs w:val="22"/>
        </w:rPr>
      </w:pPr>
      <w:r w:rsidRPr="0046239D">
        <w:rPr>
          <w:rFonts w:ascii="Palatino Linotype" w:eastAsia="Palatino Linotype" w:hAnsi="Palatino Linotype" w:cs="Palatino Linotype"/>
          <w:sz w:val="22"/>
          <w:szCs w:val="22"/>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rsidR="00E841B8" w:rsidRPr="0046239D" w:rsidRDefault="00E841B8" w:rsidP="00E841B8">
      <w:pPr>
        <w:tabs>
          <w:tab w:val="left" w:pos="4962"/>
        </w:tabs>
        <w:spacing w:line="360" w:lineRule="auto"/>
        <w:jc w:val="both"/>
        <w:rPr>
          <w:rFonts w:ascii="Palatino Linotype" w:eastAsia="Palatino Linotype" w:hAnsi="Palatino Linotype" w:cs="Palatino Linotype"/>
          <w:sz w:val="22"/>
          <w:szCs w:val="22"/>
        </w:rPr>
      </w:pPr>
    </w:p>
    <w:p w:rsidR="00E841B8" w:rsidRPr="0046239D" w:rsidRDefault="00E841B8" w:rsidP="00E841B8">
      <w:pPr>
        <w:numPr>
          <w:ilvl w:val="0"/>
          <w:numId w:val="1"/>
        </w:numPr>
        <w:spacing w:line="360" w:lineRule="auto"/>
        <w:ind w:left="0" w:firstLine="0"/>
        <w:jc w:val="both"/>
        <w:rPr>
          <w:rFonts w:ascii="Palatino Linotype" w:hAnsi="Palatino Linotype"/>
          <w:sz w:val="22"/>
          <w:szCs w:val="22"/>
        </w:rPr>
      </w:pPr>
      <w:r w:rsidRPr="0046239D">
        <w:rPr>
          <w:rFonts w:ascii="Palatino Linotype" w:eastAsia="Palatino Linotype" w:hAnsi="Palatino Linotype" w:cs="Palatino Linotype"/>
          <w:sz w:val="22"/>
          <w:szCs w:val="22"/>
        </w:rPr>
        <w:t>Además, conforme al Diccionario de Transparencia y Acceso a la Información Pública y la página oficial de este Instituto (</w:t>
      </w:r>
      <w:hyperlink r:id="rId7" w:anchor="queEsRRdeIP">
        <w:r w:rsidRPr="0046239D">
          <w:rPr>
            <w:rFonts w:ascii="Palatino Linotype" w:eastAsia="Palatino Linotype" w:hAnsi="Palatino Linotype" w:cs="Palatino Linotype"/>
            <w:sz w:val="22"/>
            <w:szCs w:val="22"/>
          </w:rPr>
          <w:t>https://www.infoem.org.mx/es/content/informacion-publica#queEsRRdeIP</w:t>
        </w:r>
      </w:hyperlink>
      <w:r w:rsidRPr="0046239D">
        <w:rPr>
          <w:rFonts w:ascii="Palatino Linotype" w:eastAsia="Palatino Linotype" w:hAnsi="Palatino Linotype" w:cs="Palatino Linotype"/>
          <w:sz w:val="22"/>
          <w:szCs w:val="22"/>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rsidR="00E841B8" w:rsidRPr="0046239D" w:rsidRDefault="00E841B8" w:rsidP="00E841B8">
      <w:pPr>
        <w:spacing w:line="360" w:lineRule="auto"/>
        <w:jc w:val="both"/>
        <w:rPr>
          <w:rFonts w:ascii="Palatino Linotype" w:eastAsia="Palatino Linotype" w:hAnsi="Palatino Linotype" w:cs="Palatino Linotype"/>
          <w:sz w:val="22"/>
          <w:szCs w:val="22"/>
        </w:rPr>
      </w:pPr>
    </w:p>
    <w:p w:rsidR="00E841B8" w:rsidRPr="0046239D" w:rsidRDefault="00E841B8" w:rsidP="00E841B8">
      <w:pPr>
        <w:numPr>
          <w:ilvl w:val="0"/>
          <w:numId w:val="1"/>
        </w:numPr>
        <w:spacing w:line="360" w:lineRule="auto"/>
        <w:ind w:left="0" w:firstLine="0"/>
        <w:jc w:val="both"/>
        <w:rPr>
          <w:rFonts w:ascii="Palatino Linotype" w:eastAsia="Palatino Linotype" w:hAnsi="Palatino Linotype" w:cs="Palatino Linotype"/>
          <w:b/>
          <w:sz w:val="22"/>
          <w:szCs w:val="22"/>
        </w:rPr>
      </w:pPr>
      <w:r w:rsidRPr="0046239D">
        <w:rPr>
          <w:rFonts w:ascii="Palatino Linotype" w:eastAsia="Palatino Linotype" w:hAnsi="Palatino Linotype" w:cs="Palatino Linotype"/>
          <w:sz w:val="22"/>
          <w:szCs w:val="22"/>
        </w:rPr>
        <w:t xml:space="preserve">Así, se logra vislumbrar que el Recurso de Revisión es una garantía secundaría al Derecho de Acceso a la Información Pública, por lo que, es procedente cuando los Particulares se inconforman con la falta de respuesta o trámite, o bien, de alguna circunstancia </w:t>
      </w:r>
      <w:r w:rsidRPr="0046239D">
        <w:rPr>
          <w:rFonts w:ascii="Palatino Linotype" w:eastAsia="Palatino Linotype" w:hAnsi="Palatino Linotype" w:cs="Palatino Linotype"/>
          <w:b/>
          <w:i/>
          <w:sz w:val="22"/>
          <w:szCs w:val="22"/>
          <w:u w:val="single"/>
        </w:rPr>
        <w:t>de la contestación realizada por los Sujetos Obligados a una solicitud de información específica.</w:t>
      </w:r>
    </w:p>
    <w:p w:rsidR="00E841B8" w:rsidRPr="0046239D" w:rsidRDefault="00E841B8" w:rsidP="00E841B8">
      <w:pPr>
        <w:spacing w:line="360" w:lineRule="auto"/>
        <w:jc w:val="both"/>
        <w:rPr>
          <w:rFonts w:ascii="Palatino Linotype" w:eastAsia="Palatino Linotype" w:hAnsi="Palatino Linotype" w:cs="Palatino Linotype"/>
          <w:sz w:val="22"/>
          <w:szCs w:val="22"/>
        </w:rPr>
      </w:pPr>
    </w:p>
    <w:p w:rsidR="00E841B8" w:rsidRPr="0046239D" w:rsidRDefault="00E841B8" w:rsidP="00E841B8">
      <w:pPr>
        <w:numPr>
          <w:ilvl w:val="0"/>
          <w:numId w:val="1"/>
        </w:numPr>
        <w:spacing w:line="360" w:lineRule="auto"/>
        <w:ind w:left="0" w:firstLine="0"/>
        <w:jc w:val="both"/>
        <w:rPr>
          <w:rFonts w:ascii="Palatino Linotype" w:hAnsi="Palatino Linotype"/>
          <w:sz w:val="22"/>
          <w:szCs w:val="22"/>
        </w:rPr>
      </w:pPr>
      <w:r w:rsidRPr="0046239D">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rsidR="00E841B8" w:rsidRPr="0046239D" w:rsidRDefault="00E841B8" w:rsidP="00E841B8">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E841B8" w:rsidRPr="0046239D" w:rsidRDefault="00E841B8" w:rsidP="00E841B8">
      <w:pPr>
        <w:numPr>
          <w:ilvl w:val="0"/>
          <w:numId w:val="1"/>
        </w:numPr>
        <w:spacing w:line="360" w:lineRule="auto"/>
        <w:ind w:left="0" w:firstLine="0"/>
        <w:jc w:val="both"/>
        <w:rPr>
          <w:rFonts w:ascii="Palatino Linotype" w:hAnsi="Palatino Linotype"/>
          <w:sz w:val="22"/>
          <w:szCs w:val="22"/>
        </w:rPr>
      </w:pPr>
      <w:r w:rsidRPr="0046239D">
        <w:rPr>
          <w:rFonts w:ascii="Palatino Linotype" w:eastAsia="Palatino Linotype" w:hAnsi="Palatino Linotype" w:cs="Palatino Linotype"/>
          <w:sz w:val="22"/>
          <w:szCs w:val="22"/>
        </w:rPr>
        <w:t xml:space="preserve">En esa línea, se debe de analizar la información solicitada y las respuestas proporcionadas por el </w:t>
      </w:r>
      <w:r w:rsidRPr="0046239D">
        <w:rPr>
          <w:rFonts w:ascii="Palatino Linotype" w:eastAsia="Palatino Linotype" w:hAnsi="Palatino Linotype" w:cs="Palatino Linotype"/>
          <w:b/>
          <w:sz w:val="22"/>
          <w:szCs w:val="22"/>
        </w:rPr>
        <w:t xml:space="preserve">SUJETO OBLIGADO </w:t>
      </w:r>
      <w:r w:rsidRPr="0046239D">
        <w:rPr>
          <w:rFonts w:ascii="Palatino Linotype" w:eastAsia="Palatino Linotype" w:hAnsi="Palatino Linotype" w:cs="Palatino Linotype"/>
          <w:sz w:val="22"/>
          <w:szCs w:val="22"/>
        </w:rPr>
        <w:t xml:space="preserve">mediante el siguiente cuadro. </w:t>
      </w:r>
    </w:p>
    <w:p w:rsidR="000A2C52" w:rsidRPr="00F21E2B" w:rsidRDefault="000A2C52" w:rsidP="000A2C52">
      <w:pPr>
        <w:ind w:left="1134" w:right="900"/>
        <w:jc w:val="both"/>
        <w:rPr>
          <w:rFonts w:ascii="Palatino Linotype" w:hAnsi="Palatino Linotype"/>
          <w:i/>
          <w:color w:val="000000"/>
        </w:rPr>
      </w:pPr>
      <w:r w:rsidRPr="00F21E2B">
        <w:rPr>
          <w:rFonts w:ascii="Palatino Linotype" w:hAnsi="Palatino Linotype"/>
          <w:i/>
          <w:color w:val="000000"/>
        </w:rPr>
        <w:t xml:space="preserve">De todas las escuelas que se encuentran en el municipio desde kinder, primario, secundario, preparatorio y universidades, informe lo siguiente en relación a los predios que ocupan dichos inmuebles, especificando el nombre de la escuela, nivel y ubicación; únicamente de aquellos donde el ayuntamiento realizó la cesión de los terrenos: </w:t>
      </w:r>
    </w:p>
    <w:p w:rsidR="00E841B8" w:rsidRPr="0046239D" w:rsidRDefault="00E841B8" w:rsidP="00E841B8">
      <w:pPr>
        <w:spacing w:line="360" w:lineRule="auto"/>
        <w:jc w:val="both"/>
        <w:rPr>
          <w:rFonts w:ascii="Palatino Linotype" w:eastAsia="Palatino Linotype" w:hAnsi="Palatino Linotype" w:cs="Palatino Linotype"/>
          <w:i/>
          <w:sz w:val="22"/>
          <w:szCs w:val="22"/>
        </w:rPr>
      </w:pPr>
    </w:p>
    <w:tbl>
      <w:tblPr>
        <w:tblW w:w="8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2117"/>
        <w:gridCol w:w="2046"/>
        <w:gridCol w:w="2001"/>
      </w:tblGrid>
      <w:tr w:rsidR="00E841B8" w:rsidRPr="0046239D" w:rsidTr="00B064A2">
        <w:trPr>
          <w:jc w:val="center"/>
        </w:trPr>
        <w:tc>
          <w:tcPr>
            <w:tcW w:w="1944" w:type="dxa"/>
          </w:tcPr>
          <w:p w:rsidR="00E841B8" w:rsidRPr="0046239D" w:rsidRDefault="00E841B8" w:rsidP="00B064A2">
            <w:pPr>
              <w:pBdr>
                <w:top w:val="nil"/>
                <w:left w:val="nil"/>
                <w:bottom w:val="nil"/>
                <w:right w:val="nil"/>
                <w:between w:val="nil"/>
              </w:pBdr>
              <w:rPr>
                <w:rFonts w:ascii="Palatino Linotype" w:eastAsia="Palatino Linotype" w:hAnsi="Palatino Linotype" w:cs="Palatino Linotype"/>
                <w:b/>
                <w:i/>
                <w:color w:val="000000"/>
                <w:sz w:val="22"/>
                <w:szCs w:val="22"/>
              </w:rPr>
            </w:pPr>
            <w:r w:rsidRPr="0046239D">
              <w:rPr>
                <w:rFonts w:ascii="Palatino Linotype" w:eastAsia="Palatino Linotype" w:hAnsi="Palatino Linotype" w:cs="Palatino Linotype"/>
                <w:b/>
                <w:i/>
                <w:color w:val="000000"/>
                <w:sz w:val="22"/>
                <w:szCs w:val="22"/>
              </w:rPr>
              <w:t>Información Solicitada</w:t>
            </w:r>
          </w:p>
        </w:tc>
        <w:tc>
          <w:tcPr>
            <w:tcW w:w="2117" w:type="dxa"/>
          </w:tcPr>
          <w:p w:rsidR="00E841B8" w:rsidRPr="0046239D" w:rsidRDefault="00E841B8" w:rsidP="00B064A2">
            <w:pPr>
              <w:pBdr>
                <w:top w:val="nil"/>
                <w:left w:val="nil"/>
                <w:bottom w:val="nil"/>
                <w:right w:val="nil"/>
                <w:between w:val="nil"/>
              </w:pBdr>
              <w:rPr>
                <w:rFonts w:ascii="Palatino Linotype" w:eastAsia="Palatino Linotype" w:hAnsi="Palatino Linotype" w:cs="Palatino Linotype"/>
                <w:b/>
                <w:i/>
                <w:color w:val="000000"/>
                <w:sz w:val="22"/>
                <w:szCs w:val="22"/>
              </w:rPr>
            </w:pPr>
            <w:r w:rsidRPr="0046239D">
              <w:rPr>
                <w:rFonts w:ascii="Palatino Linotype" w:eastAsia="Palatino Linotype" w:hAnsi="Palatino Linotype" w:cs="Palatino Linotype"/>
                <w:b/>
                <w:i/>
                <w:color w:val="000000"/>
                <w:sz w:val="22"/>
                <w:szCs w:val="22"/>
              </w:rPr>
              <w:t xml:space="preserve">Respuesta Inicial </w:t>
            </w:r>
          </w:p>
        </w:tc>
        <w:tc>
          <w:tcPr>
            <w:tcW w:w="2046" w:type="dxa"/>
          </w:tcPr>
          <w:p w:rsidR="00E841B8" w:rsidRPr="0046239D" w:rsidRDefault="00E841B8" w:rsidP="00B064A2">
            <w:pPr>
              <w:pBdr>
                <w:top w:val="nil"/>
                <w:left w:val="nil"/>
                <w:bottom w:val="nil"/>
                <w:right w:val="nil"/>
                <w:between w:val="nil"/>
              </w:pBdr>
              <w:rPr>
                <w:rFonts w:ascii="Palatino Linotype" w:eastAsia="Palatino Linotype" w:hAnsi="Palatino Linotype" w:cs="Palatino Linotype"/>
                <w:b/>
                <w:i/>
                <w:color w:val="000000"/>
                <w:sz w:val="22"/>
                <w:szCs w:val="22"/>
              </w:rPr>
            </w:pPr>
            <w:r w:rsidRPr="0046239D">
              <w:rPr>
                <w:rFonts w:ascii="Palatino Linotype" w:eastAsia="Palatino Linotype" w:hAnsi="Palatino Linotype" w:cs="Palatino Linotype"/>
                <w:b/>
                <w:i/>
                <w:color w:val="000000"/>
                <w:sz w:val="22"/>
                <w:szCs w:val="22"/>
              </w:rPr>
              <w:t xml:space="preserve">Manifestaciones </w:t>
            </w:r>
          </w:p>
        </w:tc>
        <w:tc>
          <w:tcPr>
            <w:tcW w:w="2001" w:type="dxa"/>
          </w:tcPr>
          <w:p w:rsidR="00E841B8" w:rsidRPr="0046239D" w:rsidRDefault="00E841B8" w:rsidP="00B064A2">
            <w:pPr>
              <w:pBdr>
                <w:top w:val="nil"/>
                <w:left w:val="nil"/>
                <w:bottom w:val="nil"/>
                <w:right w:val="nil"/>
                <w:between w:val="nil"/>
              </w:pBdr>
              <w:rPr>
                <w:rFonts w:ascii="Palatino Linotype" w:eastAsia="Palatino Linotype" w:hAnsi="Palatino Linotype" w:cs="Palatino Linotype"/>
                <w:b/>
                <w:i/>
                <w:color w:val="000000"/>
                <w:sz w:val="22"/>
                <w:szCs w:val="22"/>
              </w:rPr>
            </w:pPr>
            <w:r w:rsidRPr="0046239D">
              <w:rPr>
                <w:rFonts w:ascii="Palatino Linotype" w:eastAsia="Palatino Linotype" w:hAnsi="Palatino Linotype" w:cs="Palatino Linotype"/>
                <w:b/>
                <w:i/>
                <w:color w:val="000000"/>
                <w:sz w:val="22"/>
                <w:szCs w:val="22"/>
              </w:rPr>
              <w:t xml:space="preserve">Colma </w:t>
            </w:r>
          </w:p>
        </w:tc>
      </w:tr>
      <w:tr w:rsidR="00E841B8" w:rsidRPr="0046239D" w:rsidTr="00B064A2">
        <w:trPr>
          <w:jc w:val="center"/>
        </w:trPr>
        <w:tc>
          <w:tcPr>
            <w:tcW w:w="1944" w:type="dxa"/>
          </w:tcPr>
          <w:p w:rsidR="000A2C52" w:rsidRPr="000A2C52" w:rsidRDefault="000A2C52" w:rsidP="000A2C52">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color w:val="000000"/>
                <w:sz w:val="22"/>
                <w:szCs w:val="22"/>
              </w:rPr>
            </w:pPr>
            <w:r w:rsidRPr="000A2C52">
              <w:rPr>
                <w:rFonts w:ascii="Palatino Linotype" w:eastAsia="Palatino Linotype" w:hAnsi="Palatino Linotype" w:cs="Palatino Linotype"/>
                <w:i/>
                <w:color w:val="000000"/>
                <w:sz w:val="22"/>
                <w:szCs w:val="22"/>
              </w:rPr>
              <w:t xml:space="preserve">Como les fue cedido el predio: contrato de compra venta, donación, cesión de derechos. </w:t>
            </w:r>
          </w:p>
          <w:p w:rsidR="000A2C52" w:rsidRPr="000A2C52" w:rsidRDefault="000A2C52" w:rsidP="000A2C52">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0A2C52">
              <w:rPr>
                <w:rFonts w:ascii="Palatino Linotype" w:eastAsia="Palatino Linotype" w:hAnsi="Palatino Linotype" w:cs="Palatino Linotype"/>
                <w:i/>
                <w:color w:val="000000"/>
                <w:sz w:val="22"/>
                <w:szCs w:val="22"/>
              </w:rPr>
              <w:t xml:space="preserve">2. Si dichos predios se encuentran incorporados a los bienes que forman parte del activo y de los libros contables del ayuntamiento. </w:t>
            </w:r>
          </w:p>
          <w:p w:rsidR="000A2C52" w:rsidRPr="000A2C52" w:rsidRDefault="000A2C52" w:rsidP="000A2C52">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0A2C52">
              <w:rPr>
                <w:rFonts w:ascii="Palatino Linotype" w:eastAsia="Palatino Linotype" w:hAnsi="Palatino Linotype" w:cs="Palatino Linotype"/>
                <w:i/>
                <w:color w:val="000000"/>
                <w:sz w:val="22"/>
                <w:szCs w:val="22"/>
              </w:rPr>
              <w:lastRenderedPageBreak/>
              <w:t xml:space="preserve">3. Estatus que guarda actualmente el predio en cuanto a su incorporación, afectación, uso destino en cuanto al alta de los bienes del ayuntamiento </w:t>
            </w:r>
          </w:p>
          <w:p w:rsidR="000A2C52" w:rsidRPr="000A2C52" w:rsidRDefault="000A2C52" w:rsidP="000A2C52">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0A2C52">
              <w:rPr>
                <w:rFonts w:ascii="Palatino Linotype" w:eastAsia="Palatino Linotype" w:hAnsi="Palatino Linotype" w:cs="Palatino Linotype"/>
                <w:i/>
                <w:color w:val="000000"/>
                <w:sz w:val="22"/>
                <w:szCs w:val="22"/>
              </w:rPr>
              <w:t xml:space="preserve">4. En su caso si ya fueron desafectados, desincorporados y el uso final respecto de la donación a las instituciones educativas </w:t>
            </w:r>
          </w:p>
          <w:p w:rsidR="000A2C52" w:rsidRPr="000A2C52" w:rsidRDefault="000A2C52" w:rsidP="000A2C52">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0A2C52">
              <w:rPr>
                <w:rFonts w:ascii="Palatino Linotype" w:eastAsia="Palatino Linotype" w:hAnsi="Palatino Linotype" w:cs="Palatino Linotype"/>
                <w:i/>
                <w:color w:val="000000"/>
                <w:sz w:val="22"/>
                <w:szCs w:val="22"/>
              </w:rPr>
              <w:t>5. En caso de que aún se encuentren en proceso de desincorporación mencione en qué etapa se encuentran.</w:t>
            </w:r>
          </w:p>
          <w:p w:rsidR="00E841B8" w:rsidRPr="0046239D" w:rsidRDefault="00E841B8" w:rsidP="00B064A2">
            <w:pPr>
              <w:pBdr>
                <w:top w:val="nil"/>
                <w:left w:val="nil"/>
                <w:bottom w:val="nil"/>
                <w:right w:val="nil"/>
                <w:between w:val="nil"/>
              </w:pBdr>
              <w:jc w:val="both"/>
              <w:rPr>
                <w:rFonts w:ascii="Palatino Linotype" w:eastAsia="Palatino Linotype" w:hAnsi="Palatino Linotype" w:cs="Palatino Linotype"/>
                <w:i/>
                <w:color w:val="000000"/>
                <w:sz w:val="22"/>
                <w:szCs w:val="22"/>
              </w:rPr>
            </w:pPr>
          </w:p>
        </w:tc>
        <w:tc>
          <w:tcPr>
            <w:tcW w:w="2117" w:type="dxa"/>
          </w:tcPr>
          <w:p w:rsidR="00F321C7" w:rsidRPr="00F321C7" w:rsidRDefault="00F321C7" w:rsidP="00F321C7">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F321C7">
              <w:rPr>
                <w:rFonts w:ascii="Palatino Linotype" w:eastAsia="Palatino Linotype" w:hAnsi="Palatino Linotype" w:cs="Palatino Linotype"/>
                <w:b/>
                <w:i/>
                <w:color w:val="000000"/>
                <w:sz w:val="22"/>
                <w:szCs w:val="22"/>
              </w:rPr>
              <w:lastRenderedPageBreak/>
              <w:t xml:space="preserve">Solicitud 019.pdf: </w:t>
            </w:r>
            <w:r w:rsidRPr="00F321C7">
              <w:rPr>
                <w:rFonts w:ascii="Palatino Linotype" w:eastAsia="Palatino Linotype" w:hAnsi="Palatino Linotype" w:cs="Palatino Linotype"/>
                <w:i/>
                <w:color w:val="000000"/>
                <w:sz w:val="22"/>
                <w:szCs w:val="22"/>
              </w:rPr>
              <w:t xml:space="preserve">   oficio del Síndico Municipal, mediante el cual informa lo siguiente por cada punto de la solicitud de información. </w:t>
            </w:r>
          </w:p>
          <w:p w:rsidR="00F321C7" w:rsidRPr="00F321C7" w:rsidRDefault="00F321C7" w:rsidP="00F321C7">
            <w:pPr>
              <w:numPr>
                <w:ilvl w:val="0"/>
                <w:numId w:val="4"/>
              </w:numPr>
              <w:pBdr>
                <w:top w:val="nil"/>
                <w:left w:val="nil"/>
                <w:bottom w:val="nil"/>
                <w:right w:val="nil"/>
                <w:between w:val="nil"/>
              </w:pBdr>
              <w:ind w:left="-72" w:firstLine="0"/>
              <w:jc w:val="both"/>
              <w:rPr>
                <w:rFonts w:ascii="Palatino Linotype" w:eastAsia="Palatino Linotype" w:hAnsi="Palatino Linotype" w:cs="Palatino Linotype"/>
                <w:i/>
                <w:color w:val="000000"/>
                <w:sz w:val="22"/>
                <w:szCs w:val="22"/>
              </w:rPr>
            </w:pPr>
            <w:r w:rsidRPr="00F321C7">
              <w:rPr>
                <w:rFonts w:ascii="Palatino Linotype" w:eastAsia="Palatino Linotype" w:hAnsi="Palatino Linotype" w:cs="Palatino Linotype"/>
                <w:i/>
                <w:color w:val="000000"/>
                <w:sz w:val="22"/>
                <w:szCs w:val="22"/>
              </w:rPr>
              <w:t xml:space="preserve">Como les fue cedido el predio: contrato de compra venta, donación, cesión de derechos. </w:t>
            </w:r>
            <w:r w:rsidRPr="00F321C7">
              <w:rPr>
                <w:rFonts w:ascii="Palatino Linotype" w:eastAsia="Palatino Linotype" w:hAnsi="Palatino Linotype" w:cs="Palatino Linotype"/>
                <w:b/>
                <w:i/>
                <w:color w:val="000000"/>
                <w:sz w:val="22"/>
                <w:szCs w:val="22"/>
              </w:rPr>
              <w:t xml:space="preserve">Donación </w:t>
            </w:r>
          </w:p>
          <w:p w:rsidR="00F321C7" w:rsidRPr="00F321C7" w:rsidRDefault="00F321C7" w:rsidP="00F321C7">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F321C7">
              <w:rPr>
                <w:rFonts w:ascii="Palatino Linotype" w:eastAsia="Palatino Linotype" w:hAnsi="Palatino Linotype" w:cs="Palatino Linotype"/>
                <w:i/>
                <w:color w:val="000000"/>
                <w:sz w:val="22"/>
                <w:szCs w:val="22"/>
              </w:rPr>
              <w:lastRenderedPageBreak/>
              <w:t xml:space="preserve">2. Si dichos predios se encuentran incorporados a los bienes que forman parte del activo y de los libros contables del ayuntamiento. </w:t>
            </w:r>
          </w:p>
          <w:p w:rsidR="00F321C7" w:rsidRPr="00F321C7" w:rsidRDefault="00F321C7" w:rsidP="00F321C7">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F321C7">
              <w:rPr>
                <w:rFonts w:ascii="Palatino Linotype" w:eastAsia="Palatino Linotype" w:hAnsi="Palatino Linotype" w:cs="Palatino Linotype"/>
                <w:b/>
                <w:i/>
                <w:color w:val="000000"/>
                <w:sz w:val="22"/>
                <w:szCs w:val="22"/>
              </w:rPr>
              <w:t xml:space="preserve">Si </w:t>
            </w:r>
          </w:p>
          <w:p w:rsidR="00F321C7" w:rsidRPr="00F321C7" w:rsidRDefault="00F321C7" w:rsidP="00F321C7">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F321C7">
              <w:rPr>
                <w:rFonts w:ascii="Palatino Linotype" w:eastAsia="Palatino Linotype" w:hAnsi="Palatino Linotype" w:cs="Palatino Linotype"/>
                <w:i/>
                <w:color w:val="000000"/>
                <w:sz w:val="22"/>
                <w:szCs w:val="22"/>
              </w:rPr>
              <w:t xml:space="preserve">3. Estatus que guarda actualmente el predio en cuanto a su incorporación, afectación, uso destino en cuanto al alta de los bienes del ayuntamiento </w:t>
            </w:r>
          </w:p>
          <w:p w:rsidR="00F321C7" w:rsidRPr="00F321C7" w:rsidRDefault="00F321C7" w:rsidP="00F321C7">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F321C7">
              <w:rPr>
                <w:rFonts w:ascii="Palatino Linotype" w:eastAsia="Palatino Linotype" w:hAnsi="Palatino Linotype" w:cs="Palatino Linotype"/>
                <w:b/>
                <w:i/>
                <w:color w:val="000000"/>
                <w:sz w:val="22"/>
                <w:szCs w:val="22"/>
              </w:rPr>
              <w:t>Activo</w:t>
            </w:r>
          </w:p>
          <w:p w:rsidR="00F321C7" w:rsidRPr="00F321C7" w:rsidRDefault="00F321C7" w:rsidP="00F321C7">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F321C7">
              <w:rPr>
                <w:rFonts w:ascii="Palatino Linotype" w:eastAsia="Palatino Linotype" w:hAnsi="Palatino Linotype" w:cs="Palatino Linotype"/>
                <w:i/>
                <w:color w:val="000000"/>
                <w:sz w:val="22"/>
                <w:szCs w:val="22"/>
              </w:rPr>
              <w:t xml:space="preserve">4. En su caso si ya fueron desafectados, desincorporados y el uso final respecto de la donación a las instituciones educativas </w:t>
            </w:r>
          </w:p>
          <w:p w:rsidR="00F321C7" w:rsidRPr="00F321C7" w:rsidRDefault="00F321C7" w:rsidP="00F321C7">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F321C7">
              <w:rPr>
                <w:rFonts w:ascii="Palatino Linotype" w:eastAsia="Palatino Linotype" w:hAnsi="Palatino Linotype" w:cs="Palatino Linotype"/>
                <w:b/>
                <w:i/>
                <w:color w:val="000000"/>
                <w:sz w:val="22"/>
                <w:szCs w:val="22"/>
              </w:rPr>
              <w:t>No es el caso</w:t>
            </w:r>
          </w:p>
          <w:p w:rsidR="00F321C7" w:rsidRPr="00F321C7" w:rsidRDefault="00F321C7" w:rsidP="00F321C7">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F321C7">
              <w:rPr>
                <w:rFonts w:ascii="Palatino Linotype" w:eastAsia="Palatino Linotype" w:hAnsi="Palatino Linotype" w:cs="Palatino Linotype"/>
                <w:i/>
                <w:color w:val="000000"/>
                <w:sz w:val="22"/>
                <w:szCs w:val="22"/>
              </w:rPr>
              <w:t>5. En caso de que aún se encuentren en proceso de desincorporación mencione en qué etapa se encuentran.</w:t>
            </w:r>
          </w:p>
          <w:p w:rsidR="00F321C7" w:rsidRPr="00F321C7" w:rsidRDefault="00F321C7" w:rsidP="00F321C7">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F321C7">
              <w:rPr>
                <w:rFonts w:ascii="Palatino Linotype" w:eastAsia="Palatino Linotype" w:hAnsi="Palatino Linotype" w:cs="Palatino Linotype"/>
                <w:b/>
                <w:i/>
                <w:color w:val="000000"/>
                <w:sz w:val="22"/>
                <w:szCs w:val="22"/>
              </w:rPr>
              <w:t>No aplica</w:t>
            </w:r>
          </w:p>
          <w:p w:rsidR="00E841B8" w:rsidRPr="0046239D" w:rsidRDefault="00E841B8" w:rsidP="000A2C52">
            <w:pPr>
              <w:pBdr>
                <w:top w:val="nil"/>
                <w:left w:val="nil"/>
                <w:bottom w:val="nil"/>
                <w:right w:val="nil"/>
                <w:between w:val="nil"/>
              </w:pBdr>
              <w:jc w:val="both"/>
              <w:rPr>
                <w:rFonts w:ascii="Palatino Linotype" w:eastAsia="Palatino Linotype" w:hAnsi="Palatino Linotype" w:cs="Palatino Linotype"/>
                <w:i/>
                <w:color w:val="000000"/>
                <w:sz w:val="22"/>
                <w:szCs w:val="22"/>
              </w:rPr>
            </w:pPr>
          </w:p>
        </w:tc>
        <w:tc>
          <w:tcPr>
            <w:tcW w:w="2046" w:type="dxa"/>
          </w:tcPr>
          <w:p w:rsidR="00F321C7" w:rsidRPr="00F321C7" w:rsidRDefault="00F321C7" w:rsidP="00F321C7">
            <w:pPr>
              <w:pBdr>
                <w:left w:val="nil"/>
                <w:bottom w:val="nil"/>
                <w:right w:val="nil"/>
                <w:between w:val="nil"/>
              </w:pBdr>
              <w:jc w:val="both"/>
              <w:rPr>
                <w:rFonts w:ascii="Palatino Linotype" w:eastAsia="Palatino Linotype" w:hAnsi="Palatino Linotype" w:cs="Palatino Linotype"/>
                <w:i/>
                <w:color w:val="000000"/>
                <w:sz w:val="22"/>
                <w:szCs w:val="22"/>
              </w:rPr>
            </w:pPr>
            <w:r w:rsidRPr="00F321C7">
              <w:rPr>
                <w:rFonts w:ascii="Palatino Linotype" w:eastAsia="Palatino Linotype" w:hAnsi="Palatino Linotype" w:cs="Palatino Linotype"/>
                <w:b/>
                <w:i/>
                <w:color w:val="000000"/>
                <w:sz w:val="22"/>
                <w:szCs w:val="22"/>
              </w:rPr>
              <w:lastRenderedPageBreak/>
              <w:t xml:space="preserve">solicitud 19 (1).pdf: </w:t>
            </w:r>
            <w:r w:rsidRPr="00F321C7">
              <w:rPr>
                <w:rFonts w:ascii="Palatino Linotype" w:eastAsia="Palatino Linotype" w:hAnsi="Palatino Linotype" w:cs="Palatino Linotype"/>
                <w:i/>
                <w:color w:val="000000"/>
                <w:sz w:val="22"/>
                <w:szCs w:val="22"/>
              </w:rPr>
              <w:t>oficio del Síndico Municipal mediante el cual informa que lo único que hizo falt</w:t>
            </w:r>
            <w:r>
              <w:rPr>
                <w:rFonts w:ascii="Palatino Linotype" w:eastAsia="Palatino Linotype" w:hAnsi="Palatino Linotype" w:cs="Palatino Linotype"/>
                <w:i/>
                <w:color w:val="000000"/>
                <w:sz w:val="22"/>
                <w:szCs w:val="22"/>
              </w:rPr>
              <w:t xml:space="preserve">a mencionar fue el nombre de la </w:t>
            </w:r>
            <w:r w:rsidRPr="00F321C7">
              <w:rPr>
                <w:rFonts w:ascii="Palatino Linotype" w:eastAsia="Palatino Linotype" w:hAnsi="Palatino Linotype" w:cs="Palatino Linotype"/>
                <w:i/>
                <w:color w:val="000000"/>
                <w:sz w:val="22"/>
                <w:szCs w:val="22"/>
              </w:rPr>
              <w:t xml:space="preserve">escuela su nivel y ubicación que es el Centro de Atención Múltiple “JEAN PIAGET” el cual es un centro </w:t>
            </w:r>
            <w:r w:rsidRPr="00F321C7">
              <w:rPr>
                <w:rFonts w:ascii="Palatino Linotype" w:eastAsia="Palatino Linotype" w:hAnsi="Palatino Linotype" w:cs="Palatino Linotype"/>
                <w:i/>
                <w:color w:val="000000"/>
                <w:sz w:val="22"/>
                <w:szCs w:val="22"/>
              </w:rPr>
              <w:lastRenderedPageBreak/>
              <w:t xml:space="preserve">educación especial ubicado en la calle Coxto, Barrio de San Agustín Xalatlaco, Estado de México. </w:t>
            </w:r>
          </w:p>
          <w:p w:rsidR="00F321C7" w:rsidRPr="00F321C7" w:rsidRDefault="00F321C7" w:rsidP="00F321C7">
            <w:pPr>
              <w:pBdr>
                <w:left w:val="nil"/>
                <w:bottom w:val="nil"/>
                <w:right w:val="nil"/>
                <w:between w:val="nil"/>
              </w:pBdr>
              <w:jc w:val="both"/>
              <w:rPr>
                <w:rFonts w:ascii="Palatino Linotype" w:eastAsia="Palatino Linotype" w:hAnsi="Palatino Linotype" w:cs="Palatino Linotype"/>
                <w:i/>
                <w:color w:val="000000"/>
                <w:sz w:val="22"/>
                <w:szCs w:val="22"/>
              </w:rPr>
            </w:pPr>
          </w:p>
          <w:p w:rsidR="00E841B8" w:rsidRPr="0046239D" w:rsidRDefault="00E841B8" w:rsidP="000A2C52">
            <w:pPr>
              <w:pBdr>
                <w:left w:val="nil"/>
                <w:bottom w:val="nil"/>
                <w:right w:val="nil"/>
                <w:between w:val="nil"/>
              </w:pBdr>
              <w:jc w:val="both"/>
              <w:rPr>
                <w:rFonts w:ascii="Palatino Linotype" w:eastAsia="Palatino Linotype" w:hAnsi="Palatino Linotype" w:cs="Palatino Linotype"/>
                <w:i/>
                <w:color w:val="000000"/>
                <w:sz w:val="22"/>
                <w:szCs w:val="22"/>
              </w:rPr>
            </w:pPr>
          </w:p>
        </w:tc>
        <w:tc>
          <w:tcPr>
            <w:tcW w:w="2001" w:type="dxa"/>
          </w:tcPr>
          <w:p w:rsidR="00E841B8" w:rsidRPr="0046239D" w:rsidRDefault="00F321C7" w:rsidP="000A2C52">
            <w:pPr>
              <w:pBdr>
                <w:left w:val="nil"/>
                <w:bottom w:val="nil"/>
                <w:right w:val="nil"/>
                <w:between w:val="nil"/>
              </w:pBdr>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Colma toda vez que el Ayuntamiento de Xalatlaco, colma lo solicitado, toda vez que se entrega el domicilio de la escuela, así mismo se informa que es un centro de atención múltiple de educación especial</w:t>
            </w:r>
          </w:p>
        </w:tc>
      </w:tr>
    </w:tbl>
    <w:p w:rsidR="00E841B8" w:rsidRPr="0046239D" w:rsidRDefault="00E841B8" w:rsidP="00E841B8">
      <w:pPr>
        <w:spacing w:line="360" w:lineRule="auto"/>
        <w:jc w:val="both"/>
        <w:rPr>
          <w:rFonts w:ascii="Palatino Linotype" w:eastAsia="MS Mincho" w:hAnsi="Palatino Linotype" w:cs="Arial"/>
          <w:sz w:val="22"/>
          <w:szCs w:val="22"/>
        </w:rPr>
      </w:pPr>
    </w:p>
    <w:p w:rsidR="00E841B8" w:rsidRDefault="00E841B8" w:rsidP="00E841B8">
      <w:pPr>
        <w:numPr>
          <w:ilvl w:val="0"/>
          <w:numId w:val="1"/>
        </w:numPr>
        <w:spacing w:line="360" w:lineRule="auto"/>
        <w:ind w:left="0" w:firstLine="0"/>
        <w:jc w:val="both"/>
        <w:rPr>
          <w:rFonts w:ascii="Palatino Linotype" w:eastAsia="MS Mincho" w:hAnsi="Palatino Linotype" w:cs="Arial"/>
          <w:sz w:val="22"/>
          <w:szCs w:val="22"/>
        </w:rPr>
      </w:pPr>
      <w:r>
        <w:rPr>
          <w:rFonts w:ascii="Palatino Linotype" w:eastAsia="MS Mincho" w:hAnsi="Palatino Linotype" w:cs="Arial"/>
          <w:sz w:val="22"/>
          <w:szCs w:val="22"/>
        </w:rPr>
        <w:t xml:space="preserve">En esa línea, se tiene que el </w:t>
      </w:r>
      <w:r>
        <w:rPr>
          <w:rFonts w:ascii="Palatino Linotype" w:eastAsia="MS Mincho" w:hAnsi="Palatino Linotype" w:cs="Arial"/>
          <w:b/>
          <w:sz w:val="22"/>
          <w:szCs w:val="22"/>
        </w:rPr>
        <w:t xml:space="preserve">SUJETO OBLIGADO </w:t>
      </w:r>
      <w:r>
        <w:rPr>
          <w:rFonts w:ascii="Palatino Linotype" w:eastAsia="MS Mincho" w:hAnsi="Palatino Linotype" w:cs="Arial"/>
          <w:sz w:val="22"/>
          <w:szCs w:val="22"/>
        </w:rPr>
        <w:t xml:space="preserve">colmo el derecho de acceso a la información del </w:t>
      </w:r>
      <w:r>
        <w:rPr>
          <w:rFonts w:ascii="Palatino Linotype" w:eastAsia="MS Mincho" w:hAnsi="Palatino Linotype" w:cs="Arial"/>
          <w:b/>
          <w:sz w:val="22"/>
          <w:szCs w:val="22"/>
        </w:rPr>
        <w:t xml:space="preserve">RECURRENTE, </w:t>
      </w:r>
      <w:r>
        <w:rPr>
          <w:rFonts w:ascii="Palatino Linotype" w:eastAsia="MS Mincho" w:hAnsi="Palatino Linotype" w:cs="Arial"/>
          <w:sz w:val="22"/>
          <w:szCs w:val="22"/>
        </w:rPr>
        <w:t>toda  vez que en la etapa de manifestaciones</w:t>
      </w:r>
      <w:r w:rsidR="00191683">
        <w:rPr>
          <w:rFonts w:ascii="Palatino Linotype" w:eastAsia="MS Mincho" w:hAnsi="Palatino Linotype" w:cs="Arial"/>
          <w:sz w:val="22"/>
          <w:szCs w:val="22"/>
        </w:rPr>
        <w:t xml:space="preserve"> modifico su respuesta e informando acerca del terreno de la escuela que fue donada sobre los bienes </w:t>
      </w:r>
      <w:r w:rsidR="00191683">
        <w:rPr>
          <w:rFonts w:ascii="Palatino Linotype" w:eastAsia="MS Mincho" w:hAnsi="Palatino Linotype" w:cs="Arial"/>
          <w:sz w:val="22"/>
          <w:szCs w:val="22"/>
        </w:rPr>
        <w:lastRenderedPageBreak/>
        <w:t>inmuebles que tiene el Ayuntamiento</w:t>
      </w:r>
      <w:r>
        <w:rPr>
          <w:rFonts w:ascii="Palatino Linotype" w:eastAsia="MS Mincho" w:hAnsi="Palatino Linotype" w:cs="Arial"/>
          <w:sz w:val="22"/>
          <w:szCs w:val="22"/>
        </w:rPr>
        <w:t xml:space="preserve">, tal y como se observa en la siguiente captura de pantalla. </w:t>
      </w:r>
    </w:p>
    <w:p w:rsidR="00E841B8" w:rsidRDefault="00191683" w:rsidP="00E841B8">
      <w:pPr>
        <w:spacing w:line="360" w:lineRule="auto"/>
        <w:jc w:val="center"/>
        <w:rPr>
          <w:rFonts w:ascii="Palatino Linotype" w:eastAsia="MS Mincho" w:hAnsi="Palatino Linotype" w:cs="Arial"/>
          <w:sz w:val="22"/>
          <w:szCs w:val="22"/>
        </w:rPr>
      </w:pPr>
      <w:r w:rsidRPr="00191683">
        <w:rPr>
          <w:rFonts w:ascii="Palatino Linotype" w:eastAsia="MS Mincho" w:hAnsi="Palatino Linotype" w:cs="Arial"/>
          <w:noProof/>
          <w:sz w:val="22"/>
          <w:szCs w:val="22"/>
          <w:lang w:val="es-MX" w:eastAsia="es-MX"/>
        </w:rPr>
        <w:drawing>
          <wp:inline distT="0" distB="0" distL="0" distR="0" wp14:anchorId="0A462267" wp14:editId="571E3EF7">
            <wp:extent cx="5111086" cy="5670888"/>
            <wp:effectExtent l="152400" t="152400" r="356870" b="368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4448" cy="5674618"/>
                    </a:xfrm>
                    <a:prstGeom prst="rect">
                      <a:avLst/>
                    </a:prstGeom>
                    <a:ln>
                      <a:noFill/>
                    </a:ln>
                    <a:effectLst>
                      <a:outerShdw blurRad="292100" dist="139700" dir="2700000" algn="tl" rotWithShape="0">
                        <a:srgbClr val="333333">
                          <a:alpha val="65000"/>
                        </a:srgbClr>
                      </a:outerShdw>
                    </a:effectLst>
                  </pic:spPr>
                </pic:pic>
              </a:graphicData>
            </a:graphic>
          </wp:inline>
        </w:drawing>
      </w:r>
    </w:p>
    <w:p w:rsidR="00573DDF" w:rsidRPr="00E54063" w:rsidRDefault="00573DDF" w:rsidP="00E841B8">
      <w:pPr>
        <w:numPr>
          <w:ilvl w:val="0"/>
          <w:numId w:val="1"/>
        </w:numPr>
        <w:spacing w:line="360" w:lineRule="auto"/>
        <w:ind w:left="0" w:firstLine="0"/>
        <w:jc w:val="both"/>
        <w:rPr>
          <w:rFonts w:ascii="Palatino Linotype" w:eastAsia="MS Mincho" w:hAnsi="Palatino Linotype" w:cs="Arial"/>
          <w:sz w:val="22"/>
          <w:szCs w:val="22"/>
        </w:rPr>
      </w:pPr>
      <w:r w:rsidRPr="00E54063">
        <w:rPr>
          <w:rFonts w:ascii="Palatino Linotype" w:eastAsia="MS Mincho" w:hAnsi="Palatino Linotype" w:cs="Arial"/>
          <w:sz w:val="22"/>
          <w:szCs w:val="22"/>
        </w:rPr>
        <w:lastRenderedPageBreak/>
        <w:t xml:space="preserve">Seguidamente, se debe de precisar que el Centro de Atención </w:t>
      </w:r>
      <w:r w:rsidR="00B0505F" w:rsidRPr="00E54063">
        <w:rPr>
          <w:rFonts w:ascii="Palatino Linotype" w:eastAsia="MS Mincho" w:hAnsi="Palatino Linotype" w:cs="Arial"/>
          <w:sz w:val="22"/>
          <w:szCs w:val="22"/>
        </w:rPr>
        <w:t xml:space="preserve">Múltiple “Jean Piaget”, es una escuela de carácter público que forma a personas para una educación especial tal y como se muestra en la siguiente captura de pantalla. </w:t>
      </w:r>
    </w:p>
    <w:p w:rsidR="00B0505F" w:rsidRPr="00B0505F" w:rsidRDefault="00B0505F" w:rsidP="00B0505F">
      <w:pPr>
        <w:spacing w:line="360" w:lineRule="auto"/>
        <w:jc w:val="both"/>
        <w:rPr>
          <w:rFonts w:ascii="Palatino Linotype" w:eastAsia="MS Mincho" w:hAnsi="Palatino Linotype" w:cs="Arial"/>
          <w:sz w:val="22"/>
          <w:szCs w:val="22"/>
          <w:highlight w:val="yellow"/>
        </w:rPr>
      </w:pPr>
      <w:r w:rsidRPr="00B0505F">
        <w:rPr>
          <w:rFonts w:ascii="Palatino Linotype" w:eastAsia="MS Mincho" w:hAnsi="Palatino Linotype" w:cs="Arial"/>
          <w:noProof/>
          <w:sz w:val="22"/>
          <w:szCs w:val="22"/>
          <w:highlight w:val="yellow"/>
          <w:lang w:val="es-MX" w:eastAsia="es-MX"/>
        </w:rPr>
        <w:drawing>
          <wp:inline distT="0" distB="0" distL="0" distR="0" wp14:anchorId="040CF5FB" wp14:editId="6B179D54">
            <wp:extent cx="5612130" cy="1040765"/>
            <wp:effectExtent l="152400" t="152400" r="369570" b="3689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040765"/>
                    </a:xfrm>
                    <a:prstGeom prst="rect">
                      <a:avLst/>
                    </a:prstGeom>
                    <a:ln>
                      <a:noFill/>
                    </a:ln>
                    <a:effectLst>
                      <a:outerShdw blurRad="292100" dist="139700" dir="2700000" algn="tl" rotWithShape="0">
                        <a:srgbClr val="333333">
                          <a:alpha val="65000"/>
                        </a:srgbClr>
                      </a:outerShdw>
                    </a:effectLst>
                  </pic:spPr>
                </pic:pic>
              </a:graphicData>
            </a:graphic>
          </wp:inline>
        </w:drawing>
      </w:r>
    </w:p>
    <w:p w:rsidR="00B0505F" w:rsidRPr="00E54063" w:rsidRDefault="00B0505F" w:rsidP="00E841B8">
      <w:pPr>
        <w:numPr>
          <w:ilvl w:val="0"/>
          <w:numId w:val="1"/>
        </w:numPr>
        <w:spacing w:line="360" w:lineRule="auto"/>
        <w:ind w:left="0" w:firstLine="0"/>
        <w:jc w:val="both"/>
        <w:rPr>
          <w:rFonts w:ascii="Palatino Linotype" w:eastAsia="MS Mincho" w:hAnsi="Palatino Linotype" w:cs="Arial"/>
          <w:sz w:val="22"/>
          <w:szCs w:val="22"/>
        </w:rPr>
      </w:pPr>
      <w:r w:rsidRPr="00E54063">
        <w:rPr>
          <w:rFonts w:ascii="Palatino Linotype" w:eastAsia="MS Mincho" w:hAnsi="Palatino Linotype" w:cs="Arial"/>
          <w:sz w:val="22"/>
          <w:szCs w:val="22"/>
        </w:rPr>
        <w:t xml:space="preserve">De lo anterior, se estima que el Centro de Educación Especial referido en la etapa de manifestaciones, colma la pretensión del </w:t>
      </w:r>
      <w:r w:rsidRPr="00E54063">
        <w:rPr>
          <w:rFonts w:ascii="Palatino Linotype" w:eastAsia="MS Mincho" w:hAnsi="Palatino Linotype" w:cs="Arial"/>
          <w:b/>
          <w:sz w:val="22"/>
          <w:szCs w:val="22"/>
        </w:rPr>
        <w:t xml:space="preserve">RECURRENTE. </w:t>
      </w:r>
    </w:p>
    <w:p w:rsidR="00B0505F" w:rsidRDefault="00B0505F" w:rsidP="00B0505F">
      <w:pPr>
        <w:spacing w:line="360" w:lineRule="auto"/>
        <w:jc w:val="both"/>
        <w:rPr>
          <w:rFonts w:ascii="Palatino Linotype" w:eastAsia="MS Mincho" w:hAnsi="Palatino Linotype" w:cs="Arial"/>
          <w:sz w:val="22"/>
          <w:szCs w:val="22"/>
        </w:rPr>
      </w:pPr>
    </w:p>
    <w:p w:rsidR="00E841B8" w:rsidRDefault="00E841B8" w:rsidP="00E841B8">
      <w:pPr>
        <w:numPr>
          <w:ilvl w:val="0"/>
          <w:numId w:val="1"/>
        </w:numPr>
        <w:spacing w:line="360" w:lineRule="auto"/>
        <w:ind w:left="0" w:firstLine="0"/>
        <w:jc w:val="both"/>
        <w:rPr>
          <w:rFonts w:ascii="Palatino Linotype" w:eastAsia="MS Mincho" w:hAnsi="Palatino Linotype" w:cs="Arial"/>
          <w:sz w:val="22"/>
          <w:szCs w:val="22"/>
        </w:rPr>
      </w:pPr>
      <w:r>
        <w:rPr>
          <w:rFonts w:ascii="Palatino Linotype" w:eastAsia="MS Mincho" w:hAnsi="Palatino Linotype" w:cs="Arial"/>
          <w:sz w:val="22"/>
          <w:szCs w:val="22"/>
        </w:rPr>
        <w:t xml:space="preserve">En esa línea, se debe de analizar que dio respuesta a la solicitud de información el </w:t>
      </w:r>
      <w:r w:rsidR="00191683">
        <w:rPr>
          <w:rFonts w:ascii="Palatino Linotype" w:eastAsia="MS Mincho" w:hAnsi="Palatino Linotype" w:cs="Arial"/>
          <w:sz w:val="22"/>
          <w:szCs w:val="22"/>
        </w:rPr>
        <w:t>Síndico Municipal, quien de acuerdo con la Ley Orgánica Municipal del Estado de México</w:t>
      </w:r>
      <w:r>
        <w:rPr>
          <w:rFonts w:ascii="Palatino Linotype" w:eastAsia="MS Mincho" w:hAnsi="Palatino Linotype" w:cs="Arial"/>
          <w:sz w:val="22"/>
          <w:szCs w:val="22"/>
        </w:rPr>
        <w:t xml:space="preserve">, tiene las siguientes funciones. </w:t>
      </w:r>
    </w:p>
    <w:p w:rsidR="004E2E1A" w:rsidRPr="004E2E1A" w:rsidRDefault="004E2E1A" w:rsidP="00E841B8">
      <w:pPr>
        <w:ind w:left="1134" w:right="900"/>
        <w:jc w:val="both"/>
        <w:rPr>
          <w:rFonts w:ascii="Palatino Linotype" w:eastAsia="MS Mincho" w:hAnsi="Palatino Linotype" w:cs="Arial"/>
          <w:b/>
          <w:i/>
          <w:sz w:val="22"/>
          <w:szCs w:val="22"/>
        </w:rPr>
      </w:pPr>
      <w:r w:rsidRPr="004E2E1A">
        <w:rPr>
          <w:rFonts w:ascii="Palatino Linotype" w:eastAsia="MS Mincho" w:hAnsi="Palatino Linotype" w:cs="Arial"/>
          <w:b/>
          <w:i/>
          <w:sz w:val="22"/>
          <w:szCs w:val="22"/>
        </w:rPr>
        <w:t xml:space="preserve">Artículo 53.- Los síndicos tendrán las siguientes atribuciones: </w:t>
      </w:r>
    </w:p>
    <w:p w:rsidR="004E2E1A" w:rsidRPr="004E2E1A" w:rsidRDefault="004E2E1A" w:rsidP="004E2E1A">
      <w:pPr>
        <w:pStyle w:val="Prrafodelista"/>
        <w:numPr>
          <w:ilvl w:val="0"/>
          <w:numId w:val="6"/>
        </w:numPr>
        <w:ind w:left="1134" w:right="900" w:firstLine="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La representación legal de los miembros de los ayuntamientos, sólo se dará en asuntos oficiales;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I Bis. Supervisar a los representantes legales asignados por el Ayuntamiento, en la correcta atención y defensa de los litigios laborales;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I Ter. Informar al presidente, en caso de cualquier irregularidad en la atención y/o defensa de los litigios laborales seguidos ante las autoridades laborales competentes. Derogado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II. Revisar y firmar los cortes de caja de la tesorería municipal;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III. Cuidar que la aplicación de los gastos se haga llenando todos los requisitos legales y conforme al presupuesto respectivo;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IV. Vigilar que las multas que impongan las autoridades municipales ingresen a la tesorería, previo comprobante respectivo;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lastRenderedPageBreak/>
        <w:t xml:space="preserve">V. Asistir a las visitas de inspección que realice el Órgano Superior de Fiscalización del Estado de México a la tesorería e informar de los resultados al ayuntamiento;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VI. Hacer que oportunamente se remitan al Órgano Superior de Fiscalización del Estado de México las cuentas de la tesorería municipal y remitir copia del resumen financiero a los miembros del ayuntamiento; </w:t>
      </w:r>
    </w:p>
    <w:p w:rsidR="004E2E1A" w:rsidRPr="004E2E1A" w:rsidRDefault="004E2E1A" w:rsidP="004E2E1A">
      <w:pPr>
        <w:pStyle w:val="Prrafodelista"/>
        <w:ind w:left="1134" w:right="900"/>
        <w:jc w:val="both"/>
        <w:rPr>
          <w:rFonts w:ascii="Palatino Linotype" w:eastAsia="MS Mincho" w:hAnsi="Palatino Linotype" w:cs="Arial"/>
          <w:b/>
          <w:i/>
          <w:sz w:val="22"/>
          <w:szCs w:val="22"/>
        </w:rPr>
      </w:pPr>
      <w:r w:rsidRPr="004E2E1A">
        <w:rPr>
          <w:rFonts w:ascii="Palatino Linotype" w:eastAsia="MS Mincho" w:hAnsi="Palatino Linotype" w:cs="Arial"/>
          <w:b/>
          <w:i/>
          <w:sz w:val="22"/>
          <w:szCs w:val="22"/>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r w:rsidRPr="004E2E1A">
        <w:rPr>
          <w:b/>
        </w:rPr>
        <w:t xml:space="preserve"> </w:t>
      </w:r>
    </w:p>
    <w:p w:rsidR="004E2E1A" w:rsidRPr="004E2E1A" w:rsidRDefault="004E2E1A" w:rsidP="004E2E1A">
      <w:pPr>
        <w:pStyle w:val="Prrafodelista"/>
        <w:ind w:left="1134" w:right="900"/>
        <w:jc w:val="both"/>
        <w:rPr>
          <w:rFonts w:ascii="Palatino Linotype" w:eastAsia="MS Mincho" w:hAnsi="Palatino Linotype" w:cs="Arial"/>
          <w:b/>
          <w:i/>
          <w:sz w:val="22"/>
          <w:szCs w:val="22"/>
        </w:rPr>
      </w:pPr>
      <w:r w:rsidRPr="004E2E1A">
        <w:rPr>
          <w:rFonts w:ascii="Palatino Linotype" w:eastAsia="MS Mincho" w:hAnsi="Palatino Linotype" w:cs="Arial"/>
          <w:b/>
          <w:i/>
          <w:sz w:val="22"/>
          <w:szCs w:val="22"/>
        </w:rPr>
        <w:t xml:space="preserve">VIII. Regularizar la propiedad de los bienes inmuebles municipales, para ello tendrán un plazo de ciento veinte días hábiles, contados a partir de la adquisición; </w:t>
      </w:r>
    </w:p>
    <w:p w:rsidR="004E2E1A" w:rsidRPr="004E2E1A" w:rsidRDefault="004E2E1A" w:rsidP="004E2E1A">
      <w:pPr>
        <w:pStyle w:val="Prrafodelista"/>
        <w:ind w:left="1134" w:right="900"/>
        <w:jc w:val="both"/>
        <w:rPr>
          <w:rFonts w:ascii="Palatino Linotype" w:eastAsia="MS Mincho" w:hAnsi="Palatino Linotype" w:cs="Arial"/>
          <w:b/>
          <w:i/>
          <w:sz w:val="22"/>
          <w:szCs w:val="22"/>
        </w:rPr>
      </w:pPr>
      <w:r w:rsidRPr="004E2E1A">
        <w:rPr>
          <w:rFonts w:ascii="Palatino Linotype" w:eastAsia="MS Mincho" w:hAnsi="Palatino Linotype" w:cs="Arial"/>
          <w:b/>
          <w:i/>
          <w:sz w:val="22"/>
          <w:szCs w:val="22"/>
        </w:rPr>
        <w:t xml:space="preserve">IX. Inscribir los bienes inmuebles municipales en el Registro Público de la Propiedad, para iniciar los trámites correspondientes tendrán un plazo de ciento veinte días hábiles contados a partir de aquel en que concluyo el proceso de regularización;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X. Derogada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XI. Participar en los remates públicos en los que tenga interés el municipio, para que se finquen al mejor postor y se guarden los términos y disposiciones prevenidos en las leyes respectivas;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XII. Verificar que los remates públicos se realicen en los términos de las leyes respectivas;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XIII. Verificar que los funcionarios y empleados del municipio cumplan con hacer la manifestación de bienes que prevé la Ley de Responsabilidades Administrativas del Estado de México y Municipios;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XIV. Admitir, tramitar y resolver los recursos administrativos que sean de su competencia;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XV. Revisar las relaciones de rezagos para que sean liquidados;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XVI. Revisar el informe mensual que le remita el Tesorero, y en su caso formular las observaciones correspondientes.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XVII. Firmar las Actas de Cabildo, y </w:t>
      </w:r>
    </w:p>
    <w:p w:rsid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XVIII. Las demás que les señalen las disposiciones aplicables. En el caso de que sean dos los síndicos que se elijan, uno estará encargado de los ingresos de la hacienda municipal y el otro de los egresos.</w:t>
      </w:r>
    </w:p>
    <w:p w:rsidR="004E2E1A" w:rsidRPr="004E2E1A" w:rsidRDefault="004E2E1A" w:rsidP="004E2E1A">
      <w:pPr>
        <w:pStyle w:val="Prrafodelista"/>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t xml:space="preserve">El primero tendrá las facultades y obligaciones consignadas en las fracciones I, IV, V, y XVI y el segundo, las contenidas en las fracciones II, III, VI, VII, VIII, IX, X y XII entendiéndose que se ejercerán indistintamente las demás. </w:t>
      </w:r>
    </w:p>
    <w:p w:rsidR="00E841B8" w:rsidRPr="004E2E1A" w:rsidRDefault="004E2E1A" w:rsidP="00E841B8">
      <w:pPr>
        <w:ind w:left="1134" w:right="900"/>
        <w:jc w:val="both"/>
        <w:rPr>
          <w:rFonts w:ascii="Palatino Linotype" w:eastAsia="MS Mincho" w:hAnsi="Palatino Linotype" w:cs="Arial"/>
          <w:i/>
          <w:sz w:val="22"/>
          <w:szCs w:val="22"/>
        </w:rPr>
      </w:pPr>
      <w:r w:rsidRPr="004E2E1A">
        <w:rPr>
          <w:rFonts w:ascii="Palatino Linotype" w:eastAsia="MS Mincho" w:hAnsi="Palatino Linotype" w:cs="Arial"/>
          <w:i/>
          <w:sz w:val="22"/>
          <w:szCs w:val="22"/>
        </w:rPr>
        <w:lastRenderedPageBreak/>
        <w:t xml:space="preserve"> </w:t>
      </w:r>
    </w:p>
    <w:p w:rsidR="00035884" w:rsidRDefault="00E841B8" w:rsidP="00035884">
      <w:pPr>
        <w:numPr>
          <w:ilvl w:val="0"/>
          <w:numId w:val="1"/>
        </w:numPr>
        <w:spacing w:line="360" w:lineRule="auto"/>
        <w:ind w:left="0" w:firstLine="0"/>
        <w:jc w:val="both"/>
        <w:rPr>
          <w:rFonts w:ascii="Palatino Linotype" w:eastAsia="MS Mincho" w:hAnsi="Palatino Linotype" w:cs="Arial"/>
          <w:sz w:val="22"/>
          <w:szCs w:val="22"/>
        </w:rPr>
      </w:pPr>
      <w:r w:rsidRPr="00035884">
        <w:rPr>
          <w:rFonts w:ascii="Palatino Linotype" w:eastAsia="MS Mincho" w:hAnsi="Palatino Linotype" w:cs="Arial"/>
          <w:sz w:val="22"/>
          <w:szCs w:val="22"/>
        </w:rPr>
        <w:t xml:space="preserve">De lo anterior, se tiene que el </w:t>
      </w:r>
      <w:r w:rsidR="00035884" w:rsidRPr="00035884">
        <w:rPr>
          <w:rFonts w:ascii="Palatino Linotype" w:eastAsia="MS Mincho" w:hAnsi="Palatino Linotype" w:cs="Arial"/>
          <w:sz w:val="22"/>
          <w:szCs w:val="22"/>
        </w:rPr>
        <w:t>Síndico municipal</w:t>
      </w:r>
      <w:r w:rsidRPr="00035884">
        <w:rPr>
          <w:rFonts w:ascii="Palatino Linotype" w:eastAsia="MS Mincho" w:hAnsi="Palatino Linotype" w:cs="Arial"/>
          <w:b/>
          <w:sz w:val="22"/>
          <w:szCs w:val="22"/>
        </w:rPr>
        <w:t xml:space="preserve">, </w:t>
      </w:r>
      <w:r w:rsidRPr="00035884">
        <w:rPr>
          <w:rFonts w:ascii="Palatino Linotype" w:eastAsia="MS Mincho" w:hAnsi="Palatino Linotype" w:cs="Arial"/>
          <w:sz w:val="22"/>
          <w:szCs w:val="22"/>
        </w:rPr>
        <w:t xml:space="preserve">es </w:t>
      </w:r>
      <w:r w:rsidR="00035884" w:rsidRPr="00035884">
        <w:rPr>
          <w:rFonts w:ascii="Palatino Linotype" w:eastAsia="MS Mincho" w:hAnsi="Palatino Linotype" w:cs="Arial"/>
          <w:sz w:val="22"/>
          <w:szCs w:val="22"/>
        </w:rPr>
        <w:t>el servidor público habilitado</w:t>
      </w:r>
      <w:r w:rsidRPr="00035884">
        <w:rPr>
          <w:rFonts w:ascii="Palatino Linotype" w:eastAsia="MS Mincho" w:hAnsi="Palatino Linotype" w:cs="Arial"/>
          <w:sz w:val="22"/>
          <w:szCs w:val="22"/>
        </w:rPr>
        <w:t xml:space="preserve"> del </w:t>
      </w:r>
      <w:r w:rsidR="007E3DF3" w:rsidRPr="00035884">
        <w:rPr>
          <w:rFonts w:ascii="Palatino Linotype" w:eastAsia="MS Mincho" w:hAnsi="Palatino Linotype" w:cs="Arial"/>
          <w:sz w:val="22"/>
          <w:szCs w:val="22"/>
        </w:rPr>
        <w:t>Ayuntamiento de Xalatlaco</w:t>
      </w:r>
      <w:r w:rsidRPr="00035884">
        <w:rPr>
          <w:rFonts w:ascii="Palatino Linotype" w:eastAsia="MS Mincho" w:hAnsi="Palatino Linotype" w:cs="Arial"/>
          <w:sz w:val="22"/>
          <w:szCs w:val="22"/>
        </w:rPr>
        <w:t xml:space="preserve"> para atender la solicitud de información, toda vez que dentro de sus funciones está el </w:t>
      </w:r>
      <w:r w:rsidR="00035884" w:rsidRPr="00035884">
        <w:rPr>
          <w:rFonts w:ascii="Palatino Linotype" w:eastAsia="MS Mincho" w:hAnsi="Palatino Linotype" w:cs="Arial"/>
          <w:sz w:val="22"/>
          <w:szCs w:val="22"/>
        </w:rPr>
        <w:t>i</w:t>
      </w:r>
      <w:r w:rsidR="004E2E1A" w:rsidRPr="00035884">
        <w:rPr>
          <w:rFonts w:ascii="Palatino Linotype" w:eastAsia="MS Mincho" w:hAnsi="Palatino Linotype" w:cs="Arial"/>
          <w:sz w:val="22"/>
          <w:szCs w:val="22"/>
        </w:rPr>
        <w:t>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r w:rsidR="00035884" w:rsidRPr="00035884">
        <w:rPr>
          <w:rFonts w:ascii="Palatino Linotype" w:eastAsia="MS Mincho" w:hAnsi="Palatino Linotype" w:cs="Arial"/>
          <w:sz w:val="22"/>
          <w:szCs w:val="22"/>
        </w:rPr>
        <w:t xml:space="preserve"> así como el r</w:t>
      </w:r>
      <w:r w:rsidR="004E2E1A" w:rsidRPr="00035884">
        <w:rPr>
          <w:rFonts w:ascii="Palatino Linotype" w:eastAsia="MS Mincho" w:hAnsi="Palatino Linotype" w:cs="Arial"/>
          <w:sz w:val="22"/>
          <w:szCs w:val="22"/>
        </w:rPr>
        <w:t>egularizar la propiedad de los bienes inmuebles municipales</w:t>
      </w:r>
      <w:r w:rsidR="00035884">
        <w:rPr>
          <w:rFonts w:ascii="Palatino Linotype" w:eastAsia="MS Mincho" w:hAnsi="Palatino Linotype" w:cs="Arial"/>
          <w:sz w:val="22"/>
          <w:szCs w:val="22"/>
        </w:rPr>
        <w:t xml:space="preserve">, situación por la cual se colige que el </w:t>
      </w:r>
      <w:r w:rsidR="00035884">
        <w:rPr>
          <w:rFonts w:ascii="Palatino Linotype" w:eastAsia="MS Mincho" w:hAnsi="Palatino Linotype" w:cs="Arial"/>
          <w:b/>
          <w:sz w:val="22"/>
          <w:szCs w:val="22"/>
        </w:rPr>
        <w:t xml:space="preserve">SUJETO OBLIGADO </w:t>
      </w:r>
      <w:r w:rsidR="00035884">
        <w:rPr>
          <w:rFonts w:ascii="Palatino Linotype" w:eastAsia="MS Mincho" w:hAnsi="Palatino Linotype" w:cs="Arial"/>
          <w:sz w:val="22"/>
          <w:szCs w:val="22"/>
        </w:rPr>
        <w:t xml:space="preserve">turno la solicitud de información al área habilitada. </w:t>
      </w:r>
    </w:p>
    <w:p w:rsidR="00C6139D" w:rsidRDefault="00C6139D" w:rsidP="00C6139D">
      <w:pPr>
        <w:spacing w:line="360" w:lineRule="auto"/>
        <w:jc w:val="both"/>
        <w:rPr>
          <w:rFonts w:ascii="Palatino Linotype" w:eastAsia="MS Mincho" w:hAnsi="Palatino Linotype" w:cs="Arial"/>
          <w:sz w:val="22"/>
          <w:szCs w:val="22"/>
        </w:rPr>
      </w:pPr>
    </w:p>
    <w:p w:rsidR="00C6139D" w:rsidRDefault="00C6139D" w:rsidP="00035884">
      <w:pPr>
        <w:numPr>
          <w:ilvl w:val="0"/>
          <w:numId w:val="1"/>
        </w:numPr>
        <w:spacing w:line="360" w:lineRule="auto"/>
        <w:ind w:left="0" w:firstLine="0"/>
        <w:jc w:val="both"/>
        <w:rPr>
          <w:rFonts w:ascii="Palatino Linotype" w:eastAsia="MS Mincho" w:hAnsi="Palatino Linotype" w:cs="Arial"/>
          <w:sz w:val="22"/>
          <w:szCs w:val="22"/>
        </w:rPr>
      </w:pPr>
      <w:r>
        <w:rPr>
          <w:rFonts w:ascii="Palatino Linotype" w:eastAsia="MS Mincho" w:hAnsi="Palatino Linotype" w:cs="Arial"/>
          <w:sz w:val="22"/>
          <w:szCs w:val="22"/>
        </w:rPr>
        <w:t xml:space="preserve">Seguidamente, se debe de referir si el </w:t>
      </w:r>
      <w:r>
        <w:rPr>
          <w:rFonts w:ascii="Palatino Linotype" w:eastAsia="MS Mincho" w:hAnsi="Palatino Linotype" w:cs="Arial"/>
          <w:b/>
          <w:sz w:val="22"/>
          <w:szCs w:val="22"/>
        </w:rPr>
        <w:t xml:space="preserve">RECURRENTE </w:t>
      </w:r>
      <w:r>
        <w:rPr>
          <w:rFonts w:ascii="Palatino Linotype" w:eastAsia="MS Mincho" w:hAnsi="Palatino Linotype" w:cs="Arial"/>
          <w:sz w:val="22"/>
          <w:szCs w:val="22"/>
        </w:rPr>
        <w:t xml:space="preserve">se inconforma que no se informa sobre los puntos de la desincorporación y los procesos de desafectación, de lo cual se debe de referir que el </w:t>
      </w:r>
      <w:r w:rsidR="00205E0B">
        <w:rPr>
          <w:rFonts w:ascii="Palatino Linotype" w:eastAsia="MS Mincho" w:hAnsi="Palatino Linotype" w:cs="Arial"/>
          <w:sz w:val="22"/>
          <w:szCs w:val="22"/>
        </w:rPr>
        <w:t>Síndico</w:t>
      </w:r>
      <w:r>
        <w:rPr>
          <w:rFonts w:ascii="Palatino Linotype" w:eastAsia="MS Mincho" w:hAnsi="Palatino Linotype" w:cs="Arial"/>
          <w:sz w:val="22"/>
          <w:szCs w:val="22"/>
        </w:rPr>
        <w:t xml:space="preserve"> Municipal como servidor público habilitado, informo que no aplica</w:t>
      </w:r>
      <w:r w:rsidR="00205E0B">
        <w:rPr>
          <w:rFonts w:ascii="Palatino Linotype" w:eastAsia="MS Mincho" w:hAnsi="Palatino Linotype" w:cs="Arial"/>
          <w:sz w:val="22"/>
          <w:szCs w:val="22"/>
        </w:rPr>
        <w:t xml:space="preserve">  y que no es el caso, toda vez que el en bienes del ayuntamiento el terreno de la escuela referida en la etapa de manifestaciones aún se encuentra como activo.</w:t>
      </w:r>
    </w:p>
    <w:p w:rsidR="00205E0B" w:rsidRDefault="00205E0B" w:rsidP="00205E0B">
      <w:pPr>
        <w:pStyle w:val="Prrafodelista"/>
        <w:rPr>
          <w:rFonts w:ascii="Palatino Linotype" w:eastAsia="MS Mincho" w:hAnsi="Palatino Linotype" w:cs="Arial"/>
          <w:sz w:val="22"/>
          <w:szCs w:val="22"/>
        </w:rPr>
      </w:pPr>
    </w:p>
    <w:p w:rsidR="00E841B8" w:rsidRPr="00205E0B" w:rsidRDefault="00205E0B" w:rsidP="00035884">
      <w:pPr>
        <w:numPr>
          <w:ilvl w:val="0"/>
          <w:numId w:val="1"/>
        </w:numPr>
        <w:spacing w:line="360" w:lineRule="auto"/>
        <w:ind w:left="0" w:firstLine="0"/>
        <w:jc w:val="both"/>
        <w:rPr>
          <w:rFonts w:ascii="Palatino Linotype" w:eastAsia="MS Mincho" w:hAnsi="Palatino Linotype" w:cs="Arial"/>
          <w:sz w:val="22"/>
          <w:szCs w:val="22"/>
        </w:rPr>
      </w:pPr>
      <w:r>
        <w:rPr>
          <w:rFonts w:ascii="Palatino Linotype" w:eastAsia="MS Mincho" w:hAnsi="Palatino Linotype" w:cs="Arial"/>
          <w:sz w:val="22"/>
          <w:szCs w:val="22"/>
        </w:rPr>
        <w:t xml:space="preserve">Finalmente se debe de precisar que el </w:t>
      </w:r>
      <w:r>
        <w:rPr>
          <w:rFonts w:ascii="Palatino Linotype" w:eastAsia="MS Mincho" w:hAnsi="Palatino Linotype" w:cs="Arial"/>
          <w:b/>
          <w:sz w:val="22"/>
          <w:szCs w:val="22"/>
        </w:rPr>
        <w:t xml:space="preserve">RECURRENTE </w:t>
      </w:r>
      <w:r>
        <w:rPr>
          <w:rFonts w:ascii="Palatino Linotype" w:eastAsia="MS Mincho" w:hAnsi="Palatino Linotype" w:cs="Arial"/>
          <w:sz w:val="22"/>
          <w:szCs w:val="22"/>
        </w:rPr>
        <w:t xml:space="preserve">se inconforma porque no se entrega la documentación que informe si los bienes están registrados en los libros contables, situación de la cual se debe de informar que dicho documento no fue solicitado de manera inicial, toda vez que la solicitud solo consistía en que el </w:t>
      </w:r>
      <w:r>
        <w:rPr>
          <w:rFonts w:ascii="Palatino Linotype" w:eastAsia="MS Mincho" w:hAnsi="Palatino Linotype" w:cs="Arial"/>
          <w:b/>
          <w:sz w:val="22"/>
          <w:szCs w:val="22"/>
        </w:rPr>
        <w:t xml:space="preserve">SUJETO OBLIGADO </w:t>
      </w:r>
      <w:r>
        <w:rPr>
          <w:rFonts w:ascii="Palatino Linotype" w:eastAsia="MS Mincho" w:hAnsi="Palatino Linotype" w:cs="Arial"/>
          <w:sz w:val="22"/>
          <w:szCs w:val="22"/>
        </w:rPr>
        <w:t xml:space="preserve">informara sobre cada uno de los cuestionamientos referiros en la solicitud de información. </w:t>
      </w:r>
    </w:p>
    <w:p w:rsidR="00573DDF" w:rsidRPr="00573DDF" w:rsidRDefault="00573DDF" w:rsidP="00573DDF">
      <w:pPr>
        <w:spacing w:line="360" w:lineRule="auto"/>
        <w:jc w:val="both"/>
        <w:rPr>
          <w:rFonts w:ascii="Palatino Linotype" w:hAnsi="Palatino Linotype"/>
          <w:sz w:val="22"/>
          <w:szCs w:val="22"/>
        </w:rPr>
      </w:pPr>
    </w:p>
    <w:p w:rsidR="00573DDF" w:rsidRDefault="00573DDF" w:rsidP="00573DDF">
      <w:pPr>
        <w:pStyle w:val="Prrafodelista"/>
        <w:rPr>
          <w:rFonts w:ascii="Palatino Linotype" w:eastAsia="Palatino Linotype" w:hAnsi="Palatino Linotype" w:cs="Palatino Linotype"/>
          <w:sz w:val="22"/>
          <w:szCs w:val="22"/>
        </w:rPr>
      </w:pPr>
    </w:p>
    <w:p w:rsidR="00E841B8" w:rsidRPr="0046239D" w:rsidRDefault="00E841B8" w:rsidP="00E841B8">
      <w:pPr>
        <w:numPr>
          <w:ilvl w:val="0"/>
          <w:numId w:val="1"/>
        </w:numPr>
        <w:spacing w:line="360" w:lineRule="auto"/>
        <w:ind w:left="0" w:firstLine="0"/>
        <w:jc w:val="both"/>
        <w:rPr>
          <w:rFonts w:ascii="Palatino Linotype" w:hAnsi="Palatino Linotype"/>
          <w:sz w:val="22"/>
          <w:szCs w:val="22"/>
        </w:rPr>
      </w:pPr>
      <w:r w:rsidRPr="0046239D">
        <w:rPr>
          <w:rFonts w:ascii="Palatino Linotype" w:eastAsia="Palatino Linotype" w:hAnsi="Palatino Linotype" w:cs="Palatino Linotype"/>
          <w:sz w:val="22"/>
          <w:szCs w:val="22"/>
        </w:rPr>
        <w:t xml:space="preserve">Por lo tanto, en virtud de  los argumentos expuestos con anterioridad así como del análisis realizado a las constancias que obran en el expediente electrónico, toda vez el </w:t>
      </w:r>
      <w:r w:rsidRPr="0046239D">
        <w:rPr>
          <w:rFonts w:ascii="Palatino Linotype" w:eastAsia="Palatino Linotype" w:hAnsi="Palatino Linotype" w:cs="Palatino Linotype"/>
          <w:b/>
          <w:sz w:val="22"/>
          <w:szCs w:val="22"/>
        </w:rPr>
        <w:t xml:space="preserve">SUJETO OBLIGADO </w:t>
      </w:r>
      <w:r w:rsidRPr="0046239D">
        <w:rPr>
          <w:rFonts w:ascii="Palatino Linotype" w:eastAsia="Palatino Linotype" w:hAnsi="Palatino Linotype" w:cs="Palatino Linotype"/>
          <w:sz w:val="22"/>
          <w:szCs w:val="22"/>
        </w:rPr>
        <w:t xml:space="preserve">modificó su respuesta inicial, se determina sobreseer el presente recurso de revisión por actualizarse la causal de sobreseimiento prevista en la fracción III </w:t>
      </w:r>
      <w:r w:rsidRPr="0046239D">
        <w:rPr>
          <w:rFonts w:ascii="Palatino Linotype" w:eastAsia="Palatino Linotype" w:hAnsi="Palatino Linotype" w:cs="Palatino Linotype"/>
          <w:sz w:val="22"/>
          <w:szCs w:val="22"/>
        </w:rPr>
        <w:lastRenderedPageBreak/>
        <w:t>del artículo 192 de la Ley de Transparencia y Acceso a la Información Pública del Estado de México y Municipios, el que se transcribe a continuación, para un mejor entendimiento:</w:t>
      </w:r>
    </w:p>
    <w:p w:rsidR="00E841B8" w:rsidRPr="0046239D" w:rsidRDefault="00E841B8" w:rsidP="00E841B8">
      <w:pPr>
        <w:pBdr>
          <w:top w:val="nil"/>
          <w:left w:val="nil"/>
          <w:bottom w:val="nil"/>
          <w:right w:val="nil"/>
          <w:between w:val="nil"/>
        </w:pBdr>
        <w:ind w:left="1134" w:right="900"/>
        <w:rPr>
          <w:rFonts w:ascii="Palatino Linotype" w:eastAsia="Palatino Linotype" w:hAnsi="Palatino Linotype" w:cs="Palatino Linotype"/>
          <w:color w:val="000000"/>
          <w:sz w:val="22"/>
          <w:szCs w:val="22"/>
        </w:rPr>
      </w:pPr>
    </w:p>
    <w:p w:rsidR="00E841B8" w:rsidRPr="0046239D" w:rsidRDefault="00E841B8" w:rsidP="00E841B8">
      <w:pPr>
        <w:pBdr>
          <w:top w:val="nil"/>
          <w:left w:val="nil"/>
          <w:bottom w:val="nil"/>
          <w:right w:val="nil"/>
          <w:between w:val="nil"/>
        </w:pBdr>
        <w:tabs>
          <w:tab w:val="left" w:pos="7938"/>
        </w:tabs>
        <w:ind w:left="1134" w:right="900"/>
        <w:jc w:val="both"/>
        <w:rPr>
          <w:rFonts w:ascii="Palatino Linotype" w:eastAsia="Palatino Linotype" w:hAnsi="Palatino Linotype" w:cs="Palatino Linotype"/>
          <w:i/>
          <w:color w:val="000000"/>
          <w:sz w:val="22"/>
          <w:szCs w:val="22"/>
        </w:rPr>
      </w:pPr>
      <w:r w:rsidRPr="0046239D">
        <w:rPr>
          <w:rFonts w:ascii="Palatino Linotype" w:eastAsia="Palatino Linotype" w:hAnsi="Palatino Linotype" w:cs="Palatino Linotype"/>
          <w:b/>
          <w:i/>
          <w:color w:val="000000"/>
          <w:sz w:val="22"/>
          <w:szCs w:val="22"/>
        </w:rPr>
        <w:t>Artículo 192.</w:t>
      </w:r>
      <w:r w:rsidRPr="0046239D">
        <w:rPr>
          <w:rFonts w:ascii="Palatino Linotype" w:eastAsia="Palatino Linotype" w:hAnsi="Palatino Linotype" w:cs="Palatino Linotype"/>
          <w:i/>
          <w:color w:val="000000"/>
          <w:sz w:val="22"/>
          <w:szCs w:val="22"/>
        </w:rPr>
        <w:t xml:space="preserve"> El recurso será sobreseído, en todo o en parte, cuando una vez admitido, se actualicen alguno de los siguientes supuestos:</w:t>
      </w:r>
    </w:p>
    <w:p w:rsidR="00E841B8" w:rsidRPr="0046239D" w:rsidRDefault="00E841B8" w:rsidP="00E841B8">
      <w:pPr>
        <w:pBdr>
          <w:top w:val="nil"/>
          <w:left w:val="nil"/>
          <w:bottom w:val="nil"/>
          <w:right w:val="nil"/>
          <w:between w:val="nil"/>
        </w:pBdr>
        <w:tabs>
          <w:tab w:val="left" w:pos="7938"/>
        </w:tabs>
        <w:ind w:left="1134" w:right="900"/>
        <w:jc w:val="both"/>
        <w:rPr>
          <w:rFonts w:ascii="Palatino Linotype" w:eastAsia="Palatino Linotype" w:hAnsi="Palatino Linotype" w:cs="Palatino Linotype"/>
          <w:i/>
          <w:color w:val="000000"/>
          <w:sz w:val="22"/>
          <w:szCs w:val="22"/>
        </w:rPr>
      </w:pPr>
    </w:p>
    <w:p w:rsidR="00E841B8" w:rsidRPr="0046239D" w:rsidRDefault="00E841B8" w:rsidP="00E841B8">
      <w:pPr>
        <w:pBdr>
          <w:top w:val="nil"/>
          <w:left w:val="nil"/>
          <w:bottom w:val="nil"/>
          <w:right w:val="nil"/>
          <w:between w:val="nil"/>
        </w:pBdr>
        <w:tabs>
          <w:tab w:val="left" w:pos="7938"/>
        </w:tabs>
        <w:spacing w:after="120"/>
        <w:ind w:left="1134" w:right="900"/>
        <w:jc w:val="both"/>
        <w:rPr>
          <w:rFonts w:ascii="Palatino Linotype" w:eastAsia="Palatino Linotype" w:hAnsi="Palatino Linotype" w:cs="Palatino Linotype"/>
          <w:i/>
          <w:color w:val="000000"/>
          <w:sz w:val="22"/>
          <w:szCs w:val="22"/>
        </w:rPr>
      </w:pPr>
      <w:r w:rsidRPr="0046239D">
        <w:rPr>
          <w:rFonts w:ascii="Palatino Linotype" w:eastAsia="Palatino Linotype" w:hAnsi="Palatino Linotype" w:cs="Palatino Linotype"/>
          <w:b/>
          <w:i/>
          <w:color w:val="000000"/>
          <w:sz w:val="22"/>
          <w:szCs w:val="22"/>
        </w:rPr>
        <w:t xml:space="preserve">III. </w:t>
      </w:r>
      <w:r w:rsidRPr="0046239D">
        <w:rPr>
          <w:rFonts w:ascii="Palatino Linotype" w:eastAsia="Palatino Linotype" w:hAnsi="Palatino Linotype" w:cs="Palatino Linotype"/>
          <w:i/>
          <w:color w:val="000000"/>
          <w:sz w:val="22"/>
          <w:szCs w:val="22"/>
        </w:rPr>
        <w:t xml:space="preserve">El sujeto obligado responsable del acto lo </w:t>
      </w:r>
      <w:r w:rsidRPr="0046239D">
        <w:rPr>
          <w:rFonts w:ascii="Palatino Linotype" w:eastAsia="Palatino Linotype" w:hAnsi="Palatino Linotype" w:cs="Palatino Linotype"/>
          <w:b/>
          <w:i/>
          <w:color w:val="000000"/>
          <w:sz w:val="22"/>
          <w:szCs w:val="22"/>
        </w:rPr>
        <w:t>modifique</w:t>
      </w:r>
      <w:r w:rsidRPr="0046239D">
        <w:rPr>
          <w:rFonts w:ascii="Palatino Linotype" w:eastAsia="Palatino Linotype" w:hAnsi="Palatino Linotype" w:cs="Palatino Linotype"/>
          <w:i/>
          <w:color w:val="000000"/>
          <w:sz w:val="22"/>
          <w:szCs w:val="22"/>
        </w:rPr>
        <w:t xml:space="preserve"> o </w:t>
      </w:r>
      <w:r w:rsidRPr="0046239D">
        <w:rPr>
          <w:rFonts w:ascii="Palatino Linotype" w:eastAsia="Palatino Linotype" w:hAnsi="Palatino Linotype" w:cs="Palatino Linotype"/>
          <w:b/>
          <w:i/>
          <w:color w:val="000000"/>
          <w:sz w:val="22"/>
          <w:szCs w:val="22"/>
        </w:rPr>
        <w:t>revoque</w:t>
      </w:r>
      <w:r w:rsidRPr="0046239D">
        <w:rPr>
          <w:rFonts w:ascii="Palatino Linotype" w:eastAsia="Palatino Linotype" w:hAnsi="Palatino Linotype" w:cs="Palatino Linotype"/>
          <w:i/>
          <w:color w:val="000000"/>
          <w:sz w:val="22"/>
          <w:szCs w:val="22"/>
        </w:rPr>
        <w:t xml:space="preserve"> de tal manera que el recurso de revisión quede sin materia; “</w:t>
      </w:r>
    </w:p>
    <w:p w:rsidR="00E841B8" w:rsidRPr="0046239D" w:rsidRDefault="00E841B8" w:rsidP="00E841B8">
      <w:pPr>
        <w:pBdr>
          <w:top w:val="nil"/>
          <w:left w:val="nil"/>
          <w:bottom w:val="nil"/>
          <w:right w:val="nil"/>
          <w:between w:val="nil"/>
        </w:pBdr>
        <w:tabs>
          <w:tab w:val="left" w:pos="7938"/>
        </w:tabs>
        <w:spacing w:before="120" w:after="120"/>
        <w:ind w:right="902"/>
        <w:jc w:val="both"/>
        <w:rPr>
          <w:rFonts w:ascii="Palatino Linotype" w:eastAsia="Palatino Linotype" w:hAnsi="Palatino Linotype" w:cs="Palatino Linotype"/>
          <w:i/>
          <w:sz w:val="22"/>
          <w:szCs w:val="22"/>
        </w:rPr>
      </w:pPr>
    </w:p>
    <w:p w:rsidR="00E841B8" w:rsidRPr="0046239D" w:rsidRDefault="00E841B8" w:rsidP="00E841B8">
      <w:pPr>
        <w:numPr>
          <w:ilvl w:val="0"/>
          <w:numId w:val="1"/>
        </w:numPr>
        <w:spacing w:line="360" w:lineRule="auto"/>
        <w:ind w:left="0" w:firstLine="0"/>
        <w:jc w:val="both"/>
        <w:rPr>
          <w:rFonts w:ascii="Palatino Linotype" w:hAnsi="Palatino Linotype"/>
          <w:sz w:val="22"/>
          <w:szCs w:val="22"/>
        </w:rPr>
      </w:pPr>
      <w:r w:rsidRPr="0046239D">
        <w:rPr>
          <w:rFonts w:ascii="Palatino Linotype" w:eastAsia="Palatino Linotype" w:hAnsi="Palatino Linotype" w:cs="Palatino Linotype"/>
          <w:sz w:val="22"/>
          <w:szCs w:val="22"/>
        </w:rPr>
        <w:t xml:space="preserve">Siendo el </w:t>
      </w:r>
      <w:r w:rsidRPr="0046239D">
        <w:rPr>
          <w:rFonts w:ascii="Palatino Linotype" w:eastAsia="Palatino Linotype" w:hAnsi="Palatino Linotype" w:cs="Palatino Linotype"/>
          <w:i/>
          <w:sz w:val="22"/>
          <w:szCs w:val="22"/>
        </w:rPr>
        <w:t>sobreseimiento</w:t>
      </w:r>
      <w:r w:rsidRPr="0046239D">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E841B8" w:rsidRPr="0046239D" w:rsidRDefault="00E841B8" w:rsidP="00E841B8">
      <w:pPr>
        <w:pBdr>
          <w:top w:val="nil"/>
          <w:left w:val="nil"/>
          <w:bottom w:val="nil"/>
          <w:right w:val="nil"/>
          <w:between w:val="nil"/>
        </w:pBdr>
        <w:ind w:left="1134" w:right="902"/>
        <w:jc w:val="both"/>
        <w:rPr>
          <w:rFonts w:ascii="Palatino Linotype" w:eastAsia="Palatino Linotype" w:hAnsi="Palatino Linotype" w:cs="Palatino Linotype"/>
          <w:b/>
          <w:i/>
          <w:color w:val="000000"/>
          <w:sz w:val="22"/>
          <w:szCs w:val="22"/>
        </w:rPr>
      </w:pPr>
      <w:r w:rsidRPr="0046239D">
        <w:rPr>
          <w:rFonts w:ascii="Palatino Linotype" w:eastAsia="Palatino Linotype" w:hAnsi="Palatino Linotype" w:cs="Palatino Linotype"/>
          <w:i/>
          <w:color w:val="000000"/>
          <w:sz w:val="22"/>
          <w:szCs w:val="22"/>
        </w:rPr>
        <w:t>“</w:t>
      </w:r>
      <w:r w:rsidRPr="0046239D">
        <w:rPr>
          <w:rFonts w:ascii="Palatino Linotype" w:eastAsia="Palatino Linotype" w:hAnsi="Palatino Linotype" w:cs="Palatino Linotype"/>
          <w:b/>
          <w:i/>
          <w:color w:val="000000"/>
          <w:sz w:val="22"/>
          <w:szCs w:val="22"/>
        </w:rPr>
        <w:t>SOBRESEIMIENTO, NO PERMITE ENTRAR AL ESTUDIO DE LAS CUESTIONES DE FONDO</w:t>
      </w:r>
    </w:p>
    <w:p w:rsidR="00E841B8" w:rsidRPr="0046239D" w:rsidRDefault="00E841B8" w:rsidP="00E841B8">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r w:rsidRPr="0046239D">
        <w:rPr>
          <w:rFonts w:ascii="Palatino Linotype" w:eastAsia="Palatino Linotype" w:hAnsi="Palatino Linotype" w:cs="Palatino Linotype"/>
          <w:i/>
          <w:color w:val="000000"/>
          <w:sz w:val="22"/>
          <w:szCs w:val="22"/>
        </w:rPr>
        <w:t>Localización: 213609. II.2o.183 K. Tribunales Colegiados de Circuito. Octava Época. Semanario Judicial de la Federación. Tomo XIII, Febrero de 1994, Pág. 420</w:t>
      </w:r>
    </w:p>
    <w:p w:rsidR="00E841B8" w:rsidRPr="0046239D" w:rsidRDefault="00E841B8" w:rsidP="00E841B8">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r w:rsidRPr="0046239D">
        <w:rPr>
          <w:rFonts w:ascii="Palatino Linotype" w:eastAsia="Palatino Linotype" w:hAnsi="Palatino Linotype" w:cs="Palatino Linotype"/>
          <w:i/>
          <w:color w:val="000000"/>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E841B8" w:rsidRPr="0046239D" w:rsidRDefault="00E841B8" w:rsidP="00E841B8">
      <w:pPr>
        <w:pBdr>
          <w:top w:val="nil"/>
          <w:left w:val="nil"/>
          <w:bottom w:val="nil"/>
          <w:right w:val="nil"/>
          <w:between w:val="nil"/>
        </w:pBdr>
        <w:spacing w:after="120"/>
        <w:ind w:left="360" w:right="902"/>
        <w:jc w:val="both"/>
        <w:rPr>
          <w:rFonts w:ascii="Palatino Linotype" w:eastAsia="Palatino Linotype" w:hAnsi="Palatino Linotype" w:cs="Palatino Linotype"/>
          <w:i/>
          <w:color w:val="000000"/>
          <w:sz w:val="22"/>
          <w:szCs w:val="22"/>
        </w:rPr>
      </w:pPr>
    </w:p>
    <w:p w:rsidR="00E841B8" w:rsidRPr="0046239D" w:rsidRDefault="00E841B8" w:rsidP="00E841B8">
      <w:pPr>
        <w:numPr>
          <w:ilvl w:val="0"/>
          <w:numId w:val="1"/>
        </w:numPr>
        <w:spacing w:line="360" w:lineRule="auto"/>
        <w:ind w:left="0" w:firstLine="0"/>
        <w:jc w:val="both"/>
        <w:rPr>
          <w:rFonts w:ascii="Palatino Linotype" w:hAnsi="Palatino Linotype"/>
          <w:sz w:val="22"/>
          <w:szCs w:val="22"/>
        </w:rPr>
      </w:pPr>
      <w:r w:rsidRPr="0046239D">
        <w:rPr>
          <w:rFonts w:ascii="Palatino Linotype" w:eastAsia="Palatino Linotype" w:hAnsi="Palatino Linotype" w:cs="Palatino Linotype"/>
          <w:sz w:val="22"/>
          <w:szCs w:val="22"/>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E841B8" w:rsidRPr="0046239D" w:rsidRDefault="00E841B8" w:rsidP="00E841B8">
      <w:pPr>
        <w:pBdr>
          <w:top w:val="nil"/>
          <w:left w:val="nil"/>
          <w:bottom w:val="nil"/>
          <w:right w:val="nil"/>
          <w:between w:val="nil"/>
        </w:pBdr>
        <w:spacing w:before="120"/>
        <w:ind w:left="1134" w:right="902"/>
        <w:jc w:val="both"/>
        <w:rPr>
          <w:rFonts w:ascii="Palatino Linotype" w:eastAsia="Palatino Linotype" w:hAnsi="Palatino Linotype" w:cs="Palatino Linotype"/>
          <w:b/>
          <w:i/>
          <w:color w:val="000000"/>
          <w:sz w:val="22"/>
          <w:szCs w:val="22"/>
        </w:rPr>
      </w:pPr>
      <w:r w:rsidRPr="0046239D">
        <w:rPr>
          <w:rFonts w:ascii="Palatino Linotype" w:eastAsia="Palatino Linotype" w:hAnsi="Palatino Linotype" w:cs="Palatino Linotype"/>
          <w:b/>
          <w:i/>
          <w:color w:val="000000"/>
          <w:sz w:val="22"/>
          <w:szCs w:val="22"/>
        </w:rPr>
        <w:t>“DESECHAMIENTO O SOBRESEIMIENTO EN EL JUICIO DE AMPARO. NO IMPLICA DENEGACIÓN DE JUSTICIA NI GENERA INSEGURIDAD JURÍDICA”</w:t>
      </w:r>
    </w:p>
    <w:p w:rsidR="00E841B8" w:rsidRPr="0046239D" w:rsidRDefault="00E841B8" w:rsidP="00E841B8">
      <w:pPr>
        <w:pBdr>
          <w:top w:val="nil"/>
          <w:left w:val="nil"/>
          <w:bottom w:val="nil"/>
          <w:right w:val="nil"/>
          <w:between w:val="nil"/>
        </w:pBdr>
        <w:ind w:left="1134" w:right="902"/>
        <w:jc w:val="both"/>
        <w:rPr>
          <w:rFonts w:ascii="Palatino Linotype" w:eastAsia="Palatino Linotype" w:hAnsi="Palatino Linotype" w:cs="Palatino Linotype"/>
          <w:i/>
          <w:color w:val="000000"/>
          <w:sz w:val="22"/>
          <w:szCs w:val="22"/>
        </w:rPr>
      </w:pPr>
      <w:r w:rsidRPr="0046239D">
        <w:rPr>
          <w:rFonts w:ascii="Palatino Linotype" w:eastAsia="Palatino Linotype" w:hAnsi="Palatino Linotype" w:cs="Palatino Linotype"/>
          <w:i/>
          <w:color w:val="000000"/>
          <w:sz w:val="22"/>
          <w:szCs w:val="22"/>
        </w:rPr>
        <w:lastRenderedPageBreak/>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46239D">
        <w:rPr>
          <w:rFonts w:ascii="Palatino Linotype" w:eastAsia="Palatino Linotype" w:hAnsi="Palatino Linotype" w:cs="Palatino Linotype"/>
          <w:color w:val="000000"/>
          <w:sz w:val="22"/>
          <w:szCs w:val="22"/>
        </w:rPr>
        <w:tab/>
      </w:r>
    </w:p>
    <w:p w:rsidR="00E841B8" w:rsidRPr="0046239D" w:rsidRDefault="00E841B8" w:rsidP="00E841B8">
      <w:pPr>
        <w:spacing w:line="360" w:lineRule="auto"/>
        <w:jc w:val="both"/>
        <w:rPr>
          <w:rFonts w:ascii="Palatino Linotype" w:eastAsia="Palatino Linotype" w:hAnsi="Palatino Linotype" w:cs="Palatino Linotype"/>
          <w:sz w:val="22"/>
          <w:szCs w:val="22"/>
        </w:rPr>
      </w:pPr>
      <w:bookmarkStart w:id="9" w:name="_heading=h.17dp8vu" w:colFirst="0" w:colLast="0"/>
      <w:bookmarkEnd w:id="9"/>
    </w:p>
    <w:p w:rsidR="00E841B8" w:rsidRPr="0046239D" w:rsidRDefault="00E841B8" w:rsidP="00E841B8">
      <w:pPr>
        <w:numPr>
          <w:ilvl w:val="0"/>
          <w:numId w:val="1"/>
        </w:numPr>
        <w:spacing w:line="360" w:lineRule="auto"/>
        <w:ind w:left="0" w:firstLine="0"/>
        <w:jc w:val="both"/>
        <w:rPr>
          <w:rFonts w:ascii="Palatino Linotype" w:hAnsi="Palatino Linotype"/>
          <w:sz w:val="22"/>
          <w:szCs w:val="22"/>
        </w:rPr>
      </w:pPr>
      <w:r w:rsidRPr="0046239D">
        <w:rPr>
          <w:rFonts w:ascii="Palatino Linotype" w:eastAsia="Palatino Linotype" w:hAnsi="Palatino Linotype" w:cs="Palatino Linotype"/>
          <w:sz w:val="22"/>
          <w:szCs w:val="22"/>
        </w:rPr>
        <w:t xml:space="preserve">Bajo ese tenor con fundamento en la segunda hipótesis de la fracción I del artículo 186, de la Ley de Transparencia y Acceso a la Información Pública del Estado de México y Municipios, se Sobresee el recurso de revisión </w:t>
      </w:r>
      <w:r w:rsidR="00B26F31">
        <w:rPr>
          <w:rFonts w:ascii="Palatino Linotype" w:eastAsia="Palatino Linotype" w:hAnsi="Palatino Linotype" w:cs="Palatino Linotype"/>
          <w:b/>
          <w:sz w:val="22"/>
          <w:szCs w:val="22"/>
        </w:rPr>
        <w:t>09873/INFOEM/IP/RR/2025</w:t>
      </w:r>
      <w:r w:rsidRPr="0046239D">
        <w:rPr>
          <w:rFonts w:ascii="Palatino Linotype" w:eastAsia="Palatino Linotype" w:hAnsi="Palatino Linotype" w:cs="Palatino Linotype"/>
          <w:sz w:val="22"/>
          <w:szCs w:val="22"/>
        </w:rPr>
        <w:t>, que ha sido materia del presente fallo.</w:t>
      </w:r>
    </w:p>
    <w:p w:rsidR="00E841B8" w:rsidRPr="0046239D" w:rsidRDefault="00E841B8" w:rsidP="00E841B8">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E841B8" w:rsidRPr="0046239D" w:rsidRDefault="00E841B8" w:rsidP="00E841B8">
      <w:pPr>
        <w:numPr>
          <w:ilvl w:val="0"/>
          <w:numId w:val="1"/>
        </w:numPr>
        <w:spacing w:line="360" w:lineRule="auto"/>
        <w:ind w:left="0" w:firstLine="0"/>
        <w:jc w:val="both"/>
        <w:rPr>
          <w:rFonts w:ascii="Palatino Linotype" w:hAnsi="Palatino Linotype"/>
          <w:sz w:val="22"/>
          <w:szCs w:val="22"/>
        </w:rPr>
      </w:pPr>
      <w:r w:rsidRPr="0046239D">
        <w:rPr>
          <w:rFonts w:ascii="Palatino Linotype" w:eastAsia="Palatino Linotype" w:hAnsi="Palatino Linotype" w:cs="Palatino Linotype"/>
          <w:sz w:val="22"/>
          <w:szCs w:val="22"/>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E841B8" w:rsidRPr="0046239D" w:rsidRDefault="00E841B8" w:rsidP="00E841B8">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E841B8" w:rsidRPr="0046239D" w:rsidRDefault="00E841B8" w:rsidP="00E841B8">
      <w:pPr>
        <w:keepNext/>
        <w:keepLines/>
        <w:spacing w:line="360" w:lineRule="auto"/>
        <w:jc w:val="center"/>
        <w:rPr>
          <w:rFonts w:ascii="Palatino Linotype" w:eastAsia="Palatino Linotype" w:hAnsi="Palatino Linotype" w:cs="Palatino Linotype"/>
          <w:b/>
          <w:color w:val="000000"/>
          <w:sz w:val="22"/>
          <w:szCs w:val="22"/>
        </w:rPr>
      </w:pPr>
      <w:bookmarkStart w:id="10" w:name="_heading=h.3rdcrjn" w:colFirst="0" w:colLast="0"/>
      <w:bookmarkEnd w:id="10"/>
      <w:r w:rsidRPr="0046239D">
        <w:rPr>
          <w:rFonts w:ascii="Palatino Linotype" w:eastAsia="Palatino Linotype" w:hAnsi="Palatino Linotype" w:cs="Palatino Linotype"/>
          <w:b/>
          <w:color w:val="000000"/>
          <w:sz w:val="22"/>
          <w:szCs w:val="22"/>
        </w:rPr>
        <w:t>R E S O L U T I V O S</w:t>
      </w:r>
    </w:p>
    <w:p w:rsidR="00E841B8" w:rsidRPr="0046239D" w:rsidRDefault="00E841B8" w:rsidP="00E841B8">
      <w:pPr>
        <w:rPr>
          <w:rFonts w:ascii="Palatino Linotype" w:eastAsia="Palatino Linotype" w:hAnsi="Palatino Linotype" w:cs="Palatino Linotype"/>
          <w:color w:val="000000"/>
          <w:sz w:val="22"/>
          <w:szCs w:val="22"/>
        </w:rPr>
      </w:pPr>
    </w:p>
    <w:p w:rsidR="00E841B8" w:rsidRDefault="00E841B8" w:rsidP="00E841B8">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sz w:val="22"/>
          <w:szCs w:val="22"/>
        </w:rPr>
      </w:pPr>
      <w:r w:rsidRPr="0046239D">
        <w:rPr>
          <w:rFonts w:ascii="Palatino Linotype" w:eastAsia="Palatino Linotype" w:hAnsi="Palatino Linotype" w:cs="Palatino Linotype"/>
          <w:b/>
          <w:sz w:val="22"/>
          <w:szCs w:val="22"/>
        </w:rPr>
        <w:t xml:space="preserve">PRIMERO. </w:t>
      </w:r>
      <w:r w:rsidRPr="0046239D">
        <w:rPr>
          <w:rFonts w:ascii="Palatino Linotype" w:eastAsia="Palatino Linotype" w:hAnsi="Palatino Linotype" w:cs="Palatino Linotype"/>
          <w:sz w:val="22"/>
          <w:szCs w:val="22"/>
        </w:rPr>
        <w:t xml:space="preserve">Se </w:t>
      </w:r>
      <w:r w:rsidRPr="0046239D">
        <w:rPr>
          <w:rFonts w:ascii="Palatino Linotype" w:eastAsia="Palatino Linotype" w:hAnsi="Palatino Linotype" w:cs="Palatino Linotype"/>
          <w:b/>
          <w:sz w:val="22"/>
          <w:szCs w:val="22"/>
        </w:rPr>
        <w:t>SOBRESEE</w:t>
      </w:r>
      <w:r w:rsidRPr="0046239D">
        <w:rPr>
          <w:rFonts w:ascii="Palatino Linotype" w:eastAsia="Palatino Linotype" w:hAnsi="Palatino Linotype" w:cs="Palatino Linotype"/>
          <w:sz w:val="22"/>
          <w:szCs w:val="22"/>
        </w:rPr>
        <w:t xml:space="preserve"> el recurso de revisión número </w:t>
      </w:r>
      <w:r w:rsidR="00B26F31">
        <w:rPr>
          <w:rFonts w:ascii="Palatino Linotype" w:eastAsia="Palatino Linotype" w:hAnsi="Palatino Linotype" w:cs="Palatino Linotype"/>
          <w:b/>
          <w:sz w:val="22"/>
          <w:szCs w:val="22"/>
        </w:rPr>
        <w:t>09873/INFOEM/IP/RR/2025</w:t>
      </w:r>
      <w:r w:rsidRPr="0046239D">
        <w:rPr>
          <w:rFonts w:ascii="Palatino Linotype" w:eastAsia="Palatino Linotype" w:hAnsi="Palatino Linotype" w:cs="Palatino Linotype"/>
          <w:b/>
          <w:sz w:val="22"/>
          <w:szCs w:val="22"/>
        </w:rPr>
        <w:t>,</w:t>
      </w:r>
      <w:r w:rsidRPr="0046239D">
        <w:rPr>
          <w:rFonts w:ascii="Palatino Linotype" w:eastAsia="Palatino Linotype" w:hAnsi="Palatino Linotype" w:cs="Palatino Linotype"/>
          <w:sz w:val="22"/>
          <w:szCs w:val="22"/>
        </w:rPr>
        <w:t xml:space="preserve"> porque al modificar la respuesta a través del informe justificado, el recurso de revisión </w:t>
      </w:r>
      <w:r w:rsidRPr="0046239D">
        <w:rPr>
          <w:rFonts w:ascii="Palatino Linotype" w:eastAsia="Palatino Linotype" w:hAnsi="Palatino Linotype" w:cs="Palatino Linotype"/>
          <w:sz w:val="22"/>
          <w:szCs w:val="22"/>
        </w:rPr>
        <w:lastRenderedPageBreak/>
        <w:t xml:space="preserve">quedó sin materia, conforme a la fracción III del artículo 192 de la Ley de Transparencia y Acceso a la Información Pública del Estado de México y Municipios, en términos del Considerando </w:t>
      </w:r>
      <w:r w:rsidRPr="0046239D">
        <w:rPr>
          <w:rFonts w:ascii="Palatino Linotype" w:eastAsia="Palatino Linotype" w:hAnsi="Palatino Linotype" w:cs="Palatino Linotype"/>
          <w:b/>
          <w:sz w:val="22"/>
          <w:szCs w:val="22"/>
        </w:rPr>
        <w:t>TERCERO</w:t>
      </w:r>
      <w:r w:rsidRPr="0046239D">
        <w:rPr>
          <w:rFonts w:ascii="Palatino Linotype" w:eastAsia="Palatino Linotype" w:hAnsi="Palatino Linotype" w:cs="Palatino Linotype"/>
          <w:sz w:val="22"/>
          <w:szCs w:val="22"/>
        </w:rPr>
        <w:t xml:space="preserve"> de la presente resolución.</w:t>
      </w:r>
    </w:p>
    <w:p w:rsidR="00B4268E" w:rsidRPr="0046239D" w:rsidRDefault="00B4268E" w:rsidP="00E841B8">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b/>
          <w:sz w:val="22"/>
          <w:szCs w:val="22"/>
        </w:rPr>
      </w:pPr>
    </w:p>
    <w:p w:rsidR="00E841B8" w:rsidRDefault="00E841B8" w:rsidP="00E841B8">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sz w:val="22"/>
          <w:szCs w:val="22"/>
        </w:rPr>
      </w:pPr>
      <w:r w:rsidRPr="0046239D">
        <w:rPr>
          <w:rFonts w:ascii="Palatino Linotype" w:eastAsia="Palatino Linotype" w:hAnsi="Palatino Linotype" w:cs="Palatino Linotype"/>
          <w:b/>
          <w:sz w:val="22"/>
          <w:szCs w:val="22"/>
        </w:rPr>
        <w:t xml:space="preserve">SEGUNDO. Notifíquese, </w:t>
      </w:r>
      <w:r w:rsidRPr="0046239D">
        <w:rPr>
          <w:rFonts w:ascii="Palatino Linotype" w:eastAsia="Palatino Linotype" w:hAnsi="Palatino Linotype" w:cs="Palatino Linotype"/>
          <w:sz w:val="22"/>
          <w:szCs w:val="22"/>
        </w:rPr>
        <w:t>vía</w:t>
      </w:r>
      <w:r w:rsidRPr="0046239D">
        <w:rPr>
          <w:rFonts w:ascii="Palatino Linotype" w:eastAsia="Palatino Linotype" w:hAnsi="Palatino Linotype" w:cs="Palatino Linotype"/>
          <w:b/>
          <w:sz w:val="22"/>
          <w:szCs w:val="22"/>
        </w:rPr>
        <w:t xml:space="preserve"> SAIMEX,</w:t>
      </w:r>
      <w:r w:rsidRPr="0046239D">
        <w:rPr>
          <w:rFonts w:ascii="Palatino Linotype" w:eastAsia="Palatino Linotype" w:hAnsi="Palatino Linotype" w:cs="Palatino Linotype"/>
          <w:sz w:val="22"/>
          <w:szCs w:val="22"/>
        </w:rPr>
        <w:t xml:space="preserve"> al Responsable de la Unidad de Transparencia del </w:t>
      </w:r>
      <w:r w:rsidRPr="0046239D">
        <w:rPr>
          <w:rFonts w:ascii="Palatino Linotype" w:eastAsia="Palatino Linotype" w:hAnsi="Palatino Linotype" w:cs="Palatino Linotype"/>
          <w:b/>
          <w:sz w:val="22"/>
          <w:szCs w:val="22"/>
        </w:rPr>
        <w:t>Sujeto Obligado</w:t>
      </w:r>
      <w:r w:rsidRPr="0046239D">
        <w:rPr>
          <w:rFonts w:ascii="Palatino Linotype" w:eastAsia="Palatino Linotype" w:hAnsi="Palatino Linotype" w:cs="Palatino Linotype"/>
          <w:sz w:val="22"/>
          <w:szCs w:val="22"/>
        </w:rPr>
        <w:t xml:space="preserve"> la presente resolución, para su conocimiento.</w:t>
      </w:r>
    </w:p>
    <w:p w:rsidR="00B4268E" w:rsidRPr="0046239D" w:rsidRDefault="00B4268E" w:rsidP="00E841B8">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sz w:val="22"/>
          <w:szCs w:val="22"/>
        </w:rPr>
      </w:pPr>
    </w:p>
    <w:p w:rsidR="00E841B8" w:rsidRPr="0046239D" w:rsidRDefault="00E841B8" w:rsidP="00E841B8">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222222"/>
          <w:sz w:val="22"/>
          <w:szCs w:val="22"/>
        </w:rPr>
      </w:pPr>
      <w:r w:rsidRPr="0046239D">
        <w:rPr>
          <w:rFonts w:ascii="Palatino Linotype" w:eastAsia="Palatino Linotype" w:hAnsi="Palatino Linotype" w:cs="Palatino Linotype"/>
          <w:b/>
          <w:color w:val="000000"/>
          <w:sz w:val="22"/>
          <w:szCs w:val="22"/>
        </w:rPr>
        <w:t>TERCERO</w:t>
      </w:r>
      <w:r w:rsidRPr="0046239D">
        <w:rPr>
          <w:rFonts w:ascii="Palatino Linotype" w:eastAsia="Palatino Linotype" w:hAnsi="Palatino Linotype" w:cs="Palatino Linotype"/>
          <w:b/>
          <w:color w:val="222222"/>
          <w:sz w:val="22"/>
          <w:szCs w:val="22"/>
        </w:rPr>
        <w:t xml:space="preserve">. Notifíquese </w:t>
      </w:r>
      <w:r w:rsidRPr="0046239D">
        <w:rPr>
          <w:rFonts w:ascii="Palatino Linotype" w:eastAsia="Palatino Linotype" w:hAnsi="Palatino Linotype" w:cs="Palatino Linotype"/>
          <w:color w:val="222222"/>
          <w:sz w:val="22"/>
          <w:szCs w:val="22"/>
        </w:rPr>
        <w:t>a</w:t>
      </w:r>
      <w:r w:rsidRPr="0046239D">
        <w:rPr>
          <w:rFonts w:ascii="Palatino Linotype" w:eastAsia="Palatino Linotype" w:hAnsi="Palatino Linotype" w:cs="Palatino Linotype"/>
          <w:b/>
          <w:color w:val="222222"/>
          <w:sz w:val="22"/>
          <w:szCs w:val="22"/>
        </w:rPr>
        <w:t xml:space="preserve"> </w:t>
      </w:r>
      <w:r w:rsidRPr="0046239D">
        <w:rPr>
          <w:rFonts w:ascii="Palatino Linotype" w:eastAsia="Palatino Linotype" w:hAnsi="Palatino Linotype" w:cs="Palatino Linotype"/>
          <w:b/>
          <w:color w:val="000000"/>
          <w:sz w:val="22"/>
          <w:szCs w:val="22"/>
        </w:rPr>
        <w:t>EL RECURRENTE</w:t>
      </w:r>
      <w:r w:rsidRPr="0046239D">
        <w:rPr>
          <w:rFonts w:ascii="Palatino Linotype" w:eastAsia="Palatino Linotype" w:hAnsi="Palatino Linotype" w:cs="Palatino Linotype"/>
          <w:color w:val="222222"/>
          <w:sz w:val="22"/>
          <w:szCs w:val="22"/>
        </w:rPr>
        <w:t xml:space="preserve"> la presente resolución, vía </w:t>
      </w:r>
      <w:r w:rsidR="00B4268E">
        <w:rPr>
          <w:rFonts w:ascii="Palatino Linotype" w:eastAsia="Palatino Linotype" w:hAnsi="Palatino Linotype" w:cs="Palatino Linotype"/>
          <w:b/>
          <w:color w:val="222222"/>
          <w:sz w:val="22"/>
          <w:szCs w:val="22"/>
        </w:rPr>
        <w:t>SAIMEX.</w:t>
      </w:r>
    </w:p>
    <w:p w:rsidR="00E841B8" w:rsidRPr="0046239D" w:rsidRDefault="00E841B8" w:rsidP="00E841B8">
      <w:pPr>
        <w:widowControl w:val="0"/>
        <w:pBdr>
          <w:top w:val="nil"/>
          <w:left w:val="nil"/>
          <w:bottom w:val="nil"/>
          <w:right w:val="nil"/>
          <w:between w:val="nil"/>
        </w:pBdr>
        <w:tabs>
          <w:tab w:val="left" w:pos="1701"/>
        </w:tabs>
        <w:spacing w:after="240" w:line="360" w:lineRule="auto"/>
        <w:jc w:val="both"/>
        <w:rPr>
          <w:rFonts w:ascii="Palatino Linotype" w:eastAsia="Palatino Linotype" w:hAnsi="Palatino Linotype" w:cs="Palatino Linotype"/>
          <w:color w:val="222222"/>
          <w:sz w:val="22"/>
          <w:szCs w:val="22"/>
        </w:rPr>
      </w:pPr>
    </w:p>
    <w:p w:rsidR="00E841B8" w:rsidRPr="0046239D" w:rsidRDefault="00E841B8" w:rsidP="00E841B8">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sz w:val="22"/>
          <w:szCs w:val="22"/>
        </w:rPr>
      </w:pPr>
      <w:r w:rsidRPr="0046239D">
        <w:rPr>
          <w:rFonts w:ascii="Palatino Linotype" w:eastAsia="Palatino Linotype" w:hAnsi="Palatino Linotype" w:cs="Palatino Linotype"/>
          <w:b/>
          <w:sz w:val="22"/>
          <w:szCs w:val="22"/>
        </w:rPr>
        <w:t xml:space="preserve">CUARTO. </w:t>
      </w:r>
      <w:r w:rsidRPr="0046239D">
        <w:rPr>
          <w:rFonts w:ascii="Palatino Linotype" w:eastAsia="Palatino Linotype" w:hAnsi="Palatino Linotype" w:cs="Palatino Linotype"/>
          <w:sz w:val="22"/>
          <w:szCs w:val="22"/>
        </w:rPr>
        <w:t xml:space="preserve">Se hace del conocimiento de </w:t>
      </w:r>
      <w:r w:rsidRPr="0046239D">
        <w:rPr>
          <w:rFonts w:ascii="Palatino Linotype" w:eastAsia="Palatino Linotype" w:hAnsi="Palatino Linotype" w:cs="Palatino Linotype"/>
          <w:b/>
          <w:sz w:val="22"/>
          <w:szCs w:val="22"/>
        </w:rPr>
        <w:t>EL RECURRENTE</w:t>
      </w:r>
      <w:r w:rsidRPr="0046239D">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w:t>
      </w:r>
    </w:p>
    <w:p w:rsidR="00E841B8" w:rsidRPr="0046239D" w:rsidRDefault="00E841B8" w:rsidP="00E841B8">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sz w:val="22"/>
          <w:szCs w:val="22"/>
        </w:rPr>
      </w:pPr>
    </w:p>
    <w:p w:rsidR="00B4268E" w:rsidRPr="00B4268E" w:rsidRDefault="00B4268E" w:rsidP="00B4268E">
      <w:pPr>
        <w:spacing w:before="240" w:after="240" w:line="360" w:lineRule="auto"/>
        <w:ind w:firstLine="1"/>
        <w:jc w:val="both"/>
        <w:rPr>
          <w:rFonts w:ascii="Palatino Linotype" w:hAnsi="Palatino Linotype"/>
          <w:sz w:val="22"/>
        </w:rPr>
      </w:pPr>
      <w:bookmarkStart w:id="11" w:name="_heading=h.x9yucfu72zyz" w:colFirst="0" w:colLast="0"/>
      <w:bookmarkStart w:id="12" w:name="_Hlk99014733"/>
      <w:bookmarkEnd w:id="11"/>
      <w:r w:rsidRPr="00B4268E">
        <w:rPr>
          <w:rFonts w:ascii="Palatino Linotype" w:hAnsi="Palatino Linotype" w:cs="Palatino Linotype"/>
          <w:sz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(25) DE MARZO DE DOS MIL VEINTISÉIS, ANTE EL SECRETARIO TÉCNICO DEL PLENO </w:t>
      </w:r>
      <w:r w:rsidRPr="00B4268E">
        <w:rPr>
          <w:rFonts w:ascii="Palatino Linotype" w:hAnsi="Palatino Linotype" w:cs="Palatino Linotype"/>
          <w:color w:val="000000" w:themeColor="text1"/>
          <w:sz w:val="22"/>
        </w:rPr>
        <w:t>ALEXIS TAPIA RAMÍREZ.</w:t>
      </w:r>
    </w:p>
    <w:bookmarkEnd w:id="12"/>
    <w:p w:rsidR="00E841B8" w:rsidRPr="00B4268E" w:rsidRDefault="00E841B8" w:rsidP="00E841B8">
      <w:pPr>
        <w:spacing w:line="360" w:lineRule="auto"/>
        <w:jc w:val="both"/>
        <w:rPr>
          <w:rFonts w:ascii="Palatino Linotype" w:eastAsia="Palatino Linotype" w:hAnsi="Palatino Linotype" w:cs="Palatino Linotype"/>
          <w:sz w:val="20"/>
          <w:szCs w:val="22"/>
        </w:rPr>
      </w:pPr>
    </w:p>
    <w:p w:rsidR="00E841B8" w:rsidRPr="00B4268E" w:rsidRDefault="00E841B8" w:rsidP="00E841B8">
      <w:pPr>
        <w:spacing w:line="360" w:lineRule="auto"/>
        <w:jc w:val="both"/>
        <w:rPr>
          <w:rFonts w:ascii="Palatino Linotype" w:eastAsia="Palatino Linotype" w:hAnsi="Palatino Linotype" w:cs="Palatino Linotype"/>
          <w:sz w:val="20"/>
          <w:szCs w:val="22"/>
        </w:rPr>
      </w:pPr>
    </w:p>
    <w:p w:rsidR="00E841B8" w:rsidRPr="00B4268E" w:rsidRDefault="00E841B8" w:rsidP="00E841B8">
      <w:pPr>
        <w:spacing w:line="360" w:lineRule="auto"/>
        <w:jc w:val="both"/>
        <w:rPr>
          <w:rFonts w:ascii="Palatino Linotype" w:eastAsia="Palatino Linotype" w:hAnsi="Palatino Linotype" w:cs="Palatino Linotype"/>
          <w:sz w:val="20"/>
          <w:szCs w:val="22"/>
        </w:rPr>
      </w:pPr>
    </w:p>
    <w:p w:rsidR="00E841B8" w:rsidRPr="00B4268E" w:rsidRDefault="00E841B8" w:rsidP="00E841B8">
      <w:pPr>
        <w:rPr>
          <w:rFonts w:ascii="Palatino Linotype" w:hAnsi="Palatino Linotype"/>
          <w:sz w:val="20"/>
          <w:szCs w:val="22"/>
        </w:rPr>
      </w:pPr>
    </w:p>
    <w:p w:rsidR="00E841B8" w:rsidRPr="00B4268E" w:rsidRDefault="00E841B8" w:rsidP="00E841B8">
      <w:pPr>
        <w:rPr>
          <w:rFonts w:ascii="Palatino Linotype" w:hAnsi="Palatino Linotype"/>
          <w:sz w:val="20"/>
          <w:szCs w:val="22"/>
        </w:rPr>
      </w:pPr>
    </w:p>
    <w:p w:rsidR="00E841B8" w:rsidRPr="00B4268E" w:rsidRDefault="00E841B8" w:rsidP="00E841B8">
      <w:pPr>
        <w:rPr>
          <w:rFonts w:ascii="Palatino Linotype" w:hAnsi="Palatino Linotype"/>
          <w:sz w:val="20"/>
          <w:szCs w:val="22"/>
        </w:rPr>
      </w:pPr>
    </w:p>
    <w:p w:rsidR="00E841B8" w:rsidRPr="00B4268E" w:rsidRDefault="00E841B8" w:rsidP="00E841B8">
      <w:pPr>
        <w:rPr>
          <w:sz w:val="20"/>
          <w:szCs w:val="22"/>
        </w:rPr>
      </w:pPr>
    </w:p>
    <w:p w:rsidR="00E841B8" w:rsidRPr="00B4268E" w:rsidRDefault="00E841B8" w:rsidP="00E841B8">
      <w:pPr>
        <w:rPr>
          <w:sz w:val="20"/>
          <w:szCs w:val="22"/>
        </w:rPr>
      </w:pPr>
    </w:p>
    <w:p w:rsidR="00E841B8" w:rsidRPr="0046239D" w:rsidRDefault="00E841B8" w:rsidP="00E841B8">
      <w:pPr>
        <w:rPr>
          <w:sz w:val="22"/>
          <w:szCs w:val="22"/>
        </w:rPr>
      </w:pPr>
    </w:p>
    <w:p w:rsidR="00E841B8" w:rsidRPr="0046239D" w:rsidRDefault="00E841B8" w:rsidP="00E841B8">
      <w:pPr>
        <w:rPr>
          <w:sz w:val="22"/>
          <w:szCs w:val="22"/>
        </w:rPr>
      </w:pPr>
    </w:p>
    <w:p w:rsidR="00E841B8" w:rsidRPr="0046239D" w:rsidRDefault="00E841B8" w:rsidP="00E841B8">
      <w:pPr>
        <w:rPr>
          <w:sz w:val="22"/>
          <w:szCs w:val="22"/>
        </w:rPr>
      </w:pPr>
    </w:p>
    <w:p w:rsidR="00E841B8" w:rsidRDefault="00E841B8" w:rsidP="00E841B8"/>
    <w:p w:rsidR="00E841B8" w:rsidRDefault="00E841B8" w:rsidP="00E841B8"/>
    <w:p w:rsidR="00C41344" w:rsidRDefault="00C41344"/>
    <w:sectPr w:rsidR="00C41344">
      <w:headerReference w:type="even" r:id="rId10"/>
      <w:headerReference w:type="default" r:id="rId11"/>
      <w:footerReference w:type="default" r:id="rId12"/>
      <w:headerReference w:type="first" r:id="rId13"/>
      <w:footerReference w:type="first" r:id="rId14"/>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84B" w:rsidRDefault="001A084B" w:rsidP="00E841B8">
      <w:r>
        <w:separator/>
      </w:r>
    </w:p>
  </w:endnote>
  <w:endnote w:type="continuationSeparator" w:id="0">
    <w:p w:rsidR="001A084B" w:rsidRDefault="001A084B" w:rsidP="00E84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39D" w:rsidRDefault="00C6139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05C4F">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05C4F">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p>
  <w:p w:rsidR="00C6139D" w:rsidRDefault="00C6139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39D" w:rsidRDefault="00C6139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05C4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05C4F">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p>
  <w:p w:rsidR="00C6139D" w:rsidRDefault="00C6139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84B" w:rsidRDefault="001A084B" w:rsidP="00E841B8">
      <w:r>
        <w:separator/>
      </w:r>
    </w:p>
  </w:footnote>
  <w:footnote w:type="continuationSeparator" w:id="0">
    <w:p w:rsidR="001A084B" w:rsidRDefault="001A084B" w:rsidP="00E84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39D" w:rsidRDefault="001A084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977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39D" w:rsidRDefault="00C6139D">
    <w:pPr>
      <w:widowControl w:val="0"/>
      <w:pBdr>
        <w:top w:val="nil"/>
        <w:left w:val="nil"/>
        <w:bottom w:val="nil"/>
        <w:right w:val="nil"/>
        <w:between w:val="nil"/>
      </w:pBdr>
      <w:spacing w:line="276" w:lineRule="auto"/>
      <w:rPr>
        <w:color w:val="000000"/>
      </w:rPr>
    </w:pPr>
  </w:p>
  <w:tbl>
    <w:tblPr>
      <w:tblW w:w="6519" w:type="dxa"/>
      <w:tblInd w:w="3032" w:type="dxa"/>
      <w:tblLayout w:type="fixed"/>
      <w:tblLook w:val="0400" w:firstRow="0" w:lastRow="0" w:firstColumn="0" w:lastColumn="0" w:noHBand="0" w:noVBand="1"/>
    </w:tblPr>
    <w:tblGrid>
      <w:gridCol w:w="2976"/>
      <w:gridCol w:w="3543"/>
    </w:tblGrid>
    <w:tr w:rsidR="00C6139D">
      <w:trPr>
        <w:trHeight w:val="227"/>
      </w:trPr>
      <w:tc>
        <w:tcPr>
          <w:tcW w:w="2976" w:type="dxa"/>
          <w:vAlign w:val="center"/>
        </w:tcPr>
        <w:p w:rsidR="00C6139D" w:rsidRDefault="00C6139D">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rsidR="00C6139D" w:rsidRDefault="00C6139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09873</w:t>
          </w:r>
          <w:r w:rsidRPr="00E6346B">
            <w:rPr>
              <w:rFonts w:ascii="Palatino Linotype" w:eastAsia="Palatino Linotype" w:hAnsi="Palatino Linotype" w:cs="Palatino Linotype"/>
              <w:color w:val="000000"/>
              <w:sz w:val="22"/>
              <w:szCs w:val="22"/>
            </w:rPr>
            <w:t>/INFOEM/IP/RR/2025</w:t>
          </w:r>
        </w:p>
      </w:tc>
    </w:tr>
    <w:tr w:rsidR="00C6139D">
      <w:trPr>
        <w:trHeight w:val="242"/>
      </w:trPr>
      <w:tc>
        <w:tcPr>
          <w:tcW w:w="2976" w:type="dxa"/>
          <w:vAlign w:val="center"/>
        </w:tcPr>
        <w:p w:rsidR="00C6139D" w:rsidRDefault="00C6139D">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rsidR="00C6139D" w:rsidRDefault="00C6139D">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bCs/>
              <w:color w:val="000000"/>
              <w:sz w:val="22"/>
              <w:szCs w:val="22"/>
            </w:rPr>
            <w:t>Ayuntamiento de Xalatlaco</w:t>
          </w:r>
        </w:p>
      </w:tc>
    </w:tr>
    <w:tr w:rsidR="00C6139D">
      <w:trPr>
        <w:trHeight w:val="342"/>
      </w:trPr>
      <w:tc>
        <w:tcPr>
          <w:tcW w:w="2976" w:type="dxa"/>
          <w:vAlign w:val="center"/>
        </w:tcPr>
        <w:p w:rsidR="00C6139D" w:rsidRDefault="00C6139D">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rsidR="00C6139D" w:rsidRDefault="00C6139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C6139D" w:rsidRDefault="001A084B">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2.3pt;margin-top:-110.1pt;width:609.4pt;height:793.75pt;z-index:-25165875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39D" w:rsidRDefault="00C6139D">
    <w:pPr>
      <w:widowControl w:val="0"/>
      <w:pBdr>
        <w:top w:val="nil"/>
        <w:left w:val="nil"/>
        <w:bottom w:val="nil"/>
        <w:right w:val="nil"/>
        <w:between w:val="nil"/>
      </w:pBdr>
      <w:spacing w:line="276" w:lineRule="auto"/>
      <w:rPr>
        <w:color w:val="000000"/>
        <w:sz w:val="14"/>
        <w:szCs w:val="14"/>
      </w:rPr>
    </w:pPr>
  </w:p>
  <w:tbl>
    <w:tblPr>
      <w:tblW w:w="6660" w:type="dxa"/>
      <w:tblInd w:w="3207" w:type="dxa"/>
      <w:tblLayout w:type="fixed"/>
      <w:tblLook w:val="0400" w:firstRow="0" w:lastRow="0" w:firstColumn="0" w:lastColumn="0" w:noHBand="0" w:noVBand="1"/>
    </w:tblPr>
    <w:tblGrid>
      <w:gridCol w:w="2977"/>
      <w:gridCol w:w="3683"/>
    </w:tblGrid>
    <w:tr w:rsidR="00C6139D">
      <w:trPr>
        <w:trHeight w:val="227"/>
      </w:trPr>
      <w:tc>
        <w:tcPr>
          <w:tcW w:w="2977" w:type="dxa"/>
          <w:vAlign w:val="center"/>
        </w:tcPr>
        <w:p w:rsidR="00C6139D" w:rsidRDefault="00C6139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rsidR="00C6139D" w:rsidRDefault="00C6139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09873/INFOEM/IP/RR/2025</w:t>
          </w:r>
        </w:p>
      </w:tc>
    </w:tr>
    <w:tr w:rsidR="00C6139D">
      <w:trPr>
        <w:trHeight w:val="242"/>
      </w:trPr>
      <w:tc>
        <w:tcPr>
          <w:tcW w:w="2977" w:type="dxa"/>
          <w:vAlign w:val="center"/>
        </w:tcPr>
        <w:p w:rsidR="00C6139D" w:rsidRDefault="00C6139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rsidR="00C6139D" w:rsidRDefault="00C6139D">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 w:val="22"/>
              <w:szCs w:val="22"/>
              <w:highlight w:val="green"/>
            </w:rPr>
          </w:pPr>
        </w:p>
      </w:tc>
    </w:tr>
    <w:tr w:rsidR="00C6139D">
      <w:trPr>
        <w:trHeight w:val="342"/>
      </w:trPr>
      <w:tc>
        <w:tcPr>
          <w:tcW w:w="2977" w:type="dxa"/>
          <w:vAlign w:val="center"/>
        </w:tcPr>
        <w:p w:rsidR="00C6139D" w:rsidRDefault="00C6139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rsidR="00C6139D" w:rsidRDefault="00C6139D">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bCs/>
              <w:color w:val="000000"/>
              <w:sz w:val="22"/>
              <w:szCs w:val="22"/>
            </w:rPr>
            <w:t>Ayuntamiento de Xalatlaco</w:t>
          </w:r>
        </w:p>
      </w:tc>
    </w:tr>
    <w:tr w:rsidR="00C6139D">
      <w:trPr>
        <w:trHeight w:val="342"/>
      </w:trPr>
      <w:tc>
        <w:tcPr>
          <w:tcW w:w="2977" w:type="dxa"/>
          <w:vAlign w:val="center"/>
        </w:tcPr>
        <w:p w:rsidR="00C6139D" w:rsidRDefault="00C6139D">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rsidR="00C6139D" w:rsidRDefault="00C6139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C6139D" w:rsidRDefault="001A084B">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4.55pt;margin-top:-132.2pt;width:609.4pt;height:793.75pt;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35EDE"/>
    <w:multiLevelType w:val="hybridMultilevel"/>
    <w:tmpl w:val="99CEF316"/>
    <w:lvl w:ilvl="0" w:tplc="993E724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10D33518"/>
    <w:multiLevelType w:val="hybridMultilevel"/>
    <w:tmpl w:val="7084DF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E6C9B"/>
    <w:multiLevelType w:val="multilevel"/>
    <w:tmpl w:val="991EBFD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5C1A96"/>
    <w:multiLevelType w:val="hybridMultilevel"/>
    <w:tmpl w:val="7084DF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5855A1F"/>
    <w:multiLevelType w:val="multilevel"/>
    <w:tmpl w:val="2D3CB25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15:restartNumberingAfterBreak="0">
    <w:nsid w:val="6D8848E2"/>
    <w:multiLevelType w:val="multilevel"/>
    <w:tmpl w:val="953C8FE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1B8"/>
    <w:rsid w:val="00035884"/>
    <w:rsid w:val="000A2C52"/>
    <w:rsid w:val="000D7ACA"/>
    <w:rsid w:val="00187325"/>
    <w:rsid w:val="00191683"/>
    <w:rsid w:val="001A084B"/>
    <w:rsid w:val="00205E0B"/>
    <w:rsid w:val="00311853"/>
    <w:rsid w:val="0032569B"/>
    <w:rsid w:val="004E2E1A"/>
    <w:rsid w:val="00530644"/>
    <w:rsid w:val="00573DDF"/>
    <w:rsid w:val="006F7296"/>
    <w:rsid w:val="0071786D"/>
    <w:rsid w:val="007E3DF3"/>
    <w:rsid w:val="009B1310"/>
    <w:rsid w:val="00A05C4F"/>
    <w:rsid w:val="00AD2510"/>
    <w:rsid w:val="00B0505F"/>
    <w:rsid w:val="00B064A2"/>
    <w:rsid w:val="00B26F31"/>
    <w:rsid w:val="00B4268E"/>
    <w:rsid w:val="00C41344"/>
    <w:rsid w:val="00C6139D"/>
    <w:rsid w:val="00E50D33"/>
    <w:rsid w:val="00E54063"/>
    <w:rsid w:val="00E841B8"/>
    <w:rsid w:val="00EB4025"/>
    <w:rsid w:val="00F321C7"/>
    <w:rsid w:val="00FB622B"/>
    <w:rsid w:val="00FB6B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40B74FE-0321-4C84-90A2-79620203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1B8"/>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E841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841B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41B8"/>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E841B8"/>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841B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841B8"/>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E841B8"/>
    <w:pPr>
      <w:tabs>
        <w:tab w:val="center" w:pos="4419"/>
        <w:tab w:val="right" w:pos="8838"/>
      </w:tabs>
    </w:pPr>
  </w:style>
  <w:style w:type="character" w:customStyle="1" w:styleId="PiedepginaCar">
    <w:name w:val="Pie de página Car"/>
    <w:basedOn w:val="Fuentedeprrafopredeter"/>
    <w:link w:val="Piedepgina"/>
    <w:uiPriority w:val="99"/>
    <w:rsid w:val="00E841B8"/>
    <w:rPr>
      <w:rFonts w:ascii="Calibri" w:eastAsiaTheme="minorEastAsia" w:hAnsi="Calibri" w:cs="Calibri"/>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infoem.org.mx/es/content/informacion-publica"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5288</Words>
  <Characters>29090</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6</cp:revision>
  <cp:lastPrinted>2026-03-26T21:20:00Z</cp:lastPrinted>
  <dcterms:created xsi:type="dcterms:W3CDTF">2026-03-23T18:18:00Z</dcterms:created>
  <dcterms:modified xsi:type="dcterms:W3CDTF">2026-03-26T21:20:00Z</dcterms:modified>
</cp:coreProperties>
</file>