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11B7" w:rsidRPr="00620AB9" w:rsidRDefault="005D6661">
      <w:pPr>
        <w:spacing w:line="360" w:lineRule="auto"/>
        <w:jc w:val="both"/>
        <w:rPr>
          <w:rFonts w:ascii="Palatino Linotype" w:eastAsia="Palatino Linotype" w:hAnsi="Palatino Linotype" w:cs="Palatino Linotype"/>
          <w:b/>
          <w:sz w:val="24"/>
          <w:szCs w:val="24"/>
        </w:rPr>
      </w:pPr>
      <w:bookmarkStart w:id="0" w:name="_heading=h.d8l6vdf2enf5" w:colFirst="0" w:colLast="0"/>
      <w:bookmarkEnd w:id="0"/>
      <w:r w:rsidRPr="00620AB9">
        <w:rPr>
          <w:rFonts w:ascii="Palatino Linotype" w:eastAsia="Palatino Linotype" w:hAnsi="Palatino Linotype" w:cs="Palatino Linotype"/>
          <w:sz w:val="24"/>
          <w:szCs w:val="24"/>
        </w:rPr>
        <w:t>R</w:t>
      </w:r>
      <w:bookmarkStart w:id="1" w:name="_GoBack"/>
      <w:bookmarkEnd w:id="1"/>
      <w:r w:rsidRPr="00620AB9">
        <w:rPr>
          <w:rFonts w:ascii="Palatino Linotype" w:eastAsia="Palatino Linotype" w:hAnsi="Palatino Linotype" w:cs="Palatino Linotype"/>
          <w:sz w:val="24"/>
          <w:szCs w:val="24"/>
        </w:rPr>
        <w:t xml:space="preserve">esolución del Pleno del Instituto de Transparencia, Acceso a la Información Pública y Protección de Datos Personales del Estado de México y Municipios, con domicilio en Metepec, Estado de México; </w:t>
      </w:r>
      <w:r w:rsidRPr="00620AB9">
        <w:rPr>
          <w:rFonts w:ascii="Palatino Linotype" w:eastAsia="Palatino Linotype" w:hAnsi="Palatino Linotype" w:cs="Palatino Linotype"/>
          <w:b/>
          <w:sz w:val="24"/>
          <w:szCs w:val="24"/>
        </w:rPr>
        <w:t xml:space="preserve">de </w:t>
      </w:r>
      <w:r w:rsidR="00620AB9" w:rsidRPr="00620AB9">
        <w:rPr>
          <w:rFonts w:ascii="Palatino Linotype" w:eastAsia="Palatino Linotype" w:hAnsi="Palatino Linotype" w:cs="Palatino Linotype"/>
          <w:b/>
          <w:sz w:val="24"/>
          <w:szCs w:val="24"/>
        </w:rPr>
        <w:t xml:space="preserve">fecha </w:t>
      </w:r>
      <w:r w:rsidR="00243E13" w:rsidRPr="00620AB9">
        <w:rPr>
          <w:rFonts w:ascii="Palatino Linotype" w:eastAsia="Palatino Linotype" w:hAnsi="Palatino Linotype" w:cs="Palatino Linotype"/>
          <w:b/>
          <w:bCs/>
          <w:sz w:val="24"/>
          <w:szCs w:val="24"/>
        </w:rPr>
        <w:t>cinco</w:t>
      </w:r>
      <w:r w:rsidRPr="00620AB9">
        <w:rPr>
          <w:rFonts w:ascii="Palatino Linotype" w:eastAsia="Palatino Linotype" w:hAnsi="Palatino Linotype" w:cs="Palatino Linotype"/>
          <w:b/>
          <w:bCs/>
          <w:sz w:val="24"/>
          <w:szCs w:val="24"/>
        </w:rPr>
        <w:t xml:space="preserve"> </w:t>
      </w:r>
      <w:r w:rsidR="00620AB9" w:rsidRPr="00620AB9">
        <w:rPr>
          <w:rFonts w:ascii="Palatino Linotype" w:eastAsia="Palatino Linotype" w:hAnsi="Palatino Linotype" w:cs="Palatino Linotype"/>
          <w:b/>
          <w:bCs/>
          <w:sz w:val="24"/>
          <w:szCs w:val="24"/>
        </w:rPr>
        <w:t xml:space="preserve">(05) </w:t>
      </w:r>
      <w:r w:rsidRPr="00620AB9">
        <w:rPr>
          <w:rFonts w:ascii="Palatino Linotype" w:eastAsia="Palatino Linotype" w:hAnsi="Palatino Linotype" w:cs="Palatino Linotype"/>
          <w:b/>
          <w:bCs/>
          <w:sz w:val="24"/>
          <w:szCs w:val="24"/>
        </w:rPr>
        <w:t>de febrero de dos mil veintiséis.</w:t>
      </w:r>
    </w:p>
    <w:p w:rsidR="00DD11B7" w:rsidRPr="00620AB9" w:rsidRDefault="00DD11B7">
      <w:pPr>
        <w:spacing w:line="360" w:lineRule="auto"/>
        <w:jc w:val="both"/>
        <w:rPr>
          <w:rFonts w:ascii="Palatino Linotype" w:eastAsia="Palatino Linotype" w:hAnsi="Palatino Linotype" w:cs="Palatino Linotype"/>
          <w:sz w:val="24"/>
          <w:szCs w:val="24"/>
        </w:rPr>
      </w:pPr>
    </w:p>
    <w:p w:rsidR="00DD11B7" w:rsidRPr="00620AB9" w:rsidRDefault="005D6661">
      <w:pPr>
        <w:spacing w:line="360" w:lineRule="auto"/>
        <w:jc w:val="both"/>
        <w:rPr>
          <w:rFonts w:ascii="Palatino Linotype" w:eastAsia="Palatino Linotype" w:hAnsi="Palatino Linotype" w:cs="Palatino Linotype"/>
          <w:b/>
          <w:bCs/>
          <w:sz w:val="24"/>
          <w:szCs w:val="24"/>
        </w:rPr>
      </w:pPr>
      <w:r w:rsidRPr="00620AB9">
        <w:rPr>
          <w:rFonts w:ascii="Palatino Linotype" w:eastAsia="Palatino Linotype" w:hAnsi="Palatino Linotype" w:cs="Palatino Linotype"/>
          <w:b/>
          <w:bCs/>
          <w:sz w:val="24"/>
          <w:szCs w:val="24"/>
        </w:rPr>
        <w:t>VISTO</w:t>
      </w:r>
      <w:r w:rsidRPr="00620AB9">
        <w:rPr>
          <w:rFonts w:ascii="Palatino Linotype" w:eastAsia="Palatino Linotype" w:hAnsi="Palatino Linotype" w:cs="Palatino Linotype"/>
          <w:sz w:val="24"/>
          <w:szCs w:val="24"/>
        </w:rPr>
        <w:t xml:space="preserve"> el expediente electrónico formado con motivo del recurso de revisión</w:t>
      </w:r>
      <w:r w:rsidRPr="00620AB9">
        <w:rPr>
          <w:rFonts w:ascii="Palatino Linotype" w:eastAsia="Palatino Linotype" w:hAnsi="Palatino Linotype" w:cs="Palatino Linotype"/>
          <w:b/>
          <w:bCs/>
          <w:sz w:val="24"/>
          <w:szCs w:val="24"/>
        </w:rPr>
        <w:t xml:space="preserve">   10123/INFOEM/IP/RR/2025, </w:t>
      </w:r>
      <w:r w:rsidRPr="00620AB9">
        <w:rPr>
          <w:rFonts w:ascii="Palatino Linotype" w:eastAsia="Palatino Linotype" w:hAnsi="Palatino Linotype" w:cs="Palatino Linotype"/>
          <w:sz w:val="24"/>
          <w:szCs w:val="24"/>
        </w:rPr>
        <w:t>promovido por</w:t>
      </w:r>
      <w:r w:rsidRPr="00620AB9">
        <w:rPr>
          <w:rFonts w:ascii="Palatino Linotype" w:eastAsia="Palatino Linotype" w:hAnsi="Palatino Linotype" w:cs="Palatino Linotype"/>
          <w:b/>
          <w:bCs/>
          <w:color w:val="FF0000"/>
          <w:sz w:val="24"/>
          <w:szCs w:val="24"/>
        </w:rPr>
        <w:t xml:space="preserve"> </w:t>
      </w:r>
      <w:r w:rsidR="00D40F01">
        <w:rPr>
          <w:rFonts w:ascii="Palatino Linotype" w:eastAsia="Palatino Linotype" w:hAnsi="Palatino Linotype" w:cs="Palatino Linotype"/>
          <w:b/>
          <w:bCs/>
          <w:sz w:val="24"/>
          <w:szCs w:val="24"/>
        </w:rPr>
        <w:t>XXXX</w:t>
      </w:r>
      <w:r w:rsidR="00620AB9" w:rsidRPr="00620AB9">
        <w:rPr>
          <w:rFonts w:ascii="Palatino Linotype" w:eastAsia="Palatino Linotype" w:hAnsi="Palatino Linotype" w:cs="Palatino Linotype"/>
          <w:b/>
          <w:bCs/>
          <w:sz w:val="24"/>
          <w:szCs w:val="24"/>
        </w:rPr>
        <w:t>,</w:t>
      </w:r>
      <w:r w:rsidRPr="00620AB9">
        <w:rPr>
          <w:rFonts w:ascii="Palatino Linotype" w:eastAsia="Palatino Linotype" w:hAnsi="Palatino Linotype" w:cs="Palatino Linotype"/>
          <w:sz w:val="24"/>
          <w:szCs w:val="24"/>
        </w:rPr>
        <w:t xml:space="preserve"> a quien en lo sucesivo se identificará como </w:t>
      </w:r>
      <w:r w:rsidRPr="00620AB9">
        <w:rPr>
          <w:rFonts w:ascii="Palatino Linotype" w:eastAsia="Palatino Linotype" w:hAnsi="Palatino Linotype" w:cs="Palatino Linotype"/>
          <w:b/>
          <w:bCs/>
          <w:sz w:val="24"/>
          <w:szCs w:val="24"/>
        </w:rPr>
        <w:t>EL RECURRENTE</w:t>
      </w:r>
      <w:r w:rsidRPr="00620AB9">
        <w:rPr>
          <w:rFonts w:ascii="Palatino Linotype" w:eastAsia="Palatino Linotype" w:hAnsi="Palatino Linotype" w:cs="Palatino Linotype"/>
          <w:sz w:val="24"/>
          <w:szCs w:val="24"/>
        </w:rPr>
        <w:t xml:space="preserve">, en contra de la respuesta del </w:t>
      </w:r>
      <w:r w:rsidRPr="00620AB9">
        <w:rPr>
          <w:rFonts w:ascii="Palatino Linotype" w:eastAsia="Palatino Linotype" w:hAnsi="Palatino Linotype" w:cs="Palatino Linotype"/>
          <w:b/>
          <w:bCs/>
          <w:sz w:val="24"/>
          <w:szCs w:val="24"/>
        </w:rPr>
        <w:t xml:space="preserve">Ayuntamiento de Mexicaltzingo, </w:t>
      </w:r>
      <w:r w:rsidRPr="00620AB9">
        <w:rPr>
          <w:rFonts w:ascii="Palatino Linotype" w:eastAsia="Palatino Linotype" w:hAnsi="Palatino Linotype" w:cs="Palatino Linotype"/>
          <w:sz w:val="24"/>
          <w:szCs w:val="24"/>
        </w:rPr>
        <w:t xml:space="preserve">en </w:t>
      </w:r>
      <w:r w:rsidR="00620AB9" w:rsidRPr="00620AB9">
        <w:rPr>
          <w:rFonts w:ascii="Palatino Linotype" w:eastAsia="Palatino Linotype" w:hAnsi="Palatino Linotype" w:cs="Palatino Linotype"/>
          <w:sz w:val="24"/>
          <w:szCs w:val="24"/>
        </w:rPr>
        <w:t>adelante</w:t>
      </w:r>
      <w:r w:rsidRPr="00620AB9">
        <w:rPr>
          <w:rFonts w:ascii="Palatino Linotype" w:eastAsia="Palatino Linotype" w:hAnsi="Palatino Linotype" w:cs="Palatino Linotype"/>
          <w:sz w:val="24"/>
          <w:szCs w:val="24"/>
        </w:rPr>
        <w:t xml:space="preserve"> el</w:t>
      </w:r>
      <w:r w:rsidRPr="00620AB9">
        <w:rPr>
          <w:rFonts w:ascii="Palatino Linotype" w:eastAsia="Palatino Linotype" w:hAnsi="Palatino Linotype" w:cs="Palatino Linotype"/>
          <w:b/>
          <w:bCs/>
          <w:sz w:val="24"/>
          <w:szCs w:val="24"/>
        </w:rPr>
        <w:t xml:space="preserve"> SUJETO OBLIGADO</w:t>
      </w:r>
      <w:r w:rsidRPr="00620AB9">
        <w:rPr>
          <w:rFonts w:ascii="Palatino Linotype" w:eastAsia="Palatino Linotype" w:hAnsi="Palatino Linotype" w:cs="Palatino Linotype"/>
          <w:sz w:val="24"/>
          <w:szCs w:val="24"/>
        </w:rPr>
        <w:t>, por lo que se procede a dictar la presente resolución, con base en los siguientes:</w:t>
      </w:r>
    </w:p>
    <w:p w:rsidR="00DD11B7" w:rsidRPr="00620AB9" w:rsidRDefault="00DD11B7">
      <w:pPr>
        <w:spacing w:line="360" w:lineRule="auto"/>
        <w:jc w:val="both"/>
        <w:rPr>
          <w:rFonts w:ascii="Palatino Linotype" w:eastAsia="Palatino Linotype" w:hAnsi="Palatino Linotype" w:cs="Palatino Linotype"/>
          <w:b/>
          <w:bCs/>
          <w:sz w:val="24"/>
          <w:szCs w:val="24"/>
        </w:rPr>
      </w:pPr>
    </w:p>
    <w:p w:rsidR="00DD11B7" w:rsidRPr="00620AB9" w:rsidRDefault="005D6661">
      <w:pPr>
        <w:keepNext/>
        <w:keepLines/>
        <w:spacing w:line="360" w:lineRule="auto"/>
        <w:jc w:val="center"/>
        <w:rPr>
          <w:rFonts w:ascii="Palatino Linotype" w:eastAsia="Palatino Linotype" w:hAnsi="Palatino Linotype" w:cs="Palatino Linotype"/>
          <w:b/>
          <w:bCs/>
          <w:sz w:val="24"/>
          <w:szCs w:val="24"/>
        </w:rPr>
      </w:pPr>
      <w:bookmarkStart w:id="2" w:name="_heading=h.gjdgxs" w:colFirst="0" w:colLast="0"/>
      <w:bookmarkEnd w:id="2"/>
      <w:r w:rsidRPr="00620AB9">
        <w:rPr>
          <w:rFonts w:ascii="Palatino Linotype" w:eastAsia="Palatino Linotype" w:hAnsi="Palatino Linotype" w:cs="Palatino Linotype"/>
          <w:b/>
          <w:bCs/>
          <w:sz w:val="24"/>
          <w:szCs w:val="24"/>
        </w:rPr>
        <w:t>A</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N</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T</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E</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C</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E</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D</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E</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N</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T</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E</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S</w:t>
      </w:r>
    </w:p>
    <w:p w:rsidR="00620AB9" w:rsidRPr="00620AB9" w:rsidRDefault="00620AB9">
      <w:pPr>
        <w:keepNext/>
        <w:keepLines/>
        <w:spacing w:line="360" w:lineRule="auto"/>
        <w:jc w:val="center"/>
        <w:rPr>
          <w:rFonts w:ascii="Palatino Linotype" w:eastAsia="Palatino Linotype" w:hAnsi="Palatino Linotype" w:cs="Palatino Linotype"/>
          <w:b/>
          <w:bCs/>
          <w:sz w:val="24"/>
          <w:szCs w:val="24"/>
        </w:rPr>
      </w:pPr>
    </w:p>
    <w:p w:rsidR="00DD11B7" w:rsidRPr="00620AB9" w:rsidRDefault="005D6661">
      <w:pPr>
        <w:numPr>
          <w:ilvl w:val="0"/>
          <w:numId w:val="1"/>
        </w:numPr>
        <w:spacing w:line="360" w:lineRule="auto"/>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El </w:t>
      </w:r>
      <w:r w:rsidRPr="00620AB9">
        <w:rPr>
          <w:rFonts w:ascii="Palatino Linotype" w:eastAsia="Palatino Linotype" w:hAnsi="Palatino Linotype" w:cs="Palatino Linotype"/>
          <w:b/>
          <w:bCs/>
          <w:sz w:val="24"/>
          <w:szCs w:val="24"/>
        </w:rPr>
        <w:t>dieciocho de julio de dos mil veinticinco</w:t>
      </w:r>
      <w:r w:rsidRPr="00620AB9">
        <w:rPr>
          <w:rFonts w:ascii="Palatino Linotype" w:eastAsia="Palatino Linotype" w:hAnsi="Palatino Linotype" w:cs="Palatino Linotype"/>
          <w:sz w:val="24"/>
          <w:szCs w:val="24"/>
        </w:rPr>
        <w:t xml:space="preserve">, </w:t>
      </w:r>
      <w:r w:rsidRPr="00620AB9">
        <w:rPr>
          <w:rFonts w:ascii="Palatino Linotype" w:eastAsia="Palatino Linotype" w:hAnsi="Palatino Linotype" w:cs="Palatino Linotype"/>
          <w:b/>
          <w:bCs/>
          <w:sz w:val="24"/>
          <w:szCs w:val="24"/>
        </w:rPr>
        <w:t>EL RECURRENTE,</w:t>
      </w:r>
      <w:r w:rsidRPr="00620AB9">
        <w:rPr>
          <w:rFonts w:ascii="Palatino Linotype" w:eastAsia="Palatino Linotype" w:hAnsi="Palatino Linotype" w:cs="Palatino Linotype"/>
          <w:sz w:val="24"/>
          <w:szCs w:val="24"/>
        </w:rPr>
        <w:t xml:space="preserve"> ante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vía Sistema de Acceso a la Información Mexiquense (</w:t>
      </w:r>
      <w:r w:rsidRPr="00620AB9">
        <w:rPr>
          <w:rFonts w:ascii="Palatino Linotype" w:eastAsia="Palatino Linotype" w:hAnsi="Palatino Linotype" w:cs="Palatino Linotype"/>
          <w:b/>
          <w:bCs/>
          <w:sz w:val="24"/>
          <w:szCs w:val="24"/>
        </w:rPr>
        <w:t>SAIMEX)</w:t>
      </w:r>
      <w:r w:rsidRPr="00620AB9">
        <w:rPr>
          <w:rFonts w:ascii="Palatino Linotype" w:eastAsia="Palatino Linotype" w:hAnsi="Palatino Linotype" w:cs="Palatino Linotype"/>
          <w:sz w:val="24"/>
          <w:szCs w:val="24"/>
        </w:rPr>
        <w:t>,presentó la solicitud de información registrada con el número</w:t>
      </w:r>
      <w:r w:rsidRPr="00620AB9">
        <w:rPr>
          <w:rFonts w:ascii="Palatino Linotype" w:eastAsia="Palatino Linotype" w:hAnsi="Palatino Linotype" w:cs="Palatino Linotype"/>
          <w:b/>
          <w:bCs/>
          <w:sz w:val="24"/>
          <w:szCs w:val="24"/>
        </w:rPr>
        <w:t xml:space="preserve"> 00438/MEXICAL/IP/2025, </w:t>
      </w:r>
      <w:r w:rsidR="00620AB9" w:rsidRPr="00620AB9">
        <w:rPr>
          <w:rFonts w:ascii="Palatino Linotype" w:eastAsia="Palatino Linotype" w:hAnsi="Palatino Linotype" w:cs="Palatino Linotype"/>
          <w:sz w:val="24"/>
          <w:szCs w:val="24"/>
        </w:rPr>
        <w:t>en la que se</w:t>
      </w:r>
      <w:r w:rsidRPr="00620AB9">
        <w:rPr>
          <w:rFonts w:ascii="Palatino Linotype" w:eastAsia="Palatino Linotype" w:hAnsi="Palatino Linotype" w:cs="Palatino Linotype"/>
          <w:sz w:val="24"/>
          <w:szCs w:val="24"/>
        </w:rPr>
        <w:t xml:space="preserve"> solicitó lo siguiente:</w:t>
      </w:r>
    </w:p>
    <w:p w:rsidR="00DD11B7" w:rsidRPr="00620AB9" w:rsidRDefault="00DD11B7">
      <w:pPr>
        <w:pBdr>
          <w:top w:val="nil"/>
          <w:left w:val="nil"/>
          <w:bottom w:val="nil"/>
          <w:right w:val="nil"/>
          <w:between w:val="nil"/>
        </w:pBdr>
        <w:spacing w:line="360" w:lineRule="auto"/>
        <w:ind w:left="1069" w:right="567"/>
        <w:jc w:val="both"/>
        <w:rPr>
          <w:rFonts w:ascii="Palatino Linotype" w:eastAsia="Palatino Linotype" w:hAnsi="Palatino Linotype" w:cs="Palatino Linotype"/>
          <w:i/>
          <w:iCs/>
          <w:color w:val="000000"/>
          <w:sz w:val="24"/>
          <w:szCs w:val="24"/>
        </w:rPr>
      </w:pPr>
    </w:p>
    <w:p w:rsidR="00DD11B7" w:rsidRPr="00620AB9" w:rsidRDefault="005D6661">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r w:rsidRPr="00620AB9">
        <w:rPr>
          <w:rFonts w:ascii="Palatino Linotype" w:eastAsia="Palatino Linotype" w:hAnsi="Palatino Linotype" w:cs="Palatino Linotype"/>
          <w:i/>
          <w:iCs/>
          <w:color w:val="000000"/>
          <w:sz w:val="24"/>
          <w:szCs w:val="24"/>
        </w:rPr>
        <w:t>“</w:t>
      </w:r>
      <w:r w:rsidRPr="00620AB9">
        <w:rPr>
          <w:rFonts w:ascii="Palatino Linotype" w:eastAsia="Palatino Linotype" w:hAnsi="Palatino Linotype" w:cs="Palatino Linotype"/>
          <w:i/>
          <w:iCs/>
          <w:color w:val="000000"/>
          <w:sz w:val="24"/>
          <w:szCs w:val="24"/>
        </w:rPr>
        <w:tab/>
        <w:t xml:space="preserve">Quien es el encargado de cargar i formación al sistema electrónico de adquisiciones y contrataciones El director de obras públicas, tesorero y administración asen uso de el “ (Sic) </w:t>
      </w:r>
    </w:p>
    <w:p w:rsidR="00DD11B7" w:rsidRPr="00620AB9" w:rsidRDefault="00DD11B7">
      <w:pPr>
        <w:pBdr>
          <w:top w:val="nil"/>
          <w:left w:val="nil"/>
          <w:bottom w:val="nil"/>
          <w:right w:val="nil"/>
          <w:between w:val="nil"/>
        </w:pBdr>
        <w:ind w:left="567" w:right="567"/>
        <w:jc w:val="both"/>
        <w:rPr>
          <w:rFonts w:ascii="Palatino Linotype" w:eastAsia="Palatino Linotype" w:hAnsi="Palatino Linotype" w:cs="Palatino Linotype"/>
          <w:i/>
          <w:iCs/>
          <w:color w:val="000000"/>
          <w:sz w:val="24"/>
          <w:szCs w:val="24"/>
        </w:rPr>
      </w:pPr>
    </w:p>
    <w:p w:rsidR="00620AB9" w:rsidRPr="00620AB9" w:rsidRDefault="00620AB9" w:rsidP="00620AB9">
      <w:pPr>
        <w:pBdr>
          <w:top w:val="nil"/>
          <w:left w:val="nil"/>
          <w:bottom w:val="nil"/>
          <w:right w:val="nil"/>
          <w:between w:val="nil"/>
        </w:pBdr>
        <w:ind w:right="567"/>
        <w:jc w:val="both"/>
        <w:rPr>
          <w:rFonts w:ascii="Palatino Linotype" w:eastAsia="Palatino Linotype" w:hAnsi="Palatino Linotype" w:cs="Palatino Linotype"/>
          <w:i/>
          <w:iCs/>
          <w:color w:val="000000"/>
          <w:sz w:val="24"/>
          <w:szCs w:val="24"/>
        </w:rPr>
      </w:pPr>
    </w:p>
    <w:p w:rsidR="00DD11B7" w:rsidRPr="00620AB9" w:rsidRDefault="005D6661" w:rsidP="00620AB9">
      <w:pPr>
        <w:numPr>
          <w:ilvl w:val="0"/>
          <w:numId w:val="2"/>
        </w:numPr>
        <w:spacing w:line="360" w:lineRule="auto"/>
        <w:ind w:left="0" w:right="567"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Modalidad de entrega: </w:t>
      </w:r>
      <w:r w:rsidRPr="00620AB9">
        <w:rPr>
          <w:rFonts w:ascii="Palatino Linotype" w:eastAsia="Palatino Linotype" w:hAnsi="Palatino Linotype" w:cs="Palatino Linotype"/>
          <w:b/>
          <w:bCs/>
          <w:sz w:val="24"/>
          <w:szCs w:val="24"/>
        </w:rPr>
        <w:t>Vía SAIMEX.</w:t>
      </w:r>
    </w:p>
    <w:p w:rsidR="00DD11B7" w:rsidRPr="00620AB9" w:rsidRDefault="00DD11B7">
      <w:pPr>
        <w:spacing w:line="360" w:lineRule="auto"/>
        <w:ind w:left="1146" w:right="567"/>
        <w:jc w:val="both"/>
        <w:rPr>
          <w:rFonts w:ascii="Palatino Linotype" w:eastAsia="Palatino Linotype" w:hAnsi="Palatino Linotype" w:cs="Palatino Linotype"/>
          <w:sz w:val="24"/>
          <w:szCs w:val="24"/>
        </w:rPr>
      </w:pPr>
    </w:p>
    <w:p w:rsidR="00DD11B7" w:rsidRPr="00620AB9" w:rsidRDefault="005D6661">
      <w:pPr>
        <w:numPr>
          <w:ilvl w:val="0"/>
          <w:numId w:val="1"/>
        </w:numPr>
        <w:spacing w:line="360" w:lineRule="auto"/>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El </w:t>
      </w:r>
      <w:r w:rsidRPr="00620AB9">
        <w:rPr>
          <w:rFonts w:ascii="Palatino Linotype" w:eastAsia="Palatino Linotype" w:hAnsi="Palatino Linotype" w:cs="Palatino Linotype"/>
          <w:b/>
          <w:bCs/>
          <w:sz w:val="24"/>
          <w:szCs w:val="24"/>
        </w:rPr>
        <w:t xml:space="preserve">veintidós de agosto de dos mil veinticinco, </w:t>
      </w:r>
      <w:r w:rsidRPr="00620AB9">
        <w:rPr>
          <w:rFonts w:ascii="Palatino Linotype" w:eastAsia="Palatino Linotype" w:hAnsi="Palatino Linotype" w:cs="Palatino Linotype"/>
          <w:sz w:val="24"/>
          <w:szCs w:val="24"/>
        </w:rPr>
        <w:t xml:space="preserve">el </w:t>
      </w:r>
      <w:r w:rsidRPr="00620AB9">
        <w:rPr>
          <w:rFonts w:ascii="Palatino Linotype" w:eastAsia="Palatino Linotype" w:hAnsi="Palatino Linotype" w:cs="Palatino Linotype"/>
          <w:b/>
          <w:bCs/>
          <w:sz w:val="24"/>
          <w:szCs w:val="24"/>
        </w:rPr>
        <w:t>SUJETO O</w:t>
      </w:r>
      <w:r w:rsidRPr="00620AB9">
        <w:rPr>
          <w:rFonts w:ascii="Palatino Linotype" w:eastAsia="Palatino Linotype" w:hAnsi="Palatino Linotype" w:cs="Palatino Linotype"/>
          <w:sz w:val="24"/>
          <w:szCs w:val="24"/>
        </w:rPr>
        <w:t>B</w:t>
      </w:r>
      <w:r w:rsidRPr="00620AB9">
        <w:rPr>
          <w:rFonts w:ascii="Palatino Linotype" w:eastAsia="Palatino Linotype" w:hAnsi="Palatino Linotype" w:cs="Palatino Linotype"/>
          <w:b/>
          <w:bCs/>
          <w:sz w:val="24"/>
          <w:szCs w:val="24"/>
        </w:rPr>
        <w:t xml:space="preserve">LIGADO </w:t>
      </w:r>
      <w:r w:rsidRPr="00620AB9">
        <w:rPr>
          <w:rFonts w:ascii="Palatino Linotype" w:eastAsia="Palatino Linotype" w:hAnsi="Palatino Linotype" w:cs="Palatino Linotype"/>
          <w:sz w:val="24"/>
          <w:szCs w:val="24"/>
        </w:rPr>
        <w:t xml:space="preserve">dio </w:t>
      </w:r>
      <w:r w:rsidRPr="00620AB9">
        <w:rPr>
          <w:rFonts w:ascii="Palatino Linotype" w:eastAsia="Palatino Linotype" w:hAnsi="Palatino Linotype" w:cs="Palatino Linotype"/>
          <w:b/>
          <w:bCs/>
          <w:sz w:val="24"/>
          <w:szCs w:val="24"/>
        </w:rPr>
        <w:t>RESPUESTA</w:t>
      </w:r>
      <w:r w:rsidRPr="00620AB9">
        <w:rPr>
          <w:rFonts w:ascii="Palatino Linotype" w:eastAsia="Palatino Linotype" w:hAnsi="Palatino Linotype" w:cs="Palatino Linotype"/>
          <w:sz w:val="24"/>
          <w:szCs w:val="24"/>
        </w:rPr>
        <w:t>, a través del Tesorero Municipal quien informó que,</w:t>
      </w:r>
      <w:r w:rsidRPr="00620AB9">
        <w:rPr>
          <w:rFonts w:ascii="Palatino Linotype" w:eastAsia="Palatino Linotype" w:hAnsi="Palatino Linotype" w:cs="Palatino Linotype"/>
          <w:i/>
          <w:iCs/>
          <w:sz w:val="24"/>
          <w:szCs w:val="24"/>
        </w:rPr>
        <w:t xml:space="preserve"> “en este Ente Municipal no se </w:t>
      </w:r>
      <w:r w:rsidRPr="00620AB9">
        <w:rPr>
          <w:rFonts w:ascii="Palatino Linotype" w:eastAsia="Palatino Linotype" w:hAnsi="Palatino Linotype" w:cs="Palatino Linotype"/>
          <w:i/>
          <w:iCs/>
          <w:sz w:val="24"/>
          <w:szCs w:val="24"/>
        </w:rPr>
        <w:lastRenderedPageBreak/>
        <w:t>cuenta con sistema electrónico de adquisiciones y contrataciones. Respuesta realizada por la Tesorería Municipal”</w:t>
      </w:r>
    </w:p>
    <w:p w:rsidR="00DD11B7" w:rsidRPr="00620AB9" w:rsidRDefault="00DD11B7">
      <w:pPr>
        <w:jc w:val="both"/>
        <w:rPr>
          <w:rFonts w:ascii="Palatino Linotype" w:eastAsia="Palatino Linotype" w:hAnsi="Palatino Linotype" w:cs="Palatino Linotype"/>
          <w:sz w:val="24"/>
          <w:szCs w:val="24"/>
        </w:rPr>
      </w:pPr>
    </w:p>
    <w:p w:rsidR="00DD11B7" w:rsidRPr="00620AB9" w:rsidRDefault="005D6661">
      <w:pPr>
        <w:numPr>
          <w:ilvl w:val="0"/>
          <w:numId w:val="1"/>
        </w:numPr>
        <w:spacing w:line="360" w:lineRule="auto"/>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Inconforme con lo anterior, el </w:t>
      </w:r>
      <w:r w:rsidRPr="00620AB9">
        <w:rPr>
          <w:rFonts w:ascii="Palatino Linotype" w:eastAsia="Palatino Linotype" w:hAnsi="Palatino Linotype" w:cs="Palatino Linotype"/>
          <w:b/>
          <w:bCs/>
          <w:sz w:val="24"/>
          <w:szCs w:val="24"/>
        </w:rPr>
        <w:t>veintisiete de agosto de dos mil veinticinco</w:t>
      </w:r>
      <w:r w:rsidRPr="00620AB9">
        <w:rPr>
          <w:rFonts w:ascii="Palatino Linotype" w:eastAsia="Palatino Linotype" w:hAnsi="Palatino Linotype" w:cs="Palatino Linotype"/>
          <w:sz w:val="24"/>
          <w:szCs w:val="24"/>
        </w:rPr>
        <w:t xml:space="preserve">,  el </w:t>
      </w:r>
      <w:r w:rsidRPr="00620AB9">
        <w:rPr>
          <w:rFonts w:ascii="Palatino Linotype" w:eastAsia="Palatino Linotype" w:hAnsi="Palatino Linotype" w:cs="Palatino Linotype"/>
          <w:b/>
          <w:bCs/>
          <w:sz w:val="24"/>
          <w:szCs w:val="24"/>
        </w:rPr>
        <w:t xml:space="preserve">SUJETO OBLIGADO </w:t>
      </w:r>
      <w:r w:rsidRPr="00620AB9">
        <w:rPr>
          <w:rFonts w:ascii="Palatino Linotype" w:eastAsia="Palatino Linotype" w:hAnsi="Palatino Linotype" w:cs="Palatino Linotype"/>
          <w:sz w:val="24"/>
          <w:szCs w:val="24"/>
        </w:rPr>
        <w:t xml:space="preserve">interpuso recurso de revisión, arguyendo como </w:t>
      </w:r>
    </w:p>
    <w:p w:rsidR="00DD11B7" w:rsidRPr="00620AB9" w:rsidRDefault="00DD11B7">
      <w:pPr>
        <w:spacing w:line="360" w:lineRule="auto"/>
        <w:jc w:val="both"/>
        <w:rPr>
          <w:rFonts w:ascii="Palatino Linotype" w:eastAsia="Palatino Linotype" w:hAnsi="Palatino Linotype" w:cs="Palatino Linotype"/>
          <w:sz w:val="24"/>
          <w:szCs w:val="24"/>
        </w:rPr>
      </w:pPr>
    </w:p>
    <w:p w:rsidR="00DD11B7" w:rsidRPr="00620AB9" w:rsidRDefault="00620AB9" w:rsidP="00620AB9">
      <w:pPr>
        <w:pStyle w:val="Prrafodelista"/>
        <w:numPr>
          <w:ilvl w:val="0"/>
          <w:numId w:val="8"/>
        </w:numPr>
        <w:pBdr>
          <w:top w:val="nil"/>
          <w:left w:val="nil"/>
          <w:bottom w:val="nil"/>
          <w:right w:val="nil"/>
          <w:between w:val="nil"/>
        </w:pBdr>
        <w:ind w:right="539"/>
        <w:jc w:val="both"/>
        <w:rPr>
          <w:rFonts w:ascii="Palatino Linotype" w:eastAsia="Palatino Linotype" w:hAnsi="Palatino Linotype" w:cs="Palatino Linotype"/>
          <w:i/>
          <w:iCs/>
          <w:color w:val="000000"/>
          <w:sz w:val="24"/>
        </w:rPr>
      </w:pPr>
      <w:r w:rsidRPr="00620AB9">
        <w:rPr>
          <w:rFonts w:ascii="Palatino Linotype" w:eastAsia="Palatino Linotype" w:hAnsi="Palatino Linotype" w:cs="Palatino Linotype"/>
          <w:b/>
          <w:bCs/>
          <w:color w:val="000000"/>
          <w:sz w:val="24"/>
        </w:rPr>
        <w:t>ACTO IMPUGNADO</w:t>
      </w:r>
      <w:r w:rsidR="005D6661" w:rsidRPr="00620AB9">
        <w:rPr>
          <w:rFonts w:ascii="Palatino Linotype" w:eastAsia="Palatino Linotype" w:hAnsi="Palatino Linotype" w:cs="Palatino Linotype"/>
          <w:b/>
          <w:bCs/>
          <w:i/>
          <w:iCs/>
          <w:color w:val="000000"/>
          <w:sz w:val="24"/>
        </w:rPr>
        <w:t>:</w:t>
      </w:r>
      <w:r w:rsidR="005D6661" w:rsidRPr="00620AB9">
        <w:rPr>
          <w:rFonts w:ascii="Palatino Linotype" w:eastAsia="Palatino Linotype" w:hAnsi="Palatino Linotype" w:cs="Palatino Linotype"/>
          <w:color w:val="000000"/>
          <w:sz w:val="24"/>
        </w:rPr>
        <w:t xml:space="preserve"> </w:t>
      </w:r>
      <w:r w:rsidR="005D6661" w:rsidRPr="00620AB9">
        <w:rPr>
          <w:rFonts w:ascii="Palatino Linotype" w:eastAsia="Palatino Linotype" w:hAnsi="Palatino Linotype" w:cs="Palatino Linotype"/>
          <w:i/>
          <w:iCs/>
          <w:color w:val="000000"/>
          <w:sz w:val="24"/>
        </w:rPr>
        <w:t>“No entrego información” (sic)</w:t>
      </w:r>
    </w:p>
    <w:p w:rsidR="00DD11B7" w:rsidRPr="00620AB9" w:rsidRDefault="00DD11B7" w:rsidP="00620AB9">
      <w:pPr>
        <w:pBdr>
          <w:top w:val="nil"/>
          <w:left w:val="nil"/>
          <w:bottom w:val="nil"/>
          <w:right w:val="nil"/>
          <w:between w:val="nil"/>
        </w:pBdr>
        <w:spacing w:line="360" w:lineRule="auto"/>
        <w:ind w:right="539"/>
        <w:jc w:val="both"/>
        <w:rPr>
          <w:rFonts w:ascii="Palatino Linotype" w:eastAsia="Palatino Linotype" w:hAnsi="Palatino Linotype" w:cs="Palatino Linotype"/>
          <w:color w:val="000000"/>
          <w:sz w:val="24"/>
          <w:szCs w:val="24"/>
        </w:rPr>
      </w:pPr>
    </w:p>
    <w:p w:rsidR="00DD11B7" w:rsidRPr="00620AB9" w:rsidRDefault="00620AB9" w:rsidP="00620AB9">
      <w:pPr>
        <w:pStyle w:val="Prrafodelista"/>
        <w:numPr>
          <w:ilvl w:val="0"/>
          <w:numId w:val="8"/>
        </w:numPr>
        <w:pBdr>
          <w:top w:val="nil"/>
          <w:left w:val="nil"/>
          <w:bottom w:val="nil"/>
          <w:right w:val="nil"/>
          <w:between w:val="nil"/>
        </w:pBdr>
        <w:ind w:right="539"/>
        <w:jc w:val="both"/>
        <w:rPr>
          <w:rFonts w:ascii="Palatino Linotype" w:eastAsia="Palatino Linotype" w:hAnsi="Palatino Linotype" w:cs="Palatino Linotype"/>
          <w:color w:val="000000"/>
          <w:sz w:val="24"/>
        </w:rPr>
      </w:pPr>
      <w:r w:rsidRPr="00620AB9">
        <w:rPr>
          <w:rFonts w:ascii="Palatino Linotype" w:eastAsia="Palatino Linotype" w:hAnsi="Palatino Linotype" w:cs="Palatino Linotype"/>
          <w:b/>
          <w:bCs/>
          <w:color w:val="000000"/>
          <w:sz w:val="24"/>
        </w:rPr>
        <w:t>RAZONES O MOTIVOS DE INCONFORMIDAD</w:t>
      </w:r>
      <w:r w:rsidR="005D6661" w:rsidRPr="00620AB9">
        <w:rPr>
          <w:rFonts w:ascii="Palatino Linotype" w:eastAsia="Palatino Linotype" w:hAnsi="Palatino Linotype" w:cs="Palatino Linotype"/>
          <w:b/>
          <w:bCs/>
          <w:color w:val="000000"/>
          <w:sz w:val="24"/>
        </w:rPr>
        <w:t>: “</w:t>
      </w:r>
      <w:r w:rsidR="005D6661" w:rsidRPr="00620AB9">
        <w:rPr>
          <w:rFonts w:ascii="Palatino Linotype" w:eastAsia="Palatino Linotype" w:hAnsi="Palatino Linotype" w:cs="Palatino Linotype"/>
          <w:i/>
          <w:iCs/>
          <w:color w:val="000000"/>
          <w:sz w:val="24"/>
        </w:rPr>
        <w:t>Oculta información “(Sic)</w:t>
      </w:r>
    </w:p>
    <w:p w:rsidR="00DD11B7" w:rsidRPr="00620AB9" w:rsidRDefault="00DD11B7">
      <w:pPr>
        <w:pBdr>
          <w:top w:val="nil"/>
          <w:left w:val="nil"/>
          <w:bottom w:val="nil"/>
          <w:right w:val="nil"/>
          <w:between w:val="nil"/>
        </w:pBdr>
        <w:ind w:left="720"/>
        <w:rPr>
          <w:rFonts w:ascii="Palatino Linotype" w:eastAsia="Palatino Linotype" w:hAnsi="Palatino Linotype" w:cs="Palatino Linotype"/>
          <w:color w:val="000000"/>
          <w:sz w:val="24"/>
          <w:szCs w:val="24"/>
        </w:rPr>
      </w:pPr>
    </w:p>
    <w:p w:rsidR="00DD11B7" w:rsidRPr="00620AB9" w:rsidRDefault="00DD11B7">
      <w:pPr>
        <w:pBdr>
          <w:top w:val="nil"/>
          <w:left w:val="nil"/>
          <w:bottom w:val="nil"/>
          <w:right w:val="nil"/>
          <w:between w:val="nil"/>
        </w:pBdr>
        <w:ind w:left="720" w:right="539" w:hanging="360"/>
        <w:jc w:val="both"/>
        <w:rPr>
          <w:rFonts w:ascii="Palatino Linotype" w:eastAsia="Palatino Linotype" w:hAnsi="Palatino Linotype" w:cs="Palatino Linotype"/>
          <w:color w:val="000000"/>
          <w:sz w:val="24"/>
          <w:szCs w:val="24"/>
        </w:rPr>
      </w:pPr>
    </w:p>
    <w:p w:rsidR="00DD11B7" w:rsidRPr="00620AB9" w:rsidRDefault="005D6661">
      <w:pPr>
        <w:numPr>
          <w:ilvl w:val="0"/>
          <w:numId w:val="1"/>
        </w:numPr>
        <w:spacing w:line="360" w:lineRule="auto"/>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Se registró el recurso de revisión bajo el número de expediente al rubro indicado, asimismo con fundamento en lo dispuesto por el artículo 185 fracción I de la </w:t>
      </w:r>
      <w:r w:rsidRPr="00620AB9">
        <w:rPr>
          <w:rFonts w:ascii="Palatino Linotype" w:eastAsia="Palatino Linotype" w:hAnsi="Palatino Linotype" w:cs="Palatino Linotype"/>
          <w:b/>
          <w:bCs/>
          <w:sz w:val="24"/>
          <w:szCs w:val="24"/>
        </w:rPr>
        <w:t xml:space="preserve">Ley de Transparencia y Acceso a la Información Pública del Estado de México y Municipios </w:t>
      </w:r>
      <w:r w:rsidRPr="00620AB9">
        <w:rPr>
          <w:rFonts w:ascii="Palatino Linotype" w:eastAsia="Palatino Linotype" w:hAnsi="Palatino Linotype" w:cs="Palatino Linotype"/>
          <w:sz w:val="24"/>
          <w:szCs w:val="24"/>
        </w:rPr>
        <w:t xml:space="preserve">se turnó a la </w:t>
      </w:r>
      <w:r w:rsidRPr="00620AB9">
        <w:rPr>
          <w:rFonts w:ascii="Palatino Linotype" w:eastAsia="Palatino Linotype" w:hAnsi="Palatino Linotype" w:cs="Palatino Linotype"/>
          <w:b/>
          <w:bCs/>
          <w:sz w:val="24"/>
          <w:szCs w:val="24"/>
        </w:rPr>
        <w:t xml:space="preserve">Comisionada María del Rosario Mejía Ayala, </w:t>
      </w:r>
      <w:r w:rsidR="00620AB9" w:rsidRPr="00620AB9">
        <w:rPr>
          <w:rFonts w:ascii="Palatino Linotype" w:eastAsia="Palatino Linotype" w:hAnsi="Palatino Linotype" w:cs="Palatino Linotype"/>
          <w:sz w:val="24"/>
          <w:szCs w:val="24"/>
        </w:rPr>
        <w:t>para</w:t>
      </w:r>
      <w:r w:rsidRPr="00620AB9">
        <w:rPr>
          <w:rFonts w:ascii="Palatino Linotype" w:eastAsia="Palatino Linotype" w:hAnsi="Palatino Linotype" w:cs="Palatino Linotype"/>
          <w:sz w:val="24"/>
          <w:szCs w:val="24"/>
        </w:rPr>
        <w:t xml:space="preserve"> su análisis. </w:t>
      </w:r>
    </w:p>
    <w:p w:rsidR="00DD11B7" w:rsidRPr="00620AB9" w:rsidRDefault="00DD11B7">
      <w:pPr>
        <w:spacing w:line="360" w:lineRule="auto"/>
        <w:jc w:val="both"/>
        <w:rPr>
          <w:rFonts w:ascii="Palatino Linotype" w:eastAsia="Palatino Linotype" w:hAnsi="Palatino Linotype" w:cs="Palatino Linotype"/>
          <w:sz w:val="24"/>
          <w:szCs w:val="24"/>
        </w:rPr>
      </w:pPr>
    </w:p>
    <w:p w:rsidR="00DD11B7" w:rsidRPr="00620AB9" w:rsidRDefault="00620AB9">
      <w:pPr>
        <w:numPr>
          <w:ilvl w:val="0"/>
          <w:numId w:val="1"/>
        </w:numPr>
        <w:spacing w:line="360" w:lineRule="auto"/>
        <w:ind w:left="0" w:firstLine="0"/>
        <w:jc w:val="both"/>
        <w:rPr>
          <w:rFonts w:ascii="Palatino Linotype" w:eastAsia="Palatino Linotype" w:hAnsi="Palatino Linotype" w:cs="Palatino Linotype"/>
          <w:i/>
          <w:iCs/>
          <w:sz w:val="24"/>
          <w:szCs w:val="24"/>
        </w:rPr>
      </w:pPr>
      <w:r w:rsidRPr="00620AB9">
        <w:rPr>
          <w:rFonts w:ascii="Palatino Linotype" w:eastAsia="Palatino Linotype" w:hAnsi="Palatino Linotype" w:cs="Palatino Linotype"/>
          <w:sz w:val="24"/>
          <w:szCs w:val="24"/>
        </w:rPr>
        <w:t>La Comisionada p</w:t>
      </w:r>
      <w:r w:rsidR="005D6661" w:rsidRPr="00620AB9">
        <w:rPr>
          <w:rFonts w:ascii="Palatino Linotype" w:eastAsia="Palatino Linotype" w:hAnsi="Palatino Linotype" w:cs="Palatino Linotype"/>
          <w:sz w:val="24"/>
          <w:szCs w:val="24"/>
        </w:rPr>
        <w:t xml:space="preserve">onente con fundamento en lo dispuesto por el artículo 18 fracción II de la ley de la materia, a través del acuerdo de admisión notificado el </w:t>
      </w:r>
      <w:r w:rsidR="005D6661" w:rsidRPr="00620AB9">
        <w:rPr>
          <w:rFonts w:ascii="Palatino Linotype" w:eastAsia="Palatino Linotype" w:hAnsi="Palatino Linotype" w:cs="Palatino Linotype"/>
          <w:b/>
          <w:bCs/>
          <w:sz w:val="24"/>
          <w:szCs w:val="24"/>
        </w:rPr>
        <w:t>veintinueve de agosto de dos mil veinticinco,</w:t>
      </w:r>
      <w:r w:rsidR="005D6661" w:rsidRPr="00620AB9">
        <w:rPr>
          <w:rFonts w:ascii="Palatino Linotype" w:eastAsia="Palatino Linotype" w:hAnsi="Palatino Linotype" w:cs="Palatino Linotype"/>
          <w:sz w:val="24"/>
          <w:szCs w:val="24"/>
        </w:rPr>
        <w:t xml:space="preserve"> se puso a disposición de las partes el expediente electrónico vía </w:t>
      </w:r>
      <w:r w:rsidR="005D6661" w:rsidRPr="00620AB9">
        <w:rPr>
          <w:rFonts w:ascii="Palatino Linotype" w:eastAsia="Palatino Linotype" w:hAnsi="Palatino Linotype" w:cs="Palatino Linotype"/>
          <w:b/>
          <w:bCs/>
          <w:sz w:val="24"/>
          <w:szCs w:val="24"/>
        </w:rPr>
        <w:t xml:space="preserve">SAIMEX </w:t>
      </w:r>
      <w:r w:rsidR="005D6661" w:rsidRPr="00620AB9">
        <w:rPr>
          <w:rFonts w:ascii="Palatino Linotype" w:eastAsia="Palatino Linotype" w:hAnsi="Palatino Linotype" w:cs="Palatino Linotype"/>
          <w:sz w:val="24"/>
          <w:szCs w:val="24"/>
        </w:rPr>
        <w:t xml:space="preserve">a efecto de que en un plazo máximo de siete días manifestaran lo que a derecho convinieran, ofrecieran pruebas y alegatos según corresponda al caso concreto, de esta forma para que el </w:t>
      </w:r>
      <w:r w:rsidR="005D6661" w:rsidRPr="00620AB9">
        <w:rPr>
          <w:rFonts w:ascii="Palatino Linotype" w:eastAsia="Palatino Linotype" w:hAnsi="Palatino Linotype" w:cs="Palatino Linotype"/>
          <w:b/>
          <w:bCs/>
          <w:sz w:val="24"/>
          <w:szCs w:val="24"/>
        </w:rPr>
        <w:t>SUJETO OBLIGADO</w:t>
      </w:r>
      <w:r w:rsidR="005D6661" w:rsidRPr="00620AB9">
        <w:rPr>
          <w:rFonts w:ascii="Palatino Linotype" w:eastAsia="Palatino Linotype" w:hAnsi="Palatino Linotype" w:cs="Palatino Linotype"/>
          <w:sz w:val="24"/>
          <w:szCs w:val="24"/>
        </w:rPr>
        <w:t xml:space="preserve"> presentara el informe justificado procedente. </w:t>
      </w:r>
    </w:p>
    <w:p w:rsidR="00DD11B7" w:rsidRPr="00620AB9" w:rsidRDefault="00DD11B7">
      <w:pPr>
        <w:pBdr>
          <w:top w:val="nil"/>
          <w:left w:val="nil"/>
          <w:bottom w:val="nil"/>
          <w:right w:val="nil"/>
          <w:between w:val="nil"/>
        </w:pBdr>
        <w:ind w:left="720"/>
        <w:rPr>
          <w:rFonts w:ascii="Palatino Linotype" w:eastAsia="Palatino Linotype" w:hAnsi="Palatino Linotype" w:cs="Palatino Linotype"/>
          <w:i/>
          <w:iCs/>
          <w:color w:val="000000"/>
          <w:sz w:val="24"/>
          <w:szCs w:val="24"/>
        </w:rPr>
      </w:pPr>
    </w:p>
    <w:p w:rsidR="00DD11B7" w:rsidRPr="00620AB9" w:rsidRDefault="00DD11B7">
      <w:pPr>
        <w:spacing w:line="360" w:lineRule="auto"/>
        <w:jc w:val="both"/>
        <w:rPr>
          <w:rFonts w:ascii="Palatino Linotype" w:eastAsia="Palatino Linotype" w:hAnsi="Palatino Linotype" w:cs="Palatino Linotype"/>
          <w:i/>
          <w:iCs/>
          <w:sz w:val="24"/>
          <w:szCs w:val="24"/>
        </w:rPr>
      </w:pPr>
    </w:p>
    <w:p w:rsidR="00DD11B7" w:rsidRPr="00620AB9" w:rsidRDefault="00DD11B7">
      <w:pPr>
        <w:spacing w:line="360" w:lineRule="auto"/>
        <w:jc w:val="both"/>
        <w:rPr>
          <w:rFonts w:ascii="Palatino Linotype" w:eastAsia="Palatino Linotype" w:hAnsi="Palatino Linotype" w:cs="Palatino Linotype"/>
          <w:i/>
          <w:iCs/>
          <w:sz w:val="24"/>
          <w:szCs w:val="24"/>
        </w:rPr>
      </w:pPr>
    </w:p>
    <w:p w:rsidR="00DD11B7" w:rsidRPr="00620AB9" w:rsidRDefault="005D6661">
      <w:pPr>
        <w:numPr>
          <w:ilvl w:val="0"/>
          <w:numId w:val="1"/>
        </w:numPr>
        <w:spacing w:line="360" w:lineRule="auto"/>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lastRenderedPageBreak/>
        <w:t xml:space="preserve">De las constancias que obran en el expediente electrónico SAIMEX, se advierte que el </w:t>
      </w:r>
      <w:r w:rsidRPr="00620AB9">
        <w:rPr>
          <w:rFonts w:ascii="Palatino Linotype" w:eastAsia="Palatino Linotype" w:hAnsi="Palatino Linotype" w:cs="Palatino Linotype"/>
          <w:b/>
          <w:bCs/>
          <w:sz w:val="24"/>
          <w:szCs w:val="24"/>
        </w:rPr>
        <w:t xml:space="preserve">PARTICULAR </w:t>
      </w:r>
      <w:r w:rsidRPr="00620AB9">
        <w:rPr>
          <w:rFonts w:ascii="Palatino Linotype" w:eastAsia="Palatino Linotype" w:hAnsi="Palatino Linotype" w:cs="Palatino Linotype"/>
          <w:sz w:val="24"/>
          <w:szCs w:val="24"/>
        </w:rPr>
        <w:t>no realizó manifestación alguna.</w:t>
      </w:r>
    </w:p>
    <w:p w:rsidR="00DD11B7" w:rsidRPr="00620AB9" w:rsidRDefault="00DD11B7">
      <w:pPr>
        <w:spacing w:line="360" w:lineRule="auto"/>
        <w:jc w:val="both"/>
        <w:rPr>
          <w:rFonts w:ascii="Palatino Linotype" w:eastAsia="Palatino Linotype" w:hAnsi="Palatino Linotype" w:cs="Palatino Linotype"/>
          <w:sz w:val="24"/>
          <w:szCs w:val="24"/>
        </w:rPr>
      </w:pPr>
    </w:p>
    <w:p w:rsidR="00DD11B7" w:rsidRPr="00620AB9" w:rsidRDefault="005D6661">
      <w:pPr>
        <w:numPr>
          <w:ilvl w:val="0"/>
          <w:numId w:val="1"/>
        </w:numPr>
        <w:spacing w:line="360" w:lineRule="auto"/>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sz w:val="24"/>
          <w:szCs w:val="24"/>
        </w:rPr>
        <w:t xml:space="preserve">El </w:t>
      </w:r>
      <w:r w:rsidRPr="00620AB9">
        <w:rPr>
          <w:rFonts w:ascii="Palatino Linotype" w:eastAsia="Palatino Linotype" w:hAnsi="Palatino Linotype" w:cs="Palatino Linotype"/>
          <w:b/>
          <w:bCs/>
          <w:sz w:val="24"/>
          <w:szCs w:val="24"/>
        </w:rPr>
        <w:t xml:space="preserve">SUJETO OBLIGADO, </w:t>
      </w:r>
      <w:r w:rsidRPr="00620AB9">
        <w:rPr>
          <w:rFonts w:ascii="Palatino Linotype" w:eastAsia="Palatino Linotype" w:hAnsi="Palatino Linotype" w:cs="Palatino Linotype"/>
          <w:sz w:val="24"/>
          <w:szCs w:val="24"/>
        </w:rPr>
        <w:t>rindió el informe justificado a través del archivo siguiente:</w:t>
      </w:r>
    </w:p>
    <w:p w:rsidR="00DD11B7" w:rsidRPr="00620AB9" w:rsidRDefault="005D6661">
      <w:pPr>
        <w:numPr>
          <w:ilvl w:val="0"/>
          <w:numId w:val="4"/>
        </w:numPr>
        <w:pBdr>
          <w:top w:val="nil"/>
          <w:left w:val="nil"/>
          <w:bottom w:val="nil"/>
          <w:right w:val="nil"/>
          <w:between w:val="nil"/>
        </w:pBdr>
        <w:ind w:left="993" w:right="680" w:firstLine="0"/>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b/>
          <w:bCs/>
          <w:color w:val="000000"/>
          <w:sz w:val="24"/>
          <w:szCs w:val="24"/>
        </w:rPr>
        <w:t xml:space="preserve">MANIFESTACIONES R.R. 10123 SOL. 438.pdf: </w:t>
      </w:r>
      <w:r w:rsidRPr="00620AB9">
        <w:rPr>
          <w:rFonts w:ascii="Palatino Linotype" w:eastAsia="Palatino Linotype" w:hAnsi="Palatino Linotype" w:cs="Palatino Linotype"/>
          <w:color w:val="000000"/>
          <w:sz w:val="24"/>
          <w:szCs w:val="24"/>
        </w:rPr>
        <w:t xml:space="preserve">Oficio firmado por el Tesorero Municipal, por el que </w:t>
      </w:r>
      <w:r w:rsidRPr="00620AB9">
        <w:rPr>
          <w:rFonts w:ascii="Palatino Linotype" w:eastAsia="Palatino Linotype" w:hAnsi="Palatino Linotype" w:cs="Palatino Linotype"/>
          <w:sz w:val="24"/>
          <w:szCs w:val="24"/>
        </w:rPr>
        <w:t>informó</w:t>
      </w:r>
      <w:r w:rsidRPr="00620AB9">
        <w:rPr>
          <w:rFonts w:ascii="Palatino Linotype" w:eastAsia="Palatino Linotype" w:hAnsi="Palatino Linotype" w:cs="Palatino Linotype"/>
          <w:color w:val="000000"/>
          <w:sz w:val="24"/>
          <w:szCs w:val="24"/>
        </w:rPr>
        <w:t xml:space="preserve"> lo siguiente:</w:t>
      </w:r>
    </w:p>
    <w:p w:rsidR="00DD11B7" w:rsidRPr="00620AB9" w:rsidRDefault="00DD11B7">
      <w:pPr>
        <w:pBdr>
          <w:top w:val="nil"/>
          <w:left w:val="nil"/>
          <w:bottom w:val="nil"/>
          <w:right w:val="nil"/>
          <w:between w:val="nil"/>
        </w:pBdr>
        <w:ind w:left="709" w:right="539"/>
        <w:jc w:val="both"/>
        <w:rPr>
          <w:rFonts w:ascii="Palatino Linotype" w:eastAsia="Palatino Linotype" w:hAnsi="Palatino Linotype" w:cs="Palatino Linotype"/>
          <w:color w:val="000000"/>
          <w:sz w:val="24"/>
          <w:szCs w:val="24"/>
        </w:rPr>
      </w:pPr>
    </w:p>
    <w:p w:rsidR="00DD11B7" w:rsidRPr="00620AB9" w:rsidRDefault="005D6661">
      <w:pPr>
        <w:ind w:left="851" w:right="680"/>
        <w:jc w:val="both"/>
        <w:rPr>
          <w:rFonts w:ascii="Palatino Linotype" w:eastAsia="Palatino Linotype" w:hAnsi="Palatino Linotype" w:cs="Palatino Linotype"/>
          <w:i/>
          <w:iCs/>
          <w:sz w:val="24"/>
          <w:szCs w:val="24"/>
        </w:rPr>
      </w:pPr>
      <w:r w:rsidRPr="00620AB9">
        <w:rPr>
          <w:rFonts w:ascii="Palatino Linotype" w:eastAsia="Palatino Linotype" w:hAnsi="Palatino Linotype" w:cs="Palatino Linotype"/>
          <w:i/>
          <w:iCs/>
          <w:sz w:val="24"/>
          <w:szCs w:val="24"/>
        </w:rPr>
        <w:t>“con fundamento en los artículos 18 y 19 de la Ley de Contratación Pública del Estado de México y Municipios, se establece que los municipios deberán utilizar el Sistema de Contrataciones Administrativas Electrónicas u otros sistemas electrónicos que determine la Secretaría de Finanzas, siempre que cuenten con la infraestructura tecnológica necesaria para su implementación y operación.</w:t>
      </w:r>
    </w:p>
    <w:p w:rsidR="00DD11B7" w:rsidRPr="00620AB9" w:rsidRDefault="00DD11B7">
      <w:pPr>
        <w:ind w:left="851" w:right="680"/>
        <w:jc w:val="both"/>
        <w:rPr>
          <w:rFonts w:ascii="Palatino Linotype" w:eastAsia="Palatino Linotype" w:hAnsi="Palatino Linotype" w:cs="Palatino Linotype"/>
          <w:i/>
          <w:iCs/>
          <w:sz w:val="24"/>
          <w:szCs w:val="24"/>
        </w:rPr>
      </w:pPr>
    </w:p>
    <w:p w:rsidR="00DD11B7" w:rsidRPr="00620AB9" w:rsidRDefault="005D6661">
      <w:pPr>
        <w:ind w:left="851" w:right="680"/>
        <w:jc w:val="both"/>
        <w:rPr>
          <w:rFonts w:ascii="Palatino Linotype" w:eastAsia="Palatino Linotype" w:hAnsi="Palatino Linotype" w:cs="Palatino Linotype"/>
          <w:i/>
          <w:iCs/>
          <w:sz w:val="24"/>
          <w:szCs w:val="24"/>
          <w:u w:val="single"/>
        </w:rPr>
      </w:pPr>
      <w:r w:rsidRPr="00620AB9">
        <w:rPr>
          <w:rFonts w:ascii="Palatino Linotype" w:eastAsia="Palatino Linotype" w:hAnsi="Palatino Linotype" w:cs="Palatino Linotype"/>
          <w:i/>
          <w:iCs/>
          <w:sz w:val="24"/>
          <w:szCs w:val="24"/>
        </w:rPr>
        <w:t xml:space="preserve">En el caso del Municipio de Mexicaltzingo, </w:t>
      </w:r>
      <w:r w:rsidRPr="00620AB9">
        <w:rPr>
          <w:rFonts w:ascii="Palatino Linotype" w:eastAsia="Palatino Linotype" w:hAnsi="Palatino Linotype" w:cs="Palatino Linotype"/>
          <w:i/>
          <w:iCs/>
          <w:sz w:val="24"/>
          <w:szCs w:val="24"/>
          <w:u w:val="single"/>
        </w:rPr>
        <w:t>actualmente no se cuenta con la infraestructura tecnológica y de conectividad suficiente para la operación del Sistema Electrónico de Adquisiciones y Contrataciones, razón por la cual los procesos administrativos de contratación y adquisiciones continúan llevándose a cabo de manera presencial y conforme a lo dispuesto en la misma Ley.</w:t>
      </w:r>
    </w:p>
    <w:p w:rsidR="00DD11B7" w:rsidRPr="00620AB9" w:rsidRDefault="00DD11B7">
      <w:pPr>
        <w:ind w:left="851" w:right="680"/>
        <w:jc w:val="both"/>
        <w:rPr>
          <w:rFonts w:ascii="Palatino Linotype" w:eastAsia="Palatino Linotype" w:hAnsi="Palatino Linotype" w:cs="Palatino Linotype"/>
          <w:i/>
          <w:iCs/>
          <w:sz w:val="24"/>
          <w:szCs w:val="24"/>
        </w:rPr>
      </w:pPr>
    </w:p>
    <w:p w:rsidR="00DD11B7" w:rsidRPr="00620AB9" w:rsidRDefault="005D6661">
      <w:pPr>
        <w:ind w:left="851" w:right="680"/>
        <w:jc w:val="both"/>
        <w:rPr>
          <w:rFonts w:ascii="Palatino Linotype" w:eastAsia="Palatino Linotype" w:hAnsi="Palatino Linotype" w:cs="Palatino Linotype"/>
          <w:i/>
          <w:iCs/>
          <w:sz w:val="24"/>
          <w:szCs w:val="24"/>
          <w:u w:val="single"/>
        </w:rPr>
      </w:pPr>
      <w:r w:rsidRPr="00620AB9">
        <w:rPr>
          <w:rFonts w:ascii="Palatino Linotype" w:eastAsia="Palatino Linotype" w:hAnsi="Palatino Linotype" w:cs="Palatino Linotype"/>
          <w:i/>
          <w:iCs/>
          <w:sz w:val="24"/>
          <w:szCs w:val="24"/>
        </w:rPr>
        <w:t xml:space="preserve">Por otro lado, en caso de que lo señalado en la presente respuesta no resulte satisfactorio, y con fundamento en lo dispuesto por los artículos 155, fracción V, 158 y 160 de la Ley de Transparencia y Acceso a la Información Pública del Estado de México y Municipios, </w:t>
      </w:r>
      <w:r w:rsidRPr="00620AB9">
        <w:rPr>
          <w:rFonts w:ascii="Palatino Linotype" w:eastAsia="Palatino Linotype" w:hAnsi="Palatino Linotype" w:cs="Palatino Linotype"/>
          <w:i/>
          <w:iCs/>
          <w:sz w:val="24"/>
          <w:szCs w:val="24"/>
          <w:u w:val="single"/>
        </w:rPr>
        <w:t>se le extiende una invitación respetuosa para acudir a las instalaciones de la Tesorería Municipal, ubicadas al interior del Ayuntamiento de Mexicaltzingo, a fin de que pueda consultar de manera directa los documentos físicos y electrónicos, así como los sistemas y programas que respaldan la operatividad de los trabajos que se desarrollan en esta oficina.</w:t>
      </w:r>
    </w:p>
    <w:p w:rsidR="00DD11B7" w:rsidRPr="00620AB9" w:rsidRDefault="00DD11B7">
      <w:pPr>
        <w:ind w:left="851" w:right="680"/>
        <w:jc w:val="both"/>
        <w:rPr>
          <w:rFonts w:ascii="Palatino Linotype" w:eastAsia="Palatino Linotype" w:hAnsi="Palatino Linotype" w:cs="Palatino Linotype"/>
          <w:i/>
          <w:iCs/>
          <w:sz w:val="24"/>
          <w:szCs w:val="24"/>
        </w:rPr>
      </w:pPr>
    </w:p>
    <w:p w:rsidR="00DD11B7" w:rsidRPr="00620AB9" w:rsidRDefault="00DD11B7">
      <w:pPr>
        <w:jc w:val="both"/>
        <w:rPr>
          <w:rFonts w:ascii="Palatino Linotype" w:eastAsia="Century Gothic" w:hAnsi="Palatino Linotype" w:cs="Century Gothic"/>
          <w:sz w:val="24"/>
          <w:szCs w:val="24"/>
        </w:rPr>
      </w:pPr>
    </w:p>
    <w:p w:rsidR="00DD11B7" w:rsidRPr="00620AB9" w:rsidRDefault="005D6661">
      <w:pPr>
        <w:numPr>
          <w:ilvl w:val="0"/>
          <w:numId w:val="1"/>
        </w:numPr>
        <w:tabs>
          <w:tab w:val="left" w:pos="426"/>
        </w:tabs>
        <w:spacing w:line="360" w:lineRule="auto"/>
        <w:ind w:left="0" w:firstLine="0"/>
        <w:jc w:val="both"/>
        <w:rPr>
          <w:rFonts w:ascii="Palatino Linotype" w:eastAsia="Palatino Linotype" w:hAnsi="Palatino Linotype" w:cs="Palatino Linotype"/>
          <w:b/>
          <w:bCs/>
          <w:sz w:val="24"/>
          <w:szCs w:val="24"/>
          <w:u w:val="single"/>
        </w:rPr>
      </w:pPr>
      <w:r w:rsidRPr="00620AB9">
        <w:rPr>
          <w:rFonts w:ascii="Palatino Linotype" w:eastAsia="Palatino Linotype" w:hAnsi="Palatino Linotype" w:cs="Palatino Linotype"/>
          <w:sz w:val="24"/>
          <w:szCs w:val="24"/>
        </w:rPr>
        <w:t xml:space="preserve">El </w:t>
      </w:r>
      <w:r w:rsidRPr="00620AB9">
        <w:rPr>
          <w:rFonts w:ascii="Palatino Linotype" w:eastAsia="Palatino Linotype" w:hAnsi="Palatino Linotype" w:cs="Palatino Linotype"/>
          <w:b/>
          <w:bCs/>
          <w:sz w:val="24"/>
          <w:szCs w:val="24"/>
        </w:rPr>
        <w:t xml:space="preserve">veintinueve de enero de dos mil veintiséis, </w:t>
      </w:r>
      <w:r w:rsidRPr="00620AB9">
        <w:rPr>
          <w:rFonts w:ascii="Palatino Linotype" w:eastAsia="Palatino Linotype" w:hAnsi="Palatino Linotype" w:cs="Palatino Linotype"/>
          <w:sz w:val="24"/>
          <w:szCs w:val="24"/>
        </w:rPr>
        <w:t>se notificó el acuerdo por el que se amplió el plazo para resolver el recurso de revisión que nos ocupa.</w:t>
      </w:r>
    </w:p>
    <w:p w:rsidR="00DD11B7" w:rsidRPr="00620AB9" w:rsidRDefault="005D6661">
      <w:pPr>
        <w:numPr>
          <w:ilvl w:val="0"/>
          <w:numId w:val="1"/>
        </w:numPr>
        <w:tabs>
          <w:tab w:val="left" w:pos="426"/>
        </w:tabs>
        <w:spacing w:line="360" w:lineRule="auto"/>
        <w:ind w:left="0" w:firstLine="0"/>
        <w:jc w:val="both"/>
        <w:rPr>
          <w:rFonts w:ascii="Palatino Linotype" w:eastAsia="Palatino Linotype" w:hAnsi="Palatino Linotype" w:cs="Palatino Linotype"/>
          <w:b/>
          <w:bCs/>
          <w:sz w:val="24"/>
          <w:szCs w:val="24"/>
          <w:u w:val="single"/>
        </w:rPr>
      </w:pPr>
      <w:r w:rsidRPr="00620AB9">
        <w:rPr>
          <w:rFonts w:ascii="Palatino Linotype" w:eastAsia="Palatino Linotype" w:hAnsi="Palatino Linotype" w:cs="Palatino Linotype"/>
          <w:sz w:val="24"/>
          <w:szCs w:val="24"/>
        </w:rPr>
        <w:lastRenderedPageBreak/>
        <w:t>El</w:t>
      </w:r>
      <w:r w:rsidRPr="00620AB9">
        <w:rPr>
          <w:rFonts w:ascii="Palatino Linotype" w:eastAsia="Palatino Linotype" w:hAnsi="Palatino Linotype" w:cs="Palatino Linotype"/>
          <w:b/>
          <w:bCs/>
          <w:sz w:val="24"/>
          <w:szCs w:val="24"/>
        </w:rPr>
        <w:t xml:space="preserve"> cuatro de febrero de dos mil veintiséis</w:t>
      </w:r>
      <w:r w:rsidRPr="00620AB9">
        <w:rPr>
          <w:rFonts w:ascii="Palatino Linotype" w:eastAsia="Palatino Linotype" w:hAnsi="Palatino Linotype" w:cs="Palatino Linotype"/>
          <w:sz w:val="24"/>
          <w:szCs w:val="24"/>
        </w:rPr>
        <w:t xml:space="preserve">, la Comisionada Ponente decretó el cierre de instrucción y al no existir diligencias por realizar y se turnó el expediente a resolución correspondiente, por lo que no habiendo más que hacer constar, y </w:t>
      </w:r>
    </w:p>
    <w:p w:rsidR="00DD11B7" w:rsidRPr="00620AB9" w:rsidRDefault="00DD11B7">
      <w:pPr>
        <w:tabs>
          <w:tab w:val="left" w:pos="426"/>
        </w:tabs>
        <w:spacing w:line="360" w:lineRule="auto"/>
        <w:jc w:val="both"/>
        <w:rPr>
          <w:rFonts w:ascii="Palatino Linotype" w:eastAsia="Palatino Linotype" w:hAnsi="Palatino Linotype" w:cs="Palatino Linotype"/>
          <w:b/>
          <w:bCs/>
          <w:sz w:val="24"/>
          <w:szCs w:val="24"/>
          <w:u w:val="single"/>
        </w:rPr>
      </w:pPr>
    </w:p>
    <w:p w:rsidR="00DD11B7" w:rsidRPr="00620AB9" w:rsidRDefault="005D6661">
      <w:pPr>
        <w:keepNext/>
        <w:keepLines/>
        <w:spacing w:line="360" w:lineRule="auto"/>
        <w:jc w:val="center"/>
        <w:rPr>
          <w:rFonts w:ascii="Palatino Linotype" w:eastAsia="Palatino Linotype" w:hAnsi="Palatino Linotype" w:cs="Palatino Linotype"/>
          <w:b/>
          <w:bCs/>
          <w:sz w:val="24"/>
          <w:szCs w:val="24"/>
        </w:rPr>
      </w:pPr>
      <w:bookmarkStart w:id="3" w:name="_heading=h.30j0zll" w:colFirst="0" w:colLast="0"/>
      <w:bookmarkEnd w:id="3"/>
      <w:r w:rsidRPr="00620AB9">
        <w:rPr>
          <w:rFonts w:ascii="Palatino Linotype" w:eastAsia="Palatino Linotype" w:hAnsi="Palatino Linotype" w:cs="Palatino Linotype"/>
          <w:b/>
          <w:bCs/>
          <w:sz w:val="24"/>
          <w:szCs w:val="24"/>
        </w:rPr>
        <w:t>C</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O</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N</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S</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I</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D</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E</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R</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A</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N</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D</w:t>
      </w:r>
      <w:r w:rsidR="00620AB9" w:rsidRPr="00620AB9">
        <w:rPr>
          <w:rFonts w:ascii="Palatino Linotype" w:eastAsia="Palatino Linotype" w:hAnsi="Palatino Linotype" w:cs="Palatino Linotype"/>
          <w:b/>
          <w:bCs/>
          <w:sz w:val="24"/>
          <w:szCs w:val="24"/>
        </w:rPr>
        <w:t xml:space="preserve"> </w:t>
      </w:r>
      <w:r w:rsidRPr="00620AB9">
        <w:rPr>
          <w:rFonts w:ascii="Palatino Linotype" w:eastAsia="Palatino Linotype" w:hAnsi="Palatino Linotype" w:cs="Palatino Linotype"/>
          <w:b/>
          <w:bCs/>
          <w:sz w:val="24"/>
          <w:szCs w:val="24"/>
        </w:rPr>
        <w:t xml:space="preserve">O </w:t>
      </w:r>
    </w:p>
    <w:p w:rsidR="00DD11B7" w:rsidRPr="00620AB9" w:rsidRDefault="00DD11B7">
      <w:pPr>
        <w:keepNext/>
        <w:keepLines/>
        <w:spacing w:line="360" w:lineRule="auto"/>
        <w:jc w:val="center"/>
        <w:rPr>
          <w:rFonts w:ascii="Palatino Linotype" w:eastAsia="Palatino Linotype" w:hAnsi="Palatino Linotype" w:cs="Palatino Linotype"/>
          <w:sz w:val="24"/>
          <w:szCs w:val="24"/>
        </w:rPr>
      </w:pPr>
    </w:p>
    <w:p w:rsidR="00DD11B7" w:rsidRPr="00620AB9" w:rsidRDefault="005D6661">
      <w:pPr>
        <w:keepNext/>
        <w:keepLines/>
        <w:spacing w:line="360" w:lineRule="auto"/>
        <w:rPr>
          <w:rFonts w:ascii="Palatino Linotype" w:eastAsia="Palatino Linotype" w:hAnsi="Palatino Linotype" w:cs="Palatino Linotype"/>
          <w:b/>
          <w:bCs/>
          <w:sz w:val="24"/>
          <w:szCs w:val="24"/>
        </w:rPr>
      </w:pPr>
      <w:bookmarkStart w:id="4" w:name="_heading=h.1fob9te" w:colFirst="0" w:colLast="0"/>
      <w:bookmarkEnd w:id="4"/>
      <w:r w:rsidRPr="00620AB9">
        <w:rPr>
          <w:rFonts w:ascii="Palatino Linotype" w:eastAsia="Palatino Linotype" w:hAnsi="Palatino Linotype" w:cs="Palatino Linotype"/>
          <w:b/>
          <w:bCs/>
          <w:sz w:val="24"/>
          <w:szCs w:val="24"/>
        </w:rPr>
        <w:t>PRIMERO. De la competencia</w:t>
      </w:r>
    </w:p>
    <w:p w:rsidR="00DD11B7" w:rsidRPr="00620AB9" w:rsidRDefault="005D6661">
      <w:pPr>
        <w:numPr>
          <w:ilvl w:val="0"/>
          <w:numId w:val="1"/>
        </w:numPr>
        <w:tabs>
          <w:tab w:val="left" w:pos="426"/>
        </w:tabs>
        <w:spacing w:line="360" w:lineRule="auto"/>
        <w:ind w:left="0" w:firstLine="0"/>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DD11B7" w:rsidRPr="00620AB9" w:rsidRDefault="00DD11B7">
      <w:pPr>
        <w:tabs>
          <w:tab w:val="left" w:pos="426"/>
        </w:tabs>
        <w:spacing w:line="360" w:lineRule="auto"/>
        <w:jc w:val="both"/>
        <w:rPr>
          <w:rFonts w:ascii="Palatino Linotype" w:eastAsia="Palatino Linotype" w:hAnsi="Palatino Linotype" w:cs="Palatino Linotype"/>
          <w:color w:val="000000"/>
          <w:sz w:val="24"/>
          <w:szCs w:val="24"/>
        </w:rPr>
      </w:pPr>
    </w:p>
    <w:p w:rsidR="00DD11B7" w:rsidRPr="00620AB9" w:rsidRDefault="005D6661">
      <w:pPr>
        <w:keepNext/>
        <w:keepLines/>
        <w:spacing w:line="360" w:lineRule="auto"/>
        <w:rPr>
          <w:rFonts w:ascii="Palatino Linotype" w:eastAsia="Palatino Linotype" w:hAnsi="Palatino Linotype" w:cs="Palatino Linotype"/>
          <w:b/>
          <w:bCs/>
          <w:sz w:val="24"/>
          <w:szCs w:val="24"/>
        </w:rPr>
      </w:pPr>
      <w:bookmarkStart w:id="5" w:name="_heading=h.3znysh7" w:colFirst="0" w:colLast="0"/>
      <w:bookmarkEnd w:id="5"/>
      <w:r w:rsidRPr="00620AB9">
        <w:rPr>
          <w:rFonts w:ascii="Palatino Linotype" w:eastAsia="Palatino Linotype" w:hAnsi="Palatino Linotype" w:cs="Palatino Linotype"/>
          <w:b/>
          <w:bCs/>
          <w:sz w:val="24"/>
          <w:szCs w:val="24"/>
        </w:rPr>
        <w:t>SEGUNDO. De la oportunidad y procedencia.</w:t>
      </w: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El medio de impugnación fue presentado a través del </w:t>
      </w:r>
      <w:r w:rsidRPr="00620AB9">
        <w:rPr>
          <w:rFonts w:ascii="Palatino Linotype" w:eastAsia="Palatino Linotype" w:hAnsi="Palatino Linotype" w:cs="Palatino Linotype"/>
          <w:b/>
          <w:bCs/>
          <w:sz w:val="24"/>
          <w:szCs w:val="24"/>
        </w:rPr>
        <w:t>SAIMEX,</w:t>
      </w:r>
      <w:r w:rsidRPr="00620AB9">
        <w:rPr>
          <w:rFonts w:ascii="Palatino Linotype" w:eastAsia="Palatino Linotype" w:hAnsi="Palatino Linotype" w:cs="Palatino Linotype"/>
          <w:sz w:val="24"/>
          <w:szCs w:val="24"/>
        </w:rPr>
        <w:t xml:space="preserve"> en el formato previamente aprobado para tal efecto y dentro del plazo legal de quince días hábiles otorgados; para el caso en particular es de señalar que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dio respuesta el </w:t>
      </w:r>
      <w:r w:rsidRPr="00620AB9">
        <w:rPr>
          <w:rFonts w:ascii="Palatino Linotype" w:eastAsia="Palatino Linotype" w:hAnsi="Palatino Linotype" w:cs="Palatino Linotype"/>
          <w:b/>
          <w:bCs/>
          <w:sz w:val="24"/>
          <w:szCs w:val="24"/>
        </w:rPr>
        <w:t>veintidós de agosto al nueve de septiembre de dos mil veinticinco</w:t>
      </w:r>
      <w:r w:rsidRPr="00620AB9">
        <w:rPr>
          <w:rFonts w:ascii="Palatino Linotype" w:eastAsia="Palatino Linotype" w:hAnsi="Palatino Linotype" w:cs="Palatino Linotype"/>
          <w:sz w:val="24"/>
          <w:szCs w:val="24"/>
        </w:rPr>
        <w:t xml:space="preserve">, de tal forma que el </w:t>
      </w:r>
      <w:r w:rsidRPr="00620AB9">
        <w:rPr>
          <w:rFonts w:ascii="Palatino Linotype" w:eastAsia="Palatino Linotype" w:hAnsi="Palatino Linotype" w:cs="Palatino Linotype"/>
          <w:sz w:val="24"/>
          <w:szCs w:val="24"/>
        </w:rPr>
        <w:lastRenderedPageBreak/>
        <w:t xml:space="preserve">plazo para interponer el recurso transcurrió del </w:t>
      </w:r>
      <w:r w:rsidRPr="00620AB9">
        <w:rPr>
          <w:rFonts w:ascii="Palatino Linotype" w:eastAsia="Palatino Linotype" w:hAnsi="Palatino Linotype" w:cs="Palatino Linotype"/>
          <w:b/>
          <w:bCs/>
          <w:sz w:val="24"/>
          <w:szCs w:val="24"/>
        </w:rPr>
        <w:t xml:space="preserve">veinticinco  de agosto al doce de septiembre de dos mil veinticinco, </w:t>
      </w:r>
      <w:r w:rsidRPr="00620AB9">
        <w:rPr>
          <w:rFonts w:ascii="Palatino Linotype" w:eastAsia="Palatino Linotype" w:hAnsi="Palatino Linotype" w:cs="Palatino Linotype"/>
          <w:sz w:val="24"/>
          <w:szCs w:val="24"/>
        </w:rPr>
        <w:t xml:space="preserve">en consecuencia, si el </w:t>
      </w:r>
      <w:r w:rsidRPr="00620AB9">
        <w:rPr>
          <w:rFonts w:ascii="Palatino Linotype" w:eastAsia="Palatino Linotype" w:hAnsi="Palatino Linotype" w:cs="Palatino Linotype"/>
          <w:b/>
          <w:bCs/>
          <w:sz w:val="24"/>
          <w:szCs w:val="24"/>
        </w:rPr>
        <w:t>PARTICULAR</w:t>
      </w:r>
      <w:r w:rsidRPr="00620AB9">
        <w:rPr>
          <w:rFonts w:ascii="Palatino Linotype" w:eastAsia="Palatino Linotype" w:hAnsi="Palatino Linotype" w:cs="Palatino Linotype"/>
          <w:sz w:val="24"/>
          <w:szCs w:val="24"/>
        </w:rPr>
        <w:t xml:space="preserve"> presentó su inconformidad el </w:t>
      </w:r>
      <w:r w:rsidRPr="00620AB9">
        <w:rPr>
          <w:rFonts w:ascii="Palatino Linotype" w:eastAsia="Palatino Linotype" w:hAnsi="Palatino Linotype" w:cs="Palatino Linotype"/>
          <w:b/>
          <w:bCs/>
          <w:sz w:val="24"/>
          <w:szCs w:val="24"/>
        </w:rPr>
        <w:t>veintisiete de agosto de dos mil veinticinco</w:t>
      </w:r>
      <w:r w:rsidRPr="00620AB9">
        <w:rPr>
          <w:rFonts w:ascii="Palatino Linotype" w:eastAsia="Palatino Linotype" w:hAnsi="Palatino Linotype" w:cs="Palatino Linotype"/>
          <w:sz w:val="24"/>
          <w:szCs w:val="24"/>
        </w:rPr>
        <w:t xml:space="preserve">, este  se encuentra dentro de los márgenes temporales previstos en el artículo 178 de la </w:t>
      </w:r>
      <w:r w:rsidRPr="00620AB9">
        <w:rPr>
          <w:rFonts w:ascii="Palatino Linotype" w:eastAsia="Palatino Linotype" w:hAnsi="Palatino Linotype" w:cs="Palatino Linotype"/>
          <w:b/>
          <w:bCs/>
          <w:sz w:val="24"/>
          <w:szCs w:val="24"/>
        </w:rPr>
        <w:t xml:space="preserve">Ley de Transparencia y Acceso a la Información Pública del Estado de México y Municipios </w:t>
      </w:r>
      <w:r w:rsidRPr="00620AB9">
        <w:rPr>
          <w:rFonts w:ascii="Palatino Linotype" w:eastAsia="Palatino Linotype" w:hAnsi="Palatino Linotype" w:cs="Palatino Linotype"/>
          <w:sz w:val="24"/>
          <w:szCs w:val="24"/>
        </w:rPr>
        <w:t xml:space="preserve">vigente. </w:t>
      </w:r>
    </w:p>
    <w:p w:rsidR="00DD11B7" w:rsidRPr="00620AB9" w:rsidRDefault="00DD11B7">
      <w:pPr>
        <w:spacing w:line="360" w:lineRule="auto"/>
        <w:ind w:right="49"/>
        <w:jc w:val="both"/>
        <w:rPr>
          <w:rFonts w:ascii="Palatino Linotype" w:eastAsia="Palatino Linotype" w:hAnsi="Palatino Linotype" w:cs="Palatino Linotype"/>
          <w:sz w:val="24"/>
          <w:szCs w:val="24"/>
        </w:rPr>
      </w:pPr>
      <w:bookmarkStart w:id="6" w:name="_heading=h.2et92p0" w:colFirst="0" w:colLast="0"/>
      <w:bookmarkEnd w:id="6"/>
    </w:p>
    <w:p w:rsidR="00DD11B7" w:rsidRPr="00620AB9" w:rsidRDefault="005D6661">
      <w:pPr>
        <w:keepNext/>
        <w:keepLines/>
        <w:spacing w:line="360" w:lineRule="auto"/>
        <w:rPr>
          <w:rFonts w:ascii="Palatino Linotype" w:eastAsia="Palatino Linotype" w:hAnsi="Palatino Linotype" w:cs="Palatino Linotype"/>
          <w:b/>
          <w:bCs/>
          <w:sz w:val="24"/>
          <w:szCs w:val="24"/>
        </w:rPr>
      </w:pPr>
      <w:r w:rsidRPr="00620AB9">
        <w:rPr>
          <w:rFonts w:ascii="Palatino Linotype" w:eastAsia="Palatino Linotype" w:hAnsi="Palatino Linotype" w:cs="Palatino Linotype"/>
          <w:b/>
          <w:bCs/>
          <w:sz w:val="24"/>
          <w:szCs w:val="24"/>
        </w:rPr>
        <w:t>TERCERO. De las causales de sobreseimiento</w:t>
      </w: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Por lo que hace a las causas de sobreseimiento contenidas en la fracción III del artículo 192 de la </w:t>
      </w:r>
      <w:r w:rsidRPr="00620AB9">
        <w:rPr>
          <w:rFonts w:ascii="Palatino Linotype" w:eastAsia="Palatino Linotype" w:hAnsi="Palatino Linotype" w:cs="Palatino Linotype"/>
          <w:b/>
          <w:bCs/>
          <w:sz w:val="24"/>
          <w:szCs w:val="24"/>
        </w:rPr>
        <w:t>Ley de Transparencia y Acceso a la Información Pública del Estado de México y Municipios</w:t>
      </w:r>
      <w:r w:rsidRPr="00620AB9">
        <w:rPr>
          <w:rFonts w:ascii="Palatino Linotype" w:eastAsia="Palatino Linotype" w:hAnsi="Palatino Linotype" w:cs="Palatino Linotype"/>
          <w:sz w:val="24"/>
          <w:szCs w:val="24"/>
        </w:rPr>
        <w:t xml:space="preserve">, es oportuno señalar que estos requisitos privilegian la existencia de elementos de fondo, tales como el desistimiento o fallecimiento del </w:t>
      </w:r>
      <w:r w:rsidRPr="00620AB9">
        <w:rPr>
          <w:rFonts w:ascii="Palatino Linotype" w:eastAsia="Palatino Linotype" w:hAnsi="Palatino Linotype" w:cs="Palatino Linotype"/>
          <w:b/>
          <w:bCs/>
          <w:sz w:val="24"/>
          <w:szCs w:val="24"/>
        </w:rPr>
        <w:t>RECURRENTE</w:t>
      </w:r>
      <w:r w:rsidRPr="00620AB9">
        <w:rPr>
          <w:rFonts w:ascii="Palatino Linotype" w:eastAsia="Palatino Linotype" w:hAnsi="Palatino Linotype" w:cs="Palatino Linotype"/>
          <w:sz w:val="24"/>
          <w:szCs w:val="24"/>
        </w:rPr>
        <w:t xml:space="preserve"> o que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w:t>
      </w:r>
      <w:r w:rsidRPr="00620AB9">
        <w:rPr>
          <w:rFonts w:ascii="Palatino Linotype" w:eastAsia="Palatino Linotype" w:hAnsi="Palatino Linotype" w:cs="Palatino Linotype"/>
          <w:b/>
          <w:bCs/>
          <w:sz w:val="24"/>
          <w:szCs w:val="24"/>
          <w:u w:val="single"/>
        </w:rPr>
        <w:t>modifique o revoque el acto</w:t>
      </w:r>
      <w:r w:rsidRPr="00620AB9">
        <w:rPr>
          <w:rFonts w:ascii="Palatino Linotype" w:eastAsia="Palatino Linotype" w:hAnsi="Palatino Linotype" w:cs="Palatino Linotype"/>
          <w:sz w:val="24"/>
          <w:szCs w:val="24"/>
        </w:rPr>
        <w:t>; de ahí que la actualización de alguno de éstos trae como consecuencia que el medio de impugnación se concluya sin que se analice el objeto de estudio planteado, es decir se sobresea.</w:t>
      </w:r>
    </w:p>
    <w:p w:rsidR="00DD11B7" w:rsidRPr="00620AB9" w:rsidRDefault="00DD11B7">
      <w:pPr>
        <w:spacing w:line="360" w:lineRule="auto"/>
        <w:ind w:right="-518"/>
        <w:jc w:val="both"/>
        <w:rPr>
          <w:rFonts w:ascii="Palatino Linotype" w:eastAsia="Palatino Linotype" w:hAnsi="Palatino Linotype" w:cs="Palatino Linotype"/>
          <w:sz w:val="24"/>
          <w:szCs w:val="24"/>
        </w:rPr>
      </w:pP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Para los efectos de esta resolución, es oportuno precisar los alcances jurídicos de la fracción III de la disposición legal transcrita. Así, procede el sobreseimiento del recurso de revisión cuando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w:t>
      </w:r>
    </w:p>
    <w:p w:rsidR="00DD11B7" w:rsidRPr="00620AB9" w:rsidRDefault="005D6661">
      <w:pPr>
        <w:numPr>
          <w:ilvl w:val="0"/>
          <w:numId w:val="5"/>
        </w:numPr>
        <w:spacing w:line="360" w:lineRule="auto"/>
        <w:ind w:left="567" w:right="474"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b/>
          <w:bCs/>
          <w:sz w:val="24"/>
          <w:szCs w:val="24"/>
        </w:rPr>
        <w:t>Modifique el acto impugnado:</w:t>
      </w:r>
      <w:r w:rsidRPr="00620AB9">
        <w:rPr>
          <w:rFonts w:ascii="Palatino Linotype" w:eastAsia="Palatino Linotype" w:hAnsi="Palatino Linotype" w:cs="Palatino Linotype"/>
          <w:sz w:val="24"/>
          <w:szCs w:val="24"/>
        </w:rPr>
        <w:t xml:space="preserve"> Se actualiza cuando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después de haber otorgado una respuesta y hasta antes de dictada la resolución del recurso de revisión, emite una diversa en la que subsane las deficiencias que hubiera tenido.</w:t>
      </w:r>
    </w:p>
    <w:p w:rsidR="00DD11B7" w:rsidRPr="00620AB9" w:rsidRDefault="005D6661">
      <w:pPr>
        <w:numPr>
          <w:ilvl w:val="0"/>
          <w:numId w:val="5"/>
        </w:numPr>
        <w:spacing w:line="360" w:lineRule="auto"/>
        <w:ind w:left="567" w:right="474"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b/>
          <w:bCs/>
          <w:sz w:val="24"/>
          <w:szCs w:val="24"/>
        </w:rPr>
        <w:lastRenderedPageBreak/>
        <w:t>Revoque el acto impugnado:</w:t>
      </w:r>
      <w:r w:rsidRPr="00620AB9">
        <w:rPr>
          <w:rFonts w:ascii="Palatino Linotype" w:eastAsia="Palatino Linotype" w:hAnsi="Palatino Linotype" w:cs="Palatino Linotype"/>
          <w:sz w:val="24"/>
          <w:szCs w:val="24"/>
        </w:rPr>
        <w:t xml:space="preserve"> En este supuesto,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deja sin efectos la primera respuesta y en su lugar emite otra que satisfaga lo solicitado por el particular en un primer momento.</w:t>
      </w:r>
    </w:p>
    <w:p w:rsidR="00DD11B7" w:rsidRPr="00620AB9" w:rsidRDefault="00DD11B7">
      <w:pPr>
        <w:spacing w:line="360" w:lineRule="auto"/>
        <w:ind w:right="-518"/>
        <w:jc w:val="both"/>
        <w:rPr>
          <w:rFonts w:ascii="Palatino Linotype" w:eastAsia="Palatino Linotype" w:hAnsi="Palatino Linotype" w:cs="Palatino Linotype"/>
          <w:sz w:val="24"/>
          <w:szCs w:val="24"/>
        </w:rPr>
      </w:pP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Precisado lo anterior, se reitera que el </w:t>
      </w:r>
      <w:r w:rsidRPr="00620AB9">
        <w:rPr>
          <w:rFonts w:ascii="Palatino Linotype" w:eastAsia="Palatino Linotype" w:hAnsi="Palatino Linotype" w:cs="Palatino Linotype"/>
          <w:b/>
          <w:bCs/>
          <w:sz w:val="24"/>
          <w:szCs w:val="24"/>
        </w:rPr>
        <w:t xml:space="preserve">PARTICULAR </w:t>
      </w:r>
      <w:r w:rsidRPr="00620AB9">
        <w:rPr>
          <w:rFonts w:ascii="Palatino Linotype" w:eastAsia="Palatino Linotype" w:hAnsi="Palatino Linotype" w:cs="Palatino Linotype"/>
          <w:sz w:val="24"/>
          <w:szCs w:val="24"/>
        </w:rPr>
        <w:t>solicito lo siguiente:</w:t>
      </w:r>
    </w:p>
    <w:p w:rsidR="00DD11B7" w:rsidRPr="00620AB9" w:rsidRDefault="005D6661">
      <w:pPr>
        <w:pBdr>
          <w:top w:val="nil"/>
          <w:left w:val="nil"/>
          <w:bottom w:val="nil"/>
          <w:right w:val="nil"/>
          <w:between w:val="nil"/>
        </w:pBdr>
        <w:spacing w:line="276" w:lineRule="auto"/>
        <w:ind w:left="720" w:right="851"/>
        <w:jc w:val="both"/>
        <w:rPr>
          <w:rFonts w:ascii="Palatino Linotype" w:eastAsia="Palatino Linotype" w:hAnsi="Palatino Linotype" w:cs="Palatino Linotype"/>
          <w:i/>
          <w:iCs/>
          <w:color w:val="000000"/>
          <w:sz w:val="24"/>
          <w:szCs w:val="24"/>
        </w:rPr>
      </w:pPr>
      <w:r w:rsidRPr="00620AB9">
        <w:rPr>
          <w:rFonts w:ascii="Palatino Linotype" w:eastAsia="Palatino Linotype" w:hAnsi="Palatino Linotype" w:cs="Palatino Linotype"/>
          <w:i/>
          <w:iCs/>
          <w:color w:val="000000"/>
          <w:sz w:val="24"/>
          <w:szCs w:val="24"/>
        </w:rPr>
        <w:t>“Quien es el encargado de cargar i formación al sistema electrónico de adquisiciones y contrataciones El director de obras públicas, tesorero y administración asen uso de el”</w:t>
      </w:r>
    </w:p>
    <w:p w:rsidR="00DD11B7" w:rsidRPr="00620AB9" w:rsidRDefault="00DD11B7">
      <w:pPr>
        <w:pBdr>
          <w:top w:val="nil"/>
          <w:left w:val="nil"/>
          <w:bottom w:val="nil"/>
          <w:right w:val="nil"/>
          <w:between w:val="nil"/>
        </w:pBdr>
        <w:spacing w:line="276" w:lineRule="auto"/>
        <w:ind w:left="720" w:right="851"/>
        <w:jc w:val="both"/>
        <w:rPr>
          <w:rFonts w:ascii="Palatino Linotype" w:eastAsia="Palatino Linotype" w:hAnsi="Palatino Linotype" w:cs="Palatino Linotype"/>
          <w:color w:val="000000"/>
          <w:sz w:val="24"/>
          <w:szCs w:val="24"/>
        </w:rPr>
      </w:pPr>
    </w:p>
    <w:p w:rsidR="00DD11B7" w:rsidRPr="00620AB9" w:rsidRDefault="00DD11B7">
      <w:pPr>
        <w:pBdr>
          <w:top w:val="nil"/>
          <w:left w:val="nil"/>
          <w:bottom w:val="nil"/>
          <w:right w:val="nil"/>
          <w:between w:val="nil"/>
        </w:pBdr>
        <w:spacing w:line="276" w:lineRule="auto"/>
        <w:ind w:left="720" w:right="851"/>
        <w:jc w:val="both"/>
        <w:rPr>
          <w:rFonts w:ascii="Palatino Linotype" w:eastAsia="Palatino Linotype" w:hAnsi="Palatino Linotype" w:cs="Palatino Linotype"/>
          <w:color w:val="000000"/>
          <w:sz w:val="24"/>
          <w:szCs w:val="24"/>
        </w:rPr>
      </w:pP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En respuesta el </w:t>
      </w:r>
      <w:r w:rsidRPr="00620AB9">
        <w:rPr>
          <w:rFonts w:ascii="Palatino Linotype" w:eastAsia="Palatino Linotype" w:hAnsi="Palatino Linotype" w:cs="Palatino Linotype"/>
          <w:b/>
          <w:bCs/>
          <w:sz w:val="24"/>
          <w:szCs w:val="24"/>
        </w:rPr>
        <w:t xml:space="preserve">SUJETO OBLIGADO, </w:t>
      </w:r>
      <w:r w:rsidRPr="00620AB9">
        <w:rPr>
          <w:rFonts w:ascii="Palatino Linotype" w:eastAsia="Palatino Linotype" w:hAnsi="Palatino Linotype" w:cs="Palatino Linotype"/>
          <w:sz w:val="24"/>
          <w:szCs w:val="24"/>
        </w:rPr>
        <w:t>dio respuesta informando se cuenta con sistema electrónico de adquisiciones y contrataciones.</w:t>
      </w:r>
    </w:p>
    <w:p w:rsidR="00DD11B7" w:rsidRPr="00620AB9" w:rsidRDefault="00DD11B7">
      <w:pPr>
        <w:spacing w:line="360" w:lineRule="auto"/>
        <w:ind w:right="-518"/>
        <w:jc w:val="both"/>
        <w:rPr>
          <w:rFonts w:ascii="Palatino Linotype" w:eastAsia="Palatino Linotype" w:hAnsi="Palatino Linotype" w:cs="Palatino Linotype"/>
          <w:sz w:val="24"/>
          <w:szCs w:val="24"/>
        </w:rPr>
      </w:pP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i/>
          <w:iCs/>
          <w:sz w:val="24"/>
          <w:szCs w:val="24"/>
        </w:rPr>
      </w:pPr>
      <w:r w:rsidRPr="00620AB9">
        <w:rPr>
          <w:rFonts w:ascii="Palatino Linotype" w:eastAsia="Palatino Linotype" w:hAnsi="Palatino Linotype" w:cs="Palatino Linotype"/>
          <w:sz w:val="24"/>
          <w:szCs w:val="24"/>
        </w:rPr>
        <w:t xml:space="preserve">Inconforme con lo anterior, el ahora </w:t>
      </w:r>
      <w:r w:rsidRPr="00620AB9">
        <w:rPr>
          <w:rFonts w:ascii="Palatino Linotype" w:eastAsia="Palatino Linotype" w:hAnsi="Palatino Linotype" w:cs="Palatino Linotype"/>
          <w:b/>
          <w:bCs/>
          <w:sz w:val="24"/>
          <w:szCs w:val="24"/>
        </w:rPr>
        <w:t xml:space="preserve">RECURRENTE </w:t>
      </w:r>
      <w:r w:rsidRPr="00620AB9">
        <w:rPr>
          <w:rFonts w:ascii="Palatino Linotype" w:eastAsia="Palatino Linotype" w:hAnsi="Palatino Linotype" w:cs="Palatino Linotype"/>
          <w:sz w:val="24"/>
          <w:szCs w:val="24"/>
        </w:rPr>
        <w:t>interpuso Recurso de Revisión arguyendo medularmente la negativa de la entrega de la información.</w:t>
      </w:r>
    </w:p>
    <w:p w:rsidR="00DD11B7" w:rsidRPr="00620AB9" w:rsidRDefault="00DD11B7">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color w:val="000000"/>
          <w:sz w:val="24"/>
          <w:szCs w:val="24"/>
        </w:rPr>
        <w:t xml:space="preserve">Atento a lo anterior, en aras de satisfacer el derecho de acceso a la información que le asiste al </w:t>
      </w:r>
      <w:r w:rsidRPr="00620AB9">
        <w:rPr>
          <w:rFonts w:ascii="Palatino Linotype" w:eastAsia="Palatino Linotype" w:hAnsi="Palatino Linotype" w:cs="Palatino Linotype"/>
          <w:b/>
          <w:bCs/>
          <w:color w:val="000000"/>
          <w:sz w:val="24"/>
          <w:szCs w:val="24"/>
        </w:rPr>
        <w:t xml:space="preserve">RECURRENTE, </w:t>
      </w:r>
      <w:r w:rsidRPr="00620AB9">
        <w:rPr>
          <w:rFonts w:ascii="Palatino Linotype" w:eastAsia="Palatino Linotype" w:hAnsi="Palatino Linotype" w:cs="Palatino Linotype"/>
          <w:color w:val="000000"/>
          <w:sz w:val="24"/>
          <w:szCs w:val="24"/>
        </w:rPr>
        <w:t xml:space="preserve">a través del Informe Justificado correspondiente, el </w:t>
      </w:r>
      <w:r w:rsidRPr="00620AB9">
        <w:rPr>
          <w:rFonts w:ascii="Palatino Linotype" w:eastAsia="Palatino Linotype" w:hAnsi="Palatino Linotype" w:cs="Palatino Linotype"/>
          <w:b/>
          <w:bCs/>
          <w:color w:val="000000"/>
          <w:sz w:val="24"/>
          <w:szCs w:val="24"/>
        </w:rPr>
        <w:t>SUJETO OBLIGADO,</w:t>
      </w:r>
      <w:r w:rsidRPr="00620AB9">
        <w:rPr>
          <w:rFonts w:ascii="Palatino Linotype" w:eastAsia="Palatino Linotype" w:hAnsi="Palatino Linotype" w:cs="Palatino Linotype"/>
          <w:sz w:val="24"/>
          <w:szCs w:val="24"/>
        </w:rPr>
        <w:t xml:space="preserve"> abundo más en robustecer su dicho, ya que informo que no cuenta con el sistema referido ya que no se cuenta con la infraestructura tecnológica y de conectividad suficiente para la operación del Sistema Electrónico de Adquisiciones y Contrataciones razón por la cual los procesos administrativos de contratación y adquisiciones continúan llevándose a cabo de manera presencial y conforme a lo dispuesto en la misma Ley.</w:t>
      </w:r>
    </w:p>
    <w:p w:rsidR="00DD11B7" w:rsidRPr="00620AB9" w:rsidRDefault="00DD11B7">
      <w:pPr>
        <w:spacing w:line="360" w:lineRule="auto"/>
        <w:ind w:right="48"/>
        <w:jc w:val="both"/>
        <w:rPr>
          <w:rFonts w:ascii="Palatino Linotype" w:eastAsia="Palatino Linotype" w:hAnsi="Palatino Linotype" w:cs="Palatino Linotype"/>
          <w:color w:val="000000"/>
          <w:sz w:val="24"/>
          <w:szCs w:val="24"/>
        </w:rPr>
      </w:pP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color w:val="000000"/>
          <w:sz w:val="24"/>
          <w:szCs w:val="24"/>
        </w:rPr>
        <w:lastRenderedPageBreak/>
        <w:t>Ahora bien, no se soslaya que derivado de que los procesos se realizan de manera presencial, el</w:t>
      </w:r>
      <w:r w:rsidRPr="00620AB9">
        <w:rPr>
          <w:rFonts w:ascii="Palatino Linotype" w:eastAsia="Palatino Linotype" w:hAnsi="Palatino Linotype" w:cs="Palatino Linotype"/>
          <w:b/>
          <w:bCs/>
          <w:color w:val="000000"/>
          <w:sz w:val="24"/>
          <w:szCs w:val="24"/>
        </w:rPr>
        <w:t xml:space="preserve"> SUJETO OBLIGADO</w:t>
      </w:r>
      <w:r w:rsidRPr="00620AB9">
        <w:rPr>
          <w:rFonts w:ascii="Palatino Linotype" w:eastAsia="Palatino Linotype" w:hAnsi="Palatino Linotype" w:cs="Palatino Linotype"/>
          <w:color w:val="000000"/>
          <w:sz w:val="24"/>
          <w:szCs w:val="24"/>
        </w:rPr>
        <w:t xml:space="preserve">, y </w:t>
      </w:r>
      <w:r w:rsidRPr="00620AB9">
        <w:rPr>
          <w:rFonts w:ascii="Palatino Linotype" w:eastAsia="Palatino Linotype" w:hAnsi="Palatino Linotype" w:cs="Palatino Linotype"/>
          <w:i/>
          <w:iCs/>
          <w:color w:val="000000"/>
          <w:sz w:val="24"/>
          <w:szCs w:val="24"/>
        </w:rPr>
        <w:t>con fundamento en lo dispuesto por los artículos 155, fracción V, 158 y 160 de la Ley de Transparencia y Acceso a la Información Pública del Estado de México y Municipios, se le extiende una invitación respetuosa para acudir a las instalaciones de la Tesorería Municipal, ubicadas al interior del Ayuntamiento de Mexicaltzingo, a fin de que pueda consultar de manera directa los documentos físicos y electrónicos, así como los sistemas y programas que respaldan la operatividad de los trabajos que se desarrollan en esta oficina, sin embrgo, se</w:t>
      </w:r>
      <w:r w:rsidRPr="00620AB9">
        <w:rPr>
          <w:rFonts w:ascii="Palatino Linotype" w:eastAsia="Palatino Linotype" w:hAnsi="Palatino Linotype" w:cs="Palatino Linotype"/>
          <w:color w:val="000000"/>
          <w:sz w:val="24"/>
          <w:szCs w:val="24"/>
        </w:rPr>
        <w:t xml:space="preserve"> advierte que esto no guarda relación con la Litis, ya que únicamente se solicitó saber quién carga la información, no así la consulta del contenido de la misma.</w:t>
      </w:r>
    </w:p>
    <w:p w:rsidR="00DD11B7" w:rsidRPr="00620AB9" w:rsidRDefault="00DD11B7">
      <w:pPr>
        <w:spacing w:line="360" w:lineRule="auto"/>
        <w:ind w:right="48"/>
        <w:jc w:val="both"/>
        <w:rPr>
          <w:rFonts w:ascii="Palatino Linotype" w:eastAsia="Palatino Linotype" w:hAnsi="Palatino Linotype" w:cs="Palatino Linotype"/>
          <w:color w:val="000000"/>
          <w:sz w:val="24"/>
          <w:szCs w:val="24"/>
        </w:rPr>
      </w:pP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i/>
          <w:iCs/>
          <w:color w:val="000000"/>
          <w:sz w:val="24"/>
          <w:szCs w:val="24"/>
        </w:rPr>
      </w:pPr>
      <w:r w:rsidRPr="00620AB9">
        <w:rPr>
          <w:rFonts w:ascii="Palatino Linotype" w:eastAsia="Palatino Linotype" w:hAnsi="Palatino Linotype" w:cs="Palatino Linotype"/>
          <w:color w:val="000000"/>
          <w:sz w:val="24"/>
          <w:szCs w:val="24"/>
        </w:rPr>
        <w:t xml:space="preserve">Precisado lo anterior, respecto la fuente obligacional se advierte que el </w:t>
      </w:r>
      <w:r w:rsidRPr="00620AB9">
        <w:rPr>
          <w:rFonts w:ascii="Palatino Linotype" w:eastAsia="Palatino Linotype" w:hAnsi="Palatino Linotype" w:cs="Palatino Linotype"/>
          <w:b/>
          <w:bCs/>
          <w:color w:val="000000"/>
          <w:sz w:val="24"/>
          <w:szCs w:val="24"/>
        </w:rPr>
        <w:t xml:space="preserve">SUJETO OBLIGADO, </w:t>
      </w:r>
      <w:r w:rsidRPr="00620AB9">
        <w:rPr>
          <w:rFonts w:ascii="Palatino Linotype" w:eastAsia="Palatino Linotype" w:hAnsi="Palatino Linotype" w:cs="Palatino Linotype"/>
          <w:color w:val="000000"/>
          <w:sz w:val="24"/>
          <w:szCs w:val="24"/>
        </w:rPr>
        <w:t xml:space="preserve">asume que genera, posee y/o administra la información concerniente al Sistema Electrónico de Adquisiciones y Contrataciones, tan es así, que refiere que no se cuenta con tal sistema, poniendo a disposición del ahora </w:t>
      </w:r>
      <w:r w:rsidRPr="00620AB9">
        <w:rPr>
          <w:rFonts w:ascii="Palatino Linotype" w:eastAsia="Palatino Linotype" w:hAnsi="Palatino Linotype" w:cs="Palatino Linotype"/>
          <w:b/>
          <w:bCs/>
          <w:color w:val="000000"/>
          <w:sz w:val="24"/>
          <w:szCs w:val="24"/>
        </w:rPr>
        <w:t>RECURRENTE,</w:t>
      </w:r>
      <w:r w:rsidRPr="00620AB9">
        <w:rPr>
          <w:rFonts w:ascii="Palatino Linotype" w:eastAsia="Palatino Linotype" w:hAnsi="Palatino Linotype" w:cs="Palatino Linotype"/>
          <w:sz w:val="24"/>
          <w:szCs w:val="24"/>
        </w:rPr>
        <w:t xml:space="preserve"> el contenido de la misma en consulta directa.</w:t>
      </w:r>
      <w:r w:rsidRPr="00620AB9">
        <w:rPr>
          <w:rFonts w:ascii="Palatino Linotype" w:hAnsi="Palatino Linotype"/>
          <w:sz w:val="24"/>
          <w:szCs w:val="24"/>
        </w:rPr>
        <w:t xml:space="preserve"> </w:t>
      </w:r>
    </w:p>
    <w:p w:rsidR="00DD11B7" w:rsidRPr="00620AB9" w:rsidRDefault="00DD11B7">
      <w:pPr>
        <w:spacing w:line="360" w:lineRule="auto"/>
        <w:ind w:right="48"/>
        <w:jc w:val="both"/>
        <w:rPr>
          <w:rFonts w:ascii="Palatino Linotype" w:eastAsia="Palatino Linotype" w:hAnsi="Palatino Linotype" w:cs="Palatino Linotype"/>
          <w:i/>
          <w:iCs/>
          <w:color w:val="000000"/>
          <w:sz w:val="24"/>
          <w:szCs w:val="24"/>
        </w:rPr>
      </w:pPr>
    </w:p>
    <w:p w:rsidR="00DD11B7" w:rsidRPr="00620AB9" w:rsidRDefault="005D6661">
      <w:pPr>
        <w:numPr>
          <w:ilvl w:val="0"/>
          <w:numId w:val="1"/>
        </w:numPr>
        <w:spacing w:line="360" w:lineRule="auto"/>
        <w:ind w:left="0" w:right="48" w:firstLine="0"/>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sz w:val="24"/>
          <w:szCs w:val="24"/>
        </w:rPr>
        <w:t xml:space="preserve">En ese tenor, respecto la información proporcionada por el </w:t>
      </w:r>
      <w:r w:rsidRPr="00620AB9">
        <w:rPr>
          <w:rFonts w:ascii="Palatino Linotype" w:eastAsia="Palatino Linotype" w:hAnsi="Palatino Linotype" w:cs="Palatino Linotype"/>
          <w:b/>
          <w:bCs/>
          <w:sz w:val="24"/>
          <w:szCs w:val="24"/>
        </w:rPr>
        <w:t xml:space="preserve">SUJETO OBLIGADO, </w:t>
      </w:r>
      <w:r w:rsidRPr="00620AB9">
        <w:rPr>
          <w:rFonts w:ascii="Palatino Linotype" w:eastAsia="Palatino Linotype" w:hAnsi="Palatino Linotype" w:cs="Palatino Linotype"/>
          <w:sz w:val="24"/>
          <w:szCs w:val="24"/>
        </w:rPr>
        <w:t>se tiene que se informó de manera clara y precisa que no se cuenta con el Sistema en comentó ya que no se cuenta con la infraestructura tecnológica y de conectividad suficiente para la operación, en consecuencia, al no existir sistema, no hay persona encargada de subir la información.</w:t>
      </w:r>
    </w:p>
    <w:p w:rsidR="00DD11B7" w:rsidRPr="00620AB9" w:rsidRDefault="00DD11B7">
      <w:pPr>
        <w:spacing w:line="360" w:lineRule="auto"/>
        <w:ind w:right="48"/>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rPr>
          <w:rFonts w:ascii="Palatino Linotype" w:eastAsia="Palatino Linotype" w:hAnsi="Palatino Linotype"/>
          <w:sz w:val="24"/>
          <w:szCs w:val="24"/>
        </w:rPr>
      </w:pPr>
      <w:r w:rsidRPr="00620AB9">
        <w:rPr>
          <w:rFonts w:ascii="Palatino Linotype" w:eastAsia="Palatino Linotype" w:hAnsi="Palatino Linotype"/>
          <w:color w:val="000000"/>
          <w:sz w:val="24"/>
          <w:szCs w:val="24"/>
        </w:rPr>
        <w:lastRenderedPageBreak/>
        <w:t xml:space="preserve">En esa tesitura, </w:t>
      </w:r>
      <w:r w:rsidRPr="00620AB9">
        <w:rPr>
          <w:rFonts w:ascii="Palatino Linotype" w:eastAsia="Palatino Linotype" w:hAnsi="Palatino Linotype"/>
          <w:sz w:val="24"/>
          <w:szCs w:val="24"/>
        </w:rPr>
        <w:t xml:space="preserve">toda vez que el </w:t>
      </w:r>
      <w:r w:rsidRPr="00620AB9">
        <w:rPr>
          <w:rFonts w:ascii="Palatino Linotype" w:eastAsia="Palatino Linotype" w:hAnsi="Palatino Linotype"/>
          <w:b/>
          <w:bCs/>
          <w:sz w:val="24"/>
          <w:szCs w:val="24"/>
        </w:rPr>
        <w:t xml:space="preserve">SUJETO OBLIGADO </w:t>
      </w:r>
      <w:r w:rsidRPr="00620AB9">
        <w:rPr>
          <w:rFonts w:ascii="Palatino Linotype" w:eastAsia="Palatino Linotype" w:hAnsi="Palatino Linotype"/>
          <w:sz w:val="24"/>
          <w:szCs w:val="24"/>
        </w:rPr>
        <w:t xml:space="preserve">manifestó que no se posee, administra ni generó la información requerida por </w:t>
      </w:r>
      <w:r w:rsidRPr="00620AB9">
        <w:rPr>
          <w:rFonts w:ascii="Palatino Linotype" w:eastAsia="Palatino Linotype" w:hAnsi="Palatino Linotype"/>
          <w:b/>
          <w:bCs/>
          <w:sz w:val="24"/>
          <w:szCs w:val="24"/>
        </w:rPr>
        <w:t>EL PARTICULAR</w:t>
      </w:r>
      <w:r w:rsidRPr="00620AB9">
        <w:rPr>
          <w:rFonts w:ascii="Palatino Linotype" w:eastAsia="Palatino Linotype" w:hAnsi="Palatino Linotype"/>
          <w:sz w:val="24"/>
          <w:szCs w:val="24"/>
        </w:rPr>
        <w:t xml:space="preserve">, constituye un hecho negativo; luego entonces, si se considera el hecho negativo, es obvio que éste no puede fácticamente obrar en los archivos del </w:t>
      </w:r>
      <w:r w:rsidRPr="00620AB9">
        <w:rPr>
          <w:rFonts w:ascii="Palatino Linotype" w:eastAsia="Palatino Linotype" w:hAnsi="Palatino Linotype"/>
          <w:b/>
          <w:bCs/>
          <w:sz w:val="24"/>
          <w:szCs w:val="24"/>
        </w:rPr>
        <w:t>SUJETO OBLIGADO</w:t>
      </w:r>
      <w:r w:rsidRPr="00620AB9">
        <w:rPr>
          <w:rFonts w:ascii="Palatino Linotype" w:eastAsia="Palatino Linotype" w:hAnsi="Palatino Linotype"/>
          <w:sz w:val="24"/>
          <w:szCs w:val="24"/>
        </w:rPr>
        <w:t>, ya que no puede probarse por ser lógica y materialmente imposible.</w:t>
      </w:r>
    </w:p>
    <w:p w:rsidR="00DD11B7" w:rsidRPr="00620AB9" w:rsidRDefault="00DD11B7">
      <w:pPr>
        <w:spacing w:line="360" w:lineRule="auto"/>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Asimismo, no se trata de un caso por el cual la negación del hecho implique la afirmación del mismo, simplemente se está ante una notoria y evidente inexistencia fáctica de la información solicitada.</w:t>
      </w:r>
    </w:p>
    <w:p w:rsidR="00DD11B7" w:rsidRPr="00620AB9" w:rsidRDefault="00DD11B7" w:rsidP="00620AB9">
      <w:pPr>
        <w:spacing w:line="360" w:lineRule="auto"/>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DD11B7" w:rsidRPr="00620AB9" w:rsidRDefault="005D6661">
      <w:pPr>
        <w:spacing w:line="360" w:lineRule="auto"/>
        <w:ind w:left="851" w:right="1106"/>
        <w:jc w:val="both"/>
        <w:rPr>
          <w:rFonts w:ascii="Palatino Linotype" w:eastAsia="Palatino Linotype" w:hAnsi="Palatino Linotype" w:cs="Palatino Linotype"/>
          <w:b/>
          <w:bCs/>
          <w:i/>
          <w:iCs/>
          <w:sz w:val="24"/>
          <w:szCs w:val="24"/>
        </w:rPr>
      </w:pPr>
      <w:r w:rsidRPr="00620AB9">
        <w:rPr>
          <w:rFonts w:ascii="Palatino Linotype" w:eastAsia="Palatino Linotype" w:hAnsi="Palatino Linotype" w:cs="Palatino Linotype"/>
          <w:b/>
          <w:bCs/>
          <w:i/>
          <w:iCs/>
          <w:sz w:val="24"/>
          <w:szCs w:val="24"/>
        </w:rPr>
        <w:t xml:space="preserve">HECHOS NEGATIVOS, NO SON SUSCEPTIBLES DE DEMOSTRACIÓN. </w:t>
      </w:r>
    </w:p>
    <w:p w:rsidR="00DD11B7" w:rsidRPr="00620AB9" w:rsidRDefault="005D6661">
      <w:pPr>
        <w:spacing w:line="360" w:lineRule="auto"/>
        <w:ind w:left="851" w:right="1106"/>
        <w:jc w:val="both"/>
        <w:rPr>
          <w:rFonts w:ascii="Palatino Linotype" w:eastAsia="Palatino Linotype" w:hAnsi="Palatino Linotype" w:cs="Palatino Linotype"/>
          <w:i/>
          <w:iCs/>
          <w:sz w:val="24"/>
          <w:szCs w:val="24"/>
        </w:rPr>
      </w:pPr>
      <w:r w:rsidRPr="00620AB9">
        <w:rPr>
          <w:rFonts w:ascii="Palatino Linotype" w:eastAsia="Palatino Linotype" w:hAnsi="Palatino Linotype" w:cs="Palatino Linotype"/>
          <w:i/>
          <w:iCs/>
          <w:sz w:val="24"/>
          <w:szCs w:val="24"/>
        </w:rPr>
        <w:t>Tratándose de un hecho negativo, el Juez no tiene por que invocar prueba alguna de la que se desprenda, ya que es bien sabido que esta clase de hechos no son susceptibles de demostración.</w:t>
      </w:r>
    </w:p>
    <w:p w:rsidR="00DD11B7" w:rsidRPr="00620AB9" w:rsidRDefault="005D6661">
      <w:pPr>
        <w:spacing w:line="360" w:lineRule="auto"/>
        <w:ind w:left="851" w:right="1106"/>
        <w:jc w:val="both"/>
        <w:rPr>
          <w:rFonts w:ascii="Palatino Linotype" w:eastAsia="Palatino Linotype" w:hAnsi="Palatino Linotype" w:cs="Palatino Linotype"/>
          <w:i/>
          <w:iCs/>
          <w:sz w:val="24"/>
          <w:szCs w:val="24"/>
        </w:rPr>
      </w:pPr>
      <w:r w:rsidRPr="00620AB9">
        <w:rPr>
          <w:rFonts w:ascii="Palatino Linotype" w:eastAsia="Palatino Linotype" w:hAnsi="Palatino Linotype" w:cs="Palatino Linotype"/>
          <w:i/>
          <w:iCs/>
          <w:sz w:val="24"/>
          <w:szCs w:val="24"/>
        </w:rPr>
        <w:t>Amparo en revisión 2022/61. José García Florín (Menor). 9 de octubre de 1961. Cinco votos. Ponente: José Rivera Pérez Campos.”</w:t>
      </w:r>
    </w:p>
    <w:p w:rsidR="00DD11B7" w:rsidRPr="00620AB9" w:rsidRDefault="00DD11B7">
      <w:pPr>
        <w:spacing w:line="360" w:lineRule="auto"/>
        <w:ind w:left="709" w:right="758"/>
        <w:jc w:val="both"/>
        <w:rPr>
          <w:rFonts w:ascii="Palatino Linotype" w:eastAsia="Palatino Linotype" w:hAnsi="Palatino Linotype" w:cs="Palatino Linotype"/>
          <w:i/>
          <w:iCs/>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Además, y de conformidad con lo establecido en el artículo 12 de la </w:t>
      </w:r>
      <w:r w:rsidRPr="00620AB9">
        <w:rPr>
          <w:rFonts w:ascii="Palatino Linotype" w:eastAsia="Palatino Linotype" w:hAnsi="Palatino Linotype" w:cs="Palatino Linotype"/>
          <w:b/>
          <w:bCs/>
          <w:sz w:val="24"/>
          <w:szCs w:val="24"/>
        </w:rPr>
        <w:t>Ley de Transparencia y Acceso a la Información Pública del Estado de México y Municipios</w:t>
      </w:r>
      <w:r w:rsidRPr="00620AB9">
        <w:rPr>
          <w:rFonts w:ascii="Palatino Linotype" w:eastAsia="Palatino Linotype" w:hAnsi="Palatino Linotype" w:cs="Palatino Linotype"/>
          <w:sz w:val="24"/>
          <w:szCs w:val="24"/>
        </w:rPr>
        <w:t xml:space="preserve">, anteriormente invocado,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únicamente proporcionará la información que obra en sus archivos, lo que a</w:t>
      </w:r>
      <w:r w:rsidRPr="00620AB9">
        <w:rPr>
          <w:rFonts w:ascii="Palatino Linotype" w:eastAsia="Palatino Linotype" w:hAnsi="Palatino Linotype" w:cs="Palatino Linotype"/>
          <w:i/>
          <w:iCs/>
          <w:sz w:val="24"/>
          <w:szCs w:val="24"/>
        </w:rPr>
        <w:t xml:space="preserve"> contrario sensu</w:t>
      </w:r>
      <w:r w:rsidRPr="00620AB9">
        <w:rPr>
          <w:rFonts w:ascii="Palatino Linotype" w:eastAsia="Palatino Linotype" w:hAnsi="Palatino Linotype" w:cs="Palatino Linotype"/>
          <w:sz w:val="24"/>
          <w:szCs w:val="24"/>
        </w:rPr>
        <w:t xml:space="preserve"> significa que no se está obligado a proporcionar lo que no obre en sus archivos.</w:t>
      </w:r>
    </w:p>
    <w:p w:rsidR="00DD11B7" w:rsidRPr="00620AB9" w:rsidRDefault="00DD11B7">
      <w:pPr>
        <w:spacing w:line="360" w:lineRule="auto"/>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sz w:val="24"/>
          <w:szCs w:val="24"/>
        </w:rPr>
        <w:lastRenderedPageBreak/>
        <w:t xml:space="preserve">Así mismo, es necesario señalar que éste Órgano Garante no está facultado para pronunciarse sobre la veracidad de la información que los Sujetos Obligados ponen a disposición de los solicitantes; situación que se aleja de las atribuciones de este Instituto </w:t>
      </w:r>
      <w:r w:rsidRPr="00620AB9">
        <w:rPr>
          <w:rFonts w:ascii="Palatino Linotype" w:eastAsia="Palatino Linotype" w:hAnsi="Palatino Linotype" w:cs="Palatino Linotype"/>
          <w:color w:val="000000"/>
          <w:sz w:val="24"/>
          <w:szCs w:val="24"/>
        </w:rPr>
        <w:t>máxime que al momento que ponen a disposición ésta, la misma tiene el carácter oficial y se presume veraz, tan es así que la misma queda registrada en el Sistema de Acceso a la Información Mexiquense (SAIMEX).</w:t>
      </w:r>
    </w:p>
    <w:p w:rsidR="00DD11B7" w:rsidRPr="00620AB9" w:rsidRDefault="00DD11B7" w:rsidP="00620AB9">
      <w:pPr>
        <w:spacing w:line="360" w:lineRule="auto"/>
        <w:jc w:val="both"/>
        <w:rPr>
          <w:rFonts w:ascii="Palatino Linotype" w:eastAsia="Palatino Linotype" w:hAnsi="Palatino Linotype" w:cs="Palatino Linotype"/>
          <w:color w:val="000000"/>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rsidR="00DD11B7" w:rsidRPr="00620AB9" w:rsidRDefault="005D6661">
      <w:pPr>
        <w:pBdr>
          <w:top w:val="nil"/>
          <w:left w:val="nil"/>
          <w:bottom w:val="nil"/>
          <w:right w:val="nil"/>
          <w:between w:val="nil"/>
        </w:pBdr>
        <w:spacing w:before="240" w:after="360" w:line="360" w:lineRule="auto"/>
        <w:ind w:left="851" w:right="850"/>
        <w:jc w:val="both"/>
        <w:rPr>
          <w:rFonts w:ascii="Palatino Linotype" w:eastAsia="Palatino Linotype" w:hAnsi="Palatino Linotype" w:cs="Palatino Linotype"/>
          <w:i/>
          <w:iCs/>
          <w:color w:val="000000"/>
          <w:sz w:val="24"/>
          <w:szCs w:val="24"/>
        </w:rPr>
      </w:pPr>
      <w:r w:rsidRPr="00620AB9">
        <w:rPr>
          <w:rFonts w:ascii="Palatino Linotype" w:eastAsia="Palatino Linotype" w:hAnsi="Palatino Linotype" w:cs="Palatino Linotype"/>
          <w:i/>
          <w:iCs/>
          <w:color w:val="000000"/>
          <w:sz w:val="24"/>
          <w:szCs w:val="24"/>
        </w:rPr>
        <w:t xml:space="preserve">El Instituto Federal de Acceso a la Información y Protección de Datos </w:t>
      </w:r>
      <w:r w:rsidRPr="00620AB9">
        <w:rPr>
          <w:rFonts w:ascii="Palatino Linotype" w:eastAsia="Palatino Linotype" w:hAnsi="Palatino Linotype" w:cs="Palatino Linotype"/>
          <w:b/>
          <w:bCs/>
          <w:i/>
          <w:iCs/>
          <w:color w:val="000000"/>
          <w:sz w:val="24"/>
          <w:szCs w:val="24"/>
        </w:rPr>
        <w:t>no cuenta con facultades para pronunciarse respecto de la veracidad de los documentos proporcionados por los sujetos obligados.</w:t>
      </w:r>
      <w:r w:rsidRPr="00620AB9">
        <w:rPr>
          <w:rFonts w:ascii="Palatino Linotype" w:eastAsia="Palatino Linotype" w:hAnsi="Palatino Linotype" w:cs="Palatino Linotype"/>
          <w:i/>
          <w:iCs/>
          <w:color w:val="000000"/>
          <w:sz w:val="24"/>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lastRenderedPageBreak/>
        <w:t xml:space="preserve">Así mismo, la </w:t>
      </w:r>
      <w:r w:rsidRPr="00620AB9">
        <w:rPr>
          <w:rFonts w:ascii="Palatino Linotype" w:eastAsia="Palatino Linotype" w:hAnsi="Palatino Linotype" w:cs="Palatino Linotype"/>
          <w:b/>
          <w:bCs/>
          <w:sz w:val="24"/>
          <w:szCs w:val="24"/>
        </w:rPr>
        <w:t>Ley de Transparencia y Acceso a la Información Pública del Estado de México y Municipios</w:t>
      </w:r>
      <w:r w:rsidRPr="00620AB9">
        <w:rPr>
          <w:rFonts w:ascii="Palatino Linotype" w:eastAsia="Palatino Linotype" w:hAnsi="Palatino Linotype" w:cs="Palatino Linotype"/>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DD11B7" w:rsidRPr="00620AB9" w:rsidRDefault="005D6661">
      <w:pPr>
        <w:pBdr>
          <w:top w:val="nil"/>
          <w:left w:val="nil"/>
          <w:bottom w:val="nil"/>
          <w:right w:val="nil"/>
          <w:between w:val="nil"/>
        </w:pBdr>
        <w:spacing w:line="360" w:lineRule="auto"/>
        <w:ind w:left="644" w:right="902"/>
        <w:jc w:val="both"/>
        <w:rPr>
          <w:rFonts w:ascii="Palatino Linotype" w:eastAsia="Palatino Linotype" w:hAnsi="Palatino Linotype" w:cs="Palatino Linotype"/>
          <w:b/>
          <w:bCs/>
          <w:i/>
          <w:iCs/>
          <w:color w:val="000000"/>
          <w:sz w:val="24"/>
          <w:szCs w:val="24"/>
        </w:rPr>
      </w:pPr>
      <w:r w:rsidRPr="00620AB9">
        <w:rPr>
          <w:rFonts w:ascii="Palatino Linotype" w:eastAsia="Palatino Linotype" w:hAnsi="Palatino Linotype" w:cs="Palatino Linotype"/>
          <w:i/>
          <w:iCs/>
          <w:color w:val="000000"/>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20AB9">
        <w:rPr>
          <w:rFonts w:ascii="Palatino Linotype" w:eastAsia="Palatino Linotype" w:hAnsi="Palatino Linotype" w:cs="Palatino Linotype"/>
          <w:b/>
          <w:bCs/>
          <w:i/>
          <w:iCs/>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DD11B7" w:rsidRPr="00620AB9" w:rsidRDefault="00DD11B7">
      <w:pPr>
        <w:spacing w:line="360" w:lineRule="auto"/>
        <w:ind w:right="902"/>
        <w:jc w:val="both"/>
        <w:rPr>
          <w:rFonts w:ascii="Palatino Linotype" w:eastAsia="Palatino Linotype" w:hAnsi="Palatino Linotype" w:cs="Palatino Linotype"/>
          <w:b/>
          <w:bCs/>
          <w:i/>
          <w:iCs/>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Numerales que compelen al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a apegarse en todo momento a los criterios ya expuestos, </w:t>
      </w:r>
      <w:r w:rsidR="00B422BD" w:rsidRPr="00620AB9">
        <w:rPr>
          <w:rFonts w:ascii="Palatino Linotype" w:eastAsia="Palatino Linotype" w:hAnsi="Palatino Linotype" w:cs="Palatino Linotype"/>
          <w:sz w:val="24"/>
          <w:szCs w:val="24"/>
        </w:rPr>
        <w:t>impidiendo</w:t>
      </w:r>
      <w:r w:rsidRPr="00620AB9">
        <w:rPr>
          <w:rFonts w:ascii="Palatino Linotype" w:eastAsia="Palatino Linotype" w:hAnsi="Palatino Linotype" w:cs="Palatino Linotype"/>
          <w:sz w:val="24"/>
          <w:szCs w:val="24"/>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rsidR="00DD11B7" w:rsidRPr="00620AB9" w:rsidRDefault="00DD11B7" w:rsidP="00620AB9">
      <w:pPr>
        <w:spacing w:line="360" w:lineRule="auto"/>
        <w:ind w:right="48"/>
        <w:jc w:val="both"/>
        <w:rPr>
          <w:rFonts w:ascii="Palatino Linotype" w:eastAsia="Palatino Linotype" w:hAnsi="Palatino Linotype" w:cs="Palatino Linotype"/>
          <w:color w:val="000000"/>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sz w:val="24"/>
          <w:szCs w:val="24"/>
        </w:rPr>
        <w:t xml:space="preserve">Ahora bien, al tratarse de hechos negativos y al haberse pronunciado el servidor público habilitado para tal efecto, se advierte que se tiene por colmada en su totalidad la solicitud de información </w:t>
      </w:r>
      <w:r w:rsidRPr="00620AB9">
        <w:rPr>
          <w:rFonts w:ascii="Palatino Linotype" w:eastAsia="Palatino Linotype" w:hAnsi="Palatino Linotype" w:cs="Palatino Linotype"/>
          <w:b/>
          <w:bCs/>
          <w:sz w:val="24"/>
          <w:szCs w:val="24"/>
        </w:rPr>
        <w:t>00438/MEXICAL/IP/2025</w:t>
      </w:r>
      <w:r w:rsidRPr="00620AB9">
        <w:rPr>
          <w:rFonts w:ascii="Palatino Linotype" w:eastAsia="Palatino Linotype" w:hAnsi="Palatino Linotype" w:cs="Palatino Linotype"/>
          <w:sz w:val="24"/>
          <w:szCs w:val="24"/>
        </w:rPr>
        <w:t xml:space="preserve">, resultando dable sobreseer el recurso de revisión por haberse modificado la respuesta primigenia, ya que en etapa de manifestaciones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únicamente informo que no se cuenta con el citado sistema, para posteriormente realizar una serie de manifestaciones tendientes a robustecer la respuesta primigenia, información que no fue proporcionada en un primer momento, consumándose así una modificación a la misma.</w:t>
      </w:r>
    </w:p>
    <w:p w:rsidR="00DD11B7" w:rsidRPr="00620AB9" w:rsidRDefault="00DD11B7">
      <w:pPr>
        <w:spacing w:line="360" w:lineRule="auto"/>
        <w:ind w:right="-518"/>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sz w:val="24"/>
          <w:szCs w:val="24"/>
        </w:rPr>
        <w:lastRenderedPageBreak/>
        <w:t xml:space="preserve">Es así que, las consecuencias jurídicas de esta modificación o revocación es que el </w:t>
      </w:r>
      <w:r w:rsidRPr="00620AB9">
        <w:rPr>
          <w:rFonts w:ascii="Palatino Linotype" w:eastAsia="Palatino Linotype" w:hAnsi="Palatino Linotype" w:cs="Palatino Linotype"/>
          <w:color w:val="000000"/>
          <w:sz w:val="24"/>
          <w:szCs w:val="24"/>
        </w:rPr>
        <w:t>recurso</w:t>
      </w:r>
      <w:r w:rsidRPr="00620AB9">
        <w:rPr>
          <w:rFonts w:ascii="Palatino Linotype" w:eastAsia="Palatino Linotype" w:hAnsi="Palatino Linotype" w:cs="Palatino Linotype"/>
          <w:sz w:val="24"/>
          <w:szCs w:val="24"/>
        </w:rPr>
        <w:t xml:space="preserve"> de revisión interpuesto quede sin efectos o sin materia, ya que un acto impugnado queda sin efectos, cuando aun existiendo jurídicamente, no genera consecuencia legal alguna; queda sin materia, cuando ha sido satisfecha la pretensión del particular.</w:t>
      </w:r>
    </w:p>
    <w:p w:rsidR="00DD11B7" w:rsidRPr="00620AB9" w:rsidRDefault="00DD11B7" w:rsidP="00620AB9">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Así mismo, la </w:t>
      </w:r>
      <w:r w:rsidRPr="00620AB9">
        <w:rPr>
          <w:rFonts w:ascii="Palatino Linotype" w:eastAsia="Palatino Linotype" w:hAnsi="Palatino Linotype" w:cs="Palatino Linotype"/>
          <w:b/>
          <w:bCs/>
          <w:sz w:val="24"/>
          <w:szCs w:val="24"/>
        </w:rPr>
        <w:t>Ley de Transparencia y Acceso a la Información Pública del Estado de México y Municipios</w:t>
      </w:r>
      <w:r w:rsidRPr="00620AB9">
        <w:rPr>
          <w:rFonts w:ascii="Palatino Linotype" w:eastAsia="Palatino Linotype" w:hAnsi="Palatino Linotype" w:cs="Palatino Linotype"/>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620AB9" w:rsidRDefault="00620AB9">
      <w:pPr>
        <w:pBdr>
          <w:top w:val="nil"/>
          <w:left w:val="nil"/>
          <w:bottom w:val="nil"/>
          <w:right w:val="nil"/>
          <w:between w:val="nil"/>
        </w:pBdr>
        <w:spacing w:line="276" w:lineRule="auto"/>
        <w:ind w:left="644" w:right="992"/>
        <w:jc w:val="both"/>
        <w:rPr>
          <w:rFonts w:ascii="Palatino Linotype" w:eastAsia="Palatino Linotype" w:hAnsi="Palatino Linotype" w:cs="Palatino Linotype"/>
          <w:i/>
          <w:iCs/>
          <w:color w:val="000000"/>
          <w:sz w:val="24"/>
          <w:szCs w:val="24"/>
        </w:rPr>
      </w:pPr>
    </w:p>
    <w:p w:rsidR="00DD11B7" w:rsidRPr="00620AB9" w:rsidRDefault="005D6661">
      <w:pPr>
        <w:pBdr>
          <w:top w:val="nil"/>
          <w:left w:val="nil"/>
          <w:bottom w:val="nil"/>
          <w:right w:val="nil"/>
          <w:between w:val="nil"/>
        </w:pBdr>
        <w:spacing w:line="276" w:lineRule="auto"/>
        <w:ind w:left="644" w:right="992"/>
        <w:jc w:val="both"/>
        <w:rPr>
          <w:rFonts w:ascii="Palatino Linotype" w:eastAsia="Palatino Linotype" w:hAnsi="Palatino Linotype" w:cs="Palatino Linotype"/>
          <w:b/>
          <w:bCs/>
          <w:i/>
          <w:iCs/>
          <w:color w:val="000000"/>
          <w:sz w:val="24"/>
          <w:szCs w:val="24"/>
        </w:rPr>
      </w:pPr>
      <w:r w:rsidRPr="00620AB9">
        <w:rPr>
          <w:rFonts w:ascii="Palatino Linotype" w:eastAsia="Palatino Linotype" w:hAnsi="Palatino Linotype" w:cs="Palatino Linotype"/>
          <w:i/>
          <w:iCs/>
          <w:color w:val="000000"/>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620AB9">
        <w:rPr>
          <w:rFonts w:ascii="Palatino Linotype" w:eastAsia="Palatino Linotype" w:hAnsi="Palatino Linotype" w:cs="Palatino Linotype"/>
          <w:b/>
          <w:bCs/>
          <w:i/>
          <w:iCs/>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DD11B7" w:rsidRPr="00620AB9" w:rsidRDefault="00DD11B7">
      <w:pPr>
        <w:spacing w:line="360" w:lineRule="auto"/>
        <w:ind w:right="-518"/>
        <w:jc w:val="both"/>
        <w:rPr>
          <w:rFonts w:ascii="Palatino Linotype" w:eastAsia="Palatino Linotype" w:hAnsi="Palatino Linotype" w:cs="Palatino Linotype"/>
          <w:b/>
          <w:bCs/>
          <w:i/>
          <w:iCs/>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Numerales que compelen al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a apegarse en todo momento a los criterios ya expuestos, </w:t>
      </w:r>
      <w:r w:rsidR="00B422BD" w:rsidRPr="00620AB9">
        <w:rPr>
          <w:rFonts w:ascii="Palatino Linotype" w:eastAsia="Palatino Linotype" w:hAnsi="Palatino Linotype" w:cs="Palatino Linotype"/>
          <w:sz w:val="24"/>
          <w:szCs w:val="24"/>
        </w:rPr>
        <w:t>impidiendo</w:t>
      </w:r>
      <w:r w:rsidRPr="00620AB9">
        <w:rPr>
          <w:rFonts w:ascii="Palatino Linotype" w:eastAsia="Palatino Linotype" w:hAnsi="Palatino Linotype" w:cs="Palatino Linotype"/>
          <w:sz w:val="24"/>
          <w:szCs w:val="24"/>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rsidR="00DD11B7" w:rsidRPr="00620AB9" w:rsidRDefault="00DD11B7" w:rsidP="00620AB9">
      <w:pPr>
        <w:spacing w:line="276" w:lineRule="auto"/>
        <w:ind w:right="-518"/>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De lo anterior, este Pleno advierte que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con la información enviada a través del informe de justificación, </w:t>
      </w:r>
      <w:r w:rsidRPr="00620AB9">
        <w:rPr>
          <w:rFonts w:ascii="Palatino Linotype" w:eastAsia="Palatino Linotype" w:hAnsi="Palatino Linotype" w:cs="Palatino Linotype"/>
          <w:b/>
          <w:bCs/>
          <w:sz w:val="24"/>
          <w:szCs w:val="24"/>
        </w:rPr>
        <w:t>modifica</w:t>
      </w:r>
      <w:r w:rsidRPr="00620AB9">
        <w:rPr>
          <w:rFonts w:ascii="Palatino Linotype" w:eastAsia="Palatino Linotype" w:hAnsi="Palatino Linotype" w:cs="Palatino Linotype"/>
          <w:sz w:val="24"/>
          <w:szCs w:val="24"/>
        </w:rPr>
        <w:t xml:space="preserve"> el acto que le dio origen al recurso de revisión, lo que trae como consecuencia que, el presente recurso quede sin materia, actualizándose de este modo, la hipótesis jurídica contenida en la fracción III del artículo 192 </w:t>
      </w:r>
      <w:r w:rsidRPr="00620AB9">
        <w:rPr>
          <w:rFonts w:ascii="Palatino Linotype" w:eastAsia="Palatino Linotype" w:hAnsi="Palatino Linotype" w:cs="Palatino Linotype"/>
          <w:sz w:val="24"/>
          <w:szCs w:val="24"/>
        </w:rPr>
        <w:lastRenderedPageBreak/>
        <w:t>de la Ley de Transparencia y Acceso a la Información Pública del Estado de México y Municipios</w:t>
      </w:r>
    </w:p>
    <w:p w:rsidR="00DD11B7" w:rsidRPr="00620AB9" w:rsidRDefault="00DD11B7">
      <w:pPr>
        <w:ind w:right="-518"/>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Dicho lo anterior este Órgano Resolutor arriba a la conclusión que, con la información proporcionada al momento de rendir el Informe Justificado correspondiente, se modificó la respuesta primigenia quedando colmada en su totalidad la solicitud</w:t>
      </w:r>
      <w:r w:rsidRPr="00620AB9">
        <w:rPr>
          <w:rFonts w:ascii="Palatino Linotype" w:eastAsia="Palatino Linotype" w:hAnsi="Palatino Linotype" w:cs="Palatino Linotype"/>
          <w:b/>
          <w:bCs/>
          <w:sz w:val="24"/>
          <w:szCs w:val="24"/>
        </w:rPr>
        <w:t> 00438/MEXICAL/IP/2025.</w:t>
      </w:r>
    </w:p>
    <w:p w:rsidR="00DD11B7" w:rsidRPr="00620AB9" w:rsidRDefault="00DD11B7" w:rsidP="00620AB9">
      <w:pPr>
        <w:spacing w:line="360" w:lineRule="auto"/>
        <w:ind w:right="-518"/>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Es así que la ley prevé que cuando el </w:t>
      </w:r>
      <w:r w:rsidRPr="00620AB9">
        <w:rPr>
          <w:rFonts w:ascii="Palatino Linotype" w:eastAsia="Palatino Linotype" w:hAnsi="Palatino Linotype" w:cs="Palatino Linotype"/>
          <w:b/>
          <w:bCs/>
          <w:sz w:val="24"/>
          <w:szCs w:val="24"/>
        </w:rPr>
        <w:t xml:space="preserve">SUJETO OBLIGADO, </w:t>
      </w:r>
      <w:r w:rsidRPr="00620AB9">
        <w:rPr>
          <w:rFonts w:ascii="Palatino Linotype" w:eastAsia="Palatino Linotype" w:hAnsi="Palatino Linotype" w:cs="Palatino Linotype"/>
          <w:sz w:val="24"/>
          <w:szCs w:val="24"/>
        </w:rPr>
        <w:t xml:space="preserve">antes de que se dicte resolución definitiva, entrega la información solicitada o completa la información que en un primer momento fue incompleta; el recurso de revisión que al efecto se haya interpuesto queda sin materia lo que imposibilita el estudio de fondo de la </w:t>
      </w:r>
      <w:r w:rsidRPr="00620AB9">
        <w:rPr>
          <w:rFonts w:ascii="Palatino Linotype" w:eastAsia="Palatino Linotype" w:hAnsi="Palatino Linotype" w:cs="Palatino Linotype"/>
          <w:i/>
          <w:iCs/>
          <w:sz w:val="24"/>
          <w:szCs w:val="24"/>
        </w:rPr>
        <w:t>Litis</w:t>
      </w:r>
      <w:r w:rsidRPr="00620AB9">
        <w:rPr>
          <w:rFonts w:ascii="Palatino Linotype" w:eastAsia="Palatino Linotype" w:hAnsi="Palatino Linotype" w:cs="Palatino Linotype"/>
          <w:sz w:val="24"/>
          <w:szCs w:val="24"/>
        </w:rPr>
        <w:t xml:space="preserve"> planteada, debido a que la afectación en su esfera de derechos fue restituida por la propia autoridad que emitió el acto motivo de impugnación.</w:t>
      </w:r>
    </w:p>
    <w:p w:rsidR="00DD11B7" w:rsidRPr="00620AB9" w:rsidRDefault="00DD11B7" w:rsidP="00620AB9">
      <w:pPr>
        <w:pBdr>
          <w:top w:val="nil"/>
          <w:left w:val="nil"/>
          <w:bottom w:val="nil"/>
          <w:right w:val="nil"/>
          <w:between w:val="nil"/>
        </w:pBdr>
        <w:spacing w:line="360" w:lineRule="auto"/>
        <w:ind w:right="-518"/>
        <w:jc w:val="both"/>
        <w:rPr>
          <w:rFonts w:ascii="Palatino Linotype" w:eastAsia="Palatino Linotype" w:hAnsi="Palatino Linotype" w:cs="Palatino Linotype"/>
          <w:color w:val="000000"/>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Sirve de sustento a lo anterior la siguiente jurisprudencia por contradicción, cuyo rubro, texto y datos de identificación son los siguientes:</w:t>
      </w:r>
    </w:p>
    <w:p w:rsidR="00DD11B7" w:rsidRPr="00620AB9" w:rsidRDefault="00DD11B7">
      <w:pPr>
        <w:spacing w:line="360" w:lineRule="auto"/>
        <w:ind w:left="567" w:right="-518"/>
        <w:jc w:val="both"/>
        <w:rPr>
          <w:rFonts w:ascii="Palatino Linotype" w:eastAsia="Palatino Linotype" w:hAnsi="Palatino Linotype" w:cs="Palatino Linotype"/>
          <w:sz w:val="24"/>
          <w:szCs w:val="24"/>
        </w:rPr>
      </w:pPr>
    </w:p>
    <w:p w:rsidR="00DD11B7" w:rsidRPr="00620AB9" w:rsidRDefault="005D6661">
      <w:pPr>
        <w:spacing w:line="276" w:lineRule="auto"/>
        <w:ind w:left="567" w:right="992"/>
        <w:jc w:val="both"/>
        <w:rPr>
          <w:rFonts w:ascii="Palatino Linotype" w:eastAsia="Palatino Linotype" w:hAnsi="Palatino Linotype" w:cs="Palatino Linotype"/>
          <w:i/>
          <w:iCs/>
          <w:sz w:val="24"/>
          <w:szCs w:val="24"/>
        </w:rPr>
      </w:pPr>
      <w:r w:rsidRPr="00620AB9">
        <w:rPr>
          <w:rFonts w:ascii="Palatino Linotype" w:eastAsia="Palatino Linotype" w:hAnsi="Palatino Linotype" w:cs="Palatino Linotype"/>
          <w:b/>
          <w:bCs/>
          <w:i/>
          <w:iCs/>
          <w:sz w:val="24"/>
          <w:szCs w:val="24"/>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620AB9">
        <w:rPr>
          <w:rFonts w:ascii="Palatino Linotype" w:eastAsia="Palatino Linotype" w:hAnsi="Palatino Linotype" w:cs="Palatino Linotype"/>
          <w:i/>
          <w:iCs/>
          <w:sz w:val="24"/>
          <w:szCs w:val="24"/>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w:t>
      </w:r>
      <w:r w:rsidRPr="00620AB9">
        <w:rPr>
          <w:rFonts w:ascii="Palatino Linotype" w:eastAsia="Palatino Linotype" w:hAnsi="Palatino Linotype" w:cs="Palatino Linotype"/>
          <w:i/>
          <w:iCs/>
          <w:sz w:val="24"/>
          <w:szCs w:val="24"/>
        </w:rPr>
        <w:lastRenderedPageBreak/>
        <w:t>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DD11B7" w:rsidRPr="00620AB9" w:rsidRDefault="00DD11B7">
      <w:pPr>
        <w:spacing w:line="360" w:lineRule="auto"/>
        <w:ind w:left="708" w:right="-518"/>
        <w:jc w:val="both"/>
        <w:rPr>
          <w:rFonts w:ascii="Palatino Linotype" w:eastAsia="Palatino Linotype" w:hAnsi="Palatino Linotype" w:cs="Palatino Linotype"/>
          <w:i/>
          <w:iCs/>
          <w:sz w:val="24"/>
          <w:szCs w:val="24"/>
        </w:rPr>
      </w:pPr>
    </w:p>
    <w:p w:rsidR="00DD11B7" w:rsidRPr="00620AB9" w:rsidRDefault="005D6661" w:rsidP="00620AB9">
      <w:pPr>
        <w:pStyle w:val="Listaconvietas2"/>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La anterior jurisprudencia resulta aplicable al presente asunto, en dos aspectos:</w:t>
      </w:r>
    </w:p>
    <w:p w:rsidR="00DD11B7" w:rsidRPr="00620AB9" w:rsidRDefault="005D6661">
      <w:pPr>
        <w:numPr>
          <w:ilvl w:val="0"/>
          <w:numId w:val="6"/>
        </w:numPr>
        <w:spacing w:line="276" w:lineRule="auto"/>
        <w:ind w:left="709" w:right="616" w:hanging="283"/>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b/>
          <w:bCs/>
          <w:sz w:val="24"/>
          <w:szCs w:val="24"/>
        </w:rPr>
        <w:t>La cesación de los efectos perniciosos del acto de autoridad:</w:t>
      </w:r>
      <w:r w:rsidRPr="00620AB9">
        <w:rPr>
          <w:rFonts w:ascii="Palatino Linotype" w:eastAsia="Palatino Linotype" w:hAnsi="Palatino Linotype" w:cs="Palatino Linotype"/>
          <w:sz w:val="24"/>
          <w:szCs w:val="24"/>
        </w:rPr>
        <w:t xml:space="preserve"> Al respecto, la Ley de Transparencia contempla la figura jurídica del sobreseimiento cuando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de </w:t>
      </w:r>
      <w:r w:rsidRPr="00620AB9">
        <w:rPr>
          <w:rFonts w:ascii="Palatino Linotype" w:eastAsia="Palatino Linotype" w:hAnsi="Palatino Linotype" w:cs="Palatino Linotype"/>
          <w:i/>
          <w:iCs/>
          <w:sz w:val="24"/>
          <w:szCs w:val="24"/>
        </w:rPr>
        <w:t>motu proprio</w:t>
      </w:r>
      <w:r w:rsidRPr="00620AB9">
        <w:rPr>
          <w:rFonts w:ascii="Palatino Linotype" w:eastAsia="Palatino Linotype" w:hAnsi="Palatino Linotype" w:cs="Palatino Linotype"/>
          <w:sz w:val="24"/>
          <w:szCs w:val="24"/>
        </w:rPr>
        <w:t xml:space="preserve"> modifica o revoca de tal manera el acto motivo de la impugnación que lo deja sin materia; es decir, cesan los efectos de éste y el derecho de acceso a la información pública se encuentra satisfecho.</w:t>
      </w:r>
    </w:p>
    <w:p w:rsidR="00DD11B7" w:rsidRPr="00620AB9" w:rsidRDefault="005D6661">
      <w:pPr>
        <w:numPr>
          <w:ilvl w:val="0"/>
          <w:numId w:val="6"/>
        </w:numPr>
        <w:spacing w:line="276" w:lineRule="auto"/>
        <w:ind w:left="709" w:right="616" w:hanging="283"/>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b/>
          <w:bCs/>
          <w:sz w:val="24"/>
          <w:szCs w:val="24"/>
        </w:rPr>
        <w:t>El momento procesal para modificar el acto impugnado:</w:t>
      </w:r>
      <w:r w:rsidRPr="00620AB9">
        <w:rPr>
          <w:rFonts w:ascii="Palatino Linotype" w:eastAsia="Palatino Linotype" w:hAnsi="Palatino Linotype" w:cs="Palatino Linotype"/>
          <w:sz w:val="24"/>
          <w:szCs w:val="24"/>
        </w:rPr>
        <w:t xml:space="preserve"> Para que se actualice el sobreseimiento de un recurso de revisión,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puede entregar o completar la información al momento de rendir su informe de justificación o </w:t>
      </w:r>
      <w:r w:rsidRPr="00620AB9">
        <w:rPr>
          <w:rFonts w:ascii="Palatino Linotype" w:eastAsia="Palatino Linotype" w:hAnsi="Palatino Linotype" w:cs="Palatino Linotype"/>
          <w:b/>
          <w:bCs/>
          <w:sz w:val="24"/>
          <w:szCs w:val="24"/>
          <w:u w:val="single"/>
        </w:rPr>
        <w:t>posteriormente</w:t>
      </w:r>
      <w:r w:rsidRPr="00620AB9">
        <w:rPr>
          <w:rFonts w:ascii="Palatino Linotype" w:eastAsia="Palatino Linotype" w:hAnsi="Palatino Linotype" w:cs="Palatino Linotype"/>
          <w:sz w:val="24"/>
          <w:szCs w:val="24"/>
        </w:rPr>
        <w:t xml:space="preserve"> a éste, siempre y cuando el Pleno del Instituto no haya dictado resolución definitiva.</w:t>
      </w:r>
    </w:p>
    <w:p w:rsidR="00DD11B7" w:rsidRPr="00620AB9" w:rsidRDefault="00DD11B7">
      <w:pPr>
        <w:spacing w:line="360" w:lineRule="auto"/>
        <w:ind w:right="-518"/>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Eduardo Pallares, en su artículo </w:t>
      </w:r>
      <w:r w:rsidRPr="00620AB9">
        <w:rPr>
          <w:rFonts w:ascii="Palatino Linotype" w:eastAsia="Palatino Linotype" w:hAnsi="Palatino Linotype" w:cs="Palatino Linotype"/>
          <w:i/>
          <w:iCs/>
          <w:sz w:val="24"/>
          <w:szCs w:val="24"/>
        </w:rPr>
        <w:t>“La caducidad y el sobreseimiento en el amparo”</w:t>
      </w:r>
      <w:r w:rsidRPr="00620AB9">
        <w:rPr>
          <w:rFonts w:ascii="Palatino Linotype" w:eastAsia="Palatino Linotype" w:hAnsi="Palatino Linotype" w:cs="Palatino Linotype"/>
          <w:sz w:val="24"/>
          <w:szCs w:val="24"/>
        </w:rPr>
        <w:t xml:space="preserve">, cita la definición de Aguilera Paz, aduciendo que se </w:t>
      </w:r>
      <w:r w:rsidRPr="00620AB9">
        <w:rPr>
          <w:rFonts w:ascii="Palatino Linotype" w:eastAsia="Palatino Linotype" w:hAnsi="Palatino Linotype" w:cs="Palatino Linotype"/>
          <w:i/>
          <w:iCs/>
          <w:sz w:val="24"/>
          <w:szCs w:val="24"/>
        </w:rPr>
        <w:t>“...entiende por sobreseimiento en el tecnicismo forense, el hecho de cesar en el procedimiento o curso de la causa, por no existir méritos bastantes para entrar en un juicio o para entablar la contienda judicial que debe ser objeto del mismo...”</w:t>
      </w:r>
      <w:r w:rsidRPr="00620AB9">
        <w:rPr>
          <w:rFonts w:ascii="Palatino Linotype" w:eastAsia="Palatino Linotype" w:hAnsi="Palatino Linotype" w:cs="Palatino Linotype"/>
          <w:sz w:val="24"/>
          <w:szCs w:val="24"/>
        </w:rPr>
        <w:t>. Asimismo señala que existe el sobreseimiento provisional y el definitivo</w:t>
      </w:r>
      <w:r w:rsidRPr="00620AB9">
        <w:rPr>
          <w:rFonts w:ascii="Palatino Linotype" w:eastAsia="Palatino Linotype" w:hAnsi="Palatino Linotype" w:cs="Palatino Linotype"/>
          <w:i/>
          <w:iCs/>
          <w:sz w:val="24"/>
          <w:szCs w:val="24"/>
        </w:rPr>
        <w:t>: “...el definitivo es una verdadera sentencia que pone fin al juicio, y que una vez dictada, produce cosa juzgada, mientras que el provisorio tiene por efectos suspender la prosecución de la causa...”</w:t>
      </w:r>
    </w:p>
    <w:p w:rsidR="00DD11B7" w:rsidRPr="00620AB9" w:rsidRDefault="00DD11B7" w:rsidP="00620AB9">
      <w:pPr>
        <w:spacing w:line="360" w:lineRule="auto"/>
        <w:ind w:right="-518"/>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lastRenderedPageBreak/>
        <w:t xml:space="preserve">Asimismo, para que se actualice el sobreseimiento de un recurso de revisión, el </w:t>
      </w:r>
      <w:r w:rsidRPr="00620AB9">
        <w:rPr>
          <w:rFonts w:ascii="Palatino Linotype" w:eastAsia="Palatino Linotype" w:hAnsi="Palatino Linotype" w:cs="Palatino Linotype"/>
          <w:b/>
          <w:bCs/>
          <w:sz w:val="24"/>
          <w:szCs w:val="24"/>
        </w:rPr>
        <w:t>SUJETO OBLIGADO</w:t>
      </w:r>
      <w:r w:rsidRPr="00620AB9">
        <w:rPr>
          <w:rFonts w:ascii="Palatino Linotype" w:eastAsia="Palatino Linotype" w:hAnsi="Palatino Linotype" w:cs="Palatino Linotype"/>
          <w:sz w:val="24"/>
          <w:szCs w:val="24"/>
        </w:rPr>
        <w:t xml:space="preserve"> puede entregar, completar o precisar la información al momento de rendir su informe justificado o dentro de los siete días previstos para manifestar lo que a su derecho convenga, lo anterior también puede ocurrir si entrega la información después de ese lapso pero antes del cierre de instrucción, tal como aconteció en el presente recurso.</w:t>
      </w:r>
    </w:p>
    <w:p w:rsidR="00DD11B7" w:rsidRPr="00620AB9" w:rsidRDefault="00DD11B7" w:rsidP="00620AB9">
      <w:pPr>
        <w:spacing w:line="360" w:lineRule="auto"/>
        <w:ind w:right="-518"/>
        <w:jc w:val="both"/>
        <w:rPr>
          <w:rFonts w:ascii="Palatino Linotype" w:eastAsia="Palatino Linotype" w:hAnsi="Palatino Linotype" w:cs="Palatino Linotype"/>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bookmarkStart w:id="7" w:name="_heading=h.ehuxu58t8mbr" w:colFirst="0" w:colLast="0"/>
      <w:bookmarkEnd w:id="7"/>
      <w:r w:rsidRPr="00620AB9">
        <w:rPr>
          <w:rFonts w:ascii="Palatino Linotype" w:eastAsia="Palatino Linotype" w:hAnsi="Palatino Linotype" w:cs="Palatino Linotype"/>
          <w:sz w:val="24"/>
          <w:szCs w:val="24"/>
        </w:rPr>
        <w:t xml:space="preserve">Bajo ese tenor, con la nueva información remitida por el </w:t>
      </w:r>
      <w:r w:rsidRPr="00620AB9">
        <w:rPr>
          <w:rFonts w:ascii="Palatino Linotype" w:eastAsia="Palatino Linotype" w:hAnsi="Palatino Linotype" w:cs="Palatino Linotype"/>
          <w:b/>
          <w:bCs/>
          <w:sz w:val="24"/>
          <w:szCs w:val="24"/>
        </w:rPr>
        <w:t xml:space="preserve">SUJETO OBLIGADO, </w:t>
      </w:r>
      <w:r w:rsidRPr="00620AB9">
        <w:rPr>
          <w:rFonts w:ascii="Palatino Linotype" w:eastAsia="Palatino Linotype" w:hAnsi="Palatino Linotype" w:cs="Palatino Linotype"/>
          <w:sz w:val="24"/>
          <w:szCs w:val="24"/>
        </w:rPr>
        <w:t xml:space="preserve">se colige que se colma la solicitud de información </w:t>
      </w:r>
      <w:r w:rsidRPr="00620AB9">
        <w:rPr>
          <w:rFonts w:ascii="Palatino Linotype" w:eastAsia="Palatino Linotype" w:hAnsi="Palatino Linotype" w:cs="Palatino Linotype"/>
          <w:b/>
          <w:bCs/>
          <w:sz w:val="24"/>
          <w:szCs w:val="24"/>
        </w:rPr>
        <w:t>00438/MEXICAL/IP/2025</w:t>
      </w:r>
      <w:r w:rsidRPr="00620AB9">
        <w:rPr>
          <w:rFonts w:ascii="Palatino Linotype" w:eastAsia="Palatino Linotype" w:hAnsi="Palatino Linotype" w:cs="Palatino Linotype"/>
          <w:sz w:val="24"/>
          <w:szCs w:val="24"/>
        </w:rPr>
        <w:t xml:space="preserve">y consecuentemente, los motivos de inconformidad hechos valer por </w:t>
      </w:r>
      <w:r w:rsidRPr="00620AB9">
        <w:rPr>
          <w:rFonts w:ascii="Palatino Linotype" w:eastAsia="Palatino Linotype" w:hAnsi="Palatino Linotype" w:cs="Palatino Linotype"/>
          <w:b/>
          <w:bCs/>
          <w:sz w:val="24"/>
          <w:szCs w:val="24"/>
        </w:rPr>
        <w:t>EL RECURRENTE,</w:t>
      </w:r>
      <w:r w:rsidRPr="00620AB9">
        <w:rPr>
          <w:rFonts w:ascii="Palatino Linotype" w:eastAsia="Palatino Linotype" w:hAnsi="Palatino Linotype" w:cs="Palatino Linotype"/>
          <w:sz w:val="24"/>
          <w:szCs w:val="24"/>
        </w:rPr>
        <w:t xml:space="preserve"> devienen inatendibles por actualizarse la figura del sobreseimiento, al cumplimentarse su derecho de acceso a la información y al quedarse si materia el presente recurso, por lo que, en términos del artículo 186 fracción I este Pleno determina el </w:t>
      </w:r>
      <w:r w:rsidRPr="00620AB9">
        <w:rPr>
          <w:rFonts w:ascii="Palatino Linotype" w:eastAsia="Palatino Linotype" w:hAnsi="Palatino Linotype" w:cs="Palatino Linotype"/>
          <w:b/>
          <w:bCs/>
          <w:sz w:val="24"/>
          <w:szCs w:val="24"/>
        </w:rPr>
        <w:t xml:space="preserve">SOBRESEIMIENTO </w:t>
      </w:r>
      <w:r w:rsidRPr="00620AB9">
        <w:rPr>
          <w:rFonts w:ascii="Palatino Linotype" w:eastAsia="Palatino Linotype" w:hAnsi="Palatino Linotype" w:cs="Palatino Linotype"/>
          <w:sz w:val="24"/>
          <w:szCs w:val="24"/>
        </w:rPr>
        <w:t>del presente recurso de revisión, toda vez que la afectación al derecho de acceso a la información pública establecido constitucionalmente a favor del particular, ha sido resarcida.</w:t>
      </w:r>
    </w:p>
    <w:p w:rsidR="00DD11B7" w:rsidRPr="00620AB9" w:rsidRDefault="00DD11B7" w:rsidP="00620AB9">
      <w:pPr>
        <w:pBdr>
          <w:top w:val="nil"/>
          <w:left w:val="nil"/>
          <w:bottom w:val="nil"/>
          <w:right w:val="nil"/>
          <w:between w:val="nil"/>
        </w:pBdr>
        <w:tabs>
          <w:tab w:val="left" w:pos="284"/>
        </w:tabs>
        <w:spacing w:line="360" w:lineRule="auto"/>
        <w:ind w:right="-518"/>
        <w:jc w:val="both"/>
        <w:rPr>
          <w:rFonts w:ascii="Palatino Linotype" w:eastAsia="Palatino Linotype" w:hAnsi="Palatino Linotype" w:cs="Palatino Linotype"/>
          <w:color w:val="000000"/>
          <w:sz w:val="24"/>
          <w:szCs w:val="24"/>
        </w:rPr>
      </w:pPr>
    </w:p>
    <w:p w:rsidR="00DD11B7" w:rsidRPr="00620AB9" w:rsidRDefault="005D6661" w:rsidP="00620AB9">
      <w:pPr>
        <w:pStyle w:val="Listaconvietas2"/>
        <w:ind w:left="0" w:firstLine="0"/>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sz w:val="24"/>
          <w:szCs w:val="24"/>
        </w:rPr>
        <w:t xml:space="preserve">Por lo anteriormente expuesto y fundado, este </w:t>
      </w:r>
      <w:r w:rsidRPr="00620AB9">
        <w:rPr>
          <w:rFonts w:ascii="Palatino Linotype" w:eastAsia="Palatino Linotype" w:hAnsi="Palatino Linotype" w:cs="Palatino Linotype"/>
          <w:b/>
          <w:bCs/>
          <w:sz w:val="24"/>
          <w:szCs w:val="24"/>
        </w:rPr>
        <w:t>ÓRGANO GARANTE</w:t>
      </w:r>
      <w:r w:rsidRPr="00620AB9">
        <w:rPr>
          <w:rFonts w:ascii="Palatino Linotype" w:eastAsia="Palatino Linotype" w:hAnsi="Palatino Linotype" w:cs="Palatino Linotype"/>
          <w:sz w:val="24"/>
          <w:szCs w:val="24"/>
        </w:rPr>
        <w:t xml:space="preserve"> emite los siguientes:</w:t>
      </w:r>
    </w:p>
    <w:p w:rsidR="00DD11B7" w:rsidRPr="00620AB9" w:rsidRDefault="00DD11B7">
      <w:pPr>
        <w:spacing w:line="360" w:lineRule="auto"/>
        <w:ind w:right="-518"/>
        <w:jc w:val="both"/>
        <w:rPr>
          <w:rFonts w:ascii="Palatino Linotype" w:eastAsia="Palatino Linotype" w:hAnsi="Palatino Linotype" w:cs="Palatino Linotype"/>
          <w:sz w:val="24"/>
          <w:szCs w:val="24"/>
        </w:rPr>
      </w:pPr>
    </w:p>
    <w:p w:rsidR="00DD11B7" w:rsidRPr="00620AB9" w:rsidRDefault="005D6661">
      <w:pPr>
        <w:keepNext/>
        <w:keepLines/>
        <w:spacing w:line="360" w:lineRule="auto"/>
        <w:ind w:right="-518"/>
        <w:jc w:val="center"/>
        <w:rPr>
          <w:rFonts w:ascii="Palatino Linotype" w:eastAsia="Palatino Linotype" w:hAnsi="Palatino Linotype" w:cs="Palatino Linotype"/>
          <w:b/>
          <w:bCs/>
          <w:sz w:val="24"/>
          <w:szCs w:val="24"/>
        </w:rPr>
      </w:pPr>
      <w:bookmarkStart w:id="8" w:name="_heading=h.9vhezmiapotb" w:colFirst="0" w:colLast="0"/>
      <w:bookmarkEnd w:id="8"/>
      <w:r w:rsidRPr="00620AB9">
        <w:rPr>
          <w:rFonts w:ascii="Palatino Linotype" w:eastAsia="Palatino Linotype" w:hAnsi="Palatino Linotype" w:cs="Palatino Linotype"/>
          <w:b/>
          <w:bCs/>
          <w:sz w:val="24"/>
          <w:szCs w:val="24"/>
        </w:rPr>
        <w:t>R E S O L U T I V O S</w:t>
      </w:r>
    </w:p>
    <w:p w:rsidR="00DD11B7" w:rsidRPr="00620AB9" w:rsidRDefault="00DD11B7">
      <w:pPr>
        <w:keepNext/>
        <w:keepLines/>
        <w:spacing w:line="360" w:lineRule="auto"/>
        <w:ind w:right="-518"/>
        <w:jc w:val="center"/>
        <w:rPr>
          <w:rFonts w:ascii="Palatino Linotype" w:eastAsia="Palatino Linotype" w:hAnsi="Palatino Linotype" w:cs="Palatino Linotype"/>
          <w:b/>
          <w:bCs/>
          <w:sz w:val="24"/>
          <w:szCs w:val="24"/>
        </w:rPr>
      </w:pPr>
    </w:p>
    <w:p w:rsidR="00DD11B7" w:rsidRPr="00620AB9" w:rsidRDefault="005D666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b/>
          <w:bCs/>
          <w:color w:val="000000"/>
          <w:sz w:val="24"/>
          <w:szCs w:val="24"/>
        </w:rPr>
        <w:t xml:space="preserve">PRIMERO. </w:t>
      </w:r>
      <w:r w:rsidRPr="00620AB9">
        <w:rPr>
          <w:rFonts w:ascii="Palatino Linotype" w:eastAsia="Palatino Linotype" w:hAnsi="Palatino Linotype" w:cs="Palatino Linotype"/>
          <w:color w:val="000000"/>
          <w:sz w:val="24"/>
          <w:szCs w:val="24"/>
        </w:rPr>
        <w:t xml:space="preserve">Se </w:t>
      </w:r>
      <w:r w:rsidRPr="00620AB9">
        <w:rPr>
          <w:rFonts w:ascii="Palatino Linotype" w:eastAsia="Palatino Linotype" w:hAnsi="Palatino Linotype" w:cs="Palatino Linotype"/>
          <w:b/>
          <w:bCs/>
          <w:color w:val="000000"/>
          <w:sz w:val="24"/>
          <w:szCs w:val="24"/>
        </w:rPr>
        <w:t>SOBRESEE</w:t>
      </w:r>
      <w:r w:rsidRPr="00620AB9">
        <w:rPr>
          <w:rFonts w:ascii="Palatino Linotype" w:eastAsia="Palatino Linotype" w:hAnsi="Palatino Linotype" w:cs="Palatino Linotype"/>
          <w:color w:val="000000"/>
          <w:sz w:val="24"/>
          <w:szCs w:val="24"/>
        </w:rPr>
        <w:t xml:space="preserve"> el Recurso de Revisión número</w:t>
      </w:r>
      <w:r w:rsidRPr="00620AB9">
        <w:rPr>
          <w:rFonts w:ascii="Palatino Linotype" w:eastAsia="Palatino Linotype" w:hAnsi="Palatino Linotype" w:cs="Palatino Linotype"/>
          <w:b/>
          <w:bCs/>
          <w:color w:val="000000"/>
          <w:sz w:val="24"/>
          <w:szCs w:val="24"/>
        </w:rPr>
        <w:t xml:space="preserve">   10123/INFOEM/IP/RR/2025</w:t>
      </w:r>
      <w:r w:rsidRPr="00620AB9">
        <w:rPr>
          <w:rFonts w:ascii="Palatino Linotype" w:eastAsia="Palatino Linotype" w:hAnsi="Palatino Linotype" w:cs="Palatino Linotype"/>
          <w:color w:val="000000"/>
          <w:sz w:val="24"/>
          <w:szCs w:val="24"/>
        </w:rPr>
        <w:t xml:space="preserve">, conforme al artículo 192 fracción III, porque al modificar la respuesta el </w:t>
      </w:r>
      <w:r w:rsidRPr="00620AB9">
        <w:rPr>
          <w:rFonts w:ascii="Palatino Linotype" w:eastAsia="Palatino Linotype" w:hAnsi="Palatino Linotype" w:cs="Palatino Linotype"/>
          <w:b/>
          <w:bCs/>
          <w:color w:val="000000"/>
          <w:sz w:val="24"/>
          <w:szCs w:val="24"/>
        </w:rPr>
        <w:t>SUJETO OBLIGADO</w:t>
      </w:r>
      <w:r w:rsidRPr="00620AB9">
        <w:rPr>
          <w:rFonts w:ascii="Palatino Linotype" w:eastAsia="Palatino Linotype" w:hAnsi="Palatino Linotype" w:cs="Palatino Linotype"/>
          <w:color w:val="000000"/>
          <w:sz w:val="24"/>
          <w:szCs w:val="24"/>
        </w:rPr>
        <w:t xml:space="preserve">, el recurso de revisión quedó sin materia en términos del  Considerando </w:t>
      </w:r>
      <w:r w:rsidRPr="00620AB9">
        <w:rPr>
          <w:rFonts w:ascii="Palatino Linotype" w:eastAsia="Palatino Linotype" w:hAnsi="Palatino Linotype" w:cs="Palatino Linotype"/>
          <w:b/>
          <w:bCs/>
          <w:color w:val="000000"/>
          <w:sz w:val="24"/>
          <w:szCs w:val="24"/>
        </w:rPr>
        <w:t>TERCERO</w:t>
      </w:r>
      <w:r w:rsidRPr="00620AB9">
        <w:rPr>
          <w:rFonts w:ascii="Palatino Linotype" w:eastAsia="Palatino Linotype" w:hAnsi="Palatino Linotype" w:cs="Palatino Linotype"/>
          <w:color w:val="000000"/>
          <w:sz w:val="24"/>
          <w:szCs w:val="24"/>
        </w:rPr>
        <w:t xml:space="preserve"> de la presente resolución.</w:t>
      </w:r>
    </w:p>
    <w:p w:rsidR="00DD11B7" w:rsidRPr="00620AB9" w:rsidRDefault="00DD11B7">
      <w:pPr>
        <w:spacing w:line="360" w:lineRule="auto"/>
        <w:jc w:val="both"/>
        <w:rPr>
          <w:rFonts w:ascii="Palatino Linotype" w:eastAsia="Palatino Linotype" w:hAnsi="Palatino Linotype" w:cs="Palatino Linotype"/>
          <w:b/>
          <w:bCs/>
          <w:sz w:val="24"/>
          <w:szCs w:val="24"/>
        </w:rPr>
      </w:pPr>
    </w:p>
    <w:p w:rsidR="00DD11B7" w:rsidRPr="00620AB9" w:rsidRDefault="005D6661">
      <w:pPr>
        <w:pBdr>
          <w:top w:val="nil"/>
          <w:left w:val="nil"/>
          <w:bottom w:val="nil"/>
          <w:right w:val="nil"/>
          <w:between w:val="nil"/>
        </w:pBdr>
        <w:spacing w:line="360" w:lineRule="auto"/>
        <w:jc w:val="both"/>
        <w:rPr>
          <w:rFonts w:ascii="Palatino Linotype" w:eastAsia="Palatino Linotype" w:hAnsi="Palatino Linotype" w:cs="Palatino Linotype"/>
          <w:b/>
          <w:bCs/>
          <w:color w:val="000000"/>
          <w:sz w:val="24"/>
          <w:szCs w:val="24"/>
        </w:rPr>
      </w:pPr>
      <w:bookmarkStart w:id="9" w:name="_heading=h.r93zuws7pdnm" w:colFirst="0" w:colLast="0"/>
      <w:bookmarkEnd w:id="9"/>
      <w:r w:rsidRPr="00620AB9">
        <w:rPr>
          <w:rFonts w:ascii="Palatino Linotype" w:eastAsia="Palatino Linotype" w:hAnsi="Palatino Linotype" w:cs="Palatino Linotype"/>
          <w:b/>
          <w:bCs/>
          <w:color w:val="000000"/>
          <w:sz w:val="24"/>
          <w:szCs w:val="24"/>
        </w:rPr>
        <w:t xml:space="preserve">SEGUNDO. Notifíquese </w:t>
      </w:r>
      <w:r w:rsidRPr="00620AB9">
        <w:rPr>
          <w:rFonts w:ascii="Palatino Linotype" w:eastAsia="Palatino Linotype" w:hAnsi="Palatino Linotype" w:cs="Palatino Linotype"/>
          <w:color w:val="000000"/>
          <w:sz w:val="24"/>
          <w:szCs w:val="24"/>
        </w:rPr>
        <w:t xml:space="preserve">a través del Sistema de Acceso a la Información Mexiquense </w:t>
      </w:r>
      <w:r w:rsidRPr="00620AB9">
        <w:rPr>
          <w:rFonts w:ascii="Palatino Linotype" w:eastAsia="Palatino Linotype" w:hAnsi="Palatino Linotype" w:cs="Palatino Linotype"/>
          <w:b/>
          <w:bCs/>
          <w:color w:val="000000"/>
          <w:sz w:val="24"/>
          <w:szCs w:val="24"/>
        </w:rPr>
        <w:t xml:space="preserve">(SAIMEX) </w:t>
      </w:r>
      <w:r w:rsidRPr="00620AB9">
        <w:rPr>
          <w:rFonts w:ascii="Palatino Linotype" w:eastAsia="Palatino Linotype" w:hAnsi="Palatino Linotype" w:cs="Palatino Linotype"/>
          <w:color w:val="000000"/>
          <w:sz w:val="24"/>
          <w:szCs w:val="24"/>
        </w:rPr>
        <w:t>la presente resolución al Titular de la Unidad de Transparencia del</w:t>
      </w:r>
      <w:r w:rsidRPr="00620AB9">
        <w:rPr>
          <w:rFonts w:ascii="Palatino Linotype" w:eastAsia="Palatino Linotype" w:hAnsi="Palatino Linotype" w:cs="Palatino Linotype"/>
          <w:b/>
          <w:bCs/>
          <w:color w:val="000000"/>
          <w:sz w:val="24"/>
          <w:szCs w:val="24"/>
        </w:rPr>
        <w:t xml:space="preserve"> SUJETO OBLIGADO. </w:t>
      </w:r>
    </w:p>
    <w:p w:rsidR="00DD11B7" w:rsidRPr="00620AB9" w:rsidRDefault="005D6661">
      <w:pPr>
        <w:pBdr>
          <w:top w:val="nil"/>
          <w:left w:val="nil"/>
          <w:bottom w:val="nil"/>
          <w:right w:val="nil"/>
          <w:between w:val="nil"/>
        </w:pBdr>
        <w:spacing w:line="360" w:lineRule="auto"/>
        <w:jc w:val="both"/>
        <w:rPr>
          <w:rFonts w:ascii="Palatino Linotype" w:eastAsia="Palatino Linotype" w:hAnsi="Palatino Linotype" w:cs="Palatino Linotype"/>
          <w:color w:val="000000"/>
          <w:sz w:val="24"/>
          <w:szCs w:val="24"/>
        </w:rPr>
      </w:pPr>
      <w:r w:rsidRPr="00620AB9">
        <w:rPr>
          <w:rFonts w:ascii="Palatino Linotype" w:eastAsia="Palatino Linotype" w:hAnsi="Palatino Linotype" w:cs="Palatino Linotype"/>
          <w:b/>
          <w:bCs/>
          <w:color w:val="000000"/>
          <w:sz w:val="24"/>
          <w:szCs w:val="24"/>
        </w:rPr>
        <w:lastRenderedPageBreak/>
        <w:t xml:space="preserve">TERCERO. Notifíquese </w:t>
      </w:r>
      <w:r w:rsidRPr="00620AB9">
        <w:rPr>
          <w:rFonts w:ascii="Palatino Linotype" w:eastAsia="Palatino Linotype" w:hAnsi="Palatino Linotype" w:cs="Palatino Linotype"/>
          <w:color w:val="000000"/>
          <w:sz w:val="24"/>
          <w:szCs w:val="24"/>
        </w:rPr>
        <w:t xml:space="preserve">al </w:t>
      </w:r>
      <w:r w:rsidRPr="00620AB9">
        <w:rPr>
          <w:rFonts w:ascii="Palatino Linotype" w:eastAsia="Palatino Linotype" w:hAnsi="Palatino Linotype" w:cs="Palatino Linotype"/>
          <w:b/>
          <w:bCs/>
          <w:color w:val="000000"/>
          <w:sz w:val="24"/>
          <w:szCs w:val="24"/>
        </w:rPr>
        <w:t xml:space="preserve">RECURRENTE </w:t>
      </w:r>
      <w:r w:rsidRPr="00620AB9">
        <w:rPr>
          <w:rFonts w:ascii="Palatino Linotype" w:eastAsia="Palatino Linotype" w:hAnsi="Palatino Linotype" w:cs="Palatino Linotype"/>
          <w:color w:val="000000"/>
          <w:sz w:val="24"/>
          <w:szCs w:val="24"/>
        </w:rPr>
        <w:t>la presente resolución, vía SAIMEX.</w:t>
      </w:r>
    </w:p>
    <w:p w:rsidR="00DD11B7" w:rsidRPr="00620AB9" w:rsidRDefault="00DD11B7">
      <w:pPr>
        <w:tabs>
          <w:tab w:val="left" w:pos="8080"/>
        </w:tabs>
        <w:spacing w:line="360" w:lineRule="auto"/>
        <w:jc w:val="both"/>
        <w:rPr>
          <w:rFonts w:ascii="Palatino Linotype" w:eastAsia="Palatino Linotype" w:hAnsi="Palatino Linotype" w:cs="Palatino Linotype"/>
          <w:b/>
          <w:bCs/>
          <w:sz w:val="24"/>
          <w:szCs w:val="24"/>
        </w:rPr>
      </w:pPr>
    </w:p>
    <w:p w:rsidR="00DD11B7" w:rsidRPr="00620AB9" w:rsidRDefault="005D6661">
      <w:pPr>
        <w:shd w:val="clear" w:color="auto" w:fill="FFFFFF"/>
        <w:spacing w:line="360" w:lineRule="auto"/>
        <w:jc w:val="both"/>
        <w:rPr>
          <w:rFonts w:ascii="Palatino Linotype" w:eastAsia="Palatino Linotype" w:hAnsi="Palatino Linotype" w:cs="Palatino Linotype"/>
          <w:sz w:val="24"/>
          <w:szCs w:val="24"/>
        </w:rPr>
      </w:pPr>
      <w:r w:rsidRPr="00620AB9">
        <w:rPr>
          <w:rFonts w:ascii="Palatino Linotype" w:eastAsia="Palatino Linotype" w:hAnsi="Palatino Linotype" w:cs="Palatino Linotype"/>
          <w:b/>
          <w:bCs/>
          <w:sz w:val="24"/>
          <w:szCs w:val="24"/>
        </w:rPr>
        <w:t>CUARTO.</w:t>
      </w:r>
      <w:r w:rsidRPr="00620AB9">
        <w:rPr>
          <w:rFonts w:ascii="Palatino Linotype" w:eastAsia="Palatino Linotype" w:hAnsi="Palatino Linotype" w:cs="Palatino Linotype"/>
          <w:sz w:val="24"/>
          <w:szCs w:val="24"/>
        </w:rPr>
        <w:t xml:space="preserve"> Se hace del conocimiento del </w:t>
      </w:r>
      <w:r w:rsidRPr="00620AB9">
        <w:rPr>
          <w:rFonts w:ascii="Palatino Linotype" w:eastAsia="Palatino Linotype" w:hAnsi="Palatino Linotype" w:cs="Palatino Linotype"/>
          <w:b/>
          <w:bCs/>
          <w:sz w:val="24"/>
          <w:szCs w:val="24"/>
        </w:rPr>
        <w:t xml:space="preserve">RECURRENTE </w:t>
      </w:r>
      <w:r w:rsidRPr="00620AB9">
        <w:rPr>
          <w:rFonts w:ascii="Palatino Linotype" w:eastAsia="Palatino Linotype" w:hAnsi="Palatino Linotype" w:cs="Palatino Linotype"/>
          <w:sz w:val="24"/>
          <w:szCs w:val="24"/>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422BD" w:rsidRDefault="00B422BD" w:rsidP="00AF3C4C">
      <w:pPr>
        <w:spacing w:before="240" w:after="240" w:line="360" w:lineRule="auto"/>
        <w:ind w:firstLine="1"/>
        <w:jc w:val="both"/>
        <w:rPr>
          <w:rFonts w:ascii="Palatino Linotype" w:hAnsi="Palatino Linotype" w:cs="Palatino Linotype"/>
          <w:sz w:val="24"/>
          <w:szCs w:val="24"/>
        </w:rPr>
      </w:pPr>
      <w:bookmarkStart w:id="10" w:name="_Hlk99014733"/>
    </w:p>
    <w:p w:rsidR="00AF3C4C" w:rsidRPr="00620AB9" w:rsidRDefault="00AF3C4C" w:rsidP="00AF3C4C">
      <w:pPr>
        <w:spacing w:before="240" w:after="240" w:line="360" w:lineRule="auto"/>
        <w:ind w:firstLine="1"/>
        <w:jc w:val="both"/>
        <w:rPr>
          <w:rFonts w:ascii="Palatino Linotype" w:hAnsi="Palatino Linotype"/>
          <w:sz w:val="24"/>
          <w:szCs w:val="24"/>
        </w:rPr>
      </w:pPr>
      <w:r w:rsidRPr="00620AB9">
        <w:rPr>
          <w:rFonts w:ascii="Palatino Linotype" w:hAnsi="Palatino Linotype" w:cs="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620AB9">
        <w:rPr>
          <w:rFonts w:ascii="Palatino Linotype" w:hAnsi="Palatino Linotype" w:cs="Palatino Linotype"/>
          <w:color w:val="000000" w:themeColor="text1"/>
          <w:sz w:val="24"/>
          <w:szCs w:val="24"/>
        </w:rPr>
        <w:t>ALEXIS TAPIA RAMÍREZ.</w:t>
      </w:r>
    </w:p>
    <w:bookmarkEnd w:id="10"/>
    <w:p w:rsidR="00DD11B7" w:rsidRPr="00620AB9" w:rsidRDefault="00DD11B7">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p w:rsidR="006E024B" w:rsidRPr="00620AB9" w:rsidRDefault="006E024B">
      <w:pPr>
        <w:rPr>
          <w:rFonts w:ascii="Palatino Linotype" w:hAnsi="Palatino Linotype"/>
          <w:sz w:val="24"/>
          <w:szCs w:val="24"/>
        </w:rPr>
      </w:pPr>
    </w:p>
    <w:sectPr w:rsidR="006E024B" w:rsidRPr="00620AB9" w:rsidSect="00620AB9">
      <w:headerReference w:type="even" r:id="rId8"/>
      <w:headerReference w:type="default" r:id="rId9"/>
      <w:footerReference w:type="default" r:id="rId10"/>
      <w:headerReference w:type="first" r:id="rId11"/>
      <w:footerReference w:type="first" r:id="rId12"/>
      <w:pgSz w:w="12240" w:h="15840"/>
      <w:pgMar w:top="80" w:right="758" w:bottom="1418" w:left="1588" w:header="709" w:footer="73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469" w:rsidRDefault="00082469">
      <w:r>
        <w:separator/>
      </w:r>
    </w:p>
  </w:endnote>
  <w:endnote w:type="continuationSeparator" w:id="0">
    <w:p w:rsidR="00082469" w:rsidRDefault="00082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07E7AD8-3BAC-48CE-A801-61885C5474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B970C987-BAAC-4FDA-893F-24D027459B04}"/>
    <w:embedBold r:id="rId3" w:fontKey="{E43B408B-493F-4C43-A45C-EF38440772C4}"/>
    <w:embedItalic r:id="rId4" w:fontKey="{EF8FA8CB-E6C4-4856-8121-2038D92DDB72}"/>
    <w:embedBoldItalic r:id="rId5" w:fontKey="{D80AAA5F-F2D6-4BCA-A939-CC81B7F93B02}"/>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embedRegular r:id="rId6" w:fontKey="{AC98AFD7-8FE4-45AB-A1E0-300E4DE0EB62}"/>
  </w:font>
  <w:font w:name="Cambria">
    <w:panose1 w:val="02040503050406030204"/>
    <w:charset w:val="00"/>
    <w:family w:val="roman"/>
    <w:pitch w:val="variable"/>
    <w:sig w:usb0="E00006FF" w:usb1="420024FF" w:usb2="02000000" w:usb3="00000000" w:csb0="0000019F" w:csb1="00000000"/>
    <w:embedRegular r:id="rId7" w:fontKey="{2A38F527-EA2F-4D0F-A9DF-EF8FAD76421B}"/>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8" w:fontKey="{4C3143E6-FFB5-4535-A2CA-F3AA06106A59}"/>
  </w:font>
  <w:font w:name="Garamond">
    <w:panose1 w:val="02020404030301010803"/>
    <w:charset w:val="00"/>
    <w:family w:val="roman"/>
    <w:pitch w:val="variable"/>
    <w:sig w:usb0="00000287" w:usb1="00000000" w:usb2="00000000" w:usb3="00000000" w:csb0="0000009F" w:csb1="00000000"/>
    <w:embedRegular r:id="rId9" w:fontKey="{9C5CF984-93E1-4C14-BBF4-D894A5833AF8}"/>
  </w:font>
  <w:font w:name="Calibri Light">
    <w:panose1 w:val="020F0302020204030204"/>
    <w:charset w:val="00"/>
    <w:family w:val="swiss"/>
    <w:pitch w:val="variable"/>
    <w:sig w:usb0="E4002EFF" w:usb1="C200247B" w:usb2="00000009" w:usb3="00000000" w:csb0="000001FF" w:csb1="00000000"/>
    <w:embedRegular r:id="rId10" w:fontKey="{074F0E97-B7B0-41ED-B9D0-8B8EC6266773}"/>
  </w:font>
  <w:font w:name="Calibri">
    <w:panose1 w:val="020F0502020204030204"/>
    <w:charset w:val="00"/>
    <w:family w:val="swiss"/>
    <w:pitch w:val="variable"/>
    <w:sig w:usb0="E4002EFF" w:usb1="C200247B" w:usb2="00000009" w:usb3="00000000" w:csb0="000001FF" w:csb1="00000000"/>
    <w:embedRegular r:id="rId11" w:fontKey="{C85D89C3-D04C-472E-8182-505BBCCCFF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1B7" w:rsidRDefault="00DD11B7">
    <w:pPr>
      <w:pBdr>
        <w:top w:val="nil"/>
        <w:left w:val="nil"/>
        <w:bottom w:val="nil"/>
        <w:right w:val="nil"/>
        <w:between w:val="nil"/>
      </w:pBdr>
      <w:tabs>
        <w:tab w:val="center" w:pos="4419"/>
        <w:tab w:val="right" w:pos="8838"/>
      </w:tabs>
      <w:jc w:val="right"/>
      <w:rPr>
        <w:color w:val="000000"/>
      </w:rPr>
    </w:pPr>
  </w:p>
  <w:p w:rsidR="00DD11B7" w:rsidRPr="00620AB9" w:rsidRDefault="005D6661">
    <w:pPr>
      <w:pBdr>
        <w:top w:val="nil"/>
        <w:left w:val="nil"/>
        <w:bottom w:val="nil"/>
        <w:right w:val="nil"/>
        <w:between w:val="nil"/>
      </w:pBdr>
      <w:tabs>
        <w:tab w:val="center" w:pos="4419"/>
        <w:tab w:val="right" w:pos="8838"/>
      </w:tabs>
      <w:jc w:val="right"/>
      <w:rPr>
        <w:rFonts w:ascii="Palatino Linotype" w:hAnsi="Palatino Linotype"/>
        <w:b/>
        <w:color w:val="000000"/>
        <w:sz w:val="22"/>
        <w:szCs w:val="22"/>
      </w:rPr>
    </w:pPr>
    <w:r w:rsidRPr="00620AB9">
      <w:rPr>
        <w:rFonts w:ascii="Palatino Linotype" w:hAnsi="Palatino Linotype"/>
        <w:b/>
        <w:color w:val="000000"/>
        <w:sz w:val="22"/>
        <w:szCs w:val="22"/>
      </w:rPr>
      <w:t xml:space="preserve">Página </w:t>
    </w:r>
    <w:r w:rsidRPr="00620AB9">
      <w:rPr>
        <w:rFonts w:ascii="Palatino Linotype" w:hAnsi="Palatino Linotype"/>
        <w:b/>
        <w:bCs/>
        <w:color w:val="000000"/>
        <w:sz w:val="22"/>
        <w:szCs w:val="22"/>
      </w:rPr>
      <w:fldChar w:fldCharType="begin"/>
    </w:r>
    <w:r w:rsidRPr="00620AB9">
      <w:rPr>
        <w:rFonts w:ascii="Palatino Linotype" w:hAnsi="Palatino Linotype"/>
        <w:b/>
        <w:bCs/>
        <w:color w:val="000000"/>
        <w:sz w:val="22"/>
        <w:szCs w:val="22"/>
      </w:rPr>
      <w:instrText>PAGE</w:instrText>
    </w:r>
    <w:r w:rsidRPr="00620AB9">
      <w:rPr>
        <w:rFonts w:ascii="Palatino Linotype" w:hAnsi="Palatino Linotype"/>
        <w:b/>
        <w:bCs/>
        <w:color w:val="000000"/>
        <w:sz w:val="22"/>
        <w:szCs w:val="22"/>
      </w:rPr>
      <w:fldChar w:fldCharType="separate"/>
    </w:r>
    <w:r w:rsidR="00D40F01">
      <w:rPr>
        <w:rFonts w:ascii="Palatino Linotype" w:hAnsi="Palatino Linotype"/>
        <w:b/>
        <w:bCs/>
        <w:noProof/>
        <w:color w:val="000000"/>
        <w:sz w:val="22"/>
        <w:szCs w:val="22"/>
      </w:rPr>
      <w:t>16</w:t>
    </w:r>
    <w:r w:rsidRPr="00620AB9">
      <w:rPr>
        <w:rFonts w:ascii="Palatino Linotype" w:hAnsi="Palatino Linotype"/>
        <w:b/>
        <w:bCs/>
        <w:color w:val="000000"/>
        <w:sz w:val="22"/>
        <w:szCs w:val="22"/>
      </w:rPr>
      <w:fldChar w:fldCharType="end"/>
    </w:r>
    <w:r w:rsidRPr="00620AB9">
      <w:rPr>
        <w:rFonts w:ascii="Palatino Linotype" w:hAnsi="Palatino Linotype"/>
        <w:b/>
        <w:color w:val="000000"/>
        <w:sz w:val="22"/>
        <w:szCs w:val="22"/>
      </w:rPr>
      <w:t xml:space="preserve"> de </w:t>
    </w:r>
    <w:r w:rsidRPr="00620AB9">
      <w:rPr>
        <w:rFonts w:ascii="Palatino Linotype" w:hAnsi="Palatino Linotype"/>
        <w:b/>
        <w:bCs/>
        <w:color w:val="000000"/>
        <w:sz w:val="22"/>
        <w:szCs w:val="22"/>
      </w:rPr>
      <w:fldChar w:fldCharType="begin"/>
    </w:r>
    <w:r w:rsidRPr="00620AB9">
      <w:rPr>
        <w:rFonts w:ascii="Palatino Linotype" w:hAnsi="Palatino Linotype"/>
        <w:b/>
        <w:bCs/>
        <w:color w:val="000000"/>
        <w:sz w:val="22"/>
        <w:szCs w:val="22"/>
      </w:rPr>
      <w:instrText>NUMPAGES</w:instrText>
    </w:r>
    <w:r w:rsidRPr="00620AB9">
      <w:rPr>
        <w:rFonts w:ascii="Palatino Linotype" w:hAnsi="Palatino Linotype"/>
        <w:b/>
        <w:bCs/>
        <w:color w:val="000000"/>
        <w:sz w:val="22"/>
        <w:szCs w:val="22"/>
      </w:rPr>
      <w:fldChar w:fldCharType="separate"/>
    </w:r>
    <w:r w:rsidR="00D40F01">
      <w:rPr>
        <w:rFonts w:ascii="Palatino Linotype" w:hAnsi="Palatino Linotype"/>
        <w:b/>
        <w:bCs/>
        <w:noProof/>
        <w:color w:val="000000"/>
        <w:sz w:val="22"/>
        <w:szCs w:val="22"/>
      </w:rPr>
      <w:t>16</w:t>
    </w:r>
    <w:r w:rsidRPr="00620AB9">
      <w:rPr>
        <w:rFonts w:ascii="Palatino Linotype" w:hAnsi="Palatino Linotype"/>
        <w:b/>
        <w:bCs/>
        <w:color w:val="000000"/>
        <w:sz w:val="22"/>
        <w:szCs w:val="22"/>
      </w:rPr>
      <w:fldChar w:fldCharType="end"/>
    </w:r>
  </w:p>
  <w:p w:rsidR="00DD11B7" w:rsidRDefault="00DD11B7">
    <w:pPr>
      <w:pBdr>
        <w:top w:val="nil"/>
        <w:left w:val="nil"/>
        <w:bottom w:val="nil"/>
        <w:right w:val="nil"/>
        <w:between w:val="nil"/>
      </w:pBdr>
      <w:tabs>
        <w:tab w:val="center" w:pos="4419"/>
        <w:tab w:val="right" w:pos="8838"/>
      </w:tabs>
      <w:rPr>
        <w:color w:val="000000"/>
      </w:rPr>
    </w:pPr>
  </w:p>
  <w:p w:rsidR="00DD11B7" w:rsidRDefault="00DD11B7"/>
  <w:p w:rsidR="00DD11B7" w:rsidRDefault="00DD11B7"/>
  <w:p w:rsidR="00DD11B7" w:rsidRDefault="00DD11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1B7" w:rsidRPr="00620AB9" w:rsidRDefault="005D6661">
    <w:pPr>
      <w:pBdr>
        <w:top w:val="nil"/>
        <w:left w:val="nil"/>
        <w:bottom w:val="nil"/>
        <w:right w:val="nil"/>
        <w:between w:val="nil"/>
      </w:pBdr>
      <w:tabs>
        <w:tab w:val="center" w:pos="4419"/>
        <w:tab w:val="right" w:pos="8838"/>
      </w:tabs>
      <w:jc w:val="right"/>
      <w:rPr>
        <w:rFonts w:ascii="Palatino Linotype" w:hAnsi="Palatino Linotype"/>
        <w:b/>
        <w:color w:val="000000"/>
        <w:sz w:val="22"/>
        <w:szCs w:val="22"/>
      </w:rPr>
    </w:pPr>
    <w:r w:rsidRPr="00620AB9">
      <w:rPr>
        <w:rFonts w:ascii="Palatino Linotype" w:hAnsi="Palatino Linotype"/>
        <w:b/>
        <w:color w:val="000000"/>
        <w:sz w:val="22"/>
        <w:szCs w:val="22"/>
      </w:rPr>
      <w:t xml:space="preserve">Página </w:t>
    </w:r>
    <w:r w:rsidRPr="00620AB9">
      <w:rPr>
        <w:rFonts w:ascii="Palatino Linotype" w:hAnsi="Palatino Linotype"/>
        <w:b/>
        <w:bCs/>
        <w:color w:val="000000"/>
        <w:sz w:val="22"/>
        <w:szCs w:val="22"/>
      </w:rPr>
      <w:fldChar w:fldCharType="begin"/>
    </w:r>
    <w:r w:rsidRPr="00620AB9">
      <w:rPr>
        <w:rFonts w:ascii="Palatino Linotype" w:hAnsi="Palatino Linotype"/>
        <w:b/>
        <w:bCs/>
        <w:color w:val="000000"/>
        <w:sz w:val="22"/>
        <w:szCs w:val="22"/>
      </w:rPr>
      <w:instrText>PAGE</w:instrText>
    </w:r>
    <w:r w:rsidRPr="00620AB9">
      <w:rPr>
        <w:rFonts w:ascii="Palatino Linotype" w:hAnsi="Palatino Linotype"/>
        <w:b/>
        <w:bCs/>
        <w:color w:val="000000"/>
        <w:sz w:val="22"/>
        <w:szCs w:val="22"/>
      </w:rPr>
      <w:fldChar w:fldCharType="separate"/>
    </w:r>
    <w:r w:rsidR="00D40F01">
      <w:rPr>
        <w:rFonts w:ascii="Palatino Linotype" w:hAnsi="Palatino Linotype"/>
        <w:b/>
        <w:bCs/>
        <w:noProof/>
        <w:color w:val="000000"/>
        <w:sz w:val="22"/>
        <w:szCs w:val="22"/>
      </w:rPr>
      <w:t>1</w:t>
    </w:r>
    <w:r w:rsidRPr="00620AB9">
      <w:rPr>
        <w:rFonts w:ascii="Palatino Linotype" w:hAnsi="Palatino Linotype"/>
        <w:b/>
        <w:bCs/>
        <w:color w:val="000000"/>
        <w:sz w:val="22"/>
        <w:szCs w:val="22"/>
      </w:rPr>
      <w:fldChar w:fldCharType="end"/>
    </w:r>
    <w:r w:rsidRPr="00620AB9">
      <w:rPr>
        <w:rFonts w:ascii="Palatino Linotype" w:hAnsi="Palatino Linotype"/>
        <w:b/>
        <w:color w:val="000000"/>
        <w:sz w:val="22"/>
        <w:szCs w:val="22"/>
      </w:rPr>
      <w:t xml:space="preserve"> de </w:t>
    </w:r>
    <w:r w:rsidRPr="00620AB9">
      <w:rPr>
        <w:rFonts w:ascii="Palatino Linotype" w:hAnsi="Palatino Linotype"/>
        <w:b/>
        <w:bCs/>
        <w:color w:val="000000"/>
        <w:sz w:val="22"/>
        <w:szCs w:val="22"/>
      </w:rPr>
      <w:fldChar w:fldCharType="begin"/>
    </w:r>
    <w:r w:rsidRPr="00620AB9">
      <w:rPr>
        <w:rFonts w:ascii="Palatino Linotype" w:hAnsi="Palatino Linotype"/>
        <w:b/>
        <w:bCs/>
        <w:color w:val="000000"/>
        <w:sz w:val="22"/>
        <w:szCs w:val="22"/>
      </w:rPr>
      <w:instrText>NUMPAGES</w:instrText>
    </w:r>
    <w:r w:rsidRPr="00620AB9">
      <w:rPr>
        <w:rFonts w:ascii="Palatino Linotype" w:hAnsi="Palatino Linotype"/>
        <w:b/>
        <w:bCs/>
        <w:color w:val="000000"/>
        <w:sz w:val="22"/>
        <w:szCs w:val="22"/>
      </w:rPr>
      <w:fldChar w:fldCharType="separate"/>
    </w:r>
    <w:r w:rsidR="00D40F01">
      <w:rPr>
        <w:rFonts w:ascii="Palatino Linotype" w:hAnsi="Palatino Linotype"/>
        <w:b/>
        <w:bCs/>
        <w:noProof/>
        <w:color w:val="000000"/>
        <w:sz w:val="22"/>
        <w:szCs w:val="22"/>
      </w:rPr>
      <w:t>16</w:t>
    </w:r>
    <w:r w:rsidRPr="00620AB9">
      <w:rPr>
        <w:rFonts w:ascii="Palatino Linotype" w:hAnsi="Palatino Linotype"/>
        <w:b/>
        <w:bCs/>
        <w:color w:val="000000"/>
        <w:sz w:val="22"/>
        <w:szCs w:val="22"/>
      </w:rPr>
      <w:fldChar w:fldCharType="end"/>
    </w:r>
  </w:p>
  <w:p w:rsidR="00DD11B7" w:rsidRDefault="00DD11B7">
    <w:pPr>
      <w:pBdr>
        <w:top w:val="nil"/>
        <w:left w:val="nil"/>
        <w:bottom w:val="nil"/>
        <w:right w:val="nil"/>
        <w:between w:val="nil"/>
      </w:pBdr>
      <w:tabs>
        <w:tab w:val="center" w:pos="4419"/>
        <w:tab w:val="right" w:pos="8838"/>
      </w:tabs>
      <w:rPr>
        <w:color w:val="000000"/>
      </w:rPr>
    </w:pPr>
  </w:p>
  <w:p w:rsidR="00DD11B7" w:rsidRDefault="00DD11B7"/>
  <w:p w:rsidR="00DD11B7" w:rsidRDefault="00DD11B7"/>
  <w:p w:rsidR="00DD11B7" w:rsidRDefault="00DD11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469" w:rsidRDefault="00082469">
      <w:r>
        <w:separator/>
      </w:r>
    </w:p>
  </w:footnote>
  <w:footnote w:type="continuationSeparator" w:id="0">
    <w:p w:rsidR="00082469" w:rsidRDefault="000824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1B7" w:rsidRDefault="00082469">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rsidR="00DD11B7" w:rsidRDefault="00DD11B7"/>
  <w:p w:rsidR="00DD11B7" w:rsidRDefault="00DD11B7"/>
  <w:p w:rsidR="00DD11B7" w:rsidRDefault="00DD11B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
      <w:tblW w:w="9923" w:type="dxa"/>
      <w:tblInd w:w="0" w:type="dxa"/>
      <w:tblLayout w:type="fixed"/>
      <w:tblLook w:val="0400" w:firstRow="0" w:lastRow="0" w:firstColumn="0" w:lastColumn="0" w:noHBand="0" w:noVBand="1"/>
    </w:tblPr>
    <w:tblGrid>
      <w:gridCol w:w="1843"/>
      <w:gridCol w:w="8080"/>
    </w:tblGrid>
    <w:tr w:rsidR="00DD11B7" w:rsidTr="00620AB9">
      <w:trPr>
        <w:trHeight w:val="1435"/>
      </w:trPr>
      <w:tc>
        <w:tcPr>
          <w:tcW w:w="1843" w:type="dxa"/>
          <w:shd w:val="clear" w:color="auto" w:fill="auto"/>
        </w:tcPr>
        <w:p w:rsidR="00DD11B7" w:rsidRDefault="005D6661">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8080" w:type="dxa"/>
          <w:shd w:val="clear" w:color="auto" w:fill="auto"/>
        </w:tcPr>
        <w:tbl>
          <w:tblPr>
            <w:tblStyle w:val="a0"/>
            <w:tblW w:w="6789"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827"/>
            <w:gridCol w:w="3962"/>
          </w:tblGrid>
          <w:tr w:rsidR="00DD11B7" w:rsidTr="00620AB9">
            <w:trPr>
              <w:trHeight w:val="338"/>
            </w:trPr>
            <w:tc>
              <w:tcPr>
                <w:tcW w:w="2827" w:type="dxa"/>
              </w:tcPr>
              <w:p w:rsidR="00DD11B7" w:rsidRPr="00620AB9" w:rsidRDefault="005D6661">
                <w:pPr>
                  <w:tabs>
                    <w:tab w:val="right" w:pos="8838"/>
                  </w:tabs>
                  <w:ind w:right="-105"/>
                  <w:rPr>
                    <w:rFonts w:ascii="Palatino Linotype" w:eastAsia="Palatino Linotype" w:hAnsi="Palatino Linotype" w:cs="Palatino Linotype"/>
                    <w:b/>
                    <w:bCs/>
                    <w:sz w:val="24"/>
                    <w:szCs w:val="22"/>
                  </w:rPr>
                </w:pPr>
                <w:r w:rsidRPr="00620AB9">
                  <w:rPr>
                    <w:rFonts w:ascii="Palatino Linotype" w:eastAsia="Palatino Linotype" w:hAnsi="Palatino Linotype" w:cs="Palatino Linotype"/>
                    <w:b/>
                    <w:bCs/>
                    <w:sz w:val="24"/>
                    <w:szCs w:val="22"/>
                  </w:rPr>
                  <w:t>Recurso de Revisión:</w:t>
                </w:r>
              </w:p>
            </w:tc>
            <w:tc>
              <w:tcPr>
                <w:tcW w:w="3962" w:type="dxa"/>
              </w:tcPr>
              <w:p w:rsidR="00DD11B7" w:rsidRPr="00620AB9" w:rsidRDefault="005D6661" w:rsidP="00620AB9">
                <w:pPr>
                  <w:tabs>
                    <w:tab w:val="right" w:pos="8838"/>
                  </w:tabs>
                  <w:ind w:right="-105"/>
                  <w:rPr>
                    <w:rFonts w:ascii="Palatino Linotype" w:eastAsia="Palatino Linotype" w:hAnsi="Palatino Linotype" w:cs="Palatino Linotype"/>
                    <w:bCs/>
                    <w:sz w:val="24"/>
                    <w:szCs w:val="22"/>
                  </w:rPr>
                </w:pPr>
                <w:r w:rsidRPr="00620AB9">
                  <w:rPr>
                    <w:rFonts w:ascii="Palatino Linotype" w:eastAsia="Palatino Linotype" w:hAnsi="Palatino Linotype" w:cs="Palatino Linotype"/>
                    <w:bCs/>
                    <w:sz w:val="24"/>
                    <w:szCs w:val="22"/>
                  </w:rPr>
                  <w:t>10123/INFOEM/IP/RR/2025</w:t>
                </w:r>
              </w:p>
            </w:tc>
          </w:tr>
          <w:tr w:rsidR="00DD11B7" w:rsidTr="00620AB9">
            <w:trPr>
              <w:trHeight w:val="283"/>
            </w:trPr>
            <w:tc>
              <w:tcPr>
                <w:tcW w:w="2827" w:type="dxa"/>
              </w:tcPr>
              <w:p w:rsidR="00DD11B7" w:rsidRPr="00620AB9" w:rsidRDefault="005D6661">
                <w:pPr>
                  <w:tabs>
                    <w:tab w:val="right" w:pos="8838"/>
                  </w:tabs>
                  <w:ind w:right="-105"/>
                  <w:rPr>
                    <w:rFonts w:ascii="Palatino Linotype" w:eastAsia="Palatino Linotype" w:hAnsi="Palatino Linotype" w:cs="Palatino Linotype"/>
                    <w:b/>
                    <w:bCs/>
                    <w:sz w:val="24"/>
                    <w:szCs w:val="22"/>
                  </w:rPr>
                </w:pPr>
                <w:bookmarkStart w:id="11" w:name="_heading=h.yw5vogd4ds15" w:colFirst="0" w:colLast="0"/>
                <w:bookmarkEnd w:id="11"/>
                <w:r w:rsidRPr="00620AB9">
                  <w:rPr>
                    <w:rFonts w:ascii="Palatino Linotype" w:eastAsia="Palatino Linotype" w:hAnsi="Palatino Linotype" w:cs="Palatino Linotype"/>
                    <w:b/>
                    <w:bCs/>
                    <w:sz w:val="24"/>
                    <w:szCs w:val="22"/>
                  </w:rPr>
                  <w:t>Sujeto Obligado:</w:t>
                </w:r>
              </w:p>
            </w:tc>
            <w:tc>
              <w:tcPr>
                <w:tcW w:w="3962" w:type="dxa"/>
              </w:tcPr>
              <w:p w:rsidR="00DD11B7" w:rsidRPr="00620AB9" w:rsidRDefault="005D6661" w:rsidP="00620AB9">
                <w:pPr>
                  <w:tabs>
                    <w:tab w:val="left" w:pos="2834"/>
                    <w:tab w:val="right" w:pos="8838"/>
                  </w:tabs>
                  <w:ind w:right="-107"/>
                  <w:rPr>
                    <w:rFonts w:ascii="Palatino Linotype" w:eastAsia="Palatino Linotype" w:hAnsi="Palatino Linotype" w:cs="Palatino Linotype"/>
                    <w:bCs/>
                    <w:color w:val="000000"/>
                    <w:sz w:val="24"/>
                    <w:szCs w:val="22"/>
                  </w:rPr>
                </w:pPr>
                <w:r w:rsidRPr="00620AB9">
                  <w:rPr>
                    <w:rFonts w:ascii="Palatino Linotype" w:eastAsia="Palatino Linotype" w:hAnsi="Palatino Linotype" w:cs="Palatino Linotype"/>
                    <w:bCs/>
                    <w:color w:val="000000"/>
                    <w:sz w:val="24"/>
                    <w:szCs w:val="22"/>
                  </w:rPr>
                  <w:t>Ayuntamiento de Mexicaltzingo</w:t>
                </w:r>
              </w:p>
            </w:tc>
          </w:tr>
          <w:tr w:rsidR="00DD11B7" w:rsidTr="00620AB9">
            <w:trPr>
              <w:trHeight w:val="283"/>
            </w:trPr>
            <w:tc>
              <w:tcPr>
                <w:tcW w:w="2827" w:type="dxa"/>
              </w:tcPr>
              <w:p w:rsidR="00DD11B7" w:rsidRPr="00620AB9" w:rsidRDefault="005D6661">
                <w:pPr>
                  <w:tabs>
                    <w:tab w:val="right" w:pos="8838"/>
                  </w:tabs>
                  <w:ind w:right="-105"/>
                  <w:rPr>
                    <w:rFonts w:ascii="Palatino Linotype" w:eastAsia="Palatino Linotype" w:hAnsi="Palatino Linotype" w:cs="Palatino Linotype"/>
                    <w:b/>
                    <w:bCs/>
                    <w:sz w:val="24"/>
                    <w:szCs w:val="22"/>
                  </w:rPr>
                </w:pPr>
                <w:r w:rsidRPr="00620AB9">
                  <w:rPr>
                    <w:rFonts w:ascii="Palatino Linotype" w:eastAsia="Palatino Linotype" w:hAnsi="Palatino Linotype" w:cs="Palatino Linotype"/>
                    <w:b/>
                    <w:bCs/>
                    <w:sz w:val="24"/>
                    <w:szCs w:val="22"/>
                  </w:rPr>
                  <w:t>Comisionada Ponente:</w:t>
                </w:r>
              </w:p>
            </w:tc>
            <w:tc>
              <w:tcPr>
                <w:tcW w:w="3962" w:type="dxa"/>
              </w:tcPr>
              <w:p w:rsidR="00DD11B7" w:rsidRPr="00620AB9" w:rsidRDefault="005D6661" w:rsidP="00620AB9">
                <w:pPr>
                  <w:tabs>
                    <w:tab w:val="right" w:pos="8838"/>
                  </w:tabs>
                  <w:ind w:right="-105"/>
                  <w:rPr>
                    <w:rFonts w:ascii="Palatino Linotype" w:eastAsia="Palatino Linotype" w:hAnsi="Palatino Linotype" w:cs="Palatino Linotype"/>
                    <w:bCs/>
                    <w:sz w:val="24"/>
                    <w:szCs w:val="22"/>
                  </w:rPr>
                </w:pPr>
                <w:r w:rsidRPr="00620AB9">
                  <w:rPr>
                    <w:rFonts w:ascii="Palatino Linotype" w:eastAsia="Palatino Linotype" w:hAnsi="Palatino Linotype" w:cs="Palatino Linotype"/>
                    <w:bCs/>
                    <w:sz w:val="24"/>
                    <w:szCs w:val="22"/>
                  </w:rPr>
                  <w:t>María del Rosario Mejía Ayala</w:t>
                </w:r>
              </w:p>
            </w:tc>
          </w:tr>
        </w:tbl>
        <w:p w:rsidR="00DD11B7" w:rsidRDefault="00DD11B7">
          <w:pPr>
            <w:tabs>
              <w:tab w:val="right" w:pos="8838"/>
            </w:tabs>
            <w:ind w:left="-28"/>
            <w:jc w:val="both"/>
            <w:rPr>
              <w:rFonts w:ascii="Arial" w:eastAsia="Arial" w:hAnsi="Arial" w:cs="Arial"/>
              <w:b/>
              <w:bCs/>
              <w:sz w:val="22"/>
              <w:szCs w:val="22"/>
            </w:rPr>
          </w:pPr>
        </w:p>
      </w:tc>
    </w:tr>
  </w:tbl>
  <w:p w:rsidR="00DD11B7" w:rsidRDefault="00082469" w:rsidP="00620AB9">
    <w:pPr>
      <w:pBdr>
        <w:top w:val="nil"/>
        <w:left w:val="nil"/>
        <w:bottom w:val="nil"/>
        <w:right w:val="nil"/>
        <w:between w:val="nil"/>
      </w:pBdr>
      <w:tabs>
        <w:tab w:val="center" w:pos="4419"/>
        <w:tab w:val="right" w:pos="8838"/>
      </w:tabs>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0.65pt;margin-top:-140.7pt;width:663.5pt;height:12in;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206" w:type="dxa"/>
      <w:tblInd w:w="0" w:type="dxa"/>
      <w:tblLayout w:type="fixed"/>
      <w:tblLook w:val="0400" w:firstRow="0" w:lastRow="0" w:firstColumn="0" w:lastColumn="0" w:noHBand="0" w:noVBand="1"/>
    </w:tblPr>
    <w:tblGrid>
      <w:gridCol w:w="1560"/>
      <w:gridCol w:w="8646"/>
    </w:tblGrid>
    <w:tr w:rsidR="00DD11B7" w:rsidTr="00620AB9">
      <w:trPr>
        <w:trHeight w:val="1435"/>
      </w:trPr>
      <w:tc>
        <w:tcPr>
          <w:tcW w:w="1560" w:type="dxa"/>
          <w:shd w:val="clear" w:color="auto" w:fill="auto"/>
        </w:tcPr>
        <w:p w:rsidR="00DD11B7" w:rsidRDefault="00DD11B7">
          <w:pPr>
            <w:tabs>
              <w:tab w:val="right" w:pos="4273"/>
            </w:tabs>
            <w:rPr>
              <w:rFonts w:ascii="Garamond" w:eastAsia="Garamond" w:hAnsi="Garamond" w:cs="Garamond"/>
              <w:sz w:val="22"/>
              <w:szCs w:val="22"/>
            </w:rPr>
          </w:pPr>
        </w:p>
      </w:tc>
      <w:tc>
        <w:tcPr>
          <w:tcW w:w="8646" w:type="dxa"/>
          <w:shd w:val="clear" w:color="auto" w:fill="auto"/>
        </w:tcPr>
        <w:tbl>
          <w:tblPr>
            <w:tblStyle w:val="a2"/>
            <w:tblW w:w="9773"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683"/>
            <w:gridCol w:w="4111"/>
            <w:gridCol w:w="2979"/>
          </w:tblGrid>
          <w:tr w:rsidR="00DD11B7" w:rsidTr="00620AB9">
            <w:trPr>
              <w:trHeight w:val="144"/>
            </w:trPr>
            <w:tc>
              <w:tcPr>
                <w:tcW w:w="2683" w:type="dxa"/>
              </w:tcPr>
              <w:p w:rsidR="00DD11B7" w:rsidRPr="00620AB9" w:rsidRDefault="005D6661">
                <w:pPr>
                  <w:tabs>
                    <w:tab w:val="right" w:pos="8838"/>
                  </w:tabs>
                  <w:ind w:left="-74" w:right="-105"/>
                  <w:rPr>
                    <w:rFonts w:ascii="Palatino Linotype" w:eastAsia="Palatino Linotype" w:hAnsi="Palatino Linotype" w:cs="Palatino Linotype"/>
                    <w:b/>
                    <w:bCs/>
                    <w:sz w:val="24"/>
                    <w:szCs w:val="22"/>
                  </w:rPr>
                </w:pPr>
                <w:bookmarkStart w:id="12" w:name="_heading=h.vzz0fqh4tkoj" w:colFirst="0" w:colLast="0"/>
                <w:bookmarkEnd w:id="12"/>
                <w:r w:rsidRPr="00620AB9">
                  <w:rPr>
                    <w:rFonts w:ascii="Palatino Linotype" w:eastAsia="Palatino Linotype" w:hAnsi="Palatino Linotype" w:cs="Palatino Linotype"/>
                    <w:b/>
                    <w:bCs/>
                    <w:sz w:val="24"/>
                    <w:szCs w:val="22"/>
                  </w:rPr>
                  <w:t>Recurso de Revisión:</w:t>
                </w:r>
              </w:p>
            </w:tc>
            <w:tc>
              <w:tcPr>
                <w:tcW w:w="4111" w:type="dxa"/>
              </w:tcPr>
              <w:p w:rsidR="00DD11B7" w:rsidRPr="00620AB9" w:rsidRDefault="005D6661" w:rsidP="00620AB9">
                <w:pPr>
                  <w:tabs>
                    <w:tab w:val="right" w:pos="8838"/>
                  </w:tabs>
                  <w:ind w:right="-105"/>
                  <w:rPr>
                    <w:rFonts w:ascii="Palatino Linotype" w:eastAsia="Palatino Linotype" w:hAnsi="Palatino Linotype" w:cs="Palatino Linotype"/>
                    <w:bCs/>
                    <w:sz w:val="24"/>
                    <w:szCs w:val="22"/>
                  </w:rPr>
                </w:pPr>
                <w:r w:rsidRPr="00620AB9">
                  <w:rPr>
                    <w:rFonts w:ascii="Palatino Linotype" w:eastAsia="Palatino Linotype" w:hAnsi="Palatino Linotype" w:cs="Palatino Linotype"/>
                    <w:bCs/>
                    <w:sz w:val="24"/>
                    <w:szCs w:val="22"/>
                  </w:rPr>
                  <w:t>10123/INFOEM/IP/RR/2025</w:t>
                </w:r>
              </w:p>
            </w:tc>
            <w:tc>
              <w:tcPr>
                <w:tcW w:w="2979" w:type="dxa"/>
              </w:tcPr>
              <w:p w:rsidR="00DD11B7" w:rsidRDefault="00DD11B7">
                <w:pPr>
                  <w:tabs>
                    <w:tab w:val="right" w:pos="8838"/>
                  </w:tabs>
                  <w:ind w:left="-74" w:right="-105"/>
                  <w:jc w:val="both"/>
                  <w:rPr>
                    <w:rFonts w:ascii="Palatino Linotype" w:eastAsia="Palatino Linotype" w:hAnsi="Palatino Linotype" w:cs="Palatino Linotype"/>
                    <w:sz w:val="22"/>
                    <w:szCs w:val="22"/>
                  </w:rPr>
                </w:pPr>
              </w:p>
            </w:tc>
          </w:tr>
          <w:tr w:rsidR="00DD11B7" w:rsidTr="00620AB9">
            <w:trPr>
              <w:trHeight w:val="144"/>
            </w:trPr>
            <w:tc>
              <w:tcPr>
                <w:tcW w:w="2683" w:type="dxa"/>
              </w:tcPr>
              <w:p w:rsidR="00DD11B7" w:rsidRPr="00620AB9" w:rsidRDefault="005D6661">
                <w:pPr>
                  <w:tabs>
                    <w:tab w:val="right" w:pos="8838"/>
                  </w:tabs>
                  <w:ind w:left="-74" w:right="-105"/>
                  <w:rPr>
                    <w:rFonts w:ascii="Palatino Linotype" w:eastAsia="Palatino Linotype" w:hAnsi="Palatino Linotype" w:cs="Palatino Linotype"/>
                    <w:b/>
                    <w:bCs/>
                    <w:sz w:val="24"/>
                    <w:szCs w:val="22"/>
                  </w:rPr>
                </w:pPr>
                <w:bookmarkStart w:id="13" w:name="_heading=h.su33b3nz8678" w:colFirst="0" w:colLast="0"/>
                <w:bookmarkEnd w:id="13"/>
                <w:r w:rsidRPr="00620AB9">
                  <w:rPr>
                    <w:rFonts w:ascii="Palatino Linotype" w:eastAsia="Palatino Linotype" w:hAnsi="Palatino Linotype" w:cs="Palatino Linotype"/>
                    <w:b/>
                    <w:bCs/>
                    <w:sz w:val="24"/>
                    <w:szCs w:val="22"/>
                  </w:rPr>
                  <w:t>Recurrente:</w:t>
                </w:r>
              </w:p>
            </w:tc>
            <w:tc>
              <w:tcPr>
                <w:tcW w:w="4111" w:type="dxa"/>
              </w:tcPr>
              <w:p w:rsidR="00DD11B7" w:rsidRPr="00620AB9" w:rsidRDefault="00D40F01" w:rsidP="00620AB9">
                <w:pPr>
                  <w:tabs>
                    <w:tab w:val="left" w:pos="3122"/>
                    <w:tab w:val="right" w:pos="8838"/>
                  </w:tabs>
                  <w:ind w:right="1457"/>
                  <w:rPr>
                    <w:rFonts w:ascii="Palatino Linotype" w:eastAsia="Palatino Linotype" w:hAnsi="Palatino Linotype" w:cs="Palatino Linotype"/>
                    <w:bCs/>
                    <w:sz w:val="24"/>
                    <w:szCs w:val="22"/>
                  </w:rPr>
                </w:pPr>
                <w:r>
                  <w:rPr>
                    <w:rFonts w:ascii="Palatino Linotype" w:eastAsia="Palatino Linotype" w:hAnsi="Palatino Linotype" w:cs="Palatino Linotype"/>
                    <w:bCs/>
                    <w:sz w:val="24"/>
                    <w:szCs w:val="22"/>
                  </w:rPr>
                  <w:t>XXXX</w:t>
                </w:r>
              </w:p>
            </w:tc>
            <w:tc>
              <w:tcPr>
                <w:tcW w:w="2979" w:type="dxa"/>
              </w:tcPr>
              <w:p w:rsidR="00DD11B7" w:rsidRDefault="00DD11B7">
                <w:pPr>
                  <w:tabs>
                    <w:tab w:val="left" w:pos="3122"/>
                    <w:tab w:val="right" w:pos="8838"/>
                  </w:tabs>
                  <w:ind w:right="-105"/>
                  <w:jc w:val="both"/>
                  <w:rPr>
                    <w:rFonts w:ascii="Palatino Linotype" w:eastAsia="Palatino Linotype" w:hAnsi="Palatino Linotype" w:cs="Palatino Linotype"/>
                    <w:sz w:val="22"/>
                    <w:szCs w:val="22"/>
                  </w:rPr>
                </w:pPr>
              </w:p>
            </w:tc>
          </w:tr>
          <w:tr w:rsidR="00DD11B7" w:rsidTr="00620AB9">
            <w:trPr>
              <w:trHeight w:val="283"/>
            </w:trPr>
            <w:tc>
              <w:tcPr>
                <w:tcW w:w="2683" w:type="dxa"/>
              </w:tcPr>
              <w:p w:rsidR="00DD11B7" w:rsidRPr="00620AB9" w:rsidRDefault="005D6661">
                <w:pPr>
                  <w:tabs>
                    <w:tab w:val="right" w:pos="8838"/>
                  </w:tabs>
                  <w:ind w:left="-74" w:right="-105"/>
                  <w:rPr>
                    <w:rFonts w:ascii="Palatino Linotype" w:eastAsia="Palatino Linotype" w:hAnsi="Palatino Linotype" w:cs="Palatino Linotype"/>
                    <w:b/>
                    <w:bCs/>
                    <w:sz w:val="24"/>
                    <w:szCs w:val="22"/>
                  </w:rPr>
                </w:pPr>
                <w:r w:rsidRPr="00620AB9">
                  <w:rPr>
                    <w:rFonts w:ascii="Palatino Linotype" w:eastAsia="Palatino Linotype" w:hAnsi="Palatino Linotype" w:cs="Palatino Linotype"/>
                    <w:b/>
                    <w:bCs/>
                    <w:sz w:val="24"/>
                    <w:szCs w:val="22"/>
                  </w:rPr>
                  <w:t>Sujeto Obligado:</w:t>
                </w:r>
              </w:p>
            </w:tc>
            <w:tc>
              <w:tcPr>
                <w:tcW w:w="4111" w:type="dxa"/>
              </w:tcPr>
              <w:p w:rsidR="00DD11B7" w:rsidRPr="00620AB9" w:rsidRDefault="005D6661" w:rsidP="00620AB9">
                <w:pPr>
                  <w:tabs>
                    <w:tab w:val="right" w:pos="8838"/>
                  </w:tabs>
                  <w:ind w:left="-3" w:right="-105"/>
                  <w:rPr>
                    <w:rFonts w:ascii="Palatino Linotype" w:eastAsia="Palatino Linotype" w:hAnsi="Palatino Linotype" w:cs="Palatino Linotype"/>
                    <w:bCs/>
                    <w:sz w:val="24"/>
                    <w:szCs w:val="22"/>
                  </w:rPr>
                </w:pPr>
                <w:r w:rsidRPr="00620AB9">
                  <w:rPr>
                    <w:rFonts w:ascii="Palatino Linotype" w:eastAsia="Palatino Linotype" w:hAnsi="Palatino Linotype" w:cs="Palatino Linotype"/>
                    <w:bCs/>
                    <w:color w:val="000000"/>
                    <w:sz w:val="24"/>
                    <w:szCs w:val="22"/>
                  </w:rPr>
                  <w:t>Ayuntamiento de Mexicaltzingo</w:t>
                </w:r>
              </w:p>
            </w:tc>
            <w:tc>
              <w:tcPr>
                <w:tcW w:w="2979" w:type="dxa"/>
              </w:tcPr>
              <w:p w:rsidR="00DD11B7" w:rsidRDefault="00DD11B7">
                <w:pPr>
                  <w:tabs>
                    <w:tab w:val="left" w:pos="2834"/>
                    <w:tab w:val="right" w:pos="8838"/>
                  </w:tabs>
                  <w:ind w:left="-74" w:right="-105"/>
                  <w:jc w:val="both"/>
                  <w:rPr>
                    <w:rFonts w:ascii="Palatino Linotype" w:eastAsia="Palatino Linotype" w:hAnsi="Palatino Linotype" w:cs="Palatino Linotype"/>
                    <w:b/>
                    <w:bCs/>
                  </w:rPr>
                </w:pPr>
              </w:p>
            </w:tc>
          </w:tr>
          <w:tr w:rsidR="00DD11B7" w:rsidTr="00620AB9">
            <w:trPr>
              <w:trHeight w:val="283"/>
            </w:trPr>
            <w:tc>
              <w:tcPr>
                <w:tcW w:w="2683" w:type="dxa"/>
              </w:tcPr>
              <w:p w:rsidR="00DD11B7" w:rsidRPr="00620AB9" w:rsidRDefault="005D6661">
                <w:pPr>
                  <w:tabs>
                    <w:tab w:val="right" w:pos="8838"/>
                  </w:tabs>
                  <w:ind w:left="-74" w:right="-105"/>
                  <w:rPr>
                    <w:rFonts w:ascii="Palatino Linotype" w:eastAsia="Palatino Linotype" w:hAnsi="Palatino Linotype" w:cs="Palatino Linotype"/>
                    <w:b/>
                    <w:bCs/>
                    <w:sz w:val="24"/>
                    <w:szCs w:val="22"/>
                  </w:rPr>
                </w:pPr>
                <w:r w:rsidRPr="00620AB9">
                  <w:rPr>
                    <w:rFonts w:ascii="Palatino Linotype" w:eastAsia="Palatino Linotype" w:hAnsi="Palatino Linotype" w:cs="Palatino Linotype"/>
                    <w:b/>
                    <w:bCs/>
                    <w:sz w:val="24"/>
                    <w:szCs w:val="22"/>
                  </w:rPr>
                  <w:t>Comisionada Ponente:</w:t>
                </w:r>
              </w:p>
            </w:tc>
            <w:tc>
              <w:tcPr>
                <w:tcW w:w="4111" w:type="dxa"/>
              </w:tcPr>
              <w:p w:rsidR="00DD11B7" w:rsidRPr="00620AB9" w:rsidRDefault="005D6661" w:rsidP="00620AB9">
                <w:pPr>
                  <w:tabs>
                    <w:tab w:val="right" w:pos="8838"/>
                  </w:tabs>
                  <w:ind w:left="-3" w:right="-105"/>
                  <w:rPr>
                    <w:rFonts w:ascii="Palatino Linotype" w:eastAsia="Palatino Linotype" w:hAnsi="Palatino Linotype" w:cs="Palatino Linotype"/>
                    <w:bCs/>
                    <w:sz w:val="24"/>
                    <w:szCs w:val="22"/>
                  </w:rPr>
                </w:pPr>
                <w:r w:rsidRPr="00620AB9">
                  <w:rPr>
                    <w:rFonts w:ascii="Palatino Linotype" w:eastAsia="Palatino Linotype" w:hAnsi="Palatino Linotype" w:cs="Palatino Linotype"/>
                    <w:bCs/>
                    <w:sz w:val="24"/>
                    <w:szCs w:val="22"/>
                  </w:rPr>
                  <w:t>María del Rosario Mejía Ayala</w:t>
                </w:r>
              </w:p>
            </w:tc>
            <w:tc>
              <w:tcPr>
                <w:tcW w:w="2979" w:type="dxa"/>
              </w:tcPr>
              <w:p w:rsidR="00DD11B7" w:rsidRDefault="00DD11B7">
                <w:pPr>
                  <w:tabs>
                    <w:tab w:val="right" w:pos="8838"/>
                  </w:tabs>
                  <w:ind w:left="-74" w:right="-105"/>
                  <w:jc w:val="both"/>
                  <w:rPr>
                    <w:rFonts w:ascii="Palatino Linotype" w:eastAsia="Palatino Linotype" w:hAnsi="Palatino Linotype" w:cs="Palatino Linotype"/>
                    <w:b/>
                    <w:bCs/>
                  </w:rPr>
                </w:pPr>
              </w:p>
            </w:tc>
          </w:tr>
        </w:tbl>
        <w:p w:rsidR="00DD11B7" w:rsidRDefault="00DD11B7">
          <w:pPr>
            <w:tabs>
              <w:tab w:val="right" w:pos="8838"/>
            </w:tabs>
            <w:ind w:left="-28"/>
            <w:jc w:val="both"/>
            <w:rPr>
              <w:rFonts w:ascii="Arial" w:eastAsia="Arial" w:hAnsi="Arial" w:cs="Arial"/>
              <w:b/>
              <w:bCs/>
              <w:sz w:val="22"/>
              <w:szCs w:val="22"/>
            </w:rPr>
          </w:pPr>
        </w:p>
      </w:tc>
    </w:tr>
  </w:tbl>
  <w:p w:rsidR="00DD11B7" w:rsidRDefault="00082469">
    <w:pPr>
      <w:pBdr>
        <w:top w:val="nil"/>
        <w:left w:val="nil"/>
        <w:bottom w:val="nil"/>
        <w:right w:val="nil"/>
        <w:between w:val="nil"/>
      </w:pBdr>
      <w:tabs>
        <w:tab w:val="center" w:pos="4419"/>
        <w:tab w:val="right" w:pos="8838"/>
        <w:tab w:val="center" w:pos="4522"/>
      </w:tabs>
      <w:rPr>
        <w:color w:val="000000"/>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73.75pt;margin-top:-138.35pt;width:663.5pt;height:12in;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BF299D"/>
    <w:multiLevelType w:val="multilevel"/>
    <w:tmpl w:val="58AC1ED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2E471FD3"/>
    <w:multiLevelType w:val="multilevel"/>
    <w:tmpl w:val="2C505C84"/>
    <w:lvl w:ilvl="0">
      <w:start w:val="29"/>
      <w:numFmt w:val="decimal"/>
      <w:lvlText w:val="%1."/>
      <w:lvlJc w:val="left"/>
      <w:pPr>
        <w:ind w:left="502" w:hanging="360"/>
      </w:pPr>
      <w:rPr>
        <w:b/>
        <w:bCs/>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 w15:restartNumberingAfterBreak="0">
    <w:nsid w:val="3DB75AA9"/>
    <w:multiLevelType w:val="hybridMultilevel"/>
    <w:tmpl w:val="9EF47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4407393"/>
    <w:multiLevelType w:val="multilevel"/>
    <w:tmpl w:val="40A43464"/>
    <w:lvl w:ilvl="0">
      <w:start w:val="1"/>
      <w:numFmt w:val="bullet"/>
      <w:lvlText w:val="●"/>
      <w:lvlJc w:val="left"/>
      <w:pPr>
        <w:ind w:left="2382" w:hanging="360"/>
      </w:pPr>
      <w:rPr>
        <w:rFonts w:ascii="Noto Sans Symbols" w:eastAsia="Noto Sans Symbols" w:hAnsi="Noto Sans Symbols" w:cs="Noto Sans Symbols"/>
      </w:rPr>
    </w:lvl>
    <w:lvl w:ilvl="1">
      <w:start w:val="1"/>
      <w:numFmt w:val="bullet"/>
      <w:lvlText w:val="o"/>
      <w:lvlJc w:val="left"/>
      <w:pPr>
        <w:ind w:left="3102" w:hanging="360"/>
      </w:pPr>
      <w:rPr>
        <w:rFonts w:ascii="Courier New" w:eastAsia="Courier New" w:hAnsi="Courier New" w:cs="Courier New"/>
      </w:rPr>
    </w:lvl>
    <w:lvl w:ilvl="2">
      <w:start w:val="1"/>
      <w:numFmt w:val="bullet"/>
      <w:lvlText w:val="▪"/>
      <w:lvlJc w:val="left"/>
      <w:pPr>
        <w:ind w:left="3822" w:hanging="360"/>
      </w:pPr>
      <w:rPr>
        <w:rFonts w:ascii="Noto Sans Symbols" w:eastAsia="Noto Sans Symbols" w:hAnsi="Noto Sans Symbols" w:cs="Noto Sans Symbols"/>
      </w:rPr>
    </w:lvl>
    <w:lvl w:ilvl="3">
      <w:start w:val="1"/>
      <w:numFmt w:val="bullet"/>
      <w:lvlText w:val="●"/>
      <w:lvlJc w:val="left"/>
      <w:pPr>
        <w:ind w:left="4542" w:hanging="360"/>
      </w:pPr>
      <w:rPr>
        <w:rFonts w:ascii="Noto Sans Symbols" w:eastAsia="Noto Sans Symbols" w:hAnsi="Noto Sans Symbols" w:cs="Noto Sans Symbols"/>
      </w:rPr>
    </w:lvl>
    <w:lvl w:ilvl="4">
      <w:start w:val="1"/>
      <w:numFmt w:val="bullet"/>
      <w:lvlText w:val="o"/>
      <w:lvlJc w:val="left"/>
      <w:pPr>
        <w:ind w:left="5262" w:hanging="360"/>
      </w:pPr>
      <w:rPr>
        <w:rFonts w:ascii="Courier New" w:eastAsia="Courier New" w:hAnsi="Courier New" w:cs="Courier New"/>
      </w:rPr>
    </w:lvl>
    <w:lvl w:ilvl="5">
      <w:start w:val="1"/>
      <w:numFmt w:val="bullet"/>
      <w:lvlText w:val="▪"/>
      <w:lvlJc w:val="left"/>
      <w:pPr>
        <w:ind w:left="5982" w:hanging="360"/>
      </w:pPr>
      <w:rPr>
        <w:rFonts w:ascii="Noto Sans Symbols" w:eastAsia="Noto Sans Symbols" w:hAnsi="Noto Sans Symbols" w:cs="Noto Sans Symbols"/>
      </w:rPr>
    </w:lvl>
    <w:lvl w:ilvl="6">
      <w:start w:val="1"/>
      <w:numFmt w:val="bullet"/>
      <w:lvlText w:val="●"/>
      <w:lvlJc w:val="left"/>
      <w:pPr>
        <w:ind w:left="6702" w:hanging="360"/>
      </w:pPr>
      <w:rPr>
        <w:rFonts w:ascii="Noto Sans Symbols" w:eastAsia="Noto Sans Symbols" w:hAnsi="Noto Sans Symbols" w:cs="Noto Sans Symbols"/>
      </w:rPr>
    </w:lvl>
    <w:lvl w:ilvl="7">
      <w:start w:val="1"/>
      <w:numFmt w:val="bullet"/>
      <w:lvlText w:val="o"/>
      <w:lvlJc w:val="left"/>
      <w:pPr>
        <w:ind w:left="7422" w:hanging="360"/>
      </w:pPr>
      <w:rPr>
        <w:rFonts w:ascii="Courier New" w:eastAsia="Courier New" w:hAnsi="Courier New" w:cs="Courier New"/>
      </w:rPr>
    </w:lvl>
    <w:lvl w:ilvl="8">
      <w:start w:val="1"/>
      <w:numFmt w:val="bullet"/>
      <w:lvlText w:val="▪"/>
      <w:lvlJc w:val="left"/>
      <w:pPr>
        <w:ind w:left="8142" w:hanging="360"/>
      </w:pPr>
      <w:rPr>
        <w:rFonts w:ascii="Noto Sans Symbols" w:eastAsia="Noto Sans Symbols" w:hAnsi="Noto Sans Symbols" w:cs="Noto Sans Symbols"/>
      </w:rPr>
    </w:lvl>
  </w:abstractNum>
  <w:abstractNum w:abstractNumId="4" w15:restartNumberingAfterBreak="0">
    <w:nsid w:val="63157102"/>
    <w:multiLevelType w:val="multilevel"/>
    <w:tmpl w:val="30BC2348"/>
    <w:lvl w:ilvl="0">
      <w:start w:val="1"/>
      <w:numFmt w:val="decimal"/>
      <w:pStyle w:val="Listaconvietas2"/>
      <w:lvlText w:val="%1."/>
      <w:lvlJc w:val="left"/>
      <w:pPr>
        <w:ind w:left="501" w:hanging="359"/>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3792C0E"/>
    <w:multiLevelType w:val="multilevel"/>
    <w:tmpl w:val="8BB889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39914DD"/>
    <w:multiLevelType w:val="multilevel"/>
    <w:tmpl w:val="40EE4470"/>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7" w15:restartNumberingAfterBreak="0">
    <w:nsid w:val="75650201"/>
    <w:multiLevelType w:val="multilevel"/>
    <w:tmpl w:val="F894CB4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4"/>
  </w:num>
  <w:num w:numId="2">
    <w:abstractNumId w:val="6"/>
  </w:num>
  <w:num w:numId="3">
    <w:abstractNumId w:val="5"/>
  </w:num>
  <w:num w:numId="4">
    <w:abstractNumId w:val="7"/>
  </w:num>
  <w:num w:numId="5">
    <w:abstractNumId w:val="3"/>
  </w:num>
  <w:num w:numId="6">
    <w:abstractNumId w:val="0"/>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1B7"/>
    <w:rsid w:val="00082469"/>
    <w:rsid w:val="00243E13"/>
    <w:rsid w:val="005B055E"/>
    <w:rsid w:val="005D6661"/>
    <w:rsid w:val="00620AB9"/>
    <w:rsid w:val="006E024B"/>
    <w:rsid w:val="008A4630"/>
    <w:rsid w:val="0095553D"/>
    <w:rsid w:val="00AF3C4C"/>
    <w:rsid w:val="00B02BF2"/>
    <w:rsid w:val="00B422BD"/>
    <w:rsid w:val="00BB0805"/>
    <w:rsid w:val="00D32CF5"/>
    <w:rsid w:val="00D40F01"/>
    <w:rsid w:val="00DD11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29CC54C-E01C-4226-9A1B-17B609D9E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qFormat/>
    <w:rsid w:val="00415E7C"/>
    <w:pPr>
      <w:tabs>
        <w:tab w:val="center" w:pos="4419"/>
        <w:tab w:val="right" w:pos="8838"/>
      </w:tabs>
    </w:pPr>
  </w:style>
  <w:style w:type="character" w:customStyle="1" w:styleId="EncabezadoCar">
    <w:name w:val="Encabezado Car"/>
    <w:basedOn w:val="Fuentedeprrafopredeter"/>
    <w:link w:val="Encabezado"/>
    <w:uiPriority w:val="99"/>
    <w:qFormat/>
    <w:rsid w:val="00415E7C"/>
    <w:rPr>
      <w:rFonts w:ascii="Times New Roman" w:eastAsia="Times New Roman" w:hAnsi="Times New Roman" w:cs="Times New Roman"/>
      <w:sz w:val="20"/>
      <w:szCs w:val="20"/>
      <w:lang w:eastAsia="es-ES"/>
    </w:rPr>
  </w:style>
  <w:style w:type="paragraph" w:styleId="Listaconvietas2">
    <w:name w:val="List Bullet 2"/>
    <w:basedOn w:val="Normal"/>
    <w:uiPriority w:val="99"/>
    <w:unhideWhenUsed/>
    <w:qFormat/>
    <w:rsid w:val="00415E7C"/>
    <w:pPr>
      <w:numPr>
        <w:numId w:val="1"/>
      </w:numPr>
      <w:contextualSpacing/>
    </w:pPr>
  </w:style>
  <w:style w:type="paragraph" w:styleId="Piedepgina">
    <w:name w:val="footer"/>
    <w:basedOn w:val="Normal"/>
    <w:link w:val="PiedepginaCar"/>
    <w:uiPriority w:val="99"/>
    <w:unhideWhenUsed/>
    <w:qFormat/>
    <w:rsid w:val="00415E7C"/>
    <w:pPr>
      <w:tabs>
        <w:tab w:val="center" w:pos="4419"/>
        <w:tab w:val="right" w:pos="8838"/>
      </w:tabs>
    </w:pPr>
  </w:style>
  <w:style w:type="character" w:customStyle="1" w:styleId="PiedepginaCar">
    <w:name w:val="Pie de página Car"/>
    <w:basedOn w:val="Fuentedeprrafopredeter"/>
    <w:link w:val="Piedepgina"/>
    <w:uiPriority w:val="99"/>
    <w:qFormat/>
    <w:rsid w:val="00415E7C"/>
    <w:rPr>
      <w:rFonts w:ascii="Times New Roman" w:eastAsia="Times New Roman" w:hAnsi="Times New Roman" w:cs="Times New Roman"/>
      <w:sz w:val="20"/>
      <w:szCs w:val="20"/>
      <w:lang w:eastAsia="es-ES"/>
    </w:rPr>
  </w:style>
  <w:style w:type="table" w:styleId="Tablaconcuadrcula">
    <w:name w:val="Table Grid"/>
    <w:basedOn w:val="Tablanormal"/>
    <w:uiPriority w:val="39"/>
    <w:qFormat/>
    <w:rsid w:val="00415E7C"/>
    <w:rPr>
      <w:rFonts w:eastAsia="SimSu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15E7C"/>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415E7C"/>
    <w:rPr>
      <w:rFonts w:ascii="Century Gothic" w:eastAsia="Times New Roman" w:hAnsi="Century Gothic" w:cs="Times New Roman"/>
      <w:szCs w:val="24"/>
      <w:lang w:eastAsia="es-ES"/>
    </w:rPr>
  </w:style>
  <w:style w:type="paragraph" w:styleId="Sinespaciado">
    <w:name w:val="No Spacing"/>
    <w:aliases w:val="Francesa,INAI"/>
    <w:link w:val="SinespaciadoCar"/>
    <w:uiPriority w:val="1"/>
    <w:qFormat/>
    <w:rsid w:val="00415E7C"/>
    <w:rPr>
      <w:rFonts w:ascii="Cambria" w:eastAsia="Cambria" w:hAnsi="Cambria" w:cs="Cambria"/>
      <w:sz w:val="24"/>
      <w:szCs w:val="24"/>
      <w:lang w:val="es-ES_tradnl"/>
    </w:rPr>
  </w:style>
  <w:style w:type="character" w:customStyle="1" w:styleId="SinespaciadoCar">
    <w:name w:val="Sin espaciado Car"/>
    <w:aliases w:val="Francesa Car,INAI Car"/>
    <w:link w:val="Sinespaciado"/>
    <w:uiPriority w:val="1"/>
    <w:qFormat/>
    <w:locked/>
    <w:rsid w:val="00415E7C"/>
    <w:rPr>
      <w:rFonts w:ascii="Cambria" w:eastAsia="Cambria" w:hAnsi="Cambria" w:cs="Cambria"/>
      <w:sz w:val="24"/>
      <w:szCs w:val="24"/>
      <w:lang w:val="es-ES_tradnl" w:eastAsia="es-MX"/>
    </w:rPr>
  </w:style>
  <w:style w:type="paragraph" w:customStyle="1" w:styleId="Default">
    <w:name w:val="Default"/>
    <w:rsid w:val="00415E7C"/>
    <w:pPr>
      <w:autoSpaceDE w:val="0"/>
      <w:autoSpaceDN w:val="0"/>
      <w:adjustRightInd w:val="0"/>
    </w:pPr>
    <w:rPr>
      <w:rFonts w:ascii="Arial" w:hAnsi="Arial" w:cs="Arial"/>
      <w:color w:val="000000"/>
      <w:sz w:val="24"/>
      <w:szCs w:val="24"/>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eiKRgviea7xw+2/WajxnVVASw==">CgMxLjAyDmguZDhsNnZkZjJlbmY1MghoLmdqZGd4czIJaC4zMGowemxsMgloLjFmb2I5dGUyCWguM3pueXNoNzIJaC4yZXQ5MnAwMg5oLmVodXh1NTh0OG1icjIOaC45dmhlem1pYXBvdGIyDmgucjkzenV3czdwZG5tMg5oLnl3NXZvZ2Q0ZHMxNTIOaC52enowZnFoNHRrb2oyDmguc3UzM2Izbno4Njc4OAByITFrZTZXWlpmaVBTYzRQb2dETEdGQ1FCWHpNV09MNEY2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3819</Words>
  <Characters>21010</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10</cp:revision>
  <cp:lastPrinted>2026-02-09T17:40:00Z</cp:lastPrinted>
  <dcterms:created xsi:type="dcterms:W3CDTF">2026-01-29T18:31:00Z</dcterms:created>
  <dcterms:modified xsi:type="dcterms:W3CDTF">2026-02-16T23:32:00Z</dcterms:modified>
</cp:coreProperties>
</file>