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DAD095" w14:textId="3C44B33E" w:rsidR="001B6E47" w:rsidRDefault="0079490B" w:rsidP="00570EFD">
      <w:pPr>
        <w:pStyle w:val="TtulodeTDC"/>
        <w:spacing w:before="0" w:line="360" w:lineRule="auto"/>
        <w:jc w:val="center"/>
        <w:rPr>
          <w:rFonts w:ascii="Palatino Linotype" w:eastAsia="Times New Roman" w:hAnsi="Palatino Linotype" w:cs="Times New Roman"/>
          <w:color w:val="auto"/>
          <w:sz w:val="20"/>
          <w:szCs w:val="20"/>
          <w:lang w:val="es-ES" w:eastAsia="es-ES"/>
        </w:rPr>
      </w:pPr>
      <w:r>
        <w:rPr>
          <w:rFonts w:ascii="Palatino Linotype" w:eastAsia="Times New Roman" w:hAnsi="Palatino Linotype" w:cs="Times New Roman"/>
          <w:color w:val="auto"/>
          <w:sz w:val="20"/>
          <w:szCs w:val="20"/>
          <w:lang w:val="es-ES" w:eastAsia="es-ES"/>
        </w:rPr>
        <w:t xml:space="preserve">  </w:t>
      </w:r>
      <w:r w:rsidR="001B6E47">
        <w:rPr>
          <w:rFonts w:ascii="Palatino Linotype" w:eastAsia="Times New Roman" w:hAnsi="Palatino Linotype" w:cs="Times New Roman"/>
          <w:color w:val="auto"/>
          <w:sz w:val="20"/>
          <w:szCs w:val="20"/>
          <w:lang w:val="es-ES" w:eastAsia="es-ES"/>
        </w:rPr>
        <w:t xml:space="preserve">  </w:t>
      </w:r>
    </w:p>
    <w:sdt>
      <w:sdtPr>
        <w:rPr>
          <w:rFonts w:ascii="Palatino Linotype" w:eastAsia="Times New Roman" w:hAnsi="Palatino Linotype" w:cs="Times New Roman"/>
          <w:color w:val="auto"/>
          <w:sz w:val="20"/>
          <w:szCs w:val="20"/>
          <w:lang w:val="es-ES" w:eastAsia="es-ES"/>
        </w:rPr>
        <w:id w:val="-260844837"/>
        <w:docPartObj>
          <w:docPartGallery w:val="Table of Contents"/>
          <w:docPartUnique/>
        </w:docPartObj>
      </w:sdtPr>
      <w:sdtEndPr>
        <w:rPr>
          <w:rFonts w:eastAsiaTheme="minorHAnsi" w:cstheme="minorBidi"/>
          <w:color w:val="000000" w:themeColor="text1"/>
          <w:sz w:val="22"/>
          <w:szCs w:val="22"/>
          <w:lang w:eastAsia="en-US"/>
        </w:rPr>
      </w:sdtEndPr>
      <w:sdtContent>
        <w:p w14:paraId="54C5A517" w14:textId="6306F54D" w:rsidR="00076681" w:rsidRDefault="00076681" w:rsidP="00570EFD">
          <w:pPr>
            <w:pStyle w:val="TtulodeTDC"/>
            <w:spacing w:before="0" w:line="360" w:lineRule="auto"/>
            <w:jc w:val="center"/>
            <w:rPr>
              <w:rFonts w:ascii="Palatino Linotype" w:eastAsia="Calibri" w:hAnsi="Palatino Linotype" w:cs="Tahoma"/>
              <w:color w:val="auto"/>
              <w:sz w:val="22"/>
              <w:szCs w:val="22"/>
            </w:rPr>
          </w:pPr>
          <w:r w:rsidRPr="009A627C">
            <w:rPr>
              <w:rFonts w:ascii="Palatino Linotype" w:hAnsi="Palatino Linotype"/>
              <w:color w:val="000000" w:themeColor="text1"/>
              <w:sz w:val="22"/>
              <w:szCs w:val="22"/>
              <w:lang w:val="es-ES"/>
            </w:rPr>
            <w:t xml:space="preserve">RESOLUCIÓN DEL RECURSO DE REVISIÓN </w:t>
          </w:r>
          <w:r w:rsidR="00630E01">
            <w:rPr>
              <w:rFonts w:ascii="Palatino Linotype" w:eastAsia="Calibri" w:hAnsi="Palatino Linotype" w:cs="Tahoma"/>
              <w:color w:val="auto"/>
              <w:sz w:val="22"/>
              <w:szCs w:val="22"/>
            </w:rPr>
            <w:t>13986</w:t>
          </w:r>
          <w:r w:rsidR="00C60B15" w:rsidRPr="00C60B15">
            <w:rPr>
              <w:rFonts w:ascii="Palatino Linotype" w:eastAsia="Calibri" w:hAnsi="Palatino Linotype" w:cs="Tahoma"/>
              <w:color w:val="auto"/>
              <w:sz w:val="22"/>
              <w:szCs w:val="22"/>
            </w:rPr>
            <w:t>/INFOEM/IP/RR/2025</w:t>
          </w:r>
        </w:p>
        <w:p w14:paraId="5071D362" w14:textId="77777777" w:rsidR="004D3404" w:rsidRPr="008F07EE" w:rsidRDefault="004D3404" w:rsidP="00570EFD">
          <w:pPr>
            <w:spacing w:after="0" w:line="360" w:lineRule="auto"/>
            <w:rPr>
              <w:lang w:eastAsia="es-MX"/>
            </w:rPr>
          </w:pPr>
        </w:p>
        <w:p w14:paraId="3AEA5307" w14:textId="568932D8" w:rsidR="008F07EE" w:rsidRPr="008F07EE" w:rsidRDefault="00076681">
          <w:pPr>
            <w:pStyle w:val="TDC1"/>
            <w:rPr>
              <w:rFonts w:asciiTheme="minorHAnsi" w:eastAsiaTheme="minorEastAsia" w:hAnsiTheme="minorHAnsi" w:cstheme="minorBidi"/>
              <w:noProof/>
              <w:kern w:val="2"/>
              <w:sz w:val="22"/>
              <w:szCs w:val="22"/>
              <w:lang w:eastAsia="es-MX"/>
              <w14:ligatures w14:val="standardContextual"/>
            </w:rPr>
          </w:pPr>
          <w:r w:rsidRPr="008F07EE">
            <w:rPr>
              <w:rFonts w:ascii="Palatino Linotype" w:hAnsi="Palatino Linotype"/>
              <w:sz w:val="22"/>
              <w:szCs w:val="22"/>
            </w:rPr>
            <w:fldChar w:fldCharType="begin"/>
          </w:r>
          <w:r w:rsidRPr="008F07EE">
            <w:rPr>
              <w:rFonts w:ascii="Palatino Linotype" w:hAnsi="Palatino Linotype"/>
              <w:sz w:val="22"/>
              <w:szCs w:val="22"/>
            </w:rPr>
            <w:instrText xml:space="preserve"> TOC \o "1-3" \h \z \u </w:instrText>
          </w:r>
          <w:r w:rsidRPr="008F07EE">
            <w:rPr>
              <w:rFonts w:ascii="Palatino Linotype" w:hAnsi="Palatino Linotype"/>
              <w:sz w:val="22"/>
              <w:szCs w:val="22"/>
            </w:rPr>
            <w:fldChar w:fldCharType="separate"/>
          </w:r>
          <w:hyperlink w:anchor="_Toc226641123" w:history="1">
            <w:r w:rsidR="008F07EE" w:rsidRPr="008F07EE">
              <w:rPr>
                <w:rStyle w:val="Hipervnculo"/>
                <w:rFonts w:ascii="Palatino Linotype" w:hAnsi="Palatino Linotype"/>
                <w:noProof/>
              </w:rPr>
              <w:t>A N T E C E D E N T E S</w:t>
            </w:r>
            <w:r w:rsidR="008F07EE" w:rsidRPr="008F07EE">
              <w:rPr>
                <w:noProof/>
                <w:webHidden/>
              </w:rPr>
              <w:tab/>
            </w:r>
            <w:r w:rsidR="008F07EE" w:rsidRPr="008F07EE">
              <w:rPr>
                <w:noProof/>
                <w:webHidden/>
              </w:rPr>
              <w:fldChar w:fldCharType="begin"/>
            </w:r>
            <w:r w:rsidR="008F07EE" w:rsidRPr="008F07EE">
              <w:rPr>
                <w:noProof/>
                <w:webHidden/>
              </w:rPr>
              <w:instrText xml:space="preserve"> PAGEREF _Toc226641123 \h </w:instrText>
            </w:r>
            <w:r w:rsidR="008F07EE" w:rsidRPr="008F07EE">
              <w:rPr>
                <w:noProof/>
                <w:webHidden/>
              </w:rPr>
            </w:r>
            <w:r w:rsidR="008F07EE" w:rsidRPr="008F07EE">
              <w:rPr>
                <w:noProof/>
                <w:webHidden/>
              </w:rPr>
              <w:fldChar w:fldCharType="separate"/>
            </w:r>
            <w:r w:rsidR="00F711E8">
              <w:rPr>
                <w:noProof/>
                <w:webHidden/>
              </w:rPr>
              <w:t>2</w:t>
            </w:r>
            <w:r w:rsidR="008F07EE" w:rsidRPr="008F07EE">
              <w:rPr>
                <w:noProof/>
                <w:webHidden/>
              </w:rPr>
              <w:fldChar w:fldCharType="end"/>
            </w:r>
          </w:hyperlink>
        </w:p>
        <w:p w14:paraId="4A8003B7" w14:textId="50558FED" w:rsidR="008F07EE" w:rsidRPr="008F07EE" w:rsidRDefault="001D407F">
          <w:pPr>
            <w:pStyle w:val="TDC2"/>
            <w:rPr>
              <w:rFonts w:asciiTheme="minorHAnsi" w:eastAsiaTheme="minorEastAsia" w:hAnsiTheme="minorHAnsi" w:cstheme="minorBidi"/>
              <w:noProof/>
              <w:kern w:val="2"/>
              <w:sz w:val="22"/>
              <w:szCs w:val="22"/>
              <w:lang w:eastAsia="es-MX"/>
              <w14:ligatures w14:val="standardContextual"/>
            </w:rPr>
          </w:pPr>
          <w:hyperlink w:anchor="_Toc226641124" w:history="1">
            <w:r w:rsidR="008F07EE" w:rsidRPr="008F07EE">
              <w:rPr>
                <w:rStyle w:val="Hipervnculo"/>
                <w:rFonts w:ascii="Palatino Linotype" w:eastAsia="Calibri" w:hAnsi="Palatino Linotype"/>
                <w:noProof/>
                <w:lang w:val="es-ES"/>
              </w:rPr>
              <w:t>I. Presentación de la solicitud de información</w:t>
            </w:r>
            <w:r w:rsidR="008F07EE" w:rsidRPr="008F07EE">
              <w:rPr>
                <w:noProof/>
                <w:webHidden/>
              </w:rPr>
              <w:tab/>
            </w:r>
            <w:r w:rsidR="008F07EE" w:rsidRPr="008F07EE">
              <w:rPr>
                <w:noProof/>
                <w:webHidden/>
              </w:rPr>
              <w:fldChar w:fldCharType="begin"/>
            </w:r>
            <w:r w:rsidR="008F07EE" w:rsidRPr="008F07EE">
              <w:rPr>
                <w:noProof/>
                <w:webHidden/>
              </w:rPr>
              <w:instrText xml:space="preserve"> PAGEREF _Toc226641124 \h </w:instrText>
            </w:r>
            <w:r w:rsidR="008F07EE" w:rsidRPr="008F07EE">
              <w:rPr>
                <w:noProof/>
                <w:webHidden/>
              </w:rPr>
            </w:r>
            <w:r w:rsidR="008F07EE" w:rsidRPr="008F07EE">
              <w:rPr>
                <w:noProof/>
                <w:webHidden/>
              </w:rPr>
              <w:fldChar w:fldCharType="separate"/>
            </w:r>
            <w:r w:rsidR="00F711E8">
              <w:rPr>
                <w:noProof/>
                <w:webHidden/>
              </w:rPr>
              <w:t>2</w:t>
            </w:r>
            <w:r w:rsidR="008F07EE" w:rsidRPr="008F07EE">
              <w:rPr>
                <w:noProof/>
                <w:webHidden/>
              </w:rPr>
              <w:fldChar w:fldCharType="end"/>
            </w:r>
          </w:hyperlink>
        </w:p>
        <w:p w14:paraId="2C1B6AF5" w14:textId="5A5A3C82" w:rsidR="008F07EE" w:rsidRPr="008F07EE" w:rsidRDefault="001D407F">
          <w:pPr>
            <w:pStyle w:val="TDC2"/>
            <w:rPr>
              <w:rFonts w:asciiTheme="minorHAnsi" w:eastAsiaTheme="minorEastAsia" w:hAnsiTheme="minorHAnsi" w:cstheme="minorBidi"/>
              <w:noProof/>
              <w:kern w:val="2"/>
              <w:sz w:val="22"/>
              <w:szCs w:val="22"/>
              <w:lang w:eastAsia="es-MX"/>
              <w14:ligatures w14:val="standardContextual"/>
            </w:rPr>
          </w:pPr>
          <w:hyperlink w:anchor="_Toc226641125" w:history="1">
            <w:r w:rsidR="008F07EE" w:rsidRPr="008F07EE">
              <w:rPr>
                <w:rStyle w:val="Hipervnculo"/>
                <w:rFonts w:ascii="Palatino Linotype" w:eastAsia="Calibri" w:hAnsi="Palatino Linotype"/>
                <w:noProof/>
              </w:rPr>
              <w:t>II. Respuesta del Sujeto Obligado</w:t>
            </w:r>
            <w:r w:rsidR="008F07EE" w:rsidRPr="008F07EE">
              <w:rPr>
                <w:noProof/>
                <w:webHidden/>
              </w:rPr>
              <w:tab/>
            </w:r>
            <w:r w:rsidR="008F07EE" w:rsidRPr="008F07EE">
              <w:rPr>
                <w:noProof/>
                <w:webHidden/>
              </w:rPr>
              <w:fldChar w:fldCharType="begin"/>
            </w:r>
            <w:r w:rsidR="008F07EE" w:rsidRPr="008F07EE">
              <w:rPr>
                <w:noProof/>
                <w:webHidden/>
              </w:rPr>
              <w:instrText xml:space="preserve"> PAGEREF _Toc226641125 \h </w:instrText>
            </w:r>
            <w:r w:rsidR="008F07EE" w:rsidRPr="008F07EE">
              <w:rPr>
                <w:noProof/>
                <w:webHidden/>
              </w:rPr>
            </w:r>
            <w:r w:rsidR="008F07EE" w:rsidRPr="008F07EE">
              <w:rPr>
                <w:noProof/>
                <w:webHidden/>
              </w:rPr>
              <w:fldChar w:fldCharType="separate"/>
            </w:r>
            <w:r w:rsidR="00F711E8">
              <w:rPr>
                <w:noProof/>
                <w:webHidden/>
              </w:rPr>
              <w:t>3</w:t>
            </w:r>
            <w:r w:rsidR="008F07EE" w:rsidRPr="008F07EE">
              <w:rPr>
                <w:noProof/>
                <w:webHidden/>
              </w:rPr>
              <w:fldChar w:fldCharType="end"/>
            </w:r>
          </w:hyperlink>
        </w:p>
        <w:p w14:paraId="32E30CED" w14:textId="3983D28D" w:rsidR="008F07EE" w:rsidRPr="008F07EE" w:rsidRDefault="001D407F">
          <w:pPr>
            <w:pStyle w:val="TDC2"/>
            <w:rPr>
              <w:rFonts w:asciiTheme="minorHAnsi" w:eastAsiaTheme="minorEastAsia" w:hAnsiTheme="minorHAnsi" w:cstheme="minorBidi"/>
              <w:noProof/>
              <w:kern w:val="2"/>
              <w:sz w:val="22"/>
              <w:szCs w:val="22"/>
              <w:lang w:eastAsia="es-MX"/>
              <w14:ligatures w14:val="standardContextual"/>
            </w:rPr>
          </w:pPr>
          <w:hyperlink w:anchor="_Toc226641126" w:history="1">
            <w:r w:rsidR="008F07EE" w:rsidRPr="008F07EE">
              <w:rPr>
                <w:rStyle w:val="Hipervnculo"/>
                <w:rFonts w:ascii="Palatino Linotype" w:eastAsia="Calibri" w:hAnsi="Palatino Linotype"/>
                <w:noProof/>
              </w:rPr>
              <w:t>III. Interposición del Recurso de Revisión</w:t>
            </w:r>
            <w:r w:rsidR="008F07EE" w:rsidRPr="008F07EE">
              <w:rPr>
                <w:noProof/>
                <w:webHidden/>
              </w:rPr>
              <w:tab/>
            </w:r>
            <w:r w:rsidR="008F07EE" w:rsidRPr="008F07EE">
              <w:rPr>
                <w:noProof/>
                <w:webHidden/>
              </w:rPr>
              <w:fldChar w:fldCharType="begin"/>
            </w:r>
            <w:r w:rsidR="008F07EE" w:rsidRPr="008F07EE">
              <w:rPr>
                <w:noProof/>
                <w:webHidden/>
              </w:rPr>
              <w:instrText xml:space="preserve"> PAGEREF _Toc226641126 \h </w:instrText>
            </w:r>
            <w:r w:rsidR="008F07EE" w:rsidRPr="008F07EE">
              <w:rPr>
                <w:noProof/>
                <w:webHidden/>
              </w:rPr>
            </w:r>
            <w:r w:rsidR="008F07EE" w:rsidRPr="008F07EE">
              <w:rPr>
                <w:noProof/>
                <w:webHidden/>
              </w:rPr>
              <w:fldChar w:fldCharType="separate"/>
            </w:r>
            <w:r w:rsidR="00F711E8">
              <w:rPr>
                <w:noProof/>
                <w:webHidden/>
              </w:rPr>
              <w:t>4</w:t>
            </w:r>
            <w:r w:rsidR="008F07EE" w:rsidRPr="008F07EE">
              <w:rPr>
                <w:noProof/>
                <w:webHidden/>
              </w:rPr>
              <w:fldChar w:fldCharType="end"/>
            </w:r>
          </w:hyperlink>
        </w:p>
        <w:p w14:paraId="4B73A45B" w14:textId="51AE4506" w:rsidR="008F07EE" w:rsidRPr="008F07EE" w:rsidRDefault="001D407F">
          <w:pPr>
            <w:pStyle w:val="TDC2"/>
            <w:rPr>
              <w:rFonts w:asciiTheme="minorHAnsi" w:eastAsiaTheme="minorEastAsia" w:hAnsiTheme="minorHAnsi" w:cstheme="minorBidi"/>
              <w:noProof/>
              <w:kern w:val="2"/>
              <w:sz w:val="22"/>
              <w:szCs w:val="22"/>
              <w:lang w:eastAsia="es-MX"/>
              <w14:ligatures w14:val="standardContextual"/>
            </w:rPr>
          </w:pPr>
          <w:hyperlink w:anchor="_Toc226641127" w:history="1">
            <w:r w:rsidR="008F07EE" w:rsidRPr="008F07EE">
              <w:rPr>
                <w:rStyle w:val="Hipervnculo"/>
                <w:rFonts w:ascii="Palatino Linotype" w:eastAsia="Calibri" w:hAnsi="Palatino Linotype"/>
                <w:noProof/>
              </w:rPr>
              <w:t xml:space="preserve">IV. </w:t>
            </w:r>
            <w:r w:rsidR="008F07EE" w:rsidRPr="008F07EE">
              <w:rPr>
                <w:rStyle w:val="Hipervnculo"/>
                <w:rFonts w:ascii="Palatino Linotype" w:eastAsia="Batang" w:hAnsi="Palatino Linotype"/>
                <w:noProof/>
              </w:rPr>
              <w:t>Trámite del Recurso de Revisión</w:t>
            </w:r>
            <w:r w:rsidR="008F07EE" w:rsidRPr="008F07EE">
              <w:rPr>
                <w:rStyle w:val="Hipervnculo"/>
                <w:rFonts w:ascii="Palatino Linotype" w:eastAsia="Calibri" w:hAnsi="Palatino Linotype"/>
                <w:noProof/>
              </w:rPr>
              <w:t xml:space="preserve"> </w:t>
            </w:r>
            <w:r w:rsidR="008F07EE" w:rsidRPr="008F07EE">
              <w:rPr>
                <w:rStyle w:val="Hipervnculo"/>
                <w:rFonts w:ascii="Palatino Linotype" w:eastAsia="Batang" w:hAnsi="Palatino Linotype"/>
                <w:noProof/>
              </w:rPr>
              <w:t>ante este Instituto</w:t>
            </w:r>
            <w:r w:rsidR="008F07EE" w:rsidRPr="008F07EE">
              <w:rPr>
                <w:noProof/>
                <w:webHidden/>
              </w:rPr>
              <w:tab/>
            </w:r>
            <w:r w:rsidR="008F07EE" w:rsidRPr="008F07EE">
              <w:rPr>
                <w:noProof/>
                <w:webHidden/>
              </w:rPr>
              <w:fldChar w:fldCharType="begin"/>
            </w:r>
            <w:r w:rsidR="008F07EE" w:rsidRPr="008F07EE">
              <w:rPr>
                <w:noProof/>
                <w:webHidden/>
              </w:rPr>
              <w:instrText xml:space="preserve"> PAGEREF _Toc226641127 \h </w:instrText>
            </w:r>
            <w:r w:rsidR="008F07EE" w:rsidRPr="008F07EE">
              <w:rPr>
                <w:noProof/>
                <w:webHidden/>
              </w:rPr>
            </w:r>
            <w:r w:rsidR="008F07EE" w:rsidRPr="008F07EE">
              <w:rPr>
                <w:noProof/>
                <w:webHidden/>
              </w:rPr>
              <w:fldChar w:fldCharType="separate"/>
            </w:r>
            <w:r w:rsidR="00F711E8">
              <w:rPr>
                <w:noProof/>
                <w:webHidden/>
              </w:rPr>
              <w:t>6</w:t>
            </w:r>
            <w:r w:rsidR="008F07EE" w:rsidRPr="008F07EE">
              <w:rPr>
                <w:noProof/>
                <w:webHidden/>
              </w:rPr>
              <w:fldChar w:fldCharType="end"/>
            </w:r>
          </w:hyperlink>
        </w:p>
        <w:p w14:paraId="2E75231B" w14:textId="63A836B8" w:rsidR="008F07EE" w:rsidRPr="008F07EE" w:rsidRDefault="001D407F">
          <w:pPr>
            <w:pStyle w:val="TDC2"/>
            <w:rPr>
              <w:rFonts w:asciiTheme="minorHAnsi" w:eastAsiaTheme="minorEastAsia" w:hAnsiTheme="minorHAnsi" w:cstheme="minorBidi"/>
              <w:noProof/>
              <w:kern w:val="2"/>
              <w:sz w:val="22"/>
              <w:szCs w:val="22"/>
              <w:lang w:eastAsia="es-MX"/>
              <w14:ligatures w14:val="standardContextual"/>
            </w:rPr>
          </w:pPr>
          <w:hyperlink w:anchor="_Toc226641128" w:history="1">
            <w:r w:rsidR="008F07EE" w:rsidRPr="008F07EE">
              <w:rPr>
                <w:rStyle w:val="Hipervnculo"/>
                <w:rFonts w:ascii="Palatino Linotype" w:hAnsi="Palatino Linotype"/>
                <w:noProof/>
              </w:rPr>
              <w:t>a) Turno del Medio de Impugnación.</w:t>
            </w:r>
            <w:r w:rsidR="008F07EE" w:rsidRPr="008F07EE">
              <w:rPr>
                <w:noProof/>
                <w:webHidden/>
              </w:rPr>
              <w:tab/>
            </w:r>
            <w:r w:rsidR="008F07EE" w:rsidRPr="008F07EE">
              <w:rPr>
                <w:noProof/>
                <w:webHidden/>
              </w:rPr>
              <w:fldChar w:fldCharType="begin"/>
            </w:r>
            <w:r w:rsidR="008F07EE" w:rsidRPr="008F07EE">
              <w:rPr>
                <w:noProof/>
                <w:webHidden/>
              </w:rPr>
              <w:instrText xml:space="preserve"> PAGEREF _Toc226641128 \h </w:instrText>
            </w:r>
            <w:r w:rsidR="008F07EE" w:rsidRPr="008F07EE">
              <w:rPr>
                <w:noProof/>
                <w:webHidden/>
              </w:rPr>
            </w:r>
            <w:r w:rsidR="008F07EE" w:rsidRPr="008F07EE">
              <w:rPr>
                <w:noProof/>
                <w:webHidden/>
              </w:rPr>
              <w:fldChar w:fldCharType="separate"/>
            </w:r>
            <w:r w:rsidR="00F711E8">
              <w:rPr>
                <w:noProof/>
                <w:webHidden/>
              </w:rPr>
              <w:t>6</w:t>
            </w:r>
            <w:r w:rsidR="008F07EE" w:rsidRPr="008F07EE">
              <w:rPr>
                <w:noProof/>
                <w:webHidden/>
              </w:rPr>
              <w:fldChar w:fldCharType="end"/>
            </w:r>
          </w:hyperlink>
        </w:p>
        <w:p w14:paraId="5ED099CC" w14:textId="152C19DC" w:rsidR="008F07EE" w:rsidRPr="008F07EE" w:rsidRDefault="001D407F">
          <w:pPr>
            <w:pStyle w:val="TDC2"/>
            <w:rPr>
              <w:rFonts w:asciiTheme="minorHAnsi" w:eastAsiaTheme="minorEastAsia" w:hAnsiTheme="minorHAnsi" w:cstheme="minorBidi"/>
              <w:noProof/>
              <w:kern w:val="2"/>
              <w:sz w:val="22"/>
              <w:szCs w:val="22"/>
              <w:lang w:eastAsia="es-MX"/>
              <w14:ligatures w14:val="standardContextual"/>
            </w:rPr>
          </w:pPr>
          <w:hyperlink w:anchor="_Toc226641129" w:history="1">
            <w:r w:rsidR="008F07EE" w:rsidRPr="008F07EE">
              <w:rPr>
                <w:rStyle w:val="Hipervnculo"/>
                <w:rFonts w:ascii="Palatino Linotype" w:hAnsi="Palatino Linotype"/>
                <w:noProof/>
              </w:rPr>
              <w:t>b) Admisión del Recurso de Revisión.</w:t>
            </w:r>
            <w:r w:rsidR="008F07EE" w:rsidRPr="008F07EE">
              <w:rPr>
                <w:noProof/>
                <w:webHidden/>
              </w:rPr>
              <w:tab/>
            </w:r>
            <w:r w:rsidR="008F07EE" w:rsidRPr="008F07EE">
              <w:rPr>
                <w:noProof/>
                <w:webHidden/>
              </w:rPr>
              <w:fldChar w:fldCharType="begin"/>
            </w:r>
            <w:r w:rsidR="008F07EE" w:rsidRPr="008F07EE">
              <w:rPr>
                <w:noProof/>
                <w:webHidden/>
              </w:rPr>
              <w:instrText xml:space="preserve"> PAGEREF _Toc226641129 \h </w:instrText>
            </w:r>
            <w:r w:rsidR="008F07EE" w:rsidRPr="008F07EE">
              <w:rPr>
                <w:noProof/>
                <w:webHidden/>
              </w:rPr>
            </w:r>
            <w:r w:rsidR="008F07EE" w:rsidRPr="008F07EE">
              <w:rPr>
                <w:noProof/>
                <w:webHidden/>
              </w:rPr>
              <w:fldChar w:fldCharType="separate"/>
            </w:r>
            <w:r w:rsidR="00F711E8">
              <w:rPr>
                <w:noProof/>
                <w:webHidden/>
              </w:rPr>
              <w:t>6</w:t>
            </w:r>
            <w:r w:rsidR="008F07EE" w:rsidRPr="008F07EE">
              <w:rPr>
                <w:noProof/>
                <w:webHidden/>
              </w:rPr>
              <w:fldChar w:fldCharType="end"/>
            </w:r>
          </w:hyperlink>
        </w:p>
        <w:p w14:paraId="03A922E5" w14:textId="49667EBA" w:rsidR="008F07EE" w:rsidRPr="008F07EE" w:rsidRDefault="001D407F">
          <w:pPr>
            <w:pStyle w:val="TDC2"/>
            <w:rPr>
              <w:rFonts w:asciiTheme="minorHAnsi" w:eastAsiaTheme="minorEastAsia" w:hAnsiTheme="minorHAnsi" w:cstheme="minorBidi"/>
              <w:noProof/>
              <w:kern w:val="2"/>
              <w:sz w:val="22"/>
              <w:szCs w:val="22"/>
              <w:lang w:eastAsia="es-MX"/>
              <w14:ligatures w14:val="standardContextual"/>
            </w:rPr>
          </w:pPr>
          <w:hyperlink w:anchor="_Toc226641130" w:history="1">
            <w:r w:rsidR="008F07EE" w:rsidRPr="008F07EE">
              <w:rPr>
                <w:rStyle w:val="Hipervnculo"/>
                <w:rFonts w:ascii="Palatino Linotype" w:hAnsi="Palatino Linotype"/>
                <w:noProof/>
              </w:rPr>
              <w:t>c) Informe Justificado o manifestaciones.</w:t>
            </w:r>
            <w:r w:rsidR="008F07EE" w:rsidRPr="008F07EE">
              <w:rPr>
                <w:noProof/>
                <w:webHidden/>
              </w:rPr>
              <w:tab/>
            </w:r>
            <w:r w:rsidR="008F07EE" w:rsidRPr="008F07EE">
              <w:rPr>
                <w:noProof/>
                <w:webHidden/>
              </w:rPr>
              <w:fldChar w:fldCharType="begin"/>
            </w:r>
            <w:r w:rsidR="008F07EE" w:rsidRPr="008F07EE">
              <w:rPr>
                <w:noProof/>
                <w:webHidden/>
              </w:rPr>
              <w:instrText xml:space="preserve"> PAGEREF _Toc226641130 \h </w:instrText>
            </w:r>
            <w:r w:rsidR="008F07EE" w:rsidRPr="008F07EE">
              <w:rPr>
                <w:noProof/>
                <w:webHidden/>
              </w:rPr>
            </w:r>
            <w:r w:rsidR="008F07EE" w:rsidRPr="008F07EE">
              <w:rPr>
                <w:noProof/>
                <w:webHidden/>
              </w:rPr>
              <w:fldChar w:fldCharType="separate"/>
            </w:r>
            <w:r w:rsidR="00F711E8">
              <w:rPr>
                <w:noProof/>
                <w:webHidden/>
              </w:rPr>
              <w:t>6</w:t>
            </w:r>
            <w:r w:rsidR="008F07EE" w:rsidRPr="008F07EE">
              <w:rPr>
                <w:noProof/>
                <w:webHidden/>
              </w:rPr>
              <w:fldChar w:fldCharType="end"/>
            </w:r>
          </w:hyperlink>
        </w:p>
        <w:p w14:paraId="0AAC615E" w14:textId="7739E119" w:rsidR="008F07EE" w:rsidRPr="008F07EE" w:rsidRDefault="001D407F">
          <w:pPr>
            <w:pStyle w:val="TDC1"/>
            <w:rPr>
              <w:rFonts w:asciiTheme="minorHAnsi" w:eastAsiaTheme="minorEastAsia" w:hAnsiTheme="minorHAnsi" w:cstheme="minorBidi"/>
              <w:noProof/>
              <w:kern w:val="2"/>
              <w:sz w:val="22"/>
              <w:szCs w:val="22"/>
              <w:lang w:eastAsia="es-MX"/>
              <w14:ligatures w14:val="standardContextual"/>
            </w:rPr>
          </w:pPr>
          <w:hyperlink w:anchor="_Toc226641131" w:history="1">
            <w:r w:rsidR="008F07EE" w:rsidRPr="008F07EE">
              <w:rPr>
                <w:rStyle w:val="Hipervnculo"/>
                <w:rFonts w:ascii="Palatino Linotype" w:hAnsi="Palatino Linotype"/>
                <w:noProof/>
                <w:lang w:val="es-ES"/>
              </w:rPr>
              <w:t>C O N S I D E R A N D O S</w:t>
            </w:r>
            <w:r w:rsidR="008F07EE" w:rsidRPr="008F07EE">
              <w:rPr>
                <w:noProof/>
                <w:webHidden/>
              </w:rPr>
              <w:tab/>
            </w:r>
            <w:r w:rsidR="008F07EE" w:rsidRPr="008F07EE">
              <w:rPr>
                <w:noProof/>
                <w:webHidden/>
              </w:rPr>
              <w:fldChar w:fldCharType="begin"/>
            </w:r>
            <w:r w:rsidR="008F07EE" w:rsidRPr="008F07EE">
              <w:rPr>
                <w:noProof/>
                <w:webHidden/>
              </w:rPr>
              <w:instrText xml:space="preserve"> PAGEREF _Toc226641131 \h </w:instrText>
            </w:r>
            <w:r w:rsidR="008F07EE" w:rsidRPr="008F07EE">
              <w:rPr>
                <w:noProof/>
                <w:webHidden/>
              </w:rPr>
            </w:r>
            <w:r w:rsidR="008F07EE" w:rsidRPr="008F07EE">
              <w:rPr>
                <w:noProof/>
                <w:webHidden/>
              </w:rPr>
              <w:fldChar w:fldCharType="separate"/>
            </w:r>
            <w:r w:rsidR="00F711E8">
              <w:rPr>
                <w:noProof/>
                <w:webHidden/>
              </w:rPr>
              <w:t>7</w:t>
            </w:r>
            <w:r w:rsidR="008F07EE" w:rsidRPr="008F07EE">
              <w:rPr>
                <w:noProof/>
                <w:webHidden/>
              </w:rPr>
              <w:fldChar w:fldCharType="end"/>
            </w:r>
          </w:hyperlink>
        </w:p>
        <w:p w14:paraId="12201324" w14:textId="43ECBECB" w:rsidR="008F07EE" w:rsidRPr="008F07EE" w:rsidRDefault="001D407F">
          <w:pPr>
            <w:pStyle w:val="TDC2"/>
            <w:rPr>
              <w:rFonts w:asciiTheme="minorHAnsi" w:eastAsiaTheme="minorEastAsia" w:hAnsiTheme="minorHAnsi" w:cstheme="minorBidi"/>
              <w:noProof/>
              <w:kern w:val="2"/>
              <w:sz w:val="22"/>
              <w:szCs w:val="22"/>
              <w:lang w:eastAsia="es-MX"/>
              <w14:ligatures w14:val="standardContextual"/>
            </w:rPr>
          </w:pPr>
          <w:hyperlink w:anchor="_Toc226641132" w:history="1">
            <w:r w:rsidR="008F07EE" w:rsidRPr="008F07EE">
              <w:rPr>
                <w:rStyle w:val="Hipervnculo"/>
                <w:rFonts w:ascii="Palatino Linotype" w:eastAsia="Calibri" w:hAnsi="Palatino Linotype"/>
                <w:noProof/>
                <w:lang w:val="es-ES" w:eastAsia="es-MX"/>
              </w:rPr>
              <w:t xml:space="preserve">PRIMERO. </w:t>
            </w:r>
            <w:r w:rsidR="008F07EE" w:rsidRPr="008F07EE">
              <w:rPr>
                <w:rStyle w:val="Hipervnculo"/>
                <w:rFonts w:ascii="Palatino Linotype" w:hAnsi="Palatino Linotype"/>
                <w:noProof/>
                <w:lang w:val="es-ES"/>
              </w:rPr>
              <w:t>Competencia</w:t>
            </w:r>
            <w:r w:rsidR="008F07EE" w:rsidRPr="008F07EE">
              <w:rPr>
                <w:noProof/>
                <w:webHidden/>
              </w:rPr>
              <w:tab/>
            </w:r>
            <w:r w:rsidR="008F07EE" w:rsidRPr="008F07EE">
              <w:rPr>
                <w:noProof/>
                <w:webHidden/>
              </w:rPr>
              <w:fldChar w:fldCharType="begin"/>
            </w:r>
            <w:r w:rsidR="008F07EE" w:rsidRPr="008F07EE">
              <w:rPr>
                <w:noProof/>
                <w:webHidden/>
              </w:rPr>
              <w:instrText xml:space="preserve"> PAGEREF _Toc226641132 \h </w:instrText>
            </w:r>
            <w:r w:rsidR="008F07EE" w:rsidRPr="008F07EE">
              <w:rPr>
                <w:noProof/>
                <w:webHidden/>
              </w:rPr>
            </w:r>
            <w:r w:rsidR="008F07EE" w:rsidRPr="008F07EE">
              <w:rPr>
                <w:noProof/>
                <w:webHidden/>
              </w:rPr>
              <w:fldChar w:fldCharType="separate"/>
            </w:r>
            <w:r w:rsidR="00F711E8">
              <w:rPr>
                <w:noProof/>
                <w:webHidden/>
              </w:rPr>
              <w:t>7</w:t>
            </w:r>
            <w:r w:rsidR="008F07EE" w:rsidRPr="008F07EE">
              <w:rPr>
                <w:noProof/>
                <w:webHidden/>
              </w:rPr>
              <w:fldChar w:fldCharType="end"/>
            </w:r>
          </w:hyperlink>
        </w:p>
        <w:p w14:paraId="738B0432" w14:textId="5253DA6C" w:rsidR="008F07EE" w:rsidRPr="008F07EE" w:rsidRDefault="001D407F">
          <w:pPr>
            <w:pStyle w:val="TDC2"/>
            <w:rPr>
              <w:rFonts w:asciiTheme="minorHAnsi" w:eastAsiaTheme="minorEastAsia" w:hAnsiTheme="minorHAnsi" w:cstheme="minorBidi"/>
              <w:noProof/>
              <w:kern w:val="2"/>
              <w:sz w:val="22"/>
              <w:szCs w:val="22"/>
              <w:lang w:eastAsia="es-MX"/>
              <w14:ligatures w14:val="standardContextual"/>
            </w:rPr>
          </w:pPr>
          <w:hyperlink w:anchor="_Toc226641133" w:history="1">
            <w:r w:rsidR="008F07EE" w:rsidRPr="008F07EE">
              <w:rPr>
                <w:rStyle w:val="Hipervnculo"/>
                <w:rFonts w:ascii="Palatino Linotype" w:eastAsia="Calibri" w:hAnsi="Palatino Linotype"/>
                <w:noProof/>
                <w:lang w:val="es-ES" w:eastAsia="es-MX"/>
              </w:rPr>
              <w:t xml:space="preserve">SEGUNDO. </w:t>
            </w:r>
            <w:r w:rsidR="008F07EE" w:rsidRPr="008F07EE">
              <w:rPr>
                <w:rStyle w:val="Hipervnculo"/>
                <w:rFonts w:ascii="Palatino Linotype" w:hAnsi="Palatino Linotype"/>
                <w:noProof/>
                <w:lang w:val="es-ES"/>
              </w:rPr>
              <w:t>Causales de improcedencia y sobreseimiento</w:t>
            </w:r>
            <w:r w:rsidR="008F07EE" w:rsidRPr="008F07EE">
              <w:rPr>
                <w:noProof/>
                <w:webHidden/>
              </w:rPr>
              <w:tab/>
            </w:r>
            <w:r w:rsidR="008F07EE" w:rsidRPr="008F07EE">
              <w:rPr>
                <w:noProof/>
                <w:webHidden/>
              </w:rPr>
              <w:fldChar w:fldCharType="begin"/>
            </w:r>
            <w:r w:rsidR="008F07EE" w:rsidRPr="008F07EE">
              <w:rPr>
                <w:noProof/>
                <w:webHidden/>
              </w:rPr>
              <w:instrText xml:space="preserve"> PAGEREF _Toc226641133 \h </w:instrText>
            </w:r>
            <w:r w:rsidR="008F07EE" w:rsidRPr="008F07EE">
              <w:rPr>
                <w:noProof/>
                <w:webHidden/>
              </w:rPr>
            </w:r>
            <w:r w:rsidR="008F07EE" w:rsidRPr="008F07EE">
              <w:rPr>
                <w:noProof/>
                <w:webHidden/>
              </w:rPr>
              <w:fldChar w:fldCharType="separate"/>
            </w:r>
            <w:r w:rsidR="00F711E8">
              <w:rPr>
                <w:noProof/>
                <w:webHidden/>
              </w:rPr>
              <w:t>8</w:t>
            </w:r>
            <w:r w:rsidR="008F07EE" w:rsidRPr="008F07EE">
              <w:rPr>
                <w:noProof/>
                <w:webHidden/>
              </w:rPr>
              <w:fldChar w:fldCharType="end"/>
            </w:r>
          </w:hyperlink>
        </w:p>
        <w:p w14:paraId="372CF43E" w14:textId="3A172A2C" w:rsidR="008F07EE" w:rsidRPr="008F07EE" w:rsidRDefault="001D407F">
          <w:pPr>
            <w:pStyle w:val="TDC2"/>
            <w:rPr>
              <w:rFonts w:asciiTheme="minorHAnsi" w:eastAsiaTheme="minorEastAsia" w:hAnsiTheme="minorHAnsi" w:cstheme="minorBidi"/>
              <w:noProof/>
              <w:kern w:val="2"/>
              <w:sz w:val="22"/>
              <w:szCs w:val="22"/>
              <w:lang w:eastAsia="es-MX"/>
              <w14:ligatures w14:val="standardContextual"/>
            </w:rPr>
          </w:pPr>
          <w:hyperlink w:anchor="_Toc226641134" w:history="1">
            <w:r w:rsidR="008F07EE" w:rsidRPr="008F07EE">
              <w:rPr>
                <w:rStyle w:val="Hipervnculo"/>
                <w:rFonts w:ascii="Palatino Linotype" w:hAnsi="Palatino Linotype"/>
                <w:noProof/>
                <w:lang w:val="es-ES"/>
              </w:rPr>
              <w:t>TERCERO. Determinación de la Controversia</w:t>
            </w:r>
            <w:r w:rsidR="008F07EE" w:rsidRPr="008F07EE">
              <w:rPr>
                <w:noProof/>
                <w:webHidden/>
              </w:rPr>
              <w:tab/>
            </w:r>
            <w:r w:rsidR="008F07EE" w:rsidRPr="008F07EE">
              <w:rPr>
                <w:noProof/>
                <w:webHidden/>
              </w:rPr>
              <w:fldChar w:fldCharType="begin"/>
            </w:r>
            <w:r w:rsidR="008F07EE" w:rsidRPr="008F07EE">
              <w:rPr>
                <w:noProof/>
                <w:webHidden/>
              </w:rPr>
              <w:instrText xml:space="preserve"> PAGEREF _Toc226641134 \h </w:instrText>
            </w:r>
            <w:r w:rsidR="008F07EE" w:rsidRPr="008F07EE">
              <w:rPr>
                <w:noProof/>
                <w:webHidden/>
              </w:rPr>
            </w:r>
            <w:r w:rsidR="008F07EE" w:rsidRPr="008F07EE">
              <w:rPr>
                <w:noProof/>
                <w:webHidden/>
              </w:rPr>
              <w:fldChar w:fldCharType="separate"/>
            </w:r>
            <w:r w:rsidR="00F711E8">
              <w:rPr>
                <w:noProof/>
                <w:webHidden/>
              </w:rPr>
              <w:t>9</w:t>
            </w:r>
            <w:r w:rsidR="008F07EE" w:rsidRPr="008F07EE">
              <w:rPr>
                <w:noProof/>
                <w:webHidden/>
              </w:rPr>
              <w:fldChar w:fldCharType="end"/>
            </w:r>
          </w:hyperlink>
        </w:p>
        <w:p w14:paraId="52A2AE96" w14:textId="1C93BEB4" w:rsidR="008F07EE" w:rsidRPr="008F07EE" w:rsidRDefault="001D407F">
          <w:pPr>
            <w:pStyle w:val="TDC2"/>
            <w:rPr>
              <w:rFonts w:asciiTheme="minorHAnsi" w:eastAsiaTheme="minorEastAsia" w:hAnsiTheme="minorHAnsi" w:cstheme="minorBidi"/>
              <w:noProof/>
              <w:kern w:val="2"/>
              <w:sz w:val="22"/>
              <w:szCs w:val="22"/>
              <w:lang w:eastAsia="es-MX"/>
              <w14:ligatures w14:val="standardContextual"/>
            </w:rPr>
          </w:pPr>
          <w:hyperlink w:anchor="_Toc226641135" w:history="1">
            <w:r w:rsidR="008F07EE" w:rsidRPr="008F07EE">
              <w:rPr>
                <w:rStyle w:val="Hipervnculo"/>
                <w:rFonts w:ascii="Palatino Linotype" w:hAnsi="Palatino Linotype"/>
                <w:noProof/>
                <w:lang w:val="es-ES"/>
              </w:rPr>
              <w:t xml:space="preserve">CUARTO. </w:t>
            </w:r>
            <w:r w:rsidR="008F07EE" w:rsidRPr="008F07EE">
              <w:rPr>
                <w:rStyle w:val="Hipervnculo"/>
                <w:rFonts w:ascii="Palatino Linotype" w:hAnsi="Palatino Linotype"/>
                <w:noProof/>
              </w:rPr>
              <w:t>Marco normativo aplicable en materia de transparencia y acceso a la información pública</w:t>
            </w:r>
            <w:r w:rsidR="008F07EE" w:rsidRPr="008F07EE">
              <w:rPr>
                <w:noProof/>
                <w:webHidden/>
              </w:rPr>
              <w:tab/>
            </w:r>
            <w:r w:rsidR="008F07EE" w:rsidRPr="008F07EE">
              <w:rPr>
                <w:noProof/>
                <w:webHidden/>
              </w:rPr>
              <w:fldChar w:fldCharType="begin"/>
            </w:r>
            <w:r w:rsidR="008F07EE" w:rsidRPr="008F07EE">
              <w:rPr>
                <w:noProof/>
                <w:webHidden/>
              </w:rPr>
              <w:instrText xml:space="preserve"> PAGEREF _Toc226641135 \h </w:instrText>
            </w:r>
            <w:r w:rsidR="008F07EE" w:rsidRPr="008F07EE">
              <w:rPr>
                <w:noProof/>
                <w:webHidden/>
              </w:rPr>
            </w:r>
            <w:r w:rsidR="008F07EE" w:rsidRPr="008F07EE">
              <w:rPr>
                <w:noProof/>
                <w:webHidden/>
              </w:rPr>
              <w:fldChar w:fldCharType="separate"/>
            </w:r>
            <w:r w:rsidR="00F711E8">
              <w:rPr>
                <w:noProof/>
                <w:webHidden/>
              </w:rPr>
              <w:t>11</w:t>
            </w:r>
            <w:r w:rsidR="008F07EE" w:rsidRPr="008F07EE">
              <w:rPr>
                <w:noProof/>
                <w:webHidden/>
              </w:rPr>
              <w:fldChar w:fldCharType="end"/>
            </w:r>
          </w:hyperlink>
        </w:p>
        <w:p w14:paraId="461095F2" w14:textId="6AB3E8FF" w:rsidR="008F07EE" w:rsidRPr="008F07EE" w:rsidRDefault="001D407F">
          <w:pPr>
            <w:pStyle w:val="TDC2"/>
            <w:rPr>
              <w:rFonts w:asciiTheme="minorHAnsi" w:eastAsiaTheme="minorEastAsia" w:hAnsiTheme="minorHAnsi" w:cstheme="minorBidi"/>
              <w:noProof/>
              <w:kern w:val="2"/>
              <w:sz w:val="22"/>
              <w:szCs w:val="22"/>
              <w:lang w:eastAsia="es-MX"/>
              <w14:ligatures w14:val="standardContextual"/>
            </w:rPr>
          </w:pPr>
          <w:hyperlink w:anchor="_Toc226641136" w:history="1">
            <w:r w:rsidR="008F07EE" w:rsidRPr="008F07EE">
              <w:rPr>
                <w:rStyle w:val="Hipervnculo"/>
                <w:rFonts w:ascii="Palatino Linotype" w:hAnsi="Palatino Linotype"/>
                <w:noProof/>
                <w:lang w:val="es-ES"/>
              </w:rPr>
              <w:t>QUINTO. Estudio de Fondo</w:t>
            </w:r>
            <w:r w:rsidR="008F07EE" w:rsidRPr="008F07EE">
              <w:rPr>
                <w:noProof/>
                <w:webHidden/>
              </w:rPr>
              <w:tab/>
            </w:r>
            <w:r w:rsidR="008F07EE" w:rsidRPr="008F07EE">
              <w:rPr>
                <w:noProof/>
                <w:webHidden/>
              </w:rPr>
              <w:fldChar w:fldCharType="begin"/>
            </w:r>
            <w:r w:rsidR="008F07EE" w:rsidRPr="008F07EE">
              <w:rPr>
                <w:noProof/>
                <w:webHidden/>
              </w:rPr>
              <w:instrText xml:space="preserve"> PAGEREF _Toc226641136 \h </w:instrText>
            </w:r>
            <w:r w:rsidR="008F07EE" w:rsidRPr="008F07EE">
              <w:rPr>
                <w:noProof/>
                <w:webHidden/>
              </w:rPr>
            </w:r>
            <w:r w:rsidR="008F07EE" w:rsidRPr="008F07EE">
              <w:rPr>
                <w:noProof/>
                <w:webHidden/>
              </w:rPr>
              <w:fldChar w:fldCharType="separate"/>
            </w:r>
            <w:r w:rsidR="00F711E8">
              <w:rPr>
                <w:noProof/>
                <w:webHidden/>
              </w:rPr>
              <w:t>12</w:t>
            </w:r>
            <w:r w:rsidR="008F07EE" w:rsidRPr="008F07EE">
              <w:rPr>
                <w:noProof/>
                <w:webHidden/>
              </w:rPr>
              <w:fldChar w:fldCharType="end"/>
            </w:r>
          </w:hyperlink>
        </w:p>
        <w:p w14:paraId="05553C82" w14:textId="7CDEFE21" w:rsidR="008F07EE" w:rsidRPr="008F07EE" w:rsidRDefault="001D407F">
          <w:pPr>
            <w:pStyle w:val="TDC2"/>
            <w:rPr>
              <w:rFonts w:asciiTheme="minorHAnsi" w:eastAsiaTheme="minorEastAsia" w:hAnsiTheme="minorHAnsi" w:cstheme="minorBidi"/>
              <w:noProof/>
              <w:kern w:val="2"/>
              <w:sz w:val="22"/>
              <w:szCs w:val="22"/>
              <w:lang w:eastAsia="es-MX"/>
              <w14:ligatures w14:val="standardContextual"/>
            </w:rPr>
          </w:pPr>
          <w:hyperlink w:anchor="_Toc226641137" w:history="1">
            <w:r w:rsidR="008F07EE" w:rsidRPr="008F07EE">
              <w:rPr>
                <w:rStyle w:val="Hipervnculo"/>
                <w:rFonts w:ascii="Palatino Linotype" w:eastAsia="Calibri" w:hAnsi="Palatino Linotype"/>
                <w:noProof/>
              </w:rPr>
              <w:t>SEXTO. Decisión.</w:t>
            </w:r>
            <w:r w:rsidR="008F07EE" w:rsidRPr="008F07EE">
              <w:rPr>
                <w:noProof/>
                <w:webHidden/>
              </w:rPr>
              <w:tab/>
            </w:r>
            <w:r w:rsidR="008F07EE" w:rsidRPr="008F07EE">
              <w:rPr>
                <w:noProof/>
                <w:webHidden/>
              </w:rPr>
              <w:fldChar w:fldCharType="begin"/>
            </w:r>
            <w:r w:rsidR="008F07EE" w:rsidRPr="008F07EE">
              <w:rPr>
                <w:noProof/>
                <w:webHidden/>
              </w:rPr>
              <w:instrText xml:space="preserve"> PAGEREF _Toc226641137 \h </w:instrText>
            </w:r>
            <w:r w:rsidR="008F07EE" w:rsidRPr="008F07EE">
              <w:rPr>
                <w:noProof/>
                <w:webHidden/>
              </w:rPr>
            </w:r>
            <w:r w:rsidR="008F07EE" w:rsidRPr="008F07EE">
              <w:rPr>
                <w:noProof/>
                <w:webHidden/>
              </w:rPr>
              <w:fldChar w:fldCharType="separate"/>
            </w:r>
            <w:r w:rsidR="00F711E8">
              <w:rPr>
                <w:noProof/>
                <w:webHidden/>
              </w:rPr>
              <w:t>27</w:t>
            </w:r>
            <w:r w:rsidR="008F07EE" w:rsidRPr="008F07EE">
              <w:rPr>
                <w:noProof/>
                <w:webHidden/>
              </w:rPr>
              <w:fldChar w:fldCharType="end"/>
            </w:r>
          </w:hyperlink>
        </w:p>
        <w:p w14:paraId="31FF07AB" w14:textId="5C20006D" w:rsidR="008F07EE" w:rsidRPr="008F07EE" w:rsidRDefault="001D407F">
          <w:pPr>
            <w:pStyle w:val="TDC1"/>
            <w:rPr>
              <w:rFonts w:asciiTheme="minorHAnsi" w:eastAsiaTheme="minorEastAsia" w:hAnsiTheme="minorHAnsi" w:cstheme="minorBidi"/>
              <w:noProof/>
              <w:kern w:val="2"/>
              <w:sz w:val="22"/>
              <w:szCs w:val="22"/>
              <w:lang w:eastAsia="es-MX"/>
              <w14:ligatures w14:val="standardContextual"/>
            </w:rPr>
          </w:pPr>
          <w:hyperlink w:anchor="_Toc226641138" w:history="1">
            <w:r w:rsidR="008F07EE" w:rsidRPr="008F07EE">
              <w:rPr>
                <w:rStyle w:val="Hipervnculo"/>
                <w:rFonts w:ascii="Palatino Linotype" w:eastAsia="Calibri" w:hAnsi="Palatino Linotype"/>
                <w:noProof/>
              </w:rPr>
              <w:t>R E S U E L V E</w:t>
            </w:r>
            <w:r w:rsidR="008F07EE" w:rsidRPr="008F07EE">
              <w:rPr>
                <w:noProof/>
                <w:webHidden/>
              </w:rPr>
              <w:tab/>
            </w:r>
            <w:r w:rsidR="008F07EE" w:rsidRPr="008F07EE">
              <w:rPr>
                <w:noProof/>
                <w:webHidden/>
              </w:rPr>
              <w:fldChar w:fldCharType="begin"/>
            </w:r>
            <w:r w:rsidR="008F07EE" w:rsidRPr="008F07EE">
              <w:rPr>
                <w:noProof/>
                <w:webHidden/>
              </w:rPr>
              <w:instrText xml:space="preserve"> PAGEREF _Toc226641138 \h </w:instrText>
            </w:r>
            <w:r w:rsidR="008F07EE" w:rsidRPr="008F07EE">
              <w:rPr>
                <w:noProof/>
                <w:webHidden/>
              </w:rPr>
            </w:r>
            <w:r w:rsidR="008F07EE" w:rsidRPr="008F07EE">
              <w:rPr>
                <w:noProof/>
                <w:webHidden/>
              </w:rPr>
              <w:fldChar w:fldCharType="separate"/>
            </w:r>
            <w:r w:rsidR="00F711E8">
              <w:rPr>
                <w:noProof/>
                <w:webHidden/>
              </w:rPr>
              <w:t>28</w:t>
            </w:r>
            <w:r w:rsidR="008F07EE" w:rsidRPr="008F07EE">
              <w:rPr>
                <w:noProof/>
                <w:webHidden/>
              </w:rPr>
              <w:fldChar w:fldCharType="end"/>
            </w:r>
          </w:hyperlink>
        </w:p>
        <w:p w14:paraId="39113C74" w14:textId="1FD5E6B1" w:rsidR="00076681" w:rsidRDefault="00076681" w:rsidP="00570EFD">
          <w:pPr>
            <w:spacing w:after="0" w:line="360" w:lineRule="auto"/>
          </w:pPr>
          <w:r w:rsidRPr="008F07EE">
            <w:rPr>
              <w:lang w:val="es-ES"/>
            </w:rPr>
            <w:fldChar w:fldCharType="end"/>
          </w:r>
        </w:p>
      </w:sdtContent>
    </w:sdt>
    <w:p w14:paraId="5E65C5A6" w14:textId="77777777" w:rsidR="00647DF2" w:rsidRDefault="00647DF2" w:rsidP="00570EFD">
      <w:pPr>
        <w:tabs>
          <w:tab w:val="left" w:pos="8931"/>
        </w:tabs>
        <w:spacing w:after="0" w:line="360" w:lineRule="auto"/>
        <w:contextualSpacing/>
        <w:rPr>
          <w:rFonts w:cs="Tahoma"/>
          <w:bCs/>
          <w:color w:val="auto"/>
        </w:rPr>
      </w:pPr>
    </w:p>
    <w:p w14:paraId="428AFDAA" w14:textId="77777777" w:rsidR="00904184" w:rsidRDefault="00904184" w:rsidP="00570EFD">
      <w:pPr>
        <w:tabs>
          <w:tab w:val="left" w:pos="8931"/>
        </w:tabs>
        <w:spacing w:after="0" w:line="360" w:lineRule="auto"/>
        <w:contextualSpacing/>
        <w:rPr>
          <w:rFonts w:cs="Tahoma"/>
          <w:bCs/>
          <w:color w:val="auto"/>
        </w:rPr>
      </w:pPr>
    </w:p>
    <w:p w14:paraId="44744BF9" w14:textId="77777777" w:rsidR="00904184" w:rsidRDefault="00904184" w:rsidP="00570EFD">
      <w:pPr>
        <w:tabs>
          <w:tab w:val="left" w:pos="8931"/>
        </w:tabs>
        <w:spacing w:after="0" w:line="360" w:lineRule="auto"/>
        <w:contextualSpacing/>
        <w:rPr>
          <w:rFonts w:cs="Tahoma"/>
          <w:bCs/>
          <w:color w:val="auto"/>
        </w:rPr>
      </w:pPr>
    </w:p>
    <w:p w14:paraId="7F2FAF49" w14:textId="77777777" w:rsidR="00904184" w:rsidRDefault="00904184" w:rsidP="00570EFD">
      <w:pPr>
        <w:tabs>
          <w:tab w:val="left" w:pos="8931"/>
        </w:tabs>
        <w:spacing w:after="0" w:line="360" w:lineRule="auto"/>
        <w:contextualSpacing/>
        <w:rPr>
          <w:rFonts w:cs="Tahoma"/>
          <w:bCs/>
          <w:color w:val="auto"/>
        </w:rPr>
      </w:pPr>
    </w:p>
    <w:p w14:paraId="214C4B79" w14:textId="77777777" w:rsidR="00904184" w:rsidRDefault="00904184" w:rsidP="00570EFD">
      <w:pPr>
        <w:tabs>
          <w:tab w:val="left" w:pos="8931"/>
        </w:tabs>
        <w:spacing w:after="0" w:line="360" w:lineRule="auto"/>
        <w:contextualSpacing/>
        <w:rPr>
          <w:rFonts w:cs="Tahoma"/>
          <w:bCs/>
          <w:color w:val="auto"/>
        </w:rPr>
      </w:pPr>
    </w:p>
    <w:p w14:paraId="77514B31" w14:textId="77777777" w:rsidR="00904184" w:rsidRDefault="00904184" w:rsidP="00570EFD">
      <w:pPr>
        <w:tabs>
          <w:tab w:val="left" w:pos="8931"/>
        </w:tabs>
        <w:spacing w:after="0" w:line="360" w:lineRule="auto"/>
        <w:contextualSpacing/>
        <w:rPr>
          <w:rFonts w:cs="Tahoma"/>
          <w:bCs/>
          <w:color w:val="auto"/>
        </w:rPr>
      </w:pPr>
    </w:p>
    <w:p w14:paraId="3530C0FA" w14:textId="06F81BDB" w:rsidR="00DB3DC5" w:rsidRPr="009C0D40" w:rsidRDefault="00DB3DC5" w:rsidP="00570EFD">
      <w:pPr>
        <w:tabs>
          <w:tab w:val="left" w:pos="8931"/>
        </w:tabs>
        <w:spacing w:after="0" w:line="360" w:lineRule="auto"/>
        <w:contextualSpacing/>
        <w:rPr>
          <w:rFonts w:eastAsia="Calibri" w:cs="Tahoma"/>
          <w:color w:val="auto"/>
          <w:lang w:val="es-ES"/>
        </w:rPr>
      </w:pPr>
      <w:r w:rsidRPr="009C0D40">
        <w:rPr>
          <w:rFonts w:cs="Tahoma"/>
          <w:bCs/>
          <w:color w:val="auto"/>
        </w:rPr>
        <w:lastRenderedPageBreak/>
        <w:t xml:space="preserve">Resolución del Pleno del Instituto de Transparencia, Acceso a la Información Pública y Protección de Datos Personales del Estado de México y Municipios, con domicilio en Metepec, </w:t>
      </w:r>
      <w:r w:rsidRPr="009C0D40">
        <w:rPr>
          <w:rFonts w:eastAsia="Calibri" w:cs="Tahoma"/>
          <w:color w:val="auto"/>
          <w:lang w:val="es-ES"/>
        </w:rPr>
        <w:t xml:space="preserve">Estado de México, de </w:t>
      </w:r>
      <w:r w:rsidR="002D102D">
        <w:rPr>
          <w:rFonts w:eastAsia="Calibri" w:cs="Tahoma"/>
          <w:color w:val="auto"/>
          <w:lang w:val="es-ES"/>
        </w:rPr>
        <w:t xml:space="preserve">fecha </w:t>
      </w:r>
      <w:r w:rsidR="00101501">
        <w:rPr>
          <w:rFonts w:eastAsia="Calibri" w:cs="Tahoma"/>
          <w:color w:val="auto"/>
          <w:lang w:val="es-ES"/>
        </w:rPr>
        <w:t>ocho de abril</w:t>
      </w:r>
      <w:r w:rsidR="008E279B">
        <w:rPr>
          <w:rFonts w:eastAsia="Calibri" w:cs="Tahoma"/>
          <w:color w:val="auto"/>
          <w:lang w:val="es-ES"/>
        </w:rPr>
        <w:t xml:space="preserve"> de dos mil veinti</w:t>
      </w:r>
      <w:r w:rsidR="00623AD7">
        <w:rPr>
          <w:rFonts w:eastAsia="Calibri" w:cs="Tahoma"/>
          <w:color w:val="auto"/>
          <w:lang w:val="es-ES"/>
        </w:rPr>
        <w:t>séis</w:t>
      </w:r>
      <w:r w:rsidR="008E279B">
        <w:rPr>
          <w:rFonts w:eastAsia="Calibri" w:cs="Tahoma"/>
          <w:color w:val="auto"/>
          <w:lang w:val="es-ES"/>
        </w:rPr>
        <w:t>.</w:t>
      </w:r>
      <w:r w:rsidRPr="009C0D40">
        <w:rPr>
          <w:rFonts w:eastAsia="Calibri" w:cs="Tahoma"/>
          <w:color w:val="auto"/>
          <w:lang w:val="es-ES"/>
        </w:rPr>
        <w:t xml:space="preserve"> </w:t>
      </w:r>
    </w:p>
    <w:p w14:paraId="2A681408" w14:textId="1CE12C44" w:rsidR="00DB3DC5" w:rsidRPr="00C821DD" w:rsidRDefault="00455DCB" w:rsidP="00570EFD">
      <w:pPr>
        <w:tabs>
          <w:tab w:val="left" w:pos="2340"/>
        </w:tabs>
        <w:spacing w:after="0" w:line="360" w:lineRule="auto"/>
        <w:contextualSpacing/>
        <w:rPr>
          <w:rFonts w:eastAsia="Calibri" w:cs="Tahoma"/>
          <w:b/>
          <w:bCs/>
          <w:color w:val="FF0000"/>
          <w:lang w:val="es-ES"/>
        </w:rPr>
      </w:pPr>
      <w:r>
        <w:rPr>
          <w:rFonts w:eastAsia="Calibri" w:cs="Tahoma"/>
          <w:b/>
          <w:bCs/>
          <w:color w:val="FF0000"/>
          <w:lang w:val="es-ES"/>
        </w:rPr>
        <w:tab/>
      </w:r>
    </w:p>
    <w:p w14:paraId="75D54F3E" w14:textId="7813153D" w:rsidR="00DB3DC5" w:rsidRPr="006A727E" w:rsidRDefault="00DB3DC5" w:rsidP="00570EFD">
      <w:pPr>
        <w:tabs>
          <w:tab w:val="right" w:pos="8838"/>
        </w:tabs>
        <w:spacing w:after="0" w:line="360" w:lineRule="auto"/>
        <w:ind w:left="-113" w:right="-32"/>
        <w:rPr>
          <w:rFonts w:eastAsia="Calibri" w:cs="Tahoma"/>
        </w:rPr>
      </w:pPr>
      <w:r w:rsidRPr="007719F0">
        <w:rPr>
          <w:rFonts w:eastAsia="Calibri" w:cs="Tahoma"/>
          <w:b/>
          <w:bCs/>
          <w:color w:val="auto"/>
          <w:lang w:val="es-ES"/>
        </w:rPr>
        <w:t xml:space="preserve">VISTO </w:t>
      </w:r>
      <w:r w:rsidRPr="007719F0">
        <w:rPr>
          <w:rFonts w:eastAsia="Calibri" w:cs="Tahoma"/>
          <w:color w:val="auto"/>
          <w:lang w:val="es-ES"/>
        </w:rPr>
        <w:t>el expediente electrónico conformado con motivo d</w:t>
      </w:r>
      <w:r w:rsidR="00087796" w:rsidRPr="007719F0">
        <w:rPr>
          <w:rFonts w:eastAsia="Calibri" w:cs="Tahoma"/>
          <w:color w:val="auto"/>
          <w:lang w:val="es-ES"/>
        </w:rPr>
        <w:t>el</w:t>
      </w:r>
      <w:r w:rsidRPr="007719F0">
        <w:rPr>
          <w:rFonts w:eastAsia="Calibri" w:cs="Tahoma"/>
          <w:color w:val="auto"/>
          <w:lang w:val="es-ES"/>
        </w:rPr>
        <w:t xml:space="preserve"> Recurso de Revisión </w:t>
      </w:r>
      <w:r w:rsidR="00630E01" w:rsidRPr="008E4493">
        <w:rPr>
          <w:rFonts w:eastAsia="Calibri" w:cs="Tahoma"/>
          <w:b/>
          <w:bCs/>
          <w:color w:val="auto"/>
        </w:rPr>
        <w:t>13986</w:t>
      </w:r>
      <w:r w:rsidR="00C60B15" w:rsidRPr="008E4493">
        <w:rPr>
          <w:rFonts w:eastAsia="Calibri" w:cs="Tahoma"/>
          <w:b/>
          <w:bCs/>
          <w:color w:val="auto"/>
        </w:rPr>
        <w:t>/INFOEM/IP/RR/2025</w:t>
      </w:r>
      <w:r w:rsidR="00043CDA" w:rsidRPr="00A60574">
        <w:rPr>
          <w:rFonts w:eastAsia="Calibri" w:cs="Tahoma"/>
          <w:bCs/>
          <w:color w:val="auto"/>
        </w:rPr>
        <w:t>,</w:t>
      </w:r>
      <w:r w:rsidRPr="00A60574">
        <w:rPr>
          <w:rFonts w:cs="Tahoma"/>
          <w:bCs/>
          <w:color w:val="auto"/>
        </w:rPr>
        <w:t xml:space="preserve"> en contra de la respuesta del Su</w:t>
      </w:r>
      <w:bookmarkStart w:id="0" w:name="_GoBack"/>
      <w:bookmarkEnd w:id="0"/>
      <w:r w:rsidRPr="00A60574">
        <w:rPr>
          <w:rFonts w:cs="Tahoma"/>
          <w:bCs/>
          <w:color w:val="auto"/>
        </w:rPr>
        <w:t xml:space="preserve">jeto Obligado, </w:t>
      </w:r>
      <w:r w:rsidR="00630E01" w:rsidRPr="008E4493">
        <w:rPr>
          <w:b/>
          <w:bCs/>
          <w:color w:val="000000"/>
        </w:rPr>
        <w:t>Ayuntamiento de Papalotla</w:t>
      </w:r>
      <w:r w:rsidRPr="00A60574">
        <w:rPr>
          <w:rFonts w:cs="Tahoma"/>
          <w:bCs/>
          <w:color w:val="auto"/>
        </w:rPr>
        <w:t xml:space="preserve"> la solicitud de acceso a la información </w:t>
      </w:r>
      <w:r w:rsidR="002C3558" w:rsidRPr="00A60574">
        <w:rPr>
          <w:rFonts w:cs="Tahoma"/>
          <w:bCs/>
          <w:color w:val="auto"/>
        </w:rPr>
        <w:t xml:space="preserve">pública </w:t>
      </w:r>
      <w:r w:rsidR="00101501">
        <w:rPr>
          <w:rFonts w:eastAsia="Calibri" w:cs="Tahoma"/>
          <w:bCs/>
        </w:rPr>
        <w:t xml:space="preserve">00069/PAPALO/IP/2025, </w:t>
      </w:r>
      <w:r w:rsidRPr="00A60574">
        <w:rPr>
          <w:rFonts w:cs="Tahoma"/>
          <w:bCs/>
          <w:color w:val="auto"/>
        </w:rPr>
        <w:t>se emite la presente</w:t>
      </w:r>
      <w:r w:rsidRPr="007719F0">
        <w:rPr>
          <w:rFonts w:cs="Tahoma"/>
          <w:bCs/>
          <w:color w:val="auto"/>
        </w:rPr>
        <w:t xml:space="preserve"> Resolución, con base en los Antecedentes y Considerando</w:t>
      </w:r>
      <w:r w:rsidR="002936E8">
        <w:rPr>
          <w:rFonts w:cs="Tahoma"/>
          <w:bCs/>
          <w:color w:val="auto"/>
        </w:rPr>
        <w:t>s</w:t>
      </w:r>
      <w:r w:rsidRPr="007719F0">
        <w:rPr>
          <w:rFonts w:cs="Tahoma"/>
          <w:bCs/>
          <w:color w:val="auto"/>
        </w:rPr>
        <w:t xml:space="preserve"> que se exponen a continuación:</w:t>
      </w:r>
    </w:p>
    <w:p w14:paraId="134E03A6" w14:textId="5F6E8CA4" w:rsidR="00DB3DC5" w:rsidRPr="00C821DD" w:rsidRDefault="00455DCB" w:rsidP="00570EFD">
      <w:pPr>
        <w:tabs>
          <w:tab w:val="left" w:pos="1965"/>
        </w:tabs>
        <w:spacing w:after="0" w:line="360" w:lineRule="auto"/>
        <w:contextualSpacing/>
        <w:rPr>
          <w:rFonts w:eastAsia="Calibri" w:cs="Tahoma"/>
          <w:b/>
          <w:bCs/>
          <w:color w:val="FF0000"/>
          <w:lang w:val="es-ES"/>
        </w:rPr>
      </w:pPr>
      <w:r>
        <w:rPr>
          <w:rFonts w:eastAsia="Calibri" w:cs="Tahoma"/>
          <w:b/>
          <w:bCs/>
          <w:color w:val="FF0000"/>
          <w:lang w:val="es-ES"/>
        </w:rPr>
        <w:tab/>
      </w:r>
    </w:p>
    <w:p w14:paraId="32EEB02D" w14:textId="734C012B" w:rsidR="00DB3DC5" w:rsidRPr="00A94CDA" w:rsidRDefault="00737CF6" w:rsidP="00570EFD">
      <w:pPr>
        <w:pStyle w:val="Ttulo1"/>
        <w:spacing w:before="0" w:line="360" w:lineRule="auto"/>
        <w:jc w:val="center"/>
        <w:rPr>
          <w:rFonts w:ascii="Palatino Linotype" w:hAnsi="Palatino Linotype"/>
          <w:b/>
          <w:color w:val="000000" w:themeColor="text1"/>
          <w:sz w:val="22"/>
          <w:szCs w:val="22"/>
        </w:rPr>
      </w:pPr>
      <w:bookmarkStart w:id="1" w:name="_Toc226641123"/>
      <w:r w:rsidRPr="00A94CDA">
        <w:rPr>
          <w:rFonts w:ascii="Palatino Linotype" w:hAnsi="Palatino Linotype"/>
          <w:b/>
          <w:color w:val="000000" w:themeColor="text1"/>
          <w:sz w:val="22"/>
          <w:szCs w:val="22"/>
        </w:rPr>
        <w:t>A N T E C E D E N T E S</w:t>
      </w:r>
      <w:bookmarkEnd w:id="1"/>
    </w:p>
    <w:p w14:paraId="09E98305" w14:textId="77777777" w:rsidR="00DB3DC5" w:rsidRPr="00CB16D3" w:rsidRDefault="00DB3DC5" w:rsidP="00570EFD">
      <w:pPr>
        <w:spacing w:after="0" w:line="360" w:lineRule="auto"/>
        <w:contextualSpacing/>
        <w:jc w:val="center"/>
        <w:rPr>
          <w:rFonts w:eastAsia="Calibri" w:cs="Tahoma"/>
          <w:b/>
          <w:bCs/>
          <w:color w:val="auto"/>
          <w:lang w:val="es-ES"/>
        </w:rPr>
      </w:pPr>
    </w:p>
    <w:p w14:paraId="5E541408" w14:textId="7E0BBF99" w:rsidR="00DB3DC5" w:rsidRPr="00076681" w:rsidRDefault="00DB3DC5" w:rsidP="00570EFD">
      <w:pPr>
        <w:pStyle w:val="Ttulo2"/>
        <w:spacing w:before="0" w:line="360" w:lineRule="auto"/>
        <w:rPr>
          <w:rFonts w:ascii="Palatino Linotype" w:eastAsia="Calibri" w:hAnsi="Palatino Linotype"/>
          <w:b/>
          <w:color w:val="000000" w:themeColor="text1"/>
          <w:sz w:val="22"/>
          <w:szCs w:val="22"/>
          <w:lang w:val="es-ES"/>
        </w:rPr>
      </w:pPr>
      <w:bookmarkStart w:id="2" w:name="_Toc226641124"/>
      <w:r w:rsidRPr="00076681">
        <w:rPr>
          <w:rFonts w:ascii="Palatino Linotype" w:eastAsia="Calibri" w:hAnsi="Palatino Linotype"/>
          <w:b/>
          <w:color w:val="000000" w:themeColor="text1"/>
          <w:sz w:val="22"/>
          <w:szCs w:val="22"/>
          <w:lang w:val="es-ES"/>
        </w:rPr>
        <w:t>I. Presentación</w:t>
      </w:r>
      <w:r w:rsidR="00737CF6" w:rsidRPr="00076681">
        <w:rPr>
          <w:rFonts w:ascii="Palatino Linotype" w:eastAsia="Calibri" w:hAnsi="Palatino Linotype"/>
          <w:b/>
          <w:color w:val="000000" w:themeColor="text1"/>
          <w:sz w:val="22"/>
          <w:szCs w:val="22"/>
          <w:lang w:val="es-ES"/>
        </w:rPr>
        <w:t xml:space="preserve"> de la solicitud de información</w:t>
      </w:r>
      <w:bookmarkEnd w:id="2"/>
    </w:p>
    <w:p w14:paraId="5A91601B" w14:textId="77777777" w:rsidR="00DB3DC5" w:rsidRPr="00CB16D3" w:rsidRDefault="00DB3DC5" w:rsidP="00570EFD">
      <w:pPr>
        <w:spacing w:after="0" w:line="360" w:lineRule="auto"/>
        <w:contextualSpacing/>
        <w:rPr>
          <w:rFonts w:eastAsia="Calibri" w:cs="Tahoma"/>
          <w:b/>
          <w:bCs/>
          <w:color w:val="auto"/>
          <w:lang w:val="es-ES"/>
        </w:rPr>
      </w:pPr>
    </w:p>
    <w:p w14:paraId="1620C68D" w14:textId="1B224FD3" w:rsidR="00DB3DC5" w:rsidRPr="00EA6588" w:rsidRDefault="00DB3DC5" w:rsidP="00570EFD">
      <w:pPr>
        <w:spacing w:after="0" w:line="360" w:lineRule="auto"/>
        <w:contextualSpacing/>
        <w:rPr>
          <w:rFonts w:cs="Tahoma"/>
          <w:color w:val="auto"/>
        </w:rPr>
      </w:pPr>
      <w:r w:rsidRPr="00EA6588">
        <w:rPr>
          <w:rFonts w:eastAsia="Calibri" w:cs="Tahoma"/>
          <w:color w:val="auto"/>
          <w:lang w:val="es-ES"/>
        </w:rPr>
        <w:t xml:space="preserve">Con fecha </w:t>
      </w:r>
      <w:r w:rsidR="00101501">
        <w:rPr>
          <w:rFonts w:eastAsia="Calibri" w:cs="Tahoma"/>
          <w:color w:val="auto"/>
          <w:lang w:val="es-ES"/>
        </w:rPr>
        <w:t>tres de noviembre</w:t>
      </w:r>
      <w:r w:rsidR="00200755">
        <w:rPr>
          <w:rFonts w:eastAsia="Calibri" w:cs="Tahoma"/>
          <w:color w:val="auto"/>
          <w:lang w:val="es-ES"/>
        </w:rPr>
        <w:t xml:space="preserve"> </w:t>
      </w:r>
      <w:r w:rsidR="00EA276A">
        <w:rPr>
          <w:rFonts w:eastAsia="Calibri" w:cs="Tahoma"/>
          <w:color w:val="auto"/>
          <w:lang w:val="es-ES"/>
        </w:rPr>
        <w:t xml:space="preserve">de dos mil </w:t>
      </w:r>
      <w:r w:rsidR="00DE71A5">
        <w:rPr>
          <w:rFonts w:eastAsia="Calibri" w:cs="Tahoma"/>
          <w:color w:val="auto"/>
          <w:lang w:val="es-ES"/>
        </w:rPr>
        <w:t>veinticinco</w:t>
      </w:r>
      <w:r w:rsidR="00443417">
        <w:rPr>
          <w:rFonts w:eastAsia="Calibri" w:cs="Tahoma"/>
          <w:color w:val="auto"/>
          <w:lang w:val="es-ES"/>
        </w:rPr>
        <w:t xml:space="preserve">, </w:t>
      </w:r>
      <w:r w:rsidR="0046538F">
        <w:rPr>
          <w:rFonts w:eastAsia="Calibri" w:cs="Tahoma"/>
          <w:color w:val="auto"/>
          <w:lang w:val="es-ES"/>
        </w:rPr>
        <w:t>la persona Solicitante</w:t>
      </w:r>
      <w:r w:rsidRPr="00EA6588">
        <w:rPr>
          <w:rFonts w:eastAsia="Calibri" w:cs="Tahoma"/>
          <w:color w:val="auto"/>
          <w:lang w:val="es-ES"/>
        </w:rPr>
        <w:t xml:space="preserve"> presentó </w:t>
      </w:r>
      <w:r w:rsidR="0046538F">
        <w:rPr>
          <w:rFonts w:eastAsia="Calibri" w:cs="Tahoma"/>
          <w:color w:val="auto"/>
          <w:lang w:val="es-ES"/>
        </w:rPr>
        <w:t>un requerimiento</w:t>
      </w:r>
      <w:r w:rsidR="00087796" w:rsidRPr="00EA6588">
        <w:rPr>
          <w:rFonts w:eastAsia="Calibri" w:cs="Tahoma"/>
          <w:color w:val="auto"/>
          <w:lang w:val="es-ES"/>
        </w:rPr>
        <w:t xml:space="preserve"> </w:t>
      </w:r>
      <w:r w:rsidRPr="00EA6588">
        <w:rPr>
          <w:rFonts w:eastAsia="Calibri" w:cs="Tahoma"/>
          <w:color w:val="auto"/>
          <w:lang w:val="es-ES"/>
        </w:rPr>
        <w:t>de acceso a la información</w:t>
      </w:r>
      <w:r w:rsidR="00A46800">
        <w:rPr>
          <w:rFonts w:eastAsia="Calibri" w:cs="Tahoma"/>
          <w:color w:val="auto"/>
          <w:lang w:val="es-ES"/>
        </w:rPr>
        <w:t xml:space="preserve"> </w:t>
      </w:r>
      <w:r w:rsidR="00A46800" w:rsidRPr="00A46800">
        <w:rPr>
          <w:rFonts w:eastAsia="Palatino Linotype" w:cs="Palatino Linotype"/>
          <w:color w:val="000000"/>
          <w:lang w:eastAsia="es-MX"/>
        </w:rPr>
        <w:t>(</w:t>
      </w:r>
      <w:r w:rsidR="00C60B15" w:rsidRPr="00A46800">
        <w:rPr>
          <w:rFonts w:eastAsia="Palatino Linotype" w:cs="Palatino Linotype"/>
          <w:color w:val="000000"/>
          <w:lang w:eastAsia="es-MX"/>
        </w:rPr>
        <w:t>ya que,</w:t>
      </w:r>
      <w:r w:rsidR="00A46800" w:rsidRPr="00A46800">
        <w:rPr>
          <w:rFonts w:eastAsia="Palatino Linotype" w:cs="Palatino Linotype"/>
          <w:color w:val="000000"/>
          <w:lang w:eastAsia="es-MX"/>
        </w:rPr>
        <w:t xml:space="preserve"> si bien se recibió el </w:t>
      </w:r>
      <w:r w:rsidR="00101501">
        <w:rPr>
          <w:rFonts w:eastAsia="Palatino Linotype" w:cs="Palatino Linotype"/>
          <w:color w:val="000000"/>
          <w:lang w:eastAsia="es-MX"/>
        </w:rPr>
        <w:t>primero de dicho mes y año</w:t>
      </w:r>
      <w:r w:rsidR="00A46800" w:rsidRPr="00A46800">
        <w:rPr>
          <w:rFonts w:eastAsia="Palatino Linotype" w:cs="Palatino Linotype"/>
          <w:color w:val="000000"/>
          <w:lang w:eastAsia="es-MX"/>
        </w:rPr>
        <w:t>, tan bien es que, fue día inhábil</w:t>
      </w:r>
      <w:r w:rsidR="00101501">
        <w:rPr>
          <w:rFonts w:eastAsia="Palatino Linotype" w:cs="Palatino Linotype"/>
          <w:color w:val="000000"/>
          <w:lang w:eastAsia="es-MX"/>
        </w:rPr>
        <w:t>, por lo que se tuvo por registrado el hábil siguiente</w:t>
      </w:r>
      <w:r w:rsidR="00A46800" w:rsidRPr="00A46800">
        <w:rPr>
          <w:rFonts w:eastAsia="Palatino Linotype" w:cs="Palatino Linotype"/>
          <w:color w:val="000000"/>
          <w:lang w:eastAsia="es-MX"/>
        </w:rPr>
        <w:t>)</w:t>
      </w:r>
      <w:r w:rsidRPr="00EA6588">
        <w:rPr>
          <w:rFonts w:eastAsia="Calibri" w:cs="Tahoma"/>
          <w:color w:val="auto"/>
          <w:lang w:val="es-ES"/>
        </w:rPr>
        <w:t xml:space="preserve">, a través del Sistema de Acceso a la Información Mexiquense (SAIMEX), ante </w:t>
      </w:r>
      <w:r w:rsidR="001231B1">
        <w:rPr>
          <w:rFonts w:eastAsia="Calibri" w:cs="Tahoma"/>
          <w:color w:val="auto"/>
          <w:lang w:val="es-ES"/>
        </w:rPr>
        <w:t xml:space="preserve">el </w:t>
      </w:r>
      <w:r w:rsidR="00101501">
        <w:rPr>
          <w:rFonts w:eastAsia="Calibri" w:cs="Tahoma"/>
          <w:color w:val="auto"/>
          <w:lang w:val="es-ES"/>
        </w:rPr>
        <w:t>Ayuntamiento de Papalotla</w:t>
      </w:r>
      <w:r w:rsidR="001231B1">
        <w:rPr>
          <w:rFonts w:eastAsia="Calibri" w:cs="Tahoma"/>
          <w:color w:val="auto"/>
          <w:lang w:val="es-ES"/>
        </w:rPr>
        <w:t>,</w:t>
      </w:r>
      <w:r w:rsidR="00647DF2">
        <w:rPr>
          <w:rFonts w:eastAsia="Calibri" w:cs="Times New Roman"/>
          <w:b/>
          <w:color w:val="auto"/>
        </w:rPr>
        <w:t xml:space="preserve"> </w:t>
      </w:r>
      <w:r w:rsidRPr="00EA6588">
        <w:rPr>
          <w:rFonts w:cs="Tahoma"/>
          <w:color w:val="auto"/>
        </w:rPr>
        <w:t>en los siguientes términos:</w:t>
      </w:r>
    </w:p>
    <w:p w14:paraId="143ECF6C" w14:textId="0F6230CE" w:rsidR="00345BB5" w:rsidRPr="00940303" w:rsidRDefault="00345BB5" w:rsidP="00570EFD">
      <w:pPr>
        <w:tabs>
          <w:tab w:val="left" w:pos="4667"/>
        </w:tabs>
        <w:spacing w:after="0" w:line="360" w:lineRule="auto"/>
        <w:ind w:right="567"/>
        <w:contextualSpacing/>
        <w:rPr>
          <w:rFonts w:cs="Tahoma"/>
          <w:b/>
          <w:bCs/>
          <w:i/>
          <w:color w:val="FF0000"/>
        </w:rPr>
      </w:pPr>
    </w:p>
    <w:p w14:paraId="07987E48" w14:textId="7EFEF85F" w:rsidR="00DE71A5" w:rsidRPr="00DE71A5" w:rsidRDefault="00087796" w:rsidP="00570EFD">
      <w:pPr>
        <w:spacing w:after="0" w:line="360" w:lineRule="auto"/>
        <w:ind w:left="567" w:right="567"/>
        <w:contextualSpacing/>
        <w:rPr>
          <w:rFonts w:eastAsia="Times New Roman" w:cs="Arial"/>
          <w:b/>
          <w:bCs/>
          <w:i/>
          <w:iCs/>
          <w:color w:val="auto"/>
          <w:sz w:val="20"/>
          <w:lang w:eastAsia="es-ES"/>
        </w:rPr>
      </w:pPr>
      <w:r w:rsidRPr="00940303">
        <w:rPr>
          <w:rFonts w:eastAsia="Times New Roman" w:cs="Arial"/>
          <w:b/>
          <w:bCs/>
          <w:i/>
          <w:iCs/>
          <w:color w:val="auto"/>
          <w:sz w:val="20"/>
          <w:lang w:eastAsia="es-ES"/>
        </w:rPr>
        <w:t>“DESCRIPCIÓN CLARA Y PRECISA DE LA INFORMACIÓN SOLICITADA.</w:t>
      </w:r>
    </w:p>
    <w:p w14:paraId="5D13BEEC" w14:textId="096B4BDF" w:rsidR="00087796" w:rsidRPr="000625C9" w:rsidRDefault="00101501" w:rsidP="00570EFD">
      <w:pPr>
        <w:spacing w:after="0" w:line="360" w:lineRule="auto"/>
        <w:ind w:left="567" w:right="567"/>
        <w:rPr>
          <w:rFonts w:eastAsia="Times New Roman" w:cs="Times New Roman"/>
          <w:i/>
          <w:iCs/>
          <w:color w:val="auto"/>
          <w:sz w:val="20"/>
          <w:szCs w:val="20"/>
          <w:lang w:eastAsia="es-MX"/>
        </w:rPr>
      </w:pPr>
      <w:r w:rsidRPr="00101501">
        <w:rPr>
          <w:i/>
          <w:iCs/>
          <w:color w:val="000000"/>
          <w:sz w:val="20"/>
          <w:szCs w:val="20"/>
        </w:rPr>
        <w:t xml:space="preserve">Se solicita el número de obras y construcciones, de carácter privado, que hayan sido suspendidas por la unidad administrativa correspondiente, durante el período del 1 de enero de 2025 a la fecha. Asimismo, se solicita el número de folio de todos y cada uno de los "sellos de suspensión" utilizados por la unidad administrativa que corresponda, precisamente, en la suspensión de todas y cada una de las obras y construcciones privadas durante el periodo del 1 de enero de 2025 a la fecha. </w:t>
      </w:r>
      <w:r w:rsidR="00087796" w:rsidRPr="000625C9">
        <w:rPr>
          <w:rFonts w:eastAsia="Times New Roman" w:cs="Times New Roman"/>
          <w:bCs/>
          <w:i/>
          <w:iCs/>
          <w:color w:val="auto"/>
          <w:sz w:val="20"/>
          <w:szCs w:val="20"/>
          <w:lang w:eastAsia="es-ES"/>
        </w:rPr>
        <w:t xml:space="preserve">(Sic) </w:t>
      </w:r>
    </w:p>
    <w:p w14:paraId="03420A6D" w14:textId="1C5EC3E8" w:rsidR="0046538F" w:rsidRPr="001231B1" w:rsidRDefault="00C91D1B" w:rsidP="00570EFD">
      <w:pPr>
        <w:spacing w:after="0" w:line="360" w:lineRule="auto"/>
        <w:ind w:right="567"/>
        <w:contextualSpacing/>
        <w:rPr>
          <w:rFonts w:eastAsia="Times New Roman" w:cs="Times New Roman"/>
          <w:bCs/>
          <w:i/>
          <w:iCs/>
          <w:color w:val="auto"/>
          <w:sz w:val="20"/>
          <w:szCs w:val="20"/>
          <w:lang w:eastAsia="es-ES"/>
        </w:rPr>
      </w:pPr>
      <w:r w:rsidRPr="001231B1">
        <w:rPr>
          <w:rFonts w:eastAsia="Times New Roman" w:cs="Times New Roman"/>
          <w:bCs/>
          <w:i/>
          <w:iCs/>
          <w:color w:val="auto"/>
          <w:sz w:val="20"/>
          <w:szCs w:val="20"/>
          <w:lang w:eastAsia="es-ES"/>
        </w:rPr>
        <w:t xml:space="preserve">  </w:t>
      </w:r>
      <w:r w:rsidR="004D3404">
        <w:rPr>
          <w:rFonts w:eastAsia="Times New Roman" w:cs="Times New Roman"/>
          <w:bCs/>
          <w:i/>
          <w:iCs/>
          <w:color w:val="auto"/>
          <w:sz w:val="20"/>
          <w:szCs w:val="20"/>
          <w:lang w:eastAsia="es-ES"/>
        </w:rPr>
        <w:t xml:space="preserve"> </w:t>
      </w:r>
    </w:p>
    <w:p w14:paraId="115716E2" w14:textId="77777777" w:rsidR="00087796" w:rsidRPr="00940303" w:rsidRDefault="00087796" w:rsidP="00570EFD">
      <w:pPr>
        <w:spacing w:after="0" w:line="360" w:lineRule="auto"/>
        <w:ind w:left="567" w:right="567"/>
        <w:contextualSpacing/>
        <w:rPr>
          <w:rFonts w:eastAsia="Times New Roman" w:cs="Arial"/>
          <w:b/>
          <w:bCs/>
          <w:i/>
          <w:iCs/>
          <w:color w:val="auto"/>
          <w:sz w:val="20"/>
          <w:lang w:eastAsia="es-ES"/>
        </w:rPr>
      </w:pPr>
      <w:r w:rsidRPr="00940303">
        <w:rPr>
          <w:rFonts w:eastAsia="Times New Roman" w:cs="Arial"/>
          <w:b/>
          <w:bCs/>
          <w:i/>
          <w:iCs/>
          <w:color w:val="auto"/>
          <w:sz w:val="20"/>
          <w:lang w:eastAsia="es-ES"/>
        </w:rPr>
        <w:t>“MODALIDAD DE ENTREGA</w:t>
      </w:r>
    </w:p>
    <w:p w14:paraId="05C0E60D" w14:textId="5AA43E7D" w:rsidR="00345BB5" w:rsidRDefault="00087796" w:rsidP="00570EFD">
      <w:pPr>
        <w:spacing w:after="0" w:line="360" w:lineRule="auto"/>
        <w:ind w:left="567" w:right="567"/>
        <w:contextualSpacing/>
        <w:rPr>
          <w:rFonts w:eastAsia="Times New Roman" w:cs="Arial"/>
          <w:bCs/>
          <w:i/>
          <w:iCs/>
          <w:color w:val="auto"/>
          <w:sz w:val="20"/>
          <w:lang w:eastAsia="es-ES"/>
        </w:rPr>
      </w:pPr>
      <w:r w:rsidRPr="00940303">
        <w:rPr>
          <w:rFonts w:eastAsia="Times New Roman" w:cs="Arial"/>
          <w:bCs/>
          <w:i/>
          <w:iCs/>
          <w:color w:val="auto"/>
          <w:sz w:val="20"/>
          <w:lang w:eastAsia="es-ES"/>
        </w:rPr>
        <w:t>A través del SAIMEX”</w:t>
      </w:r>
    </w:p>
    <w:p w14:paraId="67AB8C3F" w14:textId="77777777" w:rsidR="00A46800" w:rsidRPr="00DF5EAA" w:rsidRDefault="00A46800" w:rsidP="00570EFD">
      <w:pPr>
        <w:spacing w:after="0" w:line="360" w:lineRule="auto"/>
        <w:ind w:left="567" w:right="567"/>
        <w:contextualSpacing/>
        <w:rPr>
          <w:rFonts w:eastAsia="Times New Roman" w:cs="Arial"/>
          <w:bCs/>
          <w:i/>
          <w:iCs/>
          <w:color w:val="auto"/>
          <w:sz w:val="20"/>
          <w:lang w:eastAsia="es-ES"/>
        </w:rPr>
      </w:pPr>
    </w:p>
    <w:p w14:paraId="675E2DC0" w14:textId="1450C066" w:rsidR="00DB3DC5" w:rsidRPr="00076681" w:rsidRDefault="00DB3DC5" w:rsidP="00570EFD">
      <w:pPr>
        <w:pStyle w:val="Ttulo2"/>
        <w:spacing w:before="0" w:line="360" w:lineRule="auto"/>
        <w:rPr>
          <w:rFonts w:ascii="Palatino Linotype" w:eastAsia="Calibri" w:hAnsi="Palatino Linotype"/>
          <w:b/>
          <w:color w:val="000000" w:themeColor="text1"/>
          <w:sz w:val="22"/>
          <w:szCs w:val="22"/>
        </w:rPr>
      </w:pPr>
      <w:bookmarkStart w:id="3" w:name="_Toc226641125"/>
      <w:r w:rsidRPr="00076681">
        <w:rPr>
          <w:rFonts w:ascii="Palatino Linotype" w:eastAsia="Calibri" w:hAnsi="Palatino Linotype"/>
          <w:b/>
          <w:color w:val="000000" w:themeColor="text1"/>
          <w:sz w:val="22"/>
          <w:szCs w:val="22"/>
        </w:rPr>
        <w:t>II. Respuesta</w:t>
      </w:r>
      <w:r w:rsidR="00076681">
        <w:rPr>
          <w:rFonts w:ascii="Palatino Linotype" w:eastAsia="Calibri" w:hAnsi="Palatino Linotype"/>
          <w:b/>
          <w:color w:val="000000" w:themeColor="text1"/>
          <w:sz w:val="22"/>
          <w:szCs w:val="22"/>
        </w:rPr>
        <w:t xml:space="preserve"> del Sujeto Obligado</w:t>
      </w:r>
      <w:bookmarkEnd w:id="3"/>
    </w:p>
    <w:p w14:paraId="6BDD54F7" w14:textId="17108AC3" w:rsidR="00345BB5" w:rsidRPr="00C821DD" w:rsidRDefault="005F2312" w:rsidP="00570EFD">
      <w:pPr>
        <w:spacing w:after="0" w:line="360" w:lineRule="auto"/>
        <w:contextualSpacing/>
        <w:rPr>
          <w:rFonts w:eastAsia="Calibri" w:cs="Tahoma"/>
          <w:b/>
          <w:bCs/>
          <w:color w:val="FF0000"/>
        </w:rPr>
      </w:pPr>
      <w:r>
        <w:rPr>
          <w:rFonts w:eastAsia="Calibri" w:cs="Tahoma"/>
          <w:b/>
          <w:bCs/>
          <w:color w:val="FF0000"/>
        </w:rPr>
        <w:t xml:space="preserve">  </w:t>
      </w:r>
    </w:p>
    <w:p w14:paraId="7BB4E8B1" w14:textId="08E704E7" w:rsidR="00B36FD3" w:rsidRDefault="00345BB5" w:rsidP="00570EFD">
      <w:pPr>
        <w:autoSpaceDE w:val="0"/>
        <w:autoSpaceDN w:val="0"/>
        <w:adjustRightInd w:val="0"/>
        <w:spacing w:after="0" w:line="360" w:lineRule="auto"/>
        <w:rPr>
          <w:rFonts w:cs="Tahoma"/>
          <w:color w:val="auto"/>
          <w:lang w:val="es-ES_tradnl"/>
        </w:rPr>
      </w:pPr>
      <w:r w:rsidRPr="00183736">
        <w:rPr>
          <w:rFonts w:cs="Tahoma"/>
          <w:bCs/>
          <w:color w:val="auto"/>
          <w:lang w:val="es-ES_tradnl"/>
        </w:rPr>
        <w:t xml:space="preserve">Con fecha </w:t>
      </w:r>
      <w:r w:rsidR="00AE422E">
        <w:rPr>
          <w:rFonts w:cs="Tahoma"/>
          <w:bCs/>
          <w:color w:val="auto"/>
          <w:lang w:val="es-ES_tradnl"/>
        </w:rPr>
        <w:t>veinte de noviembre</w:t>
      </w:r>
      <w:r w:rsidR="00C371A9">
        <w:rPr>
          <w:rFonts w:cs="Tahoma"/>
          <w:bCs/>
          <w:color w:val="auto"/>
          <w:lang w:val="es-ES_tradnl"/>
        </w:rPr>
        <w:t xml:space="preserve"> </w:t>
      </w:r>
      <w:r w:rsidR="00EA276A">
        <w:rPr>
          <w:rFonts w:cs="Tahoma"/>
          <w:bCs/>
          <w:color w:val="auto"/>
          <w:lang w:val="es-ES_tradnl"/>
        </w:rPr>
        <w:t>de dos mil</w:t>
      </w:r>
      <w:r w:rsidR="00CA0F13">
        <w:rPr>
          <w:rFonts w:cs="Tahoma"/>
          <w:bCs/>
          <w:color w:val="auto"/>
          <w:lang w:val="es-ES_tradnl"/>
        </w:rPr>
        <w:t xml:space="preserve"> veinticinco</w:t>
      </w:r>
      <w:r w:rsidRPr="00183736">
        <w:rPr>
          <w:rFonts w:cs="Tahoma"/>
          <w:bCs/>
          <w:color w:val="auto"/>
          <w:lang w:val="es-ES_tradnl"/>
        </w:rPr>
        <w:t xml:space="preserve">, </w:t>
      </w:r>
      <w:r w:rsidR="00A62DF4">
        <w:rPr>
          <w:rFonts w:eastAsia="Calibri" w:cs="Tahoma"/>
          <w:color w:val="auto"/>
          <w:lang w:val="es-ES"/>
        </w:rPr>
        <w:t xml:space="preserve">el </w:t>
      </w:r>
      <w:r w:rsidR="00C371A9">
        <w:rPr>
          <w:rFonts w:eastAsia="Calibri" w:cs="Tahoma"/>
          <w:color w:val="auto"/>
          <w:lang w:val="es-ES"/>
        </w:rPr>
        <w:t>Sujeto Obligado</w:t>
      </w:r>
      <w:r w:rsidRPr="00183736">
        <w:rPr>
          <w:rFonts w:cs="Tahoma"/>
          <w:bCs/>
          <w:color w:val="auto"/>
          <w:lang w:val="es-ES_tradnl"/>
        </w:rPr>
        <w:t xml:space="preserve">, notificó la respuesta a la solicitud, a través del Sistema de Acceso a la Información Mexiquense (SAIMEX), mediante </w:t>
      </w:r>
      <w:bookmarkStart w:id="4" w:name="_Hlk101903429"/>
      <w:r w:rsidR="0046538F">
        <w:rPr>
          <w:rFonts w:cs="Tahoma"/>
          <w:bCs/>
          <w:color w:val="auto"/>
          <w:lang w:val="es-ES_tradnl"/>
        </w:rPr>
        <w:t xml:space="preserve">la digitalización </w:t>
      </w:r>
      <w:bookmarkEnd w:id="4"/>
      <w:r w:rsidR="00AE422E">
        <w:rPr>
          <w:rFonts w:cs="Tahoma"/>
          <w:bCs/>
          <w:color w:val="auto"/>
          <w:lang w:val="es-ES_tradnl"/>
        </w:rPr>
        <w:t>del o</w:t>
      </w:r>
      <w:r w:rsidR="002E166B" w:rsidRPr="007D7B37">
        <w:rPr>
          <w:rFonts w:cs="Tahoma"/>
          <w:color w:val="auto"/>
          <w:lang w:val="es-ES_tradnl"/>
        </w:rPr>
        <w:t>ficio</w:t>
      </w:r>
      <w:r w:rsidR="00AE422E">
        <w:rPr>
          <w:rFonts w:cs="Tahoma"/>
          <w:color w:val="auto"/>
          <w:lang w:val="es-ES_tradnl"/>
        </w:rPr>
        <w:t xml:space="preserve"> sin</w:t>
      </w:r>
      <w:r w:rsidR="002E166B" w:rsidRPr="007D7B37">
        <w:rPr>
          <w:rFonts w:cs="Tahoma"/>
          <w:color w:val="auto"/>
          <w:lang w:val="es-ES_tradnl"/>
        </w:rPr>
        <w:t xml:space="preserve"> número, </w:t>
      </w:r>
      <w:r w:rsidR="00B4778C">
        <w:rPr>
          <w:rFonts w:cs="Tahoma"/>
          <w:color w:val="auto"/>
          <w:lang w:val="es-ES_tradnl"/>
        </w:rPr>
        <w:t>de la misma fecha de recepción</w:t>
      </w:r>
      <w:r w:rsidR="002E166B" w:rsidRPr="007D7B37">
        <w:rPr>
          <w:rFonts w:cs="Tahoma"/>
          <w:color w:val="auto"/>
          <w:lang w:val="es-ES_tradnl"/>
        </w:rPr>
        <w:t xml:space="preserve">, suscrito por </w:t>
      </w:r>
      <w:r w:rsidR="00AE422E">
        <w:rPr>
          <w:rFonts w:cs="Tahoma"/>
          <w:color w:val="auto"/>
          <w:lang w:val="es-ES_tradnl"/>
        </w:rPr>
        <w:t>el Titular</w:t>
      </w:r>
      <w:r w:rsidR="00C371A9">
        <w:rPr>
          <w:rFonts w:cs="Tahoma"/>
          <w:color w:val="auto"/>
          <w:lang w:val="es-ES_tradnl"/>
        </w:rPr>
        <w:t xml:space="preserve"> de la Unidad </w:t>
      </w:r>
      <w:r w:rsidR="00AE422E">
        <w:rPr>
          <w:rFonts w:cs="Tahoma"/>
          <w:color w:val="auto"/>
          <w:lang w:val="es-ES_tradnl"/>
        </w:rPr>
        <w:t xml:space="preserve">de Transparencia </w:t>
      </w:r>
      <w:r w:rsidR="002E166B" w:rsidRPr="007D7B37">
        <w:rPr>
          <w:rFonts w:cs="Tahoma"/>
          <w:color w:val="auto"/>
          <w:lang w:val="es-ES_tradnl"/>
        </w:rPr>
        <w:t xml:space="preserve">y dirigido al Solicitante, por medio del cual </w:t>
      </w:r>
      <w:r w:rsidR="00AE422E">
        <w:rPr>
          <w:rFonts w:cs="Tahoma"/>
          <w:color w:val="auto"/>
          <w:lang w:val="es-ES_tradnl"/>
        </w:rPr>
        <w:t>señaló lo siguiente:</w:t>
      </w:r>
    </w:p>
    <w:p w14:paraId="0883270C" w14:textId="77777777" w:rsidR="00AE422E" w:rsidRDefault="00AE422E" w:rsidP="00570EFD">
      <w:pPr>
        <w:autoSpaceDE w:val="0"/>
        <w:autoSpaceDN w:val="0"/>
        <w:adjustRightInd w:val="0"/>
        <w:spacing w:after="0" w:line="360" w:lineRule="auto"/>
        <w:rPr>
          <w:rFonts w:cs="Tahoma"/>
          <w:color w:val="auto"/>
          <w:lang w:val="es-ES_tradnl"/>
        </w:rPr>
      </w:pPr>
    </w:p>
    <w:p w14:paraId="3445EBF0" w14:textId="29650729" w:rsidR="00AE422E" w:rsidRDefault="00AE422E" w:rsidP="00570EFD">
      <w:pPr>
        <w:autoSpaceDE w:val="0"/>
        <w:autoSpaceDN w:val="0"/>
        <w:adjustRightInd w:val="0"/>
        <w:spacing w:after="0" w:line="360" w:lineRule="auto"/>
        <w:ind w:left="567" w:right="567"/>
        <w:rPr>
          <w:rFonts w:cs="Tahoma"/>
          <w:i/>
          <w:iCs/>
          <w:color w:val="auto"/>
          <w:sz w:val="20"/>
          <w:szCs w:val="20"/>
          <w:lang w:val="es-ES_tradnl"/>
        </w:rPr>
      </w:pPr>
      <w:r w:rsidRPr="00AE422E">
        <w:rPr>
          <w:rFonts w:cs="Tahoma"/>
          <w:i/>
          <w:iCs/>
          <w:color w:val="auto"/>
          <w:sz w:val="20"/>
          <w:szCs w:val="20"/>
          <w:lang w:val="es-ES_tradnl"/>
        </w:rPr>
        <w:t>“…</w:t>
      </w:r>
    </w:p>
    <w:p w14:paraId="02E19916" w14:textId="77777777" w:rsidR="00AE422E" w:rsidRDefault="00AE422E" w:rsidP="00570EFD">
      <w:pPr>
        <w:autoSpaceDE w:val="0"/>
        <w:autoSpaceDN w:val="0"/>
        <w:adjustRightInd w:val="0"/>
        <w:spacing w:after="0" w:line="360" w:lineRule="auto"/>
        <w:ind w:left="567" w:right="567"/>
        <w:rPr>
          <w:rFonts w:cs="Tahoma"/>
          <w:i/>
          <w:iCs/>
          <w:color w:val="auto"/>
          <w:sz w:val="20"/>
          <w:szCs w:val="20"/>
        </w:rPr>
      </w:pPr>
      <w:r w:rsidRPr="00AE422E">
        <w:rPr>
          <w:rFonts w:cs="Tahoma"/>
          <w:i/>
          <w:iCs/>
          <w:color w:val="auto"/>
          <w:sz w:val="20"/>
          <w:szCs w:val="20"/>
        </w:rPr>
        <w:t xml:space="preserve">En atención a su solicitud, derivado de la búsqueda realizada en las áreas competentes, se informa que, con fundamento en los artículos 3, 4, 113, 116 y 120 de la Ley General de Transparencia y Acceso a la Información Pública, la información solicitada sobre obras o construcciones privadas que hayan sido suspendidas, así como los folios de los sellos suspendidos, contiene datos que pueden identificar directa o indirectamente a personas físicas o morales privadas, como propietarios, responsables de obra o domicilios particulares. Por tanto, se considera información confidencial. </w:t>
      </w:r>
    </w:p>
    <w:p w14:paraId="488B0982" w14:textId="77777777" w:rsidR="00AE422E" w:rsidRDefault="00AE422E" w:rsidP="00570EFD">
      <w:pPr>
        <w:autoSpaceDE w:val="0"/>
        <w:autoSpaceDN w:val="0"/>
        <w:adjustRightInd w:val="0"/>
        <w:spacing w:after="0" w:line="360" w:lineRule="auto"/>
        <w:ind w:left="567" w:right="567"/>
        <w:rPr>
          <w:rFonts w:cs="Tahoma"/>
          <w:i/>
          <w:iCs/>
          <w:color w:val="auto"/>
          <w:sz w:val="20"/>
          <w:szCs w:val="20"/>
        </w:rPr>
      </w:pPr>
    </w:p>
    <w:p w14:paraId="6E1202EC" w14:textId="77777777" w:rsidR="00711CCF" w:rsidRDefault="00AE422E" w:rsidP="00570EFD">
      <w:pPr>
        <w:autoSpaceDE w:val="0"/>
        <w:autoSpaceDN w:val="0"/>
        <w:adjustRightInd w:val="0"/>
        <w:spacing w:after="0" w:line="360" w:lineRule="auto"/>
        <w:ind w:left="567" w:right="567"/>
        <w:rPr>
          <w:rFonts w:cs="Tahoma"/>
          <w:i/>
          <w:iCs/>
          <w:color w:val="auto"/>
          <w:sz w:val="20"/>
          <w:szCs w:val="20"/>
        </w:rPr>
      </w:pPr>
      <w:r w:rsidRPr="00AE422E">
        <w:rPr>
          <w:rFonts w:cs="Tahoma"/>
          <w:i/>
          <w:iCs/>
          <w:color w:val="auto"/>
          <w:sz w:val="20"/>
          <w:szCs w:val="20"/>
        </w:rPr>
        <w:t xml:space="preserve">La divulgación de dicha información podría vulnerar el derecho a la privacidad y protección de datos personales de terceros. Asimismo, dado que los folios de los sellos están vinculados a expedientes que contienen datos personales y no es posible disociarlos sin afectar la integridad del documento, no es viable entregar una versión pública testada que cumpla con los principios de transparencia y protección de datos personales. Es importante resaltar que, si existiera procedimientos administrativos en curso relacionados con inspecciones, clausuras o suspensiones de obra privada, dicha información formaría parte de actuaciones administrativas, cuya divulgación vulneraría: </w:t>
      </w:r>
    </w:p>
    <w:p w14:paraId="2F454BB7" w14:textId="77777777" w:rsidR="00711CCF" w:rsidRDefault="00711CCF" w:rsidP="00570EFD">
      <w:pPr>
        <w:autoSpaceDE w:val="0"/>
        <w:autoSpaceDN w:val="0"/>
        <w:adjustRightInd w:val="0"/>
        <w:spacing w:after="0" w:line="360" w:lineRule="auto"/>
        <w:ind w:left="567" w:right="567"/>
        <w:rPr>
          <w:rFonts w:cs="Tahoma"/>
          <w:i/>
          <w:iCs/>
          <w:color w:val="auto"/>
          <w:sz w:val="20"/>
          <w:szCs w:val="20"/>
        </w:rPr>
      </w:pPr>
    </w:p>
    <w:p w14:paraId="5C038867" w14:textId="77777777" w:rsidR="00711CCF" w:rsidRPr="00711CCF" w:rsidRDefault="00AE422E" w:rsidP="00570EFD">
      <w:pPr>
        <w:pStyle w:val="Prrafodelista"/>
        <w:numPr>
          <w:ilvl w:val="0"/>
          <w:numId w:val="40"/>
        </w:numPr>
        <w:autoSpaceDE w:val="0"/>
        <w:autoSpaceDN w:val="0"/>
        <w:adjustRightInd w:val="0"/>
        <w:spacing w:after="0" w:line="360" w:lineRule="auto"/>
        <w:ind w:right="567"/>
        <w:rPr>
          <w:rFonts w:cs="Tahoma"/>
          <w:i/>
          <w:iCs/>
          <w:color w:val="auto"/>
          <w:sz w:val="20"/>
          <w:szCs w:val="20"/>
        </w:rPr>
      </w:pPr>
      <w:r w:rsidRPr="00711CCF">
        <w:rPr>
          <w:rFonts w:cs="Tahoma"/>
          <w:i/>
          <w:iCs/>
          <w:color w:val="auto"/>
          <w:sz w:val="20"/>
          <w:szCs w:val="20"/>
        </w:rPr>
        <w:t xml:space="preserve">El debido proceso administrativo de las personas involucradas </w:t>
      </w:r>
    </w:p>
    <w:p w14:paraId="7C0A43FF" w14:textId="77777777" w:rsidR="00711CCF" w:rsidRPr="00711CCF" w:rsidRDefault="00AE422E" w:rsidP="00570EFD">
      <w:pPr>
        <w:pStyle w:val="Prrafodelista"/>
        <w:numPr>
          <w:ilvl w:val="0"/>
          <w:numId w:val="40"/>
        </w:numPr>
        <w:autoSpaceDE w:val="0"/>
        <w:autoSpaceDN w:val="0"/>
        <w:adjustRightInd w:val="0"/>
        <w:spacing w:after="0" w:line="360" w:lineRule="auto"/>
        <w:ind w:right="567"/>
        <w:rPr>
          <w:rFonts w:cs="Tahoma"/>
          <w:i/>
          <w:iCs/>
          <w:color w:val="auto"/>
          <w:sz w:val="20"/>
          <w:szCs w:val="20"/>
        </w:rPr>
      </w:pPr>
      <w:r w:rsidRPr="00711CCF">
        <w:rPr>
          <w:rFonts w:cs="Tahoma"/>
          <w:i/>
          <w:iCs/>
          <w:color w:val="auto"/>
          <w:sz w:val="20"/>
          <w:szCs w:val="20"/>
        </w:rPr>
        <w:t xml:space="preserve">La presunción de licitud y derechos de particulares </w:t>
      </w:r>
    </w:p>
    <w:p w14:paraId="089C8219" w14:textId="77777777" w:rsidR="00711CCF" w:rsidRPr="00711CCF" w:rsidRDefault="00AE422E" w:rsidP="00570EFD">
      <w:pPr>
        <w:pStyle w:val="Prrafodelista"/>
        <w:numPr>
          <w:ilvl w:val="0"/>
          <w:numId w:val="40"/>
        </w:numPr>
        <w:autoSpaceDE w:val="0"/>
        <w:autoSpaceDN w:val="0"/>
        <w:adjustRightInd w:val="0"/>
        <w:spacing w:after="0" w:line="360" w:lineRule="auto"/>
        <w:ind w:right="567"/>
        <w:rPr>
          <w:rFonts w:cs="Tahoma"/>
          <w:i/>
          <w:iCs/>
          <w:color w:val="auto"/>
          <w:sz w:val="20"/>
          <w:szCs w:val="20"/>
        </w:rPr>
      </w:pPr>
      <w:r w:rsidRPr="00711CCF">
        <w:rPr>
          <w:rFonts w:cs="Tahoma"/>
          <w:i/>
          <w:iCs/>
          <w:color w:val="auto"/>
          <w:sz w:val="20"/>
          <w:szCs w:val="20"/>
        </w:rPr>
        <w:t xml:space="preserve">La eficacia de la función inspectora y de control urbano </w:t>
      </w:r>
    </w:p>
    <w:p w14:paraId="5EC9FB9A" w14:textId="30DF7BC8" w:rsidR="00AE422E" w:rsidRPr="00711CCF" w:rsidRDefault="00AE422E" w:rsidP="00570EFD">
      <w:pPr>
        <w:pStyle w:val="Prrafodelista"/>
        <w:numPr>
          <w:ilvl w:val="0"/>
          <w:numId w:val="40"/>
        </w:numPr>
        <w:autoSpaceDE w:val="0"/>
        <w:autoSpaceDN w:val="0"/>
        <w:adjustRightInd w:val="0"/>
        <w:spacing w:after="0" w:line="360" w:lineRule="auto"/>
        <w:ind w:right="567"/>
        <w:rPr>
          <w:rFonts w:cs="Tahoma"/>
          <w:i/>
          <w:iCs/>
          <w:color w:val="auto"/>
          <w:sz w:val="20"/>
          <w:szCs w:val="20"/>
          <w:lang w:val="es-ES_tradnl"/>
        </w:rPr>
      </w:pPr>
      <w:r w:rsidRPr="00711CCF">
        <w:rPr>
          <w:rFonts w:cs="Tahoma"/>
          <w:i/>
          <w:iCs/>
          <w:color w:val="auto"/>
          <w:sz w:val="20"/>
          <w:szCs w:val="20"/>
        </w:rPr>
        <w:t>La competencia municipal en materia de desarrollo urbano y disciplina administrativa</w:t>
      </w:r>
    </w:p>
    <w:p w14:paraId="2BC34770" w14:textId="77777777" w:rsidR="00B662D6" w:rsidRDefault="00B662D6" w:rsidP="00570EFD">
      <w:pPr>
        <w:autoSpaceDE w:val="0"/>
        <w:autoSpaceDN w:val="0"/>
        <w:adjustRightInd w:val="0"/>
        <w:spacing w:after="0" w:line="360" w:lineRule="auto"/>
        <w:ind w:left="567" w:right="567"/>
        <w:rPr>
          <w:rFonts w:cs="Tahoma"/>
          <w:i/>
          <w:iCs/>
          <w:color w:val="auto"/>
          <w:sz w:val="20"/>
          <w:szCs w:val="20"/>
          <w:lang w:val="es-ES_tradnl"/>
        </w:rPr>
      </w:pPr>
    </w:p>
    <w:p w14:paraId="1143CE5A" w14:textId="3AA18263" w:rsidR="00AE422E" w:rsidRPr="00AE422E" w:rsidRDefault="00B662D6" w:rsidP="00570EFD">
      <w:pPr>
        <w:autoSpaceDE w:val="0"/>
        <w:autoSpaceDN w:val="0"/>
        <w:adjustRightInd w:val="0"/>
        <w:spacing w:after="0" w:line="360" w:lineRule="auto"/>
        <w:ind w:left="567" w:right="567"/>
        <w:rPr>
          <w:rFonts w:cs="Tahoma"/>
          <w:i/>
          <w:iCs/>
          <w:color w:val="auto"/>
          <w:sz w:val="20"/>
          <w:szCs w:val="20"/>
          <w:lang w:val="es-ES_tradnl"/>
        </w:rPr>
      </w:pPr>
      <w:r w:rsidRPr="00B662D6">
        <w:rPr>
          <w:rFonts w:cs="Tahoma"/>
          <w:i/>
          <w:iCs/>
          <w:color w:val="auto"/>
          <w:sz w:val="20"/>
          <w:szCs w:val="20"/>
        </w:rPr>
        <w:t>Esperando que la información proporcionada por este Sujeto Obligado se de conformidad, se le informa que SAIMEX, es para proporcionar información pública contenida en los documentos que los sujetos obligados posean, archiven, generen o administren, esto de conformidad con el arábigo 12 párrafo segundo de la Ley de Transparencia y Acceso a la Información Pública del Estado de México y Municipios</w:t>
      </w:r>
      <w:r w:rsidR="00AE422E" w:rsidRPr="00AE422E">
        <w:rPr>
          <w:rFonts w:cs="Tahoma"/>
          <w:i/>
          <w:iCs/>
          <w:color w:val="auto"/>
          <w:sz w:val="20"/>
          <w:szCs w:val="20"/>
          <w:lang w:val="es-ES_tradnl"/>
        </w:rPr>
        <w:t>…”</w:t>
      </w:r>
    </w:p>
    <w:p w14:paraId="45376E65" w14:textId="77777777" w:rsidR="00DD0E44" w:rsidRPr="00CA0F13" w:rsidRDefault="00DD0E44" w:rsidP="00570EFD">
      <w:pPr>
        <w:autoSpaceDE w:val="0"/>
        <w:autoSpaceDN w:val="0"/>
        <w:adjustRightInd w:val="0"/>
        <w:spacing w:after="0" w:line="360" w:lineRule="auto"/>
        <w:ind w:right="567"/>
        <w:rPr>
          <w:rFonts w:cs="Tahoma"/>
          <w:color w:val="FF0000"/>
          <w:lang w:val="es-ES_tradnl"/>
        </w:rPr>
      </w:pPr>
    </w:p>
    <w:p w14:paraId="6867D521" w14:textId="58DAE107" w:rsidR="00DB3DC5" w:rsidRPr="00076681" w:rsidRDefault="00DB3DC5" w:rsidP="00570EFD">
      <w:pPr>
        <w:pStyle w:val="Ttulo2"/>
        <w:spacing w:before="0" w:line="360" w:lineRule="auto"/>
        <w:rPr>
          <w:rFonts w:ascii="Palatino Linotype" w:eastAsia="Calibri" w:hAnsi="Palatino Linotype"/>
          <w:b/>
          <w:color w:val="000000" w:themeColor="text1"/>
          <w:sz w:val="22"/>
          <w:szCs w:val="22"/>
        </w:rPr>
      </w:pPr>
      <w:bookmarkStart w:id="5" w:name="_Toc226641126"/>
      <w:r w:rsidRPr="00076681">
        <w:rPr>
          <w:rFonts w:ascii="Palatino Linotype" w:eastAsia="Calibri" w:hAnsi="Palatino Linotype"/>
          <w:b/>
          <w:color w:val="000000" w:themeColor="text1"/>
          <w:sz w:val="22"/>
          <w:szCs w:val="22"/>
        </w:rPr>
        <w:t>III. Interpo</w:t>
      </w:r>
      <w:r w:rsidR="00076681" w:rsidRPr="00076681">
        <w:rPr>
          <w:rFonts w:ascii="Palatino Linotype" w:eastAsia="Calibri" w:hAnsi="Palatino Linotype"/>
          <w:b/>
          <w:color w:val="000000" w:themeColor="text1"/>
          <w:sz w:val="22"/>
          <w:szCs w:val="22"/>
        </w:rPr>
        <w:t>sición del Recurso de Revisión</w:t>
      </w:r>
      <w:bookmarkEnd w:id="5"/>
    </w:p>
    <w:p w14:paraId="462885A3" w14:textId="0A7E0BFD" w:rsidR="009A627C" w:rsidRPr="00C821DD" w:rsidRDefault="002226A7" w:rsidP="00570EFD">
      <w:pPr>
        <w:spacing w:after="0" w:line="360" w:lineRule="auto"/>
        <w:contextualSpacing/>
        <w:rPr>
          <w:rFonts w:eastAsia="Times New Roman" w:cs="Tahoma"/>
          <w:bCs/>
          <w:color w:val="FF0000"/>
          <w:lang w:eastAsia="es-ES"/>
        </w:rPr>
      </w:pPr>
      <w:r>
        <w:rPr>
          <w:rFonts w:eastAsia="Times New Roman" w:cs="Tahoma"/>
          <w:bCs/>
          <w:color w:val="FF0000"/>
          <w:lang w:eastAsia="es-ES"/>
        </w:rPr>
        <w:t xml:space="preserve"> </w:t>
      </w:r>
    </w:p>
    <w:p w14:paraId="240D95DA" w14:textId="5E7644F3" w:rsidR="00DB3DC5" w:rsidRPr="007E364C" w:rsidRDefault="00DB3DC5" w:rsidP="00570EFD">
      <w:pPr>
        <w:widowControl w:val="0"/>
        <w:spacing w:after="0" w:line="360" w:lineRule="auto"/>
        <w:contextualSpacing/>
        <w:rPr>
          <w:rFonts w:eastAsia="Calibri" w:cs="Times New Roman"/>
          <w:bCs/>
          <w:color w:val="auto"/>
        </w:rPr>
      </w:pPr>
      <w:r w:rsidRPr="007E364C">
        <w:rPr>
          <w:rFonts w:eastAsia="Calibri" w:cs="Times New Roman"/>
          <w:bCs/>
          <w:color w:val="auto"/>
        </w:rPr>
        <w:t xml:space="preserve">Con fecha </w:t>
      </w:r>
      <w:r w:rsidR="00B662D6">
        <w:rPr>
          <w:rFonts w:eastAsia="Calibri" w:cs="Times New Roman"/>
          <w:bCs/>
          <w:color w:val="auto"/>
        </w:rPr>
        <w:t>nueve de diciembre</w:t>
      </w:r>
      <w:r w:rsidR="004668D3">
        <w:rPr>
          <w:rFonts w:eastAsia="Calibri" w:cs="Times New Roman"/>
          <w:bCs/>
          <w:color w:val="auto"/>
        </w:rPr>
        <w:t xml:space="preserve"> </w:t>
      </w:r>
      <w:r w:rsidR="00E40ED9">
        <w:rPr>
          <w:rFonts w:eastAsia="Calibri" w:cs="Times New Roman"/>
          <w:bCs/>
          <w:color w:val="auto"/>
        </w:rPr>
        <w:t>de dos mil veinticinco</w:t>
      </w:r>
      <w:r w:rsidRPr="007E364C">
        <w:rPr>
          <w:rFonts w:eastAsia="Calibri" w:cs="Times New Roman"/>
          <w:bCs/>
          <w:color w:val="auto"/>
        </w:rPr>
        <w:t xml:space="preserve">, </w:t>
      </w:r>
      <w:r w:rsidRPr="007E364C">
        <w:rPr>
          <w:rFonts w:eastAsia="Calibri" w:cs="Times New Roman"/>
          <w:bCs/>
          <w:color w:val="auto"/>
          <w:lang w:val="es-ES"/>
        </w:rPr>
        <w:t xml:space="preserve">se recibió en este Instituto, a través del Sistema de Acceso a la Información Mexiquense (SAIMEX), </w:t>
      </w:r>
      <w:r w:rsidR="00002991" w:rsidRPr="007E364C">
        <w:rPr>
          <w:rFonts w:eastAsia="Calibri" w:cs="Times New Roman"/>
          <w:bCs/>
          <w:color w:val="auto"/>
          <w:lang w:val="es-ES"/>
        </w:rPr>
        <w:t>el</w:t>
      </w:r>
      <w:r w:rsidR="006A0867" w:rsidRPr="007E364C">
        <w:rPr>
          <w:rFonts w:eastAsia="Calibri" w:cs="Times New Roman"/>
          <w:bCs/>
          <w:color w:val="auto"/>
          <w:lang w:val="es-ES"/>
        </w:rPr>
        <w:t xml:space="preserve"> </w:t>
      </w:r>
      <w:r w:rsidRPr="007E364C">
        <w:rPr>
          <w:rFonts w:eastAsia="Calibri" w:cs="Times New Roman"/>
          <w:bCs/>
          <w:color w:val="auto"/>
          <w:lang w:val="es-ES"/>
        </w:rPr>
        <w:t>Recurso de Revisión interpuesto por la parte Recurrente, en contra de la respuesta del Sujeto Obligado</w:t>
      </w:r>
      <w:r w:rsidR="003B5DA8">
        <w:rPr>
          <w:rFonts w:eastAsia="Calibri" w:cs="Times New Roman"/>
          <w:color w:val="auto"/>
        </w:rPr>
        <w:t>,</w:t>
      </w:r>
      <w:r w:rsidR="005400EE" w:rsidRPr="007E364C">
        <w:rPr>
          <w:rFonts w:eastAsia="Calibri" w:cs="Times New Roman"/>
          <w:color w:val="auto"/>
        </w:rPr>
        <w:t xml:space="preserve"> </w:t>
      </w:r>
      <w:r w:rsidRPr="007E364C">
        <w:rPr>
          <w:rFonts w:eastAsia="Times New Roman" w:cs="Tahoma"/>
          <w:bCs/>
          <w:color w:val="auto"/>
          <w:lang w:val="es-ES" w:eastAsia="es-ES"/>
        </w:rPr>
        <w:t>en los siguientes términos:</w:t>
      </w:r>
    </w:p>
    <w:p w14:paraId="383A8105" w14:textId="77777777" w:rsidR="00DB3DC5" w:rsidRPr="00C821DD" w:rsidRDefault="00DB3DC5" w:rsidP="00570EFD">
      <w:pPr>
        <w:tabs>
          <w:tab w:val="left" w:pos="4667"/>
        </w:tabs>
        <w:spacing w:after="0" w:line="360" w:lineRule="auto"/>
        <w:ind w:left="567" w:right="567"/>
        <w:contextualSpacing/>
        <w:rPr>
          <w:rFonts w:cs="Tahoma"/>
          <w:b/>
          <w:bCs/>
          <w:i/>
          <w:color w:val="FF0000"/>
          <w:sz w:val="20"/>
          <w:szCs w:val="20"/>
        </w:rPr>
      </w:pPr>
    </w:p>
    <w:p w14:paraId="0E422949" w14:textId="77777777" w:rsidR="006A0867" w:rsidRPr="003100A7" w:rsidRDefault="006A0867" w:rsidP="00570EFD">
      <w:pPr>
        <w:tabs>
          <w:tab w:val="left" w:pos="4667"/>
        </w:tabs>
        <w:spacing w:after="0" w:line="360" w:lineRule="auto"/>
        <w:ind w:left="567" w:right="567"/>
        <w:rPr>
          <w:b/>
          <w:i/>
          <w:iCs/>
          <w:color w:val="auto"/>
          <w:sz w:val="20"/>
          <w:szCs w:val="20"/>
        </w:rPr>
      </w:pPr>
      <w:r w:rsidRPr="003100A7">
        <w:rPr>
          <w:b/>
          <w:i/>
          <w:iCs/>
          <w:color w:val="auto"/>
          <w:sz w:val="20"/>
          <w:szCs w:val="20"/>
        </w:rPr>
        <w:t>“ACTO IMPUGNADO</w:t>
      </w:r>
    </w:p>
    <w:p w14:paraId="199F28DE" w14:textId="797944DA" w:rsidR="006A0867" w:rsidRPr="003100A7" w:rsidRDefault="00B662D6" w:rsidP="00570EFD">
      <w:pPr>
        <w:tabs>
          <w:tab w:val="left" w:pos="4667"/>
        </w:tabs>
        <w:spacing w:after="0" w:line="360" w:lineRule="auto"/>
        <w:ind w:left="567" w:right="567"/>
        <w:rPr>
          <w:i/>
          <w:iCs/>
          <w:color w:val="auto"/>
          <w:sz w:val="20"/>
          <w:szCs w:val="20"/>
        </w:rPr>
      </w:pPr>
      <w:r w:rsidRPr="00B662D6">
        <w:rPr>
          <w:i/>
          <w:iCs/>
          <w:color w:val="000000"/>
          <w:sz w:val="20"/>
          <w:szCs w:val="20"/>
        </w:rPr>
        <w:t>Respuesta del Sujeto Obligado</w:t>
      </w:r>
      <w:r w:rsidR="006A0867" w:rsidRPr="003100A7">
        <w:rPr>
          <w:i/>
          <w:iCs/>
          <w:color w:val="auto"/>
          <w:sz w:val="20"/>
          <w:szCs w:val="20"/>
        </w:rPr>
        <w:t>” (Sic.)</w:t>
      </w:r>
    </w:p>
    <w:p w14:paraId="349885DE" w14:textId="77777777" w:rsidR="006A0867" w:rsidRPr="003100A7" w:rsidRDefault="006A0867" w:rsidP="00570EFD">
      <w:pPr>
        <w:tabs>
          <w:tab w:val="left" w:pos="4667"/>
        </w:tabs>
        <w:spacing w:after="0" w:line="360" w:lineRule="auto"/>
        <w:ind w:left="567" w:right="567"/>
        <w:rPr>
          <w:rFonts w:cs="Tahoma"/>
          <w:bCs/>
          <w:i/>
          <w:iCs/>
          <w:color w:val="FF0000"/>
          <w:sz w:val="20"/>
          <w:szCs w:val="20"/>
        </w:rPr>
      </w:pPr>
    </w:p>
    <w:p w14:paraId="09EF88BF" w14:textId="77777777" w:rsidR="006A0867" w:rsidRPr="003100A7" w:rsidRDefault="006A0867" w:rsidP="00570EFD">
      <w:pPr>
        <w:tabs>
          <w:tab w:val="left" w:pos="4667"/>
        </w:tabs>
        <w:spacing w:after="0" w:line="360" w:lineRule="auto"/>
        <w:ind w:left="567" w:right="567"/>
        <w:rPr>
          <w:rFonts w:cs="Tahoma"/>
          <w:b/>
          <w:bCs/>
          <w:i/>
          <w:iCs/>
          <w:color w:val="auto"/>
          <w:sz w:val="20"/>
          <w:szCs w:val="20"/>
        </w:rPr>
      </w:pPr>
      <w:r w:rsidRPr="003100A7">
        <w:rPr>
          <w:rFonts w:cs="Tahoma"/>
          <w:b/>
          <w:bCs/>
          <w:i/>
          <w:iCs/>
          <w:color w:val="auto"/>
          <w:sz w:val="20"/>
          <w:szCs w:val="20"/>
        </w:rPr>
        <w:t>“RAZONES O MOTIVOS DE LA INCONFORMIDAD</w:t>
      </w:r>
    </w:p>
    <w:p w14:paraId="702646C1" w14:textId="6128B2B7" w:rsidR="00667107" w:rsidRDefault="00B662D6" w:rsidP="00570EFD">
      <w:pPr>
        <w:tabs>
          <w:tab w:val="left" w:pos="4667"/>
        </w:tabs>
        <w:spacing w:after="0" w:line="360" w:lineRule="auto"/>
        <w:ind w:left="567" w:right="567"/>
        <w:rPr>
          <w:i/>
          <w:iCs/>
          <w:color w:val="auto"/>
          <w:sz w:val="20"/>
          <w:szCs w:val="20"/>
        </w:rPr>
      </w:pPr>
      <w:r w:rsidRPr="00B662D6">
        <w:rPr>
          <w:i/>
          <w:iCs/>
          <w:color w:val="000000"/>
          <w:sz w:val="20"/>
          <w:szCs w:val="20"/>
        </w:rPr>
        <w:t>En la solicitud de información pública número 00069/PAPALO/IP/2025, se asienta lo siguiente: "[...] Se solicita el número de obras y construcciones, de carácter privado, que hayan sido suspendidas por la unidad administrativa correspondiente, durante el período del 1 de enero de 2025 a la fecha. Asimismo, se solicita el número de folio de todos y cada uno de los "sellos de suspensión" utilizados por la unidad administrativa que corresponda, precisamente, en la suspensión de todas y cada una de las obras y construcciones privadas durante el periodo del 1 de enero de 2025 a la fecha [...] Por su parte, el Sujeto Obligado respondió lo siguiente: "[...] En atención a su solicitud, derivado de la búsqueda realizada en las áreas competentes, se informa que, con fundamento en los artículos 3, 4, 113, 116 y 120 de la Ley General de Transparencia y Acceso a la Información Pública, la información solicitada sobre obras o construcciones privadas que hayan sido suspendidas, así como los folios de los sellos suspendidos, contiene datos que pueden identificar directa o indirectamente a personas físicas o morales privadas, como propietarios, responsables de obra o domicilios particulares. Por tanto, se considera información confidencial. La divulgación de dicha información podría vulnerar el derecho a la privacidad y protección de datos personales de terceros. Asimismo, dado que los folios de los sellos están vinculados a expedientes que contienen datos personales y no es posible disociarlos sin afectar la integridad del documento, no es viable entregar una versión pública testada que cumpla con los principios de transparencia y protección de datos personales. Es importante resaltar que, si existiera procedimientos administrativos en curso relacionados con inspecciones, clausuras o suspensiones de obra privada, dicha información formaría parte de actuaciones administrativas, cuya divulgación vulneraría: * El debido proceso administrativo de las personas involucradas * La presunción de licitud y derechos de particulares * La eficacia de la función inspectora y de control urbano * La competencia municipal en materia de desarrollo urbano y disciplina administrativa [...]" Pues bien, lo que se solicita es solamente "[...] el número de obras y construcciones, de carácter privado, que hayan sido suspendidas por la unidad administrativa correspondiente [...] el número de folio de todos y cada uno de los "sellos de suspensión" utilizados [...]" Lo información solicitada, debido a su esencia ontológica (lo que es), en ningún momento vulneraría el derecho a la privacidad y protección de datos personales de terceros debido a que lo que se pide son dos cifras derivadas de una sumatoria, sin más datos que el folio correspondiente a cada sello usado, lo cual no permite identificar a persona física o moral de ninguna manera debido a que NO se está solicitando domicilios, nombres u otros datos que sí conducirían a la localización de cada una de estas personas. Asimismo, es de destacar que los artículos de la Ley General de Transparencia y Acceso a la Información Pública invocados por el Sujeto Obligado, en realidad no fundamentan ni justifican los argumentos de la misma.</w:t>
      </w:r>
      <w:r w:rsidR="0064639F" w:rsidRPr="003100A7">
        <w:rPr>
          <w:i/>
          <w:iCs/>
          <w:color w:val="auto"/>
          <w:sz w:val="20"/>
          <w:szCs w:val="20"/>
        </w:rPr>
        <w:t>” (Sic.)</w:t>
      </w:r>
    </w:p>
    <w:p w14:paraId="5EF80AD3" w14:textId="77777777" w:rsidR="00667107" w:rsidRPr="003100A7" w:rsidRDefault="00667107" w:rsidP="00570EFD">
      <w:pPr>
        <w:tabs>
          <w:tab w:val="left" w:pos="4667"/>
        </w:tabs>
        <w:spacing w:after="0" w:line="360" w:lineRule="auto"/>
        <w:ind w:right="567"/>
        <w:rPr>
          <w:i/>
          <w:iCs/>
          <w:color w:val="auto"/>
          <w:sz w:val="20"/>
          <w:szCs w:val="20"/>
        </w:rPr>
      </w:pPr>
    </w:p>
    <w:p w14:paraId="2D3CE335" w14:textId="2BF858B6" w:rsidR="00DB3DC5" w:rsidRPr="00076681" w:rsidRDefault="00DB3DC5" w:rsidP="00570EFD">
      <w:pPr>
        <w:pStyle w:val="Ttulo2"/>
        <w:spacing w:before="0" w:line="360" w:lineRule="auto"/>
        <w:rPr>
          <w:rFonts w:ascii="Palatino Linotype" w:eastAsia="Batang" w:hAnsi="Palatino Linotype"/>
          <w:b/>
          <w:color w:val="000000" w:themeColor="text1"/>
          <w:sz w:val="22"/>
          <w:szCs w:val="22"/>
        </w:rPr>
      </w:pPr>
      <w:bookmarkStart w:id="6" w:name="_Toc226641127"/>
      <w:r w:rsidRPr="00076681">
        <w:rPr>
          <w:rFonts w:ascii="Palatino Linotype" w:eastAsia="Calibri" w:hAnsi="Palatino Linotype"/>
          <w:b/>
          <w:color w:val="000000" w:themeColor="text1"/>
          <w:sz w:val="22"/>
          <w:szCs w:val="22"/>
        </w:rPr>
        <w:t xml:space="preserve">IV. </w:t>
      </w:r>
      <w:r w:rsidRPr="00076681">
        <w:rPr>
          <w:rFonts w:ascii="Palatino Linotype" w:eastAsia="Batang" w:hAnsi="Palatino Linotype"/>
          <w:b/>
          <w:color w:val="000000" w:themeColor="text1"/>
          <w:sz w:val="22"/>
          <w:szCs w:val="22"/>
        </w:rPr>
        <w:t>Trámite del Recurso de Revisión</w:t>
      </w:r>
      <w:r w:rsidRPr="00076681">
        <w:rPr>
          <w:rFonts w:ascii="Palatino Linotype" w:eastAsia="Calibri" w:hAnsi="Palatino Linotype"/>
          <w:b/>
          <w:color w:val="000000" w:themeColor="text1"/>
          <w:sz w:val="22"/>
          <w:szCs w:val="22"/>
        </w:rPr>
        <w:t xml:space="preserve"> </w:t>
      </w:r>
      <w:r w:rsidR="00076681">
        <w:rPr>
          <w:rFonts w:ascii="Palatino Linotype" w:eastAsia="Batang" w:hAnsi="Palatino Linotype"/>
          <w:b/>
          <w:color w:val="000000" w:themeColor="text1"/>
          <w:sz w:val="22"/>
          <w:szCs w:val="22"/>
        </w:rPr>
        <w:t>ante este Instituto</w:t>
      </w:r>
      <w:bookmarkEnd w:id="6"/>
    </w:p>
    <w:p w14:paraId="13E537D5" w14:textId="77777777" w:rsidR="00DB3DC5" w:rsidRPr="00C821DD" w:rsidRDefault="00DB3DC5" w:rsidP="00570EFD">
      <w:pPr>
        <w:spacing w:after="0" w:line="360" w:lineRule="auto"/>
        <w:contextualSpacing/>
        <w:rPr>
          <w:rFonts w:eastAsia="Batang" w:cs="Tahoma"/>
          <w:b/>
          <w:bCs/>
          <w:color w:val="FF0000"/>
        </w:rPr>
      </w:pPr>
    </w:p>
    <w:p w14:paraId="5B9B961B" w14:textId="0E3C828A" w:rsidR="00DB3DC5" w:rsidRPr="00060723" w:rsidRDefault="00DB3DC5" w:rsidP="00570EFD">
      <w:pPr>
        <w:spacing w:after="0" w:line="360" w:lineRule="auto"/>
        <w:contextualSpacing/>
        <w:rPr>
          <w:rFonts w:eastAsia="Batang" w:cs="Tahoma"/>
          <w:b/>
          <w:bCs/>
          <w:color w:val="auto"/>
        </w:rPr>
      </w:pPr>
      <w:bookmarkStart w:id="7" w:name="_Toc226641128"/>
      <w:r w:rsidRPr="00A94CDA">
        <w:rPr>
          <w:rStyle w:val="Ttulo2Car"/>
          <w:rFonts w:ascii="Palatino Linotype" w:hAnsi="Palatino Linotype"/>
          <w:b/>
          <w:color w:val="000000" w:themeColor="text1"/>
          <w:sz w:val="22"/>
          <w:szCs w:val="22"/>
        </w:rPr>
        <w:t>a) Turno del Medio de Impugnación.</w:t>
      </w:r>
      <w:bookmarkEnd w:id="7"/>
      <w:r w:rsidRPr="00A94CDA">
        <w:rPr>
          <w:rFonts w:eastAsia="Batang" w:cs="Tahoma"/>
          <w:b/>
          <w:bCs/>
        </w:rPr>
        <w:t xml:space="preserve"> </w:t>
      </w:r>
      <w:r w:rsidRPr="00060723">
        <w:rPr>
          <w:rFonts w:eastAsia="Batang" w:cs="Tahoma"/>
          <w:bCs/>
          <w:color w:val="auto"/>
        </w:rPr>
        <w:t xml:space="preserve">El </w:t>
      </w:r>
      <w:r w:rsidR="00B662D6">
        <w:rPr>
          <w:rFonts w:eastAsia="Batang" w:cs="Tahoma"/>
          <w:bCs/>
          <w:color w:val="auto"/>
        </w:rPr>
        <w:t>nueve de diciembre</w:t>
      </w:r>
      <w:r w:rsidR="00E063FC" w:rsidRPr="00060723">
        <w:rPr>
          <w:rFonts w:eastAsia="Batang" w:cs="Tahoma"/>
          <w:bCs/>
          <w:color w:val="auto"/>
        </w:rPr>
        <w:t xml:space="preserve"> </w:t>
      </w:r>
      <w:r w:rsidR="00B732D1">
        <w:rPr>
          <w:rFonts w:eastAsia="Times New Roman" w:cs="Tahoma"/>
          <w:bCs/>
          <w:color w:val="auto"/>
          <w:lang w:eastAsia="es-ES"/>
        </w:rPr>
        <w:t xml:space="preserve">de dos mil </w:t>
      </w:r>
      <w:r w:rsidR="00CF76E0">
        <w:rPr>
          <w:rFonts w:eastAsia="Times New Roman" w:cs="Tahoma"/>
          <w:bCs/>
          <w:color w:val="auto"/>
          <w:lang w:eastAsia="es-ES"/>
        </w:rPr>
        <w:t>veinticinco,</w:t>
      </w:r>
      <w:r w:rsidRPr="00060723">
        <w:rPr>
          <w:rFonts w:eastAsia="Batang" w:cs="Tahoma"/>
          <w:bCs/>
          <w:color w:val="auto"/>
        </w:rPr>
        <w:t xml:space="preserve"> el </w:t>
      </w:r>
      <w:r w:rsidRPr="00060723">
        <w:rPr>
          <w:rFonts w:eastAsia="Calibri" w:cs="Tahoma"/>
          <w:color w:val="auto"/>
          <w:lang w:val="es-ES"/>
        </w:rPr>
        <w:t>Sistema de Acceso a la Información Mexiquense (SAIMEX),</w:t>
      </w:r>
      <w:r w:rsidRPr="00060723">
        <w:rPr>
          <w:rFonts w:eastAsia="Batang" w:cs="Tahoma"/>
          <w:bCs/>
          <w:color w:val="auto"/>
        </w:rPr>
        <w:t xml:space="preserve"> </w:t>
      </w:r>
      <w:r w:rsidR="0089704B" w:rsidRPr="00060723">
        <w:rPr>
          <w:rFonts w:eastAsia="Batang" w:cs="Tahoma"/>
          <w:bCs/>
          <w:color w:val="auto"/>
          <w:lang w:val="es-ES_tradnl"/>
        </w:rPr>
        <w:t xml:space="preserve">asignó </w:t>
      </w:r>
      <w:r w:rsidR="0003316E" w:rsidRPr="00060723">
        <w:rPr>
          <w:rFonts w:eastAsia="Batang" w:cs="Tahoma"/>
          <w:bCs/>
          <w:color w:val="auto"/>
          <w:lang w:val="es-ES_tradnl"/>
        </w:rPr>
        <w:t>el</w:t>
      </w:r>
      <w:r w:rsidR="0089704B" w:rsidRPr="00060723">
        <w:rPr>
          <w:rFonts w:eastAsia="Batang" w:cs="Tahoma"/>
          <w:bCs/>
          <w:color w:val="auto"/>
          <w:lang w:val="es-ES_tradnl"/>
        </w:rPr>
        <w:t xml:space="preserve"> número de expediente</w:t>
      </w:r>
      <w:r w:rsidR="00031961">
        <w:rPr>
          <w:rFonts w:eastAsia="Batang" w:cs="Tahoma"/>
          <w:bCs/>
          <w:color w:val="auto"/>
          <w:lang w:val="es-ES_tradnl"/>
        </w:rPr>
        <w:t xml:space="preserve"> </w:t>
      </w:r>
      <w:r w:rsidR="00630E01">
        <w:rPr>
          <w:rFonts w:eastAsia="Calibri" w:cs="Tahoma"/>
          <w:b/>
          <w:color w:val="auto"/>
        </w:rPr>
        <w:t>13986</w:t>
      </w:r>
      <w:r w:rsidR="00386FA0" w:rsidRPr="00386FA0">
        <w:rPr>
          <w:rFonts w:eastAsia="Calibri" w:cs="Tahoma"/>
          <w:b/>
          <w:color w:val="auto"/>
        </w:rPr>
        <w:t>/INFOEM/IP/RR/2025</w:t>
      </w:r>
      <w:r w:rsidRPr="00060723">
        <w:rPr>
          <w:rFonts w:eastAsia="Batang" w:cs="Tahoma"/>
          <w:bCs/>
          <w:color w:val="auto"/>
        </w:rPr>
        <w:t xml:space="preserve">, al Medio de Impugnación que nos ocupa, con base en el sistema aprobado por el Pleno de este Órgano Garante y lo turnó al </w:t>
      </w:r>
      <w:r w:rsidRPr="00060723">
        <w:rPr>
          <w:rFonts w:eastAsia="Batang" w:cs="Tahoma"/>
          <w:b/>
          <w:color w:val="auto"/>
        </w:rPr>
        <w:t>Comisionado Ponente Luis Gustavo Parra Noriega</w:t>
      </w:r>
      <w:r w:rsidRPr="00060723">
        <w:rPr>
          <w:rFonts w:eastAsia="Batang" w:cs="Tahoma"/>
          <w:bCs/>
          <w:color w:val="auto"/>
        </w:rPr>
        <w:t>, para los efectos del artículo 185, fracción I de la Ley de Transparencia y Acceso a la Información Pública del Estado de México y Municipios.</w:t>
      </w:r>
    </w:p>
    <w:p w14:paraId="7ADA7EB2" w14:textId="77777777" w:rsidR="00DB3DC5" w:rsidRPr="00C821DD" w:rsidRDefault="00DB3DC5" w:rsidP="00570EFD">
      <w:pPr>
        <w:spacing w:after="0" w:line="360" w:lineRule="auto"/>
        <w:contextualSpacing/>
        <w:rPr>
          <w:rFonts w:eastAsia="Batang" w:cs="Tahoma"/>
          <w:bCs/>
          <w:color w:val="FF0000"/>
        </w:rPr>
      </w:pPr>
    </w:p>
    <w:p w14:paraId="2B3B5A4B" w14:textId="7717B23A" w:rsidR="00DB3DC5" w:rsidRDefault="00DB3DC5" w:rsidP="00570EFD">
      <w:pPr>
        <w:spacing w:after="0" w:line="360" w:lineRule="auto"/>
        <w:contextualSpacing/>
        <w:rPr>
          <w:rFonts w:eastAsia="Times New Roman" w:cs="Tahoma"/>
          <w:bCs/>
          <w:color w:val="auto"/>
          <w:lang w:val="es-ES_tradnl" w:eastAsia="es-ES"/>
        </w:rPr>
      </w:pPr>
      <w:bookmarkStart w:id="8" w:name="_Toc226641129"/>
      <w:r w:rsidRPr="00A94CDA">
        <w:rPr>
          <w:rStyle w:val="Ttulo2Car"/>
          <w:rFonts w:ascii="Palatino Linotype" w:hAnsi="Palatino Linotype"/>
          <w:b/>
          <w:color w:val="000000" w:themeColor="text1"/>
          <w:sz w:val="22"/>
          <w:szCs w:val="22"/>
        </w:rPr>
        <w:t>b) Admisión de</w:t>
      </w:r>
      <w:r w:rsidR="00EA3D68" w:rsidRPr="00A94CDA">
        <w:rPr>
          <w:rStyle w:val="Ttulo2Car"/>
          <w:rFonts w:ascii="Palatino Linotype" w:hAnsi="Palatino Linotype"/>
          <w:b/>
          <w:color w:val="000000" w:themeColor="text1"/>
          <w:sz w:val="22"/>
          <w:szCs w:val="22"/>
        </w:rPr>
        <w:t>l</w:t>
      </w:r>
      <w:r w:rsidRPr="00A94CDA">
        <w:rPr>
          <w:rStyle w:val="Ttulo2Car"/>
          <w:rFonts w:ascii="Palatino Linotype" w:hAnsi="Palatino Linotype"/>
          <w:b/>
          <w:color w:val="000000" w:themeColor="text1"/>
          <w:sz w:val="22"/>
          <w:szCs w:val="22"/>
        </w:rPr>
        <w:t xml:space="preserve"> Recurso de Revisión.</w:t>
      </w:r>
      <w:bookmarkEnd w:id="8"/>
      <w:r w:rsidRPr="00A94CDA">
        <w:rPr>
          <w:rFonts w:eastAsia="Times New Roman" w:cs="Tahoma"/>
          <w:b/>
          <w:bCs/>
          <w:lang w:val="es-ES_tradnl" w:eastAsia="es-ES"/>
        </w:rPr>
        <w:t xml:space="preserve"> </w:t>
      </w:r>
      <w:r w:rsidRPr="00992875">
        <w:rPr>
          <w:rFonts w:eastAsia="Times New Roman" w:cs="Tahoma"/>
          <w:bCs/>
          <w:color w:val="auto"/>
          <w:lang w:val="es-ES_tradnl" w:eastAsia="es-ES"/>
        </w:rPr>
        <w:t xml:space="preserve">El </w:t>
      </w:r>
      <w:r w:rsidR="00B662D6">
        <w:rPr>
          <w:rFonts w:eastAsia="Times New Roman" w:cs="Tahoma"/>
          <w:bCs/>
          <w:color w:val="auto"/>
          <w:lang w:val="es-ES_tradnl" w:eastAsia="es-ES"/>
        </w:rPr>
        <w:t>doce de diciembre</w:t>
      </w:r>
      <w:r w:rsidR="006778B9" w:rsidRPr="00992875">
        <w:rPr>
          <w:rFonts w:eastAsia="Batang" w:cs="Tahoma"/>
          <w:bCs/>
          <w:color w:val="auto"/>
        </w:rPr>
        <w:t xml:space="preserve"> </w:t>
      </w:r>
      <w:r w:rsidR="00B732D1">
        <w:rPr>
          <w:rFonts w:eastAsia="Batang" w:cs="Tahoma"/>
          <w:bCs/>
          <w:color w:val="auto"/>
        </w:rPr>
        <w:t>de dos mil veinticinco</w:t>
      </w:r>
      <w:r w:rsidRPr="00992875">
        <w:rPr>
          <w:rFonts w:eastAsia="Times New Roman" w:cs="Tahoma"/>
          <w:bCs/>
          <w:color w:val="auto"/>
          <w:lang w:val="es-ES_tradnl" w:eastAsia="es-ES"/>
        </w:rPr>
        <w:t>, se acordó la admisión de</w:t>
      </w:r>
      <w:r w:rsidR="0003316E" w:rsidRPr="00992875">
        <w:rPr>
          <w:rFonts w:eastAsia="Times New Roman" w:cs="Tahoma"/>
          <w:bCs/>
          <w:color w:val="auto"/>
          <w:lang w:val="es-ES_tradnl" w:eastAsia="es-ES"/>
        </w:rPr>
        <w:t>l</w:t>
      </w:r>
      <w:r w:rsidRPr="00992875">
        <w:rPr>
          <w:rFonts w:eastAsia="Times New Roman" w:cs="Tahoma"/>
          <w:bCs/>
          <w:color w:val="auto"/>
          <w:lang w:val="es-ES_tradnl" w:eastAsia="es-ES"/>
        </w:rPr>
        <w:t xml:space="preserve"> Recurso de Revisión interpuesto por </w:t>
      </w:r>
      <w:r w:rsidR="0003316E" w:rsidRPr="00992875">
        <w:rPr>
          <w:rFonts w:eastAsia="Times New Roman" w:cs="Tahoma"/>
          <w:bCs/>
          <w:color w:val="auto"/>
          <w:lang w:val="es-ES_tradnl" w:eastAsia="es-ES"/>
        </w:rPr>
        <w:t>el</w:t>
      </w:r>
      <w:r w:rsidRPr="00992875">
        <w:rPr>
          <w:rFonts w:eastAsia="Times New Roman" w:cs="Tahoma"/>
          <w:bCs/>
          <w:color w:val="auto"/>
          <w:lang w:val="es-ES_tradnl" w:eastAsia="es-ES"/>
        </w:rPr>
        <w:t xml:space="preserve"> Recurrente en contra del Sujeto Obligado, en términos del artículo 185, fracciones I y II de la Ley de Transparencia y Acceso a la Información Pública del Estado de México y Municipios, </w:t>
      </w:r>
      <w:r w:rsidR="0003316E" w:rsidRPr="00992875">
        <w:rPr>
          <w:rFonts w:eastAsia="Times New Roman" w:cs="Tahoma"/>
          <w:bCs/>
          <w:color w:val="auto"/>
          <w:lang w:val="es-ES_tradnl" w:eastAsia="es-ES"/>
        </w:rPr>
        <w:t>el</w:t>
      </w:r>
      <w:r w:rsidRPr="00992875">
        <w:rPr>
          <w:rFonts w:eastAsia="Times New Roman" w:cs="Tahoma"/>
          <w:bCs/>
          <w:color w:val="auto"/>
          <w:lang w:val="es-ES_tradnl" w:eastAsia="es-ES"/>
        </w:rPr>
        <w:t xml:space="preserve"> cual fue debidamente notificado a las </w:t>
      </w:r>
      <w:r w:rsidR="0079490B" w:rsidRPr="00992875">
        <w:rPr>
          <w:rFonts w:eastAsia="Times New Roman" w:cs="Tahoma"/>
          <w:bCs/>
          <w:color w:val="auto"/>
          <w:lang w:val="es-ES_tradnl" w:eastAsia="es-ES"/>
        </w:rPr>
        <w:t>parte</w:t>
      </w:r>
      <w:r w:rsidR="0079490B">
        <w:rPr>
          <w:rFonts w:eastAsia="Times New Roman" w:cs="Tahoma"/>
          <w:bCs/>
          <w:color w:val="auto"/>
          <w:lang w:val="es-ES_tradnl" w:eastAsia="es-ES"/>
        </w:rPr>
        <w:t>s</w:t>
      </w:r>
      <w:r w:rsidR="00A322C2">
        <w:rPr>
          <w:rFonts w:eastAsia="Times New Roman" w:cs="Tahoma"/>
          <w:bCs/>
          <w:color w:val="auto"/>
          <w:lang w:val="es-ES_tradnl" w:eastAsia="es-ES"/>
        </w:rPr>
        <w:t>, e</w:t>
      </w:r>
      <w:r w:rsidR="003100A7">
        <w:rPr>
          <w:rFonts w:eastAsia="Times New Roman" w:cs="Tahoma"/>
          <w:bCs/>
          <w:color w:val="auto"/>
          <w:lang w:val="es-ES_tradnl" w:eastAsia="es-ES"/>
        </w:rPr>
        <w:t>l mismo día</w:t>
      </w:r>
      <w:r w:rsidRPr="00992875">
        <w:rPr>
          <w:rFonts w:eastAsia="Times New Roman" w:cs="Tahoma"/>
          <w:bCs/>
          <w:color w:val="auto"/>
          <w:lang w:val="es-ES_tradnl" w:eastAsia="es-ES"/>
        </w:rPr>
        <w:t xml:space="preserve">, a través del Sistema de Acceso a la Información Mexiquense (SAIMEX), en el que se les otorgó un plazo de siete días hábiles posteriores a la misma, para que manifestaran lo que a su derecho conviniera y formularan alegatos. </w:t>
      </w:r>
    </w:p>
    <w:p w14:paraId="7F8B0501" w14:textId="77777777" w:rsidR="00767EFB" w:rsidRPr="00992875" w:rsidRDefault="00767EFB" w:rsidP="00570EFD">
      <w:pPr>
        <w:spacing w:after="0" w:line="360" w:lineRule="auto"/>
        <w:contextualSpacing/>
        <w:rPr>
          <w:rFonts w:eastAsia="Times New Roman" w:cs="Tahoma"/>
          <w:b/>
          <w:bCs/>
          <w:color w:val="auto"/>
          <w:lang w:eastAsia="es-ES"/>
        </w:rPr>
      </w:pPr>
    </w:p>
    <w:p w14:paraId="1AC36383" w14:textId="02DEBA1F" w:rsidR="00C37DEE" w:rsidRDefault="00767EFB" w:rsidP="00570EFD">
      <w:pPr>
        <w:tabs>
          <w:tab w:val="left" w:pos="3261"/>
        </w:tabs>
        <w:spacing w:after="0" w:line="360" w:lineRule="auto"/>
        <w:rPr>
          <w:color w:val="auto"/>
        </w:rPr>
      </w:pPr>
      <w:bookmarkStart w:id="9" w:name="_Toc226641130"/>
      <w:r w:rsidRPr="008B2C31">
        <w:rPr>
          <w:rStyle w:val="Ttulo2Car"/>
          <w:rFonts w:ascii="Palatino Linotype" w:hAnsi="Palatino Linotype"/>
          <w:b/>
          <w:color w:val="000000" w:themeColor="text1"/>
          <w:sz w:val="22"/>
          <w:szCs w:val="22"/>
        </w:rPr>
        <w:t xml:space="preserve">c) </w:t>
      </w:r>
      <w:r w:rsidR="00A322C2" w:rsidRPr="008B2C31">
        <w:rPr>
          <w:rStyle w:val="Ttulo2Car"/>
          <w:rFonts w:ascii="Palatino Linotype" w:hAnsi="Palatino Linotype"/>
          <w:b/>
          <w:color w:val="000000" w:themeColor="text1"/>
          <w:sz w:val="22"/>
          <w:szCs w:val="22"/>
        </w:rPr>
        <w:t>Infor</w:t>
      </w:r>
      <w:r w:rsidR="00CF76E0">
        <w:rPr>
          <w:rStyle w:val="Ttulo2Car"/>
          <w:rFonts w:ascii="Palatino Linotype" w:hAnsi="Palatino Linotype"/>
          <w:b/>
          <w:color w:val="000000" w:themeColor="text1"/>
          <w:sz w:val="22"/>
          <w:szCs w:val="22"/>
        </w:rPr>
        <w:t>me Justificado</w:t>
      </w:r>
      <w:r w:rsidR="00B662D6">
        <w:rPr>
          <w:rStyle w:val="Ttulo2Car"/>
          <w:rFonts w:ascii="Palatino Linotype" w:hAnsi="Palatino Linotype"/>
          <w:b/>
          <w:color w:val="000000" w:themeColor="text1"/>
          <w:sz w:val="22"/>
          <w:szCs w:val="22"/>
        </w:rPr>
        <w:t xml:space="preserve"> o manifestaciones</w:t>
      </w:r>
      <w:r w:rsidR="00A322C2" w:rsidRPr="008B2C31">
        <w:rPr>
          <w:rStyle w:val="Ttulo2Car"/>
          <w:rFonts w:ascii="Palatino Linotype" w:hAnsi="Palatino Linotype"/>
          <w:b/>
          <w:color w:val="000000" w:themeColor="text1"/>
          <w:sz w:val="22"/>
          <w:szCs w:val="22"/>
        </w:rPr>
        <w:t>.</w:t>
      </w:r>
      <w:bookmarkEnd w:id="9"/>
      <w:r w:rsidR="00CF76E0">
        <w:rPr>
          <w:rFonts w:cs="Tahoma"/>
          <w:bCs/>
          <w:iCs/>
          <w:lang w:val="es-ES"/>
        </w:rPr>
        <w:t xml:space="preserve"> </w:t>
      </w:r>
      <w:r w:rsidR="00B662D6">
        <w:rPr>
          <w:color w:val="auto"/>
        </w:rPr>
        <w:t>Las partes fueron omisas en emitir manifestaciones o alegatos.</w:t>
      </w:r>
    </w:p>
    <w:p w14:paraId="53C4098B" w14:textId="77777777" w:rsidR="00E17831" w:rsidRDefault="00E17831" w:rsidP="00570EFD">
      <w:pPr>
        <w:tabs>
          <w:tab w:val="left" w:pos="3261"/>
        </w:tabs>
        <w:spacing w:after="0" w:line="360" w:lineRule="auto"/>
        <w:rPr>
          <w:b/>
          <w:bCs/>
          <w:i/>
          <w:iCs/>
          <w:color w:val="auto"/>
          <w:sz w:val="20"/>
          <w:szCs w:val="20"/>
        </w:rPr>
      </w:pPr>
    </w:p>
    <w:p w14:paraId="36CC32A9" w14:textId="578C8357" w:rsidR="008C229C" w:rsidRDefault="008C229C" w:rsidP="00570EFD">
      <w:pPr>
        <w:spacing w:after="0" w:line="360" w:lineRule="auto"/>
      </w:pPr>
      <w:r>
        <w:rPr>
          <w:b/>
          <w:bCs/>
        </w:rPr>
        <w:t>d</w:t>
      </w:r>
      <w:r w:rsidRPr="00A62DF4">
        <w:rPr>
          <w:b/>
          <w:bCs/>
        </w:rPr>
        <w:t xml:space="preserve">) </w:t>
      </w:r>
      <w:r w:rsidRPr="005F0630">
        <w:rPr>
          <w:b/>
          <w:bCs/>
        </w:rPr>
        <w:t>Ampliación de plazo para resolver.</w:t>
      </w:r>
      <w:r>
        <w:t xml:space="preserve"> El </w:t>
      </w:r>
      <w:r w:rsidR="00B662D6">
        <w:t>veinti</w:t>
      </w:r>
      <w:r w:rsidR="00904184">
        <w:t>séis</w:t>
      </w:r>
      <w:r w:rsidR="00B662D6">
        <w:t xml:space="preserve"> de marzo</w:t>
      </w:r>
      <w:r>
        <w:t xml:space="preserve"> de dos mil veintiséis, el Comisionado Ponente, con fundamento en lo dispuesto por el artículo 181, párrafo tercero, de la Ley de Transparencia y Acceso a la Información Pública del Estado de México y Municipios, acordó ampliar por un plazo razonable, el plazo para resolver el Recurso de Revisión que nos ocupa; acto que fue notificado a las partes el día hábil </w:t>
      </w:r>
      <w:r w:rsidR="00386FA0">
        <w:t>siguiente</w:t>
      </w:r>
      <w:r>
        <w:t>, mediante el Sistema de Acceso a la Información Mexiquense (SAIMEX)</w:t>
      </w:r>
    </w:p>
    <w:p w14:paraId="195259FF" w14:textId="77777777" w:rsidR="008C229C" w:rsidRPr="00C37DEE" w:rsidRDefault="008C229C" w:rsidP="00570EFD">
      <w:pPr>
        <w:tabs>
          <w:tab w:val="left" w:pos="3261"/>
        </w:tabs>
        <w:spacing w:after="0" w:line="360" w:lineRule="auto"/>
        <w:rPr>
          <w:color w:val="auto"/>
        </w:rPr>
      </w:pPr>
    </w:p>
    <w:p w14:paraId="403F7296" w14:textId="3E1BAF42" w:rsidR="00DB3DC5" w:rsidRPr="00904184" w:rsidRDefault="008C229C" w:rsidP="00570EFD">
      <w:pPr>
        <w:spacing w:after="0" w:line="360" w:lineRule="auto"/>
        <w:rPr>
          <w:rFonts w:eastAsia="Times New Roman" w:cs="Tahoma"/>
          <w:color w:val="auto"/>
          <w:szCs w:val="24"/>
          <w:lang w:eastAsia="es-ES"/>
        </w:rPr>
      </w:pPr>
      <w:r>
        <w:rPr>
          <w:b/>
          <w:color w:val="auto"/>
        </w:rPr>
        <w:t>e</w:t>
      </w:r>
      <w:r w:rsidR="00CE0119" w:rsidRPr="00F24BF6">
        <w:rPr>
          <w:b/>
          <w:color w:val="auto"/>
        </w:rPr>
        <w:t xml:space="preserve">) </w:t>
      </w:r>
      <w:r w:rsidR="00DB3DC5" w:rsidRPr="003100A7">
        <w:rPr>
          <w:rStyle w:val="Ttulo2Car"/>
          <w:rFonts w:ascii="Palatino Linotype" w:hAnsi="Palatino Linotype"/>
          <w:b/>
          <w:bCs/>
          <w:color w:val="auto"/>
          <w:sz w:val="22"/>
          <w:szCs w:val="22"/>
        </w:rPr>
        <w:t>Cierre de instrucción</w:t>
      </w:r>
      <w:r w:rsidR="00DB3DC5" w:rsidRPr="00DD0E44">
        <w:rPr>
          <w:rStyle w:val="Ttulo2Car"/>
          <w:rFonts w:ascii="Palatino Linotype" w:hAnsi="Palatino Linotype"/>
          <w:b/>
          <w:bCs/>
          <w:color w:val="auto"/>
          <w:sz w:val="22"/>
          <w:szCs w:val="22"/>
        </w:rPr>
        <w:t>.</w:t>
      </w:r>
      <w:r w:rsidR="00DB3DC5" w:rsidRPr="00DD0E44">
        <w:rPr>
          <w:rFonts w:eastAsia="Times New Roman" w:cs="Tahoma"/>
          <w:color w:val="auto"/>
          <w:szCs w:val="24"/>
          <w:lang w:eastAsia="es-ES"/>
        </w:rPr>
        <w:t xml:space="preserve"> El </w:t>
      </w:r>
      <w:r w:rsidR="00B662D6">
        <w:rPr>
          <w:rFonts w:eastAsia="Times New Roman" w:cs="Tahoma"/>
          <w:color w:val="auto"/>
          <w:szCs w:val="24"/>
          <w:lang w:eastAsia="es-ES"/>
        </w:rPr>
        <w:t>veinti</w:t>
      </w:r>
      <w:r w:rsidR="00904184">
        <w:rPr>
          <w:rFonts w:eastAsia="Times New Roman" w:cs="Tahoma"/>
          <w:color w:val="auto"/>
          <w:szCs w:val="24"/>
          <w:lang w:eastAsia="es-ES"/>
        </w:rPr>
        <w:t>séis</w:t>
      </w:r>
      <w:r w:rsidR="00B662D6">
        <w:rPr>
          <w:rFonts w:eastAsia="Times New Roman" w:cs="Tahoma"/>
          <w:color w:val="auto"/>
          <w:szCs w:val="24"/>
          <w:lang w:eastAsia="es-ES"/>
        </w:rPr>
        <w:t xml:space="preserve"> </w:t>
      </w:r>
      <w:r>
        <w:rPr>
          <w:rFonts w:eastAsia="Times New Roman" w:cs="Tahoma"/>
          <w:color w:val="auto"/>
          <w:szCs w:val="24"/>
          <w:lang w:eastAsia="es-ES"/>
        </w:rPr>
        <w:t>de marzo</w:t>
      </w:r>
      <w:r w:rsidR="00DD0E44">
        <w:rPr>
          <w:rFonts w:eastAsia="Times New Roman" w:cs="Tahoma"/>
          <w:color w:val="auto"/>
          <w:szCs w:val="24"/>
          <w:lang w:eastAsia="es-ES"/>
        </w:rPr>
        <w:t xml:space="preserve"> </w:t>
      </w:r>
      <w:r w:rsidR="00B732D1" w:rsidRPr="00DD0E44">
        <w:rPr>
          <w:rFonts w:eastAsia="Times New Roman" w:cs="Tahoma"/>
          <w:color w:val="auto"/>
          <w:szCs w:val="24"/>
          <w:lang w:eastAsia="es-ES"/>
        </w:rPr>
        <w:t>de dos mil veinti</w:t>
      </w:r>
      <w:r>
        <w:rPr>
          <w:rFonts w:eastAsia="Times New Roman" w:cs="Tahoma"/>
          <w:color w:val="auto"/>
          <w:szCs w:val="24"/>
          <w:lang w:eastAsia="es-ES"/>
        </w:rPr>
        <w:t>séis</w:t>
      </w:r>
      <w:r w:rsidR="00DB3DC5" w:rsidRPr="00DD0E44">
        <w:rPr>
          <w:rFonts w:eastAsia="Times New Roman" w:cs="Tahoma"/>
          <w:color w:val="auto"/>
          <w:szCs w:val="24"/>
          <w:lang w:eastAsia="es-ES"/>
        </w:rPr>
        <w:t>, al no existir diligencias pendientes por desahogar, se emitió el acuerdo por medio del cual se declaró cerrada la instrucción y se determinó pasar los expedientes a resolución, en términos de lo dispuesto e</w:t>
      </w:r>
      <w:r w:rsidR="0094295A">
        <w:rPr>
          <w:rFonts w:eastAsia="Times New Roman" w:cs="Tahoma"/>
          <w:color w:val="auto"/>
          <w:szCs w:val="24"/>
          <w:lang w:eastAsia="es-ES"/>
        </w:rPr>
        <w:t xml:space="preserve"> </w:t>
      </w:r>
      <w:r w:rsidR="00DB3DC5" w:rsidRPr="00DD0E44">
        <w:rPr>
          <w:rFonts w:eastAsia="Times New Roman" w:cs="Tahoma"/>
          <w:color w:val="auto"/>
          <w:szCs w:val="24"/>
          <w:lang w:eastAsia="es-ES"/>
        </w:rPr>
        <w:t xml:space="preserve">n los artículos 185, fracciones VI y VIII, de la Ley de Transparencia y Acceso a la Información Pública del Estado de México y Municipios, mismo que fue notificado a las partes el </w:t>
      </w:r>
      <w:r w:rsidR="004C3AA8" w:rsidRPr="004C3AA8">
        <w:rPr>
          <w:rFonts w:eastAsia="Times New Roman" w:cs="Tahoma"/>
          <w:color w:val="auto"/>
          <w:szCs w:val="24"/>
          <w:lang w:eastAsia="es-ES"/>
        </w:rPr>
        <w:t>dieciocho del mismo mes y año</w:t>
      </w:r>
      <w:r w:rsidR="00DB3DC5" w:rsidRPr="00DD0E44">
        <w:rPr>
          <w:rFonts w:eastAsia="Times New Roman" w:cs="Tahoma"/>
          <w:color w:val="auto"/>
          <w:szCs w:val="24"/>
          <w:lang w:eastAsia="es-ES"/>
        </w:rPr>
        <w:t xml:space="preserve">, a través del </w:t>
      </w:r>
      <w:r w:rsidR="00DB3DC5" w:rsidRPr="00DD0E44">
        <w:rPr>
          <w:rFonts w:eastAsia="Times New Roman" w:cs="Tahoma"/>
          <w:color w:val="auto"/>
          <w:szCs w:val="20"/>
          <w:lang w:val="es-ES" w:eastAsia="es-ES"/>
        </w:rPr>
        <w:t>Sistema de Acceso a la Información Mexiquense (SAIMEX)</w:t>
      </w:r>
      <w:r w:rsidR="00DB3DC5" w:rsidRPr="00DD0E44">
        <w:rPr>
          <w:rFonts w:eastAsia="Times New Roman" w:cs="Tahoma"/>
          <w:color w:val="auto"/>
          <w:szCs w:val="24"/>
          <w:lang w:eastAsia="es-ES"/>
        </w:rPr>
        <w:t xml:space="preserve">. </w:t>
      </w:r>
    </w:p>
    <w:p w14:paraId="008B7C40" w14:textId="77777777" w:rsidR="005F0630" w:rsidRDefault="005F0630" w:rsidP="00570EFD">
      <w:pPr>
        <w:spacing w:after="0" w:line="360" w:lineRule="auto"/>
        <w:contextualSpacing/>
        <w:rPr>
          <w:rFonts w:eastAsia="Calibri" w:cs="Tahoma"/>
          <w:bCs/>
          <w:color w:val="auto"/>
        </w:rPr>
      </w:pPr>
    </w:p>
    <w:p w14:paraId="0A452CDE" w14:textId="3B27CA5F" w:rsidR="00DB3DC5" w:rsidRDefault="00DB3DC5" w:rsidP="00570EFD">
      <w:pPr>
        <w:spacing w:after="0" w:line="360" w:lineRule="auto"/>
        <w:contextualSpacing/>
        <w:rPr>
          <w:rFonts w:eastAsia="Times New Roman" w:cs="Tahoma"/>
          <w:color w:val="auto"/>
          <w:szCs w:val="24"/>
          <w:lang w:eastAsia="es-ES"/>
        </w:rPr>
      </w:pPr>
      <w:r w:rsidRPr="00DD0E44">
        <w:rPr>
          <w:rFonts w:eastAsia="Times New Roman" w:cs="Tahoma"/>
          <w:color w:val="auto"/>
          <w:szCs w:val="24"/>
          <w:lang w:eastAsia="es-ES"/>
        </w:rPr>
        <w:t>En razón de que fue debidamente sustanciado e integrado el expediente electrónico y no existe diligencia pendiente de desahogo, se emite la resolución que conforme a Derecho proceda, de acuerdo a los siguientes:</w:t>
      </w:r>
    </w:p>
    <w:p w14:paraId="26736B62" w14:textId="77777777" w:rsidR="005F0630" w:rsidRPr="00914A32" w:rsidRDefault="005F0630" w:rsidP="00570EFD">
      <w:pPr>
        <w:spacing w:after="0" w:line="360" w:lineRule="auto"/>
        <w:contextualSpacing/>
        <w:rPr>
          <w:rFonts w:eastAsia="Times New Roman" w:cs="Tahoma"/>
          <w:color w:val="auto"/>
          <w:szCs w:val="24"/>
          <w:lang w:eastAsia="es-ES"/>
        </w:rPr>
      </w:pPr>
    </w:p>
    <w:p w14:paraId="1AD6FB2C" w14:textId="338C6782" w:rsidR="00DB3DC5" w:rsidRPr="00076681" w:rsidRDefault="00076681" w:rsidP="00570EFD">
      <w:pPr>
        <w:pStyle w:val="Ttulo1"/>
        <w:spacing w:before="0" w:line="360" w:lineRule="auto"/>
        <w:jc w:val="center"/>
        <w:rPr>
          <w:rFonts w:ascii="Palatino Linotype" w:eastAsia="Times New Roman" w:hAnsi="Palatino Linotype"/>
          <w:b/>
          <w:color w:val="000000" w:themeColor="text1"/>
          <w:sz w:val="22"/>
          <w:szCs w:val="22"/>
          <w:lang w:val="es-ES" w:eastAsia="es-ES"/>
        </w:rPr>
      </w:pPr>
      <w:bookmarkStart w:id="10" w:name="_Toc226641131"/>
      <w:r w:rsidRPr="008E73C1">
        <w:rPr>
          <w:rFonts w:ascii="Palatino Linotype" w:eastAsia="Times New Roman" w:hAnsi="Palatino Linotype"/>
          <w:b/>
          <w:color w:val="000000" w:themeColor="text1"/>
          <w:sz w:val="22"/>
          <w:szCs w:val="22"/>
          <w:lang w:val="es-ES" w:eastAsia="es-ES"/>
        </w:rPr>
        <w:t>C O N S I D E R A N D O S</w:t>
      </w:r>
      <w:bookmarkEnd w:id="10"/>
    </w:p>
    <w:p w14:paraId="446E7524" w14:textId="77777777" w:rsidR="00DB3DC5" w:rsidRPr="00767EFB" w:rsidRDefault="00DB3DC5" w:rsidP="00570EFD">
      <w:pPr>
        <w:spacing w:after="0" w:line="360" w:lineRule="auto"/>
        <w:contextualSpacing/>
        <w:jc w:val="center"/>
        <w:rPr>
          <w:rFonts w:eastAsia="Times New Roman" w:cs="Tahoma"/>
          <w:b/>
          <w:color w:val="auto"/>
          <w:lang w:val="es-ES" w:eastAsia="es-ES"/>
        </w:rPr>
      </w:pPr>
    </w:p>
    <w:p w14:paraId="5C90BBB8" w14:textId="2F93BE5A" w:rsidR="00DB3DC5" w:rsidRPr="00076681" w:rsidRDefault="00DB3DC5" w:rsidP="00570EFD">
      <w:pPr>
        <w:pStyle w:val="Ttulo2"/>
        <w:spacing w:before="0" w:line="360" w:lineRule="auto"/>
        <w:rPr>
          <w:rFonts w:ascii="Palatino Linotype" w:eastAsia="Times New Roman" w:hAnsi="Palatino Linotype"/>
          <w:b/>
          <w:color w:val="000000" w:themeColor="text1"/>
          <w:sz w:val="22"/>
          <w:szCs w:val="22"/>
          <w:lang w:val="es-ES" w:eastAsia="es-ES"/>
        </w:rPr>
      </w:pPr>
      <w:bookmarkStart w:id="11" w:name="_Toc226641132"/>
      <w:r w:rsidRPr="00076681">
        <w:rPr>
          <w:rFonts w:ascii="Palatino Linotype" w:eastAsia="Calibri" w:hAnsi="Palatino Linotype"/>
          <w:b/>
          <w:color w:val="000000" w:themeColor="text1"/>
          <w:sz w:val="22"/>
          <w:szCs w:val="22"/>
          <w:lang w:val="es-ES" w:eastAsia="es-MX"/>
        </w:rPr>
        <w:t xml:space="preserve">PRIMERO. </w:t>
      </w:r>
      <w:r w:rsidR="00076681" w:rsidRPr="00076681">
        <w:rPr>
          <w:rFonts w:ascii="Palatino Linotype" w:eastAsia="Times New Roman" w:hAnsi="Palatino Linotype"/>
          <w:b/>
          <w:color w:val="000000" w:themeColor="text1"/>
          <w:sz w:val="22"/>
          <w:szCs w:val="22"/>
          <w:lang w:val="es-ES" w:eastAsia="es-ES"/>
        </w:rPr>
        <w:t>Competencia</w:t>
      </w:r>
      <w:bookmarkEnd w:id="11"/>
    </w:p>
    <w:p w14:paraId="377E7349" w14:textId="77777777" w:rsidR="00DB3DC5" w:rsidRPr="00C821DD" w:rsidRDefault="00DB3DC5" w:rsidP="00570EFD">
      <w:pPr>
        <w:autoSpaceDE w:val="0"/>
        <w:autoSpaceDN w:val="0"/>
        <w:adjustRightInd w:val="0"/>
        <w:spacing w:after="0" w:line="360" w:lineRule="auto"/>
        <w:contextualSpacing/>
        <w:rPr>
          <w:rFonts w:eastAsia="Times New Roman" w:cs="Tahoma"/>
          <w:b/>
          <w:color w:val="FF0000"/>
          <w:szCs w:val="24"/>
          <w:lang w:val="es-ES" w:eastAsia="es-ES"/>
        </w:rPr>
      </w:pPr>
    </w:p>
    <w:p w14:paraId="61648E30" w14:textId="18A9163B" w:rsidR="005F0630" w:rsidRDefault="004C3AA8" w:rsidP="00570EFD">
      <w:pPr>
        <w:autoSpaceDE w:val="0"/>
        <w:autoSpaceDN w:val="0"/>
        <w:adjustRightInd w:val="0"/>
        <w:spacing w:after="0" w:line="360" w:lineRule="auto"/>
        <w:contextualSpacing/>
        <w:rPr>
          <w:rFonts w:eastAsia="Times New Roman" w:cs="Tahoma"/>
          <w:bCs/>
          <w:color w:val="auto"/>
          <w:lang w:eastAsia="es-ES"/>
        </w:rPr>
      </w:pPr>
      <w:r w:rsidRPr="004C3AA8">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5ADEEA" w14:textId="77777777" w:rsidR="004C3AA8" w:rsidRPr="004F74F5" w:rsidRDefault="004C3AA8" w:rsidP="00570EFD">
      <w:pPr>
        <w:autoSpaceDE w:val="0"/>
        <w:autoSpaceDN w:val="0"/>
        <w:adjustRightInd w:val="0"/>
        <w:spacing w:after="0" w:line="360" w:lineRule="auto"/>
        <w:contextualSpacing/>
        <w:rPr>
          <w:rFonts w:eastAsia="Calibri" w:cs="Tahoma"/>
          <w:b/>
          <w:color w:val="auto"/>
          <w:szCs w:val="24"/>
          <w:lang w:val="es-ES" w:eastAsia="es-MX"/>
        </w:rPr>
      </w:pPr>
    </w:p>
    <w:p w14:paraId="77696DE3" w14:textId="33801258" w:rsidR="00DB3DC5" w:rsidRPr="00076681" w:rsidRDefault="00DB3DC5" w:rsidP="00570EFD">
      <w:pPr>
        <w:pStyle w:val="Ttulo2"/>
        <w:spacing w:before="0" w:line="360" w:lineRule="auto"/>
        <w:rPr>
          <w:rFonts w:ascii="Palatino Linotype" w:eastAsia="Times New Roman" w:hAnsi="Palatino Linotype"/>
          <w:b/>
          <w:color w:val="000000" w:themeColor="text1"/>
          <w:sz w:val="22"/>
          <w:szCs w:val="22"/>
          <w:lang w:val="es-ES" w:eastAsia="es-ES"/>
        </w:rPr>
      </w:pPr>
      <w:bookmarkStart w:id="12" w:name="_Toc226641133"/>
      <w:r w:rsidRPr="00076681">
        <w:rPr>
          <w:rFonts w:ascii="Palatino Linotype" w:eastAsia="Calibri" w:hAnsi="Palatino Linotype"/>
          <w:b/>
          <w:color w:val="000000" w:themeColor="text1"/>
          <w:sz w:val="22"/>
          <w:szCs w:val="22"/>
          <w:lang w:val="es-ES" w:eastAsia="es-MX"/>
        </w:rPr>
        <w:t xml:space="preserve">SEGUNDO. </w:t>
      </w:r>
      <w:r w:rsidRPr="00076681">
        <w:rPr>
          <w:rFonts w:ascii="Palatino Linotype" w:eastAsia="Times New Roman" w:hAnsi="Palatino Linotype"/>
          <w:b/>
          <w:color w:val="000000" w:themeColor="text1"/>
          <w:sz w:val="22"/>
          <w:szCs w:val="22"/>
          <w:lang w:val="es-ES" w:eastAsia="es-ES"/>
        </w:rPr>
        <w:t>Causales de</w:t>
      </w:r>
      <w:r w:rsidR="00076681" w:rsidRPr="00076681">
        <w:rPr>
          <w:rFonts w:ascii="Palatino Linotype" w:eastAsia="Times New Roman" w:hAnsi="Palatino Linotype"/>
          <w:b/>
          <w:color w:val="000000" w:themeColor="text1"/>
          <w:sz w:val="22"/>
          <w:szCs w:val="22"/>
          <w:lang w:val="es-ES" w:eastAsia="es-ES"/>
        </w:rPr>
        <w:t xml:space="preserve"> improcedencia y sobreseimiento</w:t>
      </w:r>
      <w:bookmarkEnd w:id="12"/>
      <w:r w:rsidRPr="00076681">
        <w:rPr>
          <w:rFonts w:ascii="Palatino Linotype" w:eastAsia="Times New Roman" w:hAnsi="Palatino Linotype"/>
          <w:b/>
          <w:color w:val="000000" w:themeColor="text1"/>
          <w:sz w:val="22"/>
          <w:szCs w:val="22"/>
          <w:lang w:val="es-ES" w:eastAsia="es-ES"/>
        </w:rPr>
        <w:t xml:space="preserve"> </w:t>
      </w:r>
    </w:p>
    <w:p w14:paraId="22A992CE" w14:textId="77777777" w:rsidR="00DB3DC5" w:rsidRPr="004F74F5" w:rsidRDefault="00DB3DC5" w:rsidP="00570EFD">
      <w:pPr>
        <w:autoSpaceDE w:val="0"/>
        <w:autoSpaceDN w:val="0"/>
        <w:adjustRightInd w:val="0"/>
        <w:spacing w:after="0" w:line="360" w:lineRule="auto"/>
        <w:contextualSpacing/>
        <w:rPr>
          <w:rFonts w:eastAsia="Times New Roman" w:cs="Tahoma"/>
          <w:color w:val="auto"/>
          <w:szCs w:val="24"/>
          <w:lang w:val="es-ES" w:eastAsia="es-ES"/>
        </w:rPr>
      </w:pPr>
    </w:p>
    <w:p w14:paraId="5E71ADB2" w14:textId="77777777" w:rsidR="00DB3DC5" w:rsidRPr="004F74F5" w:rsidRDefault="00DB3DC5" w:rsidP="00570EFD">
      <w:pPr>
        <w:autoSpaceDE w:val="0"/>
        <w:autoSpaceDN w:val="0"/>
        <w:adjustRightInd w:val="0"/>
        <w:spacing w:after="0" w:line="360" w:lineRule="auto"/>
        <w:contextualSpacing/>
        <w:rPr>
          <w:rFonts w:eastAsia="Times New Roman" w:cs="Tahoma"/>
          <w:color w:val="auto"/>
          <w:szCs w:val="24"/>
          <w:lang w:val="es-ES" w:eastAsia="es-ES"/>
        </w:rPr>
      </w:pPr>
      <w:r w:rsidRPr="004F74F5">
        <w:rPr>
          <w:rFonts w:eastAsia="Times New Roman" w:cs="Tahoma"/>
          <w:color w:val="auto"/>
          <w:szCs w:val="24"/>
          <w:lang w:val="es-ES" w:eastAsia="es-ES"/>
        </w:rPr>
        <w:t xml:space="preserve">De las constancias que forma parte del Recurso de Revisión que se analiza, se advierte que previo al estudio del fondo de la </w:t>
      </w:r>
      <w:r w:rsidRPr="004F74F5">
        <w:rPr>
          <w:rFonts w:eastAsia="Times New Roman" w:cs="Tahoma"/>
          <w:i/>
          <w:color w:val="auto"/>
          <w:szCs w:val="24"/>
          <w:lang w:val="es-ES" w:eastAsia="es-ES"/>
        </w:rPr>
        <w:t>litis</w:t>
      </w:r>
      <w:r w:rsidRPr="004F74F5">
        <w:rPr>
          <w:rFonts w:eastAsia="Times New Roman" w:cs="Tahoma"/>
          <w:color w:val="auto"/>
          <w:szCs w:val="24"/>
          <w:lang w:val="es-ES" w:eastAsia="es-ES"/>
        </w:rPr>
        <w:t>, es necesario estudiar las causales de improcedencia y sobreseimiento que se adviertan, para determinar lo que en Derecho proceda.</w:t>
      </w:r>
    </w:p>
    <w:p w14:paraId="4A215CBB" w14:textId="77777777" w:rsidR="00DB3DC5" w:rsidRPr="004F74F5" w:rsidRDefault="00DB3DC5" w:rsidP="00570EFD">
      <w:pPr>
        <w:spacing w:after="0" w:line="360" w:lineRule="auto"/>
        <w:contextualSpacing/>
        <w:rPr>
          <w:b/>
          <w:color w:val="auto"/>
          <w:lang w:val="es-ES"/>
        </w:rPr>
      </w:pPr>
    </w:p>
    <w:p w14:paraId="7CEF4E51" w14:textId="77777777" w:rsidR="00DB3DC5" w:rsidRPr="004F74F5" w:rsidRDefault="00DB3DC5" w:rsidP="00570EFD">
      <w:pPr>
        <w:spacing w:after="0" w:line="360" w:lineRule="auto"/>
        <w:contextualSpacing/>
        <w:rPr>
          <w:b/>
          <w:color w:val="auto"/>
          <w:lang w:val="es-ES"/>
        </w:rPr>
      </w:pPr>
      <w:r w:rsidRPr="004F74F5">
        <w:rPr>
          <w:b/>
          <w:color w:val="auto"/>
          <w:lang w:val="es-ES"/>
        </w:rPr>
        <w:t>Causales de improcedencia</w:t>
      </w:r>
    </w:p>
    <w:p w14:paraId="039C7835" w14:textId="77777777" w:rsidR="00DB3DC5" w:rsidRPr="004F74F5" w:rsidRDefault="00DB3DC5" w:rsidP="00570EFD">
      <w:pPr>
        <w:spacing w:after="0" w:line="360" w:lineRule="auto"/>
        <w:contextualSpacing/>
        <w:rPr>
          <w:color w:val="auto"/>
        </w:rPr>
      </w:pPr>
    </w:p>
    <w:p w14:paraId="24BC499F" w14:textId="77777777" w:rsidR="00DB3DC5" w:rsidRPr="004F74F5" w:rsidRDefault="00DB3DC5" w:rsidP="00570EFD">
      <w:pPr>
        <w:spacing w:after="0" w:line="360" w:lineRule="auto"/>
        <w:contextualSpacing/>
        <w:rPr>
          <w:rFonts w:eastAsia="Times New Roman" w:cs="Tahoma"/>
          <w:color w:val="auto"/>
          <w:lang w:eastAsia="es-ES"/>
        </w:rPr>
      </w:pPr>
      <w:r w:rsidRPr="004F74F5">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6610D5C" w14:textId="77777777" w:rsidR="00DB3DC5" w:rsidRPr="004F74F5" w:rsidRDefault="00DB3DC5" w:rsidP="00570EFD">
      <w:pPr>
        <w:spacing w:after="0" w:line="360" w:lineRule="auto"/>
        <w:contextualSpacing/>
        <w:rPr>
          <w:rFonts w:eastAsia="Times New Roman" w:cs="Tahoma"/>
          <w:color w:val="auto"/>
          <w:lang w:eastAsia="es-ES"/>
        </w:rPr>
      </w:pPr>
    </w:p>
    <w:p w14:paraId="344A6FE5" w14:textId="77777777" w:rsidR="00DB3DC5" w:rsidRPr="004F74F5" w:rsidRDefault="00DB3DC5" w:rsidP="00570EFD">
      <w:pPr>
        <w:spacing w:after="0" w:line="360" w:lineRule="auto"/>
        <w:contextualSpacing/>
        <w:rPr>
          <w:rFonts w:eastAsia="Times New Roman" w:cs="Tahoma"/>
          <w:color w:val="auto"/>
          <w:lang w:eastAsia="es-ES"/>
        </w:rPr>
      </w:pPr>
      <w:r w:rsidRPr="004F74F5">
        <w:rPr>
          <w:rFonts w:eastAsia="Times New Roman" w:cs="Tahoma"/>
          <w:color w:val="auto"/>
          <w:lang w:eastAsia="es-ES"/>
        </w:rPr>
        <w:t>En el presente caso, </w:t>
      </w:r>
      <w:r w:rsidRPr="004F74F5">
        <w:rPr>
          <w:rFonts w:eastAsia="Times New Roman" w:cs="Tahoma"/>
          <w:b/>
          <w:bCs/>
          <w:color w:val="auto"/>
          <w:lang w:eastAsia="es-ES"/>
        </w:rPr>
        <w:t>no se actualiza ninguna de las causales de improcedencia</w:t>
      </w:r>
      <w:r w:rsidRPr="004F74F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0308760A" w14:textId="77777777" w:rsidR="00DB3DC5" w:rsidRPr="004F74F5" w:rsidRDefault="00DB3DC5" w:rsidP="00570EFD">
      <w:pPr>
        <w:spacing w:after="0" w:line="360" w:lineRule="auto"/>
        <w:contextualSpacing/>
        <w:rPr>
          <w:rFonts w:eastAsia="Times New Roman" w:cs="Tahoma"/>
          <w:color w:val="auto"/>
          <w:lang w:val="es-ES" w:eastAsia="es-ES"/>
        </w:rPr>
      </w:pPr>
    </w:p>
    <w:p w14:paraId="76A50112" w14:textId="0CD0CF9F" w:rsidR="00DB3DC5" w:rsidRPr="004F74F5" w:rsidRDefault="00DB3DC5" w:rsidP="00570EFD">
      <w:pPr>
        <w:spacing w:after="0" w:line="360" w:lineRule="auto"/>
        <w:contextualSpacing/>
        <w:rPr>
          <w:rFonts w:eastAsia="Times New Roman" w:cs="Tahoma"/>
          <w:bCs/>
          <w:color w:val="auto"/>
          <w:lang w:val="es-ES" w:eastAsia="es-ES"/>
        </w:rPr>
      </w:pPr>
      <w:r w:rsidRPr="004F74F5">
        <w:rPr>
          <w:rFonts w:eastAsia="Times New Roman" w:cs="Tahoma"/>
          <w:color w:val="auto"/>
          <w:lang w:val="es-ES" w:eastAsia="es-ES"/>
        </w:rPr>
        <w:t>Conforme a lo anterior, se actualiza</w:t>
      </w:r>
      <w:r w:rsidR="00DD0E44">
        <w:rPr>
          <w:rFonts w:eastAsia="Times New Roman" w:cs="Tahoma"/>
          <w:color w:val="auto"/>
          <w:lang w:val="es-ES" w:eastAsia="es-ES"/>
        </w:rPr>
        <w:t xml:space="preserve"> </w:t>
      </w:r>
      <w:r w:rsidRPr="004F74F5">
        <w:rPr>
          <w:rFonts w:eastAsia="Times New Roman" w:cs="Tahoma"/>
          <w:color w:val="auto"/>
          <w:lang w:val="es-ES" w:eastAsia="es-ES"/>
        </w:rPr>
        <w:t>la causal de procedencia señalad</w:t>
      </w:r>
      <w:r w:rsidR="00BB36D2" w:rsidRPr="004F74F5">
        <w:rPr>
          <w:rFonts w:eastAsia="Times New Roman" w:cs="Tahoma"/>
          <w:color w:val="auto"/>
          <w:lang w:val="es-ES" w:eastAsia="es-ES"/>
        </w:rPr>
        <w:t xml:space="preserve">a en el artículo 179, </w:t>
      </w:r>
      <w:r w:rsidR="006945D2" w:rsidRPr="006945D2">
        <w:rPr>
          <w:rFonts w:eastAsia="Times New Roman" w:cs="Tahoma"/>
          <w:color w:val="auto"/>
          <w:lang w:val="es-ES" w:eastAsia="es-ES"/>
        </w:rPr>
        <w:t>fracci</w:t>
      </w:r>
      <w:r w:rsidR="00DD0E44">
        <w:rPr>
          <w:rFonts w:eastAsia="Times New Roman" w:cs="Tahoma"/>
          <w:color w:val="auto"/>
          <w:lang w:val="es-ES" w:eastAsia="es-ES"/>
        </w:rPr>
        <w:t xml:space="preserve">ón </w:t>
      </w:r>
      <w:r w:rsidR="00403C4E">
        <w:rPr>
          <w:rFonts w:eastAsia="Times New Roman" w:cs="Tahoma"/>
          <w:color w:val="auto"/>
          <w:lang w:val="es-ES" w:eastAsia="es-ES"/>
        </w:rPr>
        <w:t>I</w:t>
      </w:r>
      <w:r w:rsidR="008E73C1">
        <w:rPr>
          <w:rFonts w:eastAsia="Times New Roman" w:cs="Tahoma"/>
          <w:color w:val="auto"/>
          <w:lang w:val="es-ES" w:eastAsia="es-ES"/>
        </w:rPr>
        <w:t>I</w:t>
      </w:r>
      <w:r w:rsidRPr="006945D2">
        <w:rPr>
          <w:rFonts w:eastAsia="Times New Roman" w:cs="Tahoma"/>
          <w:color w:val="auto"/>
          <w:lang w:val="es-ES" w:eastAsia="es-ES"/>
        </w:rPr>
        <w:t>, de</w:t>
      </w:r>
      <w:r w:rsidRPr="004F74F5">
        <w:rPr>
          <w:rFonts w:eastAsia="Times New Roman" w:cs="Tahoma"/>
          <w:color w:val="auto"/>
          <w:lang w:val="es-ES" w:eastAsia="es-ES"/>
        </w:rPr>
        <w:t xml:space="preserve"> la Ley de la materia</w:t>
      </w:r>
      <w:r w:rsidRPr="004F74F5">
        <w:rPr>
          <w:rFonts w:eastAsia="Times New Roman" w:cs="Tahoma"/>
          <w:bCs/>
          <w:color w:val="auto"/>
          <w:lang w:val="es-ES" w:eastAsia="es-ES"/>
        </w:rPr>
        <w:t xml:space="preserve">, toda vez que el Solicitante se inconformó con la </w:t>
      </w:r>
      <w:r w:rsidR="00403C4E">
        <w:rPr>
          <w:rFonts w:eastAsia="Times New Roman" w:cs="Tahoma"/>
          <w:bCs/>
          <w:color w:val="auto"/>
          <w:lang w:val="es-ES" w:eastAsia="es-ES"/>
        </w:rPr>
        <w:t>clasificación de la información</w:t>
      </w:r>
      <w:r w:rsidR="008E73C1">
        <w:rPr>
          <w:rFonts w:eastAsia="Times New Roman" w:cs="Tahoma"/>
          <w:bCs/>
          <w:color w:val="auto"/>
          <w:lang w:val="es-ES" w:eastAsia="es-ES"/>
        </w:rPr>
        <w:t xml:space="preserve">. </w:t>
      </w:r>
      <w:r w:rsidR="002F1D02">
        <w:rPr>
          <w:rFonts w:eastAsia="Times New Roman" w:cs="Tahoma"/>
          <w:bCs/>
          <w:color w:val="auto"/>
          <w:lang w:val="es-ES" w:eastAsia="es-ES"/>
        </w:rPr>
        <w:t xml:space="preserve"> </w:t>
      </w:r>
    </w:p>
    <w:p w14:paraId="33270C86" w14:textId="77777777" w:rsidR="00DB3DC5" w:rsidRPr="004F74F5" w:rsidRDefault="00DB3DC5" w:rsidP="00570EFD">
      <w:pPr>
        <w:spacing w:after="0" w:line="360" w:lineRule="auto"/>
        <w:contextualSpacing/>
        <w:rPr>
          <w:rFonts w:cs="Tahoma"/>
          <w:color w:val="auto"/>
          <w:lang w:val="es-ES"/>
        </w:rPr>
      </w:pPr>
    </w:p>
    <w:p w14:paraId="1F9679C3" w14:textId="77777777" w:rsidR="0096358C" w:rsidRPr="0096358C" w:rsidRDefault="0096358C" w:rsidP="00570EFD">
      <w:pPr>
        <w:spacing w:after="0" w:line="360" w:lineRule="auto"/>
        <w:rPr>
          <w:rFonts w:eastAsia="Palatino Linotype" w:cs="Palatino Linotype"/>
          <w:color w:val="0D0D0D"/>
          <w:lang w:eastAsia="es-MX"/>
        </w:rPr>
      </w:pPr>
      <w:r w:rsidRPr="0096358C">
        <w:rPr>
          <w:rFonts w:eastAsia="Palatino Linotype" w:cs="Palatino Linotype"/>
          <w:b/>
          <w:color w:val="0D0D0D"/>
          <w:lang w:eastAsia="es-MX"/>
        </w:rPr>
        <w:t>Causales de sobreseimiento</w:t>
      </w:r>
    </w:p>
    <w:p w14:paraId="6ACA01E8" w14:textId="77777777" w:rsidR="0096358C" w:rsidRPr="0096358C" w:rsidRDefault="0096358C" w:rsidP="00570EFD">
      <w:pPr>
        <w:spacing w:after="0" w:line="360" w:lineRule="auto"/>
        <w:rPr>
          <w:rFonts w:eastAsia="Palatino Linotype" w:cs="Palatino Linotype"/>
          <w:color w:val="0D0D0D"/>
          <w:lang w:eastAsia="es-MX"/>
        </w:rPr>
      </w:pPr>
    </w:p>
    <w:p w14:paraId="62B819D7" w14:textId="77777777" w:rsidR="0096358C" w:rsidRPr="0096358C" w:rsidRDefault="0096358C" w:rsidP="00570EFD">
      <w:pPr>
        <w:spacing w:after="0" w:line="360" w:lineRule="auto"/>
        <w:rPr>
          <w:rFonts w:eastAsia="Palatino Linotype" w:cs="Palatino Linotype"/>
          <w:color w:val="0D0D0D"/>
          <w:lang w:eastAsia="es-MX"/>
        </w:rPr>
      </w:pPr>
      <w:r w:rsidRPr="0096358C">
        <w:rPr>
          <w:rFonts w:eastAsia="Palatino Linotype" w:cs="Palatino Linotype"/>
          <w:color w:val="0D0D0D"/>
          <w:lang w:eastAsia="es-MX"/>
        </w:rPr>
        <w:t>Por ser de previo y especial pronunciamiento, este Instituto analiza si se actualiza alguna causal de sobreseimiento.</w:t>
      </w:r>
    </w:p>
    <w:p w14:paraId="4BC430FC" w14:textId="77777777" w:rsidR="0096358C" w:rsidRPr="0096358C" w:rsidRDefault="0096358C" w:rsidP="00570EFD">
      <w:pPr>
        <w:spacing w:after="0" w:line="360" w:lineRule="auto"/>
        <w:rPr>
          <w:rFonts w:eastAsia="Palatino Linotype" w:cs="Palatino Linotype"/>
          <w:color w:val="0D0D0D"/>
          <w:lang w:eastAsia="es-MX"/>
        </w:rPr>
      </w:pPr>
    </w:p>
    <w:p w14:paraId="40981242" w14:textId="77777777" w:rsidR="0096358C" w:rsidRPr="0096358C" w:rsidRDefault="0096358C" w:rsidP="00570EFD">
      <w:pPr>
        <w:spacing w:after="0" w:line="360" w:lineRule="auto"/>
        <w:rPr>
          <w:rFonts w:eastAsia="Palatino Linotype" w:cs="Palatino Linotype"/>
          <w:color w:val="000000"/>
          <w:lang w:eastAsia="es-MX"/>
        </w:rPr>
      </w:pPr>
      <w:r w:rsidRPr="0096358C">
        <w:rPr>
          <w:rFonts w:eastAsia="Palatino Linotype" w:cs="Palatino Linotype"/>
          <w:color w:val="0D0D0D"/>
          <w:lang w:eastAsia="es-MX"/>
        </w:rPr>
        <w:t>Sobre el tema, e</w:t>
      </w:r>
      <w:r w:rsidRPr="0096358C">
        <w:rPr>
          <w:rFonts w:eastAsia="Palatino Linotype" w:cs="Palatino Linotype"/>
          <w:color w:val="000000"/>
          <w:lang w:eastAsia="es-MX"/>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2501383C" w14:textId="77777777" w:rsidR="0096358C" w:rsidRPr="0096358C" w:rsidRDefault="0096358C" w:rsidP="00570EFD">
      <w:pPr>
        <w:spacing w:after="0" w:line="360" w:lineRule="auto"/>
        <w:rPr>
          <w:rFonts w:eastAsia="Palatino Linotype" w:cs="Palatino Linotype"/>
          <w:color w:val="000000"/>
          <w:lang w:eastAsia="es-MX"/>
        </w:rPr>
      </w:pPr>
    </w:p>
    <w:p w14:paraId="3AD7097F" w14:textId="77777777" w:rsidR="0096358C" w:rsidRPr="0096358C" w:rsidRDefault="0096358C" w:rsidP="00570EFD">
      <w:pPr>
        <w:spacing w:after="0" w:line="360" w:lineRule="auto"/>
        <w:rPr>
          <w:rFonts w:eastAsia="Palatino Linotype" w:cs="Palatino Linotype"/>
          <w:color w:val="0D0D0D"/>
          <w:lang w:eastAsia="es-MX"/>
        </w:rPr>
      </w:pPr>
      <w:r w:rsidRPr="0096358C">
        <w:rPr>
          <w:rFonts w:eastAsia="Palatino Linotype" w:cs="Palatino Linotype"/>
          <w:color w:val="0D0D0D"/>
          <w:lang w:eastAsia="es-MX"/>
        </w:rPr>
        <w:t xml:space="preserve">Por tales motivos, se considera procedente entrar al fondo del presente asunto. </w:t>
      </w:r>
    </w:p>
    <w:p w14:paraId="51FFF3D0" w14:textId="77777777" w:rsidR="00DB3DC5" w:rsidRPr="004F74F5" w:rsidRDefault="00DB3DC5" w:rsidP="00570EFD">
      <w:pPr>
        <w:spacing w:after="0" w:line="360" w:lineRule="auto"/>
        <w:contextualSpacing/>
        <w:rPr>
          <w:rFonts w:eastAsia="Times New Roman" w:cs="Tahoma"/>
          <w:b/>
          <w:bCs/>
          <w:iCs/>
          <w:color w:val="auto"/>
          <w:lang w:val="es-ES" w:eastAsia="es-ES"/>
        </w:rPr>
      </w:pPr>
    </w:p>
    <w:p w14:paraId="633955FE" w14:textId="54B7B231" w:rsidR="00DB3DC5" w:rsidRPr="00076681" w:rsidRDefault="00DB3DC5" w:rsidP="00570EFD">
      <w:pPr>
        <w:pStyle w:val="Ttulo2"/>
        <w:spacing w:before="0" w:line="360" w:lineRule="auto"/>
        <w:rPr>
          <w:rFonts w:ascii="Palatino Linotype" w:eastAsia="Times New Roman" w:hAnsi="Palatino Linotype"/>
          <w:b/>
          <w:color w:val="000000" w:themeColor="text1"/>
          <w:sz w:val="22"/>
          <w:szCs w:val="22"/>
          <w:lang w:val="es-ES" w:eastAsia="es-ES"/>
        </w:rPr>
      </w:pPr>
      <w:bookmarkStart w:id="13" w:name="_Toc226641134"/>
      <w:r w:rsidRPr="00076681">
        <w:rPr>
          <w:rFonts w:ascii="Palatino Linotype" w:eastAsia="Times New Roman" w:hAnsi="Palatino Linotype"/>
          <w:b/>
          <w:color w:val="000000" w:themeColor="text1"/>
          <w:sz w:val="22"/>
          <w:szCs w:val="22"/>
          <w:lang w:val="es-ES" w:eastAsia="es-ES"/>
        </w:rPr>
        <w:t>TERCERO. De</w:t>
      </w:r>
      <w:r w:rsidR="00076681" w:rsidRPr="00076681">
        <w:rPr>
          <w:rFonts w:ascii="Palatino Linotype" w:eastAsia="Times New Roman" w:hAnsi="Palatino Linotype"/>
          <w:b/>
          <w:color w:val="000000" w:themeColor="text1"/>
          <w:sz w:val="22"/>
          <w:szCs w:val="22"/>
          <w:lang w:val="es-ES" w:eastAsia="es-ES"/>
        </w:rPr>
        <w:t>terminación de la Controversia</w:t>
      </w:r>
      <w:bookmarkEnd w:id="13"/>
    </w:p>
    <w:p w14:paraId="29A4CC8A" w14:textId="77777777" w:rsidR="00DB3DC5" w:rsidRPr="00C821DD" w:rsidRDefault="00DB3DC5" w:rsidP="00570EFD">
      <w:pPr>
        <w:autoSpaceDE w:val="0"/>
        <w:autoSpaceDN w:val="0"/>
        <w:adjustRightInd w:val="0"/>
        <w:spacing w:after="0" w:line="360" w:lineRule="auto"/>
        <w:contextualSpacing/>
        <w:rPr>
          <w:rFonts w:eastAsia="Calibri" w:cs="Tahoma"/>
          <w:color w:val="FF0000"/>
          <w:lang w:val="es-ES" w:eastAsia="es-MX"/>
        </w:rPr>
      </w:pPr>
    </w:p>
    <w:p w14:paraId="0C864300" w14:textId="79EDE6EB" w:rsidR="00FD19DD" w:rsidRDefault="00D0244F" w:rsidP="00570EFD">
      <w:pPr>
        <w:spacing w:after="0" w:line="360" w:lineRule="auto"/>
        <w:rPr>
          <w:rFonts w:cs="Tahoma"/>
          <w:color w:val="auto"/>
        </w:rPr>
      </w:pPr>
      <w:r w:rsidRPr="009C3492">
        <w:rPr>
          <w:rFonts w:eastAsia="Calibri" w:cs="Tahoma"/>
          <w:iCs/>
          <w:color w:val="auto"/>
          <w:lang w:val="es-ES" w:eastAsia="es-ES_tradnl"/>
        </w:rPr>
        <w:t xml:space="preserve">Una vez realizado el estudio de las constancias que integran el expediente en que se actúa, se desprende </w:t>
      </w:r>
      <w:r w:rsidRPr="009C3492">
        <w:rPr>
          <w:rFonts w:cs="Tahoma"/>
          <w:color w:val="auto"/>
        </w:rPr>
        <w:t xml:space="preserve">que el Recurrente </w:t>
      </w:r>
      <w:r w:rsidR="001E59AF" w:rsidRPr="009C3492">
        <w:rPr>
          <w:rFonts w:cs="Tahoma"/>
          <w:color w:val="auto"/>
        </w:rPr>
        <w:t>requirió</w:t>
      </w:r>
      <w:r w:rsidR="00CC44B4">
        <w:rPr>
          <w:rFonts w:cs="Tahoma"/>
          <w:color w:val="auto"/>
        </w:rPr>
        <w:t xml:space="preserve"> respecto a las obras o construcciones particulares suspendidas</w:t>
      </w:r>
      <w:r w:rsidR="001E59AF" w:rsidRPr="009C3492">
        <w:rPr>
          <w:rFonts w:cs="Tahoma"/>
          <w:color w:val="auto"/>
        </w:rPr>
        <w:t xml:space="preserve"> </w:t>
      </w:r>
      <w:r w:rsidR="00CC44B4">
        <w:rPr>
          <w:rFonts w:cs="Tahoma"/>
          <w:color w:val="auto"/>
        </w:rPr>
        <w:t>del primero de enero al tres de noviembre de dos mil veinticinco, lo siguiente:</w:t>
      </w:r>
    </w:p>
    <w:p w14:paraId="045156E9" w14:textId="508989C5" w:rsidR="00CC44B4" w:rsidRDefault="00CC44B4" w:rsidP="00570EFD">
      <w:pPr>
        <w:pStyle w:val="Prrafodelista"/>
        <w:numPr>
          <w:ilvl w:val="0"/>
          <w:numId w:val="41"/>
        </w:numPr>
        <w:spacing w:after="0" w:line="360" w:lineRule="auto"/>
        <w:rPr>
          <w:rFonts w:cs="Tahoma"/>
          <w:color w:val="auto"/>
        </w:rPr>
      </w:pPr>
      <w:r>
        <w:rPr>
          <w:rFonts w:cs="Tahoma"/>
          <w:color w:val="auto"/>
        </w:rPr>
        <w:t>El número total de suspensiones, y</w:t>
      </w:r>
    </w:p>
    <w:p w14:paraId="3E3E5E50" w14:textId="77777777" w:rsidR="00CC44B4" w:rsidRDefault="00CC44B4" w:rsidP="00570EFD">
      <w:pPr>
        <w:pStyle w:val="Prrafodelista"/>
        <w:spacing w:after="0" w:line="360" w:lineRule="auto"/>
        <w:rPr>
          <w:rFonts w:cs="Tahoma"/>
          <w:color w:val="auto"/>
        </w:rPr>
      </w:pPr>
    </w:p>
    <w:p w14:paraId="3FA887DE" w14:textId="2612F0DE" w:rsidR="00CC44B4" w:rsidRPr="00CC44B4" w:rsidRDefault="00CC44B4" w:rsidP="00570EFD">
      <w:pPr>
        <w:pStyle w:val="Prrafodelista"/>
        <w:numPr>
          <w:ilvl w:val="0"/>
          <w:numId w:val="41"/>
        </w:numPr>
        <w:spacing w:after="0" w:line="360" w:lineRule="auto"/>
        <w:rPr>
          <w:rFonts w:cs="Tahoma"/>
          <w:color w:val="auto"/>
        </w:rPr>
      </w:pPr>
      <w:r>
        <w:rPr>
          <w:rFonts w:cs="Tahoma"/>
          <w:color w:val="auto"/>
        </w:rPr>
        <w:t>El número de folio de cada uno de los sellos de suspensión utilizados.</w:t>
      </w:r>
    </w:p>
    <w:p w14:paraId="6ACC4ED2" w14:textId="77777777" w:rsidR="00F87269" w:rsidRPr="00F87269" w:rsidRDefault="00F87269" w:rsidP="00570EFD">
      <w:pPr>
        <w:spacing w:after="0" w:line="360" w:lineRule="auto"/>
        <w:rPr>
          <w:rFonts w:cs="Tahoma"/>
          <w:color w:val="auto"/>
        </w:rPr>
      </w:pPr>
    </w:p>
    <w:p w14:paraId="71EA3622" w14:textId="5AB0FD52" w:rsidR="00B456E9" w:rsidRDefault="00D0244F" w:rsidP="00570EFD">
      <w:pPr>
        <w:spacing w:after="0" w:line="360" w:lineRule="auto"/>
        <w:ind w:right="-28"/>
        <w:rPr>
          <w:rFonts w:eastAsia="Calibri" w:cs="Tahoma"/>
          <w:color w:val="auto"/>
        </w:rPr>
      </w:pPr>
      <w:r w:rsidRPr="001F22AA">
        <w:rPr>
          <w:rFonts w:cs="Tahoma"/>
          <w:bCs/>
          <w:iCs/>
          <w:color w:val="auto"/>
          <w:lang w:val="es-ES"/>
        </w:rPr>
        <w:t xml:space="preserve">En respuesta, el Sujeto Obligado, por medio de </w:t>
      </w:r>
      <w:r w:rsidR="008E73C1">
        <w:rPr>
          <w:rFonts w:cs="Tahoma"/>
          <w:bCs/>
          <w:iCs/>
          <w:color w:val="auto"/>
          <w:lang w:val="es-ES"/>
        </w:rPr>
        <w:t xml:space="preserve">la Unidad </w:t>
      </w:r>
      <w:r w:rsidR="00CC44B4">
        <w:rPr>
          <w:rFonts w:cs="Tahoma"/>
          <w:bCs/>
          <w:iCs/>
          <w:color w:val="auto"/>
          <w:lang w:val="es-ES"/>
        </w:rPr>
        <w:t>de Transparencia</w:t>
      </w:r>
      <w:r w:rsidR="008E73C1">
        <w:rPr>
          <w:rFonts w:cs="Tahoma"/>
          <w:bCs/>
          <w:iCs/>
          <w:color w:val="auto"/>
          <w:lang w:val="es-ES"/>
        </w:rPr>
        <w:t xml:space="preserve">, precisó </w:t>
      </w:r>
      <w:r w:rsidR="006F4872">
        <w:rPr>
          <w:rFonts w:cs="Tahoma"/>
          <w:bCs/>
          <w:iCs/>
          <w:color w:val="auto"/>
          <w:lang w:val="es-ES"/>
        </w:rPr>
        <w:t>la información solicitada, contenía datos que podía identificar directa o indirectamente a personas físicas o morales privadas, como propietarios, responsables de obras o domicilios particulares por lo que era información confidencial; además, precisó que en los casos que existieran procedimientos administrativos en trámite, la divulgación de la información vulneraría el debido proceso administrativo; la presunción de licitud y derechos particulares, eficacia de la función inspectora y control urbano y la competencia municipal en materia de desarrollo urbano y disciplina administrativa</w:t>
      </w:r>
      <w:r w:rsidR="00150BF7">
        <w:rPr>
          <w:rFonts w:cs="Tahoma"/>
          <w:bCs/>
          <w:iCs/>
          <w:color w:val="auto"/>
          <w:lang w:val="es-ES"/>
        </w:rPr>
        <w:t>;</w:t>
      </w:r>
      <w:r w:rsidR="00914B0A">
        <w:rPr>
          <w:rFonts w:cs="Tahoma"/>
          <w:color w:val="auto"/>
          <w:lang w:val="es-ES"/>
        </w:rPr>
        <w:t xml:space="preserve"> ante dicha circunstancia, </w:t>
      </w:r>
      <w:r w:rsidRPr="003E5ADD">
        <w:rPr>
          <w:rFonts w:cs="Tahoma"/>
          <w:color w:val="auto"/>
          <w:lang w:val="es-ES"/>
        </w:rPr>
        <w:t xml:space="preserve">el Particular se inconformó </w:t>
      </w:r>
      <w:r w:rsidR="006F4872">
        <w:rPr>
          <w:rFonts w:cs="Tahoma"/>
          <w:color w:val="auto"/>
          <w:lang w:val="es-ES"/>
        </w:rPr>
        <w:t>de la clasificación de la información, al señalar que no requería información personal, ni de los procedimientos, sino que quería tener acceso a información general y estadística</w:t>
      </w:r>
      <w:r w:rsidR="003E5ADD">
        <w:rPr>
          <w:rFonts w:cs="Tahoma"/>
          <w:color w:val="auto"/>
          <w:lang w:val="es-ES"/>
        </w:rPr>
        <w:t xml:space="preserve">, </w:t>
      </w:r>
      <w:r w:rsidRPr="003E5ADD">
        <w:rPr>
          <w:rFonts w:cs="Tahoma"/>
          <w:color w:val="auto"/>
          <w:lang w:val="es-ES"/>
        </w:rPr>
        <w:t>lo cual,</w:t>
      </w:r>
      <w:r w:rsidRPr="003E5ADD">
        <w:rPr>
          <w:rFonts w:eastAsia="Calibri" w:cs="Tahoma"/>
          <w:color w:val="auto"/>
        </w:rPr>
        <w:t xml:space="preserve"> actualiza la causal de procedencia previst</w:t>
      </w:r>
      <w:r w:rsidR="001C4397">
        <w:rPr>
          <w:rFonts w:eastAsia="Calibri" w:cs="Tahoma"/>
          <w:color w:val="auto"/>
        </w:rPr>
        <w:t>a</w:t>
      </w:r>
      <w:r w:rsidRPr="003E5ADD">
        <w:rPr>
          <w:rFonts w:eastAsia="Calibri" w:cs="Tahoma"/>
          <w:color w:val="auto"/>
        </w:rPr>
        <w:t xml:space="preserve"> en la fracc</w:t>
      </w:r>
      <w:r w:rsidR="00394286">
        <w:rPr>
          <w:rFonts w:eastAsia="Calibri" w:cs="Tahoma"/>
          <w:color w:val="auto"/>
        </w:rPr>
        <w:t>i</w:t>
      </w:r>
      <w:r w:rsidR="001C4397">
        <w:rPr>
          <w:rFonts w:eastAsia="Calibri" w:cs="Tahoma"/>
          <w:color w:val="auto"/>
        </w:rPr>
        <w:t xml:space="preserve">ón </w:t>
      </w:r>
      <w:r w:rsidR="006F4872">
        <w:rPr>
          <w:rFonts w:eastAsia="Calibri" w:cs="Tahoma"/>
          <w:color w:val="auto"/>
        </w:rPr>
        <w:t>I</w:t>
      </w:r>
      <w:r w:rsidR="00111AC7">
        <w:rPr>
          <w:rFonts w:eastAsia="Calibri" w:cs="Tahoma"/>
          <w:color w:val="auto"/>
        </w:rPr>
        <w:t>I</w:t>
      </w:r>
      <w:r w:rsidR="003E5ADD" w:rsidRPr="003E5ADD">
        <w:rPr>
          <w:rFonts w:eastAsia="Calibri" w:cs="Tahoma"/>
          <w:color w:val="auto"/>
        </w:rPr>
        <w:t xml:space="preserve">, </w:t>
      </w:r>
      <w:r w:rsidRPr="003E5ADD">
        <w:rPr>
          <w:rFonts w:eastAsia="Calibri" w:cs="Tahoma"/>
          <w:color w:val="auto"/>
        </w:rPr>
        <w:t>del artículo 179 de la Ley de Transparencia y Acceso a la Información Pública del Estado de México y M</w:t>
      </w:r>
      <w:r w:rsidRPr="005C6199">
        <w:rPr>
          <w:rFonts w:eastAsia="Calibri" w:cs="Tahoma"/>
          <w:color w:val="auto"/>
        </w:rPr>
        <w:t>unicipios.</w:t>
      </w:r>
      <w:r w:rsidR="00914B0A">
        <w:rPr>
          <w:rFonts w:eastAsia="Calibri" w:cs="Tahoma"/>
          <w:color w:val="auto"/>
        </w:rPr>
        <w:t xml:space="preserve"> </w:t>
      </w:r>
      <w:r w:rsidR="00914B0A" w:rsidRPr="00914B0A">
        <w:rPr>
          <w:rFonts w:eastAsia="Calibri" w:cs="Tahoma"/>
          <w:color w:val="auto"/>
        </w:rPr>
        <w:t xml:space="preserve">Así las cosas, una vez admitido y notificado el Recurso de Revisión a las partes, </w:t>
      </w:r>
      <w:r w:rsidR="006F4872">
        <w:rPr>
          <w:rFonts w:eastAsia="Calibri" w:cs="Tahoma"/>
          <w:color w:val="auto"/>
        </w:rPr>
        <w:t>estas fueron omisas en emitir manifestaciones o alegatos.</w:t>
      </w:r>
      <w:r w:rsidR="00251B33">
        <w:rPr>
          <w:rFonts w:eastAsia="Calibri" w:cs="Tahoma"/>
          <w:color w:val="auto"/>
        </w:rPr>
        <w:t xml:space="preserve"> </w:t>
      </w:r>
    </w:p>
    <w:p w14:paraId="6CBAEA4E" w14:textId="1D61BEF2" w:rsidR="00E73B06" w:rsidRPr="003E5ADD" w:rsidRDefault="00E73B06" w:rsidP="00570EFD">
      <w:pPr>
        <w:spacing w:after="0" w:line="360" w:lineRule="auto"/>
        <w:ind w:right="-28"/>
        <w:rPr>
          <w:rFonts w:cs="Tahoma"/>
          <w:bCs/>
          <w:iCs/>
          <w:color w:val="auto"/>
          <w:lang w:val="es-ES"/>
        </w:rPr>
      </w:pPr>
    </w:p>
    <w:p w14:paraId="3A6521F2" w14:textId="558F99F8" w:rsidR="00DB3DC5" w:rsidRPr="00EB4479" w:rsidRDefault="00DB3DC5" w:rsidP="00570EFD">
      <w:pPr>
        <w:tabs>
          <w:tab w:val="left" w:pos="4962"/>
        </w:tabs>
        <w:spacing w:after="0" w:line="360" w:lineRule="auto"/>
        <w:contextualSpacing/>
        <w:rPr>
          <w:rFonts w:eastAsia="Calibri" w:cs="Tahoma"/>
          <w:bCs/>
          <w:color w:val="auto"/>
          <w:szCs w:val="24"/>
        </w:rPr>
      </w:pPr>
      <w:r w:rsidRPr="00EB4479">
        <w:rPr>
          <w:rFonts w:eastAsia="Calibri" w:cs="Tahoma"/>
          <w:iCs/>
          <w:color w:val="auto"/>
          <w:lang w:val="es-ES" w:eastAsia="es-ES_tradnl"/>
        </w:rPr>
        <w:t>Lo anterior, se desprende de las documentales que obran en el expediente de referencia, materia de la presente resolución, consistente en: la solicitud de acceso a la información</w:t>
      </w:r>
      <w:r w:rsidR="00914B0A">
        <w:rPr>
          <w:rFonts w:eastAsia="Calibri" w:cs="Tahoma"/>
          <w:iCs/>
          <w:color w:val="auto"/>
          <w:lang w:val="es-ES" w:eastAsia="es-ES_tradnl"/>
        </w:rPr>
        <w:t>, la respuesta y</w:t>
      </w:r>
      <w:r w:rsidRPr="00EB4479">
        <w:rPr>
          <w:rFonts w:eastAsia="Calibri" w:cs="Tahoma"/>
          <w:iCs/>
          <w:color w:val="auto"/>
          <w:lang w:eastAsia="es-ES_tradnl"/>
        </w:rPr>
        <w:t xml:space="preserve"> el escrito recursal; </w:t>
      </w:r>
      <w:r w:rsidRPr="00EB4479">
        <w:rPr>
          <w:rFonts w:eastAsia="Calibri" w:cs="Tahoma"/>
          <w:bCs/>
          <w:color w:val="auto"/>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54D41AE7" w14:textId="77777777" w:rsidR="00DB3DC5" w:rsidRPr="00EB4479" w:rsidRDefault="00DB3DC5" w:rsidP="00570EFD">
      <w:pPr>
        <w:autoSpaceDE w:val="0"/>
        <w:autoSpaceDN w:val="0"/>
        <w:adjustRightInd w:val="0"/>
        <w:spacing w:after="0" w:line="360" w:lineRule="auto"/>
        <w:contextualSpacing/>
        <w:rPr>
          <w:rFonts w:eastAsia="Times New Roman" w:cs="Tahoma"/>
          <w:b/>
          <w:bCs/>
          <w:iCs/>
          <w:color w:val="auto"/>
          <w:lang w:val="es-ES" w:eastAsia="es-ES"/>
        </w:rPr>
      </w:pPr>
    </w:p>
    <w:p w14:paraId="6818EF86" w14:textId="7240494C" w:rsidR="00DB3DC5" w:rsidRPr="00076681" w:rsidRDefault="00DB3DC5" w:rsidP="00570EFD">
      <w:pPr>
        <w:pStyle w:val="Ttulo2"/>
        <w:spacing w:before="0" w:line="360" w:lineRule="auto"/>
        <w:rPr>
          <w:rFonts w:ascii="Palatino Linotype" w:eastAsia="Times New Roman" w:hAnsi="Palatino Linotype"/>
          <w:b/>
          <w:color w:val="000000" w:themeColor="text1"/>
          <w:sz w:val="22"/>
          <w:szCs w:val="22"/>
          <w:lang w:eastAsia="es-ES"/>
        </w:rPr>
      </w:pPr>
      <w:bookmarkStart w:id="14" w:name="_Toc226641135"/>
      <w:r w:rsidRPr="00076681">
        <w:rPr>
          <w:rFonts w:ascii="Palatino Linotype" w:eastAsia="Times New Roman" w:hAnsi="Palatino Linotype"/>
          <w:b/>
          <w:color w:val="000000" w:themeColor="text1"/>
          <w:sz w:val="22"/>
          <w:szCs w:val="22"/>
          <w:lang w:val="es-ES" w:eastAsia="es-ES"/>
        </w:rPr>
        <w:t xml:space="preserve">CUARTO. </w:t>
      </w:r>
      <w:r w:rsidRPr="00076681">
        <w:rPr>
          <w:rFonts w:ascii="Palatino Linotype" w:eastAsia="Times New Roman" w:hAnsi="Palatino Linotype"/>
          <w:b/>
          <w:color w:val="000000" w:themeColor="text1"/>
          <w:sz w:val="22"/>
          <w:szCs w:val="22"/>
          <w:lang w:eastAsia="es-ES"/>
        </w:rPr>
        <w:t xml:space="preserve">Marco normativo aplicable en materia de transparencia y </w:t>
      </w:r>
      <w:r w:rsidR="00076681" w:rsidRPr="00076681">
        <w:rPr>
          <w:rFonts w:ascii="Palatino Linotype" w:eastAsia="Times New Roman" w:hAnsi="Palatino Linotype"/>
          <w:b/>
          <w:color w:val="000000" w:themeColor="text1"/>
          <w:sz w:val="22"/>
          <w:szCs w:val="22"/>
          <w:lang w:eastAsia="es-ES"/>
        </w:rPr>
        <w:t>acceso a la información pública</w:t>
      </w:r>
      <w:bookmarkEnd w:id="14"/>
    </w:p>
    <w:p w14:paraId="1FA9DF31" w14:textId="77777777" w:rsidR="00DB3DC5" w:rsidRPr="00C821DD" w:rsidRDefault="00DB3DC5" w:rsidP="00570EFD">
      <w:pPr>
        <w:autoSpaceDE w:val="0"/>
        <w:autoSpaceDN w:val="0"/>
        <w:adjustRightInd w:val="0"/>
        <w:spacing w:after="0" w:line="360" w:lineRule="auto"/>
        <w:contextualSpacing/>
        <w:rPr>
          <w:rFonts w:eastAsia="Times New Roman" w:cs="Tahoma"/>
          <w:bCs/>
          <w:iCs/>
          <w:color w:val="FF0000"/>
          <w:lang w:val="es-ES" w:eastAsia="es-ES"/>
        </w:rPr>
      </w:pPr>
    </w:p>
    <w:p w14:paraId="52E429C6" w14:textId="77777777" w:rsidR="00DB3DC5" w:rsidRPr="00742C37" w:rsidRDefault="00DB3DC5" w:rsidP="00570EFD">
      <w:pPr>
        <w:spacing w:after="0" w:line="360" w:lineRule="auto"/>
        <w:contextualSpacing/>
        <w:rPr>
          <w:rFonts w:eastAsia="Times New Roman" w:cs="Tahoma"/>
          <w:bCs/>
          <w:iCs/>
          <w:color w:val="auto"/>
          <w:lang w:eastAsia="es-ES"/>
        </w:rPr>
      </w:pPr>
      <w:r w:rsidRPr="00742C37">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2B4F566" w14:textId="77777777" w:rsidR="00DB3DC5" w:rsidRPr="00742C37" w:rsidRDefault="00DB3DC5" w:rsidP="00570EFD">
      <w:pPr>
        <w:spacing w:after="0" w:line="360" w:lineRule="auto"/>
        <w:contextualSpacing/>
        <w:rPr>
          <w:rFonts w:eastAsia="Times New Roman" w:cs="Tahoma"/>
          <w:bCs/>
          <w:iCs/>
          <w:color w:val="auto"/>
          <w:lang w:eastAsia="es-ES"/>
        </w:rPr>
      </w:pPr>
    </w:p>
    <w:p w14:paraId="23374816" w14:textId="77777777" w:rsidR="00DB3DC5" w:rsidRPr="00742C37" w:rsidRDefault="00DB3DC5" w:rsidP="00570EFD">
      <w:pPr>
        <w:spacing w:after="0" w:line="360" w:lineRule="auto"/>
        <w:contextualSpacing/>
        <w:rPr>
          <w:rFonts w:eastAsia="Times New Roman" w:cs="Tahoma"/>
          <w:bCs/>
          <w:iCs/>
          <w:color w:val="auto"/>
          <w:lang w:eastAsia="es-ES"/>
        </w:rPr>
      </w:pPr>
      <w:r w:rsidRPr="00742C37">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AD53B8D" w14:textId="77777777" w:rsidR="00DB3DC5" w:rsidRPr="00742C37" w:rsidRDefault="00DB3DC5" w:rsidP="00570EFD">
      <w:pPr>
        <w:spacing w:after="0" w:line="360" w:lineRule="auto"/>
        <w:contextualSpacing/>
        <w:rPr>
          <w:rFonts w:eastAsia="Times New Roman" w:cs="Tahoma"/>
          <w:bCs/>
          <w:iCs/>
          <w:color w:val="auto"/>
          <w:lang w:eastAsia="es-ES"/>
        </w:rPr>
      </w:pPr>
    </w:p>
    <w:p w14:paraId="015A559C" w14:textId="77777777" w:rsidR="00DB3DC5" w:rsidRPr="00742C37" w:rsidRDefault="00DB3DC5" w:rsidP="00570EFD">
      <w:pPr>
        <w:spacing w:after="0" w:line="360" w:lineRule="auto"/>
        <w:contextualSpacing/>
        <w:rPr>
          <w:rFonts w:eastAsia="Times New Roman" w:cs="Tahoma"/>
          <w:bCs/>
          <w:iCs/>
          <w:color w:val="auto"/>
          <w:lang w:eastAsia="es-ES"/>
        </w:rPr>
      </w:pPr>
      <w:r w:rsidRPr="00742C37">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0192FCCB" w14:textId="77777777" w:rsidR="00DB3DC5" w:rsidRPr="00742C37" w:rsidRDefault="00DB3DC5" w:rsidP="00570EFD">
      <w:pPr>
        <w:spacing w:after="0" w:line="360" w:lineRule="auto"/>
        <w:contextualSpacing/>
        <w:rPr>
          <w:rFonts w:eastAsia="Times New Roman" w:cs="Tahoma"/>
          <w:bCs/>
          <w:iCs/>
          <w:color w:val="auto"/>
          <w:lang w:eastAsia="es-ES"/>
        </w:rPr>
      </w:pPr>
    </w:p>
    <w:p w14:paraId="7EF8B748" w14:textId="77777777" w:rsidR="00DB3DC5" w:rsidRPr="00742C37" w:rsidRDefault="00DB3DC5" w:rsidP="00570EFD">
      <w:pPr>
        <w:spacing w:after="0" w:line="360" w:lineRule="auto"/>
        <w:contextualSpacing/>
        <w:rPr>
          <w:rFonts w:eastAsia="Times New Roman" w:cs="Tahoma"/>
          <w:bCs/>
          <w:iCs/>
          <w:color w:val="auto"/>
          <w:lang w:eastAsia="es-ES"/>
        </w:rPr>
      </w:pPr>
      <w:r w:rsidRPr="00742C37">
        <w:rPr>
          <w:rFonts w:eastAsia="Times New Roman" w:cs="Tahoma"/>
          <w:bCs/>
          <w:iCs/>
          <w:color w:val="auto"/>
          <w:lang w:eastAsia="es-ES"/>
        </w:rPr>
        <w:t>El artículo 12, que, quienes generen, recopilen, administren, manejen, procesen, archiven o conserven información pública serán responsables de la misma.</w:t>
      </w:r>
    </w:p>
    <w:p w14:paraId="536D2FE5" w14:textId="77777777" w:rsidR="00BB36D2" w:rsidRPr="00742C37" w:rsidRDefault="00BB36D2" w:rsidP="00570EFD">
      <w:pPr>
        <w:spacing w:after="0" w:line="360" w:lineRule="auto"/>
        <w:contextualSpacing/>
        <w:rPr>
          <w:rFonts w:eastAsia="Times New Roman" w:cs="Tahoma"/>
          <w:bCs/>
          <w:iCs/>
          <w:color w:val="auto"/>
          <w:lang w:eastAsia="es-ES"/>
        </w:rPr>
      </w:pPr>
    </w:p>
    <w:p w14:paraId="5604CF35" w14:textId="77777777" w:rsidR="00DB3DC5" w:rsidRPr="00742C37" w:rsidRDefault="00DB3DC5" w:rsidP="00570EFD">
      <w:pPr>
        <w:widowControl w:val="0"/>
        <w:spacing w:after="0" w:line="360" w:lineRule="auto"/>
        <w:contextualSpacing/>
        <w:rPr>
          <w:rFonts w:eastAsia="Times New Roman" w:cs="Tahoma"/>
          <w:bCs/>
          <w:iCs/>
          <w:color w:val="auto"/>
          <w:lang w:eastAsia="es-ES"/>
        </w:rPr>
      </w:pPr>
      <w:r w:rsidRPr="00742C37">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118E0238" w14:textId="77777777" w:rsidR="00DB3DC5" w:rsidRPr="00742C37" w:rsidRDefault="00DB3DC5" w:rsidP="00570EFD">
      <w:pPr>
        <w:spacing w:after="0" w:line="360" w:lineRule="auto"/>
        <w:contextualSpacing/>
        <w:rPr>
          <w:rFonts w:eastAsia="Times New Roman" w:cs="Tahoma"/>
          <w:bCs/>
          <w:iCs/>
          <w:color w:val="auto"/>
          <w:lang w:eastAsia="es-ES"/>
        </w:rPr>
      </w:pPr>
    </w:p>
    <w:p w14:paraId="0FF7C948" w14:textId="77777777" w:rsidR="00DB3DC5" w:rsidRPr="00742C37" w:rsidRDefault="00DB3DC5" w:rsidP="00570EFD">
      <w:pPr>
        <w:spacing w:after="0" w:line="360" w:lineRule="auto"/>
        <w:contextualSpacing/>
        <w:rPr>
          <w:rFonts w:eastAsia="Times New Roman" w:cs="Tahoma"/>
          <w:bCs/>
          <w:iCs/>
          <w:color w:val="auto"/>
          <w:lang w:eastAsia="es-ES"/>
        </w:rPr>
      </w:pPr>
      <w:r w:rsidRPr="00742C37">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20AAD97" w14:textId="77777777" w:rsidR="00DB3DC5" w:rsidRPr="00C821DD" w:rsidRDefault="00DB3DC5" w:rsidP="00570EFD">
      <w:pPr>
        <w:spacing w:after="0" w:line="360" w:lineRule="auto"/>
        <w:contextualSpacing/>
        <w:rPr>
          <w:rFonts w:cs="Tahoma"/>
          <w:bCs/>
          <w:iCs/>
          <w:color w:val="FF0000"/>
          <w:lang w:val="es-ES"/>
        </w:rPr>
      </w:pPr>
    </w:p>
    <w:p w14:paraId="3EB23114" w14:textId="33FEEC26" w:rsidR="00DB3DC5" w:rsidRPr="00076681" w:rsidRDefault="00076681" w:rsidP="00570EFD">
      <w:pPr>
        <w:pStyle w:val="Ttulo2"/>
        <w:spacing w:before="0" w:line="360" w:lineRule="auto"/>
        <w:rPr>
          <w:rFonts w:ascii="Palatino Linotype" w:eastAsia="Times New Roman" w:hAnsi="Palatino Linotype"/>
          <w:b/>
          <w:color w:val="000000" w:themeColor="text1"/>
          <w:sz w:val="22"/>
          <w:szCs w:val="22"/>
          <w:lang w:val="es-ES" w:eastAsia="es-ES"/>
        </w:rPr>
      </w:pPr>
      <w:bookmarkStart w:id="15" w:name="_Toc226641136"/>
      <w:r w:rsidRPr="004E00EB">
        <w:rPr>
          <w:rFonts w:ascii="Palatino Linotype" w:eastAsia="Times New Roman" w:hAnsi="Palatino Linotype"/>
          <w:b/>
          <w:color w:val="000000" w:themeColor="text1"/>
          <w:sz w:val="22"/>
          <w:szCs w:val="22"/>
          <w:lang w:val="es-ES" w:eastAsia="es-ES"/>
        </w:rPr>
        <w:t xml:space="preserve">QUINTO. </w:t>
      </w:r>
      <w:r w:rsidR="00DB3DC5" w:rsidRPr="004E00EB">
        <w:rPr>
          <w:rFonts w:ascii="Palatino Linotype" w:eastAsia="Times New Roman" w:hAnsi="Palatino Linotype"/>
          <w:b/>
          <w:color w:val="000000" w:themeColor="text1"/>
          <w:sz w:val="22"/>
          <w:szCs w:val="22"/>
          <w:lang w:val="es-ES" w:eastAsia="es-ES"/>
        </w:rPr>
        <w:t>E</w:t>
      </w:r>
      <w:r w:rsidRPr="004E00EB">
        <w:rPr>
          <w:rFonts w:ascii="Palatino Linotype" w:eastAsia="Times New Roman" w:hAnsi="Palatino Linotype"/>
          <w:b/>
          <w:color w:val="000000" w:themeColor="text1"/>
          <w:sz w:val="22"/>
          <w:szCs w:val="22"/>
          <w:lang w:val="es-ES" w:eastAsia="es-ES"/>
        </w:rPr>
        <w:t>studio de Fondo</w:t>
      </w:r>
      <w:bookmarkEnd w:id="15"/>
    </w:p>
    <w:p w14:paraId="5511A115" w14:textId="238AA78D" w:rsidR="00DB3DC5" w:rsidRDefault="00DB3DC5" w:rsidP="00570EFD">
      <w:pPr>
        <w:spacing w:after="0" w:line="360" w:lineRule="auto"/>
        <w:contextualSpacing/>
        <w:rPr>
          <w:rFonts w:eastAsia="Times New Roman" w:cs="Tahoma"/>
          <w:b/>
          <w:bCs/>
          <w:iCs/>
          <w:color w:val="auto"/>
          <w:lang w:val="es-ES" w:eastAsia="es-ES"/>
        </w:rPr>
      </w:pPr>
    </w:p>
    <w:p w14:paraId="194A9F65" w14:textId="649B67AE" w:rsidR="006E26AA" w:rsidRDefault="006E26AA" w:rsidP="00570EFD">
      <w:pPr>
        <w:spacing w:after="0" w:line="360" w:lineRule="auto"/>
        <w:contextualSpacing/>
        <w:rPr>
          <w:rFonts w:eastAsia="Times New Roman" w:cs="Tahoma"/>
          <w:iCs/>
          <w:color w:val="auto"/>
          <w:lang w:val="es-ES" w:eastAsia="es-ES"/>
        </w:rPr>
      </w:pPr>
      <w:r w:rsidRPr="006E26AA">
        <w:rPr>
          <w:rFonts w:eastAsia="Times New Roman" w:cs="Tahoma"/>
          <w:iCs/>
          <w:color w:val="auto"/>
          <w:lang w:val="es-ES" w:eastAsia="es-ES"/>
        </w:rPr>
        <w:t xml:space="preserve">Expuestas las posturas </w:t>
      </w:r>
      <w:r>
        <w:rPr>
          <w:rFonts w:eastAsia="Times New Roman" w:cs="Tahoma"/>
          <w:iCs/>
          <w:color w:val="auto"/>
          <w:lang w:val="es-ES" w:eastAsia="es-ES"/>
        </w:rPr>
        <w:t xml:space="preserve">de las partes, se procede al análisis del agravio hecho valer por el Recurrente, concerniente a la </w:t>
      </w:r>
      <w:r w:rsidR="001A5BA1">
        <w:rPr>
          <w:rFonts w:eastAsia="Times New Roman" w:cs="Tahoma"/>
          <w:iCs/>
          <w:color w:val="auto"/>
          <w:lang w:val="es-ES" w:eastAsia="es-ES"/>
        </w:rPr>
        <w:t>entrega de información incompleta</w:t>
      </w:r>
      <w:r>
        <w:rPr>
          <w:rFonts w:eastAsia="Times New Roman" w:cs="Tahoma"/>
          <w:iCs/>
          <w:color w:val="auto"/>
          <w:lang w:val="es-ES" w:eastAsia="es-ES"/>
        </w:rPr>
        <w:t xml:space="preserve">, para lo cual en principio resulta necesario contextualizar la solicitud de información. </w:t>
      </w:r>
    </w:p>
    <w:p w14:paraId="505420CF" w14:textId="77777777" w:rsidR="00C341D5" w:rsidRDefault="00C341D5" w:rsidP="00570EFD">
      <w:pPr>
        <w:spacing w:after="0" w:line="360" w:lineRule="auto"/>
        <w:contextualSpacing/>
        <w:rPr>
          <w:rFonts w:eastAsia="Times New Roman" w:cs="Tahoma"/>
          <w:iCs/>
          <w:color w:val="auto"/>
          <w:lang w:val="es-ES" w:eastAsia="es-ES"/>
        </w:rPr>
      </w:pPr>
    </w:p>
    <w:p w14:paraId="3A7B35E4" w14:textId="77777777" w:rsidR="006F4872" w:rsidRDefault="006F4872" w:rsidP="00570EFD">
      <w:pPr>
        <w:spacing w:after="0" w:line="360" w:lineRule="auto"/>
        <w:rPr>
          <w:rFonts w:eastAsia="Times New Roman" w:cs="Times New Roman"/>
          <w:noProof/>
          <w:color w:val="auto"/>
          <w:lang w:eastAsia="es-MX"/>
        </w:rPr>
      </w:pPr>
      <w:r>
        <w:rPr>
          <w:rFonts w:eastAsia="Times New Roman" w:cs="Tahoma"/>
          <w:bCs/>
          <w:iCs/>
          <w:color w:val="auto"/>
          <w:lang w:eastAsia="es-ES"/>
        </w:rPr>
        <w:t xml:space="preserve">Sobre el tema, el artículo 18.20 del </w:t>
      </w:r>
      <w:r>
        <w:rPr>
          <w:rFonts w:eastAsia="Times New Roman" w:cs="Times New Roman"/>
          <w:noProof/>
          <w:color w:val="auto"/>
          <w:lang w:eastAsia="es-MX"/>
        </w:rPr>
        <w:t xml:space="preserve">Código Administrativo del Estado de México, establece que las </w:t>
      </w:r>
      <w:r>
        <w:rPr>
          <w:rFonts w:eastAsia="Times New Roman" w:cs="Times New Roman"/>
          <w:b/>
          <w:bCs/>
          <w:noProof/>
          <w:color w:val="auto"/>
          <w:lang w:eastAsia="es-MX"/>
        </w:rPr>
        <w:t>Licencias de Construcción</w:t>
      </w:r>
      <w:r>
        <w:rPr>
          <w:rFonts w:eastAsia="Times New Roman" w:cs="Times New Roman"/>
          <w:noProof/>
          <w:color w:val="auto"/>
          <w:lang w:eastAsia="es-MX"/>
        </w:rPr>
        <w:t xml:space="preserve"> tendrán vigencia de un año y tiene por objeto autorizar lo siguiente:</w:t>
      </w:r>
    </w:p>
    <w:p w14:paraId="23CF4E96" w14:textId="77777777" w:rsidR="006F4872" w:rsidRDefault="006F4872" w:rsidP="00570EFD">
      <w:pPr>
        <w:spacing w:after="0" w:line="360" w:lineRule="auto"/>
        <w:rPr>
          <w:rFonts w:eastAsia="Times New Roman" w:cs="Times New Roman"/>
          <w:noProof/>
          <w:color w:val="auto"/>
          <w:lang w:eastAsia="es-MX"/>
        </w:rPr>
      </w:pPr>
    </w:p>
    <w:p w14:paraId="63069367" w14:textId="77777777" w:rsidR="006F4872" w:rsidRDefault="006F4872" w:rsidP="00570EFD">
      <w:pPr>
        <w:pStyle w:val="Prrafodelista"/>
        <w:numPr>
          <w:ilvl w:val="0"/>
          <w:numId w:val="42"/>
        </w:numPr>
        <w:spacing w:after="0" w:line="360" w:lineRule="auto"/>
        <w:ind w:right="539"/>
        <w:rPr>
          <w:rFonts w:eastAsia="Times New Roman" w:cs="Times New Roman"/>
          <w:iCs/>
          <w:noProof/>
          <w:color w:val="auto"/>
          <w:szCs w:val="28"/>
          <w:lang w:eastAsia="es-MX"/>
        </w:rPr>
      </w:pPr>
      <w:r>
        <w:rPr>
          <w:iCs/>
          <w:noProof/>
          <w:color w:val="auto"/>
          <w:szCs w:val="28"/>
          <w:lang w:eastAsia="es-MX"/>
        </w:rPr>
        <w:t>Obra nueva;</w:t>
      </w:r>
    </w:p>
    <w:p w14:paraId="0E51B821" w14:textId="77777777" w:rsidR="006F4872" w:rsidRDefault="006F4872" w:rsidP="00570EFD">
      <w:pPr>
        <w:pStyle w:val="Prrafodelista"/>
        <w:numPr>
          <w:ilvl w:val="0"/>
          <w:numId w:val="42"/>
        </w:numPr>
        <w:spacing w:after="0" w:line="360" w:lineRule="auto"/>
        <w:ind w:right="539"/>
        <w:rPr>
          <w:iCs/>
          <w:noProof/>
          <w:color w:val="auto"/>
          <w:szCs w:val="28"/>
          <w:lang w:eastAsia="es-MX"/>
        </w:rPr>
      </w:pPr>
      <w:r>
        <w:rPr>
          <w:iCs/>
          <w:noProof/>
          <w:color w:val="auto"/>
          <w:szCs w:val="28"/>
          <w:lang w:eastAsia="es-MX"/>
        </w:rPr>
        <w:t>Ampliación, modificación o reparación que afecte elementos estructurales de la obra existente;</w:t>
      </w:r>
    </w:p>
    <w:p w14:paraId="70117811" w14:textId="77777777" w:rsidR="006F4872" w:rsidRDefault="006F4872" w:rsidP="00570EFD">
      <w:pPr>
        <w:pStyle w:val="Prrafodelista"/>
        <w:numPr>
          <w:ilvl w:val="0"/>
          <w:numId w:val="42"/>
        </w:numPr>
        <w:spacing w:after="0" w:line="360" w:lineRule="auto"/>
        <w:ind w:right="539"/>
        <w:rPr>
          <w:iCs/>
          <w:noProof/>
          <w:color w:val="auto"/>
          <w:szCs w:val="28"/>
          <w:lang w:eastAsia="es-MX"/>
        </w:rPr>
      </w:pPr>
      <w:r>
        <w:rPr>
          <w:iCs/>
          <w:noProof/>
          <w:color w:val="auto"/>
          <w:szCs w:val="28"/>
          <w:lang w:eastAsia="es-MX"/>
        </w:rPr>
        <w:t>Demolición parcial o total;</w:t>
      </w:r>
    </w:p>
    <w:p w14:paraId="69381936" w14:textId="77777777" w:rsidR="006F4872" w:rsidRDefault="006F4872" w:rsidP="00570EFD">
      <w:pPr>
        <w:pStyle w:val="Prrafodelista"/>
        <w:numPr>
          <w:ilvl w:val="0"/>
          <w:numId w:val="42"/>
        </w:numPr>
        <w:spacing w:after="0" w:line="360" w:lineRule="auto"/>
        <w:ind w:right="539"/>
        <w:rPr>
          <w:iCs/>
          <w:noProof/>
          <w:color w:val="auto"/>
          <w:szCs w:val="28"/>
          <w:lang w:eastAsia="es-MX"/>
        </w:rPr>
      </w:pPr>
      <w:r>
        <w:rPr>
          <w:iCs/>
          <w:noProof/>
          <w:color w:val="auto"/>
          <w:szCs w:val="28"/>
          <w:lang w:eastAsia="es-MX"/>
        </w:rPr>
        <w:t>Excavación o relleno;</w:t>
      </w:r>
    </w:p>
    <w:p w14:paraId="282C2255" w14:textId="77777777" w:rsidR="006F4872" w:rsidRDefault="006F4872" w:rsidP="00570EFD">
      <w:pPr>
        <w:pStyle w:val="Prrafodelista"/>
        <w:numPr>
          <w:ilvl w:val="0"/>
          <w:numId w:val="42"/>
        </w:numPr>
        <w:spacing w:after="0" w:line="360" w:lineRule="auto"/>
        <w:ind w:right="539"/>
        <w:rPr>
          <w:iCs/>
          <w:noProof/>
          <w:color w:val="auto"/>
          <w:szCs w:val="28"/>
          <w:lang w:eastAsia="es-MX"/>
        </w:rPr>
      </w:pPr>
      <w:r>
        <w:rPr>
          <w:iCs/>
          <w:noProof/>
          <w:color w:val="auto"/>
          <w:szCs w:val="28"/>
          <w:lang w:eastAsia="es-MX"/>
        </w:rPr>
        <w:t>Construcción de bardas;</w:t>
      </w:r>
    </w:p>
    <w:p w14:paraId="402DD811" w14:textId="77777777" w:rsidR="006F4872" w:rsidRDefault="006F4872" w:rsidP="00570EFD">
      <w:pPr>
        <w:pStyle w:val="Prrafodelista"/>
        <w:numPr>
          <w:ilvl w:val="0"/>
          <w:numId w:val="42"/>
        </w:numPr>
        <w:spacing w:after="0" w:line="360" w:lineRule="auto"/>
        <w:ind w:right="539"/>
        <w:rPr>
          <w:iCs/>
          <w:noProof/>
          <w:color w:val="auto"/>
          <w:szCs w:val="28"/>
          <w:lang w:eastAsia="es-MX"/>
        </w:rPr>
      </w:pPr>
      <w:r>
        <w:rPr>
          <w:iCs/>
          <w:noProof/>
          <w:color w:val="auto"/>
          <w:szCs w:val="28"/>
          <w:lang w:eastAsia="es-MX"/>
        </w:rPr>
        <w:t>Obras de conexión a las redes de agua potable y drenaje;</w:t>
      </w:r>
    </w:p>
    <w:p w14:paraId="39C6DF11" w14:textId="77777777" w:rsidR="006F4872" w:rsidRDefault="006F4872" w:rsidP="00570EFD">
      <w:pPr>
        <w:pStyle w:val="Prrafodelista"/>
        <w:numPr>
          <w:ilvl w:val="0"/>
          <w:numId w:val="42"/>
        </w:numPr>
        <w:spacing w:after="0" w:line="360" w:lineRule="auto"/>
        <w:ind w:right="539"/>
        <w:rPr>
          <w:iCs/>
          <w:noProof/>
          <w:color w:val="auto"/>
          <w:szCs w:val="28"/>
          <w:lang w:eastAsia="es-MX"/>
        </w:rPr>
      </w:pPr>
      <w:r>
        <w:rPr>
          <w:iCs/>
          <w:noProof/>
          <w:color w:val="auto"/>
          <w:szCs w:val="28"/>
          <w:lang w:eastAsia="es-MX"/>
        </w:rPr>
        <w:t>Modificación del proyecto de una obra autorizada;</w:t>
      </w:r>
    </w:p>
    <w:p w14:paraId="1D684F51" w14:textId="77777777" w:rsidR="006F4872" w:rsidRDefault="006F4872" w:rsidP="00570EFD">
      <w:pPr>
        <w:pStyle w:val="Prrafodelista"/>
        <w:numPr>
          <w:ilvl w:val="0"/>
          <w:numId w:val="42"/>
        </w:numPr>
        <w:spacing w:after="0" w:line="360" w:lineRule="auto"/>
        <w:ind w:right="539"/>
        <w:rPr>
          <w:iCs/>
          <w:noProof/>
          <w:color w:val="auto"/>
          <w:szCs w:val="28"/>
          <w:lang w:eastAsia="es-MX"/>
        </w:rPr>
      </w:pPr>
      <w:r>
        <w:rPr>
          <w:iCs/>
          <w:noProof/>
          <w:color w:val="auto"/>
          <w:szCs w:val="28"/>
          <w:lang w:eastAsia="es-MX"/>
        </w:rPr>
        <w:t>Construcción e instalación de estaciones repetidoras y antenas para radiotelecomunicaciones;</w:t>
      </w:r>
    </w:p>
    <w:p w14:paraId="45B79C7C" w14:textId="77777777" w:rsidR="006F4872" w:rsidRDefault="006F4872" w:rsidP="00570EFD">
      <w:pPr>
        <w:pStyle w:val="Prrafodelista"/>
        <w:numPr>
          <w:ilvl w:val="0"/>
          <w:numId w:val="42"/>
        </w:numPr>
        <w:spacing w:after="0" w:line="360" w:lineRule="auto"/>
        <w:ind w:right="539"/>
        <w:rPr>
          <w:iCs/>
          <w:noProof/>
          <w:color w:val="auto"/>
          <w:szCs w:val="28"/>
          <w:lang w:eastAsia="es-MX"/>
        </w:rPr>
      </w:pPr>
      <w:r>
        <w:rPr>
          <w:iCs/>
          <w:noProof/>
          <w:color w:val="auto"/>
          <w:szCs w:val="28"/>
          <w:lang w:eastAsia="es-MX"/>
        </w:rPr>
        <w:t>Anuncios publicitarios que requieran de elementos estructurales; y</w:t>
      </w:r>
    </w:p>
    <w:p w14:paraId="2FFB1485" w14:textId="77777777" w:rsidR="006F4872" w:rsidRDefault="006F4872" w:rsidP="00570EFD">
      <w:pPr>
        <w:pStyle w:val="Prrafodelista"/>
        <w:numPr>
          <w:ilvl w:val="0"/>
          <w:numId w:val="42"/>
        </w:numPr>
        <w:spacing w:after="0" w:line="360" w:lineRule="auto"/>
        <w:ind w:right="539"/>
        <w:rPr>
          <w:iCs/>
          <w:noProof/>
          <w:color w:val="auto"/>
          <w:szCs w:val="28"/>
          <w:lang w:eastAsia="es-MX"/>
        </w:rPr>
      </w:pPr>
      <w:r>
        <w:rPr>
          <w:iCs/>
          <w:noProof/>
          <w:color w:val="auto"/>
          <w:szCs w:val="28"/>
          <w:lang w:eastAsia="es-MX"/>
        </w:rPr>
        <w:t>Instalaciones o modificaciones de ascensores para personas, montacargas, escaleras mecánicas o cualquier otro mecanismo de transporte electromecánico.</w:t>
      </w:r>
    </w:p>
    <w:p w14:paraId="4E4EF321" w14:textId="77777777" w:rsidR="006F4872" w:rsidRDefault="006F4872" w:rsidP="00570EFD">
      <w:pPr>
        <w:tabs>
          <w:tab w:val="left" w:pos="4962"/>
        </w:tabs>
        <w:spacing w:after="0" w:line="360" w:lineRule="auto"/>
        <w:contextualSpacing/>
        <w:rPr>
          <w:rFonts w:cs="Tahoma"/>
          <w:bCs/>
        </w:rPr>
      </w:pPr>
    </w:p>
    <w:p w14:paraId="45D21766" w14:textId="77777777" w:rsidR="006F4872" w:rsidRDefault="006F4872" w:rsidP="00570EFD">
      <w:pPr>
        <w:tabs>
          <w:tab w:val="left" w:pos="4962"/>
        </w:tabs>
        <w:spacing w:after="0" w:line="360" w:lineRule="auto"/>
        <w:rPr>
          <w:rFonts w:eastAsia="Calibri" w:cs="Tahoma"/>
          <w:iCs/>
          <w:color w:val="auto"/>
          <w:lang w:val="es-ES" w:eastAsia="es-ES_tradnl"/>
        </w:rPr>
      </w:pPr>
      <w:r>
        <w:rPr>
          <w:rFonts w:eastAsia="Calibri" w:cs="Tahoma"/>
          <w:iCs/>
          <w:color w:val="auto"/>
          <w:lang w:eastAsia="es-ES_tradnl"/>
        </w:rPr>
        <w:t xml:space="preserve">En ese contexto, </w:t>
      </w:r>
      <w:r>
        <w:rPr>
          <w:rFonts w:eastAsia="Calibri" w:cs="Tahoma"/>
          <w:iCs/>
          <w:color w:val="auto"/>
          <w:lang w:val="es-ES" w:eastAsia="es-ES_tradnl"/>
        </w:rPr>
        <w:t>el Código Administrativo del Estado de México en su artículo 5.10, fracción VI, precisa que los Municipios tendrán la atribución de expedir cédulas informativas de zonificación, licencias de uso de suelo y</w:t>
      </w:r>
      <w:r>
        <w:rPr>
          <w:rFonts w:eastAsia="Calibri" w:cs="Tahoma"/>
          <w:iCs/>
          <w:color w:val="auto"/>
          <w:u w:val="single"/>
          <w:lang w:val="es-ES" w:eastAsia="es-ES_tradnl"/>
        </w:rPr>
        <w:t xml:space="preserve"> licencias de construcción</w:t>
      </w:r>
      <w:r>
        <w:rPr>
          <w:rFonts w:eastAsia="Calibri" w:cs="Tahoma"/>
          <w:iCs/>
          <w:color w:val="auto"/>
          <w:lang w:val="es-ES" w:eastAsia="es-ES_tradnl"/>
        </w:rPr>
        <w:t>.</w:t>
      </w:r>
    </w:p>
    <w:p w14:paraId="27D878CD" w14:textId="77777777" w:rsidR="006F4872" w:rsidRDefault="006F4872" w:rsidP="00570EFD">
      <w:pPr>
        <w:tabs>
          <w:tab w:val="left" w:pos="4962"/>
        </w:tabs>
        <w:spacing w:after="0" w:line="360" w:lineRule="auto"/>
        <w:rPr>
          <w:rFonts w:eastAsia="Calibri" w:cs="Tahoma"/>
          <w:iCs/>
          <w:color w:val="auto"/>
          <w:lang w:val="es-ES" w:eastAsia="es-ES_tradnl"/>
        </w:rPr>
      </w:pPr>
    </w:p>
    <w:p w14:paraId="369F14A9" w14:textId="77777777" w:rsidR="006F4872" w:rsidRDefault="006F4872" w:rsidP="00570EFD">
      <w:pPr>
        <w:spacing w:after="0" w:line="360" w:lineRule="auto"/>
        <w:ind w:right="-93"/>
      </w:pPr>
      <w:r>
        <w:rPr>
          <w:rFonts w:eastAsia="Calibri" w:cs="Tahoma"/>
          <w:iCs/>
          <w:color w:val="auto"/>
          <w:lang w:eastAsia="es-ES_tradnl"/>
        </w:rPr>
        <w:t>De lo anterior, e</w:t>
      </w:r>
      <w:r>
        <w:rPr>
          <w:rFonts w:eastAsia="Times New Roman" w:cs="Tahoma"/>
          <w:bCs/>
          <w:iCs/>
          <w:color w:val="auto"/>
          <w:lang w:val="es-ES" w:eastAsia="es-ES"/>
        </w:rPr>
        <w:t xml:space="preserve">l artículo 94, fracción I, inciso f, de la Ley de Transparencia y Acceso a la Información Pública del Estado de México, establece que </w:t>
      </w:r>
      <w:r>
        <w:t xml:space="preserve">la información que contengan los planes de desarrollo urbano, ordenamiento territorial y ecológico, los tipos y usos de suelo, licencias de uso y construcción otorgadas por los gobiernos municipales, es información pública de oficio, que se deberá mantener permanente y actualizada. </w:t>
      </w:r>
    </w:p>
    <w:p w14:paraId="53B95152" w14:textId="77777777" w:rsidR="006F4872" w:rsidRDefault="006F4872" w:rsidP="00570EFD">
      <w:pPr>
        <w:spacing w:after="0" w:line="360" w:lineRule="auto"/>
        <w:contextualSpacing/>
        <w:rPr>
          <w:rFonts w:eastAsia="Times New Roman" w:cs="Tahoma"/>
          <w:iCs/>
          <w:color w:val="auto"/>
          <w:lang w:eastAsia="es-ES"/>
        </w:rPr>
      </w:pPr>
    </w:p>
    <w:p w14:paraId="4C281412" w14:textId="754FE69D" w:rsidR="006F4872" w:rsidRPr="006F4872" w:rsidRDefault="006F4872" w:rsidP="00570EFD">
      <w:pPr>
        <w:spacing w:after="0" w:line="360" w:lineRule="auto"/>
        <w:contextualSpacing/>
        <w:rPr>
          <w:rFonts w:eastAsia="Times New Roman" w:cs="Tahoma"/>
          <w:iCs/>
          <w:color w:val="auto"/>
          <w:lang w:eastAsia="es-ES"/>
        </w:rPr>
      </w:pPr>
      <w:r>
        <w:rPr>
          <w:rFonts w:eastAsia="Times New Roman" w:cs="Tahoma"/>
          <w:iCs/>
          <w:color w:val="auto"/>
          <w:lang w:eastAsia="es-ES"/>
        </w:rPr>
        <w:t>En ese contexto, el Manual de Organización de la Dirección de Desarrollo Urbano 2025-2027, precisa que dicha área será la encargada de establecer los procedimientos para la obtención de autorizaciones, licencias, permisos y dictámenes de construcción, entre otros; así como, de suspender temporal, parcial o total las actividades de construcción, en caso de incumplimiento de los términos establecidos en la normatividad, así como, en su caso, de los permisos o licencias.</w:t>
      </w:r>
    </w:p>
    <w:p w14:paraId="2AF71FF7" w14:textId="77777777" w:rsidR="006F4872" w:rsidRDefault="006F4872" w:rsidP="00570EFD">
      <w:pPr>
        <w:spacing w:after="0" w:line="360" w:lineRule="auto"/>
        <w:contextualSpacing/>
        <w:rPr>
          <w:rFonts w:eastAsia="Times New Roman" w:cs="Tahoma"/>
          <w:iCs/>
          <w:color w:val="auto"/>
          <w:lang w:val="es-ES" w:eastAsia="es-ES"/>
        </w:rPr>
      </w:pPr>
    </w:p>
    <w:p w14:paraId="2D272A31" w14:textId="0B05B73A" w:rsidR="006F4872" w:rsidRDefault="0056421F" w:rsidP="00570EFD">
      <w:pPr>
        <w:spacing w:after="0" w:line="360" w:lineRule="auto"/>
        <w:contextualSpacing/>
        <w:rPr>
          <w:rFonts w:eastAsia="Times New Roman" w:cs="Tahoma"/>
          <w:iCs/>
          <w:color w:val="auto"/>
          <w:lang w:val="es-ES" w:eastAsia="es-ES"/>
        </w:rPr>
      </w:pPr>
      <w:r>
        <w:rPr>
          <w:rFonts w:eastAsia="Times New Roman" w:cs="Tahoma"/>
          <w:iCs/>
          <w:color w:val="auto"/>
          <w:lang w:val="es-ES" w:eastAsia="es-ES"/>
        </w:rPr>
        <w:t>Lo cual toma relevancia, con el artículo 12 del Reglamento del Libro Quinto del Código Administrativo del Estado de México, que establece que las autoridades de desarrollo urbano podrán aplicar la suspensión, clausura provisional o definitiva, total o parcial.</w:t>
      </w:r>
    </w:p>
    <w:p w14:paraId="24ED8778" w14:textId="77777777" w:rsidR="006F4872" w:rsidRDefault="006F4872" w:rsidP="00570EFD">
      <w:pPr>
        <w:spacing w:after="0" w:line="360" w:lineRule="auto"/>
        <w:contextualSpacing/>
        <w:rPr>
          <w:rFonts w:eastAsia="Times New Roman" w:cs="Tahoma"/>
          <w:iCs/>
          <w:color w:val="auto"/>
          <w:lang w:val="es-ES" w:eastAsia="es-ES"/>
        </w:rPr>
      </w:pPr>
    </w:p>
    <w:p w14:paraId="53FD2D92" w14:textId="77777777" w:rsidR="0056421F" w:rsidRDefault="0056421F" w:rsidP="00570EFD">
      <w:pPr>
        <w:spacing w:after="0" w:line="360" w:lineRule="auto"/>
        <w:contextualSpacing/>
        <w:rPr>
          <w:rFonts w:eastAsia="Times New Roman" w:cs="Tahoma"/>
          <w:iCs/>
          <w:color w:val="auto"/>
          <w:lang w:val="es-ES" w:eastAsia="es-ES"/>
        </w:rPr>
      </w:pPr>
    </w:p>
    <w:p w14:paraId="6AAD2FD1" w14:textId="36718DD2" w:rsidR="0056421F" w:rsidRDefault="0056421F" w:rsidP="00570EFD">
      <w:pPr>
        <w:spacing w:after="0" w:line="360" w:lineRule="auto"/>
      </w:pPr>
      <w:r>
        <w:t>Ahora bien, respecto a lo solicitado, el artículo 92, fracción XXXIV, de la Ley de Transparencia y Acceso a la Información Pública del Estado de México y Municipios precisa que los Sujetos Obligados deberán de publicar en sus páginas de internet</w:t>
      </w:r>
      <w:r w:rsidR="00C01492">
        <w:t xml:space="preserve"> y en el Portal de Información Pública de Oficio Mexiquense las estadísticas generadas en cumplimiento de sus facultades, competencias o funciones, con la mayor desagregación posible.</w:t>
      </w:r>
      <w:r>
        <w:t xml:space="preserve">                                                                                                                        </w:t>
      </w:r>
    </w:p>
    <w:p w14:paraId="388C6822" w14:textId="77777777" w:rsidR="0056421F" w:rsidRDefault="0056421F" w:rsidP="00570EFD">
      <w:pPr>
        <w:spacing w:after="0" w:line="360" w:lineRule="auto"/>
      </w:pPr>
    </w:p>
    <w:p w14:paraId="70FFB328" w14:textId="06FB1FC4" w:rsidR="0056421F" w:rsidRDefault="00C01492" w:rsidP="00570EFD">
      <w:pPr>
        <w:spacing w:after="0" w:line="360" w:lineRule="auto"/>
        <w:rPr>
          <w:rFonts w:eastAsia="Times New Roman" w:cs="Tahoma"/>
          <w:bCs/>
          <w:iCs/>
          <w:lang w:eastAsia="es-ES"/>
        </w:rPr>
      </w:pPr>
      <w:r>
        <w:t>Además</w:t>
      </w:r>
      <w:r w:rsidR="0056421F" w:rsidRPr="00E62717">
        <w:t xml:space="preserve">, el Criterio orientador, con clave de control SO/008/2023, de la Tercera Época, emitido por el Pleno del entonces Instituto Nacional de Transparencia, Acceso a la Información y Protección de Datos Personales, </w:t>
      </w:r>
      <w:r w:rsidR="0056421F" w:rsidRPr="000706E1">
        <w:rPr>
          <w:b/>
        </w:rPr>
        <w:t>establece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14:paraId="0E1308C9" w14:textId="77777777" w:rsidR="0056421F" w:rsidRDefault="0056421F" w:rsidP="00570EFD">
      <w:pPr>
        <w:spacing w:after="0" w:line="360" w:lineRule="auto"/>
        <w:contextualSpacing/>
        <w:rPr>
          <w:rFonts w:eastAsia="Times New Roman" w:cs="Tahoma"/>
          <w:iCs/>
          <w:color w:val="auto"/>
          <w:lang w:eastAsia="es-ES"/>
        </w:rPr>
      </w:pPr>
    </w:p>
    <w:p w14:paraId="1E115BF8" w14:textId="77777777" w:rsidR="00C01492" w:rsidRDefault="00C01492" w:rsidP="00570EFD">
      <w:pPr>
        <w:spacing w:after="0" w:line="360" w:lineRule="auto"/>
        <w:rPr>
          <w:rFonts w:cs="Tahoma"/>
          <w:color w:val="auto"/>
        </w:rPr>
      </w:pPr>
      <w:r>
        <w:rPr>
          <w:rFonts w:eastAsia="Times New Roman" w:cs="Tahoma"/>
          <w:iCs/>
          <w:color w:val="auto"/>
          <w:lang w:eastAsia="es-ES"/>
        </w:rPr>
        <w:t xml:space="preserve">Conforme a lo anterior, se logra vislumbrar que el Sujeto Obligado tienen competencia para conocer de lo solicitado y que la pretensión de la parte Recurrente es obtener </w:t>
      </w:r>
      <w:r>
        <w:rPr>
          <w:rFonts w:cs="Tahoma"/>
          <w:color w:val="auto"/>
        </w:rPr>
        <w:t>respecto a las obras o construcciones particulares suspendidas</w:t>
      </w:r>
      <w:r w:rsidRPr="009C3492">
        <w:rPr>
          <w:rFonts w:cs="Tahoma"/>
          <w:color w:val="auto"/>
        </w:rPr>
        <w:t xml:space="preserve"> </w:t>
      </w:r>
      <w:r>
        <w:rPr>
          <w:rFonts w:cs="Tahoma"/>
          <w:color w:val="auto"/>
        </w:rPr>
        <w:t>del primero de enero al tres de noviembre de dos mil veinticinco, lo siguiente:</w:t>
      </w:r>
    </w:p>
    <w:p w14:paraId="5B84EA6A" w14:textId="77777777" w:rsidR="00C01492" w:rsidRDefault="00C01492" w:rsidP="00570EFD">
      <w:pPr>
        <w:spacing w:after="0" w:line="360" w:lineRule="auto"/>
        <w:rPr>
          <w:rFonts w:cs="Tahoma"/>
          <w:color w:val="auto"/>
        </w:rPr>
      </w:pPr>
    </w:p>
    <w:p w14:paraId="1B01EAC6" w14:textId="77777777" w:rsidR="00C01492" w:rsidRDefault="00C01492" w:rsidP="00570EFD">
      <w:pPr>
        <w:pStyle w:val="Prrafodelista"/>
        <w:numPr>
          <w:ilvl w:val="0"/>
          <w:numId w:val="41"/>
        </w:numPr>
        <w:spacing w:after="0" w:line="360" w:lineRule="auto"/>
        <w:rPr>
          <w:rFonts w:cs="Tahoma"/>
          <w:color w:val="auto"/>
        </w:rPr>
      </w:pPr>
      <w:r>
        <w:rPr>
          <w:rFonts w:cs="Tahoma"/>
          <w:color w:val="auto"/>
        </w:rPr>
        <w:t>El número total de suspensiones, y</w:t>
      </w:r>
    </w:p>
    <w:p w14:paraId="339871D1" w14:textId="77777777" w:rsidR="00C01492" w:rsidRDefault="00C01492" w:rsidP="00570EFD">
      <w:pPr>
        <w:pStyle w:val="Prrafodelista"/>
        <w:spacing w:after="0" w:line="360" w:lineRule="auto"/>
        <w:rPr>
          <w:rFonts w:cs="Tahoma"/>
          <w:color w:val="auto"/>
        </w:rPr>
      </w:pPr>
    </w:p>
    <w:p w14:paraId="7A532821" w14:textId="77777777" w:rsidR="00C01492" w:rsidRPr="00CC44B4" w:rsidRDefault="00C01492" w:rsidP="00570EFD">
      <w:pPr>
        <w:pStyle w:val="Prrafodelista"/>
        <w:numPr>
          <w:ilvl w:val="0"/>
          <w:numId w:val="41"/>
        </w:numPr>
        <w:spacing w:after="0" w:line="360" w:lineRule="auto"/>
        <w:rPr>
          <w:rFonts w:cs="Tahoma"/>
          <w:color w:val="auto"/>
        </w:rPr>
      </w:pPr>
      <w:r>
        <w:rPr>
          <w:rFonts w:cs="Tahoma"/>
          <w:color w:val="auto"/>
        </w:rPr>
        <w:t>El número de folio de cada uno de los sellos de suspensión utilizados.</w:t>
      </w:r>
    </w:p>
    <w:p w14:paraId="64B0E2F5" w14:textId="77777777" w:rsidR="0056421F" w:rsidRDefault="0056421F" w:rsidP="00570EFD">
      <w:pPr>
        <w:spacing w:after="0" w:line="360" w:lineRule="auto"/>
        <w:contextualSpacing/>
        <w:rPr>
          <w:rFonts w:eastAsia="Times New Roman" w:cs="Tahoma"/>
          <w:iCs/>
          <w:color w:val="auto"/>
          <w:lang w:val="es-ES" w:eastAsia="es-ES"/>
        </w:rPr>
      </w:pPr>
    </w:p>
    <w:p w14:paraId="6878D56D" w14:textId="75D260FA" w:rsidR="007B5D0A" w:rsidRPr="007B5D0A" w:rsidRDefault="007B5D0A" w:rsidP="00570EFD">
      <w:pPr>
        <w:spacing w:after="0" w:line="360" w:lineRule="auto"/>
        <w:contextualSpacing/>
        <w:rPr>
          <w:rFonts w:eastAsia="Times New Roman" w:cs="Tahoma"/>
          <w:iCs/>
          <w:color w:val="auto"/>
          <w:lang w:eastAsia="es-ES"/>
        </w:rPr>
      </w:pPr>
      <w:r w:rsidRPr="007B5D0A">
        <w:rPr>
          <w:rFonts w:eastAsia="Times New Roman" w:cs="Tahoma"/>
          <w:iCs/>
          <w:color w:val="auto"/>
          <w:lang w:eastAsia="es-ES"/>
        </w:rPr>
        <w:t xml:space="preserve">Establecida dicha circunstancia, se procede analizar la respuesta entregada, para lo cual, es de señalar que de las constancias que obran en el expediente, se logra vislumbrar </w:t>
      </w:r>
      <w:r w:rsidR="00C01492">
        <w:rPr>
          <w:rFonts w:eastAsia="Times New Roman" w:cs="Tahoma"/>
          <w:iCs/>
          <w:color w:val="auto"/>
          <w:lang w:eastAsia="es-ES"/>
        </w:rPr>
        <w:t>que la Unidad de Transparencia señaló que había turnado la solicitud a las áreas competentes, sin señalar cuáles fueron</w:t>
      </w:r>
      <w:r w:rsidRPr="007B5D0A">
        <w:rPr>
          <w:rFonts w:eastAsia="Times New Roman" w:cs="Tahoma"/>
          <w:iCs/>
          <w:color w:val="auto"/>
          <w:lang w:eastAsia="es-ES"/>
        </w:rPr>
        <w:t xml:space="preserve">; </w:t>
      </w:r>
      <w:r w:rsidR="00C01492">
        <w:rPr>
          <w:rFonts w:eastAsia="Times New Roman" w:cs="Tahoma"/>
          <w:iCs/>
          <w:color w:val="auto"/>
          <w:lang w:eastAsia="es-ES"/>
        </w:rPr>
        <w:t>por lo que</w:t>
      </w:r>
      <w:r w:rsidRPr="007B5D0A">
        <w:rPr>
          <w:rFonts w:eastAsia="Times New Roman" w:cs="Tahoma"/>
          <w:iCs/>
          <w:color w:val="auto"/>
          <w:lang w:eastAsia="es-ES"/>
        </w:rPr>
        <w:t>,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7CE0F777" w14:textId="77777777" w:rsidR="007B5D0A" w:rsidRDefault="007B5D0A" w:rsidP="00570EFD">
      <w:pPr>
        <w:spacing w:after="0" w:line="360" w:lineRule="auto"/>
        <w:contextualSpacing/>
        <w:rPr>
          <w:rFonts w:eastAsia="Times New Roman" w:cs="Tahoma"/>
          <w:iCs/>
          <w:color w:val="auto"/>
          <w:lang w:eastAsia="es-ES"/>
        </w:rPr>
      </w:pPr>
    </w:p>
    <w:p w14:paraId="1D091C13" w14:textId="79B86F11" w:rsidR="00E300FD" w:rsidRDefault="002B015C" w:rsidP="00570EFD">
      <w:pPr>
        <w:spacing w:after="0" w:line="360" w:lineRule="auto"/>
        <w:contextualSpacing/>
        <w:rPr>
          <w:rFonts w:eastAsia="Times New Roman" w:cs="Tahoma"/>
          <w:bCs/>
          <w:iCs/>
          <w:color w:val="auto"/>
          <w:lang w:eastAsia="es-ES"/>
        </w:rPr>
      </w:pPr>
      <w:r>
        <w:rPr>
          <w:rFonts w:eastAsia="Times New Roman" w:cs="Tahoma"/>
          <w:iCs/>
          <w:color w:val="auto"/>
          <w:lang w:eastAsia="es-ES"/>
        </w:rPr>
        <w:t>Así, c</w:t>
      </w:r>
      <w:r w:rsidR="007B5D0A" w:rsidRPr="007B5D0A">
        <w:rPr>
          <w:rFonts w:eastAsia="Times New Roman" w:cs="Tahoma"/>
          <w:iCs/>
          <w:color w:val="auto"/>
          <w:lang w:eastAsia="es-ES"/>
        </w:rPr>
        <w:t xml:space="preserve">onforme a lo </w:t>
      </w:r>
      <w:r w:rsidR="00252709">
        <w:rPr>
          <w:rFonts w:eastAsia="Times New Roman" w:cs="Tahoma"/>
          <w:iCs/>
          <w:color w:val="auto"/>
          <w:lang w:eastAsia="es-ES"/>
        </w:rPr>
        <w:t>expuesto</w:t>
      </w:r>
      <w:r w:rsidR="00C01492">
        <w:rPr>
          <w:rFonts w:eastAsia="Times New Roman" w:cs="Tahoma"/>
          <w:iCs/>
          <w:color w:val="auto"/>
          <w:lang w:eastAsia="es-ES"/>
        </w:rPr>
        <w:t xml:space="preserve"> en párrafos anteriores</w:t>
      </w:r>
      <w:r w:rsidR="007B5D0A" w:rsidRPr="007B5D0A">
        <w:rPr>
          <w:rFonts w:eastAsia="Times New Roman" w:cs="Tahoma"/>
          <w:iCs/>
          <w:color w:val="auto"/>
          <w:lang w:eastAsia="es-ES"/>
        </w:rPr>
        <w:t>,</w:t>
      </w:r>
      <w:r w:rsidR="00252709">
        <w:rPr>
          <w:rFonts w:eastAsia="Times New Roman" w:cs="Tahoma"/>
          <w:iCs/>
          <w:color w:val="auto"/>
          <w:lang w:eastAsia="es-ES"/>
        </w:rPr>
        <w:t xml:space="preserve"> </w:t>
      </w:r>
      <w:r w:rsidR="00252709" w:rsidRPr="00252709">
        <w:rPr>
          <w:rFonts w:eastAsia="Times New Roman" w:cs="Tahoma"/>
          <w:bCs/>
          <w:iCs/>
          <w:color w:val="auto"/>
          <w:lang w:eastAsia="es-ES"/>
        </w:rPr>
        <w:t>se advi</w:t>
      </w:r>
      <w:r w:rsidR="00513030">
        <w:rPr>
          <w:rFonts w:eastAsia="Times New Roman" w:cs="Tahoma"/>
          <w:bCs/>
          <w:iCs/>
          <w:color w:val="auto"/>
          <w:lang w:eastAsia="es-ES"/>
        </w:rPr>
        <w:t>erte que el Sujeto Obligado,</w:t>
      </w:r>
      <w:r w:rsidR="00C01492">
        <w:rPr>
          <w:rFonts w:eastAsia="Times New Roman" w:cs="Tahoma"/>
          <w:bCs/>
          <w:iCs/>
          <w:color w:val="auto"/>
          <w:lang w:eastAsia="es-ES"/>
        </w:rPr>
        <w:t xml:space="preserve"> no</w:t>
      </w:r>
      <w:r w:rsidR="00513030">
        <w:rPr>
          <w:rFonts w:eastAsia="Times New Roman" w:cs="Tahoma"/>
          <w:bCs/>
          <w:iCs/>
          <w:color w:val="auto"/>
          <w:lang w:eastAsia="es-ES"/>
        </w:rPr>
        <w:t xml:space="preserve"> </w:t>
      </w:r>
      <w:r w:rsidR="00252709" w:rsidRPr="00252709">
        <w:rPr>
          <w:rFonts w:eastAsia="Times New Roman" w:cs="Tahoma"/>
          <w:bCs/>
          <w:iCs/>
          <w:color w:val="auto"/>
          <w:lang w:eastAsia="es-ES"/>
        </w:rPr>
        <w:t>cumplió con el procedimiento de búsqueda previsto en el artículo 162 de la Ley de Transparencia y Acceso a la Información Pública del Estado de México y Municipios</w:t>
      </w:r>
      <w:r w:rsidR="00C01492">
        <w:rPr>
          <w:rFonts w:eastAsia="Times New Roman" w:cs="Tahoma"/>
          <w:bCs/>
          <w:iCs/>
          <w:color w:val="auto"/>
          <w:lang w:eastAsia="es-ES"/>
        </w:rPr>
        <w:t>, pues no acreditó a que área turno la solicitud de información; por lo que, no existen elementos para determinar si se gestiono la solicitud a la Dirección de Desarrollo Urbano.</w:t>
      </w:r>
    </w:p>
    <w:p w14:paraId="766732FF" w14:textId="5D7FF120" w:rsidR="007B5D0A" w:rsidRDefault="007B5D0A" w:rsidP="00570EFD">
      <w:pPr>
        <w:spacing w:after="0" w:line="360" w:lineRule="auto"/>
        <w:contextualSpacing/>
        <w:rPr>
          <w:rFonts w:eastAsia="Times New Roman" w:cs="Tahoma"/>
          <w:iCs/>
          <w:color w:val="auto"/>
          <w:lang w:eastAsia="es-ES"/>
        </w:rPr>
      </w:pPr>
    </w:p>
    <w:p w14:paraId="586FA79B" w14:textId="567617B6" w:rsidR="003E2D43" w:rsidRPr="003E2D43" w:rsidRDefault="00C01492" w:rsidP="00570EFD">
      <w:pPr>
        <w:spacing w:after="0" w:line="360" w:lineRule="auto"/>
        <w:ind w:right="-28"/>
        <w:rPr>
          <w:rFonts w:eastAsia="Palatino Linotype" w:cs="Palatino Linotype"/>
          <w:b/>
          <w:bCs/>
          <w:color w:val="auto"/>
          <w:lang w:eastAsia="es-MX"/>
        </w:rPr>
      </w:pPr>
      <w:r>
        <w:rPr>
          <w:rFonts w:eastAsia="Times New Roman" w:cs="Tahoma"/>
          <w:iCs/>
          <w:color w:val="auto"/>
          <w:lang w:eastAsia="es-ES"/>
        </w:rPr>
        <w:t>Sin menoscabar lo anterior, se procede analizar la respuesta entregada</w:t>
      </w:r>
      <w:r w:rsidR="009B6E2D">
        <w:rPr>
          <w:rFonts w:eastAsia="Times New Roman" w:cs="Tahoma"/>
          <w:iCs/>
          <w:color w:val="auto"/>
          <w:lang w:eastAsia="es-ES"/>
        </w:rPr>
        <w:t>, para lo cual es necesario señalar que la Unidad de Transparencia precisó que no podía entregar la información al contener datos confidenciales y que podrían estar inmiscuidos en procedimientos administrativos en trámite;</w:t>
      </w:r>
      <w:r w:rsidR="003E2D43">
        <w:rPr>
          <w:rFonts w:eastAsia="Times New Roman" w:cs="Tahoma"/>
          <w:iCs/>
          <w:color w:val="auto"/>
          <w:lang w:eastAsia="es-ES"/>
        </w:rPr>
        <w:t xml:space="preserve"> sobre el tema,</w:t>
      </w:r>
      <w:r w:rsidR="009B6E2D">
        <w:rPr>
          <w:rFonts w:eastAsia="Times New Roman" w:cs="Tahoma"/>
          <w:iCs/>
          <w:color w:val="auto"/>
          <w:lang w:eastAsia="es-ES"/>
        </w:rPr>
        <w:t xml:space="preserve"> </w:t>
      </w:r>
      <w:r w:rsidR="003E2D43" w:rsidRPr="003E2D43">
        <w:rPr>
          <w:rFonts w:eastAsia="Palatino Linotype" w:cs="Palatino Linotype"/>
          <w:color w:val="auto"/>
          <w:lang w:eastAsia="es-MX"/>
        </w:rPr>
        <w:t xml:space="preserve">cabe precisar, que conforme al artículo 20 de la Ley de Transparencia y Acceso a la Información Pública del Estado de México y Municipios, </w:t>
      </w:r>
      <w:r w:rsidR="003E2D43" w:rsidRPr="003E2D43">
        <w:rPr>
          <w:rFonts w:eastAsia="Palatino Linotype" w:cs="Palatino Linotype"/>
          <w:b/>
          <w:bCs/>
          <w:color w:val="auto"/>
          <w:lang w:eastAsia="es-MX"/>
        </w:rPr>
        <w:t>ante la negativa de acceso a la información o su inexistencia, el sujeto obligado deberá demostrar que encuentra en alguna de las excepciones establecidas en la normatividad aplicable.</w:t>
      </w:r>
    </w:p>
    <w:p w14:paraId="4E7DDD0B" w14:textId="77777777" w:rsidR="003E2D43" w:rsidRPr="003E2D43" w:rsidRDefault="003E2D43" w:rsidP="00570EFD">
      <w:pPr>
        <w:spacing w:after="0" w:line="360" w:lineRule="auto"/>
        <w:ind w:right="-28"/>
        <w:rPr>
          <w:rFonts w:eastAsia="Palatino Linotype" w:cs="Palatino Linotype"/>
          <w:color w:val="auto"/>
          <w:lang w:eastAsia="es-MX"/>
        </w:rPr>
      </w:pPr>
    </w:p>
    <w:p w14:paraId="4D95D2E0" w14:textId="77777777" w:rsidR="003E2D43" w:rsidRPr="003E2D43" w:rsidRDefault="003E2D43" w:rsidP="00570EFD">
      <w:pPr>
        <w:spacing w:after="0" w:line="360" w:lineRule="auto"/>
        <w:ind w:right="-28"/>
        <w:rPr>
          <w:rFonts w:eastAsia="Palatino Linotype" w:cs="Palatino Linotype"/>
          <w:color w:val="auto"/>
          <w:lang w:eastAsia="es-MX"/>
        </w:rPr>
      </w:pPr>
      <w:r w:rsidRPr="003E2D43">
        <w:rPr>
          <w:rFonts w:eastAsia="Palatino Linotype" w:cs="Palatino Linotype"/>
          <w:color w:val="auto"/>
          <w:lang w:eastAsia="es-MX"/>
        </w:rPr>
        <w:t>En ese sentido, según Trujillo, Humberto (2019), en el “Diccionario de Transparencia y Acceso a la Información Pública” (p. 201), la negativa de acceso a la información ocurre cuando de manera fundada y motivada, una autoridad la niega o la limita, por alguna de las siguientes razones:</w:t>
      </w:r>
    </w:p>
    <w:p w14:paraId="07C7BA17" w14:textId="77777777" w:rsidR="003E2D43" w:rsidRPr="003E2D43" w:rsidRDefault="003E2D43" w:rsidP="00570EFD">
      <w:pPr>
        <w:spacing w:after="0" w:line="360" w:lineRule="auto"/>
        <w:ind w:right="-28"/>
        <w:rPr>
          <w:rFonts w:eastAsia="Palatino Linotype" w:cs="Palatino Linotype"/>
          <w:color w:val="auto"/>
          <w:lang w:eastAsia="es-MX"/>
        </w:rPr>
      </w:pPr>
    </w:p>
    <w:p w14:paraId="143AA840" w14:textId="77777777" w:rsidR="003E2D43" w:rsidRPr="003E2D43" w:rsidRDefault="003E2D43" w:rsidP="00570EFD">
      <w:pPr>
        <w:spacing w:after="0" w:line="360" w:lineRule="auto"/>
        <w:rPr>
          <w:rFonts w:eastAsia="Palatino Linotype" w:cs="Palatino Linotype"/>
          <w:color w:val="auto"/>
          <w:lang w:eastAsia="es-MX"/>
        </w:rPr>
      </w:pPr>
      <w:r w:rsidRPr="003E2D43">
        <w:rPr>
          <w:rFonts w:eastAsia="Palatino Linotype" w:cs="Palatino Linotype"/>
          <w:color w:val="auto"/>
          <w:lang w:eastAsia="es-MX"/>
        </w:rPr>
        <w:t xml:space="preserve">En ese sentido, según Trujillo, Humberto (2019), en el “Diccionario de Transparencia y Acceso a la Información Pública” (p. 201), </w:t>
      </w:r>
      <w:r w:rsidRPr="003E2D43">
        <w:rPr>
          <w:rFonts w:eastAsia="Palatino Linotype" w:cs="Palatino Linotype"/>
          <w:b/>
          <w:bCs/>
          <w:color w:val="auto"/>
          <w:lang w:eastAsia="es-MX"/>
        </w:rPr>
        <w:t>la negativa de acceso a la información</w:t>
      </w:r>
      <w:r w:rsidRPr="003E2D43">
        <w:rPr>
          <w:rFonts w:eastAsia="Palatino Linotype" w:cs="Palatino Linotype"/>
          <w:color w:val="auto"/>
          <w:lang w:eastAsia="es-MX"/>
        </w:rPr>
        <w:t xml:space="preserve"> ocurre cuando de manera fundada y motivada, una autoridad la niega o la limita, por alguna de las siguientes razones:</w:t>
      </w:r>
    </w:p>
    <w:p w14:paraId="295552F4" w14:textId="77777777" w:rsidR="003E2D43" w:rsidRPr="003E2D43" w:rsidRDefault="003E2D43" w:rsidP="00570EFD">
      <w:pPr>
        <w:spacing w:after="0" w:line="360" w:lineRule="auto"/>
        <w:rPr>
          <w:rFonts w:eastAsia="Palatino Linotype" w:cs="Palatino Linotype"/>
          <w:color w:val="auto"/>
          <w:lang w:eastAsia="es-MX"/>
        </w:rPr>
      </w:pPr>
    </w:p>
    <w:p w14:paraId="495C1ADB" w14:textId="77777777" w:rsidR="003E2D43" w:rsidRPr="003E2D43" w:rsidRDefault="003E2D43" w:rsidP="00570EFD">
      <w:pPr>
        <w:numPr>
          <w:ilvl w:val="0"/>
          <w:numId w:val="43"/>
        </w:numPr>
        <w:spacing w:after="0" w:line="360" w:lineRule="auto"/>
        <w:rPr>
          <w:rFonts w:eastAsia="Palatino Linotype" w:cs="Palatino Linotype"/>
          <w:color w:val="000000"/>
          <w:lang w:eastAsia="es-MX"/>
        </w:rPr>
      </w:pPr>
      <w:r w:rsidRPr="003E2D43">
        <w:rPr>
          <w:rFonts w:eastAsia="Palatino Linotype" w:cs="Palatino Linotype"/>
          <w:b/>
          <w:bCs/>
          <w:color w:val="000000"/>
          <w:lang w:eastAsia="es-MX"/>
        </w:rPr>
        <w:t>La inexistencia de la información (p. 171):</w:t>
      </w:r>
      <w:r w:rsidRPr="003E2D43">
        <w:rPr>
          <w:rFonts w:eastAsia="Palatino Linotype" w:cs="Palatino Linotype"/>
          <w:color w:val="000000"/>
          <w:lang w:eastAsia="es-MX"/>
        </w:rPr>
        <w:t xml:space="preserve"> Sucede cuando la información solicitada no se encuentra en los archivos públicos o clasificados, de los entes sujetos a las Leyes de Transparencia</w:t>
      </w:r>
    </w:p>
    <w:p w14:paraId="6D7F1095" w14:textId="77777777" w:rsidR="003E2D43" w:rsidRPr="003E2D43" w:rsidRDefault="003E2D43" w:rsidP="00570EFD">
      <w:pPr>
        <w:spacing w:after="0" w:line="360" w:lineRule="auto"/>
        <w:rPr>
          <w:rFonts w:eastAsia="Palatino Linotype" w:cs="Palatino Linotype"/>
          <w:color w:val="000000"/>
          <w:lang w:eastAsia="es-MX"/>
        </w:rPr>
      </w:pPr>
    </w:p>
    <w:p w14:paraId="3EAC19D7" w14:textId="77777777" w:rsidR="003E2D43" w:rsidRPr="003E2D43" w:rsidRDefault="003E2D43" w:rsidP="00570EFD">
      <w:pPr>
        <w:numPr>
          <w:ilvl w:val="0"/>
          <w:numId w:val="43"/>
        </w:numPr>
        <w:spacing w:after="0" w:line="360" w:lineRule="auto"/>
        <w:rPr>
          <w:rFonts w:eastAsia="Palatino Linotype" w:cs="Palatino Linotype"/>
          <w:color w:val="000000"/>
          <w:lang w:eastAsia="es-MX"/>
        </w:rPr>
      </w:pPr>
      <w:r w:rsidRPr="003E2D43">
        <w:rPr>
          <w:rFonts w:eastAsia="Palatino Linotype" w:cs="Palatino Linotype"/>
          <w:b/>
          <w:bCs/>
          <w:color w:val="000000"/>
          <w:lang w:eastAsia="es-MX"/>
        </w:rPr>
        <w:t>La incompetencia del Sujeto Obligado (p. 171):</w:t>
      </w:r>
      <w:r w:rsidRPr="003E2D43">
        <w:rPr>
          <w:rFonts w:eastAsia="Palatino Linotype" w:cs="Palatino Linotype"/>
          <w:color w:val="000000"/>
          <w:lang w:eastAsia="es-MX"/>
        </w:rPr>
        <w:t xml:space="preserve"> Ocurre cuando el Sujeto Obligado carece de atribuciones para poseer la información peticionada.</w:t>
      </w:r>
    </w:p>
    <w:p w14:paraId="6B6834BB" w14:textId="77777777" w:rsidR="003E2D43" w:rsidRPr="003E2D43" w:rsidRDefault="003E2D43" w:rsidP="00570EFD">
      <w:pPr>
        <w:spacing w:after="0" w:line="360" w:lineRule="auto"/>
        <w:rPr>
          <w:rFonts w:eastAsia="Palatino Linotype" w:cs="Palatino Linotype"/>
          <w:color w:val="000000"/>
          <w:lang w:eastAsia="es-MX"/>
        </w:rPr>
      </w:pPr>
    </w:p>
    <w:p w14:paraId="17BBCBCB" w14:textId="77777777" w:rsidR="003E2D43" w:rsidRPr="003E2D43" w:rsidRDefault="003E2D43" w:rsidP="00570EFD">
      <w:pPr>
        <w:numPr>
          <w:ilvl w:val="0"/>
          <w:numId w:val="43"/>
        </w:numPr>
        <w:spacing w:after="0" w:line="360" w:lineRule="auto"/>
        <w:rPr>
          <w:rFonts w:eastAsia="Palatino Linotype" w:cs="Palatino Linotype"/>
          <w:color w:val="000000"/>
          <w:lang w:eastAsia="es-MX"/>
        </w:rPr>
      </w:pPr>
      <w:r w:rsidRPr="003E2D43">
        <w:rPr>
          <w:rFonts w:eastAsia="Palatino Linotype" w:cs="Palatino Linotype"/>
          <w:b/>
          <w:bCs/>
          <w:color w:val="000000"/>
          <w:lang w:eastAsia="es-MX"/>
        </w:rPr>
        <w:t>La clasificación de la información (p. 70):</w:t>
      </w:r>
      <w:r w:rsidRPr="003E2D43">
        <w:rPr>
          <w:rFonts w:eastAsia="Palatino Linotype" w:cs="Palatino Linotype"/>
          <w:color w:val="000000"/>
          <w:lang w:eastAsia="es-MX"/>
        </w:rPr>
        <w:t xml:space="preserve"> Es el proceso o conjunto de acciones que realizan los sujetos obligados para establecer que determinada información se encuentra en alguno de los supuestos de reserva o confidencialidad establecidos en la legislación en materia de transparencia.</w:t>
      </w:r>
    </w:p>
    <w:p w14:paraId="1A85E6EB" w14:textId="77777777" w:rsidR="003E2D43" w:rsidRPr="003E2D43" w:rsidRDefault="003E2D43" w:rsidP="00570EFD">
      <w:pPr>
        <w:spacing w:after="0" w:line="360" w:lineRule="auto"/>
        <w:rPr>
          <w:rFonts w:eastAsia="Palatino Linotype" w:cs="Palatino Linotype"/>
          <w:color w:val="auto"/>
          <w:lang w:eastAsia="es-MX"/>
        </w:rPr>
      </w:pPr>
    </w:p>
    <w:p w14:paraId="1DF87361" w14:textId="77777777" w:rsidR="003E2D43" w:rsidRPr="003E2D43" w:rsidRDefault="003E2D43" w:rsidP="00570EFD">
      <w:pPr>
        <w:spacing w:after="0" w:line="360" w:lineRule="auto"/>
        <w:rPr>
          <w:rFonts w:eastAsia="Palatino Linotype" w:cs="Palatino Linotype"/>
          <w:b/>
          <w:bCs/>
          <w:color w:val="auto"/>
          <w:lang w:eastAsia="es-MX"/>
        </w:rPr>
      </w:pPr>
      <w:r w:rsidRPr="003E2D43">
        <w:rPr>
          <w:rFonts w:eastAsia="Palatino Linotype" w:cs="Palatino Linotype"/>
          <w:color w:val="auto"/>
          <w:lang w:eastAsia="es-MX"/>
        </w:rPr>
        <w:t xml:space="preserve">En ese orden de ideas y en atención a lo anterior, es de señalar que las excepciones al derecho de acceso a la información consisten en que la documentación sea inexistente, se encuentre </w:t>
      </w:r>
      <w:r w:rsidRPr="003E2D43">
        <w:rPr>
          <w:rFonts w:eastAsia="Palatino Linotype" w:cs="Palatino Linotype"/>
          <w:b/>
          <w:bCs/>
          <w:color w:val="auto"/>
          <w:lang w:eastAsia="es-MX"/>
        </w:rPr>
        <w:t>clasificada,</w:t>
      </w:r>
      <w:r w:rsidRPr="003E2D43">
        <w:rPr>
          <w:rFonts w:eastAsia="Palatino Linotype" w:cs="Palatino Linotype"/>
          <w:color w:val="auto"/>
          <w:lang w:eastAsia="es-MX"/>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3E2D43">
        <w:rPr>
          <w:rFonts w:eastAsia="Palatino Linotype" w:cs="Palatino Linotype"/>
          <w:b/>
          <w:bCs/>
          <w:color w:val="auto"/>
          <w:lang w:eastAsia="es-MX"/>
        </w:rPr>
        <w:t>confidenciales o reservados.</w:t>
      </w:r>
    </w:p>
    <w:p w14:paraId="43F6723C" w14:textId="77777777" w:rsidR="003E2D43" w:rsidRPr="003E2D43" w:rsidRDefault="003E2D43" w:rsidP="00570EFD">
      <w:pPr>
        <w:spacing w:after="0" w:line="360" w:lineRule="auto"/>
        <w:rPr>
          <w:rFonts w:eastAsia="Palatino Linotype" w:cs="Palatino Linotype"/>
          <w:color w:val="auto"/>
          <w:lang w:eastAsia="es-MX"/>
        </w:rPr>
      </w:pPr>
      <w:r w:rsidRPr="003E2D43">
        <w:rPr>
          <w:rFonts w:eastAsia="Palatino Linotype" w:cs="Palatino Linotype"/>
          <w:color w:val="000000"/>
          <w:lang w:eastAsia="es-MX"/>
        </w:rPr>
        <w:t xml:space="preserve">Conforme a lo anterior, se logra vislumbrar que el Sujeto Obligado no señaló que fuera incompetente para conocer de lo peticionado, ni que fuera inexistente, sino que señaló que contenían datos personales de particulares, situación que únicamente correspondería a una clasificación de información; sobre el tema, </w:t>
      </w:r>
      <w:r w:rsidRPr="003E2D43">
        <w:rPr>
          <w:rFonts w:eastAsia="Palatino Linotype" w:cs="Palatino Linotype"/>
          <w:color w:val="auto"/>
          <w:lang w:eastAsia="es-MX"/>
        </w:rPr>
        <w:t xml:space="preserve">los artículos 122, 128 y 130 de la Ley Transparencia y Acceso a la Información Pública del Estado de México y Municipios, se prevé que </w:t>
      </w:r>
      <w:r w:rsidRPr="003E2D43">
        <w:rPr>
          <w:rFonts w:eastAsia="Palatino Linotype" w:cs="Palatino Linotype"/>
          <w:b/>
          <w:bCs/>
          <w:color w:val="auto"/>
          <w:lang w:eastAsia="es-MX"/>
        </w:rPr>
        <w:t>la clasificación</w:t>
      </w:r>
      <w:r w:rsidRPr="003E2D43">
        <w:rPr>
          <w:rFonts w:eastAsia="Palatino Linotype" w:cs="Palatino Linotype"/>
          <w:color w:val="auto"/>
          <w:lang w:eastAsia="es-MX"/>
        </w:rPr>
        <w:t xml:space="preserve"> es el proceso mediante el cual los sujetos obligados determinan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p>
    <w:p w14:paraId="60894109" w14:textId="77777777" w:rsidR="003E2D43" w:rsidRPr="003E2D43" w:rsidRDefault="003E2D43" w:rsidP="00570EFD">
      <w:pPr>
        <w:spacing w:after="0" w:line="360" w:lineRule="auto"/>
        <w:rPr>
          <w:rFonts w:eastAsia="Palatino Linotype" w:cs="Palatino Linotype"/>
          <w:color w:val="auto"/>
          <w:lang w:eastAsia="es-MX"/>
        </w:rPr>
      </w:pPr>
    </w:p>
    <w:p w14:paraId="0C90DCED" w14:textId="77777777" w:rsidR="003E2D43" w:rsidRPr="003E2D43" w:rsidRDefault="003E2D43" w:rsidP="00570EFD">
      <w:pPr>
        <w:spacing w:after="0" w:line="360" w:lineRule="auto"/>
        <w:rPr>
          <w:rFonts w:eastAsia="Palatino Linotype" w:cs="Palatino Linotype"/>
          <w:color w:val="auto"/>
          <w:lang w:eastAsia="es-MX"/>
        </w:rPr>
      </w:pPr>
      <w:r w:rsidRPr="003E2D43">
        <w:rPr>
          <w:rFonts w:eastAsia="Palatino Linotype" w:cs="Palatino Linotype"/>
          <w:color w:val="auto"/>
          <w:lang w:eastAsia="es-MX"/>
        </w:rPr>
        <w:t xml:space="preserve">Por lo cual, en los casos en que se niegue el acceso a la información, por actualizarse alguno de los supuestos de clasificación, </w:t>
      </w:r>
      <w:r w:rsidRPr="003E2D43">
        <w:rPr>
          <w:rFonts w:eastAsia="Palatino Linotype" w:cs="Palatino Linotype"/>
          <w:b/>
          <w:bCs/>
          <w:color w:val="auto"/>
          <w:lang w:eastAsia="es-MX"/>
        </w:rPr>
        <w:t>el Comité de Transparencia deberá confirmar, modificar o revocar la decisión;</w:t>
      </w:r>
      <w:r w:rsidRPr="003E2D43">
        <w:rPr>
          <w:rFonts w:eastAsia="Palatino Linotype" w:cs="Palatino Linotype"/>
          <w:color w:val="auto"/>
          <w:lang w:eastAsia="es-MX"/>
        </w:rPr>
        <w:t xml:space="preserve"> 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2C781DBB" w14:textId="77777777" w:rsidR="003E2D43" w:rsidRPr="003E2D43" w:rsidRDefault="003E2D43" w:rsidP="00570EFD">
      <w:pPr>
        <w:spacing w:after="0" w:line="360" w:lineRule="auto"/>
        <w:rPr>
          <w:rFonts w:eastAsia="Palatino Linotype" w:cs="Palatino Linotype"/>
          <w:color w:val="auto"/>
          <w:lang w:eastAsia="es-MX"/>
        </w:rPr>
      </w:pPr>
    </w:p>
    <w:p w14:paraId="17195A2A" w14:textId="77777777" w:rsidR="003E2D43" w:rsidRPr="003E2D43" w:rsidRDefault="003E2D43" w:rsidP="00570EFD">
      <w:pPr>
        <w:spacing w:after="0" w:line="360" w:lineRule="auto"/>
        <w:rPr>
          <w:rFonts w:eastAsia="Palatino Linotype" w:cs="Palatino Linotype"/>
          <w:color w:val="auto"/>
          <w:lang w:eastAsia="es-MX"/>
        </w:rPr>
      </w:pPr>
      <w:r w:rsidRPr="003E2D43">
        <w:rPr>
          <w:rFonts w:eastAsia="Palatino Linotype" w:cs="Palatino Linotype"/>
          <w:color w:val="auto"/>
          <w:lang w:eastAsia="es-MX"/>
        </w:rPr>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42A4BED2" w14:textId="77777777" w:rsidR="003E2D43" w:rsidRPr="003E2D43" w:rsidRDefault="003E2D43" w:rsidP="00570EFD">
      <w:pPr>
        <w:spacing w:after="0" w:line="360" w:lineRule="auto"/>
        <w:rPr>
          <w:rFonts w:eastAsia="Palatino Linotype" w:cs="Palatino Linotype"/>
          <w:color w:val="auto"/>
          <w:lang w:eastAsia="es-MX"/>
        </w:rPr>
      </w:pPr>
    </w:p>
    <w:p w14:paraId="453955A8" w14:textId="06F6C4F1" w:rsidR="003E2D43" w:rsidRPr="003E2D43" w:rsidRDefault="003E2D43" w:rsidP="00570EFD">
      <w:pPr>
        <w:spacing w:after="0" w:line="360" w:lineRule="auto"/>
        <w:rPr>
          <w:rFonts w:eastAsia="Palatino Linotype" w:cs="Palatino Linotype"/>
          <w:color w:val="auto"/>
          <w:lang w:eastAsia="es-MX"/>
        </w:rPr>
      </w:pPr>
      <w:r w:rsidRPr="003E2D43">
        <w:rPr>
          <w:rFonts w:eastAsia="Palatino Linotype" w:cs="Palatino Linotype"/>
          <w:color w:val="auto"/>
          <w:lang w:eastAsia="es-MX"/>
        </w:rPr>
        <w:t xml:space="preserve">Además,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3E2D43">
        <w:rPr>
          <w:rFonts w:eastAsia="Palatino Linotype" w:cs="Palatino Linotype"/>
          <w:b/>
          <w:bCs/>
          <w:color w:val="auto"/>
          <w:lang w:eastAsia="es-MX"/>
        </w:rPr>
        <w:t>análisis caso por caso.</w:t>
      </w:r>
    </w:p>
    <w:p w14:paraId="4397DFEE" w14:textId="77777777" w:rsidR="003E2D43" w:rsidRPr="003E2D43" w:rsidRDefault="003E2D43" w:rsidP="00570EFD">
      <w:pPr>
        <w:spacing w:after="0" w:line="360" w:lineRule="auto"/>
        <w:rPr>
          <w:rFonts w:eastAsia="Palatino Linotype" w:cs="Palatino Linotype"/>
          <w:color w:val="auto"/>
          <w:lang w:eastAsia="es-MX"/>
        </w:rPr>
      </w:pPr>
    </w:p>
    <w:p w14:paraId="34767565" w14:textId="77777777" w:rsidR="003E2D43" w:rsidRPr="003E2D43" w:rsidRDefault="003E2D43" w:rsidP="00570EFD">
      <w:pPr>
        <w:spacing w:after="0" w:line="360" w:lineRule="auto"/>
        <w:rPr>
          <w:rFonts w:eastAsia="Palatino Linotype" w:cs="Palatino Linotype"/>
          <w:color w:val="auto"/>
          <w:lang w:eastAsia="es-MX"/>
        </w:rPr>
      </w:pPr>
      <w:r w:rsidRPr="003E2D43">
        <w:rPr>
          <w:rFonts w:eastAsia="Palatino Linotype" w:cs="Palatino Linotype"/>
          <w:color w:val="auto"/>
          <w:lang w:eastAsia="es-MX"/>
        </w:rPr>
        <w:t>Sobre lo anterior, el artículo 131 de la Ley referida, así como el Quinto de los Lineamientos Generales vigentes a la fecha de la solicitud, establecen que los sujetos obligados deberán fundar y motivar debidamente la clasificación de la información.</w:t>
      </w:r>
    </w:p>
    <w:p w14:paraId="3F82658E" w14:textId="77777777" w:rsidR="003E2D43" w:rsidRPr="003E2D43" w:rsidRDefault="003E2D43" w:rsidP="00570EFD">
      <w:pPr>
        <w:spacing w:after="0" w:line="360" w:lineRule="auto"/>
        <w:rPr>
          <w:rFonts w:eastAsia="Palatino Linotype" w:cs="Palatino Linotype"/>
          <w:color w:val="auto"/>
          <w:lang w:eastAsia="es-MX"/>
        </w:rPr>
      </w:pPr>
    </w:p>
    <w:p w14:paraId="087EC577" w14:textId="77777777" w:rsidR="003E2D43" w:rsidRPr="003E2D43" w:rsidRDefault="003E2D43" w:rsidP="00570EFD">
      <w:pPr>
        <w:spacing w:after="0" w:line="360" w:lineRule="auto"/>
        <w:rPr>
          <w:rFonts w:eastAsia="Palatino Linotype" w:cs="Palatino Linotype"/>
          <w:color w:val="auto"/>
          <w:lang w:eastAsia="es-MX"/>
        </w:rPr>
      </w:pPr>
      <w:r w:rsidRPr="003E2D43">
        <w:rPr>
          <w:rFonts w:eastAsia="Palatino Linotype" w:cs="Palatino Linotype"/>
          <w:color w:val="auto"/>
          <w:lang w:eastAsia="es-MX"/>
        </w:rPr>
        <w:t>Al respecto, el Octavo de los Lineamientos Generales en comento, precisa lo siguiente:</w:t>
      </w:r>
    </w:p>
    <w:p w14:paraId="026A27A6" w14:textId="77777777" w:rsidR="003E2D43" w:rsidRPr="003E2D43" w:rsidRDefault="003E2D43" w:rsidP="00570EFD">
      <w:pPr>
        <w:spacing w:after="0" w:line="360" w:lineRule="auto"/>
        <w:rPr>
          <w:rFonts w:eastAsia="Palatino Linotype" w:cs="Palatino Linotype"/>
          <w:color w:val="auto"/>
          <w:lang w:eastAsia="es-MX"/>
        </w:rPr>
      </w:pPr>
    </w:p>
    <w:p w14:paraId="3D7FAE5F" w14:textId="77777777" w:rsidR="003E2D43" w:rsidRPr="003E2D43" w:rsidRDefault="003E2D43" w:rsidP="00570EFD">
      <w:pPr>
        <w:numPr>
          <w:ilvl w:val="0"/>
          <w:numId w:val="44"/>
        </w:numPr>
        <w:spacing w:after="0" w:line="360" w:lineRule="auto"/>
        <w:rPr>
          <w:rFonts w:eastAsia="Palatino Linotype" w:cs="Palatino Linotype"/>
          <w:color w:val="auto"/>
          <w:lang w:eastAsia="es-MX"/>
        </w:rPr>
      </w:pPr>
      <w:r w:rsidRPr="003E2D43">
        <w:rPr>
          <w:rFonts w:eastAsia="Palatino Linotype" w:cs="Palatino Linotype"/>
          <w:b/>
          <w:bCs/>
          <w:color w:val="auto"/>
          <w:lang w:eastAsia="es-MX"/>
        </w:rPr>
        <w:t xml:space="preserve">Para fundar la clasificación </w:t>
      </w:r>
      <w:r w:rsidRPr="003E2D43">
        <w:rPr>
          <w:rFonts w:eastAsia="Palatino Linotype" w:cs="Palatino Linotype"/>
          <w:color w:val="auto"/>
          <w:lang w:eastAsia="es-MX"/>
        </w:rPr>
        <w:t xml:space="preserve">de la información se deberán señalar el artículo, fracción, inciso, párrafo o numeral de la Ley aplicable; </w:t>
      </w:r>
    </w:p>
    <w:p w14:paraId="66514CA7" w14:textId="77777777" w:rsidR="003E2D43" w:rsidRPr="003E2D43" w:rsidRDefault="003E2D43" w:rsidP="00570EFD">
      <w:pPr>
        <w:spacing w:after="0" w:line="360" w:lineRule="auto"/>
        <w:rPr>
          <w:rFonts w:eastAsia="Palatino Linotype" w:cs="Palatino Linotype"/>
          <w:color w:val="auto"/>
          <w:lang w:eastAsia="es-MX"/>
        </w:rPr>
      </w:pPr>
    </w:p>
    <w:p w14:paraId="57F680DA" w14:textId="77777777" w:rsidR="003E2D43" w:rsidRPr="003E2D43" w:rsidRDefault="003E2D43" w:rsidP="00570EFD">
      <w:pPr>
        <w:numPr>
          <w:ilvl w:val="0"/>
          <w:numId w:val="44"/>
        </w:numPr>
        <w:spacing w:after="0" w:line="360" w:lineRule="auto"/>
        <w:rPr>
          <w:rFonts w:eastAsia="Palatino Linotype" w:cs="Palatino Linotype"/>
          <w:color w:val="000000"/>
          <w:lang w:eastAsia="es-MX"/>
        </w:rPr>
      </w:pPr>
      <w:r w:rsidRPr="003E2D43">
        <w:rPr>
          <w:rFonts w:eastAsia="Palatino Linotype" w:cs="Palatino Linotype"/>
          <w:b/>
          <w:bCs/>
          <w:color w:val="auto"/>
          <w:lang w:eastAsia="es-MX"/>
        </w:rPr>
        <w:t>Para motivar la clasificación</w:t>
      </w:r>
      <w:r w:rsidRPr="003E2D43">
        <w:rPr>
          <w:rFonts w:eastAsia="Palatino Linotype" w:cs="Palatino Linotype"/>
          <w:color w:val="auto"/>
          <w:lang w:eastAsia="es-MX"/>
        </w:rPr>
        <w:t xml:space="preserve"> se deberán indicar las razones y circunstancias especiales que lo llevaron a concluir que el caso particular se ajusta al supuesto previsto por la norma legal invocada.</w:t>
      </w:r>
    </w:p>
    <w:p w14:paraId="26BA1166" w14:textId="77777777" w:rsidR="003E2D43" w:rsidRPr="003E2D43" w:rsidRDefault="003E2D43" w:rsidP="00570EFD">
      <w:pPr>
        <w:spacing w:after="0" w:line="360" w:lineRule="auto"/>
        <w:rPr>
          <w:rFonts w:eastAsia="Palatino Linotype" w:cs="Palatino Linotype"/>
          <w:color w:val="FF0000"/>
          <w:lang w:eastAsia="es-MX"/>
        </w:rPr>
      </w:pPr>
    </w:p>
    <w:p w14:paraId="4B3A469A" w14:textId="77777777" w:rsidR="003E2D43" w:rsidRPr="003E2D43" w:rsidRDefault="003E2D43" w:rsidP="00570EFD">
      <w:pPr>
        <w:spacing w:after="0" w:line="360" w:lineRule="auto"/>
        <w:rPr>
          <w:rFonts w:eastAsia="Palatino Linotype" w:cs="Palatino Linotype"/>
          <w:color w:val="auto"/>
          <w:lang w:eastAsia="es-MX"/>
        </w:rPr>
      </w:pPr>
      <w:r w:rsidRPr="003E2D43">
        <w:rPr>
          <w:rFonts w:eastAsia="Palatino Linotype" w:cs="Palatino Linotype"/>
          <w:color w:val="auto"/>
          <w:lang w:eastAsia="es-MX"/>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15B365E7" w14:textId="77777777" w:rsidR="003E2D43" w:rsidRPr="003E2D43" w:rsidRDefault="003E2D43" w:rsidP="00570EFD">
      <w:pPr>
        <w:spacing w:after="0" w:line="360" w:lineRule="auto"/>
        <w:rPr>
          <w:rFonts w:eastAsia="Palatino Linotype" w:cs="Palatino Linotype"/>
          <w:color w:val="auto"/>
          <w:lang w:eastAsia="es-MX"/>
        </w:rPr>
      </w:pPr>
    </w:p>
    <w:p w14:paraId="1E590E3C" w14:textId="77777777" w:rsidR="003E2D43" w:rsidRPr="003E2D43" w:rsidRDefault="003E2D43" w:rsidP="00570EFD">
      <w:pPr>
        <w:spacing w:after="0" w:line="360" w:lineRule="auto"/>
        <w:ind w:left="567" w:right="567"/>
        <w:rPr>
          <w:rFonts w:eastAsia="Palatino Linotype" w:cs="Palatino Linotype"/>
          <w:i/>
          <w:iCs/>
          <w:color w:val="000000"/>
          <w:sz w:val="20"/>
          <w:szCs w:val="20"/>
          <w:lang w:eastAsia="es-MX"/>
        </w:rPr>
      </w:pPr>
      <w:r w:rsidRPr="003E2D43">
        <w:rPr>
          <w:rFonts w:eastAsia="Palatino Linotype" w:cs="Palatino Linotype"/>
          <w:b/>
          <w:bCs/>
          <w:i/>
          <w:iCs/>
          <w:color w:val="000000"/>
          <w:sz w:val="20"/>
          <w:szCs w:val="20"/>
          <w:lang w:eastAsia="es-MX"/>
        </w:rPr>
        <w:t>“FUNDAMENTACION Y MOTIVACION, CONCEPTO DE.</w:t>
      </w:r>
      <w:r w:rsidRPr="003E2D43">
        <w:rPr>
          <w:rFonts w:eastAsia="Palatino Linotype" w:cs="Palatino Linotype"/>
          <w:i/>
          <w:iCs/>
          <w:color w:val="000000"/>
          <w:sz w:val="20"/>
          <w:szCs w:val="20"/>
          <w:lang w:eastAsia="es-MX"/>
        </w:rPr>
        <w:t xml:space="preserve"> 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5983D9EE" w14:textId="77777777" w:rsidR="003E2D43" w:rsidRPr="003E2D43" w:rsidRDefault="003E2D43" w:rsidP="00570EFD">
      <w:pPr>
        <w:spacing w:after="0" w:line="360" w:lineRule="auto"/>
        <w:rPr>
          <w:rFonts w:eastAsia="Palatino Linotype" w:cs="Palatino Linotype"/>
          <w:color w:val="auto"/>
          <w:lang w:eastAsia="es-MX"/>
        </w:rPr>
      </w:pPr>
    </w:p>
    <w:p w14:paraId="324C59E7" w14:textId="77777777" w:rsidR="003E2D43" w:rsidRPr="003E2D43" w:rsidRDefault="003E2D43" w:rsidP="00570EFD">
      <w:pPr>
        <w:spacing w:after="0" w:line="360" w:lineRule="auto"/>
        <w:rPr>
          <w:rFonts w:eastAsia="Palatino Linotype" w:cs="Palatino Linotype"/>
          <w:color w:val="auto"/>
          <w:lang w:eastAsia="es-MX"/>
        </w:rPr>
      </w:pPr>
      <w:r w:rsidRPr="003E2D43">
        <w:rPr>
          <w:rFonts w:eastAsia="Palatino Linotype" w:cs="Palatino Linotype"/>
          <w:color w:val="auto"/>
          <w:lang w:eastAsia="es-MX"/>
        </w:rPr>
        <w:t>Conforme a lo anterior, se advierte lo siguiente:</w:t>
      </w:r>
    </w:p>
    <w:p w14:paraId="3621AF9C" w14:textId="77777777" w:rsidR="003E2D43" w:rsidRPr="003E2D43" w:rsidRDefault="003E2D43" w:rsidP="00570EFD">
      <w:pPr>
        <w:spacing w:after="0" w:line="360" w:lineRule="auto"/>
        <w:rPr>
          <w:rFonts w:eastAsia="Palatino Linotype" w:cs="Palatino Linotype"/>
          <w:color w:val="auto"/>
          <w:lang w:eastAsia="es-MX"/>
        </w:rPr>
      </w:pPr>
    </w:p>
    <w:p w14:paraId="455AD275" w14:textId="77777777" w:rsidR="003E2D43" w:rsidRPr="003E2D43" w:rsidRDefault="003E2D43" w:rsidP="00570EFD">
      <w:pPr>
        <w:numPr>
          <w:ilvl w:val="0"/>
          <w:numId w:val="45"/>
        </w:numPr>
        <w:spacing w:after="0" w:line="360" w:lineRule="auto"/>
        <w:rPr>
          <w:rFonts w:eastAsia="Palatino Linotype" w:cs="Palatino Linotype"/>
          <w:color w:val="auto"/>
          <w:lang w:eastAsia="es-MX"/>
        </w:rPr>
      </w:pPr>
      <w:r w:rsidRPr="003E2D43">
        <w:rPr>
          <w:rFonts w:eastAsia="Palatino Linotype" w:cs="Palatino Linotype"/>
          <w:b/>
          <w:bCs/>
          <w:color w:val="auto"/>
          <w:lang w:eastAsia="es-MX"/>
        </w:rPr>
        <w:t>Fundamentación:</w:t>
      </w:r>
      <w:r w:rsidRPr="003E2D43">
        <w:rPr>
          <w:rFonts w:eastAsia="Palatino Linotype" w:cs="Palatino Linotype"/>
          <w:color w:val="auto"/>
          <w:lang w:eastAsia="es-MX"/>
        </w:rPr>
        <w:t xml:space="preserve"> Obligación de la autoridad que emite un acto, para citar los preceptos legales, sustantivos y adjetivos, en que se apoye para la determinación tomada.</w:t>
      </w:r>
    </w:p>
    <w:p w14:paraId="4848A3BA" w14:textId="77777777" w:rsidR="003E2D43" w:rsidRPr="003E2D43" w:rsidRDefault="003E2D43" w:rsidP="00570EFD">
      <w:pPr>
        <w:spacing w:after="0" w:line="360" w:lineRule="auto"/>
        <w:rPr>
          <w:rFonts w:eastAsia="Palatino Linotype" w:cs="Palatino Linotype"/>
          <w:color w:val="auto"/>
          <w:lang w:eastAsia="es-MX"/>
        </w:rPr>
      </w:pPr>
    </w:p>
    <w:p w14:paraId="25BDEC84" w14:textId="77777777" w:rsidR="003E2D43" w:rsidRPr="003E2D43" w:rsidRDefault="003E2D43" w:rsidP="00570EFD">
      <w:pPr>
        <w:numPr>
          <w:ilvl w:val="0"/>
          <w:numId w:val="45"/>
        </w:numPr>
        <w:spacing w:after="0" w:line="360" w:lineRule="auto"/>
        <w:rPr>
          <w:rFonts w:eastAsia="Palatino Linotype" w:cs="Palatino Linotype"/>
          <w:color w:val="000000"/>
          <w:lang w:eastAsia="es-MX"/>
        </w:rPr>
      </w:pPr>
      <w:r w:rsidRPr="003E2D43">
        <w:rPr>
          <w:rFonts w:eastAsia="Palatino Linotype" w:cs="Palatino Linotype"/>
          <w:b/>
          <w:bCs/>
          <w:color w:val="000000"/>
          <w:lang w:eastAsia="es-MX"/>
        </w:rPr>
        <w:t>Motivación:</w:t>
      </w:r>
      <w:r w:rsidRPr="003E2D43">
        <w:rPr>
          <w:rFonts w:eastAsia="Palatino Linotype" w:cs="Palatino Linotype"/>
          <w:color w:val="000000"/>
          <w:lang w:eastAsia="es-MX"/>
        </w:rPr>
        <w:t xml:space="preserve"> Razonamientos lógico-jurídicos sobre porque se consideró en el caso en concreto, que se ajusta a la hipótesis normativa.</w:t>
      </w:r>
    </w:p>
    <w:p w14:paraId="0227448C" w14:textId="77777777" w:rsidR="003E2D43" w:rsidRPr="003E2D43" w:rsidRDefault="003E2D43" w:rsidP="00570EFD">
      <w:pPr>
        <w:spacing w:after="0" w:line="360" w:lineRule="auto"/>
        <w:rPr>
          <w:rFonts w:eastAsia="Palatino Linotype" w:cs="Palatino Linotype"/>
          <w:color w:val="FF0000"/>
          <w:lang w:eastAsia="es-MX"/>
        </w:rPr>
      </w:pPr>
    </w:p>
    <w:p w14:paraId="47E46518" w14:textId="4DA47915" w:rsidR="00C01492" w:rsidRPr="003E2D43" w:rsidRDefault="003E2D43" w:rsidP="00570EFD">
      <w:pPr>
        <w:spacing w:after="0" w:line="360" w:lineRule="auto"/>
        <w:rPr>
          <w:rFonts w:eastAsia="Palatino Linotype" w:cs="Palatino Linotype"/>
          <w:color w:val="auto"/>
          <w:lang w:eastAsia="es-MX"/>
        </w:rPr>
      </w:pPr>
      <w:r>
        <w:rPr>
          <w:rFonts w:eastAsia="Palatino Linotype" w:cs="Palatino Linotype"/>
          <w:color w:val="auto"/>
          <w:lang w:eastAsia="es-MX"/>
        </w:rPr>
        <w:t>Ahora bien, respecto a la confidencialidad de la información, e</w:t>
      </w:r>
      <w:r w:rsidRPr="003E2D43">
        <w:rPr>
          <w:rFonts w:eastAsia="Palatino Linotype" w:cs="Palatino Linotype"/>
          <w:color w:val="auto"/>
          <w:lang w:eastAsia="es-MX"/>
        </w:rPr>
        <w:t>l artículo 149 de la Ley de Transparencia y Acceso a la Información Pública del Estado de México y Municipios, todo acuerdo que clasifique la información como confidencial, deberá contener un razonamiento lógico en el que se demuestre que la información actualiza alguna de las hipótesis previstas en el artículo 143 del ordenamiento jurídico establecido.</w:t>
      </w:r>
    </w:p>
    <w:p w14:paraId="74666961" w14:textId="77777777" w:rsidR="009B6E2D" w:rsidRDefault="009B6E2D" w:rsidP="00570EFD">
      <w:pPr>
        <w:spacing w:after="0" w:line="360" w:lineRule="auto"/>
        <w:contextualSpacing/>
        <w:rPr>
          <w:rFonts w:eastAsia="Times New Roman" w:cs="Tahoma"/>
          <w:iCs/>
          <w:color w:val="auto"/>
          <w:lang w:eastAsia="es-ES"/>
        </w:rPr>
      </w:pPr>
    </w:p>
    <w:p w14:paraId="706C4CE5" w14:textId="789D182E" w:rsidR="00570EFD" w:rsidRDefault="00570EFD" w:rsidP="00570EFD">
      <w:pPr>
        <w:spacing w:after="0" w:line="360" w:lineRule="auto"/>
        <w:contextualSpacing/>
        <w:rPr>
          <w:rFonts w:eastAsia="Times New Roman" w:cs="Tahoma"/>
          <w:iCs/>
          <w:color w:val="auto"/>
          <w:lang w:eastAsia="es-ES"/>
        </w:rPr>
      </w:pPr>
      <w:r>
        <w:rPr>
          <w:rFonts w:eastAsia="Times New Roman" w:cs="Tahoma"/>
          <w:iCs/>
          <w:color w:val="auto"/>
          <w:lang w:eastAsia="es-ES"/>
        </w:rPr>
        <w:t>En ese contexto, de la respuesta entregada no se logra advertir los elementos para determinar que la información era clasificada como confidencial, pues no estableció los supuestos que de la Ley Local que se actualizaban, ni las circunstancias y motivos por los cuáles se actualizaban determinadas causales de confidencialidad.</w:t>
      </w:r>
    </w:p>
    <w:p w14:paraId="6B541171" w14:textId="77777777" w:rsidR="00570EFD" w:rsidRDefault="00570EFD" w:rsidP="00570EFD">
      <w:pPr>
        <w:spacing w:after="0" w:line="360" w:lineRule="auto"/>
        <w:contextualSpacing/>
        <w:rPr>
          <w:rFonts w:eastAsia="Times New Roman" w:cs="Tahoma"/>
          <w:iCs/>
          <w:color w:val="auto"/>
          <w:lang w:eastAsia="es-ES"/>
        </w:rPr>
      </w:pPr>
    </w:p>
    <w:p w14:paraId="3514416A" w14:textId="77777777" w:rsidR="003E2D43" w:rsidRPr="006E4455" w:rsidRDefault="003E2D43" w:rsidP="00570EFD">
      <w:pPr>
        <w:spacing w:after="0" w:line="360" w:lineRule="auto"/>
        <w:rPr>
          <w:rFonts w:cs="Tahoma"/>
          <w:color w:val="0D0D0D" w:themeColor="text1" w:themeTint="F2"/>
          <w:lang w:val="es-ES"/>
        </w:rPr>
      </w:pPr>
      <w:r>
        <w:rPr>
          <w:rFonts w:eastAsia="Times New Roman" w:cs="Tahoma"/>
          <w:iCs/>
          <w:color w:val="auto"/>
          <w:lang w:eastAsia="es-ES"/>
        </w:rPr>
        <w:t xml:space="preserve">Por su parte, por lo que hace a la reserva de información, </w:t>
      </w:r>
      <w:r w:rsidRPr="006E4455">
        <w:rPr>
          <w:rFonts w:cs="Tahoma"/>
          <w:color w:val="0D0D0D" w:themeColor="text1" w:themeTint="F2"/>
          <w:lang w:val="es-ES"/>
        </w:rPr>
        <w:t>el Trigésimo tercero de los Lineamientos Generales, establece la forma en que se debe fundamentar y motivar la reserva de la información, es decir, a través de los siguientes pasos:</w:t>
      </w:r>
    </w:p>
    <w:p w14:paraId="58EED626" w14:textId="77777777" w:rsidR="003E2D43" w:rsidRPr="006E4455" w:rsidRDefault="003E2D43" w:rsidP="00570EFD">
      <w:pPr>
        <w:numPr>
          <w:ilvl w:val="0"/>
          <w:numId w:val="8"/>
        </w:numPr>
        <w:spacing w:after="0" w:line="360" w:lineRule="auto"/>
        <w:contextualSpacing/>
        <w:rPr>
          <w:rFonts w:cs="Tahoma"/>
          <w:color w:val="0D0D0D" w:themeColor="text1" w:themeTint="F2"/>
          <w:lang w:val="es-ES_tradnl"/>
        </w:rPr>
      </w:pPr>
      <w:r w:rsidRPr="006E4455">
        <w:rPr>
          <w:rFonts w:cs="Tahoma"/>
          <w:color w:val="0D0D0D" w:themeColor="text1" w:themeTint="F2"/>
          <w:lang w:val="es-ES_tradnl"/>
        </w:rPr>
        <w:t xml:space="preserve">Se deberá fundar la clasificación, al citar la fracción y, en su caso, la causal aplicable de la Ley de Transparencia y Acceso a la Información Pública del Estado de México y Municipios, vinculándola con el Lineamiento específico; </w:t>
      </w:r>
    </w:p>
    <w:p w14:paraId="5D9A54F5" w14:textId="77777777" w:rsidR="003E2D43" w:rsidRPr="006E4455" w:rsidRDefault="003E2D43" w:rsidP="00570EFD">
      <w:pPr>
        <w:spacing w:after="0" w:line="360" w:lineRule="auto"/>
        <w:ind w:left="720"/>
        <w:contextualSpacing/>
        <w:rPr>
          <w:rFonts w:cs="Tahoma"/>
          <w:color w:val="0D0D0D" w:themeColor="text1" w:themeTint="F2"/>
          <w:lang w:val="es-ES_tradnl"/>
        </w:rPr>
      </w:pPr>
    </w:p>
    <w:p w14:paraId="04BA1D17" w14:textId="77777777" w:rsidR="003E2D43" w:rsidRPr="006E4455" w:rsidRDefault="003E2D43" w:rsidP="00570EFD">
      <w:pPr>
        <w:numPr>
          <w:ilvl w:val="0"/>
          <w:numId w:val="8"/>
        </w:numPr>
        <w:spacing w:after="0" w:line="360" w:lineRule="auto"/>
        <w:contextualSpacing/>
        <w:rPr>
          <w:rFonts w:cs="Tahoma"/>
          <w:color w:val="0D0D0D" w:themeColor="text1" w:themeTint="F2"/>
          <w:lang w:val="es-ES"/>
        </w:rPr>
      </w:pPr>
      <w:r w:rsidRPr="006E4455">
        <w:rPr>
          <w:rFonts w:cs="Tahoma"/>
          <w:color w:val="0D0D0D" w:themeColor="text1" w:themeTint="F2"/>
          <w:lang w:val="es-ES"/>
        </w:rPr>
        <w:t>Se deberá motivar la clasificación, al señalar las circunstancias de modo, tiempo y lugar del daño</w:t>
      </w:r>
      <w:r w:rsidRPr="006E4455">
        <w:rPr>
          <w:rFonts w:ascii="Century Gothic" w:hAnsi="Century Gothic"/>
          <w:szCs w:val="24"/>
          <w:lang w:val="es-ES_tradnl"/>
        </w:rPr>
        <w:t xml:space="preserve"> </w:t>
      </w:r>
      <w:r w:rsidRPr="006E4455">
        <w:rPr>
          <w:rFonts w:cs="Tahoma"/>
          <w:color w:val="0D0D0D" w:themeColor="text1" w:themeTint="F2"/>
          <w:lang w:val="es-ES"/>
        </w:rPr>
        <w:t>que acrediten el vínculo entre la difusión de la información y la afectación al interés público.</w:t>
      </w:r>
    </w:p>
    <w:p w14:paraId="72FAA5E9" w14:textId="77777777" w:rsidR="003E2D43" w:rsidRPr="006E4455" w:rsidRDefault="003E2D43" w:rsidP="00570EFD">
      <w:pPr>
        <w:spacing w:after="0" w:line="360" w:lineRule="auto"/>
        <w:ind w:left="720"/>
        <w:contextualSpacing/>
        <w:rPr>
          <w:rFonts w:cs="Tahoma"/>
          <w:color w:val="0D0D0D" w:themeColor="text1" w:themeTint="F2"/>
          <w:lang w:val="es-ES"/>
        </w:rPr>
      </w:pPr>
    </w:p>
    <w:p w14:paraId="14BBE272" w14:textId="77777777" w:rsidR="003E2D43" w:rsidRPr="006E4455" w:rsidRDefault="003E2D43" w:rsidP="00570EFD">
      <w:pPr>
        <w:numPr>
          <w:ilvl w:val="0"/>
          <w:numId w:val="8"/>
        </w:numPr>
        <w:spacing w:after="0" w:line="360" w:lineRule="auto"/>
        <w:contextualSpacing/>
        <w:rPr>
          <w:rFonts w:cs="Tahoma"/>
          <w:color w:val="0D0D0D" w:themeColor="text1" w:themeTint="F2"/>
          <w:lang w:val="es-ES"/>
        </w:rPr>
      </w:pPr>
      <w:r w:rsidRPr="006E4455">
        <w:rPr>
          <w:rFonts w:cs="Tahoma"/>
          <w:color w:val="0D0D0D" w:themeColor="text1" w:themeTint="F2"/>
          <w:lang w:val="es-ES"/>
        </w:rPr>
        <w:t>Se tendrán que indicar las razones objetivas por las que la apertura de la información generaría una afectación, por medio del riesgo real, demostrable e identificable;</w:t>
      </w:r>
    </w:p>
    <w:p w14:paraId="06EADA34" w14:textId="77777777" w:rsidR="003E2D43" w:rsidRPr="006E4455" w:rsidRDefault="003E2D43" w:rsidP="00570EFD">
      <w:pPr>
        <w:spacing w:after="0" w:line="360" w:lineRule="auto"/>
        <w:ind w:left="720"/>
        <w:contextualSpacing/>
        <w:rPr>
          <w:rFonts w:cs="Tahoma"/>
          <w:color w:val="0D0D0D" w:themeColor="text1" w:themeTint="F2"/>
          <w:lang w:val="es-ES"/>
        </w:rPr>
      </w:pPr>
    </w:p>
    <w:p w14:paraId="7AC1A580" w14:textId="77777777" w:rsidR="003E2D43" w:rsidRPr="006E4455" w:rsidRDefault="003E2D43" w:rsidP="00570EFD">
      <w:pPr>
        <w:numPr>
          <w:ilvl w:val="0"/>
          <w:numId w:val="8"/>
        </w:numPr>
        <w:spacing w:after="0" w:line="360" w:lineRule="auto"/>
        <w:contextualSpacing/>
        <w:rPr>
          <w:rFonts w:cs="Tahoma"/>
          <w:color w:val="0D0D0D" w:themeColor="text1" w:themeTint="F2"/>
          <w:lang w:val="es-ES"/>
        </w:rPr>
      </w:pPr>
      <w:r w:rsidRPr="006E4455">
        <w:rPr>
          <w:rFonts w:cs="Tahoma"/>
          <w:color w:val="0D0D0D" w:themeColor="text1" w:themeTint="F2"/>
          <w:lang w:val="es-ES"/>
        </w:rPr>
        <w:t>Mediante un ejercicio de ponderación, se tendrá que acreditar que la publicidad de la información generaría un riesgo de perjuicio que supera el interés público;</w:t>
      </w:r>
    </w:p>
    <w:p w14:paraId="71F70A92" w14:textId="77777777" w:rsidR="003E2D43" w:rsidRPr="006E4455" w:rsidRDefault="003E2D43" w:rsidP="00570EFD">
      <w:pPr>
        <w:spacing w:after="0" w:line="360" w:lineRule="auto"/>
        <w:ind w:left="720"/>
        <w:contextualSpacing/>
        <w:rPr>
          <w:rFonts w:cs="Tahoma"/>
          <w:color w:val="0D0D0D" w:themeColor="text1" w:themeTint="F2"/>
          <w:lang w:val="es-ES"/>
        </w:rPr>
      </w:pPr>
    </w:p>
    <w:p w14:paraId="2D5D729C" w14:textId="77777777" w:rsidR="003E2D43" w:rsidRPr="006E4455" w:rsidRDefault="003E2D43" w:rsidP="00570EFD">
      <w:pPr>
        <w:numPr>
          <w:ilvl w:val="0"/>
          <w:numId w:val="8"/>
        </w:numPr>
        <w:spacing w:after="0" w:line="360" w:lineRule="auto"/>
        <w:contextualSpacing/>
        <w:rPr>
          <w:rFonts w:cs="Tahoma"/>
          <w:color w:val="0D0D0D" w:themeColor="text1" w:themeTint="F2"/>
          <w:lang w:val="es-ES"/>
        </w:rPr>
      </w:pPr>
      <w:r w:rsidRPr="006E4455">
        <w:rPr>
          <w:rFonts w:cs="Tahoma"/>
          <w:color w:val="0D0D0D" w:themeColor="text1" w:themeTint="F2"/>
          <w:lang w:val="es-ES"/>
        </w:rPr>
        <w:t>Se elegirá la opción de excepción al acceso a la información que menos restrinja, la cual será adecuada y proporcional para la protección del interés público, y</w:t>
      </w:r>
    </w:p>
    <w:p w14:paraId="75028FFA" w14:textId="77777777" w:rsidR="003E2D43" w:rsidRPr="006E4455" w:rsidRDefault="003E2D43" w:rsidP="00570EFD">
      <w:pPr>
        <w:spacing w:after="0" w:line="360" w:lineRule="auto"/>
        <w:ind w:left="720"/>
        <w:contextualSpacing/>
        <w:rPr>
          <w:rFonts w:cs="Tahoma"/>
          <w:color w:val="0D0D0D" w:themeColor="text1" w:themeTint="F2"/>
          <w:lang w:val="es-ES"/>
        </w:rPr>
      </w:pPr>
    </w:p>
    <w:p w14:paraId="7E5A6AB2" w14:textId="77777777" w:rsidR="003E2D43" w:rsidRPr="006E4455" w:rsidRDefault="003E2D43" w:rsidP="00570EFD">
      <w:pPr>
        <w:numPr>
          <w:ilvl w:val="0"/>
          <w:numId w:val="8"/>
        </w:numPr>
        <w:spacing w:after="0" w:line="360" w:lineRule="auto"/>
        <w:contextualSpacing/>
        <w:rPr>
          <w:rFonts w:cs="Tahoma"/>
          <w:color w:val="0D0D0D" w:themeColor="text1" w:themeTint="F2"/>
          <w:lang w:val="es-ES"/>
        </w:rPr>
      </w:pPr>
      <w:r w:rsidRPr="006E4455">
        <w:rPr>
          <w:rFonts w:cs="Tahoma"/>
          <w:color w:val="0D0D0D" w:themeColor="text1" w:themeTint="F2"/>
          <w:lang w:val="es-ES"/>
        </w:rPr>
        <w:t>Se deberá desarrollar la prueba de daño con la mayor claridad y precisión posible.</w:t>
      </w:r>
    </w:p>
    <w:p w14:paraId="6DBC18AF" w14:textId="77777777" w:rsidR="003E2D43" w:rsidRDefault="003E2D43" w:rsidP="00570EFD">
      <w:pPr>
        <w:spacing w:after="0" w:line="360" w:lineRule="auto"/>
        <w:rPr>
          <w:rFonts w:eastAsia="Calibri" w:cs="Times New Roman"/>
          <w:lang w:val="es-ES"/>
        </w:rPr>
      </w:pPr>
    </w:p>
    <w:p w14:paraId="7CD67F5F" w14:textId="3C0D1FDE" w:rsidR="00570EFD" w:rsidRPr="00570EFD" w:rsidRDefault="00570EFD" w:rsidP="00570EFD">
      <w:pPr>
        <w:spacing w:after="0" w:line="360" w:lineRule="auto"/>
        <w:rPr>
          <w:rFonts w:eastAsia="Calibri" w:cs="Tahoma"/>
          <w:bCs/>
          <w:color w:val="0D0D0D"/>
        </w:rPr>
      </w:pPr>
      <w:r w:rsidRPr="0048434B">
        <w:rPr>
          <w:rFonts w:eastAsia="Calibri" w:cs="Tahoma"/>
          <w:bCs/>
          <w:color w:val="0D0D0D"/>
          <w:lang w:val="es-ES_tradnl"/>
        </w:rPr>
        <w:t xml:space="preserve">Ahora bien, del análisis de </w:t>
      </w:r>
      <w:r>
        <w:rPr>
          <w:rFonts w:eastAsia="Calibri" w:cs="Tahoma"/>
          <w:bCs/>
          <w:color w:val="0D0D0D"/>
          <w:lang w:val="es-ES_tradnl"/>
        </w:rPr>
        <w:t>la respuesta entregada</w:t>
      </w:r>
      <w:r w:rsidRPr="0048434B">
        <w:rPr>
          <w:rFonts w:eastAsia="Calibri" w:cs="Tahoma"/>
          <w:bCs/>
          <w:color w:val="0D0D0D"/>
          <w:lang w:val="es-ES_tradnl"/>
        </w:rPr>
        <w:t>, se logra vislumbrar que, no fundamentó, ni motivó la clasificación de la información, de manera correcta, pues</w:t>
      </w:r>
      <w:r>
        <w:rPr>
          <w:rFonts w:eastAsia="Calibri" w:cs="Tahoma"/>
          <w:bCs/>
          <w:color w:val="0D0D0D"/>
          <w:lang w:val="es-ES_tradnl"/>
        </w:rPr>
        <w:t xml:space="preserve"> no realizó</w:t>
      </w:r>
      <w:r w:rsidRPr="0048434B">
        <w:rPr>
          <w:rFonts w:eastAsia="Calibri" w:cs="Tahoma"/>
          <w:bCs/>
          <w:color w:val="0D0D0D"/>
          <w:lang w:val="es-ES_tradnl"/>
        </w:rPr>
        <w:t xml:space="preserve"> la prueba de daño, </w:t>
      </w:r>
      <w:r>
        <w:rPr>
          <w:rFonts w:eastAsia="Calibri" w:cs="Tahoma"/>
          <w:bCs/>
          <w:color w:val="0D0D0D"/>
          <w:lang w:val="es-ES_tradnl"/>
        </w:rPr>
        <w:t>ni</w:t>
      </w:r>
      <w:r w:rsidRPr="0048434B">
        <w:rPr>
          <w:rFonts w:eastAsia="Calibri" w:cs="Tahoma"/>
          <w:bCs/>
          <w:color w:val="0D0D0D"/>
          <w:lang w:val="es-ES_tradnl"/>
        </w:rPr>
        <w:t xml:space="preserve"> establece parámetros específicos para acreditar la reserva, </w:t>
      </w:r>
      <w:r w:rsidRPr="0048434B">
        <w:rPr>
          <w:rFonts w:eastAsia="Calibri" w:cs="Tahoma"/>
          <w:bCs/>
          <w:color w:val="0D0D0D"/>
        </w:rPr>
        <w:t>p</w:t>
      </w:r>
      <w:r w:rsidRPr="0048434B">
        <w:rPr>
          <w:rFonts w:eastAsia="Calibri" w:cs="Tahoma"/>
          <w:bCs/>
          <w:color w:val="0D0D0D"/>
          <w:lang w:val="x-none"/>
        </w:rPr>
        <w:t xml:space="preserve">or </w:t>
      </w:r>
      <w:r>
        <w:rPr>
          <w:rFonts w:eastAsia="Calibri" w:cs="Tahoma"/>
          <w:bCs/>
          <w:color w:val="0D0D0D"/>
        </w:rPr>
        <w:t>las siguientes consideraciones:</w:t>
      </w:r>
    </w:p>
    <w:p w14:paraId="4BE1688E" w14:textId="77777777" w:rsidR="00570EFD" w:rsidRPr="0048434B" w:rsidRDefault="00570EFD" w:rsidP="00570EFD">
      <w:pPr>
        <w:spacing w:after="0" w:line="360" w:lineRule="auto"/>
        <w:rPr>
          <w:rFonts w:eastAsia="Times New Roman" w:cs="Tahoma"/>
          <w:color w:val="0D0D0D"/>
          <w:lang w:val="es-ES" w:eastAsia="es-ES"/>
        </w:rPr>
      </w:pPr>
    </w:p>
    <w:p w14:paraId="2174F1F8" w14:textId="064C97B8" w:rsidR="00570EFD" w:rsidRDefault="00570EFD" w:rsidP="00570EFD">
      <w:pPr>
        <w:numPr>
          <w:ilvl w:val="0"/>
          <w:numId w:val="9"/>
        </w:numPr>
        <w:spacing w:after="0" w:line="360" w:lineRule="auto"/>
        <w:jc w:val="left"/>
        <w:rPr>
          <w:rFonts w:eastAsia="Calibri" w:cs="Tahoma"/>
          <w:bCs/>
          <w:color w:val="0D0D0D"/>
          <w:lang w:val="es-ES_tradnl"/>
        </w:rPr>
      </w:pPr>
      <w:r w:rsidRPr="0048434B">
        <w:rPr>
          <w:rFonts w:eastAsia="Calibri" w:cs="Tahoma"/>
          <w:bCs/>
          <w:color w:val="0D0D0D"/>
          <w:lang w:val="es-ES_tradnl"/>
        </w:rPr>
        <w:t xml:space="preserve">No </w:t>
      </w:r>
      <w:r>
        <w:rPr>
          <w:rFonts w:eastAsia="Calibri" w:cs="Tahoma"/>
          <w:bCs/>
          <w:color w:val="0D0D0D"/>
          <w:lang w:val="es-ES_tradnl"/>
        </w:rPr>
        <w:t>estableció, ni vinculó las causales de reserva establecidas en la Ley Local, con su homólogo de los Lineamientos Generales;</w:t>
      </w:r>
    </w:p>
    <w:p w14:paraId="1E737D87" w14:textId="77777777" w:rsidR="00570EFD" w:rsidRPr="0048434B" w:rsidRDefault="00570EFD" w:rsidP="00570EFD">
      <w:pPr>
        <w:spacing w:after="0" w:line="360" w:lineRule="auto"/>
        <w:ind w:left="720"/>
        <w:jc w:val="left"/>
        <w:rPr>
          <w:rFonts w:eastAsia="Calibri" w:cs="Tahoma"/>
          <w:bCs/>
          <w:color w:val="0D0D0D"/>
          <w:lang w:val="es-ES_tradnl"/>
        </w:rPr>
      </w:pPr>
    </w:p>
    <w:p w14:paraId="4FA373FE" w14:textId="2E8528F3" w:rsidR="00570EFD" w:rsidRDefault="00570EFD" w:rsidP="00570EFD">
      <w:pPr>
        <w:numPr>
          <w:ilvl w:val="0"/>
          <w:numId w:val="9"/>
        </w:numPr>
        <w:spacing w:after="0" w:line="360" w:lineRule="auto"/>
        <w:rPr>
          <w:rFonts w:eastAsia="Calibri" w:cs="Tahoma"/>
          <w:bCs/>
          <w:color w:val="0D0D0D"/>
          <w:lang w:val="es-ES_tradnl"/>
        </w:rPr>
      </w:pPr>
      <w:r w:rsidRPr="0048434B">
        <w:rPr>
          <w:rFonts w:eastAsia="Calibri" w:cs="Tahoma"/>
          <w:bCs/>
          <w:color w:val="0D0D0D"/>
          <w:lang w:val="es-ES_tradnl"/>
        </w:rPr>
        <w:t>No precisó</w:t>
      </w:r>
      <w:r>
        <w:rPr>
          <w:rFonts w:eastAsia="Calibri" w:cs="Tahoma"/>
          <w:bCs/>
          <w:color w:val="0D0D0D"/>
          <w:lang w:val="es-ES_tradnl"/>
        </w:rPr>
        <w:t xml:space="preserve"> </w:t>
      </w:r>
      <w:r w:rsidRPr="0048434B">
        <w:rPr>
          <w:rFonts w:eastAsia="Calibri" w:cs="Tahoma"/>
          <w:bCs/>
          <w:color w:val="0D0D0D"/>
          <w:lang w:val="es-ES_tradnl"/>
        </w:rPr>
        <w:t>las razones objetivas, concretas y específicas por las cuales la apertura de la información generaría una afectación que rebase el interés público</w:t>
      </w:r>
      <w:r>
        <w:rPr>
          <w:rFonts w:eastAsia="Calibri" w:cs="Tahoma"/>
          <w:bCs/>
          <w:color w:val="0D0D0D"/>
          <w:lang w:val="es-ES_tradnl"/>
        </w:rPr>
        <w:t>;</w:t>
      </w:r>
    </w:p>
    <w:p w14:paraId="4CA5A9D8" w14:textId="77777777" w:rsidR="00570EFD" w:rsidRDefault="00570EFD" w:rsidP="00570EFD">
      <w:pPr>
        <w:pStyle w:val="Prrafodelista"/>
        <w:spacing w:after="0" w:line="360" w:lineRule="auto"/>
        <w:rPr>
          <w:rFonts w:eastAsia="Calibri" w:cs="Tahoma"/>
          <w:bCs/>
          <w:color w:val="0D0D0D"/>
          <w:lang w:val="es-ES_tradnl"/>
        </w:rPr>
      </w:pPr>
    </w:p>
    <w:p w14:paraId="0A71A3C1" w14:textId="7982484D" w:rsidR="00570EFD" w:rsidRDefault="00570EFD" w:rsidP="00570EFD">
      <w:pPr>
        <w:numPr>
          <w:ilvl w:val="0"/>
          <w:numId w:val="9"/>
        </w:numPr>
        <w:spacing w:after="0" w:line="360" w:lineRule="auto"/>
        <w:rPr>
          <w:rFonts w:eastAsia="Times New Roman" w:cs="Tahoma"/>
          <w:color w:val="0D0D0D"/>
          <w:lang w:val="es-ES_tradnl" w:eastAsia="es-ES"/>
        </w:rPr>
      </w:pPr>
      <w:r w:rsidRPr="0048434B">
        <w:rPr>
          <w:rFonts w:eastAsia="Times New Roman" w:cs="Tahoma"/>
          <w:color w:val="0D0D0D"/>
          <w:lang w:val="es-ES_tradnl" w:eastAsia="es-ES"/>
        </w:rPr>
        <w:t>No acreditó el vínculo entre la información peticionada y la afectación que podría causar</w:t>
      </w:r>
      <w:r>
        <w:rPr>
          <w:rFonts w:eastAsia="Times New Roman" w:cs="Tahoma"/>
          <w:color w:val="0D0D0D"/>
          <w:lang w:val="es-ES_tradnl" w:eastAsia="es-ES"/>
        </w:rPr>
        <w:t>;</w:t>
      </w:r>
    </w:p>
    <w:p w14:paraId="44A3E640" w14:textId="77777777" w:rsidR="00570EFD" w:rsidRDefault="00570EFD" w:rsidP="00570EFD">
      <w:pPr>
        <w:pStyle w:val="Prrafodelista"/>
        <w:spacing w:after="0" w:line="360" w:lineRule="auto"/>
        <w:rPr>
          <w:rFonts w:cs="Tahoma"/>
          <w:color w:val="0D0D0D"/>
          <w:lang w:val="es-ES_tradnl"/>
        </w:rPr>
      </w:pPr>
    </w:p>
    <w:p w14:paraId="5EC4F57F" w14:textId="77777777" w:rsidR="00570EFD" w:rsidRDefault="00570EFD" w:rsidP="00570EFD">
      <w:pPr>
        <w:numPr>
          <w:ilvl w:val="0"/>
          <w:numId w:val="9"/>
        </w:numPr>
        <w:spacing w:after="0" w:line="360" w:lineRule="auto"/>
        <w:jc w:val="left"/>
        <w:rPr>
          <w:rFonts w:eastAsia="Times New Roman" w:cs="Tahoma"/>
          <w:color w:val="0D0D0D"/>
          <w:lang w:val="es-ES_tradnl" w:eastAsia="es-ES"/>
        </w:rPr>
      </w:pPr>
      <w:r w:rsidRPr="0048434B">
        <w:rPr>
          <w:rFonts w:eastAsia="Calibri" w:cs="Tahoma"/>
          <w:bCs/>
          <w:color w:val="0D0D0D"/>
          <w:lang w:val="es-ES_tradnl"/>
        </w:rPr>
        <w:t>Omitió señalar, las circunstancias de tiempo, modo y lugar del daño que produciría entregar la información peticionada</w:t>
      </w:r>
      <w:r>
        <w:rPr>
          <w:rFonts w:eastAsia="Times New Roman" w:cs="Tahoma"/>
          <w:color w:val="0D0D0D"/>
          <w:lang w:val="es-ES_tradnl" w:eastAsia="es-ES"/>
        </w:rPr>
        <w:t>, y</w:t>
      </w:r>
    </w:p>
    <w:p w14:paraId="450AF795" w14:textId="77777777" w:rsidR="00570EFD" w:rsidRDefault="00570EFD" w:rsidP="00570EFD">
      <w:pPr>
        <w:pStyle w:val="Prrafodelista"/>
        <w:spacing w:after="0" w:line="360" w:lineRule="auto"/>
        <w:rPr>
          <w:rFonts w:cs="Tahoma"/>
          <w:color w:val="0D0D0D"/>
          <w:lang w:val="es-ES_tradnl"/>
        </w:rPr>
      </w:pPr>
    </w:p>
    <w:p w14:paraId="50C8DEED" w14:textId="790DE527" w:rsidR="00570EFD" w:rsidRPr="0048434B" w:rsidRDefault="00570EFD" w:rsidP="00570EFD">
      <w:pPr>
        <w:numPr>
          <w:ilvl w:val="0"/>
          <w:numId w:val="9"/>
        </w:numPr>
        <w:spacing w:after="0" w:line="360" w:lineRule="auto"/>
        <w:rPr>
          <w:rFonts w:eastAsia="Calibri" w:cs="Tahoma"/>
          <w:bCs/>
          <w:color w:val="0D0D0D"/>
          <w:lang w:val="es-ES_tradnl"/>
        </w:rPr>
      </w:pPr>
      <w:r w:rsidRPr="0048434B">
        <w:rPr>
          <w:rFonts w:eastAsia="Calibri" w:cs="Tahoma"/>
          <w:bCs/>
          <w:color w:val="0D0D0D"/>
          <w:lang w:val="es-ES_tradnl"/>
        </w:rPr>
        <w:t>No se establecieron las razones, por las cuales la reserva era el medio menos restrictivo, para la protección del interés jurídico</w:t>
      </w:r>
      <w:r>
        <w:rPr>
          <w:rFonts w:eastAsia="Calibri" w:cs="Tahoma"/>
          <w:bCs/>
          <w:color w:val="0D0D0D"/>
          <w:lang w:val="es-ES_tradnl"/>
        </w:rPr>
        <w:t>.</w:t>
      </w:r>
    </w:p>
    <w:p w14:paraId="71582C2C" w14:textId="77777777" w:rsidR="00570EFD" w:rsidRPr="00570EFD" w:rsidRDefault="00570EFD" w:rsidP="00570EFD">
      <w:pPr>
        <w:spacing w:after="0" w:line="360" w:lineRule="auto"/>
        <w:rPr>
          <w:rFonts w:eastAsia="Calibri" w:cs="Times New Roman"/>
          <w:lang w:val="es-ES_tradnl"/>
        </w:rPr>
      </w:pPr>
    </w:p>
    <w:p w14:paraId="208AC88A" w14:textId="4B9E5BA4" w:rsidR="00570EFD" w:rsidRPr="00570EFD" w:rsidRDefault="00570EFD" w:rsidP="00570EFD">
      <w:pPr>
        <w:spacing w:after="0" w:line="360" w:lineRule="auto"/>
        <w:rPr>
          <w:rFonts w:cs="Tahoma"/>
          <w:lang w:val="es-ES"/>
        </w:rPr>
      </w:pPr>
      <w:r>
        <w:t xml:space="preserve">Así, se advierte que el Sujeto Obligado, no fundamentaron y motivaron la clasificación de la información como confidencial o reservada, al no realizar ninguna argumentación fundada y motivada para actualizar alguna causal establecida en la Ley de la materia; </w:t>
      </w:r>
      <w:r w:rsidRPr="006E4455">
        <w:rPr>
          <w:rFonts w:cs="Tahoma"/>
          <w:bCs/>
          <w:lang w:val="es-ES"/>
        </w:rPr>
        <w:t xml:space="preserve">lo cual, da como resultado que el agravio sea </w:t>
      </w:r>
      <w:r>
        <w:rPr>
          <w:rFonts w:cs="Tahoma"/>
          <w:b/>
          <w:bCs/>
          <w:lang w:val="es-ES"/>
        </w:rPr>
        <w:t xml:space="preserve">FUNDADO; </w:t>
      </w:r>
      <w:r>
        <w:rPr>
          <w:rFonts w:cs="Tahoma"/>
          <w:lang w:val="es-ES"/>
        </w:rPr>
        <w:t>pues inclusive omitió realizarse el turno al área competente para conocer de lo solicitado.</w:t>
      </w:r>
    </w:p>
    <w:p w14:paraId="5DBEA0B3" w14:textId="640BF2AC" w:rsidR="009B6E2D" w:rsidRDefault="009B6E2D" w:rsidP="00570EFD">
      <w:pPr>
        <w:spacing w:after="0" w:line="360" w:lineRule="auto"/>
        <w:contextualSpacing/>
        <w:rPr>
          <w:rFonts w:eastAsia="Times New Roman" w:cs="Tahoma"/>
          <w:iCs/>
          <w:color w:val="auto"/>
          <w:lang w:val="es-ES" w:eastAsia="es-ES"/>
        </w:rPr>
      </w:pPr>
    </w:p>
    <w:p w14:paraId="7564AC10" w14:textId="6F7B46A6" w:rsidR="00937D12" w:rsidRDefault="00937D12" w:rsidP="00570EFD">
      <w:pPr>
        <w:spacing w:after="0" w:line="360" w:lineRule="auto"/>
        <w:contextualSpacing/>
        <w:rPr>
          <w:rFonts w:eastAsia="Times New Roman" w:cs="Tahoma"/>
          <w:iCs/>
          <w:color w:val="auto"/>
          <w:lang w:val="es-ES" w:eastAsia="es-ES"/>
        </w:rPr>
      </w:pPr>
      <w:r>
        <w:rPr>
          <w:rFonts w:eastAsia="Times New Roman" w:cs="Tahoma"/>
          <w:iCs/>
          <w:color w:val="auto"/>
          <w:lang w:val="es-ES" w:eastAsia="es-ES"/>
        </w:rPr>
        <w:t>Además, es de señalar sobre el primer punto de la solicitud, que requiere únicamente información cuantitativa, es decir, información meramente estadística, respecto al número total de suspensiones de construcciones u obras ejecutadas durante el dos mil veinticinco, dato que por si sólo no permite identificar datos de los propietarios de los predios o inmuebles, ni su ubicación o estado actual; pues únicamente daría a conocer el número total de construcciones irregulares que localizó la Dirección de Desarrollo Urbano.</w:t>
      </w:r>
    </w:p>
    <w:p w14:paraId="594D5D8F" w14:textId="77777777" w:rsidR="00937D12" w:rsidRDefault="00937D12" w:rsidP="00570EFD">
      <w:pPr>
        <w:spacing w:after="0" w:line="360" w:lineRule="auto"/>
        <w:contextualSpacing/>
        <w:rPr>
          <w:rFonts w:eastAsia="Times New Roman" w:cs="Tahoma"/>
          <w:iCs/>
          <w:color w:val="auto"/>
          <w:lang w:val="es-ES" w:eastAsia="es-ES"/>
        </w:rPr>
      </w:pPr>
    </w:p>
    <w:p w14:paraId="2DB4EE5B" w14:textId="2F72AED7" w:rsidR="00937D12" w:rsidRPr="003E2D43" w:rsidRDefault="00937D12" w:rsidP="00570EFD">
      <w:pPr>
        <w:spacing w:after="0" w:line="360" w:lineRule="auto"/>
        <w:contextualSpacing/>
        <w:rPr>
          <w:rFonts w:eastAsia="Times New Roman" w:cs="Tahoma"/>
          <w:iCs/>
          <w:color w:val="auto"/>
          <w:lang w:val="es-ES" w:eastAsia="es-ES"/>
        </w:rPr>
      </w:pPr>
      <w:r>
        <w:rPr>
          <w:rFonts w:eastAsia="Times New Roman" w:cs="Tahoma"/>
          <w:iCs/>
          <w:color w:val="auto"/>
          <w:lang w:val="es-ES" w:eastAsia="es-ES"/>
        </w:rPr>
        <w:t>Por otra parte, por lo que hace al sello de suspensión, si bien copia del documento pudiera obrar dentro del expediente del procedimiento, lo cierto es que la pretensión del Recurrente no es obtener documentales o información del expediente, sino únicamente el número de folio o registro del mismo, el cual pudiera obra en otras documentales fuera del expediente, tal como en un minutario, libro de gobierno u homólogo que establezca los folios utilizados por el área en cuestión.</w:t>
      </w:r>
    </w:p>
    <w:p w14:paraId="12C5D401" w14:textId="77777777" w:rsidR="009B6E2D" w:rsidRDefault="009B6E2D" w:rsidP="00570EFD">
      <w:pPr>
        <w:spacing w:after="0" w:line="360" w:lineRule="auto"/>
        <w:contextualSpacing/>
        <w:rPr>
          <w:rFonts w:eastAsia="Times New Roman" w:cs="Tahoma"/>
          <w:iCs/>
          <w:color w:val="auto"/>
          <w:lang w:eastAsia="es-ES"/>
        </w:rPr>
      </w:pPr>
    </w:p>
    <w:p w14:paraId="6FF218BD" w14:textId="66586BFB" w:rsidR="0015016B" w:rsidRPr="0015016B" w:rsidRDefault="0015016B" w:rsidP="00570EFD">
      <w:pPr>
        <w:spacing w:after="0" w:line="360" w:lineRule="auto"/>
        <w:contextualSpacing/>
        <w:rPr>
          <w:rFonts w:eastAsia="Times New Roman" w:cs="Tahoma"/>
          <w:iCs/>
          <w:color w:val="auto"/>
          <w:lang w:eastAsia="es-ES"/>
        </w:rPr>
      </w:pPr>
      <w:r w:rsidRPr="0015016B">
        <w:rPr>
          <w:rFonts w:eastAsia="Times New Roman" w:cs="Tahoma"/>
          <w:bCs/>
          <w:iCs/>
          <w:color w:val="auto"/>
          <w:lang w:eastAsia="es-ES"/>
        </w:rPr>
        <w:t>Así, este Instituto considera que, para atender el requerimiento de información, el</w:t>
      </w:r>
      <w:r w:rsidRPr="0015016B">
        <w:rPr>
          <w:rFonts w:eastAsia="Times New Roman" w:cs="Tahoma"/>
          <w:bCs/>
          <w:iCs/>
          <w:color w:val="auto"/>
          <w:lang w:val="es-ES" w:eastAsia="es-ES"/>
        </w:rPr>
        <w:t xml:space="preserve"> Sujeto Obligado deberá realizar una búsqueda exhaustiva y razonable en </w:t>
      </w:r>
      <w:r w:rsidR="00496842">
        <w:rPr>
          <w:rFonts w:eastAsia="Times New Roman" w:cs="Tahoma"/>
          <w:bCs/>
          <w:iCs/>
          <w:color w:val="auto"/>
          <w:lang w:val="es-ES" w:eastAsia="es-ES"/>
        </w:rPr>
        <w:t>los archivos de las unidades administrativas competentes, entre las cuales no podrá omitir a la Dirección de Desarrollo Urbano, a efecto de que proporcione el dato estadístico solicitado y el número de folio de los sellos de suspensión colocados; d</w:t>
      </w:r>
      <w:r w:rsidRPr="0015016B">
        <w:rPr>
          <w:rFonts w:eastAsia="Times New Roman" w:cs="Tahoma"/>
          <w:bCs/>
          <w:iCs/>
          <w:color w:val="auto"/>
          <w:lang w:eastAsia="es-ES"/>
        </w:rPr>
        <w:t>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35ABFDFA" w14:textId="77777777" w:rsidR="0015016B" w:rsidRPr="0015016B" w:rsidRDefault="0015016B" w:rsidP="00570EFD">
      <w:pPr>
        <w:spacing w:after="0" w:line="360" w:lineRule="auto"/>
        <w:contextualSpacing/>
        <w:rPr>
          <w:rFonts w:eastAsia="Times New Roman" w:cs="Tahoma"/>
          <w:bCs/>
          <w:iCs/>
          <w:color w:val="auto"/>
          <w:lang w:eastAsia="es-ES"/>
        </w:rPr>
      </w:pPr>
    </w:p>
    <w:p w14:paraId="2DE73319" w14:textId="7FC3716B" w:rsidR="0015016B" w:rsidRDefault="0015016B" w:rsidP="00570EFD">
      <w:pPr>
        <w:spacing w:after="0" w:line="360" w:lineRule="auto"/>
        <w:contextualSpacing/>
        <w:rPr>
          <w:rFonts w:eastAsia="Palatino Linotype" w:cs="Palatino Linotype"/>
          <w:color w:val="auto"/>
          <w:lang w:eastAsia="es-MX"/>
        </w:rPr>
      </w:pPr>
      <w:r w:rsidRPr="0015016B">
        <w:rPr>
          <w:rFonts w:eastAsia="Times New Roman" w:cs="Tahoma"/>
          <w:bCs/>
          <w:iCs/>
          <w:color w:val="auto"/>
          <w:lang w:eastAsia="es-ES"/>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r w:rsidR="00D4442D">
        <w:rPr>
          <w:rFonts w:eastAsia="Times New Roman" w:cs="Tahoma"/>
          <w:bCs/>
          <w:iCs/>
          <w:color w:val="auto"/>
          <w:lang w:eastAsia="es-ES"/>
        </w:rPr>
        <w:t xml:space="preserve"> </w:t>
      </w:r>
      <w:r w:rsidRPr="00780EC7">
        <w:rPr>
          <w:rFonts w:eastAsia="Palatino Linotype" w:cs="Palatino Linotype"/>
          <w:color w:val="auto"/>
          <w:lang w:eastAsia="es-MX"/>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w:t>
      </w:r>
      <w:r w:rsidR="00496842">
        <w:rPr>
          <w:rFonts w:eastAsia="Palatino Linotype" w:cs="Palatino Linotype"/>
          <w:color w:val="auto"/>
          <w:lang w:eastAsia="es-MX"/>
        </w:rPr>
        <w:t>los datos solicitados.</w:t>
      </w:r>
    </w:p>
    <w:p w14:paraId="2CB055CA" w14:textId="77777777" w:rsidR="00496842" w:rsidRDefault="00496842" w:rsidP="00570EFD">
      <w:pPr>
        <w:spacing w:after="0" w:line="360" w:lineRule="auto"/>
        <w:contextualSpacing/>
        <w:rPr>
          <w:rFonts w:eastAsia="Palatino Linotype" w:cs="Palatino Linotype"/>
          <w:color w:val="auto"/>
          <w:lang w:eastAsia="es-MX"/>
        </w:rPr>
      </w:pPr>
    </w:p>
    <w:p w14:paraId="791F5638" w14:textId="43F7D31C" w:rsidR="00496842" w:rsidRDefault="00496842" w:rsidP="00496842">
      <w:pPr>
        <w:spacing w:after="0" w:line="360" w:lineRule="auto"/>
        <w:rPr>
          <w:rFonts w:eastAsia="Palatino Linotype" w:cs="Palatino Linotype"/>
          <w:color w:val="000000"/>
          <w:lang w:eastAsia="es-MX"/>
        </w:rPr>
      </w:pPr>
      <w:r w:rsidRPr="00496842">
        <w:rPr>
          <w:rFonts w:eastAsia="Palatino Linotype" w:cs="Palatino Linotype"/>
          <w:color w:val="000000"/>
          <w:lang w:eastAsia="es-MX"/>
        </w:rPr>
        <w:t xml:space="preserve">Por otra parte, es impórtate señalar que la entrega del documento donde conste </w:t>
      </w:r>
      <w:r>
        <w:rPr>
          <w:rFonts w:eastAsia="Palatino Linotype" w:cs="Palatino Linotype"/>
          <w:color w:val="000000"/>
          <w:lang w:eastAsia="es-MX"/>
        </w:rPr>
        <w:t>el folio del sello de suspensión de construcción u obra</w:t>
      </w:r>
      <w:r w:rsidRPr="00496842">
        <w:rPr>
          <w:rFonts w:eastAsia="Palatino Linotype" w:cs="Palatino Linotype"/>
          <w:color w:val="000000"/>
          <w:lang w:eastAsia="es-MX"/>
        </w:rPr>
        <w:t xml:space="preserve">, pudiera dar a conocer </w:t>
      </w:r>
      <w:r>
        <w:rPr>
          <w:rFonts w:eastAsia="Palatino Linotype" w:cs="Palatino Linotype"/>
          <w:color w:val="000000"/>
          <w:lang w:eastAsia="es-MX"/>
        </w:rPr>
        <w:t>datos de los procedimientos de la Dirección de Desarrollo Urbano llevados a cabo, o bien, dados de los particulares.</w:t>
      </w:r>
    </w:p>
    <w:p w14:paraId="1E133B0A" w14:textId="77777777" w:rsidR="00496842" w:rsidRPr="00496842" w:rsidRDefault="00496842" w:rsidP="00496842">
      <w:pPr>
        <w:spacing w:after="0" w:line="360" w:lineRule="auto"/>
        <w:rPr>
          <w:rFonts w:eastAsia="Palatino Linotype" w:cs="Palatino Linotype"/>
          <w:color w:val="000000"/>
          <w:lang w:eastAsia="es-MX"/>
        </w:rPr>
      </w:pPr>
    </w:p>
    <w:p w14:paraId="62CCB7D6" w14:textId="77777777" w:rsidR="00496842" w:rsidRPr="00496842" w:rsidRDefault="00496842" w:rsidP="00496842">
      <w:pPr>
        <w:spacing w:after="0" w:line="360" w:lineRule="auto"/>
        <w:rPr>
          <w:rFonts w:eastAsia="Palatino Linotype" w:cs="Palatino Linotype"/>
          <w:color w:val="000000"/>
          <w:lang w:eastAsia="es-MX"/>
        </w:rPr>
      </w:pPr>
      <w:r w:rsidRPr="00496842">
        <w:rPr>
          <w:rFonts w:eastAsia="Palatino Linotype" w:cs="Palatino Linotype"/>
          <w:color w:val="000000"/>
          <w:lang w:eastAsia="es-MX"/>
        </w:rPr>
        <w:t>Al respecto, el artículo 3°, fracción XIII de la Ley General de Protección de Datos Personales en Posesión de Sujetos Obligados, establece que la disociación es el procedimiento mediante el cual los datos personales no pueden asociarse al titular, ni permitir, por su estructura, contenido o grado de desagregación, la identificación del mismo. De la misma manera, lo establece el artículo 3°, fracción XVI de la Ley de Transparencia y Acceso a la Información Pública del Estado de México y Municipios.</w:t>
      </w:r>
    </w:p>
    <w:p w14:paraId="62B57856" w14:textId="77777777" w:rsidR="00496842" w:rsidRPr="00496842" w:rsidRDefault="00496842" w:rsidP="00496842">
      <w:pPr>
        <w:spacing w:after="0" w:line="360" w:lineRule="auto"/>
        <w:rPr>
          <w:rFonts w:eastAsia="Palatino Linotype" w:cs="Palatino Linotype"/>
          <w:color w:val="000000"/>
          <w:highlight w:val="white"/>
          <w:lang w:eastAsia="es-MX"/>
        </w:rPr>
      </w:pPr>
    </w:p>
    <w:p w14:paraId="66D67526" w14:textId="77777777" w:rsidR="00496842" w:rsidRPr="00496842" w:rsidRDefault="00496842" w:rsidP="00496842">
      <w:pPr>
        <w:spacing w:after="0" w:line="360" w:lineRule="auto"/>
        <w:rPr>
          <w:rFonts w:eastAsia="Palatino Linotype" w:cs="Palatino Linotype"/>
          <w:color w:val="000000"/>
          <w:lang w:eastAsia="es-MX"/>
        </w:rPr>
      </w:pPr>
      <w:r w:rsidRPr="00496842">
        <w:rPr>
          <w:rFonts w:eastAsia="Palatino Linotype" w:cs="Palatino Linotype"/>
          <w:color w:val="000000"/>
          <w:lang w:eastAsia="es-MX"/>
        </w:rPr>
        <w:t xml:space="preserve">En ese orden de ideas, según Solange, María (2019), en el </w:t>
      </w:r>
      <w:r w:rsidRPr="00496842">
        <w:rPr>
          <w:rFonts w:eastAsia="Palatino Linotype" w:cs="Palatino Linotype"/>
          <w:i/>
          <w:iCs/>
          <w:color w:val="000000"/>
          <w:lang w:eastAsia="es-MX"/>
        </w:rPr>
        <w:t>“Diccionario de Protección de Daros Personales Conceptos Fundamentales” </w:t>
      </w:r>
      <w:r w:rsidRPr="00496842">
        <w:rPr>
          <w:rFonts w:eastAsia="Palatino Linotype" w:cs="Palatino Linotype"/>
          <w:color w:val="000000"/>
          <w:lang w:eastAsia="es-MX"/>
        </w:rPr>
        <w:t>(p. 325), la disociación implica la separación de la identidad de una persona física del conjunto de los datos personales que están siendo tratados, a fin de que está no esté identificada o identificable de manera definitiva e irreversible; además que para que un procedimiento de disociación pueda ser considerado como adecuado, debe garantizarse que resulte prácticamente imposible conocer los datos personales originales que dieron lugar a la generación de los datos disociados.</w:t>
      </w:r>
    </w:p>
    <w:p w14:paraId="4C5920F3" w14:textId="77777777" w:rsidR="00496842" w:rsidRPr="00496842" w:rsidRDefault="00496842" w:rsidP="00496842">
      <w:pPr>
        <w:spacing w:after="0" w:line="360" w:lineRule="auto"/>
        <w:rPr>
          <w:rFonts w:eastAsia="Palatino Linotype" w:cs="Palatino Linotype"/>
          <w:color w:val="000000"/>
          <w:lang w:eastAsia="es-MX"/>
        </w:rPr>
      </w:pPr>
    </w:p>
    <w:p w14:paraId="1251E492" w14:textId="77777777" w:rsidR="00496842" w:rsidRPr="00496842" w:rsidRDefault="00496842" w:rsidP="00496842">
      <w:pPr>
        <w:spacing w:after="0" w:line="360" w:lineRule="auto"/>
        <w:rPr>
          <w:rFonts w:eastAsia="Palatino Linotype" w:cs="Palatino Linotype"/>
          <w:color w:val="000000"/>
          <w:lang w:eastAsia="es-MX"/>
        </w:rPr>
      </w:pPr>
      <w:r w:rsidRPr="00496842">
        <w:rPr>
          <w:rFonts w:eastAsia="Palatino Linotype" w:cs="Palatino Linotype"/>
          <w:color w:val="000000"/>
          <w:lang w:eastAsia="es-MX"/>
        </w:rPr>
        <w:t xml:space="preserve">Además, según la misma autora (2018), en la </w:t>
      </w:r>
      <w:r w:rsidRPr="00496842">
        <w:rPr>
          <w:rFonts w:eastAsia="Palatino Linotype" w:cs="Palatino Linotype"/>
          <w:i/>
          <w:iCs/>
          <w:color w:val="000000"/>
          <w:lang w:eastAsia="es-MX"/>
        </w:rPr>
        <w:t>“Ley General de Protección de Datos Personales en Posesión de Sujetos Obligados Comentada”</w:t>
      </w:r>
      <w:r w:rsidRPr="00496842">
        <w:rPr>
          <w:rFonts w:eastAsia="Palatino Linotype" w:cs="Palatino Linotype"/>
          <w:color w:val="000000"/>
          <w:lang w:eastAsia="es-MX"/>
        </w:rPr>
        <w:t> (p. 44), la eficacia de la disociación depende de los resultados obtenidos, que deben ser similares o equivalentes a la eliminación o borrado de los datos, sin perder de vista los posibles riesgos residuales de la reidentificación ante las tecnologías disponibles.</w:t>
      </w:r>
    </w:p>
    <w:p w14:paraId="6ABA63CB" w14:textId="77777777" w:rsidR="00496842" w:rsidRPr="00496842" w:rsidRDefault="00496842" w:rsidP="00496842">
      <w:pPr>
        <w:spacing w:after="0" w:line="360" w:lineRule="auto"/>
        <w:rPr>
          <w:rFonts w:eastAsia="Palatino Linotype" w:cs="Palatino Linotype"/>
          <w:color w:val="000000"/>
          <w:lang w:eastAsia="es-MX"/>
        </w:rPr>
      </w:pPr>
      <w:r w:rsidRPr="00496842">
        <w:rPr>
          <w:rFonts w:eastAsia="Palatino Linotype" w:cs="Palatino Linotype"/>
          <w:color w:val="000000"/>
          <w:lang w:eastAsia="es-MX"/>
        </w:rPr>
        <w:t> </w:t>
      </w:r>
    </w:p>
    <w:p w14:paraId="0B9349C7" w14:textId="77777777" w:rsidR="00496842" w:rsidRPr="00496842" w:rsidRDefault="00496842" w:rsidP="00496842">
      <w:pPr>
        <w:spacing w:after="0" w:line="360" w:lineRule="auto"/>
        <w:rPr>
          <w:rFonts w:eastAsia="Palatino Linotype" w:cs="Palatino Linotype"/>
          <w:color w:val="000000"/>
          <w:lang w:eastAsia="es-MX"/>
        </w:rPr>
      </w:pPr>
      <w:r w:rsidRPr="00496842">
        <w:rPr>
          <w:rFonts w:eastAsia="Palatino Linotype" w:cs="Palatino Linotype"/>
          <w:color w:val="000000"/>
          <w:lang w:eastAsia="es-MX"/>
        </w:rPr>
        <w:t>En ese sentido, el Informe Jurídico 283/2009, de la Agencia Española de Protección de Datos, traído a manera de referencia, establece que para llevar a cabo de manera correcta un procedimiento de disociación, es necesario verificar que no se permita por ningún medio identificar el dato.</w:t>
      </w:r>
    </w:p>
    <w:p w14:paraId="2C820167" w14:textId="77777777" w:rsidR="00496842" w:rsidRPr="00496842" w:rsidRDefault="00496842" w:rsidP="00496842">
      <w:pPr>
        <w:spacing w:after="0" w:line="360" w:lineRule="auto"/>
        <w:rPr>
          <w:rFonts w:eastAsia="Palatino Linotype" w:cs="Palatino Linotype"/>
          <w:color w:val="000000"/>
          <w:lang w:eastAsia="es-MX"/>
        </w:rPr>
      </w:pPr>
    </w:p>
    <w:p w14:paraId="127CA968" w14:textId="77777777" w:rsidR="00496842" w:rsidRPr="00496842" w:rsidRDefault="00496842" w:rsidP="00496842">
      <w:pPr>
        <w:spacing w:after="0" w:line="360" w:lineRule="auto"/>
        <w:rPr>
          <w:rFonts w:eastAsia="Palatino Linotype" w:cs="Palatino Linotype"/>
          <w:color w:val="000000"/>
          <w:lang w:eastAsia="es-MX"/>
        </w:rPr>
      </w:pPr>
      <w:r w:rsidRPr="00496842">
        <w:rPr>
          <w:rFonts w:eastAsia="Palatino Linotype" w:cs="Palatino Linotype"/>
          <w:color w:val="000000"/>
          <w:lang w:eastAsia="es-MX"/>
        </w:rPr>
        <w:t xml:space="preserve">Al respecto, el artículo 4°, fracción II de la Ley de Protección de Datos Personales en Posesión de Sujetos Obligados del Estado de México y Municipios, establece que </w:t>
      </w:r>
      <w:r w:rsidRPr="00496842">
        <w:rPr>
          <w:rFonts w:eastAsia="Palatino Linotype" w:cs="Palatino Linotype"/>
          <w:b/>
          <w:bCs/>
          <w:color w:val="000000"/>
          <w:lang w:eastAsia="es-MX"/>
        </w:rPr>
        <w:t>la anonimización es el tratamiento que permite evitar la identificación de los titulares de los datos personales.</w:t>
      </w:r>
    </w:p>
    <w:p w14:paraId="537BBE37" w14:textId="77777777" w:rsidR="00496842" w:rsidRPr="00496842" w:rsidRDefault="00496842" w:rsidP="00496842">
      <w:pPr>
        <w:spacing w:after="0" w:line="360" w:lineRule="auto"/>
        <w:rPr>
          <w:rFonts w:eastAsia="Palatino Linotype" w:cs="Palatino Linotype"/>
          <w:color w:val="000000"/>
          <w:lang w:eastAsia="es-MX"/>
        </w:rPr>
      </w:pPr>
      <w:r w:rsidRPr="00496842">
        <w:rPr>
          <w:rFonts w:eastAsia="Palatino Linotype" w:cs="Palatino Linotype"/>
          <w:color w:val="000000"/>
          <w:lang w:eastAsia="es-MX"/>
        </w:rPr>
        <w:t xml:space="preserve">Sobre el tema, según Solange, María (2019), en el </w:t>
      </w:r>
      <w:r w:rsidRPr="00496842">
        <w:rPr>
          <w:rFonts w:eastAsia="Palatino Linotype" w:cs="Palatino Linotype"/>
          <w:i/>
          <w:iCs/>
          <w:color w:val="000000"/>
          <w:lang w:eastAsia="es-MX"/>
        </w:rPr>
        <w:t>“Diccionario de Transparencia y Acceso a la Información Pública” </w:t>
      </w:r>
      <w:r w:rsidRPr="00496842">
        <w:rPr>
          <w:rFonts w:eastAsia="Palatino Linotype" w:cs="Palatino Linotype"/>
          <w:color w:val="000000"/>
          <w:lang w:eastAsia="es-MX"/>
        </w:rPr>
        <w:t>(p. 65), la anonimización, es una técnica que suponen el tratamiento de datos personales con el objeto de </w:t>
      </w:r>
      <w:r w:rsidRPr="00496842">
        <w:rPr>
          <w:rFonts w:eastAsia="Palatino Linotype" w:cs="Palatino Linotype"/>
          <w:b/>
          <w:bCs/>
          <w:color w:val="000000"/>
          <w:lang w:eastAsia="es-MX"/>
        </w:rPr>
        <w:t>disociar de manera irreversible o definitiva la información personal de su titular con el fin de que no pueda asociarse con él, ni permitir su identificación por su estructura, contenido o grado de desagregación;</w:t>
      </w:r>
      <w:r w:rsidRPr="00496842">
        <w:rPr>
          <w:rFonts w:eastAsia="Palatino Linotype" w:cs="Palatino Linotype"/>
          <w:color w:val="000000"/>
          <w:lang w:eastAsia="es-MX"/>
        </w:rPr>
        <w:t> además, que la eficacia dependen de los resultados obtenidos, que deben ser similares o equivalentes a la eliminación o borrado de dichos datos, sin que se puedan re identificar con las tecnologías disponibles.</w:t>
      </w:r>
    </w:p>
    <w:p w14:paraId="4D3D301A" w14:textId="77777777" w:rsidR="00496842" w:rsidRPr="00496842" w:rsidRDefault="00496842" w:rsidP="00496842">
      <w:pPr>
        <w:spacing w:after="0" w:line="360" w:lineRule="auto"/>
        <w:rPr>
          <w:rFonts w:eastAsia="Palatino Linotype" w:cs="Palatino Linotype"/>
          <w:color w:val="000000"/>
          <w:highlight w:val="yellow"/>
          <w:lang w:eastAsia="es-MX"/>
        </w:rPr>
      </w:pPr>
    </w:p>
    <w:p w14:paraId="3F6B3368" w14:textId="77777777" w:rsidR="00496842" w:rsidRPr="00496842" w:rsidRDefault="00496842" w:rsidP="00496842">
      <w:pPr>
        <w:spacing w:after="0" w:line="360" w:lineRule="auto"/>
        <w:rPr>
          <w:rFonts w:eastAsia="Palatino Linotype" w:cs="Palatino Linotype"/>
          <w:color w:val="000000"/>
          <w:lang w:eastAsia="es-MX"/>
        </w:rPr>
      </w:pPr>
      <w:r w:rsidRPr="00496842">
        <w:rPr>
          <w:rFonts w:eastAsia="Palatino Linotype" w:cs="Palatino Linotype"/>
          <w:color w:val="000000"/>
          <w:lang w:eastAsia="es-MX"/>
        </w:rPr>
        <w:t xml:space="preserve">En ese sentido, según Davara, Isabel, (2019), en el </w:t>
      </w:r>
      <w:r w:rsidRPr="00496842">
        <w:rPr>
          <w:rFonts w:eastAsia="Palatino Linotype" w:cs="Palatino Linotype"/>
          <w:i/>
          <w:iCs/>
          <w:color w:val="000000"/>
          <w:lang w:eastAsia="es-MX"/>
        </w:rPr>
        <w:t>“Diccionario de Protección de Datos Personales Conceptos Fundamentales”</w:t>
      </w:r>
      <w:r w:rsidRPr="00496842">
        <w:rPr>
          <w:rFonts w:eastAsia="Palatino Linotype" w:cs="Palatino Linotype"/>
          <w:color w:val="000000"/>
          <w:lang w:eastAsia="es-MX"/>
        </w:rPr>
        <w:t> (p. 70), la anonimización es la aplicación de determinadas técnicas o procedimientos tendientes a impedir la identificación o reidentificación de una persona física, sin que para ello sea necesario el empleo de esfuerzos desproporcionados; además que los efectos de la disociación y anonimización, son en esencia los mismos, pues ambos, buscan que el dato deje de ser identificado o identificables, por lo cual, son equiparables.</w:t>
      </w:r>
    </w:p>
    <w:p w14:paraId="0E9FEE15" w14:textId="77777777" w:rsidR="00496842" w:rsidRPr="00496842" w:rsidRDefault="00496842" w:rsidP="00496842">
      <w:pPr>
        <w:spacing w:after="0" w:line="360" w:lineRule="auto"/>
        <w:rPr>
          <w:rFonts w:eastAsia="Palatino Linotype" w:cs="Palatino Linotype"/>
          <w:color w:val="000000"/>
          <w:lang w:eastAsia="es-MX"/>
        </w:rPr>
      </w:pPr>
      <w:r w:rsidRPr="00496842">
        <w:rPr>
          <w:rFonts w:eastAsia="Palatino Linotype" w:cs="Palatino Linotype"/>
          <w:color w:val="000000"/>
          <w:lang w:eastAsia="es-MX"/>
        </w:rPr>
        <w:t> </w:t>
      </w:r>
    </w:p>
    <w:p w14:paraId="287D522E" w14:textId="77777777" w:rsidR="00496842" w:rsidRPr="00496842" w:rsidRDefault="00496842" w:rsidP="00496842">
      <w:pPr>
        <w:spacing w:after="0" w:line="360" w:lineRule="auto"/>
        <w:rPr>
          <w:rFonts w:eastAsia="Palatino Linotype" w:cs="Palatino Linotype"/>
          <w:color w:val="000000"/>
          <w:lang w:eastAsia="es-MX"/>
        </w:rPr>
      </w:pPr>
      <w:r w:rsidRPr="00496842">
        <w:rPr>
          <w:rFonts w:eastAsia="Palatino Linotype" w:cs="Palatino Linotype"/>
          <w:color w:val="000000"/>
          <w:lang w:eastAsia="es-MX"/>
        </w:rPr>
        <w:t>Por su parte, el documento “Orientaciones y garantías en los procedimientos de Anonimización de datos personales”, de la Agencia Española de Protección de Datos, establece que la </w:t>
      </w:r>
      <w:r w:rsidRPr="00496842">
        <w:rPr>
          <w:rFonts w:eastAsia="Palatino Linotype" w:cs="Palatino Linotype"/>
          <w:b/>
          <w:bCs/>
          <w:color w:val="000000"/>
          <w:lang w:eastAsia="es-MX"/>
        </w:rPr>
        <w:t>anonimización, debe considerarse como una forma de eliminar las posibilidades de identificación de las personas;</w:t>
      </w:r>
      <w:r w:rsidRPr="00496842">
        <w:rPr>
          <w:rFonts w:eastAsia="Palatino Linotype" w:cs="Palatino Linotype"/>
          <w:color w:val="000000"/>
          <w:lang w:eastAsia="es-MX"/>
        </w:rPr>
        <w:t> así como que su propósito es eliminar o reducir al mínimo los riesgos de reidentificación de los datos sometidos a dicho proceso, manteniendo la veracidad de los resultados del tratamiento de los mismos; esto es, que además de evitar la identificación de las personas, los datos anonimizados deben garantizar que cualquier operación o tratamiento que pueda ser realizado con posterioridad a dicho proceso, no conlleva una distorsión de los datos reales.</w:t>
      </w:r>
    </w:p>
    <w:p w14:paraId="6AC66B2D" w14:textId="77777777" w:rsidR="00496842" w:rsidRPr="00496842" w:rsidRDefault="00496842" w:rsidP="00496842">
      <w:pPr>
        <w:spacing w:after="0" w:line="360" w:lineRule="auto"/>
        <w:rPr>
          <w:rFonts w:eastAsia="Palatino Linotype" w:cs="Palatino Linotype"/>
          <w:color w:val="000000"/>
          <w:highlight w:val="yellow"/>
          <w:lang w:eastAsia="es-MX"/>
        </w:rPr>
      </w:pPr>
    </w:p>
    <w:p w14:paraId="590A8D97" w14:textId="77777777" w:rsidR="00496842" w:rsidRPr="00496842" w:rsidRDefault="00496842" w:rsidP="00496842">
      <w:pPr>
        <w:spacing w:after="0" w:line="360" w:lineRule="auto"/>
        <w:rPr>
          <w:rFonts w:eastAsia="Palatino Linotype" w:cs="Palatino Linotype"/>
          <w:color w:val="000000"/>
          <w:lang w:eastAsia="es-MX"/>
        </w:rPr>
      </w:pPr>
      <w:r w:rsidRPr="00496842">
        <w:rPr>
          <w:rFonts w:eastAsia="Palatino Linotype" w:cs="Palatino Linotype"/>
          <w:color w:val="000000"/>
          <w:lang w:eastAsia="es-MX"/>
        </w:rPr>
        <w:t>Además, establece que </w:t>
      </w:r>
      <w:r w:rsidRPr="00496842">
        <w:rPr>
          <w:rFonts w:eastAsia="Palatino Linotype" w:cs="Palatino Linotype"/>
          <w:b/>
          <w:bCs/>
          <w:color w:val="000000"/>
          <w:lang w:eastAsia="es-MX"/>
        </w:rPr>
        <w:t>en la anonimización se realiza la disociación definitiva e irreversible de los datos personales</w:t>
      </w:r>
      <w:r w:rsidRPr="00496842">
        <w:rPr>
          <w:rFonts w:eastAsia="Palatino Linotype" w:cs="Palatino Linotype"/>
          <w:color w:val="000000"/>
          <w:lang w:eastAsia="es-MX"/>
        </w:rPr>
        <w:t>; por lo que, el proceso de anonimización deberá realizarse tantas veces sea necesario, según la finalidad de la información anonimizada y su destinatario.</w:t>
      </w:r>
    </w:p>
    <w:p w14:paraId="04E6B798" w14:textId="77777777" w:rsidR="00496842" w:rsidRPr="00496842" w:rsidRDefault="00496842" w:rsidP="00496842">
      <w:pPr>
        <w:spacing w:after="0" w:line="360" w:lineRule="auto"/>
        <w:rPr>
          <w:rFonts w:eastAsia="Palatino Linotype" w:cs="Palatino Linotype"/>
          <w:color w:val="000000"/>
          <w:lang w:eastAsia="es-MX"/>
        </w:rPr>
      </w:pPr>
    </w:p>
    <w:p w14:paraId="221DFE9D" w14:textId="77777777" w:rsidR="00496842" w:rsidRPr="00496842" w:rsidRDefault="00496842" w:rsidP="00496842">
      <w:pPr>
        <w:spacing w:after="0" w:line="360" w:lineRule="auto"/>
        <w:rPr>
          <w:rFonts w:eastAsia="Palatino Linotype" w:cs="Palatino Linotype"/>
          <w:color w:val="000000"/>
          <w:lang w:eastAsia="es-MX"/>
        </w:rPr>
      </w:pPr>
      <w:r w:rsidRPr="00496842">
        <w:rPr>
          <w:rFonts w:eastAsia="Palatino Linotype" w:cs="Palatino Linotype"/>
          <w:color w:val="000000"/>
          <w:lang w:eastAsia="es-MX"/>
        </w:rPr>
        <w:t>En ese orden de ideas, a manera de referencia, se traen a colación los Criterios de Disociación de Datos Personales, emitidos por la Unidad Reguladora y de Control de Datos Personales del Gobierno de Uruguay, que establecen como técnica para anonimizar la información, entre otras las siguientes:</w:t>
      </w:r>
    </w:p>
    <w:p w14:paraId="73BD8FF1" w14:textId="77777777" w:rsidR="00496842" w:rsidRPr="00496842" w:rsidRDefault="00496842" w:rsidP="00496842">
      <w:pPr>
        <w:spacing w:after="0" w:line="360" w:lineRule="auto"/>
        <w:rPr>
          <w:rFonts w:eastAsia="Palatino Linotype" w:cs="Palatino Linotype"/>
          <w:color w:val="000000"/>
          <w:lang w:eastAsia="es-MX"/>
        </w:rPr>
      </w:pPr>
    </w:p>
    <w:p w14:paraId="4A48189F" w14:textId="77777777" w:rsidR="00496842" w:rsidRPr="00496842" w:rsidRDefault="00496842" w:rsidP="00496842">
      <w:pPr>
        <w:numPr>
          <w:ilvl w:val="0"/>
          <w:numId w:val="46"/>
        </w:numPr>
        <w:spacing w:after="0" w:line="360" w:lineRule="auto"/>
        <w:rPr>
          <w:rFonts w:eastAsia="Palatino Linotype" w:cs="Palatino Linotype"/>
          <w:color w:val="000000"/>
          <w:lang w:eastAsia="es-MX"/>
        </w:rPr>
      </w:pPr>
      <w:r w:rsidRPr="00496842">
        <w:rPr>
          <w:rFonts w:eastAsia="Palatino Linotype" w:cs="Palatino Linotype"/>
          <w:b/>
          <w:bCs/>
          <w:color w:val="000000"/>
          <w:lang w:eastAsia="es-MX"/>
        </w:rPr>
        <w:t>Aleatorización:</w:t>
      </w:r>
      <w:r w:rsidRPr="00496842">
        <w:rPr>
          <w:rFonts w:eastAsia="Palatino Linotype" w:cs="Palatino Linotype"/>
          <w:color w:val="000000"/>
          <w:lang w:eastAsia="es-MX"/>
        </w:rPr>
        <w:t> Técnica que modifica la veracidad de los datos, con el fin de eliminar el vínculo existente entre ellos y su titular; por lo cual, si se vuelven lo suficiente ambiguos los datos, no se podrá identificar a una persona en concreto.</w:t>
      </w:r>
    </w:p>
    <w:p w14:paraId="4AE56035" w14:textId="77777777" w:rsidR="00496842" w:rsidRPr="00496842" w:rsidRDefault="00496842" w:rsidP="00496842">
      <w:pPr>
        <w:spacing w:after="0" w:line="360" w:lineRule="auto"/>
        <w:ind w:firstLine="60"/>
        <w:rPr>
          <w:rFonts w:eastAsia="Palatino Linotype" w:cs="Palatino Linotype"/>
          <w:color w:val="000000"/>
          <w:lang w:eastAsia="es-MX"/>
        </w:rPr>
      </w:pPr>
    </w:p>
    <w:p w14:paraId="5CA89FED" w14:textId="77777777" w:rsidR="00496842" w:rsidRPr="00496842" w:rsidRDefault="00496842" w:rsidP="00496842">
      <w:pPr>
        <w:numPr>
          <w:ilvl w:val="0"/>
          <w:numId w:val="46"/>
        </w:numPr>
        <w:spacing w:after="0" w:line="360" w:lineRule="auto"/>
        <w:rPr>
          <w:rFonts w:eastAsia="Palatino Linotype" w:cs="Palatino Linotype"/>
          <w:color w:val="000000"/>
          <w:lang w:eastAsia="es-MX"/>
        </w:rPr>
      </w:pPr>
      <w:r w:rsidRPr="00496842">
        <w:rPr>
          <w:rFonts w:eastAsia="Palatino Linotype" w:cs="Palatino Linotype"/>
          <w:b/>
          <w:bCs/>
          <w:color w:val="000000"/>
          <w:lang w:eastAsia="es-MX"/>
        </w:rPr>
        <w:t>Agregación y Anonimato:</w:t>
      </w:r>
      <w:r w:rsidRPr="00496842">
        <w:rPr>
          <w:rFonts w:eastAsia="Palatino Linotype" w:cs="Palatino Linotype"/>
          <w:color w:val="000000"/>
          <w:lang w:eastAsia="es-MX"/>
        </w:rPr>
        <w:t> Que tiene como objetivo el impedir que una persona sea singularizada cuando se le agrupa con un grupo de individuos; esta técnica, incluye el método de supresión, en la cual todos o algunos valores son remplazados por “*”.</w:t>
      </w:r>
    </w:p>
    <w:p w14:paraId="4C0C3CA9" w14:textId="77777777" w:rsidR="00496842" w:rsidRPr="00496842" w:rsidRDefault="00496842" w:rsidP="00496842">
      <w:pPr>
        <w:spacing w:after="0" w:line="360" w:lineRule="auto"/>
        <w:rPr>
          <w:rFonts w:eastAsia="Palatino Linotype" w:cs="Palatino Linotype"/>
          <w:color w:val="000000"/>
          <w:lang w:eastAsia="es-MX"/>
        </w:rPr>
      </w:pPr>
    </w:p>
    <w:p w14:paraId="0C7FF903" w14:textId="77777777" w:rsidR="00496842" w:rsidRPr="00496842" w:rsidRDefault="00496842" w:rsidP="00496842">
      <w:pPr>
        <w:spacing w:after="0" w:line="360" w:lineRule="auto"/>
        <w:rPr>
          <w:rFonts w:eastAsia="Palatino Linotype" w:cs="Palatino Linotype"/>
          <w:color w:val="000000"/>
          <w:lang w:eastAsia="es-MX"/>
        </w:rPr>
      </w:pPr>
      <w:r w:rsidRPr="00496842">
        <w:rPr>
          <w:rFonts w:eastAsia="Palatino Linotype" w:cs="Palatino Linotype"/>
          <w:color w:val="000000"/>
          <w:lang w:eastAsia="es-MX"/>
        </w:rPr>
        <w:t>Conforme a lo analizado, se puede advertir que la disociación no es un proceso que tenga que pasar ante el Comité de Transparencia, </w:t>
      </w:r>
      <w:r w:rsidRPr="00496842">
        <w:rPr>
          <w:rFonts w:eastAsia="Palatino Linotype" w:cs="Palatino Linotype"/>
          <w:b/>
          <w:bCs/>
          <w:color w:val="000000"/>
          <w:lang w:eastAsia="es-MX"/>
        </w:rPr>
        <w:t>pues no implica la actualización de una inexistencia, una incompetencia o una clasificación</w:t>
      </w:r>
      <w:r w:rsidRPr="00496842">
        <w:rPr>
          <w:rFonts w:eastAsia="Palatino Linotype" w:cs="Palatino Linotype"/>
          <w:color w:val="000000"/>
          <w:lang w:eastAsia="es-MX"/>
        </w:rPr>
        <w:t>, sino únicamente un procedimiento para que un dato personal no pueda asociarse a otro, que pueda hacerlo identificable. Para tal situación, el procedimiento de disociación cuenta con una técnica denominada anonimización, que tiene como fin eliminar el vínculo de manera irreversible y definitiva de los datos personales, con otros, que permitan su identificación.</w:t>
      </w:r>
    </w:p>
    <w:p w14:paraId="2480A4DC" w14:textId="77777777" w:rsidR="00496842" w:rsidRPr="00496842" w:rsidRDefault="00496842" w:rsidP="00496842">
      <w:pPr>
        <w:spacing w:after="0" w:line="360" w:lineRule="auto"/>
        <w:rPr>
          <w:rFonts w:eastAsia="Palatino Linotype" w:cs="Palatino Linotype"/>
          <w:color w:val="000000"/>
          <w:lang w:eastAsia="es-MX"/>
        </w:rPr>
      </w:pPr>
    </w:p>
    <w:p w14:paraId="08BC19D7" w14:textId="19DC5C4F" w:rsidR="00496842" w:rsidRDefault="00496842" w:rsidP="00496842">
      <w:pPr>
        <w:spacing w:after="0" w:line="360" w:lineRule="auto"/>
        <w:rPr>
          <w:rFonts w:eastAsia="Palatino Linotype" w:cs="Palatino Linotype"/>
          <w:color w:val="000000"/>
          <w:lang w:eastAsia="es-MX"/>
        </w:rPr>
      </w:pPr>
      <w:r w:rsidRPr="00496842">
        <w:rPr>
          <w:rFonts w:eastAsia="Palatino Linotype" w:cs="Palatino Linotype"/>
          <w:color w:val="000000"/>
          <w:lang w:eastAsia="es-MX"/>
        </w:rPr>
        <w:t xml:space="preserve">Así, este Instituto considera que, para no dar a conocer información </w:t>
      </w:r>
      <w:r>
        <w:rPr>
          <w:rFonts w:eastAsia="Palatino Linotype" w:cs="Palatino Linotype"/>
          <w:color w:val="000000"/>
          <w:lang w:eastAsia="es-MX"/>
        </w:rPr>
        <w:t xml:space="preserve">de los procedimientos llevados a cabo por la Dirección de Desarrollo Urbano o datos personales de particulares, </w:t>
      </w:r>
      <w:r w:rsidRPr="00496842">
        <w:rPr>
          <w:rFonts w:eastAsia="Palatino Linotype" w:cs="Palatino Linotype"/>
          <w:color w:val="000000"/>
          <w:lang w:eastAsia="es-MX"/>
        </w:rPr>
        <w:t>el Sujeto Obligado deberá proporcionar</w:t>
      </w:r>
      <w:r>
        <w:rPr>
          <w:rFonts w:eastAsia="Palatino Linotype" w:cs="Palatino Linotype"/>
          <w:color w:val="000000"/>
          <w:lang w:eastAsia="es-MX"/>
        </w:rPr>
        <w:t xml:space="preserve"> el documento obre en sus archivos donde consten los números de folio utilizados por el área, para Sellos de Suspensión, que como se estableció en párrafos previos, pudiera ser un minutario, libro de gobierno, relación de registros u homólogos.</w:t>
      </w:r>
    </w:p>
    <w:p w14:paraId="3D60A05E" w14:textId="77777777" w:rsidR="00496842" w:rsidRDefault="00496842" w:rsidP="00496842">
      <w:pPr>
        <w:spacing w:after="0" w:line="360" w:lineRule="auto"/>
        <w:rPr>
          <w:rFonts w:eastAsia="Palatino Linotype" w:cs="Palatino Linotype"/>
          <w:color w:val="000000"/>
          <w:lang w:eastAsia="es-MX"/>
        </w:rPr>
      </w:pPr>
    </w:p>
    <w:p w14:paraId="0699F4BA" w14:textId="59F67AC9" w:rsidR="00496842" w:rsidRPr="00496842" w:rsidRDefault="00496842" w:rsidP="00496842">
      <w:pPr>
        <w:spacing w:after="0" w:line="360" w:lineRule="auto"/>
        <w:rPr>
          <w:rFonts w:eastAsia="Palatino Linotype" w:cs="Palatino Linotype"/>
          <w:color w:val="000000"/>
          <w:lang w:eastAsia="es-MX"/>
        </w:rPr>
      </w:pPr>
      <w:r w:rsidRPr="00496842">
        <w:rPr>
          <w:rFonts w:eastAsia="Palatino Linotype" w:cs="Palatino Linotype"/>
          <w:color w:val="000000"/>
          <w:lang w:eastAsia="es-MX"/>
        </w:rPr>
        <w:t xml:space="preserve">Finalmente, no pasa desapercibido para este Instituto que </w:t>
      </w:r>
      <w:r>
        <w:rPr>
          <w:rFonts w:eastAsia="Palatino Linotype" w:cs="Palatino Linotype"/>
          <w:color w:val="000000"/>
          <w:lang w:eastAsia="es-MX"/>
        </w:rPr>
        <w:t>los documentos pudieran</w:t>
      </w:r>
      <w:r w:rsidRPr="00496842">
        <w:rPr>
          <w:rFonts w:eastAsia="Palatino Linotype" w:cs="Palatino Linotype"/>
          <w:color w:val="000000"/>
          <w:lang w:eastAsia="es-MX"/>
        </w:rPr>
        <w:t xml:space="preserve"> contener datos o información clasificada, como nombres o datos de contacto de particulares;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62B997FF" w14:textId="77777777" w:rsidR="00496842" w:rsidRPr="00496842" w:rsidRDefault="00496842" w:rsidP="00496842">
      <w:pPr>
        <w:spacing w:after="0" w:line="360" w:lineRule="auto"/>
        <w:rPr>
          <w:rFonts w:eastAsia="Palatino Linotype" w:cs="Palatino Linotype"/>
          <w:color w:val="000000"/>
          <w:lang w:eastAsia="es-MX"/>
        </w:rPr>
      </w:pPr>
      <w:r w:rsidRPr="00496842">
        <w:rPr>
          <w:rFonts w:eastAsia="Palatino Linotype" w:cs="Palatino Linotype"/>
          <w:color w:val="000000"/>
          <w:lang w:eastAsia="es-MX"/>
        </w:rPr>
        <w:t xml:space="preserve"> </w:t>
      </w:r>
    </w:p>
    <w:p w14:paraId="5AD7CA0E" w14:textId="42FC3075" w:rsidR="00496842" w:rsidRDefault="00496842" w:rsidP="00496842">
      <w:pPr>
        <w:spacing w:after="0" w:line="360" w:lineRule="auto"/>
        <w:rPr>
          <w:rFonts w:eastAsia="Palatino Linotype" w:cs="Palatino Linotype"/>
          <w:color w:val="000000"/>
          <w:lang w:eastAsia="es-MX"/>
        </w:rPr>
      </w:pPr>
      <w:r w:rsidRPr="00496842">
        <w:rPr>
          <w:rFonts w:eastAsia="Palatino Linotype" w:cs="Palatino Linotype"/>
          <w:color w:val="000000"/>
          <w:lang w:eastAsia="es-MX"/>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559BC2E" w14:textId="77777777" w:rsidR="00780EC7" w:rsidRDefault="00780EC7" w:rsidP="00570EFD">
      <w:pPr>
        <w:spacing w:after="0" w:line="360" w:lineRule="auto"/>
        <w:rPr>
          <w:rFonts w:eastAsia="Times New Roman" w:cs="Tahoma"/>
          <w:iCs/>
          <w:lang w:eastAsia="es-ES"/>
        </w:rPr>
      </w:pPr>
    </w:p>
    <w:p w14:paraId="172FFE0D" w14:textId="77777777" w:rsidR="002A0B3A" w:rsidRPr="00A94CDA" w:rsidRDefault="002A0B3A" w:rsidP="00570EFD">
      <w:pPr>
        <w:pStyle w:val="Ttulo2"/>
        <w:spacing w:before="0" w:line="360" w:lineRule="auto"/>
        <w:rPr>
          <w:rFonts w:ascii="Palatino Linotype" w:eastAsia="Calibri" w:hAnsi="Palatino Linotype"/>
          <w:b/>
          <w:color w:val="000000" w:themeColor="text1"/>
          <w:sz w:val="22"/>
          <w:szCs w:val="22"/>
        </w:rPr>
      </w:pPr>
      <w:bookmarkStart w:id="16" w:name="_Toc226641137"/>
      <w:r w:rsidRPr="00A94CDA">
        <w:rPr>
          <w:rFonts w:ascii="Palatino Linotype" w:eastAsia="Calibri" w:hAnsi="Palatino Linotype"/>
          <w:b/>
          <w:color w:val="000000" w:themeColor="text1"/>
          <w:sz w:val="22"/>
          <w:szCs w:val="22"/>
        </w:rPr>
        <w:t>SEXTO. Decisión.</w:t>
      </w:r>
      <w:bookmarkEnd w:id="16"/>
      <w:r w:rsidRPr="00A94CDA">
        <w:rPr>
          <w:rFonts w:ascii="Palatino Linotype" w:eastAsia="Calibri" w:hAnsi="Palatino Linotype"/>
          <w:b/>
          <w:color w:val="000000" w:themeColor="text1"/>
          <w:sz w:val="22"/>
          <w:szCs w:val="22"/>
        </w:rPr>
        <w:t xml:space="preserve"> </w:t>
      </w:r>
    </w:p>
    <w:p w14:paraId="2731E528" w14:textId="77777777" w:rsidR="002A0B3A" w:rsidRPr="00D42734" w:rsidRDefault="002A0B3A" w:rsidP="00570EFD">
      <w:pPr>
        <w:spacing w:after="0" w:line="360" w:lineRule="auto"/>
        <w:contextualSpacing/>
        <w:rPr>
          <w:rFonts w:eastAsia="Calibri" w:cs="Tahoma"/>
          <w:b/>
          <w:color w:val="auto"/>
        </w:rPr>
      </w:pPr>
    </w:p>
    <w:p w14:paraId="2D2B5DA0" w14:textId="6144ED5D" w:rsidR="0030305E" w:rsidRPr="0030305E" w:rsidRDefault="0030305E" w:rsidP="00570EFD">
      <w:pPr>
        <w:spacing w:after="0" w:line="360" w:lineRule="auto"/>
        <w:contextualSpacing/>
        <w:rPr>
          <w:rFonts w:cs="Tahoma"/>
        </w:rPr>
      </w:pPr>
      <w:r w:rsidRPr="0030305E">
        <w:rPr>
          <w:rFonts w:cs="Tahoma"/>
        </w:rPr>
        <w:t xml:space="preserve">Con fundamento en el artículo 186, fracción III, de la Ley de Transparencia y Acceso a la Información Pública del Estado de México y Municipios, este Instituto considera procedente </w:t>
      </w:r>
      <w:r w:rsidR="00496842">
        <w:rPr>
          <w:rFonts w:cs="Tahoma"/>
          <w:b/>
          <w:bCs/>
        </w:rPr>
        <w:t>REVO</w:t>
      </w:r>
      <w:r w:rsidRPr="0030305E">
        <w:rPr>
          <w:rFonts w:cs="Tahoma"/>
          <w:b/>
          <w:bCs/>
        </w:rPr>
        <w:t>CAR</w:t>
      </w:r>
      <w:r w:rsidRPr="0030305E">
        <w:rPr>
          <w:rFonts w:cs="Tahoma"/>
        </w:rPr>
        <w:t xml:space="preserve"> la respuesta otorgada por el Sujeto Obligado a la solicitud de información </w:t>
      </w:r>
      <w:r w:rsidR="00101501">
        <w:rPr>
          <w:rFonts w:cs="Tahoma"/>
        </w:rPr>
        <w:t>00069/PAPALO/IP/2025</w:t>
      </w:r>
      <w:r w:rsidRPr="0030305E">
        <w:rPr>
          <w:rFonts w:cs="Tahoma"/>
        </w:rPr>
        <w:t>, a efecto de que entregue, en versión pública, la información solicitada.</w:t>
      </w:r>
    </w:p>
    <w:p w14:paraId="329AC632" w14:textId="77777777" w:rsidR="002A0B3A" w:rsidRPr="00D42734" w:rsidRDefault="002A0B3A" w:rsidP="00570EFD">
      <w:pPr>
        <w:spacing w:after="0" w:line="360" w:lineRule="auto"/>
        <w:contextualSpacing/>
        <w:rPr>
          <w:rFonts w:eastAsia="Times New Roman" w:cs="Tahoma"/>
          <w:color w:val="auto"/>
          <w:szCs w:val="24"/>
          <w:lang w:val="es-ES" w:eastAsia="es-ES"/>
        </w:rPr>
      </w:pPr>
    </w:p>
    <w:p w14:paraId="76B23D88" w14:textId="6CA85701" w:rsidR="002A0B3A" w:rsidRPr="00D42734" w:rsidRDefault="002A0B3A" w:rsidP="00570EFD">
      <w:pPr>
        <w:spacing w:after="0" w:line="360" w:lineRule="auto"/>
        <w:contextualSpacing/>
        <w:rPr>
          <w:rFonts w:eastAsia="Calibri" w:cs="Tahoma"/>
          <w:b/>
          <w:bCs/>
          <w:color w:val="auto"/>
        </w:rPr>
      </w:pPr>
      <w:r w:rsidRPr="00D42734">
        <w:rPr>
          <w:rFonts w:eastAsia="Calibri" w:cs="Tahoma"/>
          <w:b/>
          <w:bCs/>
          <w:color w:val="auto"/>
        </w:rPr>
        <w:t>Términos de la Resolución para conocimiento del Particular</w:t>
      </w:r>
    </w:p>
    <w:p w14:paraId="2EEF94A6" w14:textId="77777777" w:rsidR="002A0B3A" w:rsidRPr="00D42734" w:rsidRDefault="002A0B3A" w:rsidP="00570EFD">
      <w:pPr>
        <w:spacing w:after="0" w:line="360" w:lineRule="auto"/>
        <w:contextualSpacing/>
        <w:rPr>
          <w:rFonts w:eastAsia="Calibri" w:cs="Tahoma"/>
          <w:b/>
          <w:bCs/>
          <w:color w:val="auto"/>
        </w:rPr>
      </w:pPr>
    </w:p>
    <w:p w14:paraId="387FDA94" w14:textId="2621C785" w:rsidR="002A0B3A" w:rsidRDefault="002A0B3A" w:rsidP="00570EFD">
      <w:pPr>
        <w:spacing w:after="0" w:line="360" w:lineRule="auto"/>
        <w:rPr>
          <w:color w:val="000000"/>
        </w:rPr>
      </w:pPr>
      <w:r w:rsidRPr="008623AB">
        <w:t xml:space="preserve">Se le hace del conocimiento a la persona Recurrente que, en el presente asunto, se le da la </w:t>
      </w:r>
      <w:r w:rsidR="00656FA1">
        <w:t xml:space="preserve">parcialmente </w:t>
      </w:r>
      <w:r w:rsidRPr="008623AB">
        <w:t xml:space="preserve">razón, pues </w:t>
      </w:r>
      <w:r w:rsidR="00780EC7">
        <w:t xml:space="preserve">el </w:t>
      </w:r>
      <w:r w:rsidR="00630E01">
        <w:t>Ayuntamiento de Papalotla</w:t>
      </w:r>
      <w:r w:rsidR="00496842">
        <w:t xml:space="preserve"> </w:t>
      </w:r>
      <w:r w:rsidR="00780EC7">
        <w:t xml:space="preserve">no </w:t>
      </w:r>
      <w:r w:rsidR="0030305E">
        <w:t xml:space="preserve">proporcionó la información </w:t>
      </w:r>
      <w:r w:rsidR="00496842">
        <w:t>solicitada, misma que es de naturaleza pública</w:t>
      </w:r>
      <w:r w:rsidRPr="008623AB">
        <w:t>. Por ello, usted debe recibir a través del Sistema de Acceso a la Información Mexiquense (SAIMEX)</w:t>
      </w:r>
      <w:r w:rsidR="00496842">
        <w:t>, los documentos donde consten los datos de su interés</w:t>
      </w:r>
      <w:r>
        <w:t xml:space="preserve">. </w:t>
      </w:r>
      <w:r>
        <w:rPr>
          <w:color w:val="000000"/>
        </w:rPr>
        <w:t>L</w:t>
      </w:r>
      <w:r w:rsidRPr="008623AB">
        <w:rPr>
          <w:color w:val="000000"/>
        </w:rPr>
        <w:t>a labor del Instituto, es apoyar a la población a acceder a la información pública y garantizar la protección de sus datos personales.</w:t>
      </w:r>
    </w:p>
    <w:p w14:paraId="0B887F14" w14:textId="77777777" w:rsidR="005032B4" w:rsidRPr="005032B4" w:rsidRDefault="005032B4" w:rsidP="00570EFD">
      <w:pPr>
        <w:spacing w:after="0" w:line="360" w:lineRule="auto"/>
      </w:pPr>
    </w:p>
    <w:p w14:paraId="1BF135B6" w14:textId="77777777" w:rsidR="002A0B3A" w:rsidRPr="00D42734" w:rsidRDefault="002A0B3A" w:rsidP="00570EFD">
      <w:pPr>
        <w:spacing w:after="0" w:line="360" w:lineRule="auto"/>
        <w:contextualSpacing/>
        <w:rPr>
          <w:rFonts w:eastAsia="Calibri" w:cs="Tahoma"/>
          <w:bCs/>
          <w:color w:val="auto"/>
        </w:rPr>
      </w:pPr>
      <w:r w:rsidRPr="00D42734">
        <w:rPr>
          <w:rFonts w:eastAsia="Calibri" w:cs="Tahoma"/>
          <w:bCs/>
          <w:color w:val="auto"/>
        </w:rPr>
        <w:t>Por lo expuesto y fundado, este Pleno:</w:t>
      </w:r>
    </w:p>
    <w:p w14:paraId="0FA647B5" w14:textId="77777777" w:rsidR="002A0B3A" w:rsidRPr="00D42734" w:rsidRDefault="002A0B3A" w:rsidP="00570EFD">
      <w:pPr>
        <w:spacing w:after="0" w:line="360" w:lineRule="auto"/>
        <w:contextualSpacing/>
        <w:rPr>
          <w:rFonts w:eastAsia="Calibri" w:cs="Tahoma"/>
          <w:bCs/>
          <w:color w:val="auto"/>
        </w:rPr>
      </w:pPr>
    </w:p>
    <w:p w14:paraId="7919B441" w14:textId="111EBAE6" w:rsidR="002A0B3A" w:rsidRPr="00A94CDA" w:rsidRDefault="002A0B3A" w:rsidP="00570EFD">
      <w:pPr>
        <w:pStyle w:val="Ttulo1"/>
        <w:spacing w:before="0" w:line="360" w:lineRule="auto"/>
        <w:jc w:val="center"/>
        <w:rPr>
          <w:rFonts w:ascii="Palatino Linotype" w:eastAsia="Calibri" w:hAnsi="Palatino Linotype"/>
          <w:b/>
          <w:color w:val="000000" w:themeColor="text1"/>
          <w:sz w:val="22"/>
          <w:szCs w:val="22"/>
        </w:rPr>
      </w:pPr>
      <w:bookmarkStart w:id="17" w:name="_Toc226641138"/>
      <w:r w:rsidRPr="00A94CDA">
        <w:rPr>
          <w:rFonts w:ascii="Palatino Linotype" w:eastAsia="Calibri" w:hAnsi="Palatino Linotype"/>
          <w:b/>
          <w:color w:val="000000" w:themeColor="text1"/>
          <w:sz w:val="22"/>
          <w:szCs w:val="22"/>
        </w:rPr>
        <w:t>R E S U E L V E</w:t>
      </w:r>
      <w:bookmarkEnd w:id="17"/>
    </w:p>
    <w:p w14:paraId="6A252915" w14:textId="77777777" w:rsidR="002A0B3A" w:rsidRPr="00D42734" w:rsidRDefault="002A0B3A" w:rsidP="00570EFD">
      <w:pPr>
        <w:spacing w:after="0" w:line="360" w:lineRule="auto"/>
        <w:ind w:right="-91"/>
        <w:contextualSpacing/>
        <w:jc w:val="center"/>
        <w:rPr>
          <w:rFonts w:eastAsia="Calibri" w:cs="Tahoma"/>
          <w:b/>
          <w:bCs/>
          <w:color w:val="auto"/>
        </w:rPr>
      </w:pPr>
    </w:p>
    <w:p w14:paraId="61131763" w14:textId="30EA1EF3" w:rsidR="0030305E" w:rsidRPr="0030305E" w:rsidRDefault="0030305E" w:rsidP="00570EFD">
      <w:pPr>
        <w:spacing w:after="0" w:line="360" w:lineRule="auto"/>
      </w:pPr>
      <w:r w:rsidRPr="0030305E">
        <w:rPr>
          <w:b/>
        </w:rPr>
        <w:t xml:space="preserve">PRIMERO. </w:t>
      </w:r>
      <w:r w:rsidRPr="0030305E">
        <w:t xml:space="preserve">Se </w:t>
      </w:r>
      <w:r w:rsidR="00496842">
        <w:rPr>
          <w:b/>
        </w:rPr>
        <w:t>REVO</w:t>
      </w:r>
      <w:r w:rsidRPr="0030305E">
        <w:rPr>
          <w:b/>
        </w:rPr>
        <w:t xml:space="preserve">CA </w:t>
      </w:r>
      <w:r w:rsidRPr="0030305E">
        <w:t xml:space="preserve">la respuesta entregada por el </w:t>
      </w:r>
      <w:r w:rsidR="00101501">
        <w:t>Ayuntamiento de Papalotla</w:t>
      </w:r>
      <w:r w:rsidRPr="0030305E">
        <w:t xml:space="preserve">, a la solicitud de información </w:t>
      </w:r>
      <w:r w:rsidR="00101501">
        <w:t>00069/PAPALO/IP/2025</w:t>
      </w:r>
      <w:r w:rsidRPr="0030305E">
        <w:rPr>
          <w:color w:val="000000"/>
        </w:rPr>
        <w:t>,</w:t>
      </w:r>
      <w:r w:rsidRPr="0030305E">
        <w:t xml:space="preserve"> por resultar</w:t>
      </w:r>
      <w:r>
        <w:t xml:space="preserve"> </w:t>
      </w:r>
      <w:r w:rsidRPr="0030305E">
        <w:rPr>
          <w:b/>
          <w:bCs/>
        </w:rPr>
        <w:t>FUNDADAS</w:t>
      </w:r>
      <w:r w:rsidRPr="0030305E">
        <w:rPr>
          <w:b/>
        </w:rPr>
        <w:t xml:space="preserve"> </w:t>
      </w:r>
      <w:r w:rsidRPr="0030305E">
        <w:t>las razones o motivos de inconformidad hechos valer por la persona Recurrente, en términos de los considerandos QUINTO y SEXTO de la presente Resolución.</w:t>
      </w:r>
    </w:p>
    <w:p w14:paraId="34750A35" w14:textId="77777777" w:rsidR="0030305E" w:rsidRPr="0030305E" w:rsidRDefault="0030305E" w:rsidP="00570EFD">
      <w:pPr>
        <w:spacing w:after="0" w:line="360" w:lineRule="auto"/>
      </w:pPr>
    </w:p>
    <w:p w14:paraId="11638B97" w14:textId="378D5414" w:rsidR="00496842" w:rsidRDefault="0030305E" w:rsidP="00496842">
      <w:pPr>
        <w:spacing w:after="0" w:line="360" w:lineRule="auto"/>
        <w:rPr>
          <w:rFonts w:cs="Tahoma"/>
          <w:color w:val="auto"/>
        </w:rPr>
      </w:pPr>
      <w:r w:rsidRPr="0030305E">
        <w:rPr>
          <w:b/>
        </w:rPr>
        <w:t xml:space="preserve">SEGUNDO. </w:t>
      </w:r>
      <w:r w:rsidRPr="0030305E">
        <w:t xml:space="preserve">Se </w:t>
      </w:r>
      <w:r w:rsidRPr="0030305E">
        <w:rPr>
          <w:b/>
        </w:rPr>
        <w:t>ORDENA</w:t>
      </w:r>
      <w:r w:rsidRPr="0030305E">
        <w:t xml:space="preserve"> al Sujeto Obligado</w:t>
      </w:r>
      <w:r w:rsidRPr="0030305E">
        <w:rPr>
          <w:b/>
        </w:rPr>
        <w:t xml:space="preserve">, </w:t>
      </w:r>
      <w:r w:rsidRPr="0030305E">
        <w:t>a efecto de que previa búsqueda exhaustiva y razonable en los archivos de las unidades administrativas competentes, entregue a través del Sistema de Acceso a la Información Mexiquense (SAIMEX),</w:t>
      </w:r>
      <w:r w:rsidR="00E318BC">
        <w:t xml:space="preserve"> en </w:t>
      </w:r>
      <w:r w:rsidR="00496842">
        <w:t xml:space="preserve">su caso, en versión pública, respecto a las </w:t>
      </w:r>
      <w:r w:rsidR="00496842">
        <w:rPr>
          <w:rFonts w:cs="Tahoma"/>
          <w:color w:val="auto"/>
        </w:rPr>
        <w:t>obras o construcciones particulares suspendidas</w:t>
      </w:r>
      <w:r w:rsidR="00496842" w:rsidRPr="009C3492">
        <w:rPr>
          <w:rFonts w:cs="Tahoma"/>
          <w:color w:val="auto"/>
        </w:rPr>
        <w:t xml:space="preserve"> </w:t>
      </w:r>
      <w:r w:rsidR="00496842">
        <w:rPr>
          <w:rFonts w:cs="Tahoma"/>
          <w:color w:val="auto"/>
        </w:rPr>
        <w:t>del primero de enero al tres de noviembre de dos mil veinticinco, los documentos donde conste l siguiente:</w:t>
      </w:r>
    </w:p>
    <w:p w14:paraId="32EED80E" w14:textId="77777777" w:rsidR="00496842" w:rsidRDefault="00496842" w:rsidP="00496842">
      <w:pPr>
        <w:spacing w:after="0" w:line="360" w:lineRule="auto"/>
        <w:rPr>
          <w:rFonts w:cs="Tahoma"/>
          <w:color w:val="auto"/>
        </w:rPr>
      </w:pPr>
    </w:p>
    <w:p w14:paraId="0FE34D68" w14:textId="77777777" w:rsidR="00496842" w:rsidRDefault="00496842" w:rsidP="00496842">
      <w:pPr>
        <w:pStyle w:val="Prrafodelista"/>
        <w:numPr>
          <w:ilvl w:val="0"/>
          <w:numId w:val="41"/>
        </w:numPr>
        <w:spacing w:after="0" w:line="360" w:lineRule="auto"/>
        <w:rPr>
          <w:rFonts w:cs="Tahoma"/>
          <w:color w:val="auto"/>
        </w:rPr>
      </w:pPr>
      <w:r>
        <w:rPr>
          <w:rFonts w:cs="Tahoma"/>
          <w:color w:val="auto"/>
        </w:rPr>
        <w:t>El número total de suspensiones, y</w:t>
      </w:r>
    </w:p>
    <w:p w14:paraId="1E1D4ABA" w14:textId="77777777" w:rsidR="00496842" w:rsidRDefault="00496842" w:rsidP="00496842">
      <w:pPr>
        <w:pStyle w:val="Prrafodelista"/>
        <w:spacing w:after="0" w:line="360" w:lineRule="auto"/>
        <w:rPr>
          <w:rFonts w:cs="Tahoma"/>
          <w:color w:val="auto"/>
        </w:rPr>
      </w:pPr>
    </w:p>
    <w:p w14:paraId="64C88108" w14:textId="77777777" w:rsidR="00496842" w:rsidRPr="00CC44B4" w:rsidRDefault="00496842" w:rsidP="00496842">
      <w:pPr>
        <w:pStyle w:val="Prrafodelista"/>
        <w:numPr>
          <w:ilvl w:val="0"/>
          <w:numId w:val="41"/>
        </w:numPr>
        <w:spacing w:after="0" w:line="360" w:lineRule="auto"/>
        <w:rPr>
          <w:rFonts w:cs="Tahoma"/>
          <w:color w:val="auto"/>
        </w:rPr>
      </w:pPr>
      <w:r>
        <w:rPr>
          <w:rFonts w:cs="Tahoma"/>
          <w:color w:val="auto"/>
        </w:rPr>
        <w:t>El número de folio de cada uno de los sellos de suspensión utilizados.</w:t>
      </w:r>
    </w:p>
    <w:p w14:paraId="50687520" w14:textId="77777777" w:rsidR="0030305E" w:rsidRDefault="0030305E" w:rsidP="00570EFD">
      <w:pPr>
        <w:spacing w:after="0" w:line="360" w:lineRule="auto"/>
      </w:pPr>
    </w:p>
    <w:p w14:paraId="4D8151FC" w14:textId="45B7A26E" w:rsidR="00496842" w:rsidRPr="00496842" w:rsidRDefault="00496842" w:rsidP="00496842">
      <w:pPr>
        <w:spacing w:after="0" w:line="360" w:lineRule="auto"/>
        <w:rPr>
          <w:rFonts w:eastAsia="Times New Roman" w:cs="Tahoma"/>
          <w:bCs/>
          <w:iCs/>
          <w:color w:val="auto"/>
          <w:lang w:eastAsia="es-ES"/>
        </w:rPr>
      </w:pPr>
      <w:r w:rsidRPr="00496842">
        <w:rPr>
          <w:rFonts w:eastAsia="Times New Roman" w:cs="Tahoma"/>
          <w:bCs/>
          <w:iCs/>
          <w:color w:val="auto"/>
          <w:lang w:eastAsia="es-ES"/>
        </w:rPr>
        <w:t xml:space="preserve">Además, </w:t>
      </w:r>
      <w:r>
        <w:rPr>
          <w:rFonts w:eastAsia="Times New Roman" w:cs="Tahoma"/>
          <w:bCs/>
          <w:iCs/>
          <w:color w:val="auto"/>
          <w:lang w:eastAsia="es-ES"/>
        </w:rPr>
        <w:t xml:space="preserve">de ser necesario, </w:t>
      </w:r>
      <w:r w:rsidRPr="00496842">
        <w:rPr>
          <w:rFonts w:eastAsia="Times New Roman" w:cs="Tahoma"/>
          <w:bCs/>
          <w:iCs/>
          <w:color w:val="auto"/>
          <w:lang w:eastAsia="es-ES"/>
        </w:rPr>
        <w:t xml:space="preserve">el Sujeto Obligado deberá proporcionar el Acuerdo de Clasificación donde el Comité de Transparencia, confirme la eliminación de los datos o información, en la versión pública, de conformidad con los artículos 49, fracciones II y VIII, 132, fracción II, 143, fracción I, y 149 de la Ley de Transparencia y Acceso a la Información Pública del Estado de México y Municipios. </w:t>
      </w:r>
    </w:p>
    <w:p w14:paraId="0F19C346" w14:textId="77777777" w:rsidR="00496842" w:rsidRPr="0030305E" w:rsidRDefault="00496842" w:rsidP="00570EFD">
      <w:pPr>
        <w:spacing w:after="0" w:line="360" w:lineRule="auto"/>
      </w:pPr>
    </w:p>
    <w:p w14:paraId="52623AEB" w14:textId="77777777" w:rsidR="0030305E" w:rsidRPr="0030305E" w:rsidRDefault="0030305E" w:rsidP="00570EFD">
      <w:pPr>
        <w:spacing w:after="0" w:line="360" w:lineRule="auto"/>
        <w:ind w:right="-28"/>
        <w:rPr>
          <w:b/>
          <w:lang w:eastAsia="es-MX"/>
        </w:rPr>
      </w:pPr>
      <w:r w:rsidRPr="0030305E">
        <w:rPr>
          <w:b/>
          <w:lang w:eastAsia="es-MX"/>
        </w:rPr>
        <w:t xml:space="preserve">TERCERO. NOTIFÍQUESE POR SAIMEX </w:t>
      </w:r>
      <w:r w:rsidRPr="0030305E">
        <w:rPr>
          <w:lang w:eastAsia="es-MX"/>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D7B3199" w14:textId="77777777" w:rsidR="0030305E" w:rsidRPr="0030305E" w:rsidRDefault="0030305E" w:rsidP="00570EFD">
      <w:pPr>
        <w:spacing w:after="0" w:line="360" w:lineRule="auto"/>
        <w:ind w:right="-28"/>
        <w:rPr>
          <w:color w:val="000000"/>
          <w:lang w:eastAsia="es-MX"/>
        </w:rPr>
      </w:pPr>
    </w:p>
    <w:p w14:paraId="1A2A8776" w14:textId="518110D9" w:rsidR="0030305E" w:rsidRPr="0030305E" w:rsidRDefault="0030305E" w:rsidP="00570EFD">
      <w:pPr>
        <w:spacing w:after="0" w:line="360" w:lineRule="auto"/>
        <w:rPr>
          <w:color w:val="000000"/>
          <w:lang w:eastAsia="es-MX"/>
        </w:rPr>
      </w:pPr>
      <w:r w:rsidRPr="0030305E">
        <w:rPr>
          <w:color w:val="000000"/>
          <w:lang w:eastAsia="es-MX"/>
        </w:rPr>
        <w:t xml:space="preserve">De conformidad con el artículo 198 de la </w:t>
      </w:r>
      <w:r w:rsidR="00D4442D" w:rsidRPr="0030305E">
        <w:rPr>
          <w:lang w:eastAsia="es-MX"/>
        </w:rPr>
        <w:t>Ley de Transparencia y Acceso a la Información Pública del Estado de México y Municipios</w:t>
      </w:r>
      <w:r w:rsidRPr="0030305E">
        <w:rPr>
          <w:color w:val="000000"/>
          <w:lang w:eastAsia="es-MX"/>
        </w:rPr>
        <w:t>, de considerarlo procedente, el Sujeto Obligado de manera fundada y motivada, podrá solicitar una ampliación de plazo para el cumplimiento de la presente resolución.</w:t>
      </w:r>
    </w:p>
    <w:p w14:paraId="6C9B7B47" w14:textId="77777777" w:rsidR="0030305E" w:rsidRPr="0030305E" w:rsidRDefault="0030305E" w:rsidP="00570EFD">
      <w:pPr>
        <w:spacing w:after="0" w:line="360" w:lineRule="auto"/>
        <w:rPr>
          <w:color w:val="000000"/>
          <w:lang w:eastAsia="es-MX"/>
        </w:rPr>
      </w:pPr>
    </w:p>
    <w:p w14:paraId="23D54297" w14:textId="77777777" w:rsidR="0030305E" w:rsidRPr="0030305E" w:rsidRDefault="0030305E" w:rsidP="00570EFD">
      <w:pPr>
        <w:spacing w:after="0" w:line="360" w:lineRule="auto"/>
        <w:contextualSpacing/>
        <w:rPr>
          <w:color w:val="000000"/>
        </w:rPr>
      </w:pPr>
      <w:r w:rsidRPr="0030305E">
        <w:rPr>
          <w:b/>
          <w:bCs/>
          <w:color w:val="000000"/>
        </w:rPr>
        <w:t xml:space="preserve">CUARTO. </w:t>
      </w:r>
      <w:r w:rsidRPr="0030305E">
        <w:rPr>
          <w:b/>
          <w:lang w:eastAsia="es-MX"/>
        </w:rPr>
        <w:t>NOTIFÍQUESE POR SAIMEX</w:t>
      </w:r>
      <w:r w:rsidRPr="0030305E">
        <w:rPr>
          <w:color w:val="000000"/>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47684EA1" w14:textId="77777777" w:rsidR="0030305E" w:rsidRPr="0030305E" w:rsidRDefault="0030305E" w:rsidP="00570EFD">
      <w:pPr>
        <w:spacing w:after="0" w:line="360" w:lineRule="auto"/>
        <w:rPr>
          <w:rFonts w:eastAsia="Calibri" w:cs="Tahoma"/>
          <w:bCs/>
        </w:rPr>
      </w:pPr>
    </w:p>
    <w:p w14:paraId="079D640A" w14:textId="72A5D3D6" w:rsidR="0030305E" w:rsidRPr="0030305E" w:rsidRDefault="0030305E" w:rsidP="00570EFD">
      <w:pPr>
        <w:spacing w:after="0" w:line="360" w:lineRule="auto"/>
        <w:rPr>
          <w:rFonts w:eastAsia="Calibri" w:cs="Tahoma"/>
          <w:bCs/>
        </w:rPr>
      </w:pPr>
      <w:r w:rsidRPr="0030305E">
        <w:rPr>
          <w:rFonts w:eastAsia="Calibri" w:cs="Tahoma"/>
          <w:bCs/>
        </w:rPr>
        <w:t xml:space="preserve">ASÍ LO RESUELVE, POR </w:t>
      </w:r>
      <w:r w:rsidRPr="0030305E">
        <w:rPr>
          <w:rFonts w:eastAsia="Calibri" w:cs="Tahoma"/>
          <w:b/>
        </w:rPr>
        <w:t>UNANIMIDAD</w:t>
      </w:r>
      <w:r w:rsidRPr="0030305E">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52B3B">
        <w:rPr>
          <w:rFonts w:eastAsia="Calibri" w:cs="Tahoma"/>
          <w:bCs/>
        </w:rPr>
        <w:t>DÉCIMA</w:t>
      </w:r>
      <w:r w:rsidR="00656FA1">
        <w:rPr>
          <w:rFonts w:eastAsia="Calibri" w:cs="Tahoma"/>
          <w:bCs/>
        </w:rPr>
        <w:t xml:space="preserve"> </w:t>
      </w:r>
      <w:r w:rsidR="00496842">
        <w:rPr>
          <w:rFonts w:eastAsia="Calibri" w:cs="Tahoma"/>
          <w:bCs/>
        </w:rPr>
        <w:t xml:space="preserve">SEGUNDA </w:t>
      </w:r>
      <w:r w:rsidRPr="0030305E">
        <w:rPr>
          <w:rFonts w:eastAsia="Calibri" w:cs="Tahoma"/>
          <w:bCs/>
        </w:rPr>
        <w:t xml:space="preserve">SESIÓN ORDINARIA, CELEBRADA EL </w:t>
      </w:r>
      <w:r w:rsidR="00496842">
        <w:rPr>
          <w:rFonts w:eastAsia="Calibri" w:cs="Tahoma"/>
          <w:bCs/>
        </w:rPr>
        <w:t>OCHO DE ABRIL</w:t>
      </w:r>
      <w:r w:rsidR="00F52B3B">
        <w:rPr>
          <w:rFonts w:eastAsia="Calibri" w:cs="Tahoma"/>
          <w:bCs/>
        </w:rPr>
        <w:t xml:space="preserve"> DE DOS MIL VEINTISÉIS</w:t>
      </w:r>
      <w:r w:rsidRPr="0030305E">
        <w:rPr>
          <w:rFonts w:eastAsia="Calibri" w:cs="Tahoma"/>
          <w:bCs/>
        </w:rPr>
        <w:t>, ANTE EL SECRETARIO TÉCNICO DEL PLENO, ALEXIS TAPIA RAMÍREZ.</w:t>
      </w:r>
    </w:p>
    <w:p w14:paraId="258403CC" w14:textId="77777777" w:rsidR="00B65D21" w:rsidRPr="00C821DD" w:rsidRDefault="00B65D21" w:rsidP="00570EFD">
      <w:pPr>
        <w:spacing w:after="0" w:line="360" w:lineRule="auto"/>
        <w:contextualSpacing/>
        <w:rPr>
          <w:rFonts w:eastAsia="Calibri"/>
          <w:color w:val="FF0000"/>
        </w:rPr>
      </w:pPr>
    </w:p>
    <w:p w14:paraId="3EC3E9BD" w14:textId="77777777" w:rsidR="00CE7148" w:rsidRDefault="00CE7148" w:rsidP="00570EFD">
      <w:pPr>
        <w:spacing w:after="0" w:line="360" w:lineRule="auto"/>
        <w:rPr>
          <w:color w:val="FF0000"/>
        </w:rPr>
      </w:pPr>
    </w:p>
    <w:p w14:paraId="4F4CCF40" w14:textId="77777777" w:rsidR="00A9056D" w:rsidRDefault="00A9056D" w:rsidP="00570EFD">
      <w:pPr>
        <w:spacing w:after="0" w:line="360" w:lineRule="auto"/>
        <w:rPr>
          <w:color w:val="FF0000"/>
        </w:rPr>
      </w:pPr>
    </w:p>
    <w:p w14:paraId="30C2B0A8" w14:textId="77777777" w:rsidR="00A9056D" w:rsidRDefault="00A9056D" w:rsidP="00570EFD">
      <w:pPr>
        <w:spacing w:after="0" w:line="360" w:lineRule="auto"/>
        <w:rPr>
          <w:color w:val="FF0000"/>
        </w:rPr>
      </w:pPr>
    </w:p>
    <w:p w14:paraId="70E8439B" w14:textId="77777777" w:rsidR="00A9056D" w:rsidRDefault="00A9056D" w:rsidP="00570EFD">
      <w:pPr>
        <w:spacing w:after="0" w:line="360" w:lineRule="auto"/>
        <w:rPr>
          <w:color w:val="FF0000"/>
        </w:rPr>
      </w:pPr>
    </w:p>
    <w:p w14:paraId="7146A7F6" w14:textId="77777777" w:rsidR="00A9056D" w:rsidRDefault="00A9056D" w:rsidP="00570EFD">
      <w:pPr>
        <w:spacing w:after="0" w:line="360" w:lineRule="auto"/>
        <w:rPr>
          <w:color w:val="FF0000"/>
        </w:rPr>
      </w:pPr>
    </w:p>
    <w:p w14:paraId="15A13D10" w14:textId="77777777" w:rsidR="00A9056D" w:rsidRDefault="00A9056D" w:rsidP="00570EFD">
      <w:pPr>
        <w:spacing w:after="0" w:line="360" w:lineRule="auto"/>
        <w:rPr>
          <w:color w:val="FF0000"/>
        </w:rPr>
      </w:pPr>
    </w:p>
    <w:p w14:paraId="36F176C9" w14:textId="77777777" w:rsidR="00A9056D" w:rsidRDefault="00A9056D" w:rsidP="00570EFD">
      <w:pPr>
        <w:spacing w:after="0" w:line="360" w:lineRule="auto"/>
        <w:rPr>
          <w:color w:val="FF0000"/>
        </w:rPr>
      </w:pPr>
    </w:p>
    <w:p w14:paraId="4D86D97F" w14:textId="77777777" w:rsidR="00A9056D" w:rsidRDefault="00A9056D" w:rsidP="00570EFD">
      <w:pPr>
        <w:spacing w:after="0" w:line="360" w:lineRule="auto"/>
        <w:rPr>
          <w:color w:val="FF0000"/>
        </w:rPr>
      </w:pPr>
    </w:p>
    <w:p w14:paraId="06DD7401" w14:textId="77777777" w:rsidR="00A9056D" w:rsidRDefault="00A9056D" w:rsidP="00570EFD">
      <w:pPr>
        <w:spacing w:after="0" w:line="360" w:lineRule="auto"/>
        <w:rPr>
          <w:color w:val="FF0000"/>
        </w:rPr>
      </w:pPr>
    </w:p>
    <w:p w14:paraId="436CEB7B" w14:textId="77777777" w:rsidR="00A9056D" w:rsidRDefault="00A9056D" w:rsidP="00570EFD">
      <w:pPr>
        <w:spacing w:after="0" w:line="360" w:lineRule="auto"/>
        <w:rPr>
          <w:color w:val="FF0000"/>
        </w:rPr>
      </w:pPr>
    </w:p>
    <w:p w14:paraId="465D31F1" w14:textId="77777777" w:rsidR="00A9056D" w:rsidRPr="00C821DD" w:rsidRDefault="00A9056D" w:rsidP="00570EFD">
      <w:pPr>
        <w:spacing w:after="0" w:line="360" w:lineRule="auto"/>
        <w:rPr>
          <w:color w:val="FF0000"/>
        </w:rPr>
      </w:pPr>
    </w:p>
    <w:sectPr w:rsidR="00A9056D" w:rsidRPr="00C821DD" w:rsidSect="00647DF2">
      <w:headerReference w:type="even" r:id="rId8"/>
      <w:headerReference w:type="default" r:id="rId9"/>
      <w:footerReference w:type="even" r:id="rId10"/>
      <w:footerReference w:type="default" r:id="rId11"/>
      <w:headerReference w:type="first" r:id="rId12"/>
      <w:footerReference w:type="first" r:id="rId13"/>
      <w:pgSz w:w="12240" w:h="15840"/>
      <w:pgMar w:top="2410" w:right="1608" w:bottom="1560" w:left="1701" w:header="993"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5484B" w14:textId="77777777" w:rsidR="001D407F" w:rsidRDefault="001D407F" w:rsidP="00DB3DC5">
      <w:pPr>
        <w:spacing w:after="0" w:line="240" w:lineRule="auto"/>
      </w:pPr>
      <w:r>
        <w:separator/>
      </w:r>
    </w:p>
  </w:endnote>
  <w:endnote w:type="continuationSeparator" w:id="0">
    <w:p w14:paraId="0B6E8DCE" w14:textId="77777777" w:rsidR="001D407F" w:rsidRDefault="001D407F" w:rsidP="00DB3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709180"/>
      <w:docPartObj>
        <w:docPartGallery w:val="Page Numbers (Bottom of Page)"/>
        <w:docPartUnique/>
      </w:docPartObj>
    </w:sdtPr>
    <w:sdtEndPr/>
    <w:sdtContent>
      <w:sdt>
        <w:sdtPr>
          <w:id w:val="1684393491"/>
          <w:docPartObj>
            <w:docPartGallery w:val="Page Numbers (Top of Page)"/>
            <w:docPartUnique/>
          </w:docPartObj>
        </w:sdtPr>
        <w:sdtEndPr/>
        <w:sdtContent>
          <w:p w14:paraId="271EF021" w14:textId="77777777" w:rsidR="00B16FC5" w:rsidRDefault="00B16FC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711E8">
              <w:rPr>
                <w:b/>
                <w:bCs/>
                <w:noProof/>
              </w:rPr>
              <w:t>30</w:t>
            </w:r>
            <w:r>
              <w:rPr>
                <w:b/>
                <w:bCs/>
                <w:sz w:val="24"/>
                <w:szCs w:val="24"/>
              </w:rPr>
              <w:fldChar w:fldCharType="end"/>
            </w:r>
          </w:p>
        </w:sdtContent>
      </w:sdt>
    </w:sdtContent>
  </w:sdt>
  <w:p w14:paraId="68EED6E3" w14:textId="77777777" w:rsidR="00B16FC5" w:rsidRDefault="00B16FC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11549"/>
      <w:docPartObj>
        <w:docPartGallery w:val="Page Numbers (Bottom of Page)"/>
        <w:docPartUnique/>
      </w:docPartObj>
    </w:sdtPr>
    <w:sdtEndPr/>
    <w:sdtContent>
      <w:sdt>
        <w:sdtPr>
          <w:id w:val="-125931169"/>
          <w:docPartObj>
            <w:docPartGallery w:val="Page Numbers (Top of Page)"/>
            <w:docPartUnique/>
          </w:docPartObj>
        </w:sdtPr>
        <w:sdtEndPr/>
        <w:sdtContent>
          <w:p w14:paraId="54AF1A6A" w14:textId="77777777" w:rsidR="00B16FC5" w:rsidRDefault="00B16FC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91DB6">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91DB6">
              <w:rPr>
                <w:b/>
                <w:bCs/>
                <w:noProof/>
              </w:rPr>
              <w:t>30</w:t>
            </w:r>
            <w:r>
              <w:rPr>
                <w:b/>
                <w:bCs/>
                <w:sz w:val="24"/>
                <w:szCs w:val="24"/>
              </w:rPr>
              <w:fldChar w:fldCharType="end"/>
            </w:r>
          </w:p>
        </w:sdtContent>
      </w:sdt>
    </w:sdtContent>
  </w:sdt>
  <w:p w14:paraId="5C9540ED" w14:textId="77777777" w:rsidR="00B16FC5" w:rsidRDefault="00B16FC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5515167"/>
      <w:docPartObj>
        <w:docPartGallery w:val="Page Numbers (Bottom of Page)"/>
        <w:docPartUnique/>
      </w:docPartObj>
    </w:sdtPr>
    <w:sdtEndPr/>
    <w:sdtContent>
      <w:sdt>
        <w:sdtPr>
          <w:id w:val="101382918"/>
          <w:docPartObj>
            <w:docPartGallery w:val="Page Numbers (Top of Page)"/>
            <w:docPartUnique/>
          </w:docPartObj>
        </w:sdtPr>
        <w:sdtEndPr/>
        <w:sdtContent>
          <w:p w14:paraId="4208A12E" w14:textId="77777777" w:rsidR="00B16FC5" w:rsidRDefault="00B16FC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D407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D407F">
              <w:rPr>
                <w:b/>
                <w:bCs/>
                <w:noProof/>
              </w:rPr>
              <w:t>1</w:t>
            </w:r>
            <w:r>
              <w:rPr>
                <w:b/>
                <w:bCs/>
                <w:sz w:val="24"/>
                <w:szCs w:val="24"/>
              </w:rPr>
              <w:fldChar w:fldCharType="end"/>
            </w:r>
          </w:p>
        </w:sdtContent>
      </w:sdt>
    </w:sdtContent>
  </w:sdt>
  <w:p w14:paraId="601C40B8" w14:textId="77777777" w:rsidR="00B16FC5" w:rsidRDefault="00B16FC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2D209" w14:textId="77777777" w:rsidR="001D407F" w:rsidRDefault="001D407F" w:rsidP="00DB3DC5">
      <w:pPr>
        <w:spacing w:after="0" w:line="240" w:lineRule="auto"/>
      </w:pPr>
      <w:r>
        <w:separator/>
      </w:r>
    </w:p>
  </w:footnote>
  <w:footnote w:type="continuationSeparator" w:id="0">
    <w:p w14:paraId="700A3930" w14:textId="77777777" w:rsidR="001D407F" w:rsidRDefault="001D407F" w:rsidP="00DB3D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B16FC5" w:rsidRPr="00E152D8" w14:paraId="04B090CA" w14:textId="77777777" w:rsidTr="00347876">
      <w:trPr>
        <w:trHeight w:val="132"/>
      </w:trPr>
      <w:tc>
        <w:tcPr>
          <w:tcW w:w="2691" w:type="dxa"/>
        </w:tcPr>
        <w:p w14:paraId="476D4D83" w14:textId="77777777" w:rsidR="00B16FC5" w:rsidRPr="00E152D8" w:rsidRDefault="00B16FC5" w:rsidP="00347876">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47438776" w14:textId="77777777" w:rsidR="00B16FC5" w:rsidRPr="00EE1572" w:rsidRDefault="00B16FC5" w:rsidP="00347876">
          <w:pPr>
            <w:tabs>
              <w:tab w:val="right" w:pos="8838"/>
            </w:tabs>
            <w:ind w:left="-28" w:right="-32"/>
            <w:rPr>
              <w:rFonts w:eastAsia="Calibri" w:cs="Tahoma"/>
            </w:rPr>
          </w:pPr>
          <w:r w:rsidRPr="00EE1572">
            <w:rPr>
              <w:rFonts w:eastAsia="Calibri" w:cs="Tahoma"/>
            </w:rPr>
            <w:t>03846/INFOEM/IP/RR/2020</w:t>
          </w:r>
        </w:p>
      </w:tc>
    </w:tr>
    <w:tr w:rsidR="00B16FC5" w:rsidRPr="00E152D8" w14:paraId="1A944E3B" w14:textId="77777777" w:rsidTr="00347876">
      <w:trPr>
        <w:trHeight w:val="261"/>
      </w:trPr>
      <w:tc>
        <w:tcPr>
          <w:tcW w:w="2691" w:type="dxa"/>
        </w:tcPr>
        <w:p w14:paraId="04AF3D79" w14:textId="77777777" w:rsidR="00B16FC5" w:rsidRPr="00E152D8" w:rsidRDefault="00B16FC5" w:rsidP="0034787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51D60540" w14:textId="77777777" w:rsidR="00B16FC5" w:rsidRPr="00EE1572" w:rsidRDefault="00B16FC5" w:rsidP="00347876">
          <w:pPr>
            <w:tabs>
              <w:tab w:val="right" w:pos="8838"/>
            </w:tabs>
            <w:ind w:right="-32"/>
            <w:rPr>
              <w:rFonts w:eastAsia="Calibri" w:cs="Tahoma"/>
              <w:lang w:val="es-MX"/>
            </w:rPr>
          </w:pPr>
          <w:r w:rsidRPr="00EE1572">
            <w:rPr>
              <w:rFonts w:eastAsia="Calibri" w:cs="Tahoma"/>
              <w:lang w:val="es-MX"/>
            </w:rPr>
            <w:t>Ayuntamiento de Temascalcingo</w:t>
          </w:r>
        </w:p>
      </w:tc>
    </w:tr>
    <w:tr w:rsidR="00B16FC5" w:rsidRPr="00E152D8" w14:paraId="51F43EE6" w14:textId="77777777" w:rsidTr="00347876">
      <w:trPr>
        <w:trHeight w:val="261"/>
      </w:trPr>
      <w:tc>
        <w:tcPr>
          <w:tcW w:w="2691" w:type="dxa"/>
        </w:tcPr>
        <w:p w14:paraId="4689E914" w14:textId="77777777" w:rsidR="00B16FC5" w:rsidRPr="00E152D8" w:rsidRDefault="00B16FC5" w:rsidP="00347876">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33BF6E39" w14:textId="77777777" w:rsidR="00B16FC5" w:rsidRPr="00E152D8" w:rsidRDefault="00B16FC5" w:rsidP="00347876">
          <w:pPr>
            <w:tabs>
              <w:tab w:val="right" w:pos="8838"/>
            </w:tabs>
            <w:ind w:right="-32"/>
            <w:rPr>
              <w:rFonts w:eastAsia="Calibri" w:cs="Tahoma"/>
              <w:b/>
              <w:lang w:val="es-MX"/>
            </w:rPr>
          </w:pPr>
          <w:r w:rsidRPr="00E152D8">
            <w:rPr>
              <w:rFonts w:eastAsia="Calibri" w:cs="Tahoma"/>
              <w:lang w:val="es-MX"/>
            </w:rPr>
            <w:t>Luis Gustavo Parra Noriega</w:t>
          </w:r>
        </w:p>
      </w:tc>
    </w:tr>
  </w:tbl>
  <w:p w14:paraId="221DCE41" w14:textId="77777777" w:rsidR="00B16FC5" w:rsidRDefault="001D407F">
    <w:pPr>
      <w:pStyle w:val="Encabezado"/>
    </w:pPr>
    <w:r>
      <w:rPr>
        <w:noProof/>
      </w:rPr>
      <w:pict w14:anchorId="73528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51"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4EF7B" w14:textId="2348EBA9" w:rsidR="00B16FC5" w:rsidRPr="00D4442D" w:rsidRDefault="00B16FC5" w:rsidP="00D4442D">
    <w:pPr>
      <w:tabs>
        <w:tab w:val="left" w:pos="3913"/>
      </w:tabs>
      <w:rPr>
        <w:sz w:val="2"/>
        <w:szCs w:val="2"/>
      </w:rPr>
    </w:pPr>
    <w:r>
      <w:tab/>
    </w:r>
  </w:p>
  <w:tbl>
    <w:tblPr>
      <w:tblStyle w:val="Tablaconcuadrcula"/>
      <w:tblW w:w="7087"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36"/>
    </w:tblGrid>
    <w:tr w:rsidR="00B16FC5" w:rsidRPr="00E152D8" w14:paraId="6AD70801" w14:textId="77777777" w:rsidTr="00101501">
      <w:trPr>
        <w:trHeight w:val="138"/>
      </w:trPr>
      <w:tc>
        <w:tcPr>
          <w:tcW w:w="2551" w:type="dxa"/>
          <w:vAlign w:val="center"/>
        </w:tcPr>
        <w:p w14:paraId="4714C583" w14:textId="77777777" w:rsidR="00B16FC5" w:rsidRPr="00E152D8" w:rsidRDefault="00B16FC5" w:rsidP="00347876">
          <w:pPr>
            <w:tabs>
              <w:tab w:val="right" w:pos="8838"/>
            </w:tabs>
            <w:ind w:right="-105"/>
            <w:jc w:val="left"/>
            <w:rPr>
              <w:rFonts w:eastAsia="Calibri" w:cs="Tahoma"/>
              <w:b/>
              <w:lang w:val="es-MX"/>
            </w:rPr>
          </w:pPr>
          <w:r w:rsidRPr="00E152D8">
            <w:rPr>
              <w:rFonts w:eastAsia="Calibri" w:cs="Tahoma"/>
              <w:b/>
              <w:lang w:val="es-MX"/>
            </w:rPr>
            <w:t>Recurso de Revisión:</w:t>
          </w:r>
        </w:p>
      </w:tc>
      <w:tc>
        <w:tcPr>
          <w:tcW w:w="4536" w:type="dxa"/>
        </w:tcPr>
        <w:p w14:paraId="02EA1FEA" w14:textId="5082EDA9" w:rsidR="00B16FC5" w:rsidRPr="00051642" w:rsidRDefault="00630E01" w:rsidP="00347876">
          <w:pPr>
            <w:tabs>
              <w:tab w:val="right" w:pos="8838"/>
            </w:tabs>
            <w:ind w:left="-113" w:right="57"/>
            <w:rPr>
              <w:rFonts w:eastAsia="Calibri" w:cs="Tahoma"/>
            </w:rPr>
          </w:pPr>
          <w:r>
            <w:rPr>
              <w:rFonts w:eastAsia="Calibri" w:cs="Tahoma"/>
              <w:color w:val="auto"/>
            </w:rPr>
            <w:t>13986</w:t>
          </w:r>
          <w:r w:rsidR="00B16FC5" w:rsidRPr="00C60B15">
            <w:rPr>
              <w:rFonts w:eastAsia="Calibri" w:cs="Tahoma"/>
              <w:color w:val="auto"/>
            </w:rPr>
            <w:t>/INFOEM/IP/RR/2025</w:t>
          </w:r>
        </w:p>
      </w:tc>
    </w:tr>
    <w:tr w:rsidR="00B16FC5" w:rsidRPr="00E152D8" w14:paraId="7FF5EABC" w14:textId="77777777" w:rsidTr="00101501">
      <w:trPr>
        <w:trHeight w:val="273"/>
      </w:trPr>
      <w:tc>
        <w:tcPr>
          <w:tcW w:w="2551" w:type="dxa"/>
        </w:tcPr>
        <w:p w14:paraId="565B10D1" w14:textId="77777777" w:rsidR="00B16FC5" w:rsidRPr="00E152D8" w:rsidRDefault="00B16FC5" w:rsidP="006A727E">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536" w:type="dxa"/>
        </w:tcPr>
        <w:p w14:paraId="7EA0F578" w14:textId="2ADDE3A6" w:rsidR="00B16FC5" w:rsidRPr="00051642" w:rsidRDefault="00101501" w:rsidP="00A60574">
          <w:pPr>
            <w:tabs>
              <w:tab w:val="left" w:pos="2442"/>
              <w:tab w:val="right" w:pos="8838"/>
            </w:tabs>
            <w:ind w:left="-113" w:right="-111"/>
            <w:rPr>
              <w:rFonts w:eastAsia="Calibri" w:cs="Tahoma"/>
              <w:lang w:val="es-MX"/>
            </w:rPr>
          </w:pPr>
          <w:r>
            <w:rPr>
              <w:color w:val="000000"/>
            </w:rPr>
            <w:t>Ayuntamiento de Papalotla</w:t>
          </w:r>
        </w:p>
      </w:tc>
    </w:tr>
    <w:tr w:rsidR="00B16FC5" w:rsidRPr="00E152D8" w14:paraId="3156BE5F" w14:textId="77777777" w:rsidTr="00101501">
      <w:trPr>
        <w:trHeight w:val="273"/>
      </w:trPr>
      <w:tc>
        <w:tcPr>
          <w:tcW w:w="2551" w:type="dxa"/>
        </w:tcPr>
        <w:p w14:paraId="183B2F1A" w14:textId="77777777" w:rsidR="00B16FC5" w:rsidRPr="00E152D8" w:rsidRDefault="00B16FC5" w:rsidP="006A727E">
          <w:pPr>
            <w:tabs>
              <w:tab w:val="right" w:pos="8838"/>
            </w:tabs>
            <w:ind w:right="-105"/>
            <w:rPr>
              <w:rFonts w:eastAsia="Calibri" w:cs="Tahoma"/>
              <w:b/>
              <w:lang w:val="es-MX"/>
            </w:rPr>
          </w:pPr>
          <w:r w:rsidRPr="00E152D8">
            <w:rPr>
              <w:rFonts w:eastAsia="Calibri" w:cs="Tahoma"/>
              <w:b/>
              <w:lang w:val="es-MX"/>
            </w:rPr>
            <w:t>Comisionado Ponente:</w:t>
          </w:r>
        </w:p>
      </w:tc>
      <w:tc>
        <w:tcPr>
          <w:tcW w:w="4536" w:type="dxa"/>
        </w:tcPr>
        <w:p w14:paraId="318AB537" w14:textId="77777777" w:rsidR="00B16FC5" w:rsidRPr="00E152D8" w:rsidRDefault="00B16FC5" w:rsidP="006A727E">
          <w:pPr>
            <w:tabs>
              <w:tab w:val="right" w:pos="8838"/>
            </w:tabs>
            <w:ind w:left="-113" w:right="-170"/>
            <w:rPr>
              <w:rFonts w:eastAsia="Calibri" w:cs="Tahoma"/>
              <w:b/>
              <w:lang w:val="es-MX"/>
            </w:rPr>
          </w:pPr>
          <w:r w:rsidRPr="00E152D8">
            <w:rPr>
              <w:rFonts w:eastAsia="Calibri" w:cs="Tahoma"/>
              <w:lang w:val="es-MX"/>
            </w:rPr>
            <w:t>Luis Gustavo Parra Noriega</w:t>
          </w:r>
        </w:p>
      </w:tc>
    </w:tr>
  </w:tbl>
  <w:p w14:paraId="67D20F9C" w14:textId="77777777" w:rsidR="00B16FC5" w:rsidRDefault="001D407F" w:rsidP="00347876">
    <w:pPr>
      <w:pStyle w:val="Encabezado"/>
    </w:pPr>
    <w:r>
      <w:rPr>
        <w:noProof/>
      </w:rPr>
      <w:pict w14:anchorId="3F6452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MARCA DE AGUA - HOJA RESOLUCIÓN" style="position:absolute;left:0;text-align:left;margin-left:-90.6pt;margin-top:-122.05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5"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544"/>
    </w:tblGrid>
    <w:tr w:rsidR="00B16FC5" w:rsidRPr="00E152D8" w14:paraId="773597DE" w14:textId="77777777" w:rsidTr="00630E01">
      <w:trPr>
        <w:trHeight w:val="132"/>
      </w:trPr>
      <w:tc>
        <w:tcPr>
          <w:tcW w:w="2551" w:type="dxa"/>
        </w:tcPr>
        <w:p w14:paraId="4FCB3AA3" w14:textId="77777777" w:rsidR="00B16FC5" w:rsidRPr="00E152D8" w:rsidRDefault="00B16FC5" w:rsidP="00347876">
          <w:pPr>
            <w:tabs>
              <w:tab w:val="right" w:pos="8838"/>
            </w:tabs>
            <w:ind w:right="-105"/>
            <w:rPr>
              <w:rFonts w:eastAsia="Calibri" w:cs="Tahoma"/>
              <w:b/>
              <w:lang w:val="es-MX"/>
            </w:rPr>
          </w:pPr>
          <w:r w:rsidRPr="00E152D8">
            <w:rPr>
              <w:rFonts w:eastAsia="Calibri" w:cs="Tahoma"/>
              <w:b/>
              <w:lang w:val="es-MX"/>
            </w:rPr>
            <w:t>Recurso de Revisión:</w:t>
          </w:r>
        </w:p>
      </w:tc>
      <w:tc>
        <w:tcPr>
          <w:tcW w:w="3544" w:type="dxa"/>
        </w:tcPr>
        <w:p w14:paraId="42955DA0" w14:textId="53FD0DC3" w:rsidR="00B16FC5" w:rsidRPr="00051642" w:rsidRDefault="00630E01" w:rsidP="001A3A3E">
          <w:pPr>
            <w:tabs>
              <w:tab w:val="right" w:pos="8838"/>
            </w:tabs>
            <w:ind w:left="-113" w:right="-32"/>
            <w:rPr>
              <w:rFonts w:eastAsia="Calibri" w:cs="Tahoma"/>
            </w:rPr>
          </w:pPr>
          <w:r>
            <w:rPr>
              <w:rFonts w:eastAsia="Calibri" w:cs="Tahoma"/>
              <w:color w:val="auto"/>
            </w:rPr>
            <w:t>13986</w:t>
          </w:r>
          <w:r w:rsidR="00B16FC5" w:rsidRPr="00C60B15">
            <w:rPr>
              <w:rFonts w:eastAsia="Calibri" w:cs="Tahoma"/>
              <w:color w:val="auto"/>
            </w:rPr>
            <w:t>/INFOEM/IP/RR/2025</w:t>
          </w:r>
        </w:p>
      </w:tc>
    </w:tr>
    <w:tr w:rsidR="00B16FC5" w:rsidRPr="00E152D8" w14:paraId="202FB661" w14:textId="77777777" w:rsidTr="00630E01">
      <w:trPr>
        <w:trHeight w:val="132"/>
      </w:trPr>
      <w:tc>
        <w:tcPr>
          <w:tcW w:w="2551" w:type="dxa"/>
        </w:tcPr>
        <w:p w14:paraId="5E100A32" w14:textId="77777777" w:rsidR="00B16FC5" w:rsidRPr="00E152D8" w:rsidRDefault="00B16FC5" w:rsidP="00347876">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544" w:type="dxa"/>
        </w:tcPr>
        <w:p w14:paraId="28640565" w14:textId="4B3F89E1" w:rsidR="00B16FC5" w:rsidRPr="00E21446" w:rsidRDefault="00491DB6" w:rsidP="00630E01">
          <w:pPr>
            <w:tabs>
              <w:tab w:val="right" w:pos="8838"/>
            </w:tabs>
            <w:ind w:left="-114"/>
            <w:rPr>
              <w:rFonts w:eastAsia="Calibri" w:cs="Tahoma"/>
              <w:lang w:val="es-MX"/>
            </w:rPr>
          </w:pPr>
          <w:r w:rsidRPr="00491DB6">
            <w:rPr>
              <w:rFonts w:eastAsia="Calibri" w:cs="Tahoma"/>
              <w:highlight w:val="black"/>
              <w:lang w:val="es-MX"/>
            </w:rPr>
            <w:t>XXXXXXXXXXXXXXXXXXXXXXX</w:t>
          </w:r>
        </w:p>
      </w:tc>
    </w:tr>
    <w:tr w:rsidR="00B16FC5" w:rsidRPr="00E152D8" w14:paraId="1BA9B09B" w14:textId="77777777" w:rsidTr="00630E01">
      <w:trPr>
        <w:trHeight w:val="261"/>
      </w:trPr>
      <w:tc>
        <w:tcPr>
          <w:tcW w:w="2551" w:type="dxa"/>
        </w:tcPr>
        <w:p w14:paraId="6174740A" w14:textId="77777777" w:rsidR="00B16FC5" w:rsidRPr="00E152D8" w:rsidRDefault="00B16FC5" w:rsidP="0034787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4" w:type="dxa"/>
        </w:tcPr>
        <w:p w14:paraId="4B948471" w14:textId="07D53A5D" w:rsidR="00B16FC5" w:rsidRPr="00762379" w:rsidRDefault="00630E01" w:rsidP="001A3A3E">
          <w:pPr>
            <w:tabs>
              <w:tab w:val="right" w:pos="8838"/>
            </w:tabs>
            <w:ind w:left="-113" w:right="-32"/>
            <w:rPr>
              <w:rFonts w:eastAsia="Calibri" w:cs="Tahoma"/>
              <w:lang w:val="es-MX"/>
            </w:rPr>
          </w:pPr>
          <w:r w:rsidRPr="00630E01">
            <w:rPr>
              <w:color w:val="000000"/>
            </w:rPr>
            <w:t>Ayuntamiento de Papalotla</w:t>
          </w:r>
        </w:p>
      </w:tc>
    </w:tr>
    <w:tr w:rsidR="00B16FC5" w:rsidRPr="00E152D8" w14:paraId="3F18AACD" w14:textId="77777777" w:rsidTr="00630E01">
      <w:trPr>
        <w:trHeight w:val="261"/>
      </w:trPr>
      <w:tc>
        <w:tcPr>
          <w:tcW w:w="2551" w:type="dxa"/>
        </w:tcPr>
        <w:p w14:paraId="57E8DDB5" w14:textId="77777777" w:rsidR="00B16FC5" w:rsidRPr="00E152D8" w:rsidRDefault="00B16FC5" w:rsidP="00347876">
          <w:pPr>
            <w:tabs>
              <w:tab w:val="right" w:pos="8838"/>
            </w:tabs>
            <w:ind w:right="-105"/>
            <w:rPr>
              <w:rFonts w:eastAsia="Calibri" w:cs="Tahoma"/>
              <w:b/>
              <w:lang w:val="es-MX"/>
            </w:rPr>
          </w:pPr>
          <w:r w:rsidRPr="00E152D8">
            <w:rPr>
              <w:rFonts w:eastAsia="Calibri" w:cs="Tahoma"/>
              <w:b/>
              <w:lang w:val="es-MX"/>
            </w:rPr>
            <w:t>Comisionado Ponente:</w:t>
          </w:r>
        </w:p>
      </w:tc>
      <w:tc>
        <w:tcPr>
          <w:tcW w:w="3544" w:type="dxa"/>
        </w:tcPr>
        <w:p w14:paraId="1B8E59D3" w14:textId="77777777" w:rsidR="00B16FC5" w:rsidRPr="00E152D8" w:rsidRDefault="00B16FC5" w:rsidP="001A3A3E">
          <w:pPr>
            <w:tabs>
              <w:tab w:val="right" w:pos="8838"/>
            </w:tabs>
            <w:ind w:left="-113" w:right="-32"/>
            <w:rPr>
              <w:rFonts w:eastAsia="Calibri" w:cs="Tahoma"/>
              <w:b/>
              <w:lang w:val="es-MX"/>
            </w:rPr>
          </w:pPr>
          <w:r w:rsidRPr="00E152D8">
            <w:rPr>
              <w:rFonts w:eastAsia="Calibri" w:cs="Tahoma"/>
              <w:lang w:val="es-MX"/>
            </w:rPr>
            <w:t>Luis Gustavo Parra Noriega</w:t>
          </w:r>
        </w:p>
      </w:tc>
    </w:tr>
  </w:tbl>
  <w:p w14:paraId="305D4853" w14:textId="77777777" w:rsidR="00B16FC5" w:rsidRDefault="001D407F" w:rsidP="00347876">
    <w:pPr>
      <w:pStyle w:val="Encabezado"/>
      <w:tabs>
        <w:tab w:val="left" w:pos="5812"/>
      </w:tabs>
    </w:pPr>
    <w:r>
      <w:rPr>
        <w:noProof/>
      </w:rPr>
      <w:pict w14:anchorId="06CED2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49" type="#_x0000_t75" alt="MARCA DE AGUA - HOJA RESOLUCIÓN" style="position:absolute;left:0;text-align:left;margin-left:-89.1pt;margin-top:-123.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34EC"/>
    <w:multiLevelType w:val="hybridMultilevel"/>
    <w:tmpl w:val="940AC8B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16D7133"/>
    <w:multiLevelType w:val="hybridMultilevel"/>
    <w:tmpl w:val="0E727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FC1AC2"/>
    <w:multiLevelType w:val="hybridMultilevel"/>
    <w:tmpl w:val="E912FA92"/>
    <w:lvl w:ilvl="0" w:tplc="080A0001">
      <w:start w:val="1"/>
      <w:numFmt w:val="bullet"/>
      <w:lvlText w:val=""/>
      <w:lvlJc w:val="left"/>
      <w:pPr>
        <w:ind w:left="1080" w:hanging="72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2E1B8E"/>
    <w:multiLevelType w:val="multilevel"/>
    <w:tmpl w:val="898C5B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227498"/>
    <w:multiLevelType w:val="hybridMultilevel"/>
    <w:tmpl w:val="5C7A2C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451EDD"/>
    <w:multiLevelType w:val="multilevel"/>
    <w:tmpl w:val="710689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45E0703"/>
    <w:multiLevelType w:val="hybridMultilevel"/>
    <w:tmpl w:val="7B04B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D95182"/>
    <w:multiLevelType w:val="hybridMultilevel"/>
    <w:tmpl w:val="572C950A"/>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22C35A1E"/>
    <w:multiLevelType w:val="hybridMultilevel"/>
    <w:tmpl w:val="1400A2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A843CFB"/>
    <w:multiLevelType w:val="hybridMultilevel"/>
    <w:tmpl w:val="88AA68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2F2B52D5"/>
    <w:multiLevelType w:val="hybridMultilevel"/>
    <w:tmpl w:val="9AB0BA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2FC84ABF"/>
    <w:multiLevelType w:val="hybridMultilevel"/>
    <w:tmpl w:val="940AC8B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101247C"/>
    <w:multiLevelType w:val="hybridMultilevel"/>
    <w:tmpl w:val="BB621E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857DAF"/>
    <w:multiLevelType w:val="hybridMultilevel"/>
    <w:tmpl w:val="EC62F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786C5F"/>
    <w:multiLevelType w:val="hybridMultilevel"/>
    <w:tmpl w:val="B198A6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3DC32F35"/>
    <w:multiLevelType w:val="hybridMultilevel"/>
    <w:tmpl w:val="73180030"/>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22" w15:restartNumberingAfterBreak="0">
    <w:nsid w:val="43486277"/>
    <w:multiLevelType w:val="hybridMultilevel"/>
    <w:tmpl w:val="8D6AA7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7C4640A"/>
    <w:multiLevelType w:val="hybridMultilevel"/>
    <w:tmpl w:val="36AE0536"/>
    <w:lvl w:ilvl="0" w:tplc="20E07EE4">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8745A3A"/>
    <w:multiLevelType w:val="hybridMultilevel"/>
    <w:tmpl w:val="6A444C7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5"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A4D2B40"/>
    <w:multiLevelType w:val="hybridMultilevel"/>
    <w:tmpl w:val="0E4A87C2"/>
    <w:lvl w:ilvl="0" w:tplc="080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B1328BC"/>
    <w:multiLevelType w:val="hybridMultilevel"/>
    <w:tmpl w:val="D4F2C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80521D"/>
    <w:multiLevelType w:val="hybridMultilevel"/>
    <w:tmpl w:val="D862A1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4522D9"/>
    <w:multiLevelType w:val="hybridMultilevel"/>
    <w:tmpl w:val="418291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64107532"/>
    <w:multiLevelType w:val="multilevel"/>
    <w:tmpl w:val="7CD6A4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713099C"/>
    <w:multiLevelType w:val="hybridMultilevel"/>
    <w:tmpl w:val="B172F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79052B7"/>
    <w:multiLevelType w:val="multilevel"/>
    <w:tmpl w:val="17C435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7B55E95"/>
    <w:multiLevelType w:val="hybridMultilevel"/>
    <w:tmpl w:val="966E70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946604E"/>
    <w:multiLevelType w:val="hybridMultilevel"/>
    <w:tmpl w:val="BC4E8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B0163E7"/>
    <w:multiLevelType w:val="multilevel"/>
    <w:tmpl w:val="C7047C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8" w15:restartNumberingAfterBreak="0">
    <w:nsid w:val="70E37A5D"/>
    <w:multiLevelType w:val="hybridMultilevel"/>
    <w:tmpl w:val="18500B1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15:restartNumberingAfterBreak="0">
    <w:nsid w:val="75AD42B6"/>
    <w:multiLevelType w:val="hybridMultilevel"/>
    <w:tmpl w:val="4406027C"/>
    <w:lvl w:ilvl="0" w:tplc="C21A1B78">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0D57D6"/>
    <w:multiLevelType w:val="hybridMultilevel"/>
    <w:tmpl w:val="705A9F68"/>
    <w:lvl w:ilvl="0" w:tplc="388EF61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830C95"/>
    <w:multiLevelType w:val="hybridMultilevel"/>
    <w:tmpl w:val="D04436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DE74F8A"/>
    <w:multiLevelType w:val="hybridMultilevel"/>
    <w:tmpl w:val="37E4A6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3"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E3217D1"/>
    <w:multiLevelType w:val="hybridMultilevel"/>
    <w:tmpl w:val="FA2617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3"/>
  </w:num>
  <w:num w:numId="4">
    <w:abstractNumId w:val="9"/>
  </w:num>
  <w:num w:numId="5">
    <w:abstractNumId w:val="18"/>
  </w:num>
  <w:num w:numId="6">
    <w:abstractNumId w:val="14"/>
  </w:num>
  <w:num w:numId="7">
    <w:abstractNumId w:val="22"/>
  </w:num>
  <w:num w:numId="8">
    <w:abstractNumId w:val="25"/>
  </w:num>
  <w:num w:numId="9">
    <w:abstractNumId w:val="20"/>
  </w:num>
  <w:num w:numId="10">
    <w:abstractNumId w:val="2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9"/>
  </w:num>
  <w:num w:numId="14">
    <w:abstractNumId w:val="41"/>
  </w:num>
  <w:num w:numId="15">
    <w:abstractNumId w:val="19"/>
  </w:num>
  <w:num w:numId="16">
    <w:abstractNumId w:val="17"/>
  </w:num>
  <w:num w:numId="17">
    <w:abstractNumId w:val="23"/>
  </w:num>
  <w:num w:numId="18">
    <w:abstractNumId w:val="0"/>
  </w:num>
  <w:num w:numId="19">
    <w:abstractNumId w:val="29"/>
  </w:num>
  <w:num w:numId="20">
    <w:abstractNumId w:val="36"/>
  </w:num>
  <w:num w:numId="21">
    <w:abstractNumId w:val="28"/>
  </w:num>
  <w:num w:numId="22">
    <w:abstractNumId w:val="34"/>
  </w:num>
  <w:num w:numId="23">
    <w:abstractNumId w:val="30"/>
  </w:num>
  <w:num w:numId="24">
    <w:abstractNumId w:val="27"/>
  </w:num>
  <w:num w:numId="25">
    <w:abstractNumId w:val="15"/>
  </w:num>
  <w:num w:numId="26">
    <w:abstractNumId w:val="5"/>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7"/>
  </w:num>
  <w:num w:numId="30">
    <w:abstractNumId w:val="40"/>
  </w:num>
  <w:num w:numId="31">
    <w:abstractNumId w:val="12"/>
  </w:num>
  <w:num w:numId="32">
    <w:abstractNumId w:val="24"/>
  </w:num>
  <w:num w:numId="33">
    <w:abstractNumId w:val="2"/>
  </w:num>
  <w:num w:numId="34">
    <w:abstractNumId w:val="10"/>
  </w:num>
  <w:num w:numId="35">
    <w:abstractNumId w:val="38"/>
  </w:num>
  <w:num w:numId="36">
    <w:abstractNumId w:val="32"/>
  </w:num>
  <w:num w:numId="37">
    <w:abstractNumId w:val="11"/>
  </w:num>
  <w:num w:numId="38">
    <w:abstractNumId w:val="13"/>
  </w:num>
  <w:num w:numId="39">
    <w:abstractNumId w:val="44"/>
  </w:num>
  <w:num w:numId="40">
    <w:abstractNumId w:val="42"/>
  </w:num>
  <w:num w:numId="41">
    <w:abstractNumId w:val="1"/>
  </w:num>
  <w:num w:numId="42">
    <w:abstractNumId w:val="21"/>
  </w:num>
  <w:num w:numId="43">
    <w:abstractNumId w:val="33"/>
  </w:num>
  <w:num w:numId="44">
    <w:abstractNumId w:val="3"/>
  </w:num>
  <w:num w:numId="45">
    <w:abstractNumId w:val="31"/>
  </w:num>
  <w:num w:numId="46">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DC5"/>
    <w:rsid w:val="00002991"/>
    <w:rsid w:val="00003D94"/>
    <w:rsid w:val="000045A6"/>
    <w:rsid w:val="00006636"/>
    <w:rsid w:val="000205BC"/>
    <w:rsid w:val="00031961"/>
    <w:rsid w:val="0003316E"/>
    <w:rsid w:val="00034108"/>
    <w:rsid w:val="000362D0"/>
    <w:rsid w:val="0004161E"/>
    <w:rsid w:val="00041844"/>
    <w:rsid w:val="00042509"/>
    <w:rsid w:val="00043CDA"/>
    <w:rsid w:val="000539BD"/>
    <w:rsid w:val="00053BC6"/>
    <w:rsid w:val="000558EC"/>
    <w:rsid w:val="00060685"/>
    <w:rsid w:val="00060723"/>
    <w:rsid w:val="000625C9"/>
    <w:rsid w:val="00063884"/>
    <w:rsid w:val="000716E3"/>
    <w:rsid w:val="000750F3"/>
    <w:rsid w:val="00076681"/>
    <w:rsid w:val="00080393"/>
    <w:rsid w:val="00081ABD"/>
    <w:rsid w:val="000821F8"/>
    <w:rsid w:val="00084CE1"/>
    <w:rsid w:val="00087796"/>
    <w:rsid w:val="00094584"/>
    <w:rsid w:val="000A0A70"/>
    <w:rsid w:val="000A2D13"/>
    <w:rsid w:val="000A6A91"/>
    <w:rsid w:val="000B2239"/>
    <w:rsid w:val="000B24CC"/>
    <w:rsid w:val="000B70D0"/>
    <w:rsid w:val="000C1FDB"/>
    <w:rsid w:val="000D3167"/>
    <w:rsid w:val="000D4873"/>
    <w:rsid w:val="000D49DD"/>
    <w:rsid w:val="000D7717"/>
    <w:rsid w:val="000E74DA"/>
    <w:rsid w:val="000F5268"/>
    <w:rsid w:val="000F74C0"/>
    <w:rsid w:val="00101501"/>
    <w:rsid w:val="00104D0A"/>
    <w:rsid w:val="00106CCE"/>
    <w:rsid w:val="00110D4D"/>
    <w:rsid w:val="00111AC7"/>
    <w:rsid w:val="0011215D"/>
    <w:rsid w:val="001140A5"/>
    <w:rsid w:val="001231B1"/>
    <w:rsid w:val="00123ADD"/>
    <w:rsid w:val="00125CA1"/>
    <w:rsid w:val="00125D3F"/>
    <w:rsid w:val="0013015C"/>
    <w:rsid w:val="001334D1"/>
    <w:rsid w:val="0014339D"/>
    <w:rsid w:val="00147F38"/>
    <w:rsid w:val="0015016B"/>
    <w:rsid w:val="00150BF7"/>
    <w:rsid w:val="00153932"/>
    <w:rsid w:val="0015463A"/>
    <w:rsid w:val="00155A01"/>
    <w:rsid w:val="0015730E"/>
    <w:rsid w:val="001609BD"/>
    <w:rsid w:val="00165203"/>
    <w:rsid w:val="00166789"/>
    <w:rsid w:val="00172102"/>
    <w:rsid w:val="0018101A"/>
    <w:rsid w:val="0018339D"/>
    <w:rsid w:val="0018355D"/>
    <w:rsid w:val="00183736"/>
    <w:rsid w:val="00191491"/>
    <w:rsid w:val="00195CF5"/>
    <w:rsid w:val="001A0F43"/>
    <w:rsid w:val="001A2B03"/>
    <w:rsid w:val="001A3275"/>
    <w:rsid w:val="001A3A3E"/>
    <w:rsid w:val="001A5BA1"/>
    <w:rsid w:val="001B2442"/>
    <w:rsid w:val="001B2510"/>
    <w:rsid w:val="001B6E47"/>
    <w:rsid w:val="001B6F42"/>
    <w:rsid w:val="001C137C"/>
    <w:rsid w:val="001C1BCE"/>
    <w:rsid w:val="001C4397"/>
    <w:rsid w:val="001C7AC2"/>
    <w:rsid w:val="001D2D4C"/>
    <w:rsid w:val="001D407F"/>
    <w:rsid w:val="001E3C40"/>
    <w:rsid w:val="001E59AF"/>
    <w:rsid w:val="001E7C66"/>
    <w:rsid w:val="001F22AA"/>
    <w:rsid w:val="001F3934"/>
    <w:rsid w:val="001F5C0B"/>
    <w:rsid w:val="00200755"/>
    <w:rsid w:val="00202D93"/>
    <w:rsid w:val="00203961"/>
    <w:rsid w:val="0020547F"/>
    <w:rsid w:val="00207046"/>
    <w:rsid w:val="00213634"/>
    <w:rsid w:val="00215DD4"/>
    <w:rsid w:val="002226A7"/>
    <w:rsid w:val="00222A22"/>
    <w:rsid w:val="00223665"/>
    <w:rsid w:val="00230BC7"/>
    <w:rsid w:val="00231FE4"/>
    <w:rsid w:val="002353CB"/>
    <w:rsid w:val="00240B41"/>
    <w:rsid w:val="002415DE"/>
    <w:rsid w:val="00243A71"/>
    <w:rsid w:val="002470F9"/>
    <w:rsid w:val="00250655"/>
    <w:rsid w:val="0025077A"/>
    <w:rsid w:val="00251B33"/>
    <w:rsid w:val="00252709"/>
    <w:rsid w:val="00254457"/>
    <w:rsid w:val="00254F36"/>
    <w:rsid w:val="00263081"/>
    <w:rsid w:val="00264675"/>
    <w:rsid w:val="00266A09"/>
    <w:rsid w:val="00267FB5"/>
    <w:rsid w:val="002705C2"/>
    <w:rsid w:val="00271E47"/>
    <w:rsid w:val="00275938"/>
    <w:rsid w:val="00293277"/>
    <w:rsid w:val="002936E8"/>
    <w:rsid w:val="00293C56"/>
    <w:rsid w:val="00297A5A"/>
    <w:rsid w:val="002A0B3A"/>
    <w:rsid w:val="002A3F0C"/>
    <w:rsid w:val="002A40A0"/>
    <w:rsid w:val="002B015C"/>
    <w:rsid w:val="002C19D9"/>
    <w:rsid w:val="002C3558"/>
    <w:rsid w:val="002C471F"/>
    <w:rsid w:val="002D102D"/>
    <w:rsid w:val="002D117D"/>
    <w:rsid w:val="002E166B"/>
    <w:rsid w:val="002F1D02"/>
    <w:rsid w:val="002F4410"/>
    <w:rsid w:val="002F6AF8"/>
    <w:rsid w:val="0030305E"/>
    <w:rsid w:val="0030377D"/>
    <w:rsid w:val="00306FB6"/>
    <w:rsid w:val="003100A7"/>
    <w:rsid w:val="00310693"/>
    <w:rsid w:val="00313596"/>
    <w:rsid w:val="003145F9"/>
    <w:rsid w:val="0032289C"/>
    <w:rsid w:val="00324B86"/>
    <w:rsid w:val="00331F46"/>
    <w:rsid w:val="00336BB2"/>
    <w:rsid w:val="0033782D"/>
    <w:rsid w:val="00344846"/>
    <w:rsid w:val="00345BB5"/>
    <w:rsid w:val="00347876"/>
    <w:rsid w:val="003556D5"/>
    <w:rsid w:val="0036051C"/>
    <w:rsid w:val="00363DED"/>
    <w:rsid w:val="00365137"/>
    <w:rsid w:val="003727BC"/>
    <w:rsid w:val="003773F2"/>
    <w:rsid w:val="00382B56"/>
    <w:rsid w:val="003837EE"/>
    <w:rsid w:val="00386FA0"/>
    <w:rsid w:val="00387E7C"/>
    <w:rsid w:val="003905B1"/>
    <w:rsid w:val="00390BA0"/>
    <w:rsid w:val="00394286"/>
    <w:rsid w:val="00394344"/>
    <w:rsid w:val="00397810"/>
    <w:rsid w:val="003A123A"/>
    <w:rsid w:val="003B04E1"/>
    <w:rsid w:val="003B3103"/>
    <w:rsid w:val="003B3DC8"/>
    <w:rsid w:val="003B5068"/>
    <w:rsid w:val="003B5DA8"/>
    <w:rsid w:val="003C74A7"/>
    <w:rsid w:val="003E2D43"/>
    <w:rsid w:val="003E5ADD"/>
    <w:rsid w:val="003E6429"/>
    <w:rsid w:val="003E678B"/>
    <w:rsid w:val="003F08E6"/>
    <w:rsid w:val="003F0A37"/>
    <w:rsid w:val="003F5B7E"/>
    <w:rsid w:val="003F5EB5"/>
    <w:rsid w:val="003F63DA"/>
    <w:rsid w:val="00403C4E"/>
    <w:rsid w:val="00405C77"/>
    <w:rsid w:val="00406595"/>
    <w:rsid w:val="00411430"/>
    <w:rsid w:val="0041163F"/>
    <w:rsid w:val="00415BBC"/>
    <w:rsid w:val="00415F0B"/>
    <w:rsid w:val="00417921"/>
    <w:rsid w:val="0042757B"/>
    <w:rsid w:val="004327D0"/>
    <w:rsid w:val="004407DF"/>
    <w:rsid w:val="00443417"/>
    <w:rsid w:val="00444157"/>
    <w:rsid w:val="004500E2"/>
    <w:rsid w:val="004552D8"/>
    <w:rsid w:val="00455DCB"/>
    <w:rsid w:val="00456B51"/>
    <w:rsid w:val="00460FFC"/>
    <w:rsid w:val="004610AE"/>
    <w:rsid w:val="0046538F"/>
    <w:rsid w:val="004668D3"/>
    <w:rsid w:val="004714D3"/>
    <w:rsid w:val="004724CB"/>
    <w:rsid w:val="0047692F"/>
    <w:rsid w:val="00486F62"/>
    <w:rsid w:val="004908D0"/>
    <w:rsid w:val="00491DB6"/>
    <w:rsid w:val="00496842"/>
    <w:rsid w:val="0049737D"/>
    <w:rsid w:val="004A5AD5"/>
    <w:rsid w:val="004B1930"/>
    <w:rsid w:val="004B2BD9"/>
    <w:rsid w:val="004B3B8F"/>
    <w:rsid w:val="004B4B36"/>
    <w:rsid w:val="004B52B2"/>
    <w:rsid w:val="004C1CC5"/>
    <w:rsid w:val="004C3AA8"/>
    <w:rsid w:val="004D1035"/>
    <w:rsid w:val="004D1BD8"/>
    <w:rsid w:val="004D3404"/>
    <w:rsid w:val="004E00EB"/>
    <w:rsid w:val="004E027A"/>
    <w:rsid w:val="004E08C2"/>
    <w:rsid w:val="004E2287"/>
    <w:rsid w:val="004E5AB1"/>
    <w:rsid w:val="004F123C"/>
    <w:rsid w:val="004F74F5"/>
    <w:rsid w:val="004F7AA3"/>
    <w:rsid w:val="00500FAF"/>
    <w:rsid w:val="005032B4"/>
    <w:rsid w:val="00505C1F"/>
    <w:rsid w:val="0050623A"/>
    <w:rsid w:val="00513030"/>
    <w:rsid w:val="005225BB"/>
    <w:rsid w:val="005235E8"/>
    <w:rsid w:val="00524ED6"/>
    <w:rsid w:val="00530E22"/>
    <w:rsid w:val="00537251"/>
    <w:rsid w:val="005400EE"/>
    <w:rsid w:val="00540E22"/>
    <w:rsid w:val="00550A53"/>
    <w:rsid w:val="00554A9F"/>
    <w:rsid w:val="00561B10"/>
    <w:rsid w:val="005620CE"/>
    <w:rsid w:val="005634C6"/>
    <w:rsid w:val="0056421F"/>
    <w:rsid w:val="00570EFD"/>
    <w:rsid w:val="0057282C"/>
    <w:rsid w:val="0057545A"/>
    <w:rsid w:val="00576536"/>
    <w:rsid w:val="005811D2"/>
    <w:rsid w:val="00581D38"/>
    <w:rsid w:val="0058439E"/>
    <w:rsid w:val="00585FFB"/>
    <w:rsid w:val="00587799"/>
    <w:rsid w:val="005902EF"/>
    <w:rsid w:val="00592B5B"/>
    <w:rsid w:val="00596D1D"/>
    <w:rsid w:val="00597282"/>
    <w:rsid w:val="005A538C"/>
    <w:rsid w:val="005A65B2"/>
    <w:rsid w:val="005A6BEC"/>
    <w:rsid w:val="005A7DC1"/>
    <w:rsid w:val="005C2558"/>
    <w:rsid w:val="005C459D"/>
    <w:rsid w:val="005C53C7"/>
    <w:rsid w:val="005C6124"/>
    <w:rsid w:val="005C6199"/>
    <w:rsid w:val="005D04FC"/>
    <w:rsid w:val="005D2E38"/>
    <w:rsid w:val="005D3D54"/>
    <w:rsid w:val="005E6D9C"/>
    <w:rsid w:val="005F0630"/>
    <w:rsid w:val="005F2312"/>
    <w:rsid w:val="00606D94"/>
    <w:rsid w:val="00614F87"/>
    <w:rsid w:val="00623947"/>
    <w:rsid w:val="00623AD7"/>
    <w:rsid w:val="00630E01"/>
    <w:rsid w:val="006343FA"/>
    <w:rsid w:val="00635352"/>
    <w:rsid w:val="006400F1"/>
    <w:rsid w:val="0064639F"/>
    <w:rsid w:val="00647DF2"/>
    <w:rsid w:val="006513E1"/>
    <w:rsid w:val="00653139"/>
    <w:rsid w:val="00655864"/>
    <w:rsid w:val="00656FA1"/>
    <w:rsid w:val="00661A36"/>
    <w:rsid w:val="00662953"/>
    <w:rsid w:val="006649D4"/>
    <w:rsid w:val="006651F1"/>
    <w:rsid w:val="00667107"/>
    <w:rsid w:val="00672292"/>
    <w:rsid w:val="00673579"/>
    <w:rsid w:val="006760A0"/>
    <w:rsid w:val="006778B9"/>
    <w:rsid w:val="0068386C"/>
    <w:rsid w:val="006934A1"/>
    <w:rsid w:val="006945D2"/>
    <w:rsid w:val="006A0867"/>
    <w:rsid w:val="006A12A6"/>
    <w:rsid w:val="006A5843"/>
    <w:rsid w:val="006A5BCA"/>
    <w:rsid w:val="006A727E"/>
    <w:rsid w:val="006B1CAC"/>
    <w:rsid w:val="006B30CF"/>
    <w:rsid w:val="006B4E09"/>
    <w:rsid w:val="006B5F5F"/>
    <w:rsid w:val="006B6340"/>
    <w:rsid w:val="006C26D0"/>
    <w:rsid w:val="006C3439"/>
    <w:rsid w:val="006D28EC"/>
    <w:rsid w:val="006D2BE2"/>
    <w:rsid w:val="006D6FB5"/>
    <w:rsid w:val="006E26AA"/>
    <w:rsid w:val="006E552F"/>
    <w:rsid w:val="006E5BE2"/>
    <w:rsid w:val="006E6293"/>
    <w:rsid w:val="006F4872"/>
    <w:rsid w:val="006F52E8"/>
    <w:rsid w:val="007047F4"/>
    <w:rsid w:val="00704804"/>
    <w:rsid w:val="00711A43"/>
    <w:rsid w:val="00711CCF"/>
    <w:rsid w:val="00714349"/>
    <w:rsid w:val="007146FE"/>
    <w:rsid w:val="0072340F"/>
    <w:rsid w:val="00727845"/>
    <w:rsid w:val="007309C0"/>
    <w:rsid w:val="00734447"/>
    <w:rsid w:val="0073758B"/>
    <w:rsid w:val="00737CF6"/>
    <w:rsid w:val="00741D29"/>
    <w:rsid w:val="00742C37"/>
    <w:rsid w:val="00753D3D"/>
    <w:rsid w:val="00760E91"/>
    <w:rsid w:val="00761C2B"/>
    <w:rsid w:val="00762379"/>
    <w:rsid w:val="00763706"/>
    <w:rsid w:val="00767EFB"/>
    <w:rsid w:val="007719F0"/>
    <w:rsid w:val="00771B61"/>
    <w:rsid w:val="007807F2"/>
    <w:rsid w:val="00780EC7"/>
    <w:rsid w:val="00784C5C"/>
    <w:rsid w:val="007850C7"/>
    <w:rsid w:val="007911D8"/>
    <w:rsid w:val="007948E1"/>
    <w:rsid w:val="0079490B"/>
    <w:rsid w:val="00795C9D"/>
    <w:rsid w:val="007A0FD6"/>
    <w:rsid w:val="007B0C9E"/>
    <w:rsid w:val="007B1834"/>
    <w:rsid w:val="007B5D0A"/>
    <w:rsid w:val="007C11CD"/>
    <w:rsid w:val="007C35E6"/>
    <w:rsid w:val="007C5098"/>
    <w:rsid w:val="007D1412"/>
    <w:rsid w:val="007D7B37"/>
    <w:rsid w:val="007E2DDC"/>
    <w:rsid w:val="007E364C"/>
    <w:rsid w:val="007E75C6"/>
    <w:rsid w:val="007F08B3"/>
    <w:rsid w:val="007F149A"/>
    <w:rsid w:val="007F179C"/>
    <w:rsid w:val="007F271C"/>
    <w:rsid w:val="007F30B4"/>
    <w:rsid w:val="007F313E"/>
    <w:rsid w:val="007F316D"/>
    <w:rsid w:val="00810125"/>
    <w:rsid w:val="00811A30"/>
    <w:rsid w:val="00812FC7"/>
    <w:rsid w:val="00814335"/>
    <w:rsid w:val="0082147D"/>
    <w:rsid w:val="00826466"/>
    <w:rsid w:val="00826E2F"/>
    <w:rsid w:val="00827355"/>
    <w:rsid w:val="00837B92"/>
    <w:rsid w:val="00842679"/>
    <w:rsid w:val="00843037"/>
    <w:rsid w:val="00852BB1"/>
    <w:rsid w:val="0085311A"/>
    <w:rsid w:val="00854F21"/>
    <w:rsid w:val="00856D18"/>
    <w:rsid w:val="00867776"/>
    <w:rsid w:val="00871B37"/>
    <w:rsid w:val="008729D9"/>
    <w:rsid w:val="00876880"/>
    <w:rsid w:val="00876B0D"/>
    <w:rsid w:val="0088315D"/>
    <w:rsid w:val="0088326C"/>
    <w:rsid w:val="00885D3F"/>
    <w:rsid w:val="0089704B"/>
    <w:rsid w:val="008A119D"/>
    <w:rsid w:val="008A310A"/>
    <w:rsid w:val="008B092D"/>
    <w:rsid w:val="008B2C31"/>
    <w:rsid w:val="008C229C"/>
    <w:rsid w:val="008C3E58"/>
    <w:rsid w:val="008D1B96"/>
    <w:rsid w:val="008E279B"/>
    <w:rsid w:val="008E4493"/>
    <w:rsid w:val="008E73C1"/>
    <w:rsid w:val="008E777E"/>
    <w:rsid w:val="008F07EE"/>
    <w:rsid w:val="008F42E3"/>
    <w:rsid w:val="009000B6"/>
    <w:rsid w:val="00901F4E"/>
    <w:rsid w:val="00903956"/>
    <w:rsid w:val="00904184"/>
    <w:rsid w:val="0090575C"/>
    <w:rsid w:val="00906BD3"/>
    <w:rsid w:val="00914A32"/>
    <w:rsid w:val="00914B0A"/>
    <w:rsid w:val="00920C0F"/>
    <w:rsid w:val="00937303"/>
    <w:rsid w:val="00937D12"/>
    <w:rsid w:val="00940303"/>
    <w:rsid w:val="0094295A"/>
    <w:rsid w:val="00950B98"/>
    <w:rsid w:val="009524A0"/>
    <w:rsid w:val="0096358C"/>
    <w:rsid w:val="00963FF5"/>
    <w:rsid w:val="00964ABD"/>
    <w:rsid w:val="0097330C"/>
    <w:rsid w:val="00974A6B"/>
    <w:rsid w:val="00981ED4"/>
    <w:rsid w:val="00985A2C"/>
    <w:rsid w:val="00986D27"/>
    <w:rsid w:val="009923AC"/>
    <w:rsid w:val="00992875"/>
    <w:rsid w:val="00992B43"/>
    <w:rsid w:val="00993137"/>
    <w:rsid w:val="00994337"/>
    <w:rsid w:val="009966A3"/>
    <w:rsid w:val="00997B21"/>
    <w:rsid w:val="009A3161"/>
    <w:rsid w:val="009A3569"/>
    <w:rsid w:val="009A627C"/>
    <w:rsid w:val="009A7F1A"/>
    <w:rsid w:val="009B365B"/>
    <w:rsid w:val="009B51EF"/>
    <w:rsid w:val="009B6275"/>
    <w:rsid w:val="009B6E2D"/>
    <w:rsid w:val="009C0D40"/>
    <w:rsid w:val="009C1C46"/>
    <w:rsid w:val="009C3492"/>
    <w:rsid w:val="009C7586"/>
    <w:rsid w:val="009D6088"/>
    <w:rsid w:val="009E1359"/>
    <w:rsid w:val="009E13F0"/>
    <w:rsid w:val="009E6D19"/>
    <w:rsid w:val="009F13CF"/>
    <w:rsid w:val="009F3177"/>
    <w:rsid w:val="009F392A"/>
    <w:rsid w:val="009F4EA5"/>
    <w:rsid w:val="009F5D2D"/>
    <w:rsid w:val="009F5E4D"/>
    <w:rsid w:val="00A10293"/>
    <w:rsid w:val="00A1215B"/>
    <w:rsid w:val="00A1763C"/>
    <w:rsid w:val="00A201A3"/>
    <w:rsid w:val="00A22D01"/>
    <w:rsid w:val="00A234A1"/>
    <w:rsid w:val="00A305C7"/>
    <w:rsid w:val="00A322C2"/>
    <w:rsid w:val="00A360A6"/>
    <w:rsid w:val="00A4013F"/>
    <w:rsid w:val="00A447FF"/>
    <w:rsid w:val="00A46800"/>
    <w:rsid w:val="00A5086A"/>
    <w:rsid w:val="00A54FDA"/>
    <w:rsid w:val="00A555FF"/>
    <w:rsid w:val="00A56513"/>
    <w:rsid w:val="00A60574"/>
    <w:rsid w:val="00A62DF4"/>
    <w:rsid w:val="00A63EA5"/>
    <w:rsid w:val="00A85B94"/>
    <w:rsid w:val="00A87DB7"/>
    <w:rsid w:val="00A9056D"/>
    <w:rsid w:val="00A9339B"/>
    <w:rsid w:val="00A94AFB"/>
    <w:rsid w:val="00A94CDA"/>
    <w:rsid w:val="00AA08E2"/>
    <w:rsid w:val="00AA2962"/>
    <w:rsid w:val="00AA4AD8"/>
    <w:rsid w:val="00AA53B5"/>
    <w:rsid w:val="00AA7588"/>
    <w:rsid w:val="00AB29E8"/>
    <w:rsid w:val="00AC0DB0"/>
    <w:rsid w:val="00AD3CF8"/>
    <w:rsid w:val="00AD6680"/>
    <w:rsid w:val="00AE1F48"/>
    <w:rsid w:val="00AE2855"/>
    <w:rsid w:val="00AE422E"/>
    <w:rsid w:val="00AE490F"/>
    <w:rsid w:val="00AE6AB4"/>
    <w:rsid w:val="00AF229F"/>
    <w:rsid w:val="00B000C5"/>
    <w:rsid w:val="00B06616"/>
    <w:rsid w:val="00B12570"/>
    <w:rsid w:val="00B16FC5"/>
    <w:rsid w:val="00B17EBF"/>
    <w:rsid w:val="00B17F6D"/>
    <w:rsid w:val="00B23565"/>
    <w:rsid w:val="00B26046"/>
    <w:rsid w:val="00B34338"/>
    <w:rsid w:val="00B3577F"/>
    <w:rsid w:val="00B36FD3"/>
    <w:rsid w:val="00B417C3"/>
    <w:rsid w:val="00B44992"/>
    <w:rsid w:val="00B456E9"/>
    <w:rsid w:val="00B46F88"/>
    <w:rsid w:val="00B4778C"/>
    <w:rsid w:val="00B557DF"/>
    <w:rsid w:val="00B60C67"/>
    <w:rsid w:val="00B60D25"/>
    <w:rsid w:val="00B6148C"/>
    <w:rsid w:val="00B61E6F"/>
    <w:rsid w:val="00B63116"/>
    <w:rsid w:val="00B65D21"/>
    <w:rsid w:val="00B65EE2"/>
    <w:rsid w:val="00B662D6"/>
    <w:rsid w:val="00B67328"/>
    <w:rsid w:val="00B7094E"/>
    <w:rsid w:val="00B72749"/>
    <w:rsid w:val="00B732D1"/>
    <w:rsid w:val="00B73E65"/>
    <w:rsid w:val="00B7788B"/>
    <w:rsid w:val="00B7798E"/>
    <w:rsid w:val="00B83462"/>
    <w:rsid w:val="00B83636"/>
    <w:rsid w:val="00B841F8"/>
    <w:rsid w:val="00B86C3D"/>
    <w:rsid w:val="00B87E83"/>
    <w:rsid w:val="00BA7F47"/>
    <w:rsid w:val="00BB0202"/>
    <w:rsid w:val="00BB36D2"/>
    <w:rsid w:val="00BB54A2"/>
    <w:rsid w:val="00BC29F2"/>
    <w:rsid w:val="00BC3B34"/>
    <w:rsid w:val="00BD699E"/>
    <w:rsid w:val="00BD7749"/>
    <w:rsid w:val="00BE3A60"/>
    <w:rsid w:val="00BE4762"/>
    <w:rsid w:val="00BF53E4"/>
    <w:rsid w:val="00BF54B7"/>
    <w:rsid w:val="00BF77B7"/>
    <w:rsid w:val="00C01492"/>
    <w:rsid w:val="00C14171"/>
    <w:rsid w:val="00C14C5B"/>
    <w:rsid w:val="00C17EBF"/>
    <w:rsid w:val="00C2129B"/>
    <w:rsid w:val="00C213A5"/>
    <w:rsid w:val="00C337E5"/>
    <w:rsid w:val="00C341D5"/>
    <w:rsid w:val="00C371A9"/>
    <w:rsid w:val="00C37DEE"/>
    <w:rsid w:val="00C53CDF"/>
    <w:rsid w:val="00C54015"/>
    <w:rsid w:val="00C57B5B"/>
    <w:rsid w:val="00C60B15"/>
    <w:rsid w:val="00C65909"/>
    <w:rsid w:val="00C66273"/>
    <w:rsid w:val="00C764ED"/>
    <w:rsid w:val="00C821DD"/>
    <w:rsid w:val="00C8279F"/>
    <w:rsid w:val="00C84AA4"/>
    <w:rsid w:val="00C85CCA"/>
    <w:rsid w:val="00C8608C"/>
    <w:rsid w:val="00C91D1B"/>
    <w:rsid w:val="00C92204"/>
    <w:rsid w:val="00C977DC"/>
    <w:rsid w:val="00CA0825"/>
    <w:rsid w:val="00CA0F13"/>
    <w:rsid w:val="00CA13E3"/>
    <w:rsid w:val="00CB0D27"/>
    <w:rsid w:val="00CB16D3"/>
    <w:rsid w:val="00CB2FA4"/>
    <w:rsid w:val="00CC44B4"/>
    <w:rsid w:val="00CC450F"/>
    <w:rsid w:val="00CD1E3A"/>
    <w:rsid w:val="00CD369E"/>
    <w:rsid w:val="00CD4933"/>
    <w:rsid w:val="00CE0119"/>
    <w:rsid w:val="00CE67CA"/>
    <w:rsid w:val="00CE7148"/>
    <w:rsid w:val="00CF039D"/>
    <w:rsid w:val="00CF3597"/>
    <w:rsid w:val="00CF76E0"/>
    <w:rsid w:val="00D0244F"/>
    <w:rsid w:val="00D03F17"/>
    <w:rsid w:val="00D07290"/>
    <w:rsid w:val="00D10B74"/>
    <w:rsid w:val="00D165C2"/>
    <w:rsid w:val="00D334B1"/>
    <w:rsid w:val="00D3439C"/>
    <w:rsid w:val="00D42759"/>
    <w:rsid w:val="00D4442D"/>
    <w:rsid w:val="00D46D56"/>
    <w:rsid w:val="00D526D5"/>
    <w:rsid w:val="00D57224"/>
    <w:rsid w:val="00D576D0"/>
    <w:rsid w:val="00D60E83"/>
    <w:rsid w:val="00D6170E"/>
    <w:rsid w:val="00D64444"/>
    <w:rsid w:val="00D71C64"/>
    <w:rsid w:val="00D74C1C"/>
    <w:rsid w:val="00D77576"/>
    <w:rsid w:val="00D819CF"/>
    <w:rsid w:val="00D858C2"/>
    <w:rsid w:val="00D91A72"/>
    <w:rsid w:val="00D9398F"/>
    <w:rsid w:val="00D95C1D"/>
    <w:rsid w:val="00D95D2D"/>
    <w:rsid w:val="00D96AF9"/>
    <w:rsid w:val="00DA7473"/>
    <w:rsid w:val="00DB3DC5"/>
    <w:rsid w:val="00DC3EDC"/>
    <w:rsid w:val="00DC42DF"/>
    <w:rsid w:val="00DC6841"/>
    <w:rsid w:val="00DD0E44"/>
    <w:rsid w:val="00DD2397"/>
    <w:rsid w:val="00DD2E0C"/>
    <w:rsid w:val="00DD6EB5"/>
    <w:rsid w:val="00DE71A5"/>
    <w:rsid w:val="00DE7A28"/>
    <w:rsid w:val="00DF083F"/>
    <w:rsid w:val="00DF096A"/>
    <w:rsid w:val="00DF1B85"/>
    <w:rsid w:val="00DF4490"/>
    <w:rsid w:val="00DF5EAA"/>
    <w:rsid w:val="00E00696"/>
    <w:rsid w:val="00E0202E"/>
    <w:rsid w:val="00E04D28"/>
    <w:rsid w:val="00E063FC"/>
    <w:rsid w:val="00E06B15"/>
    <w:rsid w:val="00E118B0"/>
    <w:rsid w:val="00E128CD"/>
    <w:rsid w:val="00E1301C"/>
    <w:rsid w:val="00E17831"/>
    <w:rsid w:val="00E300FD"/>
    <w:rsid w:val="00E306BC"/>
    <w:rsid w:val="00E30ECD"/>
    <w:rsid w:val="00E318BC"/>
    <w:rsid w:val="00E406AF"/>
    <w:rsid w:val="00E40ED9"/>
    <w:rsid w:val="00E41887"/>
    <w:rsid w:val="00E43B29"/>
    <w:rsid w:val="00E4792C"/>
    <w:rsid w:val="00E5000A"/>
    <w:rsid w:val="00E50298"/>
    <w:rsid w:val="00E50564"/>
    <w:rsid w:val="00E558A0"/>
    <w:rsid w:val="00E60B2E"/>
    <w:rsid w:val="00E73B06"/>
    <w:rsid w:val="00E75F0E"/>
    <w:rsid w:val="00E808E0"/>
    <w:rsid w:val="00E852C9"/>
    <w:rsid w:val="00E9083F"/>
    <w:rsid w:val="00E91037"/>
    <w:rsid w:val="00E9543E"/>
    <w:rsid w:val="00E956D1"/>
    <w:rsid w:val="00EA2599"/>
    <w:rsid w:val="00EA276A"/>
    <w:rsid w:val="00EA3D68"/>
    <w:rsid w:val="00EA6588"/>
    <w:rsid w:val="00EB4479"/>
    <w:rsid w:val="00EB44BE"/>
    <w:rsid w:val="00EB5363"/>
    <w:rsid w:val="00EC210C"/>
    <w:rsid w:val="00EC298B"/>
    <w:rsid w:val="00EC7BE9"/>
    <w:rsid w:val="00ED2CA5"/>
    <w:rsid w:val="00EE0DB6"/>
    <w:rsid w:val="00EF0A58"/>
    <w:rsid w:val="00EF1352"/>
    <w:rsid w:val="00EF404F"/>
    <w:rsid w:val="00EF5567"/>
    <w:rsid w:val="00EF74BA"/>
    <w:rsid w:val="00F063F0"/>
    <w:rsid w:val="00F11FC0"/>
    <w:rsid w:val="00F263CA"/>
    <w:rsid w:val="00F26F2D"/>
    <w:rsid w:val="00F3234B"/>
    <w:rsid w:val="00F444A2"/>
    <w:rsid w:val="00F46650"/>
    <w:rsid w:val="00F467D3"/>
    <w:rsid w:val="00F52B3B"/>
    <w:rsid w:val="00F532E9"/>
    <w:rsid w:val="00F53495"/>
    <w:rsid w:val="00F6023B"/>
    <w:rsid w:val="00F60A18"/>
    <w:rsid w:val="00F61205"/>
    <w:rsid w:val="00F653FF"/>
    <w:rsid w:val="00F67F08"/>
    <w:rsid w:val="00F711E8"/>
    <w:rsid w:val="00F75544"/>
    <w:rsid w:val="00F760F9"/>
    <w:rsid w:val="00F8681C"/>
    <w:rsid w:val="00F87269"/>
    <w:rsid w:val="00F87FF3"/>
    <w:rsid w:val="00F92406"/>
    <w:rsid w:val="00F92554"/>
    <w:rsid w:val="00F938F7"/>
    <w:rsid w:val="00FA48AE"/>
    <w:rsid w:val="00FB3AE3"/>
    <w:rsid w:val="00FB5667"/>
    <w:rsid w:val="00FB6AB3"/>
    <w:rsid w:val="00FB750B"/>
    <w:rsid w:val="00FC3D54"/>
    <w:rsid w:val="00FC4904"/>
    <w:rsid w:val="00FD19DD"/>
    <w:rsid w:val="00FD1A74"/>
    <w:rsid w:val="00FE2A49"/>
    <w:rsid w:val="00FE7740"/>
    <w:rsid w:val="00FF0E4F"/>
    <w:rsid w:val="00FF6A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B5B32D"/>
  <w15:chartTrackingRefBased/>
  <w15:docId w15:val="{D2164A78-A938-43DE-8DC2-873F205E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DC5"/>
    <w:pPr>
      <w:jc w:val="both"/>
    </w:pPr>
    <w:rPr>
      <w:rFonts w:ascii="Palatino Linotype" w:hAnsi="Palatino Linotype"/>
      <w:color w:val="000000" w:themeColor="text1"/>
      <w:kern w:val="0"/>
      <w14:ligatures w14:val="none"/>
    </w:rPr>
  </w:style>
  <w:style w:type="paragraph" w:styleId="Ttulo1">
    <w:name w:val="heading 1"/>
    <w:basedOn w:val="Normal"/>
    <w:next w:val="Normal"/>
    <w:link w:val="Ttulo1Car"/>
    <w:uiPriority w:val="9"/>
    <w:qFormat/>
    <w:rsid w:val="000766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766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3D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DC5"/>
    <w:rPr>
      <w:rFonts w:ascii="Palatino Linotype" w:hAnsi="Palatino Linotype"/>
      <w:color w:val="000000" w:themeColor="text1"/>
      <w:kern w:val="0"/>
      <w14:ligatures w14:val="none"/>
    </w:rPr>
  </w:style>
  <w:style w:type="paragraph" w:styleId="Piedepgina">
    <w:name w:val="footer"/>
    <w:basedOn w:val="Normal"/>
    <w:link w:val="PiedepginaCar"/>
    <w:uiPriority w:val="99"/>
    <w:unhideWhenUsed/>
    <w:rsid w:val="00DB3D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3DC5"/>
    <w:rPr>
      <w:rFonts w:ascii="Palatino Linotype" w:hAnsi="Palatino Linotype"/>
      <w:color w:val="000000" w:themeColor="text1"/>
      <w:kern w:val="0"/>
      <w14:ligatures w14:val="none"/>
    </w:rPr>
  </w:style>
  <w:style w:type="table" w:styleId="Tablaconcuadrcula">
    <w:name w:val="Table Grid"/>
    <w:basedOn w:val="Tablanormal"/>
    <w:uiPriority w:val="59"/>
    <w:qFormat/>
    <w:rsid w:val="00DB3DC5"/>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3DC5"/>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3DC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DB3DC5"/>
    <w:rPr>
      <w:rFonts w:ascii="Palatino Linotype" w:hAnsi="Palatino Linotype"/>
      <w:color w:val="000000" w:themeColor="text1"/>
      <w:kern w:val="0"/>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4500E2"/>
    <w:rPr>
      <w:color w:val="0563C1" w:themeColor="hyperlink"/>
      <w:u w:val="single"/>
    </w:rPr>
  </w:style>
  <w:style w:type="character" w:customStyle="1" w:styleId="Mencinsinresolver1">
    <w:name w:val="Mención sin resolver1"/>
    <w:basedOn w:val="Fuentedeprrafopredeter"/>
    <w:uiPriority w:val="99"/>
    <w:semiHidden/>
    <w:unhideWhenUsed/>
    <w:rsid w:val="004500E2"/>
    <w:rPr>
      <w:color w:val="605E5C"/>
      <w:shd w:val="clear" w:color="auto" w:fill="E1DFDD"/>
    </w:rPr>
  </w:style>
  <w:style w:type="character" w:styleId="Hipervnculovisitado">
    <w:name w:val="FollowedHyperlink"/>
    <w:basedOn w:val="Fuentedeprrafopredeter"/>
    <w:uiPriority w:val="99"/>
    <w:semiHidden/>
    <w:unhideWhenUsed/>
    <w:rsid w:val="00254F36"/>
    <w:rPr>
      <w:color w:val="954F72" w:themeColor="followedHyperlink"/>
      <w:u w:val="single"/>
    </w:rPr>
  </w:style>
  <w:style w:type="table" w:customStyle="1" w:styleId="Tablaconcuadrcula3">
    <w:name w:val="Tabla con cuadrícula3"/>
    <w:basedOn w:val="Tablanormal"/>
    <w:next w:val="Tablaconcuadrcula"/>
    <w:uiPriority w:val="59"/>
    <w:rsid w:val="00837B92"/>
    <w:pPr>
      <w:spacing w:after="0" w:line="240" w:lineRule="auto"/>
    </w:pPr>
    <w:rPr>
      <w:rFonts w:ascii="Calibri" w:eastAsia="Calibri" w:hAnsi="Calibri" w:cs="Times New Roman"/>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76681"/>
    <w:rPr>
      <w:rFonts w:asciiTheme="majorHAnsi" w:eastAsiaTheme="majorEastAsia" w:hAnsiTheme="majorHAnsi" w:cstheme="majorBidi"/>
      <w:color w:val="2F5496" w:themeColor="accent1" w:themeShade="BF"/>
      <w:kern w:val="0"/>
      <w:sz w:val="32"/>
      <w:szCs w:val="32"/>
      <w14:ligatures w14:val="none"/>
    </w:rPr>
  </w:style>
  <w:style w:type="paragraph" w:styleId="TtulodeTDC">
    <w:name w:val="TOC Heading"/>
    <w:basedOn w:val="Ttulo1"/>
    <w:next w:val="Normal"/>
    <w:uiPriority w:val="39"/>
    <w:unhideWhenUsed/>
    <w:qFormat/>
    <w:rsid w:val="00076681"/>
    <w:pPr>
      <w:jc w:val="left"/>
      <w:outlineLvl w:val="9"/>
    </w:pPr>
    <w:rPr>
      <w:lang w:eastAsia="es-MX"/>
    </w:rPr>
  </w:style>
  <w:style w:type="paragraph" w:styleId="TDC1">
    <w:name w:val="toc 1"/>
    <w:basedOn w:val="Normal"/>
    <w:next w:val="Normal"/>
    <w:autoRedefine/>
    <w:uiPriority w:val="39"/>
    <w:unhideWhenUsed/>
    <w:rsid w:val="00076681"/>
    <w:pPr>
      <w:tabs>
        <w:tab w:val="right" w:leader="dot" w:pos="9072"/>
      </w:tabs>
      <w:spacing w:after="100" w:line="360" w:lineRule="auto"/>
    </w:pPr>
    <w:rPr>
      <w:rFonts w:ascii="Times New Roman" w:eastAsia="Times New Roman" w:hAnsi="Times New Roman" w:cs="Times New Roman"/>
      <w:color w:val="auto"/>
      <w:sz w:val="20"/>
      <w:szCs w:val="20"/>
      <w:lang w:eastAsia="es-ES"/>
    </w:rPr>
  </w:style>
  <w:style w:type="paragraph" w:styleId="TDC2">
    <w:name w:val="toc 2"/>
    <w:basedOn w:val="Normal"/>
    <w:next w:val="Normal"/>
    <w:autoRedefine/>
    <w:uiPriority w:val="39"/>
    <w:unhideWhenUsed/>
    <w:rsid w:val="008F07EE"/>
    <w:pPr>
      <w:tabs>
        <w:tab w:val="left" w:pos="1843"/>
        <w:tab w:val="right" w:leader="dot" w:pos="8921"/>
      </w:tabs>
      <w:spacing w:after="100" w:line="240" w:lineRule="auto"/>
      <w:ind w:left="200"/>
      <w:jc w:val="left"/>
    </w:pPr>
    <w:rPr>
      <w:rFonts w:ascii="Times New Roman" w:eastAsia="Times New Roman" w:hAnsi="Times New Roman" w:cs="Times New Roman"/>
      <w:color w:val="auto"/>
      <w:sz w:val="20"/>
      <w:szCs w:val="20"/>
      <w:lang w:eastAsia="es-ES"/>
    </w:rPr>
  </w:style>
  <w:style w:type="character" w:customStyle="1" w:styleId="Ttulo2Car">
    <w:name w:val="Título 2 Car"/>
    <w:basedOn w:val="Fuentedeprrafopredeter"/>
    <w:link w:val="Ttulo2"/>
    <w:uiPriority w:val="9"/>
    <w:rsid w:val="00076681"/>
    <w:rPr>
      <w:rFonts w:asciiTheme="majorHAnsi" w:eastAsiaTheme="majorEastAsia" w:hAnsiTheme="majorHAnsi" w:cstheme="majorBidi"/>
      <w:color w:val="2F5496" w:themeColor="accent1" w:themeShade="BF"/>
      <w:kern w:val="0"/>
      <w:sz w:val="26"/>
      <w:szCs w:val="26"/>
      <w14:ligatures w14:val="none"/>
    </w:rPr>
  </w:style>
  <w:style w:type="character" w:customStyle="1" w:styleId="Mencinsinresolver2">
    <w:name w:val="Mención sin resolver2"/>
    <w:basedOn w:val="Fuentedeprrafopredeter"/>
    <w:uiPriority w:val="99"/>
    <w:semiHidden/>
    <w:unhideWhenUsed/>
    <w:rsid w:val="00B417C3"/>
    <w:rPr>
      <w:color w:val="605E5C"/>
      <w:shd w:val="clear" w:color="auto" w:fill="E1DFDD"/>
    </w:rPr>
  </w:style>
  <w:style w:type="character" w:customStyle="1" w:styleId="Mencinsinresolver3">
    <w:name w:val="Mención sin resolver3"/>
    <w:basedOn w:val="Fuentedeprrafopredeter"/>
    <w:uiPriority w:val="99"/>
    <w:semiHidden/>
    <w:unhideWhenUsed/>
    <w:rsid w:val="009A627C"/>
    <w:rPr>
      <w:color w:val="605E5C"/>
      <w:shd w:val="clear" w:color="auto" w:fill="E1DFDD"/>
    </w:rPr>
  </w:style>
  <w:style w:type="character" w:customStyle="1" w:styleId="Mencinsinresolver4">
    <w:name w:val="Mención sin resolver4"/>
    <w:basedOn w:val="Fuentedeprrafopredeter"/>
    <w:uiPriority w:val="99"/>
    <w:semiHidden/>
    <w:unhideWhenUsed/>
    <w:rsid w:val="00655864"/>
    <w:rPr>
      <w:color w:val="605E5C"/>
      <w:shd w:val="clear" w:color="auto" w:fill="E1DFDD"/>
    </w:rPr>
  </w:style>
  <w:style w:type="character" w:customStyle="1" w:styleId="Mencinsinresolver5">
    <w:name w:val="Mención sin resolver5"/>
    <w:basedOn w:val="Fuentedeprrafopredeter"/>
    <w:uiPriority w:val="99"/>
    <w:semiHidden/>
    <w:unhideWhenUsed/>
    <w:rsid w:val="00417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895">
      <w:bodyDiv w:val="1"/>
      <w:marLeft w:val="0"/>
      <w:marRight w:val="0"/>
      <w:marTop w:val="0"/>
      <w:marBottom w:val="0"/>
      <w:divBdr>
        <w:top w:val="none" w:sz="0" w:space="0" w:color="auto"/>
        <w:left w:val="none" w:sz="0" w:space="0" w:color="auto"/>
        <w:bottom w:val="none" w:sz="0" w:space="0" w:color="auto"/>
        <w:right w:val="none" w:sz="0" w:space="0" w:color="auto"/>
      </w:divBdr>
    </w:div>
    <w:div w:id="116723478">
      <w:bodyDiv w:val="1"/>
      <w:marLeft w:val="0"/>
      <w:marRight w:val="0"/>
      <w:marTop w:val="0"/>
      <w:marBottom w:val="0"/>
      <w:divBdr>
        <w:top w:val="none" w:sz="0" w:space="0" w:color="auto"/>
        <w:left w:val="none" w:sz="0" w:space="0" w:color="auto"/>
        <w:bottom w:val="none" w:sz="0" w:space="0" w:color="auto"/>
        <w:right w:val="none" w:sz="0" w:space="0" w:color="auto"/>
      </w:divBdr>
    </w:div>
    <w:div w:id="129829999">
      <w:bodyDiv w:val="1"/>
      <w:marLeft w:val="0"/>
      <w:marRight w:val="0"/>
      <w:marTop w:val="0"/>
      <w:marBottom w:val="0"/>
      <w:divBdr>
        <w:top w:val="none" w:sz="0" w:space="0" w:color="auto"/>
        <w:left w:val="none" w:sz="0" w:space="0" w:color="auto"/>
        <w:bottom w:val="none" w:sz="0" w:space="0" w:color="auto"/>
        <w:right w:val="none" w:sz="0" w:space="0" w:color="auto"/>
      </w:divBdr>
    </w:div>
    <w:div w:id="216167428">
      <w:bodyDiv w:val="1"/>
      <w:marLeft w:val="0"/>
      <w:marRight w:val="0"/>
      <w:marTop w:val="0"/>
      <w:marBottom w:val="0"/>
      <w:divBdr>
        <w:top w:val="none" w:sz="0" w:space="0" w:color="auto"/>
        <w:left w:val="none" w:sz="0" w:space="0" w:color="auto"/>
        <w:bottom w:val="none" w:sz="0" w:space="0" w:color="auto"/>
        <w:right w:val="none" w:sz="0" w:space="0" w:color="auto"/>
      </w:divBdr>
    </w:div>
    <w:div w:id="216432301">
      <w:bodyDiv w:val="1"/>
      <w:marLeft w:val="0"/>
      <w:marRight w:val="0"/>
      <w:marTop w:val="0"/>
      <w:marBottom w:val="0"/>
      <w:divBdr>
        <w:top w:val="none" w:sz="0" w:space="0" w:color="auto"/>
        <w:left w:val="none" w:sz="0" w:space="0" w:color="auto"/>
        <w:bottom w:val="none" w:sz="0" w:space="0" w:color="auto"/>
        <w:right w:val="none" w:sz="0" w:space="0" w:color="auto"/>
      </w:divBdr>
    </w:div>
    <w:div w:id="223416816">
      <w:bodyDiv w:val="1"/>
      <w:marLeft w:val="0"/>
      <w:marRight w:val="0"/>
      <w:marTop w:val="0"/>
      <w:marBottom w:val="0"/>
      <w:divBdr>
        <w:top w:val="none" w:sz="0" w:space="0" w:color="auto"/>
        <w:left w:val="none" w:sz="0" w:space="0" w:color="auto"/>
        <w:bottom w:val="none" w:sz="0" w:space="0" w:color="auto"/>
        <w:right w:val="none" w:sz="0" w:space="0" w:color="auto"/>
      </w:divBdr>
    </w:div>
    <w:div w:id="242833462">
      <w:bodyDiv w:val="1"/>
      <w:marLeft w:val="0"/>
      <w:marRight w:val="0"/>
      <w:marTop w:val="0"/>
      <w:marBottom w:val="0"/>
      <w:divBdr>
        <w:top w:val="none" w:sz="0" w:space="0" w:color="auto"/>
        <w:left w:val="none" w:sz="0" w:space="0" w:color="auto"/>
        <w:bottom w:val="none" w:sz="0" w:space="0" w:color="auto"/>
        <w:right w:val="none" w:sz="0" w:space="0" w:color="auto"/>
      </w:divBdr>
    </w:div>
    <w:div w:id="288169345">
      <w:bodyDiv w:val="1"/>
      <w:marLeft w:val="0"/>
      <w:marRight w:val="0"/>
      <w:marTop w:val="0"/>
      <w:marBottom w:val="0"/>
      <w:divBdr>
        <w:top w:val="none" w:sz="0" w:space="0" w:color="auto"/>
        <w:left w:val="none" w:sz="0" w:space="0" w:color="auto"/>
        <w:bottom w:val="none" w:sz="0" w:space="0" w:color="auto"/>
        <w:right w:val="none" w:sz="0" w:space="0" w:color="auto"/>
      </w:divBdr>
    </w:div>
    <w:div w:id="411198982">
      <w:bodyDiv w:val="1"/>
      <w:marLeft w:val="0"/>
      <w:marRight w:val="0"/>
      <w:marTop w:val="0"/>
      <w:marBottom w:val="0"/>
      <w:divBdr>
        <w:top w:val="none" w:sz="0" w:space="0" w:color="auto"/>
        <w:left w:val="none" w:sz="0" w:space="0" w:color="auto"/>
        <w:bottom w:val="none" w:sz="0" w:space="0" w:color="auto"/>
        <w:right w:val="none" w:sz="0" w:space="0" w:color="auto"/>
      </w:divBdr>
    </w:div>
    <w:div w:id="430515845">
      <w:bodyDiv w:val="1"/>
      <w:marLeft w:val="0"/>
      <w:marRight w:val="0"/>
      <w:marTop w:val="0"/>
      <w:marBottom w:val="0"/>
      <w:divBdr>
        <w:top w:val="none" w:sz="0" w:space="0" w:color="auto"/>
        <w:left w:val="none" w:sz="0" w:space="0" w:color="auto"/>
        <w:bottom w:val="none" w:sz="0" w:space="0" w:color="auto"/>
        <w:right w:val="none" w:sz="0" w:space="0" w:color="auto"/>
      </w:divBdr>
    </w:div>
    <w:div w:id="472060664">
      <w:bodyDiv w:val="1"/>
      <w:marLeft w:val="0"/>
      <w:marRight w:val="0"/>
      <w:marTop w:val="0"/>
      <w:marBottom w:val="0"/>
      <w:divBdr>
        <w:top w:val="none" w:sz="0" w:space="0" w:color="auto"/>
        <w:left w:val="none" w:sz="0" w:space="0" w:color="auto"/>
        <w:bottom w:val="none" w:sz="0" w:space="0" w:color="auto"/>
        <w:right w:val="none" w:sz="0" w:space="0" w:color="auto"/>
      </w:divBdr>
    </w:div>
    <w:div w:id="507139357">
      <w:bodyDiv w:val="1"/>
      <w:marLeft w:val="0"/>
      <w:marRight w:val="0"/>
      <w:marTop w:val="0"/>
      <w:marBottom w:val="0"/>
      <w:divBdr>
        <w:top w:val="none" w:sz="0" w:space="0" w:color="auto"/>
        <w:left w:val="none" w:sz="0" w:space="0" w:color="auto"/>
        <w:bottom w:val="none" w:sz="0" w:space="0" w:color="auto"/>
        <w:right w:val="none" w:sz="0" w:space="0" w:color="auto"/>
      </w:divBdr>
    </w:div>
    <w:div w:id="528183663">
      <w:bodyDiv w:val="1"/>
      <w:marLeft w:val="0"/>
      <w:marRight w:val="0"/>
      <w:marTop w:val="0"/>
      <w:marBottom w:val="0"/>
      <w:divBdr>
        <w:top w:val="none" w:sz="0" w:space="0" w:color="auto"/>
        <w:left w:val="none" w:sz="0" w:space="0" w:color="auto"/>
        <w:bottom w:val="none" w:sz="0" w:space="0" w:color="auto"/>
        <w:right w:val="none" w:sz="0" w:space="0" w:color="auto"/>
      </w:divBdr>
    </w:div>
    <w:div w:id="673267521">
      <w:bodyDiv w:val="1"/>
      <w:marLeft w:val="0"/>
      <w:marRight w:val="0"/>
      <w:marTop w:val="0"/>
      <w:marBottom w:val="0"/>
      <w:divBdr>
        <w:top w:val="none" w:sz="0" w:space="0" w:color="auto"/>
        <w:left w:val="none" w:sz="0" w:space="0" w:color="auto"/>
        <w:bottom w:val="none" w:sz="0" w:space="0" w:color="auto"/>
        <w:right w:val="none" w:sz="0" w:space="0" w:color="auto"/>
      </w:divBdr>
    </w:div>
    <w:div w:id="748187265">
      <w:bodyDiv w:val="1"/>
      <w:marLeft w:val="0"/>
      <w:marRight w:val="0"/>
      <w:marTop w:val="0"/>
      <w:marBottom w:val="0"/>
      <w:divBdr>
        <w:top w:val="none" w:sz="0" w:space="0" w:color="auto"/>
        <w:left w:val="none" w:sz="0" w:space="0" w:color="auto"/>
        <w:bottom w:val="none" w:sz="0" w:space="0" w:color="auto"/>
        <w:right w:val="none" w:sz="0" w:space="0" w:color="auto"/>
      </w:divBdr>
    </w:div>
    <w:div w:id="793332685">
      <w:bodyDiv w:val="1"/>
      <w:marLeft w:val="0"/>
      <w:marRight w:val="0"/>
      <w:marTop w:val="0"/>
      <w:marBottom w:val="0"/>
      <w:divBdr>
        <w:top w:val="none" w:sz="0" w:space="0" w:color="auto"/>
        <w:left w:val="none" w:sz="0" w:space="0" w:color="auto"/>
        <w:bottom w:val="none" w:sz="0" w:space="0" w:color="auto"/>
        <w:right w:val="none" w:sz="0" w:space="0" w:color="auto"/>
      </w:divBdr>
    </w:div>
    <w:div w:id="794102167">
      <w:bodyDiv w:val="1"/>
      <w:marLeft w:val="0"/>
      <w:marRight w:val="0"/>
      <w:marTop w:val="0"/>
      <w:marBottom w:val="0"/>
      <w:divBdr>
        <w:top w:val="none" w:sz="0" w:space="0" w:color="auto"/>
        <w:left w:val="none" w:sz="0" w:space="0" w:color="auto"/>
        <w:bottom w:val="none" w:sz="0" w:space="0" w:color="auto"/>
        <w:right w:val="none" w:sz="0" w:space="0" w:color="auto"/>
      </w:divBdr>
    </w:div>
    <w:div w:id="932544005">
      <w:bodyDiv w:val="1"/>
      <w:marLeft w:val="0"/>
      <w:marRight w:val="0"/>
      <w:marTop w:val="0"/>
      <w:marBottom w:val="0"/>
      <w:divBdr>
        <w:top w:val="none" w:sz="0" w:space="0" w:color="auto"/>
        <w:left w:val="none" w:sz="0" w:space="0" w:color="auto"/>
        <w:bottom w:val="none" w:sz="0" w:space="0" w:color="auto"/>
        <w:right w:val="none" w:sz="0" w:space="0" w:color="auto"/>
      </w:divBdr>
    </w:div>
    <w:div w:id="960845015">
      <w:bodyDiv w:val="1"/>
      <w:marLeft w:val="0"/>
      <w:marRight w:val="0"/>
      <w:marTop w:val="0"/>
      <w:marBottom w:val="0"/>
      <w:divBdr>
        <w:top w:val="none" w:sz="0" w:space="0" w:color="auto"/>
        <w:left w:val="none" w:sz="0" w:space="0" w:color="auto"/>
        <w:bottom w:val="none" w:sz="0" w:space="0" w:color="auto"/>
        <w:right w:val="none" w:sz="0" w:space="0" w:color="auto"/>
      </w:divBdr>
    </w:div>
    <w:div w:id="1025329334">
      <w:bodyDiv w:val="1"/>
      <w:marLeft w:val="0"/>
      <w:marRight w:val="0"/>
      <w:marTop w:val="0"/>
      <w:marBottom w:val="0"/>
      <w:divBdr>
        <w:top w:val="none" w:sz="0" w:space="0" w:color="auto"/>
        <w:left w:val="none" w:sz="0" w:space="0" w:color="auto"/>
        <w:bottom w:val="none" w:sz="0" w:space="0" w:color="auto"/>
        <w:right w:val="none" w:sz="0" w:space="0" w:color="auto"/>
      </w:divBdr>
    </w:div>
    <w:div w:id="1039277803">
      <w:bodyDiv w:val="1"/>
      <w:marLeft w:val="0"/>
      <w:marRight w:val="0"/>
      <w:marTop w:val="0"/>
      <w:marBottom w:val="0"/>
      <w:divBdr>
        <w:top w:val="none" w:sz="0" w:space="0" w:color="auto"/>
        <w:left w:val="none" w:sz="0" w:space="0" w:color="auto"/>
        <w:bottom w:val="none" w:sz="0" w:space="0" w:color="auto"/>
        <w:right w:val="none" w:sz="0" w:space="0" w:color="auto"/>
      </w:divBdr>
    </w:div>
    <w:div w:id="1069495065">
      <w:bodyDiv w:val="1"/>
      <w:marLeft w:val="0"/>
      <w:marRight w:val="0"/>
      <w:marTop w:val="0"/>
      <w:marBottom w:val="0"/>
      <w:divBdr>
        <w:top w:val="none" w:sz="0" w:space="0" w:color="auto"/>
        <w:left w:val="none" w:sz="0" w:space="0" w:color="auto"/>
        <w:bottom w:val="none" w:sz="0" w:space="0" w:color="auto"/>
        <w:right w:val="none" w:sz="0" w:space="0" w:color="auto"/>
      </w:divBdr>
    </w:div>
    <w:div w:id="1101412861">
      <w:bodyDiv w:val="1"/>
      <w:marLeft w:val="0"/>
      <w:marRight w:val="0"/>
      <w:marTop w:val="0"/>
      <w:marBottom w:val="0"/>
      <w:divBdr>
        <w:top w:val="none" w:sz="0" w:space="0" w:color="auto"/>
        <w:left w:val="none" w:sz="0" w:space="0" w:color="auto"/>
        <w:bottom w:val="none" w:sz="0" w:space="0" w:color="auto"/>
        <w:right w:val="none" w:sz="0" w:space="0" w:color="auto"/>
      </w:divBdr>
    </w:div>
    <w:div w:id="1226990992">
      <w:bodyDiv w:val="1"/>
      <w:marLeft w:val="0"/>
      <w:marRight w:val="0"/>
      <w:marTop w:val="0"/>
      <w:marBottom w:val="0"/>
      <w:divBdr>
        <w:top w:val="none" w:sz="0" w:space="0" w:color="auto"/>
        <w:left w:val="none" w:sz="0" w:space="0" w:color="auto"/>
        <w:bottom w:val="none" w:sz="0" w:space="0" w:color="auto"/>
        <w:right w:val="none" w:sz="0" w:space="0" w:color="auto"/>
      </w:divBdr>
    </w:div>
    <w:div w:id="1245804131">
      <w:bodyDiv w:val="1"/>
      <w:marLeft w:val="0"/>
      <w:marRight w:val="0"/>
      <w:marTop w:val="0"/>
      <w:marBottom w:val="0"/>
      <w:divBdr>
        <w:top w:val="none" w:sz="0" w:space="0" w:color="auto"/>
        <w:left w:val="none" w:sz="0" w:space="0" w:color="auto"/>
        <w:bottom w:val="none" w:sz="0" w:space="0" w:color="auto"/>
        <w:right w:val="none" w:sz="0" w:space="0" w:color="auto"/>
      </w:divBdr>
    </w:div>
    <w:div w:id="1273825441">
      <w:bodyDiv w:val="1"/>
      <w:marLeft w:val="0"/>
      <w:marRight w:val="0"/>
      <w:marTop w:val="0"/>
      <w:marBottom w:val="0"/>
      <w:divBdr>
        <w:top w:val="none" w:sz="0" w:space="0" w:color="auto"/>
        <w:left w:val="none" w:sz="0" w:space="0" w:color="auto"/>
        <w:bottom w:val="none" w:sz="0" w:space="0" w:color="auto"/>
        <w:right w:val="none" w:sz="0" w:space="0" w:color="auto"/>
      </w:divBdr>
    </w:div>
    <w:div w:id="1309826032">
      <w:bodyDiv w:val="1"/>
      <w:marLeft w:val="0"/>
      <w:marRight w:val="0"/>
      <w:marTop w:val="0"/>
      <w:marBottom w:val="0"/>
      <w:divBdr>
        <w:top w:val="none" w:sz="0" w:space="0" w:color="auto"/>
        <w:left w:val="none" w:sz="0" w:space="0" w:color="auto"/>
        <w:bottom w:val="none" w:sz="0" w:space="0" w:color="auto"/>
        <w:right w:val="none" w:sz="0" w:space="0" w:color="auto"/>
      </w:divBdr>
    </w:div>
    <w:div w:id="1355113802">
      <w:bodyDiv w:val="1"/>
      <w:marLeft w:val="0"/>
      <w:marRight w:val="0"/>
      <w:marTop w:val="0"/>
      <w:marBottom w:val="0"/>
      <w:divBdr>
        <w:top w:val="none" w:sz="0" w:space="0" w:color="auto"/>
        <w:left w:val="none" w:sz="0" w:space="0" w:color="auto"/>
        <w:bottom w:val="none" w:sz="0" w:space="0" w:color="auto"/>
        <w:right w:val="none" w:sz="0" w:space="0" w:color="auto"/>
      </w:divBdr>
    </w:div>
    <w:div w:id="1376466373">
      <w:bodyDiv w:val="1"/>
      <w:marLeft w:val="0"/>
      <w:marRight w:val="0"/>
      <w:marTop w:val="0"/>
      <w:marBottom w:val="0"/>
      <w:divBdr>
        <w:top w:val="none" w:sz="0" w:space="0" w:color="auto"/>
        <w:left w:val="none" w:sz="0" w:space="0" w:color="auto"/>
        <w:bottom w:val="none" w:sz="0" w:space="0" w:color="auto"/>
        <w:right w:val="none" w:sz="0" w:space="0" w:color="auto"/>
      </w:divBdr>
    </w:div>
    <w:div w:id="1394353608">
      <w:bodyDiv w:val="1"/>
      <w:marLeft w:val="0"/>
      <w:marRight w:val="0"/>
      <w:marTop w:val="0"/>
      <w:marBottom w:val="0"/>
      <w:divBdr>
        <w:top w:val="none" w:sz="0" w:space="0" w:color="auto"/>
        <w:left w:val="none" w:sz="0" w:space="0" w:color="auto"/>
        <w:bottom w:val="none" w:sz="0" w:space="0" w:color="auto"/>
        <w:right w:val="none" w:sz="0" w:space="0" w:color="auto"/>
      </w:divBdr>
    </w:div>
    <w:div w:id="1474711402">
      <w:bodyDiv w:val="1"/>
      <w:marLeft w:val="0"/>
      <w:marRight w:val="0"/>
      <w:marTop w:val="0"/>
      <w:marBottom w:val="0"/>
      <w:divBdr>
        <w:top w:val="none" w:sz="0" w:space="0" w:color="auto"/>
        <w:left w:val="none" w:sz="0" w:space="0" w:color="auto"/>
        <w:bottom w:val="none" w:sz="0" w:space="0" w:color="auto"/>
        <w:right w:val="none" w:sz="0" w:space="0" w:color="auto"/>
      </w:divBdr>
    </w:div>
    <w:div w:id="1573545276">
      <w:bodyDiv w:val="1"/>
      <w:marLeft w:val="0"/>
      <w:marRight w:val="0"/>
      <w:marTop w:val="0"/>
      <w:marBottom w:val="0"/>
      <w:divBdr>
        <w:top w:val="none" w:sz="0" w:space="0" w:color="auto"/>
        <w:left w:val="none" w:sz="0" w:space="0" w:color="auto"/>
        <w:bottom w:val="none" w:sz="0" w:space="0" w:color="auto"/>
        <w:right w:val="none" w:sz="0" w:space="0" w:color="auto"/>
      </w:divBdr>
    </w:div>
    <w:div w:id="1592470095">
      <w:bodyDiv w:val="1"/>
      <w:marLeft w:val="0"/>
      <w:marRight w:val="0"/>
      <w:marTop w:val="0"/>
      <w:marBottom w:val="0"/>
      <w:divBdr>
        <w:top w:val="none" w:sz="0" w:space="0" w:color="auto"/>
        <w:left w:val="none" w:sz="0" w:space="0" w:color="auto"/>
        <w:bottom w:val="none" w:sz="0" w:space="0" w:color="auto"/>
        <w:right w:val="none" w:sz="0" w:space="0" w:color="auto"/>
      </w:divBdr>
    </w:div>
    <w:div w:id="1646815472">
      <w:bodyDiv w:val="1"/>
      <w:marLeft w:val="0"/>
      <w:marRight w:val="0"/>
      <w:marTop w:val="0"/>
      <w:marBottom w:val="0"/>
      <w:divBdr>
        <w:top w:val="none" w:sz="0" w:space="0" w:color="auto"/>
        <w:left w:val="none" w:sz="0" w:space="0" w:color="auto"/>
        <w:bottom w:val="none" w:sz="0" w:space="0" w:color="auto"/>
        <w:right w:val="none" w:sz="0" w:space="0" w:color="auto"/>
      </w:divBdr>
    </w:div>
    <w:div w:id="1693720376">
      <w:bodyDiv w:val="1"/>
      <w:marLeft w:val="0"/>
      <w:marRight w:val="0"/>
      <w:marTop w:val="0"/>
      <w:marBottom w:val="0"/>
      <w:divBdr>
        <w:top w:val="none" w:sz="0" w:space="0" w:color="auto"/>
        <w:left w:val="none" w:sz="0" w:space="0" w:color="auto"/>
        <w:bottom w:val="none" w:sz="0" w:space="0" w:color="auto"/>
        <w:right w:val="none" w:sz="0" w:space="0" w:color="auto"/>
      </w:divBdr>
    </w:div>
    <w:div w:id="1707288755">
      <w:bodyDiv w:val="1"/>
      <w:marLeft w:val="0"/>
      <w:marRight w:val="0"/>
      <w:marTop w:val="0"/>
      <w:marBottom w:val="0"/>
      <w:divBdr>
        <w:top w:val="none" w:sz="0" w:space="0" w:color="auto"/>
        <w:left w:val="none" w:sz="0" w:space="0" w:color="auto"/>
        <w:bottom w:val="none" w:sz="0" w:space="0" w:color="auto"/>
        <w:right w:val="none" w:sz="0" w:space="0" w:color="auto"/>
      </w:divBdr>
    </w:div>
    <w:div w:id="1892380304">
      <w:bodyDiv w:val="1"/>
      <w:marLeft w:val="0"/>
      <w:marRight w:val="0"/>
      <w:marTop w:val="0"/>
      <w:marBottom w:val="0"/>
      <w:divBdr>
        <w:top w:val="none" w:sz="0" w:space="0" w:color="auto"/>
        <w:left w:val="none" w:sz="0" w:space="0" w:color="auto"/>
        <w:bottom w:val="none" w:sz="0" w:space="0" w:color="auto"/>
        <w:right w:val="none" w:sz="0" w:space="0" w:color="auto"/>
      </w:divBdr>
    </w:div>
    <w:div w:id="2113893342">
      <w:bodyDiv w:val="1"/>
      <w:marLeft w:val="0"/>
      <w:marRight w:val="0"/>
      <w:marTop w:val="0"/>
      <w:marBottom w:val="0"/>
      <w:divBdr>
        <w:top w:val="none" w:sz="0" w:space="0" w:color="auto"/>
        <w:left w:val="none" w:sz="0" w:space="0" w:color="auto"/>
        <w:bottom w:val="none" w:sz="0" w:space="0" w:color="auto"/>
        <w:right w:val="none" w:sz="0" w:space="0" w:color="auto"/>
      </w:divBdr>
    </w:div>
    <w:div w:id="212823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F5BC5-353F-4390-AF1A-6AA1EA299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7578</Words>
  <Characters>41684</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ROX</cp:lastModifiedBy>
  <cp:revision>4</cp:revision>
  <cp:lastPrinted>2026-04-10T16:20:00Z</cp:lastPrinted>
  <dcterms:created xsi:type="dcterms:W3CDTF">2026-04-10T16:20:00Z</dcterms:created>
  <dcterms:modified xsi:type="dcterms:W3CDTF">2026-04-27T15:55:00Z</dcterms:modified>
</cp:coreProperties>
</file>