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F651B" w14:textId="14BC84B5" w:rsidR="00413756" w:rsidRPr="00A42D3A" w:rsidRDefault="00F049FE">
      <w:pPr>
        <w:spacing w:line="360" w:lineRule="auto"/>
        <w:jc w:val="both"/>
        <w:rPr>
          <w:rFonts w:ascii="Palatino Linotype" w:eastAsia="Palatino Linotype" w:hAnsi="Palatino Linotype" w:cs="Palatino Linotype"/>
          <w:b/>
        </w:rPr>
      </w:pPr>
      <w:bookmarkStart w:id="0" w:name="_GoBack"/>
      <w:bookmarkEnd w:id="0"/>
      <w:r w:rsidRPr="00A42D3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A856A4" w:rsidRPr="00A42D3A">
        <w:rPr>
          <w:rFonts w:ascii="Palatino Linotype" w:eastAsia="Palatino Linotype" w:hAnsi="Palatino Linotype" w:cs="Palatino Linotype"/>
        </w:rPr>
        <w:t xml:space="preserve"> de México; </w:t>
      </w:r>
      <w:r w:rsidR="00A856A4" w:rsidRPr="00A42D3A">
        <w:rPr>
          <w:rFonts w:ascii="Palatino Linotype" w:eastAsia="Palatino Linotype" w:hAnsi="Palatino Linotype" w:cs="Palatino Linotype"/>
          <w:b/>
        </w:rPr>
        <w:t xml:space="preserve">de fecha once </w:t>
      </w:r>
      <w:r w:rsidR="00A42D3A" w:rsidRPr="00A42D3A">
        <w:rPr>
          <w:rFonts w:ascii="Palatino Linotype" w:eastAsia="Palatino Linotype" w:hAnsi="Palatino Linotype" w:cs="Palatino Linotype"/>
          <w:b/>
        </w:rPr>
        <w:t xml:space="preserve">(11) </w:t>
      </w:r>
      <w:r w:rsidR="00A856A4" w:rsidRPr="00A42D3A">
        <w:rPr>
          <w:rFonts w:ascii="Palatino Linotype" w:eastAsia="Palatino Linotype" w:hAnsi="Palatino Linotype" w:cs="Palatino Linotype"/>
          <w:b/>
        </w:rPr>
        <w:t>de marzo</w:t>
      </w:r>
      <w:r w:rsidRPr="00A42D3A">
        <w:rPr>
          <w:rFonts w:ascii="Palatino Linotype" w:eastAsia="Palatino Linotype" w:hAnsi="Palatino Linotype" w:cs="Palatino Linotype"/>
          <w:b/>
        </w:rPr>
        <w:t xml:space="preserve"> de dos mil veintiséis</w:t>
      </w:r>
    </w:p>
    <w:p w14:paraId="741678F9" w14:textId="77777777" w:rsidR="00413756" w:rsidRPr="00A42D3A" w:rsidRDefault="00413756">
      <w:pPr>
        <w:spacing w:line="360" w:lineRule="auto"/>
        <w:jc w:val="both"/>
        <w:rPr>
          <w:rFonts w:ascii="Palatino Linotype" w:eastAsia="Palatino Linotype" w:hAnsi="Palatino Linotype" w:cs="Palatino Linotype"/>
        </w:rPr>
      </w:pPr>
    </w:p>
    <w:p w14:paraId="1D2BE331" w14:textId="77777777" w:rsidR="00413756" w:rsidRPr="00A42D3A" w:rsidRDefault="00F049FE">
      <w:pPr>
        <w:spacing w:line="360" w:lineRule="auto"/>
        <w:jc w:val="both"/>
        <w:rPr>
          <w:rFonts w:ascii="Palatino Linotype" w:eastAsia="Palatino Linotype" w:hAnsi="Palatino Linotype" w:cs="Palatino Linotype"/>
        </w:rPr>
      </w:pPr>
      <w:r w:rsidRPr="00A42D3A">
        <w:rPr>
          <w:rFonts w:ascii="Palatino Linotype" w:eastAsia="Palatino Linotype" w:hAnsi="Palatino Linotype" w:cs="Palatino Linotype"/>
          <w:b/>
          <w:bCs/>
        </w:rPr>
        <w:t>VISTO</w:t>
      </w:r>
      <w:r w:rsidRPr="00A42D3A">
        <w:rPr>
          <w:rFonts w:ascii="Palatino Linotype" w:eastAsia="Palatino Linotype" w:hAnsi="Palatino Linotype" w:cs="Palatino Linotype"/>
        </w:rPr>
        <w:t xml:space="preserve"> el expediente electrónico formado con motivo del recurso de revisión </w:t>
      </w:r>
      <w:r w:rsidRPr="00A42D3A">
        <w:rPr>
          <w:rFonts w:ascii="Palatino Linotype" w:eastAsia="Palatino Linotype" w:hAnsi="Palatino Linotype" w:cs="Palatino Linotype"/>
          <w:b/>
          <w:bCs/>
        </w:rPr>
        <w:t xml:space="preserve">08998/INFOEM/IP/RR/2025, </w:t>
      </w:r>
      <w:r w:rsidRPr="00A42D3A">
        <w:rPr>
          <w:rFonts w:ascii="Palatino Linotype" w:eastAsia="Palatino Linotype" w:hAnsi="Palatino Linotype" w:cs="Palatino Linotype"/>
        </w:rPr>
        <w:t xml:space="preserve">promovido por </w:t>
      </w:r>
      <w:r w:rsidRPr="00A42D3A">
        <w:rPr>
          <w:rFonts w:ascii="Palatino Linotype" w:eastAsia="Palatino Linotype" w:hAnsi="Palatino Linotype" w:cs="Palatino Linotype"/>
          <w:b/>
        </w:rPr>
        <w:t>un usuario que no proporcionó nombre</w:t>
      </w:r>
      <w:r w:rsidRPr="00A42D3A">
        <w:rPr>
          <w:rFonts w:ascii="Palatino Linotype" w:eastAsia="Palatino Linotype" w:hAnsi="Palatino Linotype" w:cs="Palatino Linotype"/>
          <w:b/>
          <w:bCs/>
        </w:rPr>
        <w:t>,</w:t>
      </w:r>
      <w:r w:rsidRPr="00A42D3A">
        <w:rPr>
          <w:rFonts w:ascii="Palatino Linotype" w:eastAsia="Palatino Linotype" w:hAnsi="Palatino Linotype" w:cs="Palatino Linotype"/>
        </w:rPr>
        <w:t xml:space="preserve"> a quien en lo sucesivo se identificará como </w:t>
      </w:r>
      <w:r w:rsidRPr="00A42D3A">
        <w:rPr>
          <w:rFonts w:ascii="Palatino Linotype" w:eastAsia="Palatino Linotype" w:hAnsi="Palatino Linotype" w:cs="Palatino Linotype"/>
          <w:b/>
          <w:bCs/>
        </w:rPr>
        <w:t>EL RECURRENTE</w:t>
      </w:r>
      <w:r w:rsidRPr="00A42D3A">
        <w:rPr>
          <w:rFonts w:ascii="Palatino Linotype" w:eastAsia="Palatino Linotype" w:hAnsi="Palatino Linotype" w:cs="Palatino Linotype"/>
        </w:rPr>
        <w:t xml:space="preserve">, en contra de la respuesta del </w:t>
      </w:r>
      <w:r w:rsidRPr="00A42D3A">
        <w:rPr>
          <w:rFonts w:ascii="Palatino Linotype" w:eastAsia="Palatino Linotype" w:hAnsi="Palatino Linotype" w:cs="Palatino Linotype"/>
          <w:b/>
          <w:bCs/>
        </w:rPr>
        <w:t xml:space="preserve">Ayuntamiento de Toluca, </w:t>
      </w:r>
      <w:r w:rsidRPr="00A42D3A">
        <w:rPr>
          <w:rFonts w:ascii="Palatino Linotype" w:eastAsia="Palatino Linotype" w:hAnsi="Palatino Linotype" w:cs="Palatino Linotype"/>
        </w:rPr>
        <w:t>en adelante el</w:t>
      </w:r>
      <w:r w:rsidRPr="00A42D3A">
        <w:rPr>
          <w:rFonts w:ascii="Palatino Linotype" w:eastAsia="Palatino Linotype" w:hAnsi="Palatino Linotype" w:cs="Palatino Linotype"/>
          <w:b/>
          <w:bCs/>
        </w:rPr>
        <w:t xml:space="preserve"> SUJETO OBLIGADO</w:t>
      </w:r>
      <w:r w:rsidRPr="00A42D3A">
        <w:rPr>
          <w:rFonts w:ascii="Palatino Linotype" w:eastAsia="Palatino Linotype" w:hAnsi="Palatino Linotype" w:cs="Palatino Linotype"/>
        </w:rPr>
        <w:t xml:space="preserve">, por lo que se procede a dictar la presente resolución, con base en los siguientes: </w:t>
      </w:r>
    </w:p>
    <w:p w14:paraId="37B796A8" w14:textId="77777777" w:rsidR="00413756" w:rsidRPr="00A42D3A" w:rsidRDefault="00413756">
      <w:pPr>
        <w:spacing w:line="360" w:lineRule="auto"/>
        <w:jc w:val="both"/>
        <w:rPr>
          <w:rFonts w:ascii="Palatino Linotype" w:eastAsia="Palatino Linotype" w:hAnsi="Palatino Linotype" w:cs="Palatino Linotype"/>
          <w:b/>
          <w:bCs/>
        </w:rPr>
      </w:pPr>
    </w:p>
    <w:p w14:paraId="191B8C4A" w14:textId="77777777" w:rsidR="00413756" w:rsidRPr="00A42D3A" w:rsidRDefault="00F049FE">
      <w:pPr>
        <w:keepNext/>
        <w:keepLines/>
        <w:spacing w:line="360" w:lineRule="auto"/>
        <w:jc w:val="center"/>
        <w:rPr>
          <w:rFonts w:ascii="Palatino Linotype" w:eastAsia="Palatino Linotype" w:hAnsi="Palatino Linotype" w:cs="Palatino Linotype"/>
          <w:b/>
          <w:bCs/>
        </w:rPr>
      </w:pPr>
      <w:bookmarkStart w:id="1" w:name="_heading=h.gjdgxs" w:colFirst="0" w:colLast="0"/>
      <w:bookmarkEnd w:id="1"/>
      <w:r w:rsidRPr="00A42D3A">
        <w:rPr>
          <w:rFonts w:ascii="Palatino Linotype" w:eastAsia="Palatino Linotype" w:hAnsi="Palatino Linotype" w:cs="Palatino Linotype"/>
          <w:b/>
          <w:bCs/>
        </w:rPr>
        <w:t>A N T E C E D E N T E S</w:t>
      </w:r>
    </w:p>
    <w:p w14:paraId="50E1C3E1" w14:textId="77777777" w:rsidR="00413756" w:rsidRPr="00A42D3A" w:rsidRDefault="00413756">
      <w:pPr>
        <w:spacing w:line="360" w:lineRule="auto"/>
        <w:rPr>
          <w:rFonts w:ascii="Palatino Linotype" w:eastAsia="Palatino Linotype" w:hAnsi="Palatino Linotype" w:cs="Palatino Linotype"/>
        </w:rPr>
      </w:pPr>
    </w:p>
    <w:p w14:paraId="00247625"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El </w:t>
      </w:r>
      <w:r w:rsidRPr="00A42D3A">
        <w:rPr>
          <w:rFonts w:ascii="Palatino Linotype" w:eastAsia="Palatino Linotype" w:hAnsi="Palatino Linotype" w:cs="Palatino Linotype"/>
          <w:b/>
          <w:bCs/>
          <w:color w:val="000000"/>
        </w:rPr>
        <w:t>diez de junio de dos mil veinticinco</w:t>
      </w:r>
      <w:r w:rsidRPr="00A42D3A">
        <w:rPr>
          <w:rFonts w:ascii="Palatino Linotype" w:eastAsia="Palatino Linotype" w:hAnsi="Palatino Linotype" w:cs="Palatino Linotype"/>
          <w:color w:val="000000"/>
        </w:rPr>
        <w:t xml:space="preserve">, </w:t>
      </w:r>
      <w:r w:rsidRPr="00A42D3A">
        <w:rPr>
          <w:rFonts w:ascii="Palatino Linotype" w:eastAsia="Palatino Linotype" w:hAnsi="Palatino Linotype" w:cs="Palatino Linotype"/>
          <w:b/>
          <w:bCs/>
          <w:color w:val="000000"/>
        </w:rPr>
        <w:t>EL RECURRENTE,</w:t>
      </w:r>
      <w:r w:rsidRPr="00A42D3A">
        <w:rPr>
          <w:rFonts w:ascii="Palatino Linotype" w:eastAsia="Palatino Linotype" w:hAnsi="Palatino Linotype" w:cs="Palatino Linotype"/>
          <w:color w:val="000000"/>
        </w:rPr>
        <w:t xml:space="preserve"> ante el </w:t>
      </w:r>
      <w:r w:rsidRPr="00A42D3A">
        <w:rPr>
          <w:rFonts w:ascii="Palatino Linotype" w:eastAsia="Palatino Linotype" w:hAnsi="Palatino Linotype" w:cs="Palatino Linotype"/>
          <w:b/>
          <w:bCs/>
          <w:color w:val="000000"/>
        </w:rPr>
        <w:t>SUJETO OBLIGADO</w:t>
      </w:r>
      <w:r w:rsidRPr="00A42D3A">
        <w:rPr>
          <w:rFonts w:ascii="Palatino Linotype" w:eastAsia="Palatino Linotype" w:hAnsi="Palatino Linotype" w:cs="Palatino Linotype"/>
          <w:color w:val="000000"/>
        </w:rPr>
        <w:t xml:space="preserve"> a través del Sistema de Acceso a la Información Mexiquense (SAIMEX), presentó una solicitud de información registrada con el número </w:t>
      </w:r>
      <w:r w:rsidRPr="00A42D3A">
        <w:rPr>
          <w:rFonts w:ascii="Palatino Linotype" w:eastAsia="Palatino Linotype" w:hAnsi="Palatino Linotype" w:cs="Palatino Linotype"/>
          <w:b/>
          <w:bCs/>
          <w:color w:val="000000"/>
        </w:rPr>
        <w:t xml:space="preserve">03332/TOLUCA/IP/2025, </w:t>
      </w:r>
      <w:r w:rsidRPr="00A42D3A">
        <w:rPr>
          <w:rFonts w:ascii="Palatino Linotype" w:eastAsia="Palatino Linotype" w:hAnsi="Palatino Linotype" w:cs="Palatino Linotype"/>
        </w:rPr>
        <w:t>en la que se</w:t>
      </w:r>
      <w:r w:rsidRPr="00A42D3A">
        <w:rPr>
          <w:rFonts w:ascii="Palatino Linotype" w:eastAsia="Palatino Linotype" w:hAnsi="Palatino Linotype" w:cs="Palatino Linotype"/>
          <w:color w:val="000000"/>
        </w:rPr>
        <w:t xml:space="preserve"> solicitó lo siguiente:</w:t>
      </w:r>
    </w:p>
    <w:p w14:paraId="11D51008"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5D4CB4A" w14:textId="77777777" w:rsidR="00413756" w:rsidRPr="00A42D3A" w:rsidRDefault="00F049FE">
      <w:pPr>
        <w:pBdr>
          <w:top w:val="nil"/>
          <w:left w:val="nil"/>
          <w:bottom w:val="nil"/>
          <w:right w:val="nil"/>
          <w:between w:val="nil"/>
        </w:pBdr>
        <w:spacing w:line="360" w:lineRule="auto"/>
        <w:ind w:left="720"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 xml:space="preserve">“Se solicita el cargo, expediente completo, fup de alta sueldo cv, antecedentes no penales, carta de no deudor alimentario del director Rolani Pastor y todos los oficios firmados por y recibido en su área” (Sic) </w:t>
      </w:r>
    </w:p>
    <w:p w14:paraId="3F87A98F"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280B089"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Se señaló como modalidad de entrega a través de SAIMEX.</w:t>
      </w:r>
    </w:p>
    <w:p w14:paraId="2E014C97"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2E40803"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El </w:t>
      </w:r>
      <w:r w:rsidRPr="00A42D3A">
        <w:rPr>
          <w:rFonts w:ascii="Palatino Linotype" w:eastAsia="Palatino Linotype" w:hAnsi="Palatino Linotype" w:cs="Palatino Linotype"/>
          <w:b/>
          <w:bCs/>
          <w:color w:val="000000"/>
        </w:rPr>
        <w:t>once de junio de dos mil veinticinco</w:t>
      </w:r>
      <w:r w:rsidRPr="00A42D3A">
        <w:rPr>
          <w:rFonts w:ascii="Palatino Linotype" w:eastAsia="Palatino Linotype" w:hAnsi="Palatino Linotype" w:cs="Palatino Linotype"/>
          <w:color w:val="000000"/>
        </w:rPr>
        <w:t xml:space="preserve">, se realizó un requerimiento de información al servidor público habilitado. </w:t>
      </w:r>
    </w:p>
    <w:p w14:paraId="7A90B610"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lastRenderedPageBreak/>
        <w:t xml:space="preserve">El </w:t>
      </w:r>
      <w:r w:rsidRPr="00A42D3A">
        <w:rPr>
          <w:rFonts w:ascii="Palatino Linotype" w:eastAsia="Palatino Linotype" w:hAnsi="Palatino Linotype" w:cs="Palatino Linotype"/>
          <w:b/>
          <w:bCs/>
          <w:color w:val="000000"/>
        </w:rPr>
        <w:t>primero de julio de dos mil veinticinco</w:t>
      </w:r>
      <w:r w:rsidRPr="00A42D3A">
        <w:rPr>
          <w:rFonts w:ascii="Palatino Linotype" w:eastAsia="Palatino Linotype" w:hAnsi="Palatino Linotype" w:cs="Palatino Linotype"/>
          <w:color w:val="000000"/>
        </w:rPr>
        <w:t>, el Sujeto Obligado dio respuesta a la solicitud de información en los siguientes términos:</w:t>
      </w:r>
    </w:p>
    <w:tbl>
      <w:tblPr>
        <w:tblStyle w:val="a"/>
        <w:tblW w:w="7593" w:type="dxa"/>
        <w:jc w:val="center"/>
        <w:tblInd w:w="0" w:type="dxa"/>
        <w:tblLayout w:type="fixed"/>
        <w:tblLook w:val="0400" w:firstRow="0" w:lastRow="0" w:firstColumn="0" w:lastColumn="0" w:noHBand="0" w:noVBand="1"/>
      </w:tblPr>
      <w:tblGrid>
        <w:gridCol w:w="7593"/>
      </w:tblGrid>
      <w:tr w:rsidR="00413756" w:rsidRPr="00A42D3A" w14:paraId="71B4B5C1" w14:textId="77777777">
        <w:trPr>
          <w:trHeight w:val="313"/>
          <w:jc w:val="center"/>
        </w:trPr>
        <w:tc>
          <w:tcPr>
            <w:tcW w:w="7593" w:type="dxa"/>
            <w:vAlign w:val="center"/>
          </w:tcPr>
          <w:p w14:paraId="1139CE86" w14:textId="77777777" w:rsidR="00413756" w:rsidRPr="00A42D3A" w:rsidRDefault="00F049FE">
            <w:pPr>
              <w:jc w:val="right"/>
              <w:rPr>
                <w:rFonts w:ascii="Palatino Linotype" w:eastAsia="Palatino Linotype" w:hAnsi="Palatino Linotype" w:cs="Palatino Linotype"/>
                <w:i/>
                <w:iCs/>
              </w:rPr>
            </w:pPr>
            <w:r w:rsidRPr="00A42D3A">
              <w:rPr>
                <w:rFonts w:ascii="Palatino Linotype" w:eastAsia="Palatino Linotype" w:hAnsi="Palatino Linotype" w:cs="Palatino Linotype"/>
                <w:i/>
                <w:iCs/>
              </w:rPr>
              <w:br/>
              <w:t>“Toluca, México a 01 de Julio de 2025</w:t>
            </w:r>
          </w:p>
        </w:tc>
      </w:tr>
      <w:tr w:rsidR="00413756" w:rsidRPr="00A42D3A" w14:paraId="6DE48DE9" w14:textId="77777777">
        <w:trPr>
          <w:trHeight w:val="313"/>
          <w:jc w:val="center"/>
        </w:trPr>
        <w:tc>
          <w:tcPr>
            <w:tcW w:w="7593" w:type="dxa"/>
            <w:vAlign w:val="center"/>
          </w:tcPr>
          <w:p w14:paraId="3CADAD77" w14:textId="77777777" w:rsidR="00413756" w:rsidRPr="00A42D3A" w:rsidRDefault="00F049FE">
            <w:pPr>
              <w:jc w:val="right"/>
              <w:rPr>
                <w:rFonts w:ascii="Palatino Linotype" w:eastAsia="Palatino Linotype" w:hAnsi="Palatino Linotype" w:cs="Palatino Linotype"/>
                <w:i/>
                <w:iCs/>
              </w:rPr>
            </w:pPr>
            <w:r w:rsidRPr="00A42D3A">
              <w:rPr>
                <w:rFonts w:ascii="Palatino Linotype" w:eastAsia="Palatino Linotype" w:hAnsi="Palatino Linotype" w:cs="Palatino Linotype"/>
                <w:i/>
                <w:iCs/>
              </w:rPr>
              <w:t>Nombre del solicitante: C. Solicitante</w:t>
            </w:r>
          </w:p>
        </w:tc>
      </w:tr>
      <w:tr w:rsidR="00413756" w:rsidRPr="00A42D3A" w14:paraId="4F9AF07A" w14:textId="77777777">
        <w:trPr>
          <w:trHeight w:val="313"/>
          <w:jc w:val="center"/>
        </w:trPr>
        <w:tc>
          <w:tcPr>
            <w:tcW w:w="7593" w:type="dxa"/>
            <w:vAlign w:val="center"/>
          </w:tcPr>
          <w:p w14:paraId="7425221F" w14:textId="77777777" w:rsidR="00413756" w:rsidRPr="00A42D3A" w:rsidRDefault="00F049FE">
            <w:pPr>
              <w:jc w:val="right"/>
              <w:rPr>
                <w:rFonts w:ascii="Palatino Linotype" w:eastAsia="Palatino Linotype" w:hAnsi="Palatino Linotype" w:cs="Palatino Linotype"/>
                <w:i/>
                <w:iCs/>
              </w:rPr>
            </w:pPr>
            <w:r w:rsidRPr="00A42D3A">
              <w:rPr>
                <w:rFonts w:ascii="Palatino Linotype" w:eastAsia="Palatino Linotype" w:hAnsi="Palatino Linotype" w:cs="Palatino Linotype"/>
                <w:i/>
                <w:iCs/>
              </w:rPr>
              <w:t>Folio de la solicitud: 03332/TOLUCA/IP/2025</w:t>
            </w:r>
          </w:p>
        </w:tc>
      </w:tr>
      <w:tr w:rsidR="00413756" w:rsidRPr="00A42D3A" w14:paraId="0AEB220D" w14:textId="77777777">
        <w:trPr>
          <w:trHeight w:val="469"/>
          <w:jc w:val="center"/>
        </w:trPr>
        <w:tc>
          <w:tcPr>
            <w:tcW w:w="7593" w:type="dxa"/>
            <w:vAlign w:val="center"/>
          </w:tcPr>
          <w:p w14:paraId="060863D9" w14:textId="77777777" w:rsidR="00413756" w:rsidRPr="00A42D3A" w:rsidRDefault="00413756">
            <w:pPr>
              <w:jc w:val="right"/>
              <w:rPr>
                <w:rFonts w:ascii="Palatino Linotype" w:eastAsia="Palatino Linotype" w:hAnsi="Palatino Linotype" w:cs="Palatino Linotype"/>
                <w:i/>
                <w:iCs/>
              </w:rPr>
            </w:pPr>
          </w:p>
        </w:tc>
      </w:tr>
      <w:tr w:rsidR="00413756" w:rsidRPr="00A42D3A" w14:paraId="22ABCE42" w14:textId="77777777">
        <w:trPr>
          <w:trHeight w:val="156"/>
          <w:jc w:val="center"/>
        </w:trPr>
        <w:tc>
          <w:tcPr>
            <w:tcW w:w="7593" w:type="dxa"/>
            <w:vAlign w:val="center"/>
          </w:tcPr>
          <w:p w14:paraId="7985F242" w14:textId="77777777" w:rsidR="00413756" w:rsidRPr="00A42D3A" w:rsidRDefault="00F049FE">
            <w:pPr>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413756" w:rsidRPr="00A42D3A" w14:paraId="0E89CEE3" w14:textId="77777777">
        <w:trPr>
          <w:trHeight w:val="391"/>
          <w:jc w:val="center"/>
        </w:trPr>
        <w:tc>
          <w:tcPr>
            <w:tcW w:w="7593" w:type="dxa"/>
            <w:vAlign w:val="center"/>
          </w:tcPr>
          <w:p w14:paraId="34146C41" w14:textId="77777777" w:rsidR="00413756" w:rsidRPr="00A42D3A" w:rsidRDefault="00413756">
            <w:pPr>
              <w:jc w:val="both"/>
              <w:rPr>
                <w:rFonts w:ascii="Palatino Linotype" w:eastAsia="Palatino Linotype" w:hAnsi="Palatino Linotype" w:cs="Palatino Linotype"/>
                <w:i/>
                <w:iCs/>
              </w:rPr>
            </w:pPr>
          </w:p>
        </w:tc>
      </w:tr>
      <w:tr w:rsidR="00413756" w:rsidRPr="00A42D3A" w14:paraId="41ECFB9F" w14:textId="77777777">
        <w:trPr>
          <w:trHeight w:val="156"/>
          <w:jc w:val="center"/>
        </w:trPr>
        <w:tc>
          <w:tcPr>
            <w:tcW w:w="7593" w:type="dxa"/>
            <w:vAlign w:val="center"/>
          </w:tcPr>
          <w:p w14:paraId="57D282B3" w14:textId="77777777" w:rsidR="00413756" w:rsidRPr="00A42D3A" w:rsidRDefault="00F049FE">
            <w:pPr>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En atención a la solicitud con folio 03332/TOLUCA/IP/2025, me permito adjuntar al presente la respuesta correspondiente, Sin más por el momento, reciba un saludo.</w:t>
            </w:r>
          </w:p>
        </w:tc>
      </w:tr>
      <w:tr w:rsidR="00413756" w:rsidRPr="00A42D3A" w14:paraId="671A4AE4" w14:textId="77777777">
        <w:trPr>
          <w:trHeight w:val="391"/>
          <w:jc w:val="center"/>
        </w:trPr>
        <w:tc>
          <w:tcPr>
            <w:tcW w:w="7593" w:type="dxa"/>
            <w:vAlign w:val="center"/>
          </w:tcPr>
          <w:p w14:paraId="3B7DE07F" w14:textId="77777777" w:rsidR="00413756" w:rsidRPr="00A42D3A" w:rsidRDefault="00413756">
            <w:pPr>
              <w:rPr>
                <w:rFonts w:ascii="Palatino Linotype" w:eastAsia="Palatino Linotype" w:hAnsi="Palatino Linotype" w:cs="Palatino Linotype"/>
                <w:i/>
                <w:iCs/>
              </w:rPr>
            </w:pPr>
          </w:p>
        </w:tc>
      </w:tr>
      <w:tr w:rsidR="00413756" w:rsidRPr="00A42D3A" w14:paraId="0A692528" w14:textId="77777777">
        <w:trPr>
          <w:trHeight w:val="156"/>
          <w:jc w:val="center"/>
        </w:trPr>
        <w:tc>
          <w:tcPr>
            <w:tcW w:w="7593" w:type="dxa"/>
            <w:vAlign w:val="center"/>
          </w:tcPr>
          <w:p w14:paraId="76B7F619" w14:textId="77777777" w:rsidR="00413756" w:rsidRPr="00A42D3A" w:rsidRDefault="00413756">
            <w:pPr>
              <w:jc w:val="center"/>
              <w:rPr>
                <w:rFonts w:ascii="Palatino Linotype" w:eastAsia="Palatino Linotype" w:hAnsi="Palatino Linotype" w:cs="Palatino Linotype"/>
                <w:i/>
                <w:iCs/>
              </w:rPr>
            </w:pPr>
          </w:p>
        </w:tc>
      </w:tr>
      <w:tr w:rsidR="00413756" w:rsidRPr="00A42D3A" w14:paraId="1E53DEB6" w14:textId="77777777">
        <w:trPr>
          <w:trHeight w:val="156"/>
          <w:jc w:val="center"/>
        </w:trPr>
        <w:tc>
          <w:tcPr>
            <w:tcW w:w="7593" w:type="dxa"/>
            <w:vAlign w:val="center"/>
          </w:tcPr>
          <w:p w14:paraId="7EC31D9C" w14:textId="77777777" w:rsidR="00413756" w:rsidRPr="00A42D3A" w:rsidRDefault="00413756">
            <w:pPr>
              <w:rPr>
                <w:rFonts w:ascii="Palatino Linotype" w:eastAsia="Palatino Linotype" w:hAnsi="Palatino Linotype" w:cs="Palatino Linotype"/>
                <w:i/>
                <w:iCs/>
              </w:rPr>
            </w:pPr>
          </w:p>
        </w:tc>
      </w:tr>
      <w:tr w:rsidR="00413756" w:rsidRPr="00A42D3A" w14:paraId="488BABC8" w14:textId="77777777">
        <w:trPr>
          <w:trHeight w:val="156"/>
          <w:jc w:val="center"/>
        </w:trPr>
        <w:tc>
          <w:tcPr>
            <w:tcW w:w="7593" w:type="dxa"/>
            <w:vAlign w:val="center"/>
          </w:tcPr>
          <w:p w14:paraId="1293BB78" w14:textId="77777777" w:rsidR="00413756" w:rsidRPr="00A42D3A" w:rsidRDefault="00F049FE">
            <w:pPr>
              <w:rPr>
                <w:rFonts w:ascii="Palatino Linotype" w:eastAsia="Palatino Linotype" w:hAnsi="Palatino Linotype" w:cs="Palatino Linotype"/>
                <w:i/>
                <w:iCs/>
              </w:rPr>
            </w:pPr>
            <w:r w:rsidRPr="00A42D3A">
              <w:rPr>
                <w:rFonts w:ascii="Palatino Linotype" w:eastAsia="Palatino Linotype" w:hAnsi="Palatino Linotype" w:cs="Palatino Linotype"/>
                <w:i/>
                <w:iCs/>
              </w:rPr>
              <w:t>ATENTAMENTE</w:t>
            </w:r>
          </w:p>
        </w:tc>
      </w:tr>
      <w:tr w:rsidR="00413756" w:rsidRPr="00A42D3A" w14:paraId="7CEAA4FF" w14:textId="77777777">
        <w:trPr>
          <w:trHeight w:val="234"/>
          <w:jc w:val="center"/>
        </w:trPr>
        <w:tc>
          <w:tcPr>
            <w:tcW w:w="7593" w:type="dxa"/>
            <w:vAlign w:val="center"/>
          </w:tcPr>
          <w:p w14:paraId="3149F28C" w14:textId="77777777" w:rsidR="00413756" w:rsidRPr="00A42D3A" w:rsidRDefault="00413756">
            <w:pPr>
              <w:rPr>
                <w:rFonts w:ascii="Palatino Linotype" w:eastAsia="Palatino Linotype" w:hAnsi="Palatino Linotype" w:cs="Palatino Linotype"/>
                <w:i/>
                <w:iCs/>
              </w:rPr>
            </w:pPr>
          </w:p>
        </w:tc>
      </w:tr>
      <w:tr w:rsidR="00413756" w:rsidRPr="00A42D3A" w14:paraId="3F238DFF" w14:textId="77777777">
        <w:trPr>
          <w:trHeight w:val="156"/>
          <w:jc w:val="center"/>
        </w:trPr>
        <w:tc>
          <w:tcPr>
            <w:tcW w:w="7593" w:type="dxa"/>
            <w:vAlign w:val="center"/>
          </w:tcPr>
          <w:p w14:paraId="50C8B70F" w14:textId="77777777" w:rsidR="00413756" w:rsidRPr="00A42D3A" w:rsidRDefault="00F049FE">
            <w:pPr>
              <w:rPr>
                <w:rFonts w:ascii="Palatino Linotype" w:eastAsia="Palatino Linotype" w:hAnsi="Palatino Linotype" w:cs="Palatino Linotype"/>
                <w:i/>
                <w:iCs/>
              </w:rPr>
            </w:pPr>
            <w:r w:rsidRPr="00A42D3A">
              <w:rPr>
                <w:rFonts w:ascii="Palatino Linotype" w:eastAsia="Palatino Linotype" w:hAnsi="Palatino Linotype" w:cs="Palatino Linotype"/>
                <w:i/>
                <w:iCs/>
              </w:rPr>
              <w:t>Dr. Nahum Miguel Mendoza Morales”</w:t>
            </w:r>
          </w:p>
        </w:tc>
      </w:tr>
    </w:tbl>
    <w:p w14:paraId="520B376B" w14:textId="77777777" w:rsidR="00413756" w:rsidRPr="00A42D3A" w:rsidRDefault="00413756">
      <w:pPr>
        <w:spacing w:line="360" w:lineRule="auto"/>
        <w:jc w:val="both"/>
        <w:rPr>
          <w:rFonts w:ascii="Palatino Linotype" w:eastAsia="Palatino Linotype" w:hAnsi="Palatino Linotype" w:cs="Palatino Linotype"/>
        </w:rPr>
      </w:pPr>
    </w:p>
    <w:p w14:paraId="1359DE2A" w14:textId="77777777" w:rsidR="00413756" w:rsidRPr="00A42D3A" w:rsidRDefault="00F049FE">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rPr>
      </w:pPr>
      <w:r w:rsidRPr="00A42D3A">
        <w:rPr>
          <w:rFonts w:ascii="Palatino Linotype" w:eastAsia="Palatino Linotype" w:hAnsi="Palatino Linotype" w:cs="Palatino Linotype"/>
          <w:color w:val="000000"/>
        </w:rPr>
        <w:t xml:space="preserve">A la respuesta el Sujeto Obligado adjuntó el archivo </w:t>
      </w:r>
      <w:hyperlink r:id="rId8">
        <w:r w:rsidRPr="00A42D3A">
          <w:rPr>
            <w:rFonts w:ascii="Palatino Linotype" w:eastAsia="Palatino Linotype" w:hAnsi="Palatino Linotype" w:cs="Palatino Linotype"/>
            <w:b/>
            <w:bCs/>
            <w:color w:val="000000"/>
            <w:u w:val="single"/>
          </w:rPr>
          <w:t>NOTIF. CIUDADANO S. 3332.pdf</w:t>
        </w:r>
      </w:hyperlink>
      <w:r w:rsidRPr="00A42D3A">
        <w:rPr>
          <w:rFonts w:ascii="Palatino Linotype" w:eastAsia="Palatino Linotype" w:hAnsi="Palatino Linotype" w:cs="Palatino Linotype"/>
        </w:rPr>
        <w:t xml:space="preserve">, en el que se advierte la siguiente información: </w:t>
      </w:r>
    </w:p>
    <w:p w14:paraId="6E837A1D"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Oficio número 206010000/3638/2025 de fecha treinta de junio de dos mil veinticinco, suscrito por la Directora General de Administración, quien señaló que se remite respuesta de la servidora pública de la Dirección de Recursos Humanos.</w:t>
      </w:r>
    </w:p>
    <w:p w14:paraId="44F0A172"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Documento de fecha treinta de junio de dos mil veinticinco, suscrito por la Directora de Recursos Humanos, quien señaló:</w:t>
      </w:r>
    </w:p>
    <w:p w14:paraId="5E6E7671"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lastRenderedPageBreak/>
        <w:t xml:space="preserve">Para dar respuesta a la solicitud, y después del análisis de la información solicitada, le comento que la información la podrá consultar en la página de internet: </w:t>
      </w:r>
    </w:p>
    <w:p w14:paraId="4EC2B9B2" w14:textId="77777777" w:rsidR="00413756" w:rsidRPr="00A42D3A" w:rsidRDefault="00F049FE">
      <w:pPr>
        <w:pBdr>
          <w:top w:val="nil"/>
          <w:left w:val="nil"/>
          <w:bottom w:val="nil"/>
          <w:right w:val="nil"/>
          <w:between w:val="nil"/>
        </w:pBdr>
        <w:spacing w:line="360" w:lineRule="auto"/>
        <w:ind w:left="1134"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noProof/>
          <w:color w:val="000000"/>
        </w:rPr>
        <w:drawing>
          <wp:inline distT="0" distB="0" distL="0" distR="0" wp14:anchorId="4BFF445D" wp14:editId="1AEE6E7E">
            <wp:extent cx="4125722" cy="53463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125722" cy="534639"/>
                    </a:xfrm>
                    <a:prstGeom prst="rect">
                      <a:avLst/>
                    </a:prstGeom>
                    <a:ln/>
                  </pic:spPr>
                </pic:pic>
              </a:graphicData>
            </a:graphic>
          </wp:inline>
        </w:drawing>
      </w:r>
    </w:p>
    <w:p w14:paraId="1F5ACA0B" w14:textId="77777777" w:rsidR="00413756" w:rsidRPr="00A42D3A" w:rsidRDefault="00413756">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p>
    <w:p w14:paraId="7905BC71" w14:textId="77777777" w:rsidR="00413756" w:rsidRPr="00A42D3A" w:rsidRDefault="00F049FE">
      <w:pPr>
        <w:pBdr>
          <w:top w:val="nil"/>
          <w:left w:val="nil"/>
          <w:bottom w:val="nil"/>
          <w:right w:val="nil"/>
          <w:between w:val="nil"/>
        </w:pBdr>
        <w:spacing w:line="360" w:lineRule="auto"/>
        <w:ind w:left="1134"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 xml:space="preserve">En cuanto a: "... </w:t>
      </w:r>
      <w:r w:rsidRPr="00A42D3A">
        <w:rPr>
          <w:rFonts w:ascii="Palatino Linotype" w:eastAsia="Palatino Linotype" w:hAnsi="Palatino Linotype" w:cs="Palatino Linotype"/>
          <w:b/>
          <w:bCs/>
          <w:i/>
          <w:iCs/>
          <w:color w:val="000000"/>
        </w:rPr>
        <w:t>todos los oficios firmados por y recibido en su área</w:t>
      </w:r>
      <w:r w:rsidRPr="00A42D3A">
        <w:rPr>
          <w:rFonts w:ascii="Palatino Linotype" w:eastAsia="Palatino Linotype" w:hAnsi="Palatino Linotype" w:cs="Palatino Linotype"/>
          <w:i/>
          <w:iCs/>
          <w:color w:val="000000"/>
        </w:rPr>
        <w:t xml:space="preserve">." Sic, Se hace de su conocimiento que esta Dirección no cuenta con dicha información, toda vez que no se encuentra dentro de sus funciones y atribuciones, referidas en el manual de Organización de la Dirección General de Administración, por lo que no es posible otorgarla. </w:t>
      </w:r>
    </w:p>
    <w:p w14:paraId="6C1B40F2" w14:textId="77777777" w:rsidR="00413756" w:rsidRPr="00A42D3A" w:rsidRDefault="00413756">
      <w:pPr>
        <w:pBdr>
          <w:top w:val="nil"/>
          <w:left w:val="nil"/>
          <w:bottom w:val="nil"/>
          <w:right w:val="nil"/>
          <w:between w:val="nil"/>
        </w:pBdr>
        <w:spacing w:line="360" w:lineRule="auto"/>
        <w:ind w:left="1134" w:right="822"/>
        <w:jc w:val="both"/>
        <w:rPr>
          <w:rFonts w:ascii="Palatino Linotype" w:eastAsia="Palatino Linotype" w:hAnsi="Palatino Linotype" w:cs="Palatino Linotype"/>
          <w:i/>
          <w:iCs/>
          <w:color w:val="000000"/>
        </w:rPr>
      </w:pPr>
    </w:p>
    <w:p w14:paraId="6C977487" w14:textId="77777777" w:rsidR="00413756" w:rsidRPr="00A42D3A" w:rsidRDefault="00F049FE">
      <w:pPr>
        <w:pBdr>
          <w:top w:val="nil"/>
          <w:left w:val="nil"/>
          <w:bottom w:val="nil"/>
          <w:right w:val="nil"/>
          <w:between w:val="nil"/>
        </w:pBdr>
        <w:spacing w:line="360" w:lineRule="auto"/>
        <w:ind w:left="1134"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Por lo que respecta al Certificado de Antecedentes no penales hago de su conocimiento que no se localizó registro alguno, es importante señalar que el 3 de agosto de 2016 se publicó en la gaceta de gobierno el no solicitar el certificado antes mencionado, por ser una forma de discriminación, lo que se traduce en una violación de derecho y libertades consagrados en nuestra Carta Magna, en cuanto a las credenciales de servidor público, no se envian debido a que se está llevando a cabo el trámite de credencialización por lo que aún no se hace entrega de ellas.</w:t>
      </w:r>
    </w:p>
    <w:p w14:paraId="095E5F8C" w14:textId="77777777" w:rsidR="00413756" w:rsidRPr="00A42D3A" w:rsidRDefault="00413756">
      <w:pPr>
        <w:pBdr>
          <w:top w:val="nil"/>
          <w:left w:val="nil"/>
          <w:bottom w:val="nil"/>
          <w:right w:val="nil"/>
          <w:between w:val="nil"/>
        </w:pBdr>
        <w:spacing w:line="360" w:lineRule="auto"/>
        <w:ind w:left="1080"/>
        <w:jc w:val="both"/>
        <w:rPr>
          <w:rFonts w:ascii="Palatino Linotype" w:eastAsia="Palatino Linotype" w:hAnsi="Palatino Linotype" w:cs="Palatino Linotype"/>
          <w:color w:val="000000"/>
        </w:rPr>
      </w:pPr>
    </w:p>
    <w:p w14:paraId="0484451F"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El </w:t>
      </w:r>
      <w:r w:rsidRPr="00A42D3A">
        <w:rPr>
          <w:rFonts w:ascii="Palatino Linotype" w:eastAsia="Palatino Linotype" w:hAnsi="Palatino Linotype" w:cs="Palatino Linotype"/>
          <w:b/>
          <w:bCs/>
          <w:color w:val="000000"/>
        </w:rPr>
        <w:t>veintidós de julio de dos mil veinticinco</w:t>
      </w:r>
      <w:r w:rsidRPr="00A42D3A">
        <w:rPr>
          <w:rFonts w:ascii="Palatino Linotype" w:eastAsia="Palatino Linotype" w:hAnsi="Palatino Linotype" w:cs="Palatino Linotype"/>
          <w:color w:val="000000"/>
        </w:rPr>
        <w:t xml:space="preserve">, </w:t>
      </w:r>
      <w:r w:rsidRPr="00A42D3A">
        <w:rPr>
          <w:rFonts w:ascii="Palatino Linotype" w:eastAsia="Palatino Linotype" w:hAnsi="Palatino Linotype" w:cs="Palatino Linotype"/>
          <w:b/>
          <w:bCs/>
          <w:color w:val="000000"/>
        </w:rPr>
        <w:t>EL RECURRENTE</w:t>
      </w:r>
      <w:r w:rsidRPr="00A42D3A">
        <w:rPr>
          <w:rFonts w:ascii="Palatino Linotype" w:eastAsia="Palatino Linotype" w:hAnsi="Palatino Linotype" w:cs="Palatino Linotype"/>
          <w:color w:val="000000"/>
        </w:rPr>
        <w:t xml:space="preserve"> interpuso el recurso de revisión, en contra de la respuesta, señalando como:</w:t>
      </w:r>
    </w:p>
    <w:p w14:paraId="615C5FC5"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FD2FA89" w14:textId="55090094" w:rsidR="00413756" w:rsidRPr="00A42D3A" w:rsidRDefault="00A42D3A">
      <w:pPr>
        <w:numPr>
          <w:ilvl w:val="0"/>
          <w:numId w:val="1"/>
        </w:numPr>
        <w:spacing w:line="360" w:lineRule="auto"/>
        <w:ind w:right="822"/>
        <w:jc w:val="both"/>
      </w:pPr>
      <w:r w:rsidRPr="00A42D3A">
        <w:rPr>
          <w:rFonts w:ascii="Palatino Linotype" w:eastAsia="Palatino Linotype" w:hAnsi="Palatino Linotype" w:cs="Palatino Linotype"/>
          <w:b/>
          <w:bCs/>
        </w:rPr>
        <w:t>ACTO IMPUGNADO</w:t>
      </w:r>
      <w:r w:rsidR="00F049FE" w:rsidRPr="00A42D3A">
        <w:rPr>
          <w:rFonts w:ascii="Palatino Linotype" w:eastAsia="Palatino Linotype" w:hAnsi="Palatino Linotype" w:cs="Palatino Linotype"/>
          <w:b/>
          <w:bCs/>
          <w:i/>
          <w:iCs/>
        </w:rPr>
        <w:t>:</w:t>
      </w:r>
      <w:r w:rsidR="00F049FE" w:rsidRPr="00A42D3A">
        <w:rPr>
          <w:rFonts w:ascii="Palatino Linotype" w:eastAsia="Palatino Linotype" w:hAnsi="Palatino Linotype" w:cs="Palatino Linotype"/>
          <w:i/>
          <w:iCs/>
          <w:color w:val="000000"/>
        </w:rPr>
        <w:t xml:space="preserve"> “La negativa de la información son opacos y se exige se entregue lo solicitado" (Sic)</w:t>
      </w:r>
    </w:p>
    <w:p w14:paraId="4BE217CF" w14:textId="77777777" w:rsidR="00413756" w:rsidRPr="00A42D3A" w:rsidRDefault="00413756">
      <w:pPr>
        <w:spacing w:line="360" w:lineRule="auto"/>
        <w:ind w:left="720" w:right="822"/>
        <w:jc w:val="both"/>
      </w:pPr>
    </w:p>
    <w:p w14:paraId="3BB84953" w14:textId="11A28660" w:rsidR="00413756" w:rsidRPr="00A42D3A" w:rsidRDefault="00A42D3A">
      <w:pPr>
        <w:numPr>
          <w:ilvl w:val="0"/>
          <w:numId w:val="1"/>
        </w:numPr>
        <w:spacing w:line="360" w:lineRule="auto"/>
        <w:ind w:right="822"/>
        <w:jc w:val="both"/>
        <w:rPr>
          <w:rFonts w:ascii="Palatino Linotype" w:eastAsia="Palatino Linotype" w:hAnsi="Palatino Linotype" w:cs="Palatino Linotype"/>
        </w:rPr>
      </w:pPr>
      <w:r w:rsidRPr="00A42D3A">
        <w:rPr>
          <w:rFonts w:ascii="Palatino Linotype" w:eastAsia="Palatino Linotype" w:hAnsi="Palatino Linotype" w:cs="Palatino Linotype"/>
          <w:b/>
          <w:bCs/>
        </w:rPr>
        <w:lastRenderedPageBreak/>
        <w:t>RAZONES O MOTIVOS DE INCONFORMIDAD</w:t>
      </w:r>
      <w:r w:rsidR="00F049FE" w:rsidRPr="00A42D3A">
        <w:rPr>
          <w:rFonts w:ascii="Palatino Linotype" w:eastAsia="Palatino Linotype" w:hAnsi="Palatino Linotype" w:cs="Palatino Linotype"/>
          <w:b/>
          <w:bCs/>
        </w:rPr>
        <w:t xml:space="preserve">: </w:t>
      </w:r>
      <w:r w:rsidR="00F049FE" w:rsidRPr="00A42D3A">
        <w:rPr>
          <w:rFonts w:ascii="Palatino Linotype" w:eastAsia="Palatino Linotype" w:hAnsi="Palatino Linotype" w:cs="Palatino Linotype"/>
          <w:i/>
          <w:iCs/>
        </w:rPr>
        <w:t>"La negativa de la información son opacos y se exige se entregue lo solicitado" (Sic)</w:t>
      </w:r>
    </w:p>
    <w:p w14:paraId="27E1C8ED" w14:textId="77777777" w:rsidR="00413756" w:rsidRPr="00A42D3A" w:rsidRDefault="00413756">
      <w:pPr>
        <w:spacing w:line="360" w:lineRule="auto"/>
        <w:jc w:val="both"/>
        <w:rPr>
          <w:rFonts w:ascii="Palatino Linotype" w:eastAsia="Palatino Linotype" w:hAnsi="Palatino Linotype" w:cs="Palatino Linotype"/>
        </w:rPr>
      </w:pPr>
    </w:p>
    <w:p w14:paraId="1BE5E26C"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A42D3A">
        <w:rPr>
          <w:rFonts w:ascii="Palatino Linotype" w:eastAsia="Palatino Linotype" w:hAnsi="Palatino Linotype" w:cs="Palatino Linotype"/>
          <w:b/>
          <w:bCs/>
          <w:color w:val="000000"/>
        </w:rPr>
        <w:t xml:space="preserve">Ley de Transparencia y Acceso a la Información Pública del Estado de México y Municipios </w:t>
      </w:r>
      <w:r w:rsidRPr="00A42D3A">
        <w:rPr>
          <w:rFonts w:ascii="Palatino Linotype" w:eastAsia="Palatino Linotype" w:hAnsi="Palatino Linotype" w:cs="Palatino Linotype"/>
          <w:color w:val="000000"/>
        </w:rPr>
        <w:t xml:space="preserve">se </w:t>
      </w:r>
      <w:r w:rsidRPr="00A42D3A">
        <w:rPr>
          <w:rFonts w:ascii="Palatino Linotype" w:eastAsia="Palatino Linotype" w:hAnsi="Palatino Linotype" w:cs="Palatino Linotype"/>
        </w:rPr>
        <w:t>turna</w:t>
      </w:r>
      <w:r w:rsidRPr="00A42D3A">
        <w:rPr>
          <w:rFonts w:ascii="Palatino Linotype" w:eastAsia="Palatino Linotype" w:hAnsi="Palatino Linotype" w:cs="Palatino Linotype"/>
          <w:color w:val="000000"/>
        </w:rPr>
        <w:t xml:space="preserve"> a la </w:t>
      </w:r>
      <w:r w:rsidRPr="00A42D3A">
        <w:rPr>
          <w:rFonts w:ascii="Palatino Linotype" w:eastAsia="Palatino Linotype" w:hAnsi="Palatino Linotype" w:cs="Palatino Linotype"/>
          <w:b/>
          <w:bCs/>
          <w:color w:val="000000"/>
        </w:rPr>
        <w:t xml:space="preserve">Comisionada María del Rosario Mejía Ayala, </w:t>
      </w:r>
      <w:r w:rsidRPr="00A42D3A">
        <w:rPr>
          <w:rFonts w:ascii="Palatino Linotype" w:eastAsia="Palatino Linotype" w:hAnsi="Palatino Linotype" w:cs="Palatino Linotype"/>
        </w:rPr>
        <w:t xml:space="preserve">para </w:t>
      </w:r>
      <w:r w:rsidRPr="00A42D3A">
        <w:rPr>
          <w:rFonts w:ascii="Palatino Linotype" w:eastAsia="Palatino Linotype" w:hAnsi="Palatino Linotype" w:cs="Palatino Linotype"/>
          <w:color w:val="000000"/>
        </w:rPr>
        <w:t xml:space="preserve">su análisis. </w:t>
      </w:r>
    </w:p>
    <w:p w14:paraId="5D2C1729"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F815622" w14:textId="696DC454"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rPr>
        <w:t>La</w:t>
      </w:r>
      <w:r w:rsidRPr="00A42D3A">
        <w:rPr>
          <w:rFonts w:ascii="Palatino Linotype" w:eastAsia="Palatino Linotype" w:hAnsi="Palatino Linotype" w:cs="Palatino Linotype"/>
          <w:color w:val="000000"/>
        </w:rPr>
        <w:t xml:space="preserve"> Comisionad</w:t>
      </w:r>
      <w:r w:rsidRPr="00A42D3A">
        <w:rPr>
          <w:rFonts w:ascii="Palatino Linotype" w:eastAsia="Palatino Linotype" w:hAnsi="Palatino Linotype" w:cs="Palatino Linotype"/>
        </w:rPr>
        <w:t>a</w:t>
      </w:r>
      <w:r w:rsidR="00A42D3A">
        <w:rPr>
          <w:rFonts w:ascii="Palatino Linotype" w:eastAsia="Palatino Linotype" w:hAnsi="Palatino Linotype" w:cs="Palatino Linotype"/>
          <w:color w:val="000000"/>
        </w:rPr>
        <w:t xml:space="preserve"> p</w:t>
      </w:r>
      <w:r w:rsidRPr="00A42D3A">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del </w:t>
      </w:r>
      <w:r w:rsidRPr="00A42D3A">
        <w:rPr>
          <w:rFonts w:ascii="Palatino Linotype" w:eastAsia="Palatino Linotype" w:hAnsi="Palatino Linotype" w:cs="Palatino Linotype"/>
          <w:b/>
          <w:bCs/>
          <w:color w:val="000000"/>
        </w:rPr>
        <w:t>cinco de agosto de dos mil veinticinco</w:t>
      </w:r>
      <w:r w:rsidRPr="00A42D3A">
        <w:rPr>
          <w:rFonts w:ascii="Palatino Linotype" w:eastAsia="Palatino Linotype" w:hAnsi="Palatino Linotype" w:cs="Palatino Linotype"/>
          <w:color w:val="000000"/>
        </w:rPr>
        <w:t xml:space="preserve">, puso a disposición de las partes el expediente electrónico vía </w:t>
      </w:r>
      <w:r w:rsidRPr="00A42D3A">
        <w:rPr>
          <w:rFonts w:ascii="Palatino Linotype" w:eastAsia="Palatino Linotype" w:hAnsi="Palatino Linotype" w:cs="Palatino Linotype"/>
          <w:b/>
          <w:bCs/>
          <w:color w:val="000000"/>
        </w:rPr>
        <w:t xml:space="preserve">SAIMEX </w:t>
      </w:r>
      <w:r w:rsidRPr="00A42D3A">
        <w:rPr>
          <w:rFonts w:ascii="Palatino Linotype" w:eastAsia="Palatino Linotype" w:hAnsi="Palatino Linotype" w:cs="Palatino Linotype"/>
          <w:color w:val="000000"/>
        </w:rPr>
        <w:t xml:space="preserve">a efecto de que en un plazo máximo de siete días </w:t>
      </w:r>
      <w:r w:rsidRPr="00A42D3A">
        <w:rPr>
          <w:rFonts w:ascii="Palatino Linotype" w:eastAsia="Palatino Linotype" w:hAnsi="Palatino Linotype" w:cs="Palatino Linotype"/>
        </w:rPr>
        <w:t>manifestara</w:t>
      </w:r>
      <w:r w:rsidRPr="00A42D3A">
        <w:rPr>
          <w:rFonts w:ascii="Palatino Linotype" w:eastAsia="Palatino Linotype" w:hAnsi="Palatino Linotype" w:cs="Palatino Linotype"/>
          <w:color w:val="000000"/>
        </w:rPr>
        <w:t xml:space="preserve"> lo que a derecho </w:t>
      </w:r>
      <w:r w:rsidRPr="00A42D3A">
        <w:rPr>
          <w:rFonts w:ascii="Palatino Linotype" w:eastAsia="Palatino Linotype" w:hAnsi="Palatino Linotype" w:cs="Palatino Linotype"/>
        </w:rPr>
        <w:t>conviniera</w:t>
      </w:r>
      <w:r w:rsidRPr="00A42D3A">
        <w:rPr>
          <w:rFonts w:ascii="Palatino Linotype" w:eastAsia="Palatino Linotype" w:hAnsi="Palatino Linotype" w:cs="Palatino Linotype"/>
          <w:color w:val="000000"/>
        </w:rPr>
        <w:t xml:space="preserve">, </w:t>
      </w:r>
      <w:r w:rsidRPr="00A42D3A">
        <w:rPr>
          <w:rFonts w:ascii="Palatino Linotype" w:eastAsia="Palatino Linotype" w:hAnsi="Palatino Linotype" w:cs="Palatino Linotype"/>
        </w:rPr>
        <w:t>ofreciera</w:t>
      </w:r>
      <w:r w:rsidRPr="00A42D3A">
        <w:rPr>
          <w:rFonts w:ascii="Palatino Linotype" w:eastAsia="Palatino Linotype" w:hAnsi="Palatino Linotype" w:cs="Palatino Linotype"/>
          <w:color w:val="000000"/>
        </w:rPr>
        <w:t xml:space="preserve"> pruebas y alegatos según corresponda al caso concreto, de esta forma para que el </w:t>
      </w:r>
      <w:r w:rsidRPr="00A42D3A">
        <w:rPr>
          <w:rFonts w:ascii="Palatino Linotype" w:eastAsia="Palatino Linotype" w:hAnsi="Palatino Linotype" w:cs="Palatino Linotype"/>
          <w:b/>
          <w:bCs/>
          <w:color w:val="000000"/>
        </w:rPr>
        <w:t>SUJETO OBLIGADO</w:t>
      </w:r>
      <w:r w:rsidRPr="00A42D3A">
        <w:rPr>
          <w:rFonts w:ascii="Palatino Linotype" w:eastAsia="Palatino Linotype" w:hAnsi="Palatino Linotype" w:cs="Palatino Linotype"/>
          <w:color w:val="000000"/>
        </w:rPr>
        <w:t xml:space="preserve"> </w:t>
      </w:r>
      <w:r w:rsidRPr="00A42D3A">
        <w:rPr>
          <w:rFonts w:ascii="Palatino Linotype" w:eastAsia="Palatino Linotype" w:hAnsi="Palatino Linotype" w:cs="Palatino Linotype"/>
        </w:rPr>
        <w:t>presentará</w:t>
      </w:r>
      <w:r w:rsidRPr="00A42D3A">
        <w:rPr>
          <w:rFonts w:ascii="Palatino Linotype" w:eastAsia="Palatino Linotype" w:hAnsi="Palatino Linotype" w:cs="Palatino Linotype"/>
          <w:color w:val="000000"/>
        </w:rPr>
        <w:t xml:space="preserve"> el informe justificado procedente. </w:t>
      </w:r>
    </w:p>
    <w:p w14:paraId="1FD2592E" w14:textId="77777777" w:rsidR="00413756" w:rsidRPr="00A42D3A" w:rsidRDefault="00413756">
      <w:pPr>
        <w:pBdr>
          <w:top w:val="nil"/>
          <w:left w:val="nil"/>
          <w:bottom w:val="nil"/>
          <w:right w:val="nil"/>
          <w:between w:val="nil"/>
        </w:pBdr>
        <w:ind w:left="720"/>
        <w:rPr>
          <w:rFonts w:ascii="Palatino Linotype" w:eastAsia="Palatino Linotype" w:hAnsi="Palatino Linotype" w:cs="Palatino Linotype"/>
          <w:color w:val="000000"/>
        </w:rPr>
      </w:pPr>
    </w:p>
    <w:p w14:paraId="63B3F2E1"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De las constancias del expediente electrónico SAIMEX se advierte que el Recurrente no realizó manifestaciones; por su parte, el Sujeto Obligado entregó informe justificado el </w:t>
      </w:r>
      <w:r w:rsidRPr="00A42D3A">
        <w:rPr>
          <w:rFonts w:ascii="Palatino Linotype" w:eastAsia="Palatino Linotype" w:hAnsi="Palatino Linotype" w:cs="Palatino Linotype"/>
          <w:b/>
          <w:bCs/>
          <w:color w:val="000000"/>
        </w:rPr>
        <w:t>catorce de agosto de dos mil veinticinco</w:t>
      </w:r>
      <w:r w:rsidRPr="00A42D3A">
        <w:rPr>
          <w:rFonts w:ascii="Palatino Linotype" w:eastAsia="Palatino Linotype" w:hAnsi="Palatino Linotype" w:cs="Palatino Linotype"/>
          <w:color w:val="000000"/>
        </w:rPr>
        <w:t xml:space="preserve">, mismo que fue puesto a la vista del Recurrente el </w:t>
      </w:r>
      <w:r w:rsidRPr="00A42D3A">
        <w:rPr>
          <w:rFonts w:ascii="Palatino Linotype" w:eastAsia="Palatino Linotype" w:hAnsi="Palatino Linotype" w:cs="Palatino Linotype"/>
          <w:b/>
          <w:bCs/>
          <w:color w:val="000000"/>
        </w:rPr>
        <w:t>tres de marzo de dos mil veintiséis</w:t>
      </w:r>
      <w:r w:rsidRPr="00A42D3A">
        <w:rPr>
          <w:rFonts w:ascii="Palatino Linotype" w:eastAsia="Palatino Linotype" w:hAnsi="Palatino Linotype" w:cs="Palatino Linotype"/>
          <w:color w:val="000000"/>
        </w:rPr>
        <w:t xml:space="preserve">, a través de los archivos electrónicos </w:t>
      </w:r>
      <w:hyperlink r:id="rId10">
        <w:r w:rsidRPr="00A42D3A">
          <w:rPr>
            <w:rFonts w:ascii="Palatino Linotype" w:eastAsia="Palatino Linotype" w:hAnsi="Palatino Linotype" w:cs="Palatino Linotype"/>
            <w:b/>
            <w:bCs/>
            <w:color w:val="000000"/>
            <w:u w:val="single"/>
          </w:rPr>
          <w:t>Ratificacion 8998 2025.pdf</w:t>
        </w:r>
      </w:hyperlink>
      <w:r w:rsidRPr="00A42D3A">
        <w:rPr>
          <w:rFonts w:ascii="Palatino Linotype" w:eastAsia="Palatino Linotype" w:hAnsi="Palatino Linotype" w:cs="Palatino Linotype"/>
        </w:rPr>
        <w:t xml:space="preserve"> y </w:t>
      </w:r>
      <w:hyperlink r:id="rId11">
        <w:r w:rsidRPr="00A42D3A">
          <w:rPr>
            <w:rFonts w:ascii="Palatino Linotype" w:eastAsia="Palatino Linotype" w:hAnsi="Palatino Linotype" w:cs="Palatino Linotype"/>
            <w:b/>
            <w:bCs/>
            <w:color w:val="000000"/>
            <w:u w:val="single"/>
          </w:rPr>
          <w:t>ANEXOS 8998-2025.pdf</w:t>
        </w:r>
      </w:hyperlink>
      <w:r w:rsidRPr="00A42D3A">
        <w:rPr>
          <w:rFonts w:ascii="Palatino Linotype" w:eastAsia="Palatino Linotype" w:hAnsi="Palatino Linotype" w:cs="Palatino Linotype"/>
        </w:rPr>
        <w:t xml:space="preserve">, a través de los cuales se ratificó la respuesta. </w:t>
      </w:r>
    </w:p>
    <w:p w14:paraId="09799249"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7EDA741"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El </w:t>
      </w:r>
      <w:r w:rsidRPr="00A42D3A">
        <w:rPr>
          <w:rFonts w:ascii="Palatino Linotype" w:eastAsia="Palatino Linotype" w:hAnsi="Palatino Linotype" w:cs="Palatino Linotype"/>
          <w:b/>
          <w:bCs/>
          <w:color w:val="000000"/>
        </w:rPr>
        <w:t>veintiséis de enero de dos mil veintiséis</w:t>
      </w:r>
      <w:r w:rsidRPr="00A42D3A">
        <w:rPr>
          <w:rFonts w:ascii="Palatino Linotype" w:eastAsia="Palatino Linotype" w:hAnsi="Palatino Linotype" w:cs="Palatino Linotype"/>
          <w:color w:val="000000"/>
        </w:rPr>
        <w:t xml:space="preserve">, se notificó el acuerdo mediante el cual se aprobó la ampliación de plazo para emitir resolución. </w:t>
      </w:r>
    </w:p>
    <w:p w14:paraId="13362CF3"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06732EE" w14:textId="32084046" w:rsidR="00413756" w:rsidRPr="00A42D3A" w:rsidRDefault="00A42D3A">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La Comisionada p</w:t>
      </w:r>
      <w:r w:rsidR="00F049FE" w:rsidRPr="00A42D3A">
        <w:rPr>
          <w:rFonts w:ascii="Palatino Linotype" w:eastAsia="Palatino Linotype" w:hAnsi="Palatino Linotype" w:cs="Palatino Linotype"/>
          <w:color w:val="000000"/>
        </w:rPr>
        <w:t xml:space="preserve">onente decretó el cierre de instrucción mediante el acuerdo del </w:t>
      </w:r>
      <w:r w:rsidR="00F049FE" w:rsidRPr="00A42D3A">
        <w:rPr>
          <w:rFonts w:ascii="Palatino Linotype" w:eastAsia="Palatino Linotype" w:hAnsi="Palatino Linotype" w:cs="Palatino Linotype"/>
          <w:b/>
          <w:bCs/>
          <w:color w:val="000000"/>
        </w:rPr>
        <w:t>nueve de marzo de dos mil veintiséis.</w:t>
      </w:r>
    </w:p>
    <w:p w14:paraId="3219A755" w14:textId="77777777" w:rsidR="00413756" w:rsidRPr="00A42D3A" w:rsidRDefault="00413756">
      <w:pPr>
        <w:spacing w:line="360" w:lineRule="auto"/>
        <w:rPr>
          <w:rFonts w:ascii="Palatino Linotype" w:eastAsia="Palatino Linotype" w:hAnsi="Palatino Linotype" w:cs="Palatino Linotype"/>
        </w:rPr>
      </w:pPr>
    </w:p>
    <w:p w14:paraId="1D353DAD" w14:textId="77777777" w:rsidR="00413756" w:rsidRPr="00A42D3A" w:rsidRDefault="00F049FE">
      <w:pPr>
        <w:spacing w:line="360" w:lineRule="auto"/>
        <w:jc w:val="center"/>
        <w:rPr>
          <w:rFonts w:ascii="Palatino Linotype" w:eastAsia="Palatino Linotype" w:hAnsi="Palatino Linotype" w:cs="Palatino Linotype"/>
        </w:rPr>
      </w:pPr>
      <w:bookmarkStart w:id="2" w:name="_heading=h.1fob9te" w:colFirst="0" w:colLast="0"/>
      <w:bookmarkEnd w:id="2"/>
      <w:r w:rsidRPr="00A42D3A">
        <w:rPr>
          <w:rFonts w:ascii="Palatino Linotype" w:eastAsia="Palatino Linotype" w:hAnsi="Palatino Linotype" w:cs="Palatino Linotype"/>
          <w:b/>
          <w:bCs/>
        </w:rPr>
        <w:t>C O N S I D E R A N D O</w:t>
      </w:r>
    </w:p>
    <w:p w14:paraId="1E8BC880" w14:textId="77777777" w:rsidR="00413756" w:rsidRPr="00A42D3A" w:rsidRDefault="00413756">
      <w:pPr>
        <w:spacing w:line="360" w:lineRule="auto"/>
        <w:jc w:val="center"/>
        <w:rPr>
          <w:rFonts w:ascii="Palatino Linotype" w:eastAsia="Palatino Linotype" w:hAnsi="Palatino Linotype" w:cs="Palatino Linotype"/>
        </w:rPr>
      </w:pPr>
    </w:p>
    <w:p w14:paraId="7397A83E" w14:textId="77777777" w:rsidR="00413756" w:rsidRPr="00A42D3A" w:rsidRDefault="00F049FE">
      <w:pPr>
        <w:spacing w:line="360" w:lineRule="auto"/>
        <w:jc w:val="both"/>
        <w:rPr>
          <w:rFonts w:ascii="Palatino Linotype" w:eastAsia="Palatino Linotype" w:hAnsi="Palatino Linotype" w:cs="Palatino Linotype"/>
          <w:b/>
          <w:bCs/>
        </w:rPr>
      </w:pPr>
      <w:bookmarkStart w:id="3" w:name="_heading=h.3znysh7" w:colFirst="0" w:colLast="0"/>
      <w:bookmarkEnd w:id="3"/>
      <w:r w:rsidRPr="00A42D3A">
        <w:rPr>
          <w:rFonts w:ascii="Palatino Linotype" w:eastAsia="Palatino Linotype" w:hAnsi="Palatino Linotype" w:cs="Palatino Linotype"/>
          <w:b/>
          <w:bCs/>
        </w:rPr>
        <w:t>PRIMERO. De la competencia</w:t>
      </w:r>
    </w:p>
    <w:p w14:paraId="1C1E593F" w14:textId="77777777" w:rsidR="00413756" w:rsidRPr="00A42D3A" w:rsidRDefault="00F049FE">
      <w:pPr>
        <w:numPr>
          <w:ilvl w:val="0"/>
          <w:numId w:val="6"/>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 </w:t>
      </w:r>
    </w:p>
    <w:p w14:paraId="53529024" w14:textId="77777777" w:rsidR="00413756" w:rsidRPr="00A42D3A" w:rsidRDefault="00413756">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14:paraId="21708F25" w14:textId="77777777" w:rsidR="00413756" w:rsidRPr="00A42D3A" w:rsidRDefault="00F049FE">
      <w:pPr>
        <w:keepNext/>
        <w:keepLines/>
        <w:spacing w:line="360" w:lineRule="auto"/>
        <w:rPr>
          <w:rFonts w:ascii="Palatino Linotype" w:eastAsia="Palatino Linotype" w:hAnsi="Palatino Linotype" w:cs="Palatino Linotype"/>
          <w:b/>
          <w:bCs/>
        </w:rPr>
      </w:pPr>
      <w:bookmarkStart w:id="4" w:name="_heading=h.2et92p0" w:colFirst="0" w:colLast="0"/>
      <w:bookmarkEnd w:id="4"/>
      <w:r w:rsidRPr="00A42D3A">
        <w:rPr>
          <w:rFonts w:ascii="Palatino Linotype" w:eastAsia="Palatino Linotype" w:hAnsi="Palatino Linotype" w:cs="Palatino Linotype"/>
          <w:b/>
          <w:bCs/>
        </w:rPr>
        <w:t>SEGUNDO. De la oportunidad y procedencia.</w:t>
      </w:r>
    </w:p>
    <w:p w14:paraId="33E0800F"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El medio de impugnación fue presentado a través del </w:t>
      </w:r>
      <w:r w:rsidRPr="00A42D3A">
        <w:rPr>
          <w:rFonts w:ascii="Palatino Linotype" w:eastAsia="Palatino Linotype" w:hAnsi="Palatino Linotype" w:cs="Palatino Linotype"/>
          <w:b/>
          <w:bCs/>
          <w:color w:val="000000"/>
        </w:rPr>
        <w:t>SAIMEX,</w:t>
      </w:r>
      <w:r w:rsidRPr="00A42D3A">
        <w:rPr>
          <w:rFonts w:ascii="Palatino Linotype" w:eastAsia="Palatino Linotype" w:hAnsi="Palatino Linotype" w:cs="Palatino Linotype"/>
          <w:color w:val="000000"/>
        </w:rPr>
        <w:t xml:space="preserve"> en el formato previamente aprobado para tal efecto y dentro del plazo legal de quince días hábiles otorgados; siendo así que el </w:t>
      </w:r>
      <w:r w:rsidRPr="00A42D3A">
        <w:rPr>
          <w:rFonts w:ascii="Palatino Linotype" w:eastAsia="Palatino Linotype" w:hAnsi="Palatino Linotype" w:cs="Palatino Linotype"/>
          <w:b/>
          <w:bCs/>
          <w:color w:val="000000"/>
        </w:rPr>
        <w:t>SUJETO OBLIGADO</w:t>
      </w:r>
      <w:r w:rsidRPr="00A42D3A">
        <w:rPr>
          <w:rFonts w:ascii="Palatino Linotype" w:eastAsia="Palatino Linotype" w:hAnsi="Palatino Linotype" w:cs="Palatino Linotype"/>
          <w:color w:val="000000"/>
        </w:rPr>
        <w:t xml:space="preserve"> entregó respuesta a la solicitud el día </w:t>
      </w:r>
      <w:r w:rsidRPr="00A42D3A">
        <w:rPr>
          <w:rFonts w:ascii="Palatino Linotype" w:eastAsia="Palatino Linotype" w:hAnsi="Palatino Linotype" w:cs="Palatino Linotype"/>
          <w:b/>
          <w:bCs/>
          <w:color w:val="000000"/>
        </w:rPr>
        <w:t xml:space="preserve"> primero de julio de dos mil veinticinco</w:t>
      </w:r>
      <w:r w:rsidRPr="00A42D3A">
        <w:rPr>
          <w:rFonts w:ascii="Palatino Linotype" w:eastAsia="Palatino Linotype" w:hAnsi="Palatino Linotype" w:cs="Palatino Linotype"/>
          <w:color w:val="000000"/>
        </w:rPr>
        <w:t>, de tal forma que el plazo para interponer el recurso de revisión transcurrió del</w:t>
      </w:r>
      <w:r w:rsidRPr="00A42D3A">
        <w:rPr>
          <w:rFonts w:ascii="Palatino Linotype" w:eastAsia="Palatino Linotype" w:hAnsi="Palatino Linotype" w:cs="Palatino Linotype"/>
          <w:b/>
          <w:bCs/>
          <w:color w:val="000000"/>
        </w:rPr>
        <w:t xml:space="preserve"> dos de julio al cuatro de agosto de dos mil veinticinco</w:t>
      </w:r>
      <w:r w:rsidRPr="00A42D3A">
        <w:rPr>
          <w:rFonts w:ascii="Palatino Linotype" w:eastAsia="Palatino Linotype" w:hAnsi="Palatino Linotype" w:cs="Palatino Linotype"/>
          <w:color w:val="000000"/>
        </w:rPr>
        <w:t xml:space="preserve">; en consecuencia, presentó su inconformidad el día </w:t>
      </w:r>
      <w:r w:rsidRPr="00A42D3A">
        <w:rPr>
          <w:rFonts w:ascii="Palatino Linotype" w:eastAsia="Palatino Linotype" w:hAnsi="Palatino Linotype" w:cs="Palatino Linotype"/>
          <w:b/>
          <w:bCs/>
          <w:color w:val="000000"/>
        </w:rPr>
        <w:t>veintidós de julio de dos mil veinticinco</w:t>
      </w:r>
      <w:r w:rsidRPr="00A42D3A">
        <w:rPr>
          <w:rFonts w:ascii="Palatino Linotype" w:eastAsia="Palatino Linotype" w:hAnsi="Palatino Linotype" w:cs="Palatino Linotype"/>
          <w:color w:val="000000"/>
        </w:rPr>
        <w:t xml:space="preserve">, </w:t>
      </w:r>
      <w:r w:rsidRPr="00A42D3A">
        <w:rPr>
          <w:rFonts w:ascii="Palatino Linotype" w:eastAsia="Palatino Linotype" w:hAnsi="Palatino Linotype" w:cs="Palatino Linotype"/>
          <w:color w:val="000000"/>
        </w:rPr>
        <w:lastRenderedPageBreak/>
        <w:t xml:space="preserve">por lo que se encuentra dentro de los márgenes temporales previstos en el artículo 178 de la </w:t>
      </w:r>
      <w:r w:rsidRPr="00A42D3A">
        <w:rPr>
          <w:rFonts w:ascii="Palatino Linotype" w:eastAsia="Palatino Linotype" w:hAnsi="Palatino Linotype" w:cs="Palatino Linotype"/>
          <w:b/>
          <w:bCs/>
          <w:color w:val="000000"/>
        </w:rPr>
        <w:t xml:space="preserve">Ley de Transparencia y Acceso a la Información Pública del Estado de México y Municipios </w:t>
      </w:r>
      <w:r w:rsidRPr="00A42D3A">
        <w:rPr>
          <w:rFonts w:ascii="Palatino Linotype" w:eastAsia="Palatino Linotype" w:hAnsi="Palatino Linotype" w:cs="Palatino Linotype"/>
          <w:color w:val="000000"/>
        </w:rPr>
        <w:t>vigente.</w:t>
      </w:r>
    </w:p>
    <w:p w14:paraId="469D8ECC"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7C0FAA" w14:textId="77777777" w:rsidR="00413756" w:rsidRPr="00A42D3A" w:rsidRDefault="00F049FE">
      <w:pPr>
        <w:numPr>
          <w:ilvl w:val="0"/>
          <w:numId w:val="6"/>
        </w:numPr>
        <w:spacing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Por otra parte, de la revisión al expediente electrónico del </w:t>
      </w:r>
      <w:r w:rsidRPr="00A42D3A">
        <w:rPr>
          <w:rFonts w:ascii="Palatino Linotype" w:eastAsia="Palatino Linotype" w:hAnsi="Palatino Linotype" w:cs="Palatino Linotype"/>
          <w:b/>
          <w:bCs/>
        </w:rPr>
        <w:t>SAIMEX</w:t>
      </w:r>
      <w:r w:rsidRPr="00A42D3A">
        <w:rPr>
          <w:rFonts w:ascii="Palatino Linotype" w:eastAsia="Palatino Linotype" w:hAnsi="Palatino Linotype" w:cs="Palatino Linotype"/>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371A149" w14:textId="77777777" w:rsidR="00413756" w:rsidRPr="00A42D3A" w:rsidRDefault="00413756">
      <w:pPr>
        <w:pBdr>
          <w:top w:val="nil"/>
          <w:left w:val="nil"/>
          <w:bottom w:val="nil"/>
          <w:right w:val="nil"/>
          <w:between w:val="nil"/>
        </w:pBdr>
        <w:rPr>
          <w:rFonts w:ascii="Palatino Linotype" w:eastAsia="Palatino Linotype" w:hAnsi="Palatino Linotype" w:cs="Palatino Linotype"/>
          <w:color w:val="000000"/>
        </w:rPr>
      </w:pPr>
    </w:p>
    <w:p w14:paraId="59452DA8" w14:textId="77777777" w:rsidR="00413756" w:rsidRPr="00A42D3A" w:rsidRDefault="00F049FE">
      <w:pPr>
        <w:numPr>
          <w:ilvl w:val="0"/>
          <w:numId w:val="6"/>
        </w:numPr>
        <w:spacing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rPr>
        <w:t>Esto es así, ya que de conformidad con los artículos 6, Apartado A, fracciones III y IV de la Constitución Política de los Estados Unidos Mexicanos y 5, párrafos vigésimo, vigésimo primero y vigésimo segundo 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DF57274" w14:textId="77777777" w:rsidR="00413756" w:rsidRPr="00A42D3A" w:rsidRDefault="00413756">
      <w:pPr>
        <w:pBdr>
          <w:top w:val="nil"/>
          <w:left w:val="nil"/>
          <w:bottom w:val="nil"/>
          <w:right w:val="nil"/>
          <w:between w:val="nil"/>
        </w:pBdr>
        <w:rPr>
          <w:rFonts w:ascii="Palatino Linotype" w:eastAsia="Palatino Linotype" w:hAnsi="Palatino Linotype" w:cs="Palatino Linotype"/>
          <w:color w:val="000000"/>
        </w:rPr>
      </w:pPr>
    </w:p>
    <w:p w14:paraId="5C349F9C" w14:textId="77777777" w:rsidR="00413756" w:rsidRPr="00A42D3A" w:rsidRDefault="00F049FE">
      <w:pPr>
        <w:numPr>
          <w:ilvl w:val="0"/>
          <w:numId w:val="6"/>
        </w:numPr>
        <w:spacing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Por lo cual, de una interpretación sistemática, armónica y progresiva del derecho humano de acceso a la información pública se aprecia que toda persona, sin necesidad de </w:t>
      </w:r>
      <w:r w:rsidRPr="00A42D3A">
        <w:rPr>
          <w:rFonts w:ascii="Palatino Linotype" w:eastAsia="Palatino Linotype" w:hAnsi="Palatino Linotype" w:cs="Palatino Linotype"/>
        </w:rPr>
        <w:lastRenderedPageBreak/>
        <w:t>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9DC0AD9" w14:textId="77777777" w:rsidR="00413756" w:rsidRPr="00A42D3A" w:rsidRDefault="00413756">
      <w:pPr>
        <w:pBdr>
          <w:top w:val="nil"/>
          <w:left w:val="nil"/>
          <w:bottom w:val="nil"/>
          <w:right w:val="nil"/>
          <w:between w:val="nil"/>
        </w:pBdr>
        <w:rPr>
          <w:rFonts w:ascii="Palatino Linotype" w:eastAsia="Palatino Linotype" w:hAnsi="Palatino Linotype" w:cs="Palatino Linotype"/>
          <w:color w:val="000000"/>
        </w:rPr>
      </w:pPr>
    </w:p>
    <w:p w14:paraId="3999053E" w14:textId="77777777" w:rsidR="00413756" w:rsidRPr="00A42D3A" w:rsidRDefault="00F049FE">
      <w:pPr>
        <w:numPr>
          <w:ilvl w:val="0"/>
          <w:numId w:val="6"/>
        </w:numPr>
        <w:spacing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E6AF045" w14:textId="77777777" w:rsidR="00413756" w:rsidRPr="00A42D3A" w:rsidRDefault="00413756">
      <w:pPr>
        <w:pBdr>
          <w:top w:val="nil"/>
          <w:left w:val="nil"/>
          <w:bottom w:val="nil"/>
          <w:right w:val="nil"/>
          <w:between w:val="nil"/>
        </w:pBdr>
        <w:rPr>
          <w:rFonts w:ascii="Palatino Linotype" w:eastAsia="Palatino Linotype" w:hAnsi="Palatino Linotype" w:cs="Palatino Linotype"/>
          <w:color w:val="000000"/>
        </w:rPr>
      </w:pPr>
    </w:p>
    <w:p w14:paraId="27904B41" w14:textId="77777777" w:rsidR="00413756" w:rsidRPr="00A42D3A" w:rsidRDefault="00F049FE">
      <w:pPr>
        <w:numPr>
          <w:ilvl w:val="0"/>
          <w:numId w:val="6"/>
        </w:numPr>
        <w:spacing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65A3BB54" w14:textId="77777777" w:rsidR="00413756" w:rsidRPr="00A42D3A" w:rsidRDefault="00413756">
      <w:pPr>
        <w:rPr>
          <w:rFonts w:ascii="Palatino Linotype" w:eastAsia="Palatino Linotype" w:hAnsi="Palatino Linotype" w:cs="Palatino Linotype"/>
          <w:color w:val="000000"/>
        </w:rPr>
      </w:pPr>
    </w:p>
    <w:p w14:paraId="555660A1"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DC5D588" w14:textId="77777777" w:rsidR="00413756" w:rsidRPr="00A42D3A" w:rsidRDefault="00F049FE">
      <w:pPr>
        <w:pStyle w:val="Ttulo1"/>
        <w:spacing w:line="360" w:lineRule="auto"/>
        <w:rPr>
          <w:rFonts w:ascii="Palatino Linotype" w:eastAsia="Palatino Linotype" w:hAnsi="Palatino Linotype" w:cs="Palatino Linotype"/>
          <w:b/>
          <w:bCs/>
          <w:i/>
          <w:iCs/>
          <w:color w:val="000000"/>
          <w:sz w:val="24"/>
          <w:szCs w:val="24"/>
        </w:rPr>
      </w:pPr>
      <w:r w:rsidRPr="00A42D3A">
        <w:rPr>
          <w:rFonts w:ascii="Palatino Linotype" w:eastAsia="Palatino Linotype" w:hAnsi="Palatino Linotype" w:cs="Palatino Linotype"/>
          <w:b/>
          <w:bCs/>
          <w:color w:val="000000"/>
          <w:sz w:val="24"/>
          <w:szCs w:val="24"/>
        </w:rPr>
        <w:t>TERCERO. Del planteamiento de la Litis</w:t>
      </w:r>
    </w:p>
    <w:p w14:paraId="0F6E83FA"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El particular solicitó de un servidor público especifico lo siguiente:</w:t>
      </w:r>
    </w:p>
    <w:p w14:paraId="628A5571"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Cargo;</w:t>
      </w:r>
    </w:p>
    <w:p w14:paraId="6FFCAB29"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Expediente completo;</w:t>
      </w:r>
    </w:p>
    <w:p w14:paraId="4B3F3F4D"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FUMP de alta;</w:t>
      </w:r>
    </w:p>
    <w:p w14:paraId="546C4D1B"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Sueldo;</w:t>
      </w:r>
    </w:p>
    <w:p w14:paraId="59D6E05F"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lastRenderedPageBreak/>
        <w:t>Currículum Vitae;</w:t>
      </w:r>
    </w:p>
    <w:p w14:paraId="236A7501"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Certificado de antecedentes no penales;</w:t>
      </w:r>
    </w:p>
    <w:p w14:paraId="46176EB2"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Certificado de no deudor alimentario;</w:t>
      </w:r>
    </w:p>
    <w:p w14:paraId="0BFE7982"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 xml:space="preserve">Oficio firmados y recibidos en su área. </w:t>
      </w:r>
    </w:p>
    <w:p w14:paraId="3C8837B5" w14:textId="77777777" w:rsidR="00413756" w:rsidRPr="00A42D3A" w:rsidRDefault="00413756">
      <w:pPr>
        <w:pBdr>
          <w:top w:val="nil"/>
          <w:left w:val="nil"/>
          <w:bottom w:val="nil"/>
          <w:right w:val="nil"/>
          <w:between w:val="nil"/>
        </w:pBdr>
        <w:spacing w:line="360" w:lineRule="auto"/>
        <w:ind w:left="720"/>
        <w:jc w:val="both"/>
        <w:rPr>
          <w:rFonts w:ascii="Palatino Linotype" w:eastAsia="Palatino Linotype" w:hAnsi="Palatino Linotype" w:cs="Palatino Linotype"/>
          <w:i/>
          <w:iCs/>
          <w:color w:val="000000"/>
        </w:rPr>
      </w:pPr>
    </w:p>
    <w:p w14:paraId="50CDFF88" w14:textId="77777777" w:rsidR="00413756" w:rsidRPr="00A42D3A" w:rsidRDefault="00F049FE">
      <w:pPr>
        <w:numPr>
          <w:ilvl w:val="0"/>
          <w:numId w:val="6"/>
        </w:numPr>
        <w:spacing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En respuesta, el Sujeto Obligado adjuntó dos ligas electrónicas en las que señaló se podía consultar la información solicitada, asimismo, señaló que no tiene la carta de antecedentes no penales por ser considera una forma de discriminación. Por su parte, el Recurrente se inconformó por la negativa de la información. </w:t>
      </w:r>
    </w:p>
    <w:p w14:paraId="09D0EA03" w14:textId="77777777" w:rsidR="00413756" w:rsidRPr="00A42D3A" w:rsidRDefault="00413756">
      <w:pPr>
        <w:spacing w:line="360" w:lineRule="auto"/>
        <w:jc w:val="both"/>
        <w:rPr>
          <w:rFonts w:ascii="Palatino Linotype" w:eastAsia="Palatino Linotype" w:hAnsi="Palatino Linotype" w:cs="Palatino Linotype"/>
        </w:rPr>
      </w:pPr>
    </w:p>
    <w:p w14:paraId="2EAE3441" w14:textId="77777777" w:rsidR="00413756" w:rsidRPr="00A42D3A" w:rsidRDefault="00F049FE">
      <w:pPr>
        <w:numPr>
          <w:ilvl w:val="0"/>
          <w:numId w:val="6"/>
        </w:numPr>
        <w:spacing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En consecuencia, la Litis a resolver en este recurso, se circunscribe a determinar si la respuesta colma con lo solicitado o si se actualiza la causal de procedencia prevista en el artículo 179, fracción I de la Ley de Transparencia y Acceso a la Información Pública del Estado de México y Municipios; que establece la negativa de la información solicitada.    </w:t>
      </w:r>
    </w:p>
    <w:p w14:paraId="6C17802C" w14:textId="77777777" w:rsidR="00413756" w:rsidRPr="00A42D3A" w:rsidRDefault="00F049FE">
      <w:pPr>
        <w:pStyle w:val="Ttulo1"/>
        <w:spacing w:line="360" w:lineRule="auto"/>
        <w:rPr>
          <w:rFonts w:ascii="Palatino Linotype" w:eastAsia="Palatino Linotype" w:hAnsi="Palatino Linotype" w:cs="Palatino Linotype"/>
          <w:b/>
          <w:bCs/>
          <w:color w:val="000000"/>
          <w:sz w:val="24"/>
          <w:szCs w:val="24"/>
        </w:rPr>
      </w:pPr>
      <w:bookmarkStart w:id="5" w:name="_heading=h.3dy6vkm" w:colFirst="0" w:colLast="0"/>
      <w:bookmarkEnd w:id="5"/>
      <w:r w:rsidRPr="00A42D3A">
        <w:rPr>
          <w:rFonts w:ascii="Palatino Linotype" w:eastAsia="Palatino Linotype" w:hAnsi="Palatino Linotype" w:cs="Palatino Linotype"/>
          <w:b/>
          <w:bCs/>
          <w:color w:val="000000"/>
          <w:sz w:val="24"/>
          <w:szCs w:val="24"/>
        </w:rPr>
        <w:t xml:space="preserve">CUARTO. Estudio y resolución del recurso de revisión. </w:t>
      </w:r>
    </w:p>
    <w:p w14:paraId="0D492E24" w14:textId="77777777" w:rsidR="00413756" w:rsidRPr="00A42D3A" w:rsidRDefault="00F049FE">
      <w:pPr>
        <w:numPr>
          <w:ilvl w:val="0"/>
          <w:numId w:val="6"/>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A42D3A">
        <w:rPr>
          <w:rFonts w:ascii="Palatino Linotype" w:eastAsia="Palatino Linotype" w:hAnsi="Palatino Linotype" w:cs="Palatino Linotype"/>
          <w:b/>
          <w:bCs/>
          <w:color w:val="000000"/>
        </w:rPr>
        <w:t>Ley de Transparencia y Acceso a la Información Pública del Estado de México y Municipios</w:t>
      </w:r>
      <w:r w:rsidRPr="00A42D3A">
        <w:rPr>
          <w:rFonts w:ascii="Palatino Linotype" w:eastAsia="Palatino Linotype" w:hAnsi="Palatino Linotype" w:cs="Palatino Linotype"/>
          <w:color w:val="000000"/>
        </w:rPr>
        <w:t>.</w:t>
      </w:r>
    </w:p>
    <w:p w14:paraId="4B7BE183" w14:textId="77777777" w:rsidR="00413756" w:rsidRPr="00A42D3A" w:rsidRDefault="00413756">
      <w:pPr>
        <w:spacing w:line="360" w:lineRule="auto"/>
        <w:jc w:val="both"/>
        <w:rPr>
          <w:rFonts w:ascii="Palatino Linotype" w:eastAsia="Palatino Linotype" w:hAnsi="Palatino Linotype" w:cs="Palatino Linotype"/>
        </w:rPr>
      </w:pPr>
      <w:bookmarkStart w:id="6" w:name="_heading=h.4d34og8" w:colFirst="0" w:colLast="0"/>
      <w:bookmarkEnd w:id="6"/>
    </w:p>
    <w:p w14:paraId="6A872E89" w14:textId="77777777" w:rsidR="00413756" w:rsidRPr="00A42D3A" w:rsidRDefault="00F049FE">
      <w:pPr>
        <w:numPr>
          <w:ilvl w:val="0"/>
          <w:numId w:val="6"/>
        </w:numPr>
        <w:tabs>
          <w:tab w:val="left" w:pos="0"/>
          <w:tab w:val="left" w:pos="567"/>
        </w:tabs>
        <w:spacing w:after="240"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color w:val="000000"/>
        </w:rPr>
        <w:t xml:space="preserve">Así, este Instituto de Transparencia, de conformidad con los principios de eficacia y profesionalismo, procederá a verificar la información remitida por el </w:t>
      </w:r>
      <w:r w:rsidRPr="00A42D3A">
        <w:rPr>
          <w:rFonts w:ascii="Palatino Linotype" w:eastAsia="Palatino Linotype" w:hAnsi="Palatino Linotype" w:cs="Palatino Linotype"/>
          <w:b/>
          <w:bCs/>
          <w:color w:val="000000"/>
        </w:rPr>
        <w:t xml:space="preserve">SUJETO OBLIGADO </w:t>
      </w:r>
      <w:r w:rsidRPr="00A42D3A">
        <w:rPr>
          <w:rFonts w:ascii="Palatino Linotype" w:eastAsia="Palatino Linotype" w:hAnsi="Palatino Linotype" w:cs="Palatino Linotype"/>
          <w:b/>
          <w:bCs/>
          <w:color w:val="000000"/>
        </w:rPr>
        <w:lastRenderedPageBreak/>
        <w:t>y</w:t>
      </w:r>
      <w:r w:rsidRPr="00A42D3A">
        <w:rPr>
          <w:rFonts w:ascii="Palatino Linotype" w:eastAsia="Palatino Linotype" w:hAnsi="Palatino Linotype" w:cs="Palatino Linotype"/>
          <w:color w:val="000000"/>
        </w:rPr>
        <w:t xml:space="preserve"> las manifestaciones realizadas por el </w:t>
      </w:r>
      <w:r w:rsidRPr="00A42D3A">
        <w:rPr>
          <w:rFonts w:ascii="Palatino Linotype" w:eastAsia="Palatino Linotype" w:hAnsi="Palatino Linotype" w:cs="Palatino Linotype"/>
          <w:b/>
          <w:bCs/>
        </w:rPr>
        <w:t>SOLICITANTE</w:t>
      </w:r>
      <w:r w:rsidRPr="00A42D3A">
        <w:rPr>
          <w:rFonts w:ascii="Palatino Linotype" w:eastAsia="Palatino Linotype" w:hAnsi="Palatino Linotype" w:cs="Palatino Linotype"/>
          <w:b/>
          <w:bCs/>
          <w:color w:val="000000"/>
        </w:rPr>
        <w:t xml:space="preserve"> </w:t>
      </w:r>
      <w:r w:rsidRPr="00A42D3A">
        <w:rPr>
          <w:rFonts w:ascii="Palatino Linotype" w:eastAsia="Palatino Linotype" w:hAnsi="Palatino Linotype" w:cs="Palatino Linotype"/>
          <w:color w:val="000000"/>
        </w:rPr>
        <w:t xml:space="preserve">a efecto de determinar si la información remitida se encuentra apegada a lo que establece la Ley en materia de Transparencia. </w:t>
      </w:r>
    </w:p>
    <w:p w14:paraId="5F1136B4" w14:textId="77777777" w:rsidR="00413756" w:rsidRPr="00A42D3A" w:rsidRDefault="00413756">
      <w:pPr>
        <w:pBdr>
          <w:top w:val="nil"/>
          <w:left w:val="nil"/>
          <w:bottom w:val="nil"/>
          <w:right w:val="nil"/>
          <w:between w:val="nil"/>
        </w:pBdr>
        <w:ind w:left="720"/>
        <w:rPr>
          <w:rFonts w:ascii="Palatino Linotype" w:eastAsia="Palatino Linotype" w:hAnsi="Palatino Linotype" w:cs="Palatino Linotype"/>
          <w:color w:val="000000"/>
        </w:rPr>
      </w:pPr>
    </w:p>
    <w:p w14:paraId="326C77AD" w14:textId="77777777" w:rsidR="00413756" w:rsidRPr="00A42D3A" w:rsidRDefault="00F049FE">
      <w:pPr>
        <w:numPr>
          <w:ilvl w:val="0"/>
          <w:numId w:val="6"/>
        </w:numPr>
        <w:tabs>
          <w:tab w:val="left" w:pos="0"/>
          <w:tab w:val="left" w:pos="567"/>
        </w:tabs>
        <w:spacing w:after="240"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rPr>
        <w:t>En ese contexto, debemos recordar que el particular solicitó de un servidor público especifico lo siguiente:</w:t>
      </w:r>
    </w:p>
    <w:p w14:paraId="0637EAFD"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Cargo;</w:t>
      </w:r>
    </w:p>
    <w:p w14:paraId="2A3E95CC"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Expediente completo;</w:t>
      </w:r>
    </w:p>
    <w:p w14:paraId="3E057B31"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FUMP de alta;</w:t>
      </w:r>
    </w:p>
    <w:p w14:paraId="7353D699"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Sueldo;</w:t>
      </w:r>
    </w:p>
    <w:p w14:paraId="725C9694"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Currículum Vitae;</w:t>
      </w:r>
    </w:p>
    <w:p w14:paraId="6509944A"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Certificado de antecedentes no penales;</w:t>
      </w:r>
    </w:p>
    <w:p w14:paraId="3B8AC3B5"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Certificado de no deudor alimentario;</w:t>
      </w:r>
    </w:p>
    <w:p w14:paraId="5582D503" w14:textId="77777777" w:rsidR="00413756" w:rsidRPr="00A42D3A" w:rsidRDefault="00F049F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t xml:space="preserve">Oficio firmados y recibidos en su área. </w:t>
      </w:r>
    </w:p>
    <w:p w14:paraId="1732C143" w14:textId="77777777" w:rsidR="00413756" w:rsidRPr="00A42D3A" w:rsidRDefault="00413756">
      <w:pPr>
        <w:spacing w:line="360" w:lineRule="auto"/>
        <w:jc w:val="both"/>
        <w:rPr>
          <w:rFonts w:ascii="Palatino Linotype" w:eastAsia="Palatino Linotype" w:hAnsi="Palatino Linotype" w:cs="Palatino Linotype"/>
          <w:i/>
          <w:iCs/>
        </w:rPr>
      </w:pPr>
    </w:p>
    <w:p w14:paraId="112CF3C5" w14:textId="77777777" w:rsidR="00413756" w:rsidRPr="00A42D3A" w:rsidRDefault="00F049FE">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 xml:space="preserve">De la naturaleza de la información solicitada. </w:t>
      </w:r>
    </w:p>
    <w:p w14:paraId="381F6590"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Primeramente, se precisa que se obvia el análisis de la competencia por parte del </w:t>
      </w:r>
      <w:r w:rsidRPr="00A42D3A">
        <w:rPr>
          <w:rFonts w:ascii="Palatino Linotype" w:eastAsia="Palatino Linotype" w:hAnsi="Palatino Linotype" w:cs="Palatino Linotype"/>
          <w:b/>
          <w:bCs/>
          <w:color w:val="000000"/>
        </w:rPr>
        <w:t>SUJETO OBLIGADO</w:t>
      </w:r>
      <w:r w:rsidRPr="00A42D3A">
        <w:rPr>
          <w:rFonts w:ascii="Palatino Linotype" w:eastAsia="Palatino Linotype" w:hAnsi="Palatino Linotype" w:cs="Palatino Linotype"/>
          <w:color w:val="000000"/>
        </w:rPr>
        <w:t>, para generar, administrar o poseer la información solicitada, dado que éste ha asumido la misma, en razón de que en su respuesta admitió contar con dicha información, tan es así que señaló que la información podía ser consultada en dos ligas electrónicas que adjuntó.</w:t>
      </w:r>
    </w:p>
    <w:p w14:paraId="27881D35"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BD53034"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7" w:name="_heading=h.ycwr5rcrfja7" w:colFirst="0" w:colLast="0"/>
      <w:bookmarkEnd w:id="7"/>
      <w:r w:rsidRPr="00A42D3A">
        <w:rPr>
          <w:rFonts w:ascii="Palatino Linotype" w:eastAsia="Palatino Linotype" w:hAnsi="Palatino Linotype" w:cs="Palatino Linotype"/>
          <w:color w:val="000000"/>
        </w:rPr>
        <w:t xml:space="preserve">En efecto, el hecho de que </w:t>
      </w:r>
      <w:r w:rsidRPr="00A42D3A">
        <w:rPr>
          <w:rFonts w:ascii="Palatino Linotype" w:eastAsia="Palatino Linotype" w:hAnsi="Palatino Linotype" w:cs="Palatino Linotype"/>
          <w:b/>
          <w:bCs/>
          <w:color w:val="000000"/>
        </w:rPr>
        <w:t>EL SUJETO OBLIGADO</w:t>
      </w:r>
      <w:r w:rsidRPr="00A42D3A">
        <w:rPr>
          <w:rFonts w:ascii="Palatino Linotype" w:eastAsia="Palatino Linotype" w:hAnsi="Palatino Linotype" w:cs="Palatino Linotype"/>
          <w:color w:val="000000"/>
        </w:rPr>
        <w:t xml:space="preserve"> haya admitido contar con la información pública solicitada, acepta que la genera, posee y administra, en ejercicio de sus </w:t>
      </w:r>
      <w:r w:rsidRPr="00A42D3A">
        <w:rPr>
          <w:rFonts w:ascii="Palatino Linotype" w:eastAsia="Palatino Linotype" w:hAnsi="Palatino Linotype" w:cs="Palatino Linotype"/>
          <w:color w:val="000000"/>
        </w:rPr>
        <w:lastRenderedPageBreak/>
        <w:t>funciones de derecho público, motivo por el cual se actualiza el supuesto jurídico, previsto en el artículo 12 de la Ley de Transparencia y Acceso a la Información Pública del Estado de México y Municipios.</w:t>
      </w:r>
    </w:p>
    <w:p w14:paraId="1F912A18" w14:textId="77777777" w:rsidR="00413756" w:rsidRPr="00A42D3A" w:rsidRDefault="00F049FE">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w:t>
      </w:r>
      <w:r w:rsidRPr="00A42D3A">
        <w:rPr>
          <w:rFonts w:ascii="Palatino Linotype" w:eastAsia="Palatino Linotype" w:hAnsi="Palatino Linotype" w:cs="Palatino Linotype"/>
          <w:b/>
          <w:bCs/>
          <w:i/>
          <w:iCs/>
          <w:color w:val="000000"/>
        </w:rPr>
        <w:t>Artículo 12.</w:t>
      </w:r>
      <w:r w:rsidRPr="00A42D3A">
        <w:rPr>
          <w:rFonts w:ascii="Palatino Linotype" w:eastAsia="Palatino Linotype" w:hAnsi="Palatino Linotype" w:cs="Palatino Linotype"/>
          <w:i/>
          <w:iCs/>
          <w:color w:val="000000"/>
        </w:rPr>
        <w:t> Quienes generen, recopilen, administren, manejen, procesen, archiven o conserven información pública serán responsables de la misma en los términos de las disposiciones jurídicas aplicables.</w:t>
      </w:r>
    </w:p>
    <w:p w14:paraId="1F088EF2" w14:textId="77777777" w:rsidR="00413756" w:rsidRPr="00A42D3A" w:rsidRDefault="00413756">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p>
    <w:p w14:paraId="2660A48B" w14:textId="77777777" w:rsidR="00413756" w:rsidRPr="00A42D3A" w:rsidRDefault="00F049FE">
      <w:pPr>
        <w:pBdr>
          <w:top w:val="nil"/>
          <w:left w:val="nil"/>
          <w:bottom w:val="nil"/>
          <w:right w:val="nil"/>
          <w:between w:val="nil"/>
        </w:pBdr>
        <w:spacing w:line="276" w:lineRule="auto"/>
        <w:ind w:left="851"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4953F09" w14:textId="77777777" w:rsidR="00413756" w:rsidRPr="00A42D3A" w:rsidRDefault="00413756">
      <w:pPr>
        <w:pBdr>
          <w:top w:val="nil"/>
          <w:left w:val="nil"/>
          <w:bottom w:val="nil"/>
          <w:right w:val="nil"/>
          <w:between w:val="nil"/>
        </w:pBdr>
        <w:ind w:left="360" w:right="902"/>
        <w:jc w:val="both"/>
        <w:rPr>
          <w:rFonts w:ascii="Palatino Linotype" w:eastAsia="Palatino Linotype" w:hAnsi="Palatino Linotype" w:cs="Palatino Linotype"/>
          <w:color w:val="000000"/>
        </w:rPr>
      </w:pPr>
    </w:p>
    <w:p w14:paraId="4CA0349B"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Así, el estudio de la naturaleza jurídica de la información pública solicitada, tiene por objeto determinar si ésta la genera, posee o administra </w:t>
      </w:r>
      <w:r w:rsidRPr="00A42D3A">
        <w:rPr>
          <w:rFonts w:ascii="Palatino Linotype" w:eastAsia="Palatino Linotype" w:hAnsi="Palatino Linotype" w:cs="Palatino Linotype"/>
          <w:b/>
          <w:bCs/>
          <w:color w:val="000000"/>
        </w:rPr>
        <w:t>EL SUJETO OBLIGADO</w:t>
      </w:r>
      <w:r w:rsidRPr="00A42D3A">
        <w:rPr>
          <w:rFonts w:ascii="Palatino Linotype" w:eastAsia="Palatino Linotype" w:hAnsi="Palatino Linotype" w:cs="Palatino Linotype"/>
          <w:color w:val="000000"/>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390EED35" w14:textId="77777777" w:rsidR="00413756" w:rsidRPr="00A42D3A" w:rsidRDefault="00413756">
      <w:pPr>
        <w:rPr>
          <w:rFonts w:ascii="Palatino Linotype" w:eastAsia="Palatino Linotype" w:hAnsi="Palatino Linotype" w:cs="Palatino Linotype"/>
        </w:rPr>
      </w:pPr>
    </w:p>
    <w:p w14:paraId="0CAEEE5D" w14:textId="77777777" w:rsidR="00413756" w:rsidRPr="00A42D3A" w:rsidRDefault="00F049F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 xml:space="preserve">De la información contenida en ligas electrónicas. </w:t>
      </w:r>
    </w:p>
    <w:p w14:paraId="132206BE" w14:textId="77777777" w:rsidR="00413756" w:rsidRPr="00A42D3A" w:rsidRDefault="00F049FE">
      <w:pPr>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Ahora bien,  la Ley en la materia en términos generales, establece que como uno de los objetivos con el que cuenta es el de garantizar a toda persona el derecho de acceso a la información pública, mediante los procedimientos establecidos de forma </w:t>
      </w:r>
      <w:r w:rsidRPr="00A42D3A">
        <w:rPr>
          <w:rFonts w:ascii="Palatino Linotype" w:eastAsia="Palatino Linotype" w:hAnsi="Palatino Linotype" w:cs="Palatino Linotype"/>
          <w:b/>
          <w:bCs/>
          <w:color w:val="000000"/>
        </w:rPr>
        <w:t>sencilla</w:t>
      </w:r>
      <w:r w:rsidRPr="00A42D3A">
        <w:rPr>
          <w:rFonts w:ascii="Palatino Linotype" w:eastAsia="Palatino Linotype" w:hAnsi="Palatino Linotype" w:cs="Palatino Linotype"/>
          <w:color w:val="000000"/>
        </w:rPr>
        <w:t xml:space="preserve">, expeditos, </w:t>
      </w:r>
      <w:r w:rsidRPr="00A42D3A">
        <w:rPr>
          <w:rFonts w:ascii="Palatino Linotype" w:eastAsia="Palatino Linotype" w:hAnsi="Palatino Linotype" w:cs="Palatino Linotype"/>
          <w:b/>
          <w:bCs/>
          <w:color w:val="000000"/>
        </w:rPr>
        <w:t>oportunos</w:t>
      </w:r>
      <w:r w:rsidRPr="00A42D3A">
        <w:rPr>
          <w:rFonts w:ascii="Palatino Linotype" w:eastAsia="Palatino Linotype" w:hAnsi="Palatino Linotype" w:cs="Palatino Linotype"/>
          <w:color w:val="000000"/>
        </w:rPr>
        <w:t xml:space="preserve"> y gratuitos, y con ello contribuir a la mejora de procedimientos y mecanismos que permitan trasparentar la gestión pública y mejora la toma decisiones, a través de la difusión de la información que obra en poder de los sujeto obligados.</w:t>
      </w:r>
    </w:p>
    <w:p w14:paraId="33F56FD8"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lastRenderedPageBreak/>
        <w:t>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que, los Sujetos Obligados proporcionen la información por el medio solicitado; no obstante, la Ley de Transparencia y Acceso</w:t>
      </w:r>
      <w:r w:rsidRPr="00A42D3A">
        <w:rPr>
          <w:rFonts w:ascii="Palatino Linotype" w:eastAsia="Palatino Linotype" w:hAnsi="Palatino Linotype" w:cs="Palatino Linotype"/>
          <w:b/>
          <w:bCs/>
          <w:color w:val="000000"/>
        </w:rPr>
        <w:t xml:space="preserve"> </w:t>
      </w:r>
      <w:r w:rsidRPr="00A42D3A">
        <w:rPr>
          <w:rFonts w:ascii="Palatino Linotype" w:eastAsia="Palatino Linotype" w:hAnsi="Palatino Linotype" w:cs="Palatino Linotype"/>
          <w:color w:val="000000"/>
        </w:rPr>
        <w:t>a la Información Pública del Estado de México y Municipios establece dos puntos importantes que impactan sobre la modalidad de entrega de la información.</w:t>
      </w:r>
    </w:p>
    <w:p w14:paraId="69D08D67" w14:textId="77777777" w:rsidR="00413756" w:rsidRPr="00A42D3A" w:rsidRDefault="00413756">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00CDA3C1" w14:textId="77777777" w:rsidR="00413756" w:rsidRPr="00A42D3A" w:rsidRDefault="00F049FE">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El primer punto a analizar es que la ley en materia contempla </w:t>
      </w:r>
      <w:r w:rsidRPr="00A42D3A">
        <w:rPr>
          <w:rFonts w:ascii="Palatino Linotype" w:eastAsia="Palatino Linotype" w:hAnsi="Palatino Linotype" w:cs="Palatino Linotype"/>
          <w:b/>
          <w:bCs/>
          <w:color w:val="000000"/>
        </w:rPr>
        <w:t>información pública de oficio</w:t>
      </w:r>
      <w:r w:rsidRPr="00A42D3A">
        <w:rPr>
          <w:rFonts w:ascii="Palatino Linotype" w:eastAsia="Palatino Linotype" w:hAnsi="Palatino Linotype" w:cs="Palatino Linotype"/>
          <w:color w:val="000000"/>
        </w:rPr>
        <w:t xml:space="preserve"> que los Sujetos Obligados deben poner a disposición del público de manera permanente y actualizada de forma sencilla, precisa y entendible, en los respectivos medios electrónicos la información pública que generen, administren o posean.</w:t>
      </w:r>
    </w:p>
    <w:p w14:paraId="6C0FD5D6" w14:textId="77777777" w:rsidR="00413756" w:rsidRPr="00A42D3A" w:rsidRDefault="00413756">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368B71D3" w14:textId="77777777" w:rsidR="00413756" w:rsidRPr="00A42D3A" w:rsidRDefault="00F049FE">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El segundo punto a analizar y que guarda estricta relación con el punto anterior, se encuentra en el artículo 161 de la citada Ley de Transparencia Local:</w:t>
      </w:r>
    </w:p>
    <w:p w14:paraId="2556EE9C" w14:textId="77777777" w:rsidR="00413756" w:rsidRPr="00A42D3A" w:rsidRDefault="00F049FE">
      <w:pPr>
        <w:spacing w:line="360" w:lineRule="auto"/>
        <w:ind w:left="567" w:right="567"/>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Artículo 161. Cuando la información requerida por el solicitante ya esté disponible</w:t>
      </w:r>
      <w:r w:rsidRPr="00A42D3A">
        <w:rPr>
          <w:rFonts w:ascii="Palatino Linotype" w:eastAsia="Palatino Linotype" w:hAnsi="Palatino Linotype" w:cs="Palatino Linotype"/>
          <w:i/>
          <w:iCs/>
        </w:rPr>
        <w:t xml:space="preserve"> al público en medios impresos, tales como libros, compendios, trípticos, registros públicos, </w:t>
      </w:r>
      <w:r w:rsidRPr="00A42D3A">
        <w:rPr>
          <w:rFonts w:ascii="Palatino Linotype" w:eastAsia="Palatino Linotype" w:hAnsi="Palatino Linotype" w:cs="Palatino Linotype"/>
          <w:b/>
          <w:bCs/>
          <w:i/>
          <w:iCs/>
        </w:rPr>
        <w:t xml:space="preserve">en formatos electrónicos disponibles en Internet </w:t>
      </w:r>
      <w:r w:rsidRPr="00A42D3A">
        <w:rPr>
          <w:rFonts w:ascii="Palatino Linotype" w:eastAsia="Palatino Linotype" w:hAnsi="Palatino Linotype" w:cs="Palatino Linotype"/>
          <w:i/>
          <w:iCs/>
        </w:rPr>
        <w:t xml:space="preserve">o en cualquier otro medio, se le hará saber por el medio requerido por el solicitante la fuente, el lugar y la forma en que puede consultar, reproducir o adquirir dicha información </w:t>
      </w:r>
      <w:r w:rsidRPr="00A42D3A">
        <w:rPr>
          <w:rFonts w:ascii="Palatino Linotype" w:eastAsia="Palatino Linotype" w:hAnsi="Palatino Linotype" w:cs="Palatino Linotype"/>
          <w:b/>
          <w:bCs/>
          <w:i/>
          <w:iCs/>
        </w:rPr>
        <w:t>en un plazo no mayor a cinco días hábiles</w:t>
      </w:r>
      <w:r w:rsidRPr="00A42D3A">
        <w:rPr>
          <w:rFonts w:ascii="Palatino Linotype" w:eastAsia="Palatino Linotype" w:hAnsi="Palatino Linotype" w:cs="Palatino Linotype"/>
          <w:i/>
          <w:iCs/>
        </w:rPr>
        <w:t xml:space="preserve">. </w:t>
      </w:r>
      <w:r w:rsidRPr="00A42D3A">
        <w:rPr>
          <w:rFonts w:ascii="Palatino Linotype" w:eastAsia="Palatino Linotype" w:hAnsi="Palatino Linotype" w:cs="Palatino Linotype"/>
          <w:b/>
          <w:bCs/>
          <w:i/>
          <w:iCs/>
        </w:rPr>
        <w:t>La fuente deberá ser precisa y concreta y no debe implicar que el solicitante realice una búsqueda en toda la información que se encuentre disponible</w:t>
      </w:r>
      <w:r w:rsidRPr="00A42D3A">
        <w:rPr>
          <w:rFonts w:ascii="Palatino Linotype" w:eastAsia="Palatino Linotype" w:hAnsi="Palatino Linotype" w:cs="Palatino Linotype"/>
          <w:i/>
          <w:iCs/>
        </w:rPr>
        <w:t>.</w:t>
      </w:r>
    </w:p>
    <w:p w14:paraId="130C8A73" w14:textId="77777777" w:rsidR="00413756" w:rsidRPr="00A42D3A" w:rsidRDefault="00F049FE">
      <w:pPr>
        <w:numPr>
          <w:ilvl w:val="0"/>
          <w:numId w:val="6"/>
        </w:numPr>
        <w:pBdr>
          <w:top w:val="nil"/>
          <w:left w:val="nil"/>
          <w:bottom w:val="nil"/>
          <w:right w:val="nil"/>
          <w:between w:val="nil"/>
        </w:pBdr>
        <w:tabs>
          <w:tab w:val="left" w:pos="851"/>
        </w:tabs>
        <w:spacing w:before="240" w:line="360" w:lineRule="auto"/>
        <w:ind w:left="0" w:right="49" w:firstLine="0"/>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color w:val="000000"/>
        </w:rPr>
        <w:lastRenderedPageBreak/>
        <w:t>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632824F5" w14:textId="77777777" w:rsidR="00413756" w:rsidRPr="00A42D3A" w:rsidRDefault="00413756">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i/>
          <w:iCs/>
          <w:color w:val="000000"/>
        </w:rPr>
      </w:pPr>
    </w:p>
    <w:p w14:paraId="161EBA46" w14:textId="77777777" w:rsidR="00413756" w:rsidRPr="00A42D3A" w:rsidRDefault="00F049FE">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b/>
          <w:bCs/>
          <w:color w:val="000000"/>
        </w:rPr>
        <w:t>La orientación</w:t>
      </w:r>
      <w:r w:rsidRPr="00A42D3A">
        <w:rPr>
          <w:rFonts w:ascii="Palatino Linotype" w:eastAsia="Palatino Linotype" w:hAnsi="Palatino Linotype" w:cs="Palatino Linotype"/>
          <w:color w:val="000000"/>
        </w:rPr>
        <w:t xml:space="preserve"> que realicen los Sujetos Obligados a los sitios electrónicos para la consulta de la información </w:t>
      </w:r>
      <w:r w:rsidRPr="00A42D3A">
        <w:rPr>
          <w:rFonts w:ascii="Palatino Linotype" w:eastAsia="Palatino Linotype" w:hAnsi="Palatino Linotype" w:cs="Palatino Linotype"/>
          <w:b/>
          <w:bCs/>
          <w:color w:val="000000"/>
        </w:rPr>
        <w:t>debe cumplir con las características de tiempo y forma.</w:t>
      </w:r>
      <w:r w:rsidRPr="00A42D3A">
        <w:rPr>
          <w:rFonts w:ascii="Palatino Linotype" w:eastAsia="Palatino Linotype" w:hAnsi="Palatino Linotype" w:cs="Palatino Linotype"/>
          <w:i/>
          <w:iCs/>
          <w:color w:val="000000"/>
        </w:rPr>
        <w:t xml:space="preserve"> </w:t>
      </w:r>
      <w:r w:rsidRPr="00A42D3A">
        <w:rPr>
          <w:rFonts w:ascii="Palatino Linotype" w:eastAsia="Palatino Linotype" w:hAnsi="Palatino Linotype" w:cs="Palatino Linotype"/>
          <w:color w:val="000000"/>
        </w:rPr>
        <w:t xml:space="preserve">Ahora bien, la normatividad en materia establece que las direcciones electrónicas deben ser precisas, de tal modo que no implique que el Recurrente deba de realizar una búsqueda dentro de toda la información disponible. En este caso, el Sujeto Obligado adjuntó dos    ligas electrónicas en las que señaló que se podía consultar la información solicitada, sin embargo, estas no se encuentran en datos abiertos. </w:t>
      </w:r>
    </w:p>
    <w:p w14:paraId="33DCDF28" w14:textId="77777777" w:rsidR="00413756" w:rsidRPr="00A42D3A" w:rsidRDefault="00413756">
      <w:pPr>
        <w:pBdr>
          <w:top w:val="nil"/>
          <w:left w:val="nil"/>
          <w:bottom w:val="nil"/>
          <w:right w:val="nil"/>
          <w:between w:val="nil"/>
        </w:pBdr>
        <w:ind w:left="720"/>
        <w:rPr>
          <w:rFonts w:ascii="Palatino Linotype" w:eastAsia="Palatino Linotype" w:hAnsi="Palatino Linotype" w:cs="Palatino Linotype"/>
          <w:i/>
          <w:iCs/>
          <w:color w:val="000000"/>
        </w:rPr>
      </w:pPr>
    </w:p>
    <w:p w14:paraId="3B69BF33"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222222"/>
        </w:rPr>
        <w:t>En ese sentido, es oportuno mencionar lo que debemos entender por datos abiertos, siendo estos los datos digitales de carácter público que pueden ser usados, reutilizados y redistribuidos por cualquier interesado y que tienen como característica ser accesibles, integrales, gratuitos, no discriminatorios, oportunos, permanentes, primarios, legibles por las máquinas, en formatos abiertos y de libre uso.  En este mismo sentido, nuestra Ley de Transparencia y Acceso a la Información Pública del Estado de México y Municipios, expresa en su artículo 3, de manera textual lo siguiente:</w:t>
      </w:r>
    </w:p>
    <w:p w14:paraId="62D8CDCF" w14:textId="77777777" w:rsidR="00413756" w:rsidRPr="00A42D3A" w:rsidRDefault="00413756">
      <w:pPr>
        <w:pBdr>
          <w:top w:val="nil"/>
          <w:left w:val="nil"/>
          <w:bottom w:val="nil"/>
          <w:right w:val="nil"/>
          <w:between w:val="nil"/>
        </w:pBdr>
        <w:shd w:val="clear" w:color="auto" w:fill="FFFFFF"/>
        <w:ind w:left="360"/>
        <w:jc w:val="both"/>
        <w:rPr>
          <w:rFonts w:ascii="Palatino Linotype" w:eastAsia="Palatino Linotype" w:hAnsi="Palatino Linotype" w:cs="Palatino Linotype"/>
          <w:color w:val="222222"/>
        </w:rPr>
      </w:pPr>
    </w:p>
    <w:p w14:paraId="325C6693"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b/>
          <w:bCs/>
          <w:i/>
          <w:iCs/>
          <w:color w:val="222222"/>
        </w:rPr>
        <w:lastRenderedPageBreak/>
        <w:t>“VIII. Datos abiertos: Los datos digitales de carácter público que son accesibles en línea que pueden ser usados, reutilizados y redistribuidos por cualquier interesado y que tienen las siguientes características:</w:t>
      </w:r>
    </w:p>
    <w:p w14:paraId="1DD7F038"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i/>
          <w:iCs/>
          <w:color w:val="222222"/>
        </w:rPr>
        <w:t>a) Accesibles: Los datos están disponibles para la gama más amplia de usuarios, para cualquier propósito;</w:t>
      </w:r>
    </w:p>
    <w:p w14:paraId="00274D85"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i/>
          <w:iCs/>
          <w:color w:val="222222"/>
        </w:rPr>
        <w:t>b) Integrales: Contienen el tema que describen a detalle y con los metadatos necesarios;</w:t>
      </w:r>
    </w:p>
    <w:p w14:paraId="7ED58B21"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i/>
          <w:iCs/>
          <w:color w:val="222222"/>
        </w:rPr>
        <w:t>c) Gratuitos: Se obtienen sin entregar a cambio contraprestación alguna;</w:t>
      </w:r>
    </w:p>
    <w:p w14:paraId="61476A72"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i/>
          <w:iCs/>
          <w:color w:val="222222"/>
        </w:rPr>
        <w:t>d) No discriminatorios: Los datos están disponibles para cualquier persona, sin necesidad de registro;</w:t>
      </w:r>
    </w:p>
    <w:p w14:paraId="0BCB9094"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i/>
          <w:iCs/>
          <w:color w:val="222222"/>
        </w:rPr>
        <w:t>e) Oportunos: Son actualizados, periódicamente, conforme se generen;</w:t>
      </w:r>
    </w:p>
    <w:p w14:paraId="1B76263B"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i/>
          <w:iCs/>
          <w:color w:val="222222"/>
        </w:rPr>
        <w:t>f) Permanentes: Se conservan en el tiempo, para lo cual, las versiones históricas relevantes para uso público se mantendrán disponibles con identificadores adecuados al efecto;</w:t>
      </w:r>
    </w:p>
    <w:p w14:paraId="1EA55C35"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i/>
          <w:iCs/>
          <w:color w:val="222222"/>
        </w:rPr>
        <w:t>g) Primarios: Provienen de la fuente de origen con el máximo nivel de desagregación posible;</w:t>
      </w:r>
    </w:p>
    <w:p w14:paraId="48CF2EA0"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i/>
          <w:iCs/>
          <w:color w:val="222222"/>
        </w:rPr>
        <w:t>h) Legibles por máquinas: Deberán estar estructurados, total o parcialmente, para ser procesados e interpretados por equipos electrónicos de manera automática;</w:t>
      </w:r>
    </w:p>
    <w:p w14:paraId="4F3C9401"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b/>
          <w:bCs/>
          <w:i/>
          <w:iCs/>
          <w:color w:val="2222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A42D3A">
        <w:rPr>
          <w:rFonts w:ascii="Palatino Linotype" w:eastAsia="Palatino Linotype" w:hAnsi="Palatino Linotype" w:cs="Palatino Linotype"/>
          <w:i/>
          <w:iCs/>
          <w:color w:val="222222"/>
        </w:rPr>
        <w:t>; y</w:t>
      </w:r>
    </w:p>
    <w:p w14:paraId="6206C912"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i/>
          <w:iCs/>
          <w:color w:val="222222"/>
        </w:rPr>
        <w:t>j) De libre uso: Citan la fuente de origen como único requerimiento para ser utilizados libremente.</w:t>
      </w:r>
    </w:p>
    <w:p w14:paraId="395CA828" w14:textId="77777777" w:rsidR="00413756" w:rsidRPr="00A42D3A" w:rsidRDefault="00F049FE">
      <w:pPr>
        <w:pBdr>
          <w:top w:val="nil"/>
          <w:left w:val="nil"/>
          <w:bottom w:val="nil"/>
          <w:right w:val="nil"/>
          <w:between w:val="nil"/>
        </w:pBdr>
        <w:shd w:val="clear" w:color="auto" w:fill="FFFFFF"/>
        <w:spacing w:line="276" w:lineRule="auto"/>
        <w:ind w:left="851" w:right="822"/>
        <w:jc w:val="both"/>
        <w:rPr>
          <w:rFonts w:ascii="Palatino Linotype" w:eastAsia="Palatino Linotype" w:hAnsi="Palatino Linotype" w:cs="Palatino Linotype"/>
          <w:i/>
          <w:iCs/>
          <w:color w:val="222222"/>
        </w:rPr>
      </w:pPr>
      <w:r w:rsidRPr="00A42D3A">
        <w:rPr>
          <w:rFonts w:ascii="Palatino Linotype" w:eastAsia="Palatino Linotype" w:hAnsi="Palatino Linotype" w:cs="Palatino Linotype"/>
          <w:i/>
          <w:iCs/>
          <w:color w:val="222222"/>
        </w:rPr>
        <w:t>(Énfasis añadido)</w:t>
      </w:r>
    </w:p>
    <w:p w14:paraId="32ABE099"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14:paraId="06D40DCD"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El dispositivo legal estatal aplicable a la materia, establece en su artículo 41 que el Instituto promoverá la publicación de la información en datos abiertos y accesibles, de tal manera que este Órgano Garante se encuentra en posibilidades de ordenar al Sujeto </w:t>
      </w:r>
      <w:r w:rsidRPr="00A42D3A">
        <w:rPr>
          <w:rFonts w:ascii="Palatino Linotype" w:eastAsia="Palatino Linotype" w:hAnsi="Palatino Linotype" w:cs="Palatino Linotype"/>
          <w:color w:val="000000"/>
        </w:rPr>
        <w:lastRenderedPageBreak/>
        <w:t>Obligado, en caso de tener la información en formatos abiertos entregar la misma en el formato solicitado. Por lo tanto, con las ligas entregadas en respuesta, no se puede colmar el requerimiento del Recurrente.</w:t>
      </w:r>
    </w:p>
    <w:p w14:paraId="10221824"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704C611" w14:textId="77777777" w:rsidR="00413756" w:rsidRPr="00A42D3A" w:rsidRDefault="00F049FE">
      <w:pPr>
        <w:numPr>
          <w:ilvl w:val="0"/>
          <w:numId w:val="1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De la búsqueda exhaustiva.</w:t>
      </w:r>
    </w:p>
    <w:p w14:paraId="780539AC"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Ahora bien, 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A42D3A">
        <w:rPr>
          <w:rFonts w:ascii="Palatino Linotype" w:eastAsia="Palatino Linotype" w:hAnsi="Palatino Linotype" w:cs="Palatino Linotype"/>
          <w:i/>
          <w:iCs/>
          <w:color w:val="000000"/>
        </w:rPr>
        <w:t xml:space="preserve">en el ámbito de sus atribuciones, de promover, respetar, proteger y </w:t>
      </w:r>
      <w:r w:rsidRPr="00A42D3A">
        <w:rPr>
          <w:rFonts w:ascii="Palatino Linotype" w:eastAsia="Palatino Linotype" w:hAnsi="Palatino Linotype" w:cs="Palatino Linotype"/>
          <w:b/>
          <w:bCs/>
          <w:i/>
          <w:iCs/>
          <w:color w:val="000000"/>
        </w:rPr>
        <w:t>garantizar</w:t>
      </w:r>
      <w:r w:rsidRPr="00A42D3A">
        <w:rPr>
          <w:rFonts w:ascii="Palatino Linotype" w:eastAsia="Palatino Linotype" w:hAnsi="Palatino Linotype" w:cs="Palatino Linotype"/>
          <w:i/>
          <w:iCs/>
          <w:color w:val="000000"/>
        </w:rPr>
        <w:t xml:space="preserve"> los derechos humanos. </w:t>
      </w:r>
      <w:r w:rsidRPr="00A42D3A">
        <w:rPr>
          <w:rFonts w:ascii="Palatino Linotype" w:eastAsia="Palatino Linotype" w:hAnsi="Palatino Linotype" w:cs="Palatino Linotype"/>
          <w:b/>
          <w:bCs/>
          <w:i/>
          <w:iCs/>
          <w:color w:val="000000"/>
        </w:rPr>
        <w:t>En cuanto al derecho de acceso a la información, la Ley de Transparencia y Acceso a la Información Pública del Estado de México y Municipios prevé establece que e</w:t>
      </w:r>
      <w:r w:rsidRPr="00A42D3A">
        <w:rPr>
          <w:rFonts w:ascii="Palatino Linotype" w:eastAsia="Palatino Linotype" w:hAnsi="Palatino Linotype" w:cs="Palatino Linotype"/>
          <w:i/>
          <w:iCs/>
          <w:color w:val="000000"/>
        </w:rPr>
        <w:t>l procedimiento de acceso a la información es la garantía primaria del derecho en cuestión y se rige por los principios de simplicidad, rapidez y gratuidad del procedimiento, auxilio y orientación a los particulares</w:t>
      </w:r>
      <w:r w:rsidRPr="00A42D3A">
        <w:rPr>
          <w:i/>
          <w:iCs/>
          <w:color w:val="000000"/>
          <w:vertAlign w:val="superscript"/>
        </w:rPr>
        <w:footnoteReference w:id="1"/>
      </w:r>
      <w:r w:rsidRPr="00A42D3A">
        <w:rPr>
          <w:rFonts w:ascii="Palatino Linotype" w:eastAsia="Palatino Linotype" w:hAnsi="Palatino Linotype" w:cs="Palatino Linotype"/>
          <w:i/>
          <w:iCs/>
          <w:color w:val="000000"/>
        </w:rPr>
        <w:t xml:space="preserve">, </w:t>
      </w:r>
      <w:r w:rsidRPr="00A42D3A">
        <w:rPr>
          <w:rFonts w:ascii="Palatino Linotype" w:eastAsia="Palatino Linotype" w:hAnsi="Palatino Linotype" w:cs="Palatino Linotype"/>
          <w:color w:val="000000"/>
        </w:rPr>
        <w:t>asimismo establece</w:t>
      </w:r>
      <w:r w:rsidRPr="00A42D3A">
        <w:rPr>
          <w:rFonts w:ascii="Palatino Linotype" w:eastAsia="Palatino Linotype" w:hAnsi="Palatino Linotype" w:cs="Palatino Linotype"/>
          <w:i/>
          <w:iCs/>
          <w:color w:val="000000"/>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B8261FC" w14:textId="77777777" w:rsidR="00413756" w:rsidRPr="00A42D3A" w:rsidRDefault="00413756">
      <w:pPr>
        <w:pBdr>
          <w:top w:val="nil"/>
          <w:left w:val="nil"/>
          <w:bottom w:val="nil"/>
          <w:right w:val="nil"/>
          <w:between w:val="nil"/>
        </w:pBdr>
        <w:rPr>
          <w:rFonts w:ascii="Palatino Linotype" w:eastAsia="Palatino Linotype" w:hAnsi="Palatino Linotype" w:cs="Palatino Linotype"/>
          <w:color w:val="000000"/>
        </w:rPr>
      </w:pPr>
    </w:p>
    <w:p w14:paraId="53F5ECF8"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w:t>
      </w:r>
      <w:r w:rsidRPr="00A42D3A">
        <w:rPr>
          <w:rFonts w:ascii="Palatino Linotype" w:eastAsia="Palatino Linotype" w:hAnsi="Palatino Linotype" w:cs="Palatino Linotype"/>
          <w:color w:val="000000"/>
        </w:rPr>
        <w:lastRenderedPageBreak/>
        <w:t>responsabilidad de realizar una correcta gestión documental que permita localizar de manera rápida los documentos que se soliciten o bien, simplemente para el desarrollo de sus facultades, competencias y atribuciones que a diario desempeñan.</w:t>
      </w:r>
    </w:p>
    <w:p w14:paraId="1C90B9A4" w14:textId="77777777" w:rsidR="00413756" w:rsidRPr="00A42D3A" w:rsidRDefault="00413756">
      <w:pPr>
        <w:pBdr>
          <w:top w:val="nil"/>
          <w:left w:val="nil"/>
          <w:bottom w:val="nil"/>
          <w:right w:val="nil"/>
          <w:between w:val="nil"/>
        </w:pBdr>
        <w:rPr>
          <w:rFonts w:ascii="Palatino Linotype" w:eastAsia="Palatino Linotype" w:hAnsi="Palatino Linotype" w:cs="Palatino Linotype"/>
          <w:color w:val="000000"/>
        </w:rPr>
      </w:pPr>
    </w:p>
    <w:p w14:paraId="772E905B"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Es así que, su obligación es </w:t>
      </w:r>
      <w:r w:rsidRPr="00A42D3A">
        <w:rPr>
          <w:rFonts w:ascii="Palatino Linotype" w:eastAsia="Palatino Linotype" w:hAnsi="Palatino Linotype" w:cs="Palatino Linotype"/>
          <w:i/>
          <w:iCs/>
          <w:color w:val="000000"/>
        </w:rPr>
        <w:t>realizar, con efectividad, los trámites internos necesarios para la atención de las solicitudes de información</w:t>
      </w:r>
      <w:r w:rsidRPr="00A42D3A">
        <w:rPr>
          <w:color w:val="000000"/>
          <w:vertAlign w:val="superscript"/>
        </w:rPr>
        <w:footnoteReference w:id="2"/>
      </w:r>
      <w:r w:rsidRPr="00A42D3A">
        <w:rPr>
          <w:rFonts w:ascii="Palatino Linotype" w:eastAsia="Palatino Linotype" w:hAnsi="Palatino Linotype" w:cs="Palatino Linotype"/>
          <w:color w:val="000000"/>
        </w:rPr>
        <w:t>, es decir, deben otorgar respuestas concisas, contundentes y sobre todo que den la certeza de los actos que realizan.</w:t>
      </w:r>
    </w:p>
    <w:p w14:paraId="5064F3B6" w14:textId="77777777" w:rsidR="00413756" w:rsidRPr="00A42D3A" w:rsidRDefault="00413756">
      <w:pPr>
        <w:pBdr>
          <w:top w:val="nil"/>
          <w:left w:val="nil"/>
          <w:bottom w:val="nil"/>
          <w:right w:val="nil"/>
          <w:between w:val="nil"/>
        </w:pBdr>
        <w:rPr>
          <w:rFonts w:ascii="Palatino Linotype" w:eastAsia="Palatino Linotype" w:hAnsi="Palatino Linotype" w:cs="Palatino Linotype"/>
          <w:color w:val="000000"/>
        </w:rPr>
      </w:pPr>
    </w:p>
    <w:p w14:paraId="4BE6624F"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14:paraId="6C7B9F03"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 xml:space="preserve">Artículo 50. </w:t>
      </w:r>
      <w:r w:rsidRPr="00A42D3A">
        <w:rPr>
          <w:rFonts w:ascii="Palatino Linotype" w:eastAsia="Palatino Linotype" w:hAnsi="Palatino Linotype" w:cs="Palatino Linotype"/>
          <w:i/>
          <w:iCs/>
        </w:rPr>
        <w:t>Los sujetos obligados contarán con un área responsable para la atención de las solicitudes de información, a la que se le denominará Unidad de Transparencia.</w:t>
      </w:r>
    </w:p>
    <w:p w14:paraId="5D9039D0" w14:textId="77777777" w:rsidR="00413756" w:rsidRPr="00A42D3A" w:rsidRDefault="00413756">
      <w:pPr>
        <w:ind w:left="567" w:right="616"/>
        <w:jc w:val="both"/>
        <w:rPr>
          <w:rFonts w:ascii="Palatino Linotype" w:eastAsia="Palatino Linotype" w:hAnsi="Palatino Linotype" w:cs="Palatino Linotype"/>
          <w:i/>
          <w:iCs/>
        </w:rPr>
      </w:pPr>
    </w:p>
    <w:p w14:paraId="0106C6FE"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 xml:space="preserve">Artículo 53. </w:t>
      </w:r>
      <w:r w:rsidRPr="00A42D3A">
        <w:rPr>
          <w:rFonts w:ascii="Palatino Linotype" w:eastAsia="Palatino Linotype" w:hAnsi="Palatino Linotype" w:cs="Palatino Linotype"/>
          <w:i/>
          <w:iCs/>
        </w:rPr>
        <w:t>Las Unidades de Transparencia tendrán las siguientes funciones:</w:t>
      </w:r>
    </w:p>
    <w:p w14:paraId="7C0CBD5C"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w:t>
      </w:r>
    </w:p>
    <w:p w14:paraId="0FC97061"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II.</w:t>
      </w:r>
      <w:r w:rsidRPr="00A42D3A">
        <w:rPr>
          <w:rFonts w:ascii="Palatino Linotype" w:eastAsia="Palatino Linotype" w:hAnsi="Palatino Linotype" w:cs="Palatino Linotype"/>
          <w:i/>
          <w:iCs/>
        </w:rPr>
        <w:t xml:space="preserve"> Recibir, tramitar y dar respuesta a las solicitudes de acceso a la información;</w:t>
      </w:r>
    </w:p>
    <w:p w14:paraId="3DE9054A"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w:t>
      </w:r>
    </w:p>
    <w:p w14:paraId="2F7CCFBC"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IV.</w:t>
      </w:r>
      <w:r w:rsidRPr="00A42D3A">
        <w:rPr>
          <w:rFonts w:ascii="Palatino Linotype" w:eastAsia="Palatino Linotype" w:hAnsi="Palatino Linotype" w:cs="Palatino Linotype"/>
          <w:i/>
          <w:iCs/>
        </w:rPr>
        <w:t xml:space="preserve"> Realizar, con efectividad, los trámites internos necesarios para la atención de las solicitudes de acceso a la información;</w:t>
      </w:r>
    </w:p>
    <w:p w14:paraId="623A2FB1"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V.</w:t>
      </w:r>
      <w:r w:rsidRPr="00A42D3A">
        <w:rPr>
          <w:rFonts w:ascii="Palatino Linotype" w:eastAsia="Palatino Linotype" w:hAnsi="Palatino Linotype" w:cs="Palatino Linotype"/>
          <w:i/>
          <w:iCs/>
        </w:rPr>
        <w:t xml:space="preserve"> Entregar, en su caso, a los particulares la información solicitada;</w:t>
      </w:r>
    </w:p>
    <w:p w14:paraId="6D4495AE"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w:t>
      </w:r>
    </w:p>
    <w:p w14:paraId="7B2F2221" w14:textId="77777777" w:rsidR="00413756" w:rsidRPr="00A42D3A" w:rsidRDefault="00413756">
      <w:pPr>
        <w:ind w:left="567" w:right="616"/>
        <w:jc w:val="both"/>
        <w:rPr>
          <w:rFonts w:ascii="Palatino Linotype" w:eastAsia="Palatino Linotype" w:hAnsi="Palatino Linotype" w:cs="Palatino Linotype"/>
          <w:i/>
          <w:iCs/>
        </w:rPr>
      </w:pPr>
    </w:p>
    <w:p w14:paraId="5A3D37CF"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 xml:space="preserve">Artículo 58. </w:t>
      </w:r>
      <w:r w:rsidRPr="00A42D3A">
        <w:rPr>
          <w:rFonts w:ascii="Palatino Linotype" w:eastAsia="Palatino Linotype" w:hAnsi="Palatino Linotype" w:cs="Palatino Linotype"/>
          <w:i/>
          <w:iCs/>
        </w:rPr>
        <w:t>Los servidores públicos habilitados serán designados por el titular del sujeto obligado a propuesta del responsable de la Unidad de Transparencia.</w:t>
      </w:r>
    </w:p>
    <w:p w14:paraId="7992E8B9" w14:textId="77777777" w:rsidR="00413756" w:rsidRPr="00A42D3A" w:rsidRDefault="00413756">
      <w:pPr>
        <w:ind w:left="567" w:right="616"/>
        <w:jc w:val="both"/>
        <w:rPr>
          <w:rFonts w:ascii="Palatino Linotype" w:eastAsia="Palatino Linotype" w:hAnsi="Palatino Linotype" w:cs="Palatino Linotype"/>
          <w:i/>
          <w:iCs/>
        </w:rPr>
      </w:pPr>
    </w:p>
    <w:p w14:paraId="13F6E9F6"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 xml:space="preserve">Artículo 59. </w:t>
      </w:r>
      <w:r w:rsidRPr="00A42D3A">
        <w:rPr>
          <w:rFonts w:ascii="Palatino Linotype" w:eastAsia="Palatino Linotype" w:hAnsi="Palatino Linotype" w:cs="Palatino Linotype"/>
          <w:i/>
          <w:iCs/>
        </w:rPr>
        <w:t>Los servidores públicos habilitados tendrán las funciones siguientes:</w:t>
      </w:r>
    </w:p>
    <w:p w14:paraId="027A3373" w14:textId="77777777" w:rsidR="00413756" w:rsidRPr="00A42D3A" w:rsidRDefault="00413756">
      <w:pPr>
        <w:ind w:left="567" w:right="616"/>
        <w:jc w:val="both"/>
        <w:rPr>
          <w:rFonts w:ascii="Palatino Linotype" w:eastAsia="Palatino Linotype" w:hAnsi="Palatino Linotype" w:cs="Palatino Linotype"/>
          <w:i/>
          <w:iCs/>
        </w:rPr>
      </w:pPr>
    </w:p>
    <w:p w14:paraId="25147548"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I.</w:t>
      </w:r>
      <w:r w:rsidRPr="00A42D3A">
        <w:rPr>
          <w:rFonts w:ascii="Palatino Linotype" w:eastAsia="Palatino Linotype" w:hAnsi="Palatino Linotype" w:cs="Palatino Linotype"/>
          <w:i/>
          <w:iCs/>
        </w:rPr>
        <w:t xml:space="preserve"> Localizar la información que le solicite la Unidad de Transparencia;</w:t>
      </w:r>
    </w:p>
    <w:p w14:paraId="1CE40EF9"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lastRenderedPageBreak/>
        <w:t>II.</w:t>
      </w:r>
      <w:r w:rsidRPr="00A42D3A">
        <w:rPr>
          <w:rFonts w:ascii="Palatino Linotype" w:eastAsia="Palatino Linotype" w:hAnsi="Palatino Linotype" w:cs="Palatino Linotype"/>
          <w:i/>
          <w:iCs/>
        </w:rPr>
        <w:t xml:space="preserve"> Proporcionar la información que obre en los archivos y que le sea solicitada por la Unidad de Transparencia;</w:t>
      </w:r>
    </w:p>
    <w:p w14:paraId="741F1955"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w:t>
      </w:r>
    </w:p>
    <w:p w14:paraId="681BB887" w14:textId="77777777" w:rsidR="00413756" w:rsidRPr="00A42D3A" w:rsidRDefault="00413756">
      <w:pPr>
        <w:ind w:left="567" w:right="616"/>
        <w:jc w:val="both"/>
        <w:rPr>
          <w:rFonts w:ascii="Palatino Linotype" w:eastAsia="Palatino Linotype" w:hAnsi="Palatino Linotype" w:cs="Palatino Linotype"/>
          <w:i/>
          <w:iCs/>
        </w:rPr>
      </w:pPr>
    </w:p>
    <w:p w14:paraId="0A830D8E" w14:textId="77777777" w:rsidR="00413756" w:rsidRPr="00A42D3A" w:rsidRDefault="00F049FE">
      <w:pPr>
        <w:ind w:left="567" w:right="616"/>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 xml:space="preserve">Artículo 162. </w:t>
      </w:r>
      <w:r w:rsidRPr="00A42D3A">
        <w:rPr>
          <w:rFonts w:ascii="Palatino Linotype" w:eastAsia="Palatino Linotype" w:hAnsi="Palatino Linotype" w:cs="Palatino Linotype"/>
          <w:i/>
          <w:iC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0ABB363" w14:textId="77777777" w:rsidR="00413756" w:rsidRPr="00A42D3A" w:rsidRDefault="00413756">
      <w:pPr>
        <w:spacing w:line="360" w:lineRule="auto"/>
        <w:jc w:val="both"/>
        <w:rPr>
          <w:rFonts w:ascii="Palatino Linotype" w:eastAsia="Palatino Linotype" w:hAnsi="Palatino Linotype" w:cs="Palatino Linotype"/>
        </w:rPr>
      </w:pPr>
    </w:p>
    <w:p w14:paraId="360DBCA6"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las Unidades de Transparencia turnar a todas las áreas que se consideren competentes para que realicen una búsqueda exhaustiva y razonable de la información solicitada a fin de que ésta sea entregada a los solicitantes.</w:t>
      </w:r>
    </w:p>
    <w:p w14:paraId="480B046C"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9B56E16"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 En el caso que se resuelve, la respuesta fue emitida por la Directora de Recursos Humanos, quienes de acuerdo al Código Reglamentario de Toluca tienen las siguientes atribuciones:</w:t>
      </w:r>
    </w:p>
    <w:p w14:paraId="1779DC7F" w14:textId="77777777" w:rsidR="00413756" w:rsidRPr="00A42D3A" w:rsidRDefault="00F049FE">
      <w:pPr>
        <w:ind w:left="851" w:right="822"/>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lastRenderedPageBreak/>
        <w:t>“Artículo 3.33. La o el titular de la Dirección de Recursos Humanos cuenta con las siguientes atribuciones:</w:t>
      </w:r>
    </w:p>
    <w:p w14:paraId="390CAE48" w14:textId="77777777" w:rsidR="00413756" w:rsidRPr="00A42D3A" w:rsidRDefault="00F049FE">
      <w:pPr>
        <w:numPr>
          <w:ilvl w:val="0"/>
          <w:numId w:val="11"/>
        </w:numPr>
        <w:pBdr>
          <w:top w:val="nil"/>
          <w:left w:val="nil"/>
          <w:bottom w:val="nil"/>
          <w:right w:val="nil"/>
          <w:between w:val="nil"/>
        </w:pBdr>
        <w:ind w:left="851" w:right="822" w:firstLine="0"/>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Elaborar, operar y mejorar los procedimientos administrativos para la selección, reclutamiento, contratación, escalafón, inducción, evaluación del desempeño, capacitación, baja, comisión, licencias prejubilatorias, y desarrollo del personal al servicio del Municipio de acuerdo a lo dispuesto en la normatividad aplicable;</w:t>
      </w:r>
    </w:p>
    <w:p w14:paraId="3686D833" w14:textId="77777777" w:rsidR="00413756" w:rsidRPr="00A42D3A" w:rsidRDefault="00F049FE">
      <w:pPr>
        <w:ind w:left="851" w:right="822"/>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w:t>
      </w:r>
    </w:p>
    <w:p w14:paraId="6E20E069" w14:textId="77777777" w:rsidR="00413756" w:rsidRPr="00A42D3A" w:rsidRDefault="00F049FE">
      <w:pPr>
        <w:ind w:left="851" w:right="822"/>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IV. Aplicar las disposiciones legales laborales que rigen al personal del Ayuntamiento;</w:t>
      </w:r>
    </w:p>
    <w:p w14:paraId="7E4E0BB6" w14:textId="77777777" w:rsidR="00413756" w:rsidRPr="00A42D3A" w:rsidRDefault="00F049FE">
      <w:pPr>
        <w:ind w:left="851" w:right="822"/>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V. Registrar, controlar y dar seguimiento a los movimientos de personal como, altas, reingresos, bajas, remociones, renuncias, retiro, cambios de categoría y adscripción, promociones, comisiones, entre otras;</w:t>
      </w:r>
    </w:p>
    <w:p w14:paraId="132430CB" w14:textId="77777777" w:rsidR="00413756" w:rsidRPr="00A42D3A" w:rsidRDefault="00F049FE">
      <w:pPr>
        <w:ind w:left="851" w:right="822"/>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VI. Coadyuvar con la Tesorería Municipal en la elaboración y distribución oportuna de la nómina para el pago al personal que labora en el Ayuntamiento, por concepto de sueldos, prestaciones, liquidaciones y finiquitos apegándose al presupuesto autorizado aplicado a través del capítulo 1000; así como en lo relativo a las determinaciones de los impuestos y la emisión de los CFDI correspondientes una vez realizado el pago;</w:t>
      </w:r>
    </w:p>
    <w:p w14:paraId="6E708FF8" w14:textId="77777777" w:rsidR="00413756" w:rsidRPr="00A42D3A" w:rsidRDefault="00F049FE">
      <w:pPr>
        <w:ind w:left="851" w:right="822"/>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w:t>
      </w:r>
    </w:p>
    <w:p w14:paraId="6F500E15" w14:textId="77777777" w:rsidR="00413756" w:rsidRPr="00A42D3A" w:rsidRDefault="00413756">
      <w:pPr>
        <w:rPr>
          <w:rFonts w:ascii="Palatino Linotype" w:eastAsia="Palatino Linotype" w:hAnsi="Palatino Linotype" w:cs="Palatino Linotype"/>
        </w:rPr>
      </w:pPr>
    </w:p>
    <w:p w14:paraId="6D393888"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Como se advierte, la respuesta fue emitida por las áreas que de acuerdo a sus facultades generan, poseen y administran la información solicitada, referente al cargo, expediente, FUMP, antecedentes no penales, certificado de deudor no alimentario e incluso del sueldo bruto y neto del servidor públicos, es decir, que la respuesta fue emitida por el servidor público habilitado con facultades para generar, poseer y administrar la información solicitada. </w:t>
      </w:r>
    </w:p>
    <w:p w14:paraId="473AB1D1"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1C474DF" w14:textId="5FF6B158"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No obstante lo anterior, la solicitud también debió turnarse a Tesorería, quien de acuerdo al artículo 3.21 del Código Reglamentario de Toluca, tiene entre sus atribuciones el pago de la nómina. Asimismo, la solicitud también se debió turnar </w:t>
      </w:r>
      <w:r w:rsidR="00A856A4" w:rsidRPr="00A42D3A">
        <w:rPr>
          <w:rFonts w:ascii="Palatino Linotype" w:eastAsia="Palatino Linotype" w:hAnsi="Palatino Linotype" w:cs="Palatino Linotype"/>
          <w:color w:val="000000"/>
        </w:rPr>
        <w:t>al</w:t>
      </w:r>
      <w:r w:rsidRPr="00A42D3A">
        <w:rPr>
          <w:rFonts w:ascii="Palatino Linotype" w:eastAsia="Palatino Linotype" w:hAnsi="Palatino Linotype" w:cs="Palatino Linotype"/>
          <w:color w:val="000000"/>
        </w:rPr>
        <w:t xml:space="preserve"> área a la que se </w:t>
      </w:r>
      <w:r w:rsidRPr="00A42D3A">
        <w:rPr>
          <w:rFonts w:ascii="Palatino Linotype" w:eastAsia="Palatino Linotype" w:hAnsi="Palatino Linotype" w:cs="Palatino Linotype"/>
          <w:color w:val="000000"/>
        </w:rPr>
        <w:lastRenderedPageBreak/>
        <w:t xml:space="preserve">encuentra adscrito el servidor público de quien se solicitó información, ya que es el área que debe tener en sus archivos los oficios requeridos. </w:t>
      </w:r>
    </w:p>
    <w:p w14:paraId="58C44F99" w14:textId="77777777" w:rsidR="00413756" w:rsidRPr="00A42D3A" w:rsidRDefault="00413756">
      <w:pPr>
        <w:pBdr>
          <w:top w:val="nil"/>
          <w:left w:val="nil"/>
          <w:bottom w:val="nil"/>
          <w:right w:val="nil"/>
          <w:between w:val="nil"/>
        </w:pBdr>
        <w:ind w:left="720"/>
        <w:rPr>
          <w:rFonts w:ascii="Palatino Linotype" w:eastAsia="Palatino Linotype" w:hAnsi="Palatino Linotype" w:cs="Palatino Linotype"/>
          <w:color w:val="000000"/>
        </w:rPr>
      </w:pPr>
    </w:p>
    <w:p w14:paraId="7E2E9072"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Ahora bien, de la búsqueda que realizó este Órgano Garante, se advierte que el servidor público de quien se solicitó información, es el Director de Innovación y Gobierno Digital como se observa en la siguiente imagen:</w:t>
      </w:r>
    </w:p>
    <w:p w14:paraId="5B686CE2" w14:textId="77777777" w:rsidR="00413756" w:rsidRPr="00A42D3A" w:rsidRDefault="00413756">
      <w:pPr>
        <w:pBdr>
          <w:top w:val="nil"/>
          <w:left w:val="nil"/>
          <w:bottom w:val="nil"/>
          <w:right w:val="nil"/>
          <w:between w:val="nil"/>
        </w:pBdr>
        <w:ind w:left="720"/>
        <w:rPr>
          <w:rFonts w:ascii="Palatino Linotype" w:eastAsia="Palatino Linotype" w:hAnsi="Palatino Linotype" w:cs="Palatino Linotype"/>
          <w:color w:val="000000"/>
        </w:rPr>
      </w:pPr>
    </w:p>
    <w:p w14:paraId="50260386" w14:textId="77777777" w:rsidR="00413756" w:rsidRPr="00A42D3A" w:rsidRDefault="00F049FE">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A42D3A">
        <w:rPr>
          <w:rFonts w:ascii="Palatino Linotype" w:eastAsia="Palatino Linotype" w:hAnsi="Palatino Linotype" w:cs="Palatino Linotype"/>
          <w:noProof/>
          <w:color w:val="000000"/>
        </w:rPr>
        <w:drawing>
          <wp:inline distT="0" distB="0" distL="0" distR="0" wp14:anchorId="48118EEC" wp14:editId="64A4C195">
            <wp:extent cx="4984604" cy="176861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984604" cy="1768610"/>
                    </a:xfrm>
                    <a:prstGeom prst="rect">
                      <a:avLst/>
                    </a:prstGeom>
                    <a:ln/>
                  </pic:spPr>
                </pic:pic>
              </a:graphicData>
            </a:graphic>
          </wp:inline>
        </w:drawing>
      </w:r>
    </w:p>
    <w:p w14:paraId="5D621B52" w14:textId="77777777" w:rsidR="00413756" w:rsidRPr="00A42D3A" w:rsidRDefault="00413756">
      <w:pPr>
        <w:pBdr>
          <w:top w:val="nil"/>
          <w:left w:val="nil"/>
          <w:bottom w:val="nil"/>
          <w:right w:val="nil"/>
          <w:between w:val="nil"/>
        </w:pBdr>
        <w:ind w:left="720"/>
        <w:rPr>
          <w:rFonts w:ascii="Palatino Linotype" w:eastAsia="Palatino Linotype" w:hAnsi="Palatino Linotype" w:cs="Palatino Linotype"/>
          <w:color w:val="000000"/>
        </w:rPr>
      </w:pPr>
    </w:p>
    <w:p w14:paraId="17BF0B5B"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Señalado lo anterior, la solicitud se debió turnar a la Dirección de Innovación y Gobierno Digital, sin embargo, al no tener certeza de la fecha de alta en su cargo, y al no señalar temporalidad de la información que se requiere, se debe turnar a las áreas en las que desempeño un cargo en el último año. </w:t>
      </w:r>
    </w:p>
    <w:p w14:paraId="1723717C" w14:textId="77777777" w:rsidR="00413756" w:rsidRPr="00A42D3A" w:rsidRDefault="00413756">
      <w:pPr>
        <w:pBdr>
          <w:top w:val="nil"/>
          <w:left w:val="nil"/>
          <w:bottom w:val="nil"/>
          <w:right w:val="nil"/>
          <w:between w:val="nil"/>
        </w:pBdr>
        <w:spacing w:line="360" w:lineRule="auto"/>
        <w:rPr>
          <w:rFonts w:ascii="Palatino Linotype" w:eastAsia="Palatino Linotype" w:hAnsi="Palatino Linotype" w:cs="Palatino Linotype"/>
          <w:i/>
          <w:iCs/>
          <w:color w:val="000000"/>
        </w:rPr>
      </w:pPr>
    </w:p>
    <w:p w14:paraId="45C56A34" w14:textId="1C3C329A" w:rsidR="00413756" w:rsidRPr="00A42D3A" w:rsidRDefault="00A856A4">
      <w:pPr>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Por otro lado, respecto al</w:t>
      </w:r>
      <w:r w:rsidR="00F049FE" w:rsidRPr="00A42D3A">
        <w:rPr>
          <w:rFonts w:ascii="Palatino Linotype" w:eastAsia="Palatino Linotype" w:hAnsi="Palatino Linotype" w:cs="Palatino Linotype"/>
          <w:color w:val="000000"/>
        </w:rPr>
        <w:t xml:space="preserve"> </w:t>
      </w:r>
      <w:r w:rsidRPr="00A42D3A">
        <w:rPr>
          <w:rFonts w:ascii="Palatino Linotype" w:eastAsia="Palatino Linotype" w:hAnsi="Palatino Linotype" w:cs="Palatino Linotype"/>
          <w:color w:val="000000"/>
        </w:rPr>
        <w:t>certificado</w:t>
      </w:r>
      <w:r w:rsidR="00F049FE" w:rsidRPr="00A42D3A">
        <w:rPr>
          <w:rFonts w:ascii="Palatino Linotype" w:eastAsia="Palatino Linotype" w:hAnsi="Palatino Linotype" w:cs="Palatino Linotype"/>
          <w:color w:val="000000"/>
        </w:rPr>
        <w:t xml:space="preserve"> de antecedentes no penales, el Sujeto Obligado señaló que “</w:t>
      </w:r>
      <w:r w:rsidR="00F049FE" w:rsidRPr="00A42D3A">
        <w:rPr>
          <w:rFonts w:ascii="Palatino Linotype" w:eastAsia="Palatino Linotype" w:hAnsi="Palatino Linotype" w:cs="Palatino Linotype"/>
          <w:i/>
          <w:iCs/>
          <w:color w:val="000000"/>
        </w:rPr>
        <w:t>no se localizó registro alguno, es importante señalar que el 3 de agosto de 2016 se publicó en la gaceta de gobierno el no solicitar el certificado antes mencionado, por ser una forma de discriminación, lo que se traduce en una violación de derecho y libertades consagrados en nuestra Carta Magna</w:t>
      </w:r>
      <w:r w:rsidR="00F049FE" w:rsidRPr="00A42D3A">
        <w:rPr>
          <w:rFonts w:ascii="Palatino Linotype" w:eastAsia="Palatino Linotype" w:hAnsi="Palatino Linotype" w:cs="Palatino Linotype"/>
          <w:color w:val="000000"/>
        </w:rPr>
        <w:t xml:space="preserve">”. Al respecto , el Decreto Número 109, publicado en el periódico oficial “Gaceta de Gobierno” el 3 de agosto de 2016, se derogó la fracción V del artículo 47 de la Ley del Trabajo de los servidores públicos del Estado y Municipios, por lo que derivado de esta </w:t>
      </w:r>
      <w:r w:rsidR="00F049FE" w:rsidRPr="00A42D3A">
        <w:rPr>
          <w:rFonts w:ascii="Palatino Linotype" w:eastAsia="Palatino Linotype" w:hAnsi="Palatino Linotype" w:cs="Palatino Linotype"/>
          <w:color w:val="000000"/>
        </w:rPr>
        <w:lastRenderedPageBreak/>
        <w:t>reforma ya no se mandata a las personas que deseen ingresar al servicio público a presentar el documento en el que acrediten “no contar con antecedentes penales por delitos intencionales”, lo anterior en virtud de que se contempla como una forma de discriminación, dicha premisa encuentra sustento en el dictamen que obra en la exposición de motivos de dicho decreto, mismo que se inserta a continuación: </w:t>
      </w:r>
    </w:p>
    <w:p w14:paraId="1ECCCAE9" w14:textId="77777777" w:rsidR="00413756" w:rsidRPr="00A42D3A" w:rsidRDefault="00F049FE">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i/>
          <w:iCs/>
          <w:color w:val="000000"/>
        </w:rPr>
        <w:t>“</w:t>
      </w:r>
      <w:r w:rsidRPr="00A42D3A">
        <w:rPr>
          <w:rFonts w:ascii="Palatino Linotype" w:eastAsia="Palatino Linotype" w:hAnsi="Palatino Linotype" w:cs="Palatino Linotype"/>
          <w:b/>
          <w:bCs/>
          <w:i/>
          <w:iCs/>
          <w:color w:val="000000"/>
          <w:u w:val="single"/>
        </w:rPr>
        <w:t>Por otra parte, como se menciona en la iniciativa de decreto, reconocemos que el artículo 47 de la Ley del Trabajo para los Servidores Públicos del Estado y Municipios contempla una forma de discriminación que se traduce en lo dispuesto por su fracción V, en virtud que  dicho precepto establece como requisito para ingresar al servicio público el no contar con antecedentes penales por delitos intencionales</w:t>
      </w:r>
      <w:r w:rsidRPr="00A42D3A">
        <w:rPr>
          <w:rFonts w:ascii="Palatino Linotype" w:eastAsia="Palatino Linotype" w:hAnsi="Palatino Linotype" w:cs="Palatino Linotype"/>
          <w:i/>
          <w:iCs/>
          <w:color w:val="000000"/>
        </w:rPr>
        <w:t>, lo que se traduce en una violación de derecho y libertades consagrados en nuestra Carta Magna y en la propia Ley Federal para Prevenir y Eliminar la Discriminación, específicamente en su artículo 1, fracción III.</w:t>
      </w:r>
    </w:p>
    <w:p w14:paraId="31910F2F" w14:textId="77777777" w:rsidR="00413756" w:rsidRPr="00A42D3A" w:rsidRDefault="00F049FE">
      <w:pPr>
        <w:pBdr>
          <w:top w:val="nil"/>
          <w:left w:val="nil"/>
          <w:bottom w:val="nil"/>
          <w:right w:val="nil"/>
          <w:between w:val="nil"/>
        </w:pBdr>
        <w:spacing w:line="276" w:lineRule="auto"/>
        <w:ind w:left="851" w:right="851"/>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b/>
          <w:bCs/>
          <w:i/>
          <w:iCs/>
          <w:color w:val="000000"/>
          <w:u w:val="single"/>
        </w:rPr>
        <w:t>Por ello, resulta procedente derogar la fracción del citado precepto normativo de la Ley del Trabajo de los Servidores Públicos del Estado y Municipios, y suprimir este requisito, y de esta manera, no se distinga negativamente a las personas que deseen ingresar a laborar al  servicio público, ya que quienes hayan compurgado una pena son aptos de reinserción social y deben contar con la oportunidad de obtener  un trabajo que les permita ejercer una forma digna de vida, sin ningún tipo de distinción o discriminación y con ello garantizar el pleno respeto de sus derechos de igualdad y trabajo…</w:t>
      </w:r>
      <w:r w:rsidRPr="00A42D3A">
        <w:rPr>
          <w:rFonts w:ascii="Palatino Linotype" w:eastAsia="Palatino Linotype" w:hAnsi="Palatino Linotype" w:cs="Palatino Linotype"/>
          <w:i/>
          <w:iCs/>
          <w:color w:val="000000"/>
        </w:rPr>
        <w:t>” (Énfasis añadido)</w:t>
      </w:r>
    </w:p>
    <w:p w14:paraId="25003CF1" w14:textId="77777777" w:rsidR="00413756" w:rsidRPr="00A42D3A" w:rsidRDefault="00413756">
      <w:pPr>
        <w:pBdr>
          <w:top w:val="nil"/>
          <w:left w:val="nil"/>
          <w:bottom w:val="nil"/>
          <w:right w:val="nil"/>
          <w:between w:val="nil"/>
        </w:pBdr>
        <w:spacing w:line="360" w:lineRule="auto"/>
        <w:ind w:left="360" w:right="49"/>
        <w:jc w:val="both"/>
        <w:rPr>
          <w:rFonts w:ascii="Palatino Linotype" w:eastAsia="Palatino Linotype" w:hAnsi="Palatino Linotype" w:cs="Palatino Linotype"/>
          <w:b/>
          <w:bCs/>
          <w:color w:val="000000"/>
        </w:rPr>
      </w:pPr>
    </w:p>
    <w:p w14:paraId="152EAC3D"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En tal caso, es a partir de la publicación de la derogación de este precepto legal en el periódico oficial “Gaceta de Gobierno”, que la obligación de requerir a los servidores públicos el documento referido como condicionante para ingresar al servicio público es inexistente. No obstante lo anterior, debe tenerse en cuenta que el artículo 47 de la Ley del Trabajo de los Servidores Públicos del Estado y Municipios, refiere en la fracción III que para </w:t>
      </w:r>
      <w:r w:rsidRPr="00A42D3A">
        <w:rPr>
          <w:rFonts w:ascii="Palatino Linotype" w:eastAsia="Palatino Linotype" w:hAnsi="Palatino Linotype" w:cs="Palatino Linotype"/>
          <w:color w:val="000000"/>
        </w:rPr>
        <w:lastRenderedPageBreak/>
        <w:t xml:space="preserve">ingresar al servicio público, se requiere, estar en pleno ejercicio de sus derechos civiles y políticos, en su caso. </w:t>
      </w:r>
    </w:p>
    <w:p w14:paraId="3A926CF6"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E6AFA2D" w14:textId="77777777" w:rsidR="00413756" w:rsidRPr="00A42D3A" w:rsidRDefault="00F049FE">
      <w:pPr>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Bajo este orden de ideas, se tiene que en el caso particular, si bien es cierto, la presentación del certificado de no antecedentes penales ya no es una condicionante para ingresar al servicio público, no menos cierto es que como se refirió anteriormente, el artículo 47 fracción III de la Ley del Trabajo de los Servidores Públicos del Estado de México y Municipios, contempla la acreditación del ejercicio de los derechos civiles y políticos, el cual se puede acreditar de manera enunciativa más no limitativa, mediante el informe o certificado de no antecedentes penales, sin embargo, al tener un pronunciamiento del Sujeto Obligado, en el que señaló que no se tiene el documento solicitado, se tiene por colmada esa parte del requerimiento del solicitante. </w:t>
      </w:r>
    </w:p>
    <w:p w14:paraId="090C5DE7" w14:textId="77777777" w:rsidR="00D17175" w:rsidRPr="00A42D3A" w:rsidRDefault="00D17175" w:rsidP="00D1717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yellow"/>
        </w:rPr>
      </w:pPr>
    </w:p>
    <w:p w14:paraId="3A7B1A52" w14:textId="77777777" w:rsidR="00413756" w:rsidRPr="00A42D3A" w:rsidRDefault="00F049FE">
      <w:pPr>
        <w:numPr>
          <w:ilvl w:val="0"/>
          <w:numId w:val="6"/>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Así, debemos tomar en cuenta los artículos 4 y 12, de la Ley de Transparencia y Acceso a la Información Pública del Estado de México y Municipios, los cuales establecen lo siguiente:</w:t>
      </w:r>
    </w:p>
    <w:p w14:paraId="5F0D6D48" w14:textId="77777777" w:rsidR="00413756" w:rsidRPr="00A42D3A" w:rsidRDefault="00F049FE">
      <w:pPr>
        <w:spacing w:line="276" w:lineRule="auto"/>
        <w:ind w:left="567" w:right="567"/>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 xml:space="preserve">Artículo 4. </w:t>
      </w:r>
      <w:r w:rsidRPr="00A42D3A">
        <w:rPr>
          <w:rFonts w:ascii="Palatino Linotype" w:eastAsia="Palatino Linotype" w:hAnsi="Palatino Linotype" w:cs="Palatino Linotype"/>
          <w:i/>
          <w:iCs/>
        </w:rPr>
        <w:t>El derecho humano de acceso a la información pública es la prerrogativa de las personas para buscar, difundir, investigar, recabar, recibir y solicitar información pública, sin necesidad de acreditar personalidad ni interés jurídico.</w:t>
      </w:r>
    </w:p>
    <w:p w14:paraId="2126575F" w14:textId="77777777" w:rsidR="00413756" w:rsidRPr="00A42D3A" w:rsidRDefault="00413756">
      <w:pPr>
        <w:spacing w:line="276" w:lineRule="auto"/>
        <w:ind w:left="567" w:right="567"/>
        <w:jc w:val="both"/>
        <w:rPr>
          <w:rFonts w:ascii="Palatino Linotype" w:eastAsia="Palatino Linotype" w:hAnsi="Palatino Linotype" w:cs="Palatino Linotype"/>
          <w:i/>
          <w:iCs/>
        </w:rPr>
      </w:pPr>
    </w:p>
    <w:p w14:paraId="56F2A6C9" w14:textId="77777777" w:rsidR="00413756" w:rsidRPr="00A42D3A" w:rsidRDefault="00F049FE">
      <w:pPr>
        <w:spacing w:line="276" w:lineRule="auto"/>
        <w:ind w:left="567" w:right="567"/>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A42D3A">
        <w:rPr>
          <w:rFonts w:ascii="Palatino Linotype" w:eastAsia="Palatino Linotype" w:hAnsi="Palatino Linotype" w:cs="Palatino Linotype"/>
          <w:i/>
          <w:iCs/>
        </w:rPr>
        <w:lastRenderedPageBreak/>
        <w:t>por razones de interés público, en los términos de las causas legítimas y estrictamente necesarias previstas por esta Ley.</w:t>
      </w:r>
    </w:p>
    <w:p w14:paraId="35F54D9A" w14:textId="77777777" w:rsidR="00413756" w:rsidRPr="00A42D3A" w:rsidRDefault="00413756">
      <w:pPr>
        <w:spacing w:line="276" w:lineRule="auto"/>
        <w:ind w:left="567" w:right="567"/>
        <w:jc w:val="both"/>
        <w:rPr>
          <w:rFonts w:ascii="Palatino Linotype" w:eastAsia="Palatino Linotype" w:hAnsi="Palatino Linotype" w:cs="Palatino Linotype"/>
          <w:i/>
          <w:iCs/>
        </w:rPr>
      </w:pPr>
    </w:p>
    <w:p w14:paraId="1EAEEBF5" w14:textId="77777777" w:rsidR="00413756" w:rsidRPr="00A42D3A" w:rsidRDefault="00F049FE">
      <w:pPr>
        <w:spacing w:line="276" w:lineRule="auto"/>
        <w:ind w:left="567" w:right="567"/>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14:paraId="379ED5C5" w14:textId="77777777" w:rsidR="00413756" w:rsidRPr="00A42D3A" w:rsidRDefault="00413756">
      <w:pPr>
        <w:spacing w:line="276" w:lineRule="auto"/>
        <w:ind w:right="567"/>
        <w:jc w:val="both"/>
        <w:rPr>
          <w:rFonts w:ascii="Palatino Linotype" w:eastAsia="Palatino Linotype" w:hAnsi="Palatino Linotype" w:cs="Palatino Linotype"/>
          <w:i/>
          <w:iCs/>
          <w:color w:val="000000"/>
        </w:rPr>
      </w:pPr>
    </w:p>
    <w:p w14:paraId="637BB025" w14:textId="77777777" w:rsidR="00413756" w:rsidRPr="00A42D3A" w:rsidRDefault="00F049FE">
      <w:pPr>
        <w:spacing w:line="276" w:lineRule="auto"/>
        <w:ind w:left="567" w:right="567"/>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 xml:space="preserve">Artículo 12. </w:t>
      </w:r>
      <w:r w:rsidRPr="00A42D3A">
        <w:rPr>
          <w:rFonts w:ascii="Palatino Linotype" w:eastAsia="Palatino Linotype" w:hAnsi="Palatino Linotype" w:cs="Palatino Linotype"/>
          <w:i/>
          <w:iCs/>
        </w:rPr>
        <w:t xml:space="preserve">Quienes generen, recopilen, administren, manejen, procesen, archiven o conserven información pública serán responsables de la misma en los términos de las disposiciones jurídicas aplicables. </w:t>
      </w:r>
    </w:p>
    <w:p w14:paraId="1B216385" w14:textId="77777777" w:rsidR="00413756" w:rsidRPr="00A42D3A" w:rsidRDefault="00413756">
      <w:pPr>
        <w:spacing w:line="276" w:lineRule="auto"/>
        <w:ind w:left="567" w:right="567"/>
        <w:jc w:val="both"/>
        <w:rPr>
          <w:rFonts w:ascii="Palatino Linotype" w:eastAsia="Palatino Linotype" w:hAnsi="Palatino Linotype" w:cs="Palatino Linotype"/>
          <w:i/>
          <w:iCs/>
        </w:rPr>
      </w:pPr>
    </w:p>
    <w:p w14:paraId="6AF3A441" w14:textId="77777777" w:rsidR="00413756" w:rsidRPr="00A42D3A" w:rsidRDefault="00F049FE">
      <w:pPr>
        <w:spacing w:line="276" w:lineRule="auto"/>
        <w:ind w:left="567" w:right="567"/>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 xml:space="preserve">Los sujetos obligados sólo proporcionarán la información pública que se les requiera y que obre en sus archivos y en el estado en que ésta se encuentre. </w:t>
      </w:r>
      <w:r w:rsidRPr="00A42D3A">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p>
    <w:p w14:paraId="1FF141A2" w14:textId="77777777" w:rsidR="00413756" w:rsidRPr="00A42D3A" w:rsidRDefault="00413756">
      <w:pPr>
        <w:spacing w:line="360" w:lineRule="auto"/>
        <w:ind w:left="567" w:right="567"/>
        <w:jc w:val="both"/>
        <w:rPr>
          <w:rFonts w:ascii="Palatino Linotype" w:eastAsia="Palatino Linotype" w:hAnsi="Palatino Linotype" w:cs="Palatino Linotype"/>
          <w:i/>
          <w:iCs/>
          <w:color w:val="000000"/>
        </w:rPr>
      </w:pPr>
    </w:p>
    <w:p w14:paraId="056FAC9C" w14:textId="77777777" w:rsidR="00413756" w:rsidRPr="00A42D3A" w:rsidRDefault="00F049FE">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42D3A">
        <w:rPr>
          <w:rFonts w:ascii="Palatino Linotype" w:eastAsia="Palatino Linotype" w:hAnsi="Palatino Linotype" w:cs="Palatino Linotype"/>
          <w:color w:val="000000"/>
          <w:vertAlign w:val="superscript"/>
        </w:rPr>
        <w:footnoteReference w:id="3"/>
      </w:r>
      <w:r w:rsidRPr="00A42D3A">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283D9E76" w14:textId="77777777" w:rsidR="00413756" w:rsidRPr="00A42D3A" w:rsidRDefault="00413756">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5EF4DAC6" w14:textId="77777777" w:rsidR="00413756" w:rsidRPr="00A42D3A" w:rsidRDefault="00F049FE">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5409312" w14:textId="77777777" w:rsidR="00413756" w:rsidRPr="00A42D3A" w:rsidRDefault="00F049FE">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b/>
          <w:bCs/>
          <w:i/>
          <w:iCs/>
          <w:color w:val="000000"/>
        </w:rPr>
        <w:t>ACCESO A LA INFORMACIÓN. IMPLICACIÓN DEL PRINCIPIO DE MÁXIMA PUBLICIDAD EN EL DERECHO FUNDAMENTAL RELATIVO.</w:t>
      </w:r>
      <w:r w:rsidRPr="00A42D3A">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956F746" w14:textId="77777777" w:rsidR="00413756" w:rsidRPr="00A42D3A" w:rsidRDefault="00413756">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p>
    <w:p w14:paraId="78591B2F" w14:textId="77777777" w:rsidR="00413756" w:rsidRPr="00A42D3A" w:rsidRDefault="00F049FE">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 xml:space="preserve">CUARTO TRIBUNAL COLEGIADO EN MATERIA ADMINISTRATIVA DEL PRIMER CIRCUITO. </w:t>
      </w:r>
    </w:p>
    <w:p w14:paraId="0D74C35A" w14:textId="77777777" w:rsidR="00413756" w:rsidRPr="00A42D3A" w:rsidRDefault="00413756">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p>
    <w:p w14:paraId="53770F1D" w14:textId="77777777" w:rsidR="00413756" w:rsidRPr="00A42D3A" w:rsidRDefault="00F049FE">
      <w:pPr>
        <w:pBdr>
          <w:top w:val="nil"/>
          <w:left w:val="nil"/>
          <w:bottom w:val="nil"/>
          <w:right w:val="nil"/>
          <w:between w:val="nil"/>
        </w:pBdr>
        <w:tabs>
          <w:tab w:val="left" w:pos="851"/>
        </w:tabs>
        <w:spacing w:line="276" w:lineRule="auto"/>
        <w:ind w:left="567" w:right="567"/>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lastRenderedPageBreak/>
        <w:t>Amparo en revisión 257/2012. Ruth Corona Muñoz. 6 de diciembre de 2012. Unanimidad de votos. Ponente: Jean Claude Tron Petit. Secretaria: Mayra Susana Martínez López.</w:t>
      </w:r>
    </w:p>
    <w:p w14:paraId="198BA6F3" w14:textId="77777777" w:rsidR="00413756" w:rsidRPr="00A42D3A" w:rsidRDefault="00413756">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D9082D5" w14:textId="77777777" w:rsidR="00413756" w:rsidRPr="00A42D3A" w:rsidRDefault="00F049FE">
      <w:pPr>
        <w:numPr>
          <w:ilvl w:val="0"/>
          <w:numId w:val="6"/>
        </w:numPr>
        <w:pBdr>
          <w:top w:val="nil"/>
          <w:left w:val="nil"/>
          <w:bottom w:val="nil"/>
          <w:right w:val="nil"/>
          <w:between w:val="nil"/>
        </w:pBdr>
        <w:tabs>
          <w:tab w:val="left" w:pos="851"/>
        </w:tabs>
        <w:spacing w:after="240" w:line="360" w:lineRule="auto"/>
        <w:ind w:left="0" w:right="49"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14:paraId="4BF7F4F4" w14:textId="77777777" w:rsidR="00413756" w:rsidRPr="00A42D3A" w:rsidRDefault="00F049FE">
      <w:pPr>
        <w:spacing w:line="276" w:lineRule="auto"/>
        <w:ind w:left="567" w:right="567"/>
        <w:jc w:val="both"/>
        <w:rPr>
          <w:rFonts w:ascii="Palatino Linotype" w:eastAsia="Palatino Linotype" w:hAnsi="Palatino Linotype" w:cs="Palatino Linotype"/>
          <w:i/>
          <w:iCs/>
        </w:rPr>
      </w:pPr>
      <w:r w:rsidRPr="00A42D3A">
        <w:rPr>
          <w:rFonts w:ascii="Palatino Linotype" w:eastAsia="Palatino Linotype" w:hAnsi="Palatino Linotype" w:cs="Palatino Linotype"/>
          <w:b/>
          <w:bCs/>
          <w:i/>
          <w:iCs/>
        </w:rPr>
        <w:t xml:space="preserve">XI. Documento: </w:t>
      </w:r>
      <w:r w:rsidRPr="00A42D3A">
        <w:rPr>
          <w:rFonts w:ascii="Palatino Linotype" w:eastAsia="Palatino Linotype" w:hAnsi="Palatino Linotype" w:cs="Palatino Linotype"/>
          <w:i/>
          <w:iCs/>
        </w:rPr>
        <w:t xml:space="preserve">Los expedientes, reportes, estudios, actas, resoluciones, oficios, correspondencia, acuerdos, directivas, directrices, circulares, contratos, convenios, instructivos, notas, memorandos, estadísticas o bien, </w:t>
      </w:r>
      <w:r w:rsidRPr="00A42D3A">
        <w:rPr>
          <w:rFonts w:ascii="Palatino Linotype" w:eastAsia="Palatino Linotype" w:hAnsi="Palatino Linotype" w:cs="Palatino Linotype"/>
          <w:b/>
          <w:bCs/>
          <w:i/>
          <w:iCs/>
        </w:rPr>
        <w:t>cualquier otro registro</w:t>
      </w:r>
      <w:r w:rsidRPr="00A42D3A">
        <w:rPr>
          <w:rFonts w:ascii="Palatino Linotype" w:eastAsia="Palatino Linotype" w:hAnsi="Palatino Linotype" w:cs="Palatino Linotype"/>
          <w:i/>
          <w:iC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27D0ABD" w14:textId="77777777" w:rsidR="00413756" w:rsidRPr="00A42D3A" w:rsidRDefault="00413756">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12119CD3" w14:textId="77777777" w:rsidR="00413756" w:rsidRPr="00A42D3A" w:rsidRDefault="00F049FE">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48BA0BEB" w14:textId="77777777" w:rsidR="00413756" w:rsidRPr="00A42D3A" w:rsidRDefault="00413756">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246808DF" w14:textId="77777777" w:rsidR="00413756" w:rsidRPr="00A42D3A" w:rsidRDefault="00F049FE">
      <w:pPr>
        <w:numPr>
          <w:ilvl w:val="0"/>
          <w:numId w:val="6"/>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rPr>
      </w:pPr>
      <w:bookmarkStart w:id="8" w:name="_heading=h.2s8eyo1" w:colFirst="0" w:colLast="0"/>
      <w:bookmarkEnd w:id="8"/>
      <w:r w:rsidRPr="00A42D3A">
        <w:rPr>
          <w:rFonts w:ascii="Palatino Linotype" w:eastAsia="Palatino Linotype" w:hAnsi="Palatino Linotype" w:cs="Palatino Linotype"/>
          <w:color w:val="000000"/>
        </w:rPr>
        <w:t xml:space="preserve">Por lo tanto, en consecuencia y en mérito de lo expuesto en líneas anteriores, resultan fundadas las razones o motivos de inconformidad hechos valer por el </w:t>
      </w:r>
      <w:r w:rsidRPr="00A42D3A">
        <w:rPr>
          <w:rFonts w:ascii="Palatino Linotype" w:eastAsia="Palatino Linotype" w:hAnsi="Palatino Linotype" w:cs="Palatino Linotype"/>
          <w:b/>
          <w:bCs/>
          <w:color w:val="000000"/>
        </w:rPr>
        <w:t>RECURRENTE</w:t>
      </w:r>
      <w:r w:rsidRPr="00A42D3A">
        <w:rPr>
          <w:rFonts w:ascii="Palatino Linotype" w:eastAsia="Palatino Linotype" w:hAnsi="Palatino Linotype" w:cs="Palatino Linotype"/>
          <w:color w:val="000000"/>
        </w:rPr>
        <w:t xml:space="preserve"> dentro del recurso de revisión </w:t>
      </w:r>
      <w:r w:rsidRPr="00A42D3A">
        <w:rPr>
          <w:rFonts w:ascii="Palatino Linotype" w:eastAsia="Palatino Linotype" w:hAnsi="Palatino Linotype" w:cs="Palatino Linotype"/>
          <w:b/>
          <w:bCs/>
          <w:color w:val="000000"/>
        </w:rPr>
        <w:t>08998/INFOEM/IP/RR/2025</w:t>
      </w:r>
      <w:r w:rsidRPr="00A42D3A">
        <w:rPr>
          <w:rFonts w:ascii="Palatino Linotype" w:eastAsia="Palatino Linotype" w:hAnsi="Palatino Linotype" w:cs="Palatino Linotype"/>
          <w:color w:val="000000"/>
        </w:rPr>
        <w:t xml:space="preserve">; por ello, y con fundamento en la fracción III del numeral 186 de la Ley de Transparencia y Acceso a la Información Pública del Estado de México y Municipios, se </w:t>
      </w:r>
      <w:r w:rsidRPr="00A42D3A">
        <w:rPr>
          <w:rFonts w:ascii="Palatino Linotype" w:eastAsia="Palatino Linotype" w:hAnsi="Palatino Linotype" w:cs="Palatino Linotype"/>
          <w:b/>
          <w:bCs/>
          <w:color w:val="000000"/>
        </w:rPr>
        <w:t>MODIFICA</w:t>
      </w:r>
      <w:r w:rsidRPr="00A42D3A">
        <w:rPr>
          <w:rFonts w:ascii="Palatino Linotype" w:eastAsia="Palatino Linotype" w:hAnsi="Palatino Linotype" w:cs="Palatino Linotype"/>
          <w:color w:val="000000"/>
        </w:rPr>
        <w:t xml:space="preserve"> la respuesta a la solicitud de información número </w:t>
      </w:r>
      <w:r w:rsidRPr="00A42D3A">
        <w:rPr>
          <w:rFonts w:ascii="Palatino Linotype" w:eastAsia="Palatino Linotype" w:hAnsi="Palatino Linotype" w:cs="Palatino Linotype"/>
          <w:b/>
          <w:bCs/>
          <w:color w:val="000000"/>
        </w:rPr>
        <w:t xml:space="preserve">03332/TOLUCA/IP/2025 </w:t>
      </w:r>
      <w:r w:rsidRPr="00A42D3A">
        <w:rPr>
          <w:rFonts w:ascii="Palatino Linotype" w:eastAsia="Palatino Linotype" w:hAnsi="Palatino Linotype" w:cs="Palatino Linotype"/>
          <w:color w:val="000000"/>
        </w:rPr>
        <w:t xml:space="preserve">y se </w:t>
      </w:r>
      <w:r w:rsidRPr="00A42D3A">
        <w:rPr>
          <w:rFonts w:ascii="Palatino Linotype" w:eastAsia="Palatino Linotype" w:hAnsi="Palatino Linotype" w:cs="Palatino Linotype"/>
          <w:b/>
          <w:bCs/>
          <w:color w:val="000000"/>
        </w:rPr>
        <w:t xml:space="preserve">ORDENA </w:t>
      </w:r>
      <w:r w:rsidRPr="00A42D3A">
        <w:rPr>
          <w:rFonts w:ascii="Palatino Linotype" w:eastAsia="Palatino Linotype" w:hAnsi="Palatino Linotype" w:cs="Palatino Linotype"/>
          <w:color w:val="000000"/>
        </w:rPr>
        <w:t xml:space="preserve">entregar, de ser procedente en versión pública, el </w:t>
      </w:r>
      <w:r w:rsidRPr="00A42D3A">
        <w:rPr>
          <w:rFonts w:ascii="Palatino Linotype" w:eastAsia="Palatino Linotype" w:hAnsi="Palatino Linotype" w:cs="Palatino Linotype"/>
          <w:color w:val="000000"/>
        </w:rPr>
        <w:lastRenderedPageBreak/>
        <w:t xml:space="preserve">soporte documental donde conste, </w:t>
      </w:r>
      <w:r w:rsidR="00D17175" w:rsidRPr="00A42D3A">
        <w:rPr>
          <w:rFonts w:ascii="Palatino Linotype" w:eastAsia="Palatino Linotype" w:hAnsi="Palatino Linotype" w:cs="Palatino Linotype"/>
          <w:color w:val="000000"/>
        </w:rPr>
        <w:t xml:space="preserve">del servidor público referido en la solicitud de información, la siguiente información </w:t>
      </w:r>
      <w:r w:rsidRPr="00A42D3A">
        <w:rPr>
          <w:rFonts w:ascii="Palatino Linotype" w:eastAsia="Palatino Linotype" w:hAnsi="Palatino Linotype" w:cs="Palatino Linotype"/>
          <w:color w:val="000000"/>
        </w:rPr>
        <w:t>la siguiente información:</w:t>
      </w:r>
    </w:p>
    <w:p w14:paraId="2ED69BFD" w14:textId="77777777" w:rsidR="00D17175" w:rsidRPr="00A42D3A" w:rsidRDefault="00D17175" w:rsidP="00D17175">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Cargo a la fecha de la solicitud;</w:t>
      </w:r>
    </w:p>
    <w:p w14:paraId="7A2B08C8" w14:textId="77777777" w:rsidR="00D17175" w:rsidRPr="00A42D3A" w:rsidRDefault="00D17175" w:rsidP="00D17175">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Expediente de personal;</w:t>
      </w:r>
    </w:p>
    <w:p w14:paraId="5FFCD29F" w14:textId="77777777" w:rsidR="00D17175" w:rsidRPr="00A42D3A" w:rsidRDefault="00D17175" w:rsidP="00D17175">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FUMP;</w:t>
      </w:r>
    </w:p>
    <w:p w14:paraId="0129023F" w14:textId="77777777" w:rsidR="00D17175" w:rsidRPr="00A42D3A" w:rsidRDefault="00D17175" w:rsidP="00D17175">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Sueldo bruto y neto a la fecha de la solicitud;</w:t>
      </w:r>
    </w:p>
    <w:p w14:paraId="1D47CE41" w14:textId="77777777" w:rsidR="00D17175" w:rsidRPr="00A42D3A" w:rsidRDefault="00D17175" w:rsidP="00D17175">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Currículum Vitae;</w:t>
      </w:r>
    </w:p>
    <w:p w14:paraId="66C06343" w14:textId="77777777" w:rsidR="00D17175" w:rsidRPr="00A42D3A" w:rsidRDefault="00D17175" w:rsidP="00D17175">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Certificado de no deudor Alimentario;</w:t>
      </w:r>
    </w:p>
    <w:p w14:paraId="7DACE9E6" w14:textId="77777777" w:rsidR="00D17175" w:rsidRPr="00A42D3A" w:rsidRDefault="00D17175" w:rsidP="00D17175">
      <w:pPr>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 xml:space="preserve">Oficios firmados y recibidos en su área de adscripción, del diez de junio de dos mil veinticuatro al diez de junio de dos mil veinticinco. </w:t>
      </w:r>
    </w:p>
    <w:p w14:paraId="6D961BEE" w14:textId="77777777" w:rsidR="00413756" w:rsidRPr="00A42D3A" w:rsidRDefault="00413756" w:rsidP="00D17175">
      <w:pPr>
        <w:pBdr>
          <w:top w:val="nil"/>
          <w:left w:val="nil"/>
          <w:bottom w:val="nil"/>
          <w:right w:val="nil"/>
          <w:between w:val="nil"/>
        </w:pBdr>
        <w:spacing w:line="360" w:lineRule="auto"/>
        <w:ind w:left="360"/>
        <w:jc w:val="both"/>
        <w:rPr>
          <w:rFonts w:ascii="Palatino Linotype" w:eastAsia="Palatino Linotype" w:hAnsi="Palatino Linotype" w:cs="Palatino Linotype"/>
          <w:i/>
          <w:iCs/>
          <w:color w:val="000000"/>
        </w:rPr>
      </w:pPr>
    </w:p>
    <w:p w14:paraId="32BA7192" w14:textId="77777777" w:rsidR="00413756" w:rsidRPr="00A42D3A" w:rsidRDefault="00F049F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QUINTO. De la versión pública.</w:t>
      </w:r>
    </w:p>
    <w:p w14:paraId="6834C907" w14:textId="77777777" w:rsidR="00413756" w:rsidRPr="00A42D3A" w:rsidRDefault="00F049FE">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Debe destacarse que, debido a la naturaleza de la información solicitada</w:t>
      </w:r>
      <w:r w:rsidRPr="00A42D3A">
        <w:rPr>
          <w:rFonts w:ascii="Palatino Linotype" w:eastAsia="Palatino Linotype" w:hAnsi="Palatino Linotype" w:cs="Palatino Linotype"/>
          <w:b/>
          <w:bCs/>
          <w:color w:val="000000"/>
        </w:rPr>
        <w:t xml:space="preserve"> </w:t>
      </w:r>
      <w:r w:rsidRPr="00A42D3A">
        <w:rPr>
          <w:rFonts w:ascii="Palatino Linotype" w:eastAsia="Palatino Linotype" w:hAnsi="Palatino Linotype" w:cs="Palatino Linotype"/>
          <w:color w:val="000000"/>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4C10FFE9" w14:textId="77777777" w:rsidR="00413756" w:rsidRPr="00A42D3A" w:rsidRDefault="0041375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43367CD7" w14:textId="77777777" w:rsidR="00413756" w:rsidRPr="00A42D3A" w:rsidRDefault="00F049FE">
      <w:pPr>
        <w:numPr>
          <w:ilvl w:val="0"/>
          <w:numId w:val="6"/>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A42D3A">
        <w:rPr>
          <w:rFonts w:ascii="Palatino Linotype" w:eastAsia="Palatino Linotype" w:hAnsi="Palatino Linotype" w:cs="Palatino Linotype"/>
          <w:b/>
          <w:bCs/>
          <w:color w:val="000000"/>
        </w:rPr>
        <w:t>SUJETOS OBLIGADOS</w:t>
      </w:r>
      <w:r w:rsidRPr="00A42D3A">
        <w:rPr>
          <w:rFonts w:ascii="Palatino Linotype" w:eastAsia="Palatino Linotype" w:hAnsi="Palatino Linotype" w:cs="Palatino Linotype"/>
          <w:color w:val="000000"/>
        </w:rPr>
        <w:t xml:space="preserve">, ya que no observan los requisitos que deben de llevar a cabo para la realización de la clasificación de la </w:t>
      </w:r>
      <w:r w:rsidRPr="00A42D3A">
        <w:rPr>
          <w:rFonts w:ascii="Palatino Linotype" w:eastAsia="Palatino Linotype" w:hAnsi="Palatino Linotype" w:cs="Palatino Linotype"/>
          <w:color w:val="000000"/>
        </w:rPr>
        <w:lastRenderedPageBreak/>
        <w:t>información, tanto por la complejidad del procedimiento como por la falta de atención de los operadores jurídicos, por lo que es menester reiterar los mismos:</w:t>
      </w:r>
    </w:p>
    <w:p w14:paraId="1C600CDD" w14:textId="77777777" w:rsidR="00413756" w:rsidRPr="00A42D3A" w:rsidRDefault="00413756">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tbl>
      <w:tblPr>
        <w:tblStyle w:val="a0"/>
        <w:tblW w:w="963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689"/>
        <w:gridCol w:w="6945"/>
      </w:tblGrid>
      <w:tr w:rsidR="00413756" w:rsidRPr="00A42D3A" w14:paraId="51C971D0" w14:textId="77777777" w:rsidTr="00A42D3A">
        <w:trPr>
          <w:trHeight w:val="952"/>
        </w:trPr>
        <w:tc>
          <w:tcPr>
            <w:tcW w:w="2689" w:type="dxa"/>
            <w:tcBorders>
              <w:top w:val="single" w:sz="4" w:space="0" w:color="666666"/>
              <w:left w:val="single" w:sz="4" w:space="0" w:color="666666"/>
              <w:right w:val="single" w:sz="4" w:space="0" w:color="666666"/>
            </w:tcBorders>
          </w:tcPr>
          <w:p w14:paraId="2BDA3C13" w14:textId="77777777" w:rsidR="00413756" w:rsidRPr="00A42D3A" w:rsidRDefault="00F049FE">
            <w:pPr>
              <w:spacing w:line="276" w:lineRule="auto"/>
              <w:rPr>
                <w:rFonts w:ascii="Palatino Linotype" w:eastAsia="Palatino Linotype" w:hAnsi="Palatino Linotype" w:cs="Palatino Linotype"/>
              </w:rPr>
            </w:pPr>
            <w:r w:rsidRPr="00A42D3A">
              <w:rPr>
                <w:rFonts w:ascii="Palatino Linotype" w:eastAsia="Palatino Linotype" w:hAnsi="Palatino Linotype" w:cs="Palatino Linotype"/>
                <w:b/>
                <w:bCs/>
              </w:rPr>
              <w:t>a) Requisitos previos.</w:t>
            </w:r>
          </w:p>
        </w:tc>
        <w:tc>
          <w:tcPr>
            <w:tcW w:w="6945" w:type="dxa"/>
            <w:tcBorders>
              <w:top w:val="single" w:sz="4" w:space="0" w:color="666666"/>
              <w:left w:val="single" w:sz="4" w:space="0" w:color="666666"/>
              <w:right w:val="single" w:sz="4" w:space="0" w:color="666666"/>
            </w:tcBorders>
          </w:tcPr>
          <w:p w14:paraId="6E3F6ACF"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Los artículos 100 y 122 de la Ley Estatal y de la Ley General, respectivamente, señalan que si los </w:t>
            </w:r>
            <w:r w:rsidRPr="00A42D3A">
              <w:rPr>
                <w:rFonts w:ascii="Palatino Linotype" w:eastAsia="Palatino Linotype" w:hAnsi="Palatino Linotype" w:cs="Palatino Linotype"/>
                <w:b/>
                <w:bCs/>
              </w:rPr>
              <w:t>Sujetos Obligados</w:t>
            </w:r>
            <w:r w:rsidRPr="00A42D3A">
              <w:rPr>
                <w:rFonts w:ascii="Palatino Linotype" w:eastAsia="Palatino Linotype" w:hAnsi="Palatino Linotype" w:cs="Palatino Linotype"/>
              </w:rPr>
              <w:t xml:space="preserve"> determinan que la información actualiza alguno de los supuestos de clasificación, es deber de los titulares de las áreas proponer su clasificación y no del Comité de Transparencia. </w:t>
            </w:r>
          </w:p>
          <w:p w14:paraId="11F17319"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Al hacerlo tienen que precisar de qué información se trata, señalando el supuesto de clasificación (confidencialidad o reserva).</w:t>
            </w:r>
          </w:p>
          <w:p w14:paraId="76D94F22"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Además, se debe señalar el procedimiento, de los tres que establecen los artículos 132 y 106 de la Ley Estatal y General, respectivamente.</w:t>
            </w:r>
          </w:p>
          <w:p w14:paraId="09BDCF61"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A42D3A">
              <w:rPr>
                <w:rFonts w:ascii="Palatino Linotype" w:eastAsia="Palatino Linotype" w:hAnsi="Palatino Linotype" w:cs="Palatino Linotype"/>
                <w:b/>
                <w:bCs/>
                <w:u w:val="single"/>
              </w:rPr>
              <w:t xml:space="preserve">no se puede hacer un acuerdo para clasificar de manera general todos los documentos de un expediente o área,  </w:t>
            </w:r>
            <w:r w:rsidRPr="00A42D3A">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413756" w:rsidRPr="00A42D3A" w14:paraId="537416CD" w14:textId="77777777" w:rsidTr="00A42D3A">
        <w:trPr>
          <w:trHeight w:val="3711"/>
        </w:trPr>
        <w:tc>
          <w:tcPr>
            <w:tcW w:w="2689" w:type="dxa"/>
            <w:tcBorders>
              <w:top w:val="single" w:sz="4" w:space="0" w:color="666666"/>
              <w:left w:val="single" w:sz="4" w:space="0" w:color="666666"/>
              <w:bottom w:val="single" w:sz="4" w:space="0" w:color="666666"/>
              <w:right w:val="single" w:sz="4" w:space="0" w:color="666666"/>
            </w:tcBorders>
          </w:tcPr>
          <w:p w14:paraId="38200D88" w14:textId="77777777" w:rsidR="00413756" w:rsidRPr="00A42D3A" w:rsidRDefault="00F049FE">
            <w:pPr>
              <w:spacing w:line="276" w:lineRule="auto"/>
              <w:rPr>
                <w:rFonts w:ascii="Palatino Linotype" w:eastAsia="Palatino Linotype" w:hAnsi="Palatino Linotype" w:cs="Palatino Linotype"/>
              </w:rPr>
            </w:pPr>
            <w:r w:rsidRPr="00A42D3A">
              <w:rPr>
                <w:rFonts w:ascii="Palatino Linotype" w:eastAsia="Palatino Linotype" w:hAnsi="Palatino Linotype" w:cs="Palatino Linotype"/>
                <w:b/>
                <w:bCs/>
              </w:rPr>
              <w:t>b) Supuestos de clasificación.</w:t>
            </w:r>
          </w:p>
        </w:tc>
        <w:tc>
          <w:tcPr>
            <w:tcW w:w="6945" w:type="dxa"/>
            <w:tcBorders>
              <w:top w:val="single" w:sz="4" w:space="0" w:color="666666"/>
              <w:left w:val="single" w:sz="4" w:space="0" w:color="666666"/>
              <w:bottom w:val="single" w:sz="4" w:space="0" w:color="666666"/>
              <w:right w:val="single" w:sz="4" w:space="0" w:color="666666"/>
            </w:tcBorders>
          </w:tcPr>
          <w:p w14:paraId="40B3F37F"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529127DA"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w:t>
            </w:r>
            <w:r w:rsidRPr="00A42D3A">
              <w:rPr>
                <w:rFonts w:ascii="Palatino Linotype" w:eastAsia="Palatino Linotype" w:hAnsi="Palatino Linotype" w:cs="Palatino Linotype"/>
              </w:rPr>
              <w:lastRenderedPageBreak/>
              <w:t>ampliar las excepciones o supuestos de clasificación aduciendo analogía o mayoría de razón.</w:t>
            </w:r>
          </w:p>
          <w:p w14:paraId="25B2B26F"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El </w:t>
            </w:r>
            <w:r w:rsidRPr="00A42D3A">
              <w:rPr>
                <w:rFonts w:ascii="Palatino Linotype" w:eastAsia="Palatino Linotype" w:hAnsi="Palatino Linotype" w:cs="Palatino Linotype"/>
                <w:b/>
                <w:bCs/>
              </w:rPr>
              <w:t>SUJETO OBLIGADO</w:t>
            </w:r>
            <w:r w:rsidRPr="00A42D3A">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13756" w:rsidRPr="00A42D3A" w14:paraId="0C928E38" w14:textId="77777777" w:rsidTr="00A42D3A">
        <w:trPr>
          <w:trHeight w:val="3711"/>
        </w:trPr>
        <w:tc>
          <w:tcPr>
            <w:tcW w:w="2689" w:type="dxa"/>
            <w:tcBorders>
              <w:top w:val="single" w:sz="4" w:space="0" w:color="666666"/>
              <w:left w:val="single" w:sz="4" w:space="0" w:color="666666"/>
              <w:bottom w:val="single" w:sz="4" w:space="0" w:color="666666"/>
              <w:right w:val="single" w:sz="4" w:space="0" w:color="666666"/>
            </w:tcBorders>
          </w:tcPr>
          <w:p w14:paraId="279BA571" w14:textId="77777777" w:rsidR="00413756" w:rsidRPr="00A42D3A" w:rsidRDefault="00F049FE">
            <w:pPr>
              <w:spacing w:line="276" w:lineRule="auto"/>
              <w:rPr>
                <w:rFonts w:ascii="Palatino Linotype" w:eastAsia="Palatino Linotype" w:hAnsi="Palatino Linotype" w:cs="Palatino Linotype"/>
              </w:rPr>
            </w:pPr>
            <w:r w:rsidRPr="00A42D3A">
              <w:rPr>
                <w:rFonts w:ascii="Palatino Linotype" w:eastAsia="Palatino Linotype" w:hAnsi="Palatino Linotype" w:cs="Palatino Linotype"/>
                <w:b/>
                <w:bCs/>
              </w:rPr>
              <w:lastRenderedPageBreak/>
              <w:t>c) Formalidades para emitir el acuerdo de clasificación.</w:t>
            </w:r>
          </w:p>
        </w:tc>
        <w:tc>
          <w:tcPr>
            <w:tcW w:w="6945" w:type="dxa"/>
            <w:tcBorders>
              <w:top w:val="single" w:sz="4" w:space="0" w:color="666666"/>
              <w:left w:val="single" w:sz="4" w:space="0" w:color="666666"/>
              <w:bottom w:val="single" w:sz="4" w:space="0" w:color="666666"/>
              <w:right w:val="single" w:sz="4" w:space="0" w:color="666666"/>
            </w:tcBorders>
          </w:tcPr>
          <w:p w14:paraId="1926BA44"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7DC490DA"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Es necesario que </w:t>
            </w:r>
            <w:r w:rsidRPr="00A42D3A">
              <w:rPr>
                <w:rFonts w:ascii="Palatino Linotype" w:eastAsia="Palatino Linotype" w:hAnsi="Palatino Linotype" w:cs="Palatino Linotype"/>
                <w:b/>
                <w:bCs/>
                <w:u w:val="single"/>
              </w:rPr>
              <w:t>el acto reúna con los requisitos elementales</w:t>
            </w:r>
            <w:r w:rsidRPr="00A42D3A">
              <w:rPr>
                <w:rFonts w:ascii="Palatino Linotype" w:eastAsia="Palatino Linotype" w:hAnsi="Palatino Linotype" w:cs="Palatino Linotype"/>
              </w:rPr>
              <w:t>, entre ellos, que la autoridad que va a emitir el acto de autoridad sea la legalmente facultada para ello.</w:t>
            </w:r>
          </w:p>
          <w:p w14:paraId="78F5E657"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13756" w:rsidRPr="00A42D3A" w14:paraId="0BB3323A" w14:textId="77777777" w:rsidTr="00A42D3A">
        <w:trPr>
          <w:trHeight w:val="4854"/>
        </w:trPr>
        <w:tc>
          <w:tcPr>
            <w:tcW w:w="2689" w:type="dxa"/>
            <w:tcBorders>
              <w:top w:val="single" w:sz="4" w:space="0" w:color="666666"/>
              <w:left w:val="single" w:sz="4" w:space="0" w:color="666666"/>
              <w:bottom w:val="single" w:sz="4" w:space="0" w:color="666666"/>
              <w:right w:val="single" w:sz="4" w:space="0" w:color="666666"/>
            </w:tcBorders>
          </w:tcPr>
          <w:p w14:paraId="6D66C27F" w14:textId="77777777" w:rsidR="00413756" w:rsidRPr="00A42D3A" w:rsidRDefault="00413756">
            <w:pPr>
              <w:spacing w:line="276" w:lineRule="auto"/>
              <w:rPr>
                <w:rFonts w:ascii="Palatino Linotype" w:eastAsia="Palatino Linotype" w:hAnsi="Palatino Linotype" w:cs="Palatino Linotype"/>
              </w:rPr>
            </w:pPr>
          </w:p>
          <w:p w14:paraId="1A407F45"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b/>
                <w:bCs/>
              </w:rPr>
              <w:t xml:space="preserve">d) Requisitos de fondo del acuerdo de clasificación. </w:t>
            </w:r>
          </w:p>
        </w:tc>
        <w:tc>
          <w:tcPr>
            <w:tcW w:w="6945" w:type="dxa"/>
            <w:tcBorders>
              <w:top w:val="single" w:sz="4" w:space="0" w:color="666666"/>
              <w:left w:val="single" w:sz="4" w:space="0" w:color="666666"/>
              <w:bottom w:val="single" w:sz="4" w:space="0" w:color="666666"/>
              <w:right w:val="single" w:sz="4" w:space="0" w:color="666666"/>
            </w:tcBorders>
          </w:tcPr>
          <w:p w14:paraId="375F3ABB"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A42D3A">
              <w:rPr>
                <w:rFonts w:ascii="Palatino Linotype" w:eastAsia="Palatino Linotype" w:hAnsi="Palatino Linotype" w:cs="Palatino Linotype"/>
                <w:b/>
                <w:bCs/>
              </w:rPr>
              <w:t>Sujetos Obligados</w:t>
            </w:r>
            <w:r w:rsidRPr="00A42D3A">
              <w:rPr>
                <w:rFonts w:ascii="Palatino Linotype" w:eastAsia="Palatino Linotype" w:hAnsi="Palatino Linotype" w:cs="Palatino Linotype"/>
              </w:rPr>
              <w:t xml:space="preserve">, por lo que deberán fundar y motivar debidamente la clasificación. </w:t>
            </w:r>
          </w:p>
          <w:p w14:paraId="5B5CE868"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De lo anterior, se desprende que para una correcta </w:t>
            </w:r>
            <w:r w:rsidRPr="00A42D3A">
              <w:rPr>
                <w:rFonts w:ascii="Palatino Linotype" w:eastAsia="Palatino Linotype" w:hAnsi="Palatino Linotype" w:cs="Palatino Linotype"/>
                <w:b/>
                <w:bCs/>
              </w:rPr>
              <w:t>clasificación total o parcial</w:t>
            </w:r>
            <w:r w:rsidRPr="00A42D3A">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4CBAC5"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8A5DB01"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14:paraId="2DCF7B1F"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Ahora bien, </w:t>
            </w:r>
            <w:r w:rsidRPr="00A42D3A">
              <w:rPr>
                <w:rFonts w:ascii="Palatino Linotype" w:eastAsia="Palatino Linotype" w:hAnsi="Palatino Linotype" w:cs="Palatino Linotype"/>
                <w:b/>
                <w:bCs/>
                <w:u w:val="single"/>
              </w:rPr>
              <w:t>para cada caso además de fundar y motivar</w:t>
            </w:r>
            <w:r w:rsidRPr="00A42D3A">
              <w:rPr>
                <w:rFonts w:ascii="Palatino Linotype" w:eastAsia="Palatino Linotype" w:hAnsi="Palatino Linotype" w:cs="Palatino Linotype"/>
              </w:rPr>
              <w:t xml:space="preserve">, se debe identificar con claridad que datos contenidos en las documentales que son susceptibles de suprimirse, por ejemplo; Clave Única de Registro de Población (CURP), Registro Federal de Contribuyentes (R.F.C.), claves de seguros, préstamos o </w:t>
            </w:r>
            <w:r w:rsidRPr="00A42D3A">
              <w:rPr>
                <w:rFonts w:ascii="Palatino Linotype" w:eastAsia="Palatino Linotype" w:hAnsi="Palatino Linotype" w:cs="Palatino Linotype"/>
              </w:rPr>
              <w:lastRenderedPageBreak/>
              <w:t>descuentos personales, secretos bancario, fiduciario, industrial, comercial, fiscal, bursátil y postal, cuya titularidad corresponda a particulares, entre otros.</w:t>
            </w:r>
          </w:p>
        </w:tc>
      </w:tr>
      <w:tr w:rsidR="00413756" w:rsidRPr="00A42D3A" w14:paraId="02C4B11A" w14:textId="77777777" w:rsidTr="00A42D3A">
        <w:trPr>
          <w:trHeight w:val="3131"/>
        </w:trPr>
        <w:tc>
          <w:tcPr>
            <w:tcW w:w="2689" w:type="dxa"/>
            <w:tcBorders>
              <w:top w:val="single" w:sz="4" w:space="0" w:color="666666"/>
              <w:left w:val="single" w:sz="4" w:space="0" w:color="666666"/>
              <w:bottom w:val="single" w:sz="4" w:space="0" w:color="666666"/>
              <w:right w:val="single" w:sz="4" w:space="0" w:color="666666"/>
            </w:tcBorders>
          </w:tcPr>
          <w:p w14:paraId="749A8600"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b/>
                <w:bCs/>
              </w:rPr>
              <w:lastRenderedPageBreak/>
              <w:t xml:space="preserve">e) Condiciones especiales de la clasificación de la información como confidencial. </w:t>
            </w:r>
          </w:p>
          <w:p w14:paraId="6713B146" w14:textId="77777777" w:rsidR="00413756" w:rsidRPr="00A42D3A" w:rsidRDefault="00413756">
            <w:pPr>
              <w:spacing w:line="276" w:lineRule="auto"/>
              <w:rPr>
                <w:rFonts w:ascii="Palatino Linotype" w:eastAsia="Palatino Linotype" w:hAnsi="Palatino Linotype" w:cs="Palatino Linotype"/>
              </w:rPr>
            </w:pPr>
          </w:p>
        </w:tc>
        <w:tc>
          <w:tcPr>
            <w:tcW w:w="6945" w:type="dxa"/>
            <w:tcBorders>
              <w:top w:val="single" w:sz="4" w:space="0" w:color="666666"/>
              <w:left w:val="single" w:sz="4" w:space="0" w:color="666666"/>
              <w:bottom w:val="single" w:sz="4" w:space="0" w:color="666666"/>
              <w:right w:val="single" w:sz="4" w:space="0" w:color="666666"/>
            </w:tcBorders>
          </w:tcPr>
          <w:p w14:paraId="7984AD42"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14:paraId="71F7AD37" w14:textId="77777777" w:rsidR="00413756" w:rsidRPr="00A42D3A" w:rsidRDefault="00F049FE">
            <w:pPr>
              <w:spacing w:line="276"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5BD1B14" w14:textId="77777777" w:rsidR="00413756" w:rsidRPr="00A42D3A" w:rsidRDefault="00F049FE">
            <w:pPr>
              <w:spacing w:line="276" w:lineRule="auto"/>
              <w:rPr>
                <w:rFonts w:ascii="Palatino Linotype" w:eastAsia="Palatino Linotype" w:hAnsi="Palatino Linotype" w:cs="Palatino Linotype"/>
              </w:rPr>
            </w:pPr>
            <w:r w:rsidRPr="00A42D3A">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ECAD5F6" w14:textId="77777777" w:rsidR="00413756" w:rsidRPr="00A42D3A" w:rsidRDefault="00F049FE">
      <w:pPr>
        <w:keepNext/>
        <w:keepLines/>
        <w:spacing w:before="240" w:line="259" w:lineRule="auto"/>
        <w:rPr>
          <w:rFonts w:ascii="Palatino Linotype" w:eastAsia="Palatino Linotype" w:hAnsi="Palatino Linotype" w:cs="Palatino Linotype"/>
          <w:i/>
          <w:iCs/>
          <w:highlight w:val="yellow"/>
        </w:rPr>
      </w:pPr>
      <w:r w:rsidRPr="00A42D3A">
        <w:rPr>
          <w:rFonts w:ascii="Palatino Linotype" w:eastAsia="Palatino Linotype" w:hAnsi="Palatino Linotype" w:cs="Palatino Linotype"/>
          <w:highlight w:val="yellow"/>
        </w:rPr>
        <w:t xml:space="preserve"> </w:t>
      </w:r>
    </w:p>
    <w:p w14:paraId="567F1BF4" w14:textId="77777777" w:rsidR="00413756" w:rsidRPr="00A42D3A" w:rsidRDefault="00F049FE">
      <w:pPr>
        <w:numPr>
          <w:ilvl w:val="0"/>
          <w:numId w:val="6"/>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222222"/>
        </w:rPr>
        <w:t>Por otro lado, de manera enunciativa mas no limitativas, dentro de los elementos que integran los recibos de nómina se pueden encontrar los siguientes:</w:t>
      </w:r>
    </w:p>
    <w:p w14:paraId="3A3BD651" w14:textId="77777777" w:rsidR="00413756" w:rsidRPr="00A42D3A" w:rsidRDefault="00F049FE">
      <w:pPr>
        <w:numPr>
          <w:ilvl w:val="0"/>
          <w:numId w:val="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lastRenderedPageBreak/>
        <w:t>Clave Única de Registro de Población (CURP);</w:t>
      </w:r>
    </w:p>
    <w:p w14:paraId="2499C336" w14:textId="77777777" w:rsidR="00413756" w:rsidRPr="00A42D3A" w:rsidRDefault="00F049FE">
      <w:pPr>
        <w:numPr>
          <w:ilvl w:val="0"/>
          <w:numId w:val="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Número de ISSEMyM;</w:t>
      </w:r>
    </w:p>
    <w:p w14:paraId="39E2A3AB" w14:textId="77777777" w:rsidR="00413756" w:rsidRPr="00A42D3A" w:rsidRDefault="00F049FE">
      <w:pPr>
        <w:numPr>
          <w:ilvl w:val="0"/>
          <w:numId w:val="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Número de empleado;</w:t>
      </w:r>
    </w:p>
    <w:p w14:paraId="46ADA1AD" w14:textId="77777777" w:rsidR="00413756" w:rsidRPr="00A42D3A" w:rsidRDefault="00F049FE">
      <w:pPr>
        <w:numPr>
          <w:ilvl w:val="0"/>
          <w:numId w:val="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Registro Federal de Contribuyentes (RFC);</w:t>
      </w:r>
    </w:p>
    <w:p w14:paraId="0E20396D" w14:textId="77777777" w:rsidR="00413756" w:rsidRPr="00A42D3A" w:rsidRDefault="00F049FE">
      <w:pPr>
        <w:numPr>
          <w:ilvl w:val="0"/>
          <w:numId w:val="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Número de Serie del CSD del SAT;</w:t>
      </w:r>
    </w:p>
    <w:p w14:paraId="0547BA55" w14:textId="77777777" w:rsidR="00413756" w:rsidRPr="00A42D3A" w:rsidRDefault="00F049FE">
      <w:pPr>
        <w:numPr>
          <w:ilvl w:val="0"/>
          <w:numId w:val="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Número de Serie del CDS del emisor;</w:t>
      </w:r>
    </w:p>
    <w:p w14:paraId="2BC3F70B" w14:textId="77777777" w:rsidR="00413756" w:rsidRPr="00A42D3A" w:rsidRDefault="00F049FE">
      <w:pPr>
        <w:numPr>
          <w:ilvl w:val="0"/>
          <w:numId w:val="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Serie y folio;</w:t>
      </w:r>
    </w:p>
    <w:p w14:paraId="17E92243" w14:textId="77777777" w:rsidR="00413756" w:rsidRPr="00A42D3A" w:rsidRDefault="00F049FE">
      <w:pPr>
        <w:numPr>
          <w:ilvl w:val="0"/>
          <w:numId w:val="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Firma;</w:t>
      </w:r>
    </w:p>
    <w:p w14:paraId="65D41FD5" w14:textId="77777777" w:rsidR="00413756" w:rsidRPr="00A42D3A" w:rsidRDefault="00F049FE">
      <w:pPr>
        <w:numPr>
          <w:ilvl w:val="0"/>
          <w:numId w:val="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Código QR;</w:t>
      </w:r>
    </w:p>
    <w:p w14:paraId="15D610C3" w14:textId="77777777" w:rsidR="00413756" w:rsidRPr="00A42D3A" w:rsidRDefault="00F049FE">
      <w:pPr>
        <w:numPr>
          <w:ilvl w:val="0"/>
          <w:numId w:val="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Sello Digital del Contribuyente; y</w:t>
      </w:r>
    </w:p>
    <w:p w14:paraId="504DCF46" w14:textId="77777777" w:rsidR="00413756" w:rsidRPr="00A42D3A" w:rsidRDefault="00F049FE">
      <w:pPr>
        <w:numPr>
          <w:ilvl w:val="0"/>
          <w:numId w:val="4"/>
        </w:num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Sello Digital del SAT.</w:t>
      </w:r>
    </w:p>
    <w:p w14:paraId="54158061" w14:textId="77777777" w:rsidR="00413756" w:rsidRPr="00A42D3A" w:rsidRDefault="00413756">
      <w:pPr>
        <w:pBdr>
          <w:top w:val="nil"/>
          <w:left w:val="nil"/>
          <w:bottom w:val="nil"/>
          <w:right w:val="nil"/>
          <w:between w:val="nil"/>
        </w:pBdr>
        <w:tabs>
          <w:tab w:val="left" w:pos="567"/>
        </w:tabs>
        <w:spacing w:line="360" w:lineRule="auto"/>
        <w:ind w:left="720"/>
        <w:jc w:val="both"/>
        <w:rPr>
          <w:rFonts w:ascii="Palatino Linotype" w:eastAsia="Palatino Linotype" w:hAnsi="Palatino Linotype" w:cs="Palatino Linotype"/>
          <w:color w:val="000000"/>
        </w:rPr>
      </w:pPr>
    </w:p>
    <w:p w14:paraId="57EADBCF" w14:textId="77777777" w:rsidR="00413756" w:rsidRPr="00A42D3A" w:rsidRDefault="00F049FE">
      <w:pPr>
        <w:pStyle w:val="Ttulo3"/>
        <w:numPr>
          <w:ilvl w:val="0"/>
          <w:numId w:val="4"/>
        </w:numPr>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Clave Única de Registro de Población (CURP).</w:t>
      </w:r>
    </w:p>
    <w:p w14:paraId="4E247C2F" w14:textId="77777777" w:rsidR="00413756" w:rsidRPr="00A42D3A" w:rsidRDefault="00F049FE">
      <w:pPr>
        <w:numPr>
          <w:ilvl w:val="0"/>
          <w:numId w:val="6"/>
        </w:numPr>
        <w:pBdr>
          <w:top w:val="nil"/>
          <w:left w:val="nil"/>
          <w:bottom w:val="nil"/>
          <w:right w:val="nil"/>
          <w:between w:val="nil"/>
        </w:pBdr>
        <w:shd w:val="clear" w:color="auto" w:fill="FFFFFF"/>
        <w:spacing w:before="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w:t>
      </w:r>
    </w:p>
    <w:p w14:paraId="68BCE752" w14:textId="77777777" w:rsidR="00413756" w:rsidRPr="00A42D3A" w:rsidRDefault="00413756">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22222"/>
        </w:rPr>
      </w:pPr>
    </w:p>
    <w:p w14:paraId="3203233C" w14:textId="77777777" w:rsidR="00413756" w:rsidRPr="00A42D3A" w:rsidRDefault="00F049FE">
      <w:pPr>
        <w:numPr>
          <w:ilvl w:val="0"/>
          <w:numId w:val="6"/>
        </w:numPr>
        <w:pBdr>
          <w:top w:val="nil"/>
          <w:left w:val="nil"/>
          <w:bottom w:val="nil"/>
          <w:right w:val="nil"/>
          <w:between w:val="nil"/>
        </w:pBdr>
        <w:shd w:val="clear" w:color="auto" w:fill="FFFFFF"/>
        <w:spacing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 xml:space="preserve">Es entonces que a partir de los datos básicos de la persona (nombre, apellido, sexo, fecha y lugar de nacimiento) encontrados en los documentos probatorios de identidad es que </w:t>
      </w:r>
      <w:r w:rsidRPr="00A42D3A">
        <w:rPr>
          <w:rFonts w:ascii="Palatino Linotype" w:eastAsia="Palatino Linotype" w:hAnsi="Palatino Linotype" w:cs="Palatino Linotype"/>
          <w:color w:val="000000"/>
        </w:rPr>
        <w:lastRenderedPageBreak/>
        <w:t xml:space="preserve">se genera la CURP, la cual tiene la particularidad de asegurar una correspondencia entre claves y personas. </w:t>
      </w:r>
    </w:p>
    <w:p w14:paraId="3D6B8499"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 xml:space="preserve">Entre las características de la CURP, se encuentra: </w:t>
      </w:r>
    </w:p>
    <w:p w14:paraId="60CAA637" w14:textId="77777777" w:rsidR="00413756" w:rsidRPr="00A42D3A" w:rsidRDefault="00F049FE">
      <w:pPr>
        <w:pBdr>
          <w:top w:val="nil"/>
          <w:left w:val="nil"/>
          <w:bottom w:val="nil"/>
          <w:right w:val="nil"/>
          <w:between w:val="nil"/>
        </w:pBdr>
        <w:tabs>
          <w:tab w:val="left" w:pos="426"/>
          <w:tab w:val="left" w:pos="567"/>
        </w:tabs>
        <w:spacing w:line="360" w:lineRule="auto"/>
        <w:ind w:left="851" w:right="567"/>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b/>
          <w:bCs/>
          <w:color w:val="000000"/>
        </w:rPr>
        <w:t xml:space="preserve">Composición. </w:t>
      </w:r>
      <w:r w:rsidRPr="00A42D3A">
        <w:rPr>
          <w:rFonts w:ascii="Palatino Linotype" w:eastAsia="Palatino Linotype" w:hAnsi="Palatino Linotype" w:cs="Palatino Linotype"/>
          <w:color w:val="000000"/>
        </w:rPr>
        <w:t>Alfanumérica.</w:t>
      </w:r>
    </w:p>
    <w:p w14:paraId="59577481" w14:textId="77777777" w:rsidR="00413756" w:rsidRPr="00A42D3A" w:rsidRDefault="00F049FE">
      <w:pPr>
        <w:pBdr>
          <w:top w:val="nil"/>
          <w:left w:val="nil"/>
          <w:bottom w:val="nil"/>
          <w:right w:val="nil"/>
          <w:between w:val="nil"/>
        </w:pBdr>
        <w:tabs>
          <w:tab w:val="left" w:pos="426"/>
          <w:tab w:val="left" w:pos="567"/>
        </w:tabs>
        <w:spacing w:line="360" w:lineRule="auto"/>
        <w:ind w:left="851" w:right="567"/>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b/>
          <w:bCs/>
          <w:color w:val="000000"/>
        </w:rPr>
        <w:t xml:space="preserve">Longitud. </w:t>
      </w:r>
      <w:r w:rsidRPr="00A42D3A">
        <w:rPr>
          <w:rFonts w:ascii="Palatino Linotype" w:eastAsia="Palatino Linotype" w:hAnsi="Palatino Linotype" w:cs="Palatino Linotype"/>
          <w:color w:val="000000"/>
        </w:rPr>
        <w:t xml:space="preserve"> 18 caracteres.</w:t>
      </w:r>
    </w:p>
    <w:p w14:paraId="0B1D619E" w14:textId="77777777" w:rsidR="00413756" w:rsidRPr="00A42D3A" w:rsidRDefault="00F049FE">
      <w:pPr>
        <w:pBdr>
          <w:top w:val="nil"/>
          <w:left w:val="nil"/>
          <w:bottom w:val="nil"/>
          <w:right w:val="nil"/>
          <w:between w:val="nil"/>
        </w:pBdr>
        <w:tabs>
          <w:tab w:val="left" w:pos="426"/>
          <w:tab w:val="left" w:pos="567"/>
        </w:tabs>
        <w:spacing w:line="360" w:lineRule="auto"/>
        <w:ind w:left="851" w:right="567"/>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b/>
          <w:bCs/>
          <w:color w:val="000000"/>
        </w:rPr>
        <w:t xml:space="preserve">Naturaleza. </w:t>
      </w:r>
      <w:r w:rsidRPr="00A42D3A">
        <w:rPr>
          <w:rFonts w:ascii="Palatino Linotype" w:eastAsia="Palatino Linotype" w:hAnsi="Palatino Linotype" w:cs="Palatino Linotype"/>
          <w:color w:val="000000"/>
        </w:rPr>
        <w:t>Biunívoca.</w:t>
      </w:r>
    </w:p>
    <w:p w14:paraId="01369B55" w14:textId="77777777" w:rsidR="00413756" w:rsidRPr="00A42D3A" w:rsidRDefault="00F049FE">
      <w:pPr>
        <w:pBdr>
          <w:top w:val="nil"/>
          <w:left w:val="nil"/>
          <w:bottom w:val="nil"/>
          <w:right w:val="nil"/>
          <w:between w:val="nil"/>
        </w:pBdr>
        <w:tabs>
          <w:tab w:val="left" w:pos="426"/>
          <w:tab w:val="left" w:pos="567"/>
        </w:tabs>
        <w:spacing w:line="360" w:lineRule="auto"/>
        <w:ind w:left="851" w:right="567"/>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b/>
          <w:bCs/>
          <w:color w:val="000000"/>
        </w:rPr>
        <w:t xml:space="preserve">Universalidad. </w:t>
      </w:r>
      <w:r w:rsidRPr="00A42D3A">
        <w:rPr>
          <w:rFonts w:ascii="Palatino Linotype" w:eastAsia="Palatino Linotype" w:hAnsi="Palatino Linotype" w:cs="Palatino Linotype"/>
          <w:color w:val="000000"/>
        </w:rPr>
        <w:t>Se asigna a todas las personas que conforman la población.</w:t>
      </w:r>
    </w:p>
    <w:p w14:paraId="26F1B072" w14:textId="77777777" w:rsidR="00413756" w:rsidRPr="00A42D3A" w:rsidRDefault="00F049FE">
      <w:pPr>
        <w:pBdr>
          <w:top w:val="nil"/>
          <w:left w:val="nil"/>
          <w:bottom w:val="nil"/>
          <w:right w:val="nil"/>
          <w:between w:val="nil"/>
        </w:pBdr>
        <w:tabs>
          <w:tab w:val="left" w:pos="426"/>
          <w:tab w:val="left" w:pos="567"/>
        </w:tabs>
        <w:spacing w:line="360" w:lineRule="auto"/>
        <w:ind w:left="851" w:right="567"/>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210AD178"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3712B595"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63CCF42C"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lastRenderedPageBreak/>
        <w:t xml:space="preserve">Ante ello, resulta aplicable el Criterio 18/17 emitido por el Instituto Nacional de Transparencia, Acceso a la Información y Protección de Datos Personales, que a la literalidad señala: </w:t>
      </w:r>
    </w:p>
    <w:p w14:paraId="48C038D1" w14:textId="77777777" w:rsidR="00413756" w:rsidRPr="00A42D3A" w:rsidRDefault="00F049FE">
      <w:pPr>
        <w:numPr>
          <w:ilvl w:val="0"/>
          <w:numId w:val="6"/>
        </w:numPr>
        <w:pBdr>
          <w:top w:val="nil"/>
          <w:left w:val="nil"/>
          <w:bottom w:val="nil"/>
          <w:right w:val="nil"/>
          <w:between w:val="nil"/>
        </w:pBdr>
        <w:tabs>
          <w:tab w:val="left" w:pos="567"/>
        </w:tabs>
        <w:spacing w:line="360" w:lineRule="auto"/>
        <w:ind w:left="0" w:right="822"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i/>
          <w:iCs/>
          <w:color w:val="000000"/>
        </w:rPr>
        <w:t>“</w:t>
      </w:r>
      <w:r w:rsidRPr="00A42D3A">
        <w:rPr>
          <w:rFonts w:ascii="Palatino Linotype" w:eastAsia="Palatino Linotype" w:hAnsi="Palatino Linotype" w:cs="Palatino Linotype"/>
          <w:b/>
          <w:bCs/>
          <w:i/>
          <w:iCs/>
          <w:color w:val="000000"/>
        </w:rPr>
        <w:t xml:space="preserve">Clave Única de Registro de Población (CURP). </w:t>
      </w:r>
      <w:r w:rsidRPr="00A42D3A">
        <w:rPr>
          <w:rFonts w:ascii="Palatino Linotype" w:eastAsia="Palatino Linotype" w:hAnsi="Palatino Linotype" w:cs="Palatino Linotype"/>
          <w:i/>
          <w:iCs/>
          <w:color w:val="00000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w:t>
      </w:r>
    </w:p>
    <w:p w14:paraId="115074EF" w14:textId="77777777" w:rsidR="00413756" w:rsidRPr="00A42D3A" w:rsidRDefault="00413756">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14:paraId="56A2A17B" w14:textId="1B095B5D" w:rsidR="00413756" w:rsidRPr="00A42D3A" w:rsidRDefault="00F049FE" w:rsidP="00A42D3A">
      <w:pPr>
        <w:pStyle w:val="Ttulo3"/>
        <w:numPr>
          <w:ilvl w:val="0"/>
          <w:numId w:val="16"/>
        </w:numPr>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Clave ISSEMyM</w:t>
      </w:r>
    </w:p>
    <w:p w14:paraId="5136E648"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22D2AA7"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w:t>
      </w:r>
      <w:r w:rsidRPr="00A42D3A">
        <w:rPr>
          <w:rFonts w:ascii="Palatino Linotype" w:eastAsia="Palatino Linotype" w:hAnsi="Palatino Linotype" w:cs="Palatino Linotype"/>
          <w:color w:val="000000"/>
        </w:rPr>
        <w:lastRenderedPageBreak/>
        <w:t>trabajador con el objetivo de poder proporcionar los servicios que brinda el Instituto de Seguridad Social del Estado de México y Municipios.</w:t>
      </w:r>
    </w:p>
    <w:p w14:paraId="59CA21FB"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A8687CE" w14:textId="2854BC54" w:rsidR="00413756" w:rsidRPr="00A42D3A" w:rsidRDefault="00F049FE" w:rsidP="00A42D3A">
      <w:pPr>
        <w:pStyle w:val="Ttulo3"/>
        <w:numPr>
          <w:ilvl w:val="0"/>
          <w:numId w:val="16"/>
        </w:numPr>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Número de empleado.</w:t>
      </w:r>
    </w:p>
    <w:p w14:paraId="5614B9B5"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El número de empleado de los servidores públicos del Ayuntamiento son asignados por el Departamento de Recursos Humanos o equivalente y se trata de un código identificador para uso exclusivo del empleado que, de vincularse y relacionarse al RFC lo hace identificable plenamente y, con los mismos se puede tener acceso a diversa información, inclusive con sus datos personales.</w:t>
      </w:r>
    </w:p>
    <w:p w14:paraId="742546B8"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Se trata de un número de identificación personal utilizado como usuario para acceder a diferentes aplicaciones internas del Ayuntamiento y que en las cuales existe información confidencial que atañe a su titular sirve de apoyo el criterio 06/19 emitido por el instituto Nacional de Transparencia, Acceso a la Información y Protección de Datos Personales (INAI):</w:t>
      </w:r>
    </w:p>
    <w:p w14:paraId="5516E53F"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b/>
          <w:bCs/>
          <w:i/>
          <w:iCs/>
          <w:color w:val="000000"/>
        </w:rPr>
        <w:t>Número de empleado.</w:t>
      </w:r>
      <w:r w:rsidRPr="00A42D3A">
        <w:rPr>
          <w:rFonts w:ascii="Palatino Linotype" w:eastAsia="Palatino Linotype" w:hAnsi="Palatino Linotype" w:cs="Palatino Linotype"/>
          <w:i/>
          <w:iCs/>
          <w:color w:val="000000"/>
        </w:rPr>
        <w:t xml:space="preserve"> Cuando el número de empleado o su equivalente, se integra con datos personales de los trabajadores o funciona como una clave de acceso que no requiere adicionalmente de una contraseña para ingresar a sistemas de base de datos personales, procede su clasificación como confidencial.</w:t>
      </w:r>
    </w:p>
    <w:p w14:paraId="6A658B02"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lastRenderedPageBreak/>
        <w:t>En otros escenarios, el número de empleado corresponde sólo a un número consecutivo que no contiene datos personales ni se relaciona con los mismos, por lo que, el Sujeto Obligado deberá de clasificar dicho dato únicamente si se integra con datos personales, tal y como lo señala el criterio orientador.</w:t>
      </w:r>
    </w:p>
    <w:p w14:paraId="5492C5DC" w14:textId="717AA5B5" w:rsidR="00413756" w:rsidRPr="00A42D3A" w:rsidRDefault="00F049FE" w:rsidP="00A42D3A">
      <w:pPr>
        <w:pStyle w:val="Ttulo3"/>
        <w:numPr>
          <w:ilvl w:val="0"/>
          <w:numId w:val="16"/>
        </w:numPr>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Registro Federal de Contribuyentes (RFC)</w:t>
      </w:r>
    </w:p>
    <w:p w14:paraId="05EFDF9A"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El RFC es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E61C6D3"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815691D"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86E5CEC"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 xml:space="preserve">Conforme a lo expuesto, el Registro Federal de Contribuyentes, es un dato personal, ya que hace a las personas físicas identificas e identificables, además de que las relaciona como contribuyentes de las autoridades fiscales. Es de destacar que el Registro Federal de </w:t>
      </w:r>
      <w:r w:rsidRPr="00A42D3A">
        <w:rPr>
          <w:rFonts w:ascii="Palatino Linotype" w:eastAsia="Palatino Linotype" w:hAnsi="Palatino Linotype" w:cs="Palatino Linotype"/>
          <w:color w:val="000000"/>
        </w:rPr>
        <w:lastRenderedPageBreak/>
        <w:t>Contribuyentes únicamente sirve para efectos fiscales y pago de contribuciones, por lo que se trata de un dato relevante únicamente para las personas involucradas, en el pago de estos.</w:t>
      </w:r>
    </w:p>
    <w:p w14:paraId="5CEF85FA"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Lo anterior, resulta congruente con el Criterio 19/17 emitido por el Instituto Nacional de Transparencia, Acceso a la Información y Protección de Datos Personales, en el cual se señala lo siguiente:</w:t>
      </w:r>
    </w:p>
    <w:p w14:paraId="6BF3A328" w14:textId="77777777" w:rsidR="00413756" w:rsidRPr="00A42D3A" w:rsidRDefault="00F049FE">
      <w:pPr>
        <w:pBdr>
          <w:top w:val="nil"/>
          <w:left w:val="nil"/>
          <w:bottom w:val="nil"/>
          <w:right w:val="nil"/>
          <w:between w:val="nil"/>
        </w:pBdr>
        <w:spacing w:line="360" w:lineRule="auto"/>
        <w:ind w:left="851"/>
        <w:jc w:val="both"/>
        <w:rPr>
          <w:rFonts w:ascii="Palatino Linotype" w:eastAsia="Palatino Linotype" w:hAnsi="Palatino Linotype" w:cs="Palatino Linotype"/>
          <w:b/>
          <w:bCs/>
          <w:i/>
          <w:iCs/>
          <w:color w:val="000000"/>
        </w:rPr>
      </w:pPr>
      <w:r w:rsidRPr="00A42D3A">
        <w:rPr>
          <w:rFonts w:ascii="Palatino Linotype" w:eastAsia="Palatino Linotype" w:hAnsi="Palatino Linotype" w:cs="Palatino Linotype"/>
          <w:b/>
          <w:bCs/>
          <w:i/>
          <w:iCs/>
          <w:color w:val="000000"/>
        </w:rPr>
        <w:t xml:space="preserve">Registro Federal de Contribuyentes (RFC) de personas físicas. </w:t>
      </w:r>
    </w:p>
    <w:p w14:paraId="7CC71F7A" w14:textId="77777777" w:rsidR="00413756" w:rsidRPr="00A42D3A" w:rsidRDefault="00F049FE">
      <w:pPr>
        <w:pBdr>
          <w:top w:val="nil"/>
          <w:left w:val="nil"/>
          <w:bottom w:val="nil"/>
          <w:right w:val="nil"/>
          <w:between w:val="nil"/>
        </w:pBdr>
        <w:spacing w:line="360" w:lineRule="auto"/>
        <w:ind w:left="851" w:right="567"/>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El RFC es una clave de carácter fiscal, única e irrepetible, que permite identificar al titular, su edad y fecha de nacimiento, por lo que es un dato personal de carácter confidencial.</w:t>
      </w:r>
    </w:p>
    <w:p w14:paraId="7E0F8586" w14:textId="77777777" w:rsidR="00413756" w:rsidRPr="00A42D3A" w:rsidRDefault="00413756">
      <w:pPr>
        <w:shd w:val="clear" w:color="auto" w:fill="FFFFFF"/>
        <w:spacing w:before="240" w:after="240" w:line="360" w:lineRule="auto"/>
        <w:jc w:val="both"/>
        <w:rPr>
          <w:rFonts w:ascii="Palatino Linotype" w:eastAsia="Palatino Linotype" w:hAnsi="Palatino Linotype" w:cs="Palatino Linotype"/>
          <w:color w:val="222222"/>
        </w:rPr>
      </w:pPr>
    </w:p>
    <w:p w14:paraId="34826FC6"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bookmarkStart w:id="9" w:name="_heading=h.35nkun2" w:colFirst="0" w:colLast="0"/>
      <w:bookmarkEnd w:id="9"/>
      <w:r w:rsidRPr="00A42D3A">
        <w:rPr>
          <w:rFonts w:ascii="Palatino Linotype" w:eastAsia="Palatino Linotype" w:hAnsi="Palatino Linotype" w:cs="Palatino Linotype"/>
          <w:b/>
          <w:bCs/>
          <w:color w:val="000000"/>
        </w:rPr>
        <w:t>De tal suerte, el Registro Federal de Contribuyentes de las personas físicas no guarda relación con la transparencia de los recursos públicos</w:t>
      </w:r>
      <w:r w:rsidRPr="00A42D3A">
        <w:rPr>
          <w:rFonts w:ascii="Palatino Linotype" w:eastAsia="Palatino Linotype" w:hAnsi="Palatino Linotype" w:cs="Palatino Linotype"/>
          <w:color w:val="000000"/>
        </w:rPr>
        <w:t>, así como tampoco con el desempeño laboral que pueda tener una persona.</w:t>
      </w:r>
    </w:p>
    <w:p w14:paraId="0B06CFC8" w14:textId="0076445F" w:rsidR="00413756" w:rsidRPr="00A42D3A" w:rsidRDefault="00F049FE" w:rsidP="00A42D3A">
      <w:pPr>
        <w:pStyle w:val="Ttulo3"/>
        <w:numPr>
          <w:ilvl w:val="0"/>
          <w:numId w:val="16"/>
        </w:numPr>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Deducciones personales</w:t>
      </w:r>
    </w:p>
    <w:p w14:paraId="1F5DDEC2"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 xml:space="preserve">Es necesario precisar que existen deducciones que se generan con motivo de una decisión libre y voluntaria de los servidores públicos, como son: créditos personales, </w:t>
      </w:r>
      <w:r w:rsidRPr="00A42D3A">
        <w:rPr>
          <w:rFonts w:ascii="Palatino Linotype" w:eastAsia="Palatino Linotype" w:hAnsi="Palatino Linotype" w:cs="Palatino Linotype"/>
          <w:b/>
          <w:bCs/>
          <w:color w:val="000000"/>
          <w:u w:val="single"/>
        </w:rPr>
        <w:t>cuotas sindicales y fondo de resistencia del Sindicato Único de Trabajadores de los Poderes, Municipios e Institución Descentralizadas del Estado de México</w:t>
      </w:r>
      <w:r w:rsidRPr="00A42D3A">
        <w:rPr>
          <w:rFonts w:ascii="Palatino Linotype" w:eastAsia="Palatino Linotype" w:hAnsi="Palatino Linotype" w:cs="Palatino Linotype"/>
          <w:color w:val="000000"/>
        </w:rPr>
        <w:t>, seguro de vida, accidentes y enfermedades.</w:t>
      </w:r>
    </w:p>
    <w:p w14:paraId="6F378DAB"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 xml:space="preserve">Asimismo, hay otras que se generan con motivo de una sentencia judicial, como es la pensión alimenticia que periódicamente se retira de la cuenta de un empleado, a efecto de que sea entregado a un tercero.  </w:t>
      </w:r>
    </w:p>
    <w:p w14:paraId="4142C71E"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lastRenderedPageBreak/>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39DD9640"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bookmarkStart w:id="10" w:name="_heading=h.1ksv4uv" w:colFirst="0" w:colLast="0"/>
      <w:bookmarkEnd w:id="10"/>
      <w:r w:rsidRPr="00A42D3A">
        <w:rPr>
          <w:rFonts w:ascii="Palatino Linotype" w:eastAsia="Palatino Linotype" w:hAnsi="Palatino Linotype" w:cs="Palatino Linotype"/>
          <w:color w:val="000000"/>
        </w:rPr>
        <w:t>Así, dichas deducciones reflejan el destino que un servidor público da a su patrimonio, lo que se aleja de la transparencia y rendición de cuentas.</w:t>
      </w:r>
    </w:p>
    <w:p w14:paraId="04D9F29D" w14:textId="43DAB38F" w:rsidR="00413756" w:rsidRPr="00A42D3A" w:rsidRDefault="00F049FE" w:rsidP="00A42D3A">
      <w:pPr>
        <w:pStyle w:val="Ttulo3"/>
        <w:numPr>
          <w:ilvl w:val="0"/>
          <w:numId w:val="16"/>
        </w:numPr>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CÓDIGO QR</w:t>
      </w:r>
    </w:p>
    <w:p w14:paraId="383D30F3"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 xml:space="preserve">En principio, resulta necesario señalar que los comprobantes fiscales digitales por Internet, deben de incluir un código bidimensional conforme al formato </w:t>
      </w:r>
      <w:r w:rsidRPr="00A42D3A">
        <w:rPr>
          <w:rFonts w:ascii="Palatino Linotype" w:eastAsia="Palatino Linotype" w:hAnsi="Palatino Linotype" w:cs="Palatino Linotype"/>
          <w:i/>
          <w:iCs/>
          <w:color w:val="000000"/>
        </w:rPr>
        <w:t>QR Code (Quick Response Code)</w:t>
      </w:r>
      <w:r w:rsidRPr="00A42D3A">
        <w:rPr>
          <w:rFonts w:ascii="Palatino Linotype" w:eastAsia="Palatino Linotype" w:hAnsi="Palatino Linotype" w:cs="Palatino Linotype"/>
          <w:color w:val="00000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3">
        <w:r w:rsidRPr="00A42D3A">
          <w:rPr>
            <w:rFonts w:ascii="Palatino Linotype" w:eastAsia="Palatino Linotype" w:hAnsi="Palatino Linotype" w:cs="Palatino Linotype"/>
            <w:color w:val="0563C1"/>
            <w:u w:val="single"/>
          </w:rPr>
          <w:t>http://dof.gob.mx/nota_detalle.php?codigo=5492254&amp;fecha=28/07/2017</w:t>
        </w:r>
      </w:hyperlink>
      <w:r w:rsidRPr="00A42D3A">
        <w:rPr>
          <w:rFonts w:ascii="Palatino Linotype" w:eastAsia="Palatino Linotype" w:hAnsi="Palatino Linotype" w:cs="Palatino Linotype"/>
          <w:color w:val="000000"/>
        </w:rPr>
        <w:t>. Incluso con la captura de dicho código, a través de la aplicación móvil del Servicio de Administración Tributaria, permite el acceso al Registro Federal de Contribuyentes, como del Sujeto Obligado, como de los servidores públicos.</w:t>
      </w:r>
    </w:p>
    <w:p w14:paraId="1E8BB1CC"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70309894"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lastRenderedPageBreak/>
        <w:t>Hasta este punto, se considera que la información relacionada con los siguientes puntos actualiza una causal de confidencialidad, toda vez que identifica o hace identificable a su titular.</w:t>
      </w:r>
    </w:p>
    <w:p w14:paraId="135A4BD2" w14:textId="77777777" w:rsidR="00413756" w:rsidRPr="00A42D3A" w:rsidRDefault="00F049FE" w:rsidP="00A42D3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Clave Única de Registro de Población (CURP)</w:t>
      </w:r>
    </w:p>
    <w:p w14:paraId="0A1B7A0E" w14:textId="77777777" w:rsidR="00413756" w:rsidRPr="00A42D3A" w:rsidRDefault="00F049FE" w:rsidP="00A42D3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Clave ISSEMyM</w:t>
      </w:r>
    </w:p>
    <w:p w14:paraId="5B26187E" w14:textId="77777777" w:rsidR="00413756" w:rsidRPr="00A42D3A" w:rsidRDefault="00F049FE" w:rsidP="00A42D3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 xml:space="preserve">Número de empleado </w:t>
      </w:r>
      <w:r w:rsidRPr="00A42D3A">
        <w:rPr>
          <w:rFonts w:ascii="Palatino Linotype" w:eastAsia="Palatino Linotype" w:hAnsi="Palatino Linotype" w:cs="Palatino Linotype"/>
          <w:b/>
          <w:bCs/>
          <w:color w:val="000000"/>
        </w:rPr>
        <w:t>(sólo en el caso de que contenga datos personales o se relacione con los mismos, de lo contrario es información pública)</w:t>
      </w:r>
    </w:p>
    <w:p w14:paraId="5F867675" w14:textId="77777777" w:rsidR="00413756" w:rsidRPr="00A42D3A" w:rsidRDefault="00F049FE" w:rsidP="00A42D3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Registro Federal de Contribuyentes (RFC)</w:t>
      </w:r>
    </w:p>
    <w:p w14:paraId="447B5ACB" w14:textId="77777777" w:rsidR="00413756" w:rsidRPr="00A42D3A" w:rsidRDefault="00F049FE" w:rsidP="00A42D3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Deducciones personales</w:t>
      </w:r>
    </w:p>
    <w:p w14:paraId="4B56F3FD" w14:textId="77777777" w:rsidR="00413756" w:rsidRPr="00A42D3A" w:rsidRDefault="00F049FE" w:rsidP="00A42D3A">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Código QR</w:t>
      </w:r>
    </w:p>
    <w:p w14:paraId="61DB0D5F"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Es decir, los datos personales enlistados constituyen datos personales confidenciales al actualizar el supuesto normativo del artículo 143, fracción I de la Ley de Transparencia y Acceso a la Información Pública del Estado de México y Municipios.</w:t>
      </w:r>
    </w:p>
    <w:p w14:paraId="2B9CD4E6"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En consecuencia, si deben ser clasificados como confidenciales y es procedente que se proporcionen a través de una versión pública que los proteja. No obstante, es necesario continuar con el análisis de la información que a dicho del Sujeto Obligado debe ser clasificada como confidencial.</w:t>
      </w:r>
    </w:p>
    <w:p w14:paraId="3AA037CC"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bookmarkStart w:id="11" w:name="_heading=h.44sinio" w:colFirst="0" w:colLast="0"/>
      <w:bookmarkEnd w:id="11"/>
      <w:r w:rsidRPr="00A42D3A">
        <w:rPr>
          <w:rFonts w:ascii="Palatino Linotype" w:eastAsia="Palatino Linotype" w:hAnsi="Palatino Linotype" w:cs="Palatino Linotype"/>
          <w:color w:val="000000"/>
        </w:rPr>
        <w:t>Ahora bien, siguiendo con el análisis de los datos que contienen los recibos remitidos, siguen los siguientes:</w:t>
      </w:r>
    </w:p>
    <w:p w14:paraId="2F896873" w14:textId="11B29481" w:rsidR="00413756" w:rsidRPr="00A42D3A" w:rsidRDefault="00F049FE" w:rsidP="00A42D3A">
      <w:pPr>
        <w:pStyle w:val="Ttulo3"/>
        <w:numPr>
          <w:ilvl w:val="0"/>
          <w:numId w:val="16"/>
        </w:numPr>
        <w:spacing w:line="360" w:lineRule="auto"/>
        <w:ind w:right="397"/>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lastRenderedPageBreak/>
        <w:t>Sellos digitales del emisor y del Servicio de Administración Tributaria y cadena original del complemento de certificación digital del órgano previamente señalado; así como folio fiscal. (PUBLICOS)</w:t>
      </w:r>
    </w:p>
    <w:p w14:paraId="4578C75D"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45850E7B"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Las cadenas originales y sellos que se agregan a las facturas</w:t>
      </w:r>
      <w:r w:rsidRPr="00A42D3A">
        <w:rPr>
          <w:rFonts w:ascii="Palatino Linotype" w:eastAsia="Palatino Linotype" w:hAnsi="Palatino Linotype" w:cs="Palatino Linotype"/>
          <w:b/>
          <w:bCs/>
          <w:color w:val="000000"/>
        </w:rPr>
        <w:t>,</w:t>
      </w:r>
      <w:r w:rsidRPr="00A42D3A">
        <w:rPr>
          <w:rFonts w:ascii="Palatino Linotype" w:eastAsia="Palatino Linotype" w:hAnsi="Palatino Linotype" w:cs="Palatino Linotype"/>
          <w:color w:val="000000"/>
        </w:rPr>
        <w:t xml:space="preserve">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1C895A67" w14:textId="77777777" w:rsidR="00413756" w:rsidRPr="00A42D3A" w:rsidRDefault="00F049FE">
      <w:pPr>
        <w:pBdr>
          <w:top w:val="nil"/>
          <w:left w:val="nil"/>
          <w:bottom w:val="nil"/>
          <w:right w:val="nil"/>
          <w:between w:val="nil"/>
        </w:pBdr>
        <w:spacing w:line="360" w:lineRule="auto"/>
        <w:ind w:left="851" w:right="539"/>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“Elementos utilizados en la generación de Sellos Digitales:</w:t>
      </w:r>
    </w:p>
    <w:p w14:paraId="5C5DF377" w14:textId="77777777" w:rsidR="00413756" w:rsidRPr="00A42D3A" w:rsidRDefault="00F049FE">
      <w:pPr>
        <w:pBdr>
          <w:top w:val="nil"/>
          <w:left w:val="nil"/>
          <w:bottom w:val="nil"/>
          <w:right w:val="nil"/>
          <w:between w:val="nil"/>
        </w:pBdr>
        <w:spacing w:line="360" w:lineRule="auto"/>
        <w:ind w:left="851" w:right="539"/>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•Cadena Original, el elemento a sellar, en este caso de un comprobante fiscal digital a través de Internet.</w:t>
      </w:r>
    </w:p>
    <w:p w14:paraId="1B51F21A" w14:textId="77777777" w:rsidR="00413756" w:rsidRPr="00A42D3A" w:rsidRDefault="00F049FE">
      <w:pPr>
        <w:pBdr>
          <w:top w:val="nil"/>
          <w:left w:val="nil"/>
          <w:bottom w:val="nil"/>
          <w:right w:val="nil"/>
          <w:between w:val="nil"/>
        </w:pBdr>
        <w:spacing w:line="360" w:lineRule="auto"/>
        <w:ind w:left="851" w:right="539"/>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lastRenderedPageBreak/>
        <w:t>•Certificado de Sello Digital y su correspondiente clave privada.</w:t>
      </w:r>
    </w:p>
    <w:p w14:paraId="31C18911" w14:textId="77777777" w:rsidR="00413756" w:rsidRPr="00A42D3A" w:rsidRDefault="00F049FE">
      <w:pPr>
        <w:pBdr>
          <w:top w:val="nil"/>
          <w:left w:val="nil"/>
          <w:bottom w:val="nil"/>
          <w:right w:val="nil"/>
          <w:between w:val="nil"/>
        </w:pBdr>
        <w:spacing w:line="360" w:lineRule="auto"/>
        <w:ind w:left="851" w:right="539"/>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•Algoritmos de criptografía de clave pública para firma electrónica avanzada.</w:t>
      </w:r>
    </w:p>
    <w:p w14:paraId="68B41ECD" w14:textId="77777777" w:rsidR="00413756" w:rsidRPr="00A42D3A" w:rsidRDefault="00F049FE">
      <w:pPr>
        <w:pBdr>
          <w:top w:val="nil"/>
          <w:left w:val="nil"/>
          <w:bottom w:val="nil"/>
          <w:right w:val="nil"/>
          <w:between w:val="nil"/>
        </w:pBdr>
        <w:spacing w:line="360" w:lineRule="auto"/>
        <w:ind w:left="851" w:right="539"/>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•Especificaciones de conversión de la firma electrónica avanzada a Base 64.</w:t>
      </w:r>
    </w:p>
    <w:p w14:paraId="610E7F34" w14:textId="77777777" w:rsidR="00413756" w:rsidRPr="00A42D3A" w:rsidRDefault="00F049FE">
      <w:pPr>
        <w:spacing w:line="360" w:lineRule="auto"/>
        <w:ind w:left="851" w:right="539"/>
        <w:jc w:val="both"/>
        <w:rPr>
          <w:rFonts w:ascii="Palatino Linotype" w:eastAsia="Palatino Linotype" w:hAnsi="Palatino Linotype" w:cs="Palatino Linotype"/>
          <w:i/>
          <w:iCs/>
        </w:rPr>
      </w:pPr>
      <w:r w:rsidRPr="00A42D3A">
        <w:rPr>
          <w:rFonts w:ascii="Palatino Linotype" w:eastAsia="Palatino Linotype" w:hAnsi="Palatino Linotype" w:cs="Palatino Linotype"/>
          <w:i/>
          <w:iCs/>
        </w:rPr>
        <w:t>Para la generación de sellos digitales se utiliza criptografía de clave pública aplicada a una cadena original.</w:t>
      </w:r>
    </w:p>
    <w:p w14:paraId="0432DAD7" w14:textId="77777777" w:rsidR="00413756" w:rsidRPr="00A42D3A" w:rsidRDefault="00413756">
      <w:pPr>
        <w:spacing w:line="360" w:lineRule="auto"/>
        <w:ind w:left="851" w:right="539"/>
        <w:jc w:val="both"/>
        <w:rPr>
          <w:rFonts w:ascii="Palatino Linotype" w:eastAsia="Palatino Linotype" w:hAnsi="Palatino Linotype" w:cs="Palatino Linotype"/>
          <w:i/>
          <w:iCs/>
        </w:rPr>
      </w:pPr>
    </w:p>
    <w:p w14:paraId="2E0221A1" w14:textId="77777777" w:rsidR="00413756" w:rsidRPr="00A42D3A" w:rsidRDefault="00F049FE">
      <w:pPr>
        <w:pBdr>
          <w:top w:val="nil"/>
          <w:left w:val="nil"/>
          <w:bottom w:val="nil"/>
          <w:right w:val="nil"/>
          <w:between w:val="nil"/>
        </w:pBdr>
        <w:spacing w:line="360" w:lineRule="auto"/>
        <w:ind w:left="851" w:right="539"/>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Criptografía de la Clave Pública</w:t>
      </w:r>
    </w:p>
    <w:p w14:paraId="22D0E7D2" w14:textId="77777777" w:rsidR="00413756" w:rsidRPr="00A42D3A" w:rsidRDefault="00F049FE">
      <w:pPr>
        <w:pBdr>
          <w:top w:val="nil"/>
          <w:left w:val="nil"/>
          <w:bottom w:val="nil"/>
          <w:right w:val="nil"/>
          <w:between w:val="nil"/>
        </w:pBdr>
        <w:spacing w:line="360" w:lineRule="auto"/>
        <w:ind w:left="851" w:right="539"/>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435A1DF5"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color w:val="000000"/>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w:t>
      </w:r>
    </w:p>
    <w:p w14:paraId="38E2E0F8" w14:textId="77777777" w:rsidR="00413756" w:rsidRPr="00A42D3A" w:rsidRDefault="00F049FE">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t>Deducciones que no son personales.</w:t>
      </w:r>
    </w:p>
    <w:p w14:paraId="72DD6401"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rPr>
        <w:t>La Ley del Trabajo de los Servidores Públicos del Estado y Municipios</w:t>
      </w:r>
      <w:r w:rsidRPr="00A42D3A">
        <w:rPr>
          <w:rFonts w:ascii="Palatino Linotype" w:eastAsia="Palatino Linotype" w:hAnsi="Palatino Linotype" w:cs="Palatino Linotype"/>
          <w:vertAlign w:val="superscript"/>
        </w:rPr>
        <w:footnoteReference w:id="4"/>
      </w:r>
      <w:r w:rsidRPr="00A42D3A">
        <w:rPr>
          <w:rFonts w:ascii="Palatino Linotype" w:eastAsia="Palatino Linotype" w:hAnsi="Palatino Linotype" w:cs="Palatino Linotype"/>
        </w:rPr>
        <w:t xml:space="preserve"> en el artículo 84 establece lo siguiente:</w:t>
      </w:r>
    </w:p>
    <w:p w14:paraId="3252795E"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lastRenderedPageBreak/>
        <w:t xml:space="preserve">ARTÍCULO 84. Sólo podrán hacerse retenciones, descuentos o deducciones al sueldo de los servidores públicos por concepto de: </w:t>
      </w:r>
    </w:p>
    <w:p w14:paraId="2106E07E"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
          <w:iCs/>
          <w:color w:val="000000"/>
        </w:rPr>
      </w:pPr>
      <w:r w:rsidRPr="00A42D3A">
        <w:rPr>
          <w:rFonts w:ascii="Palatino Linotype" w:eastAsia="Palatino Linotype" w:hAnsi="Palatino Linotype" w:cs="Palatino Linotype"/>
          <w:b/>
          <w:bCs/>
          <w:i/>
          <w:iCs/>
          <w:color w:val="000000"/>
        </w:rPr>
        <w:t>I. Gravámenes fiscales relacionados con el sueldo;</w:t>
      </w:r>
    </w:p>
    <w:p w14:paraId="1FDF1758"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 xml:space="preserve">II. Deudas contraídas con las instituciones públicas o dependencias por concepto de anticipos de sueldo, pagos hechos con exceso, errores o pérdidas debidamente comprobados; </w:t>
      </w:r>
    </w:p>
    <w:p w14:paraId="4C8F4F14"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 xml:space="preserve">III. Cuotas sindicales; </w:t>
      </w:r>
    </w:p>
    <w:p w14:paraId="30D99060"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
          <w:iCs/>
          <w:color w:val="000000"/>
        </w:rPr>
      </w:pPr>
      <w:r w:rsidRPr="00A42D3A">
        <w:rPr>
          <w:rFonts w:ascii="Palatino Linotype" w:eastAsia="Palatino Linotype" w:hAnsi="Palatino Linotype" w:cs="Palatino Linotype"/>
          <w:b/>
          <w:bCs/>
          <w:i/>
          <w:iCs/>
          <w:color w:val="000000"/>
        </w:rPr>
        <w:t xml:space="preserve">IV. Cuotas de aportación a fondos para la constitución de cooperativas y de cajas de ahorro, siempre que el servidor público hubiese manifestado previamente, de manera expresa, su conformidad; </w:t>
      </w:r>
    </w:p>
    <w:p w14:paraId="2584921C"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b/>
          <w:bCs/>
          <w:i/>
          <w:iCs/>
          <w:color w:val="000000"/>
        </w:rPr>
      </w:pPr>
      <w:r w:rsidRPr="00A42D3A">
        <w:rPr>
          <w:rFonts w:ascii="Palatino Linotype" w:eastAsia="Palatino Linotype" w:hAnsi="Palatino Linotype" w:cs="Palatino Linotype"/>
          <w:b/>
          <w:bCs/>
          <w:i/>
          <w:iCs/>
          <w:color w:val="000000"/>
        </w:rPr>
        <w:t xml:space="preserve">V. Descuentos ordenados por el Instituto de Seguridad Social del Estado de México y Municipios, con motivo de cuotas y obligaciones contraídas con éste por los servidores públicos; </w:t>
      </w:r>
    </w:p>
    <w:p w14:paraId="69E610D7"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 xml:space="preserve">VI. Obligaciones a cargo del servidor público con las que haya consentido, derivadas de la adquisición o del uso de habitaciones consideradas como de interés social; </w:t>
      </w:r>
    </w:p>
    <w:p w14:paraId="3A20EBB0"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 xml:space="preserve">VII. Faltas de puntualidad o de asistencia injustificadas; </w:t>
      </w:r>
    </w:p>
    <w:p w14:paraId="1BFE81C7"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 xml:space="preserve">VIII. Pensiones alimenticias ordenadas por la autoridad judicial; o </w:t>
      </w:r>
    </w:p>
    <w:p w14:paraId="0DC563AC"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i/>
          <w:iCs/>
          <w:color w:val="000000"/>
        </w:rPr>
      </w:pPr>
      <w:r w:rsidRPr="00A42D3A">
        <w:rPr>
          <w:rFonts w:ascii="Palatino Linotype" w:eastAsia="Palatino Linotype" w:hAnsi="Palatino Linotype" w:cs="Palatino Linotype"/>
          <w:i/>
          <w:iCs/>
          <w:color w:val="000000"/>
        </w:rPr>
        <w:t>IX. Cualquier otro convenido con instituciones de servicios y aceptado por el servidor público.</w:t>
      </w:r>
    </w:p>
    <w:p w14:paraId="688D6FAF"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rPr>
        <w:t xml:space="preserve">Dentro de las retenciones, descuentos o deducciones de sueldo se contemplan los gravámenes fiscales, Cuotas de aportación a fondos para la constitución de cooperativas y de cajas de ahorro, así como descuentos ordenados por el ISSEMyM por motivo de cuotas y obligaciones contraídas por los servidores públicos. Estos mencionados son de carácter público, toda vez que se consideran descuentos que por ley se deben realizar a los servidores </w:t>
      </w:r>
      <w:r w:rsidRPr="00A42D3A">
        <w:rPr>
          <w:rFonts w:ascii="Palatino Linotype" w:eastAsia="Palatino Linotype" w:hAnsi="Palatino Linotype" w:cs="Palatino Linotype"/>
        </w:rPr>
        <w:lastRenderedPageBreak/>
        <w:t>públicos contrario a las deducciones personales que son por voluntad de cada servidor público.</w:t>
      </w:r>
    </w:p>
    <w:p w14:paraId="1502813E" w14:textId="77777777" w:rsidR="00413756" w:rsidRPr="00A42D3A" w:rsidRDefault="00F049F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b/>
          <w:bCs/>
          <w:color w:val="000000"/>
        </w:rPr>
        <w:t>Seguro de Capitalización Individualizado.</w:t>
      </w:r>
    </w:p>
    <w:p w14:paraId="1C24D3E2"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rPr>
        <w:t>El Sistema de Capitalización Individualizado es el mecanismo mediante el cual, un servidor público y la Institución en la que labora, acumulan recursos, adicionales a su pensión; mismo que se integra hasta por tres rubros, los cuales son los siguientes:</w:t>
      </w:r>
    </w:p>
    <w:p w14:paraId="4BE14CF5"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w:t>
      </w:r>
      <w:r w:rsidRPr="00A42D3A">
        <w:rPr>
          <w:rFonts w:ascii="Palatino Linotype" w:eastAsia="Palatino Linotype" w:hAnsi="Palatino Linotype" w:cs="Palatino Linotype"/>
          <w:color w:val="000000"/>
        </w:rPr>
        <w:tab/>
        <w:t>Subcuenta de cuota obligatoria; que corresponde a un porcentaje del sueldo sujeto a cotización, que se descuenta al servir público de manera automática.</w:t>
      </w:r>
    </w:p>
    <w:p w14:paraId="1D523443"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w:t>
      </w:r>
      <w:r w:rsidRPr="00A42D3A">
        <w:rPr>
          <w:rFonts w:ascii="Palatino Linotype" w:eastAsia="Palatino Linotype" w:hAnsi="Palatino Linotype" w:cs="Palatino Linotype"/>
          <w:color w:val="000000"/>
        </w:rPr>
        <w:tab/>
        <w:t>Subcuenta de aportación obligatoria: que es la aportación que realiza la Institución a favor del servidor público, el cual equivale a un porcentaje del sueldo sujeto a cotización.</w:t>
      </w:r>
    </w:p>
    <w:p w14:paraId="75ABBF56" w14:textId="77777777" w:rsidR="00413756" w:rsidRPr="00A42D3A" w:rsidRDefault="00F049FE">
      <w:pPr>
        <w:pBdr>
          <w:top w:val="nil"/>
          <w:left w:val="nil"/>
          <w:bottom w:val="nil"/>
          <w:right w:val="nil"/>
          <w:between w:val="nil"/>
        </w:pBdr>
        <w:spacing w:line="360" w:lineRule="auto"/>
        <w:ind w:left="851" w:right="822"/>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color w:val="000000"/>
        </w:rPr>
        <w:t>•</w:t>
      </w:r>
      <w:r w:rsidRPr="00A42D3A">
        <w:rPr>
          <w:rFonts w:ascii="Palatino Linotype" w:eastAsia="Palatino Linotype" w:hAnsi="Palatino Linotype" w:cs="Palatino Linotype"/>
          <w:color w:val="000000"/>
        </w:rPr>
        <w:tab/>
        <w:t xml:space="preserve">Subcuenta voluntaria: que es la cantidad que cada servidor público decide ahorrar de acuerdo con sus aportaciones, permitiendo acumular mayores ingresos para su retiro. </w:t>
      </w:r>
    </w:p>
    <w:p w14:paraId="58D82DA4" w14:textId="77777777" w:rsidR="00413756" w:rsidRPr="00A42D3A" w:rsidRDefault="00F049FE">
      <w:pPr>
        <w:numPr>
          <w:ilvl w:val="0"/>
          <w:numId w:val="6"/>
        </w:numPr>
        <w:shd w:val="clear" w:color="auto" w:fill="FFFFFF"/>
        <w:spacing w:before="240" w:after="240" w:line="360" w:lineRule="auto"/>
        <w:ind w:left="0" w:firstLine="0"/>
        <w:jc w:val="both"/>
        <w:rPr>
          <w:rFonts w:ascii="Palatino Linotype" w:eastAsia="Palatino Linotype" w:hAnsi="Palatino Linotype" w:cs="Palatino Linotype"/>
          <w:color w:val="222222"/>
        </w:rPr>
      </w:pPr>
      <w:r w:rsidRPr="00A42D3A">
        <w:rPr>
          <w:rFonts w:ascii="Palatino Linotype" w:eastAsia="Palatino Linotype" w:hAnsi="Palatino Linotype" w:cs="Palatino Linotype"/>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w:t>
      </w:r>
      <w:r w:rsidRPr="00A42D3A">
        <w:rPr>
          <w:rFonts w:ascii="Palatino Linotype" w:eastAsia="Palatino Linotype" w:hAnsi="Palatino Linotype" w:cs="Palatino Linotype"/>
        </w:rPr>
        <w:lastRenderedPageBreak/>
        <w:t xml:space="preserve">Instituto Federal de Acceso a la Información y Protección de Datos, mismo que se trae por analogía, cuyo texto y rubro es el siguiente: </w:t>
      </w:r>
    </w:p>
    <w:p w14:paraId="785BDFE4" w14:textId="77777777" w:rsidR="00413756" w:rsidRPr="00A42D3A" w:rsidRDefault="00F049FE">
      <w:pPr>
        <w:pBdr>
          <w:top w:val="nil"/>
          <w:left w:val="nil"/>
          <w:bottom w:val="nil"/>
          <w:right w:val="nil"/>
          <w:between w:val="nil"/>
        </w:pBdr>
        <w:spacing w:line="360" w:lineRule="auto"/>
        <w:ind w:left="567" w:right="822"/>
        <w:jc w:val="both"/>
        <w:rPr>
          <w:rFonts w:ascii="Palatino Linotype" w:eastAsia="Palatino Linotype" w:hAnsi="Palatino Linotype" w:cs="Palatino Linotype"/>
          <w:color w:val="000000"/>
          <w:highlight w:val="white"/>
        </w:rPr>
      </w:pPr>
      <w:r w:rsidRPr="00A42D3A">
        <w:rPr>
          <w:rFonts w:ascii="Palatino Linotype" w:eastAsia="Palatino Linotype" w:hAnsi="Palatino Linotype" w:cs="Palatino Linotype"/>
          <w:i/>
          <w:iCs/>
          <w:color w:val="000000"/>
        </w:rPr>
        <w:t>“Naturaleza de la información relativa a los montos aportados al Seguro de Separación Individualizado.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w:t>
      </w:r>
      <w:r w:rsidRPr="00A42D3A">
        <w:rPr>
          <w:rFonts w:ascii="Palatino Linotype" w:eastAsia="Palatino Linotype" w:hAnsi="Palatino Linotype" w:cs="Palatino Linotype"/>
          <w:i/>
          <w:iCs/>
          <w:color w:val="000000"/>
          <w:highlight w:val="white"/>
        </w:rPr>
        <w:t xml:space="preserve">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w:t>
      </w:r>
      <w:r w:rsidRPr="00A42D3A">
        <w:rPr>
          <w:rFonts w:ascii="Palatino Linotype" w:eastAsia="Palatino Linotype" w:hAnsi="Palatino Linotype" w:cs="Palatino Linotype"/>
          <w:i/>
          <w:iCs/>
          <w:color w:val="000000"/>
          <w:highlight w:val="white"/>
        </w:rPr>
        <w:lastRenderedPageBreak/>
        <w:t>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w:t>
      </w:r>
      <w:r w:rsidRPr="00A42D3A">
        <w:rPr>
          <w:rFonts w:ascii="Palatino Linotype" w:eastAsia="Palatino Linotype" w:hAnsi="Palatino Linotype" w:cs="Palatino Linotype"/>
          <w:color w:val="000000"/>
          <w:highlight w:val="white"/>
        </w:rPr>
        <w:t xml:space="preserve"> </w:t>
      </w:r>
    </w:p>
    <w:p w14:paraId="77A91C92" w14:textId="77777777" w:rsidR="00413756" w:rsidRPr="00A42D3A" w:rsidRDefault="00413756">
      <w:pPr>
        <w:pBdr>
          <w:top w:val="nil"/>
          <w:left w:val="nil"/>
          <w:bottom w:val="nil"/>
          <w:right w:val="nil"/>
          <w:between w:val="nil"/>
        </w:pBdr>
        <w:spacing w:line="360" w:lineRule="auto"/>
        <w:ind w:left="567" w:right="822"/>
        <w:jc w:val="both"/>
        <w:rPr>
          <w:rFonts w:ascii="Palatino Linotype" w:eastAsia="Palatino Linotype" w:hAnsi="Palatino Linotype" w:cs="Palatino Linotype"/>
          <w:i/>
          <w:iCs/>
          <w:color w:val="000000"/>
          <w:highlight w:val="white"/>
        </w:rPr>
      </w:pPr>
    </w:p>
    <w:p w14:paraId="2DB9F8DD" w14:textId="77777777" w:rsidR="00413756" w:rsidRPr="00A42D3A" w:rsidRDefault="00F049FE">
      <w:pPr>
        <w:numPr>
          <w:ilvl w:val="0"/>
          <w:numId w:val="6"/>
        </w:numPr>
        <w:spacing w:line="360" w:lineRule="auto"/>
        <w:ind w:left="0" w:firstLine="0"/>
        <w:jc w:val="both"/>
        <w:rPr>
          <w:rFonts w:ascii="Palatino Linotype" w:eastAsia="Palatino Linotype" w:hAnsi="Palatino Linotype" w:cs="Palatino Linotype"/>
          <w:highlight w:val="white"/>
        </w:rPr>
      </w:pPr>
      <w:r w:rsidRPr="00A42D3A">
        <w:rPr>
          <w:rFonts w:ascii="Palatino Linotype" w:eastAsia="Palatino Linotype" w:hAnsi="Palatino Linotype" w:cs="Palatino Linotype"/>
          <w:highlight w:val="white"/>
        </w:rPr>
        <w:t>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w:t>
      </w:r>
    </w:p>
    <w:p w14:paraId="528CF872" w14:textId="77777777" w:rsidR="00D17175" w:rsidRPr="00A42D3A" w:rsidRDefault="00D17175" w:rsidP="00D17175">
      <w:pPr>
        <w:pStyle w:val="Prrafodelista"/>
        <w:numPr>
          <w:ilvl w:val="0"/>
          <w:numId w:val="14"/>
        </w:numPr>
        <w:shd w:val="clear" w:color="auto" w:fill="FFFFFF"/>
        <w:spacing w:before="240" w:after="240" w:line="360" w:lineRule="auto"/>
        <w:jc w:val="both"/>
        <w:rPr>
          <w:rFonts w:ascii="Palatino Linotype" w:hAnsi="Palatino Linotype"/>
          <w:b/>
        </w:rPr>
      </w:pPr>
      <w:r w:rsidRPr="00A42D3A">
        <w:rPr>
          <w:rFonts w:ascii="Palatino Linotype" w:hAnsi="Palatino Linotype" w:cs="Arial"/>
          <w:b/>
        </w:rPr>
        <w:t>De la fotografía de servidores públicos.</w:t>
      </w:r>
    </w:p>
    <w:p w14:paraId="5473208C" w14:textId="77777777" w:rsidR="00D17175" w:rsidRPr="00A42D3A" w:rsidRDefault="00D17175" w:rsidP="00D17175">
      <w:pPr>
        <w:pStyle w:val="Prrafodelista"/>
        <w:numPr>
          <w:ilvl w:val="0"/>
          <w:numId w:val="6"/>
        </w:numPr>
        <w:tabs>
          <w:tab w:val="left" w:pos="0"/>
        </w:tabs>
        <w:spacing w:line="360" w:lineRule="auto"/>
        <w:ind w:left="0" w:firstLine="0"/>
        <w:jc w:val="both"/>
        <w:rPr>
          <w:rFonts w:ascii="Palatino Linotype" w:hAnsi="Palatino Linotype"/>
        </w:rPr>
      </w:pPr>
      <w:r w:rsidRPr="00A42D3A">
        <w:rPr>
          <w:rFonts w:ascii="Palatino Linotype" w:hAnsi="Palatino Linotype"/>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FB48C26" w14:textId="77777777" w:rsidR="00D17175" w:rsidRPr="00A42D3A" w:rsidRDefault="00D17175" w:rsidP="00D17175">
      <w:pPr>
        <w:pStyle w:val="Prrafodelista"/>
        <w:tabs>
          <w:tab w:val="left" w:pos="0"/>
        </w:tabs>
        <w:spacing w:line="360" w:lineRule="auto"/>
        <w:ind w:left="0"/>
        <w:jc w:val="both"/>
        <w:rPr>
          <w:rFonts w:ascii="Palatino Linotype" w:hAnsi="Palatino Linotype"/>
        </w:rPr>
      </w:pPr>
    </w:p>
    <w:p w14:paraId="2C718039" w14:textId="77777777" w:rsidR="00D17175" w:rsidRPr="00A42D3A" w:rsidRDefault="00D17175" w:rsidP="00D17175">
      <w:pPr>
        <w:pStyle w:val="Prrafodelista"/>
        <w:numPr>
          <w:ilvl w:val="0"/>
          <w:numId w:val="6"/>
        </w:numPr>
        <w:tabs>
          <w:tab w:val="left" w:pos="0"/>
        </w:tabs>
        <w:spacing w:line="360" w:lineRule="auto"/>
        <w:ind w:left="0" w:firstLine="0"/>
        <w:jc w:val="both"/>
        <w:rPr>
          <w:rFonts w:ascii="Palatino Linotype" w:hAnsi="Palatino Linotype"/>
        </w:rPr>
      </w:pPr>
      <w:r w:rsidRPr="00A42D3A">
        <w:rPr>
          <w:rFonts w:ascii="Palatino Linotype" w:hAnsi="Palatino Linotype"/>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w:t>
      </w:r>
      <w:r w:rsidRPr="00A42D3A">
        <w:rPr>
          <w:rFonts w:ascii="Palatino Linotype" w:hAnsi="Palatino Linotype"/>
        </w:rPr>
        <w:lastRenderedPageBreak/>
        <w:t>como servidor público, por lo que es posible advertir que existe cierto interés público, cuando la fotografía obra en documentos de servidores públicos vinculados con el cumplimiento de disposiciones legales.</w:t>
      </w:r>
    </w:p>
    <w:p w14:paraId="1950CC32" w14:textId="77777777" w:rsidR="00D17175" w:rsidRPr="00A42D3A" w:rsidRDefault="00D17175" w:rsidP="00D17175">
      <w:pPr>
        <w:pStyle w:val="Prrafodelista"/>
        <w:tabs>
          <w:tab w:val="left" w:pos="0"/>
        </w:tabs>
        <w:ind w:left="0"/>
        <w:jc w:val="both"/>
        <w:rPr>
          <w:rFonts w:ascii="Palatino Linotype" w:hAnsi="Palatino Linotype"/>
        </w:rPr>
      </w:pPr>
    </w:p>
    <w:p w14:paraId="4BB66A90" w14:textId="77777777" w:rsidR="00D17175" w:rsidRPr="00A42D3A" w:rsidRDefault="00D17175" w:rsidP="00D17175">
      <w:pPr>
        <w:pStyle w:val="Prrafodelista"/>
        <w:numPr>
          <w:ilvl w:val="0"/>
          <w:numId w:val="6"/>
        </w:numPr>
        <w:tabs>
          <w:tab w:val="left" w:pos="0"/>
        </w:tabs>
        <w:spacing w:line="360" w:lineRule="auto"/>
        <w:ind w:left="0" w:firstLine="0"/>
        <w:jc w:val="both"/>
        <w:rPr>
          <w:rFonts w:ascii="Palatino Linotype" w:hAnsi="Palatino Linotype"/>
        </w:rPr>
      </w:pPr>
      <w:r w:rsidRPr="00A42D3A">
        <w:rPr>
          <w:rFonts w:ascii="Palatino Linotype" w:hAnsi="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022EC55" w14:textId="77777777" w:rsidR="00D17175" w:rsidRPr="00A42D3A" w:rsidRDefault="00D17175" w:rsidP="00D17175">
      <w:pPr>
        <w:pStyle w:val="Prrafodelista"/>
        <w:tabs>
          <w:tab w:val="left" w:pos="0"/>
        </w:tabs>
        <w:ind w:left="0"/>
        <w:jc w:val="both"/>
        <w:rPr>
          <w:rFonts w:ascii="Palatino Linotype" w:hAnsi="Palatino Linotype"/>
        </w:rPr>
      </w:pPr>
    </w:p>
    <w:p w14:paraId="46D1406F" w14:textId="77777777" w:rsidR="00D17175" w:rsidRPr="00A42D3A" w:rsidRDefault="00D17175" w:rsidP="00D17175">
      <w:pPr>
        <w:pStyle w:val="Prrafodelista"/>
        <w:numPr>
          <w:ilvl w:val="0"/>
          <w:numId w:val="6"/>
        </w:numPr>
        <w:tabs>
          <w:tab w:val="left" w:pos="0"/>
        </w:tabs>
        <w:spacing w:line="360" w:lineRule="auto"/>
        <w:ind w:left="0" w:firstLine="0"/>
        <w:jc w:val="both"/>
        <w:rPr>
          <w:rFonts w:ascii="Palatino Linotype" w:hAnsi="Palatino Linotype"/>
        </w:rPr>
      </w:pPr>
      <w:r w:rsidRPr="00A42D3A">
        <w:rPr>
          <w:rFonts w:ascii="Palatino Linotype" w:hAnsi="Palatino Linotype"/>
        </w:rPr>
        <w:t>En este sentido, resultan aplicables por analogía, los Criterios SO/015/2017 y SO/001/2013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4A1CE12" w14:textId="77777777" w:rsidR="00D17175" w:rsidRPr="00A42D3A" w:rsidRDefault="00D17175" w:rsidP="00D17175">
      <w:pPr>
        <w:pStyle w:val="Prrafodelista"/>
        <w:tabs>
          <w:tab w:val="left" w:pos="0"/>
        </w:tabs>
        <w:ind w:left="0"/>
        <w:jc w:val="both"/>
        <w:rPr>
          <w:rFonts w:ascii="Palatino Linotype" w:hAnsi="Palatino Linotype"/>
        </w:rPr>
      </w:pPr>
    </w:p>
    <w:p w14:paraId="2E6B6A06" w14:textId="77777777" w:rsidR="00D17175" w:rsidRPr="00A42D3A" w:rsidRDefault="00D17175" w:rsidP="00D17175">
      <w:pPr>
        <w:pStyle w:val="Prrafodelista"/>
        <w:numPr>
          <w:ilvl w:val="0"/>
          <w:numId w:val="6"/>
        </w:numPr>
        <w:tabs>
          <w:tab w:val="left" w:pos="0"/>
        </w:tabs>
        <w:spacing w:line="360" w:lineRule="auto"/>
        <w:ind w:left="0" w:firstLine="0"/>
        <w:jc w:val="both"/>
        <w:rPr>
          <w:rFonts w:ascii="Palatino Linotype" w:hAnsi="Palatino Linotype"/>
        </w:rPr>
      </w:pPr>
      <w:r w:rsidRPr="00A42D3A">
        <w:rPr>
          <w:rFonts w:ascii="Palatino Linotype" w:hAnsi="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w:t>
      </w:r>
      <w:r w:rsidRPr="00A42D3A">
        <w:rPr>
          <w:rFonts w:ascii="Palatino Linotype" w:hAnsi="Palatino Linotype"/>
        </w:rPr>
        <w:lastRenderedPageBreak/>
        <w:t xml:space="preserve">cumplimiento de disposiciones normativas o el ejercicio de funciones revisten un interés público. </w:t>
      </w:r>
    </w:p>
    <w:p w14:paraId="69CF27B7" w14:textId="77777777" w:rsidR="00D17175" w:rsidRPr="00A42D3A" w:rsidRDefault="00D17175" w:rsidP="00D17175">
      <w:pPr>
        <w:pStyle w:val="Prrafodelista"/>
        <w:tabs>
          <w:tab w:val="left" w:pos="0"/>
        </w:tabs>
        <w:ind w:left="0"/>
        <w:jc w:val="both"/>
        <w:rPr>
          <w:rFonts w:ascii="Palatino Linotype" w:hAnsi="Palatino Linotype"/>
        </w:rPr>
      </w:pPr>
    </w:p>
    <w:p w14:paraId="4B3398E2" w14:textId="77777777" w:rsidR="00D17175" w:rsidRPr="00A42D3A" w:rsidRDefault="00D17175" w:rsidP="00D17175">
      <w:pPr>
        <w:pStyle w:val="Prrafodelista"/>
        <w:numPr>
          <w:ilvl w:val="0"/>
          <w:numId w:val="6"/>
        </w:numPr>
        <w:tabs>
          <w:tab w:val="left" w:pos="0"/>
        </w:tabs>
        <w:spacing w:line="360" w:lineRule="auto"/>
        <w:ind w:left="0" w:firstLine="0"/>
        <w:jc w:val="both"/>
        <w:rPr>
          <w:rFonts w:ascii="Palatino Linotype" w:hAnsi="Palatino Linotype"/>
        </w:rPr>
      </w:pPr>
      <w:r w:rsidRPr="00A42D3A">
        <w:rPr>
          <w:rFonts w:ascii="Palatino Linotype" w:hAnsi="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57CE42E" w14:textId="77777777" w:rsidR="00D17175" w:rsidRPr="00A42D3A" w:rsidRDefault="00D17175" w:rsidP="00D17175">
      <w:pPr>
        <w:pStyle w:val="Prrafodelista"/>
        <w:ind w:left="0"/>
        <w:jc w:val="both"/>
        <w:rPr>
          <w:rFonts w:ascii="Palatino Linotype" w:hAnsi="Palatino Linotype"/>
        </w:rPr>
      </w:pPr>
    </w:p>
    <w:p w14:paraId="734A7686" w14:textId="77777777" w:rsidR="00D17175" w:rsidRPr="00A42D3A" w:rsidRDefault="00D17175" w:rsidP="00D17175">
      <w:pPr>
        <w:pStyle w:val="Prrafodelista"/>
        <w:numPr>
          <w:ilvl w:val="0"/>
          <w:numId w:val="6"/>
        </w:numPr>
        <w:tabs>
          <w:tab w:val="left" w:pos="0"/>
        </w:tabs>
        <w:spacing w:line="360" w:lineRule="auto"/>
        <w:ind w:left="0" w:firstLine="0"/>
        <w:jc w:val="both"/>
        <w:rPr>
          <w:rFonts w:ascii="Palatino Linotype" w:hAnsi="Palatino Linotype"/>
        </w:rPr>
      </w:pPr>
      <w:r w:rsidRPr="00A42D3A">
        <w:rPr>
          <w:rFonts w:ascii="Palatino Linotype" w:hAnsi="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0AB1ED44" w14:textId="77777777" w:rsidR="00D17175" w:rsidRPr="00A42D3A" w:rsidRDefault="00D17175" w:rsidP="00D17175">
      <w:pPr>
        <w:pStyle w:val="Prrafodelista"/>
        <w:ind w:left="0"/>
        <w:jc w:val="both"/>
        <w:rPr>
          <w:rFonts w:ascii="Palatino Linotype" w:hAnsi="Palatino Linotype"/>
        </w:rPr>
      </w:pPr>
    </w:p>
    <w:p w14:paraId="66E80379" w14:textId="77777777" w:rsidR="00D17175" w:rsidRPr="00A42D3A" w:rsidRDefault="00D17175" w:rsidP="00D17175">
      <w:pPr>
        <w:numPr>
          <w:ilvl w:val="0"/>
          <w:numId w:val="6"/>
        </w:numPr>
        <w:spacing w:line="360" w:lineRule="auto"/>
        <w:ind w:left="0" w:firstLine="0"/>
        <w:jc w:val="both"/>
        <w:rPr>
          <w:rFonts w:ascii="Palatino Linotype" w:hAnsi="Palatino Linotype"/>
        </w:rPr>
      </w:pPr>
      <w:r w:rsidRPr="00A42D3A">
        <w:rPr>
          <w:rFonts w:ascii="Palatino Linotype" w:hAnsi="Palatino Linotype"/>
        </w:rPr>
        <w:t xml:space="preserve">Conforme a lo anterior, las fotografías de servidores públicos sin importar el nivel o rango guardan la naturaleza de públicas (con excepción del personal operativo en materia de seguridad) no procede su clasificación, en términos del artículo 143, fracción I, de la Ley de Transparencia y Acceso a la Información Pública del Estado de México y Municipios, por lo que en las versiones públicas que se ordenen, no podrá clasificarse esa información. </w:t>
      </w:r>
    </w:p>
    <w:p w14:paraId="6DDA1484" w14:textId="77777777" w:rsidR="00D17175" w:rsidRPr="00A42D3A" w:rsidRDefault="00D17175" w:rsidP="00D17175">
      <w:pPr>
        <w:pStyle w:val="Prrafodelista"/>
        <w:rPr>
          <w:rFonts w:ascii="Palatino Linotype" w:hAnsi="Palatino Linotype"/>
        </w:rPr>
      </w:pPr>
    </w:p>
    <w:p w14:paraId="62520ACE" w14:textId="77777777" w:rsidR="00D17175" w:rsidRPr="00A42D3A" w:rsidRDefault="00D17175" w:rsidP="00583DC6">
      <w:pPr>
        <w:pStyle w:val="Prrafodelista"/>
        <w:numPr>
          <w:ilvl w:val="0"/>
          <w:numId w:val="14"/>
        </w:numPr>
        <w:spacing w:line="360" w:lineRule="auto"/>
        <w:jc w:val="both"/>
        <w:rPr>
          <w:rFonts w:ascii="Palatino Linotype" w:eastAsia="Palatino Linotype" w:hAnsi="Palatino Linotype" w:cs="Palatino Linotype"/>
        </w:rPr>
      </w:pPr>
      <w:r w:rsidRPr="00A42D3A">
        <w:rPr>
          <w:rFonts w:ascii="Palatino Linotype" w:eastAsia="Palatino Linotype" w:hAnsi="Palatino Linotype" w:cs="Palatino Linotype"/>
          <w:b/>
        </w:rPr>
        <w:t>Firma de servidores públicos en comprobantes de estudio</w:t>
      </w:r>
    </w:p>
    <w:p w14:paraId="34210E1F" w14:textId="77777777" w:rsidR="00D17175" w:rsidRPr="00A42D3A" w:rsidRDefault="00D17175" w:rsidP="00583DC6">
      <w:pPr>
        <w:pStyle w:val="Prrafodelista"/>
        <w:numPr>
          <w:ilvl w:val="0"/>
          <w:numId w:val="6"/>
        </w:numPr>
        <w:spacing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Sobre dicho dato, cabe precisar que, en el presente caso, se trata de los servidores públicos en su calidad de particular, por lo que, es de señalar que la firma es un dato personal </w:t>
      </w:r>
      <w:r w:rsidRPr="00A42D3A">
        <w:rPr>
          <w:rFonts w:ascii="Palatino Linotype" w:eastAsia="Palatino Linotype" w:hAnsi="Palatino Linotype" w:cs="Palatino Linotype"/>
        </w:rPr>
        <w:lastRenderedPageBreak/>
        <w:t>confidencial y únicamente será público dicho dato cuando sirva para la emisión de un acto de autoridad, en ejercicio de sus funciones.</w:t>
      </w:r>
    </w:p>
    <w:p w14:paraId="73277E9F" w14:textId="77777777" w:rsidR="00D17175" w:rsidRPr="00A42D3A" w:rsidRDefault="00D17175" w:rsidP="00583DC6">
      <w:pPr>
        <w:tabs>
          <w:tab w:val="left" w:pos="4962"/>
        </w:tabs>
        <w:spacing w:line="360"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w:t>
      </w:r>
    </w:p>
    <w:p w14:paraId="4D318A6A" w14:textId="77777777" w:rsidR="00D17175" w:rsidRPr="00A42D3A" w:rsidRDefault="00D17175" w:rsidP="00583DC6">
      <w:pPr>
        <w:pStyle w:val="Prrafodelista"/>
        <w:numPr>
          <w:ilvl w:val="0"/>
          <w:numId w:val="6"/>
        </w:numPr>
        <w:spacing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Lo anterior, es así, toda vez que la firma de servidores públicos, vinculada al ejercicio de la función pública es información de naturaleza pública, pues documenta y rinde cuentas sobre el debido ejercicio de sus atribuciones. </w:t>
      </w:r>
    </w:p>
    <w:p w14:paraId="0097F547" w14:textId="77777777" w:rsidR="00D17175" w:rsidRPr="00A42D3A" w:rsidRDefault="00D17175" w:rsidP="00583DC6">
      <w:pPr>
        <w:tabs>
          <w:tab w:val="left" w:pos="4962"/>
        </w:tabs>
        <w:spacing w:line="360" w:lineRule="auto"/>
        <w:jc w:val="both"/>
        <w:rPr>
          <w:rFonts w:ascii="Palatino Linotype" w:eastAsia="Palatino Linotype" w:hAnsi="Palatino Linotype" w:cs="Palatino Linotype"/>
        </w:rPr>
      </w:pPr>
    </w:p>
    <w:p w14:paraId="60A9666E" w14:textId="77777777" w:rsidR="00D17175" w:rsidRPr="00A42D3A" w:rsidRDefault="00D17175" w:rsidP="00583DC6">
      <w:pPr>
        <w:pStyle w:val="Prrafodelista"/>
        <w:numPr>
          <w:ilvl w:val="0"/>
          <w:numId w:val="6"/>
        </w:numPr>
        <w:spacing w:line="360" w:lineRule="auto"/>
        <w:ind w:left="0" w:firstLine="0"/>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rPr>
        <w:t>La publicidad de dichos datos, se robustece, con el </w:t>
      </w:r>
      <w:r w:rsidRPr="00A42D3A">
        <w:rPr>
          <w:rFonts w:ascii="Palatino Linotype" w:eastAsia="Palatino Linotype" w:hAnsi="Palatino Linotype" w:cs="Palatino Linotype"/>
          <w:color w:val="000000"/>
        </w:rPr>
        <w:t>Criterio de Interpretación, de la Segunda Época, con clave de control SO/002/2019, emitido por el Instituto Nacional de Transparencia, Acceso a la Información y Protección de Datos Personales, que establece lo siguiente:</w:t>
      </w:r>
    </w:p>
    <w:p w14:paraId="5F6D04D9" w14:textId="4A1F2A92" w:rsidR="00D17175" w:rsidRPr="00A42D3A" w:rsidRDefault="00D17175" w:rsidP="00583DC6">
      <w:pPr>
        <w:shd w:val="clear" w:color="auto" w:fill="FFFFFF"/>
        <w:spacing w:line="360" w:lineRule="auto"/>
        <w:ind w:left="1134"/>
        <w:jc w:val="both"/>
        <w:rPr>
          <w:rFonts w:ascii="Palatino Linotype" w:eastAsia="Palatino Linotype" w:hAnsi="Palatino Linotype" w:cs="Palatino Linotype"/>
          <w:color w:val="000000"/>
        </w:rPr>
      </w:pPr>
      <w:r w:rsidRPr="00A42D3A">
        <w:rPr>
          <w:rFonts w:ascii="Palatino Linotype" w:eastAsia="Palatino Linotype" w:hAnsi="Palatino Linotype" w:cs="Palatino Linotype"/>
        </w:rPr>
        <w:t> </w:t>
      </w:r>
      <w:r w:rsidRPr="00A42D3A">
        <w:rPr>
          <w:rFonts w:ascii="Palatino Linotype" w:eastAsia="Palatino Linotype" w:hAnsi="Palatino Linotype" w:cs="Palatino Linotype"/>
          <w:b/>
          <w:i/>
        </w:rPr>
        <w:t>“Firma y rúbrica de servidores públicos.</w:t>
      </w:r>
      <w:r w:rsidRPr="00A42D3A">
        <w:rPr>
          <w:rFonts w:ascii="Palatino Linotype" w:eastAsia="Palatino Linotype" w:hAnsi="Palatino Linotype" w:cs="Palatino Linotype"/>
          <w:i/>
        </w:rPr>
        <w:t> Si bien la firma y la rúbrica son datos personales confidenciales, cuando un servidor público emite un acto como autoridad, en ejercicio de las funciones que tiene conferidas, la firma o rúbrica mediante la cual se valida dicho acto es pública.”</w:t>
      </w:r>
    </w:p>
    <w:p w14:paraId="745FDF7B" w14:textId="77777777" w:rsidR="00D17175" w:rsidRPr="00A42D3A" w:rsidRDefault="00D17175" w:rsidP="00583DC6">
      <w:pPr>
        <w:tabs>
          <w:tab w:val="left" w:pos="4962"/>
        </w:tabs>
        <w:spacing w:line="360" w:lineRule="auto"/>
        <w:jc w:val="both"/>
        <w:rPr>
          <w:rFonts w:ascii="Palatino Linotype" w:eastAsia="Palatino Linotype" w:hAnsi="Palatino Linotype" w:cs="Palatino Linotype"/>
        </w:rPr>
      </w:pPr>
      <w:r w:rsidRPr="00A42D3A">
        <w:rPr>
          <w:rFonts w:ascii="Palatino Linotype" w:eastAsia="Palatino Linotype" w:hAnsi="Palatino Linotype" w:cs="Palatino Linotype"/>
        </w:rPr>
        <w:t> </w:t>
      </w:r>
    </w:p>
    <w:p w14:paraId="1D0D6C0B" w14:textId="77777777" w:rsidR="00D17175" w:rsidRPr="00A42D3A" w:rsidRDefault="00D17175" w:rsidP="00583DC6">
      <w:pPr>
        <w:pStyle w:val="Prrafodelista"/>
        <w:numPr>
          <w:ilvl w:val="0"/>
          <w:numId w:val="6"/>
        </w:numPr>
        <w:spacing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rPr>
        <w:t xml:space="preserve">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un grado o nivel académico, acto que no se realiza en funciones de los servidores públicos. </w:t>
      </w:r>
    </w:p>
    <w:p w14:paraId="26F6AD4D" w14:textId="77777777" w:rsidR="00413756" w:rsidRPr="00A42D3A" w:rsidRDefault="00413756" w:rsidP="00583DC6">
      <w:pPr>
        <w:spacing w:line="360" w:lineRule="auto"/>
        <w:jc w:val="both"/>
        <w:rPr>
          <w:rFonts w:ascii="Palatino Linotype" w:eastAsia="Palatino Linotype" w:hAnsi="Palatino Linotype" w:cs="Palatino Linotype"/>
        </w:rPr>
      </w:pPr>
    </w:p>
    <w:p w14:paraId="60632B80" w14:textId="681DB015" w:rsidR="00413756" w:rsidRPr="00A42D3A" w:rsidRDefault="00F049FE" w:rsidP="00583DC6">
      <w:pPr>
        <w:numPr>
          <w:ilvl w:val="0"/>
          <w:numId w:val="6"/>
        </w:numPr>
        <w:spacing w:line="360" w:lineRule="auto"/>
        <w:ind w:left="0" w:firstLine="0"/>
        <w:jc w:val="both"/>
        <w:rPr>
          <w:rFonts w:ascii="Palatino Linotype" w:eastAsia="Palatino Linotype" w:hAnsi="Palatino Linotype" w:cs="Palatino Linotype"/>
        </w:rPr>
      </w:pPr>
      <w:r w:rsidRPr="00A42D3A">
        <w:rPr>
          <w:rFonts w:ascii="Palatino Linotype" w:eastAsia="Palatino Linotype" w:hAnsi="Palatino Linotype" w:cs="Palatino Linotype"/>
          <w:color w:val="000000"/>
        </w:rPr>
        <w:t xml:space="preserve">Por lo anteriormente expuesto y fundado, este </w:t>
      </w:r>
      <w:r w:rsidRPr="00A42D3A">
        <w:rPr>
          <w:rFonts w:ascii="Palatino Linotype" w:eastAsia="Palatino Linotype" w:hAnsi="Palatino Linotype" w:cs="Palatino Linotype"/>
          <w:b/>
          <w:bCs/>
          <w:color w:val="000000"/>
        </w:rPr>
        <w:t>ÓRGANO GARANTE</w:t>
      </w:r>
      <w:r w:rsidRPr="00A42D3A">
        <w:rPr>
          <w:rFonts w:ascii="Palatino Linotype" w:eastAsia="Palatino Linotype" w:hAnsi="Palatino Linotype" w:cs="Palatino Linotype"/>
          <w:color w:val="000000"/>
        </w:rPr>
        <w:t xml:space="preserve"> emite los siguientes:</w:t>
      </w:r>
      <w:r w:rsidR="00A42D3A">
        <w:rPr>
          <w:rFonts w:ascii="Palatino Linotype" w:eastAsia="Palatino Linotype" w:hAnsi="Palatino Linotype" w:cs="Palatino Linotype"/>
          <w:color w:val="000000"/>
        </w:rPr>
        <w:t xml:space="preserve"> -----------------------------------------------------------------------------------------------------------</w:t>
      </w:r>
    </w:p>
    <w:p w14:paraId="5788C71C" w14:textId="77777777" w:rsidR="00413756" w:rsidRPr="00A42D3A" w:rsidRDefault="00F049FE">
      <w:pPr>
        <w:keepNext/>
        <w:keepLines/>
        <w:spacing w:before="240" w:line="360" w:lineRule="auto"/>
        <w:jc w:val="center"/>
        <w:rPr>
          <w:rFonts w:ascii="Palatino Linotype" w:eastAsia="Palatino Linotype" w:hAnsi="Palatino Linotype" w:cs="Palatino Linotype"/>
          <w:b/>
          <w:bCs/>
          <w:color w:val="000000"/>
        </w:rPr>
      </w:pPr>
      <w:r w:rsidRPr="00A42D3A">
        <w:rPr>
          <w:rFonts w:ascii="Palatino Linotype" w:eastAsia="Palatino Linotype" w:hAnsi="Palatino Linotype" w:cs="Palatino Linotype"/>
          <w:b/>
          <w:bCs/>
          <w:color w:val="000000"/>
        </w:rPr>
        <w:lastRenderedPageBreak/>
        <w:t>R E S O L U T I V O S</w:t>
      </w:r>
    </w:p>
    <w:p w14:paraId="354B4F72" w14:textId="77777777" w:rsidR="00413756" w:rsidRPr="00A42D3A" w:rsidRDefault="00413756">
      <w:pPr>
        <w:keepNext/>
        <w:keepLines/>
        <w:spacing w:before="240" w:line="360" w:lineRule="auto"/>
        <w:jc w:val="center"/>
        <w:rPr>
          <w:rFonts w:ascii="Palatino Linotype" w:eastAsia="Palatino Linotype" w:hAnsi="Palatino Linotype" w:cs="Palatino Linotype"/>
          <w:b/>
          <w:bCs/>
          <w:color w:val="000000"/>
        </w:rPr>
      </w:pPr>
    </w:p>
    <w:p w14:paraId="25338CD3" w14:textId="77777777" w:rsidR="00413756" w:rsidRPr="00A42D3A" w:rsidRDefault="00F049FE">
      <w:pPr>
        <w:spacing w:line="360" w:lineRule="auto"/>
        <w:jc w:val="both"/>
        <w:rPr>
          <w:rFonts w:ascii="Palatino Linotype" w:eastAsia="Palatino Linotype" w:hAnsi="Palatino Linotype" w:cs="Palatino Linotype"/>
        </w:rPr>
      </w:pPr>
      <w:r w:rsidRPr="00A42D3A">
        <w:rPr>
          <w:rFonts w:ascii="Palatino Linotype" w:eastAsia="Palatino Linotype" w:hAnsi="Palatino Linotype" w:cs="Palatino Linotype"/>
          <w:b/>
          <w:bCs/>
        </w:rPr>
        <w:t xml:space="preserve">PRIMERO. </w:t>
      </w:r>
      <w:r w:rsidRPr="00A42D3A">
        <w:rPr>
          <w:rFonts w:ascii="Palatino Linotype" w:eastAsia="Palatino Linotype" w:hAnsi="Palatino Linotype" w:cs="Palatino Linotype"/>
        </w:rPr>
        <w:t>Resultan fundadas las</w:t>
      </w:r>
      <w:r w:rsidRPr="00A42D3A">
        <w:rPr>
          <w:rFonts w:ascii="Palatino Linotype" w:eastAsia="Palatino Linotype" w:hAnsi="Palatino Linotype" w:cs="Palatino Linotype"/>
          <w:b/>
          <w:bCs/>
        </w:rPr>
        <w:t xml:space="preserve"> </w:t>
      </w:r>
      <w:r w:rsidRPr="00A42D3A">
        <w:rPr>
          <w:rFonts w:ascii="Palatino Linotype" w:eastAsia="Palatino Linotype" w:hAnsi="Palatino Linotype" w:cs="Palatino Linotype"/>
        </w:rPr>
        <w:t xml:space="preserve">razones o motivos de inconformidad hechos valer en el recurso de revisión </w:t>
      </w:r>
      <w:r w:rsidRPr="00A42D3A">
        <w:rPr>
          <w:rFonts w:ascii="Palatino Linotype" w:eastAsia="Palatino Linotype" w:hAnsi="Palatino Linotype" w:cs="Palatino Linotype"/>
          <w:b/>
          <w:bCs/>
        </w:rPr>
        <w:t xml:space="preserve">08998/INFOEM/IP/RR/2025 </w:t>
      </w:r>
      <w:r w:rsidRPr="00A42D3A">
        <w:rPr>
          <w:rFonts w:ascii="Palatino Linotype" w:eastAsia="Palatino Linotype" w:hAnsi="Palatino Linotype" w:cs="Palatino Linotype"/>
        </w:rPr>
        <w:t xml:space="preserve">en términos de los </w:t>
      </w:r>
      <w:r w:rsidRPr="00A42D3A">
        <w:rPr>
          <w:rFonts w:ascii="Palatino Linotype" w:eastAsia="Palatino Linotype" w:hAnsi="Palatino Linotype" w:cs="Palatino Linotype"/>
          <w:b/>
          <w:bCs/>
        </w:rPr>
        <w:t>Considerandos</w:t>
      </w:r>
      <w:r w:rsidRPr="00A42D3A">
        <w:rPr>
          <w:rFonts w:ascii="Palatino Linotype" w:eastAsia="Palatino Linotype" w:hAnsi="Palatino Linotype" w:cs="Palatino Linotype"/>
        </w:rPr>
        <w:t xml:space="preserve"> </w:t>
      </w:r>
      <w:r w:rsidRPr="00A42D3A">
        <w:rPr>
          <w:rFonts w:ascii="Palatino Linotype" w:eastAsia="Palatino Linotype" w:hAnsi="Palatino Linotype" w:cs="Palatino Linotype"/>
          <w:b/>
          <w:bCs/>
        </w:rPr>
        <w:t xml:space="preserve">CUARTO y QUINTO </w:t>
      </w:r>
      <w:r w:rsidRPr="00A42D3A">
        <w:rPr>
          <w:rFonts w:ascii="Palatino Linotype" w:eastAsia="Palatino Linotype" w:hAnsi="Palatino Linotype" w:cs="Palatino Linotype"/>
        </w:rPr>
        <w:t>de la presente resolución.</w:t>
      </w:r>
    </w:p>
    <w:p w14:paraId="45AE4E46" w14:textId="77777777" w:rsidR="00413756" w:rsidRPr="00A42D3A" w:rsidRDefault="00413756">
      <w:pPr>
        <w:spacing w:line="360" w:lineRule="auto"/>
        <w:jc w:val="both"/>
        <w:rPr>
          <w:rFonts w:ascii="Palatino Linotype" w:eastAsia="Palatino Linotype" w:hAnsi="Palatino Linotype" w:cs="Palatino Linotype"/>
        </w:rPr>
      </w:pPr>
    </w:p>
    <w:p w14:paraId="4AFDA22E" w14:textId="77777777" w:rsidR="00413756" w:rsidRPr="00A42D3A" w:rsidRDefault="00F049FE">
      <w:pPr>
        <w:spacing w:line="360" w:lineRule="auto"/>
        <w:jc w:val="both"/>
        <w:rPr>
          <w:rFonts w:ascii="Palatino Linotype" w:eastAsia="Palatino Linotype" w:hAnsi="Palatino Linotype" w:cs="Palatino Linotype"/>
        </w:rPr>
      </w:pPr>
      <w:bookmarkStart w:id="12" w:name="_heading=h.26in1rg" w:colFirst="0" w:colLast="0"/>
      <w:bookmarkEnd w:id="12"/>
      <w:r w:rsidRPr="00A42D3A">
        <w:rPr>
          <w:rFonts w:ascii="Palatino Linotype" w:eastAsia="Palatino Linotype" w:hAnsi="Palatino Linotype" w:cs="Palatino Linotype"/>
          <w:b/>
          <w:bCs/>
        </w:rPr>
        <w:t>SEGUNDO.</w:t>
      </w:r>
      <w:r w:rsidRPr="00A42D3A">
        <w:rPr>
          <w:rFonts w:ascii="Palatino Linotype" w:eastAsia="Palatino Linotype" w:hAnsi="Palatino Linotype" w:cs="Palatino Linotype"/>
          <w:color w:val="2F5496"/>
        </w:rPr>
        <w:t xml:space="preserve"> </w:t>
      </w:r>
      <w:r w:rsidRPr="00A42D3A">
        <w:rPr>
          <w:rFonts w:ascii="Palatino Linotype" w:eastAsia="Palatino Linotype" w:hAnsi="Palatino Linotype" w:cs="Palatino Linotype"/>
        </w:rPr>
        <w:t>Se</w:t>
      </w:r>
      <w:r w:rsidRPr="00A42D3A">
        <w:rPr>
          <w:rFonts w:ascii="Palatino Linotype" w:eastAsia="Palatino Linotype" w:hAnsi="Palatino Linotype" w:cs="Palatino Linotype"/>
          <w:b/>
          <w:bCs/>
        </w:rPr>
        <w:t xml:space="preserve"> MODIFICA </w:t>
      </w:r>
      <w:r w:rsidRPr="00A42D3A">
        <w:rPr>
          <w:rFonts w:ascii="Palatino Linotype" w:eastAsia="Palatino Linotype" w:hAnsi="Palatino Linotype" w:cs="Palatino Linotype"/>
        </w:rPr>
        <w:t xml:space="preserve">la respuesta emitida por el </w:t>
      </w:r>
      <w:r w:rsidRPr="00A42D3A">
        <w:rPr>
          <w:rFonts w:ascii="Palatino Linotype" w:eastAsia="Palatino Linotype" w:hAnsi="Palatino Linotype" w:cs="Palatino Linotype"/>
          <w:b/>
          <w:bCs/>
        </w:rPr>
        <w:t xml:space="preserve">Ayuntamiento de Toluca </w:t>
      </w:r>
      <w:r w:rsidRPr="00A42D3A">
        <w:rPr>
          <w:rFonts w:ascii="Palatino Linotype" w:eastAsia="Palatino Linotype" w:hAnsi="Palatino Linotype" w:cs="Palatino Linotype"/>
        </w:rPr>
        <w:t xml:space="preserve">a la solicitud </w:t>
      </w:r>
      <w:r w:rsidRPr="00A42D3A">
        <w:rPr>
          <w:rFonts w:ascii="Palatino Linotype" w:eastAsia="Palatino Linotype" w:hAnsi="Palatino Linotype" w:cs="Palatino Linotype"/>
          <w:b/>
          <w:bCs/>
          <w:color w:val="000000"/>
        </w:rPr>
        <w:t>03332/TOLUCA/IP/2025,</w:t>
      </w:r>
      <w:r w:rsidRPr="00A42D3A">
        <w:rPr>
          <w:rFonts w:ascii="Palatino Linotype" w:eastAsia="Palatino Linotype" w:hAnsi="Palatino Linotype" w:cs="Palatino Linotype"/>
        </w:rPr>
        <w:t xml:space="preserve"> y se </w:t>
      </w:r>
      <w:r w:rsidRPr="00A42D3A">
        <w:rPr>
          <w:rFonts w:ascii="Palatino Linotype" w:eastAsia="Palatino Linotype" w:hAnsi="Palatino Linotype" w:cs="Palatino Linotype"/>
          <w:b/>
          <w:bCs/>
        </w:rPr>
        <w:t>ORDENA</w:t>
      </w:r>
      <w:r w:rsidRPr="00A42D3A">
        <w:rPr>
          <w:rFonts w:ascii="Palatino Linotype" w:eastAsia="Palatino Linotype" w:hAnsi="Palatino Linotype" w:cs="Palatino Linotype"/>
        </w:rPr>
        <w:t xml:space="preserve"> la entrega, a través del Sistema de Acceso a la Información Mexiquense, de ser procedente en versión pública, el soporte documental donde conste, del servidor público referido en la solicitud de información, la siguiente información:</w:t>
      </w:r>
    </w:p>
    <w:p w14:paraId="7F4394E0" w14:textId="77777777" w:rsidR="00413756" w:rsidRPr="00A42D3A" w:rsidRDefault="00413756">
      <w:pPr>
        <w:spacing w:line="360" w:lineRule="auto"/>
        <w:jc w:val="both"/>
        <w:rPr>
          <w:rFonts w:ascii="Palatino Linotype" w:eastAsia="Palatino Linotype" w:hAnsi="Palatino Linotype" w:cs="Palatino Linotype"/>
          <w:highlight w:val="white"/>
        </w:rPr>
      </w:pPr>
    </w:p>
    <w:p w14:paraId="5EB3513B" w14:textId="77777777" w:rsidR="00413756" w:rsidRPr="00A42D3A" w:rsidRDefault="00F049FE">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color w:val="000000"/>
          <w:highlight w:val="white"/>
        </w:rPr>
      </w:pPr>
      <w:r w:rsidRPr="00A42D3A">
        <w:rPr>
          <w:rFonts w:ascii="Palatino Linotype" w:eastAsia="Palatino Linotype" w:hAnsi="Palatino Linotype" w:cs="Palatino Linotype"/>
          <w:b/>
          <w:bCs/>
          <w:color w:val="000000"/>
          <w:highlight w:val="white"/>
        </w:rPr>
        <w:t>Cargo a la fecha de la solicitud;</w:t>
      </w:r>
    </w:p>
    <w:p w14:paraId="20402804" w14:textId="77777777" w:rsidR="00413756" w:rsidRPr="00A42D3A" w:rsidRDefault="00F049FE">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color w:val="000000"/>
          <w:highlight w:val="white"/>
        </w:rPr>
      </w:pPr>
      <w:r w:rsidRPr="00A42D3A">
        <w:rPr>
          <w:rFonts w:ascii="Palatino Linotype" w:eastAsia="Palatino Linotype" w:hAnsi="Palatino Linotype" w:cs="Palatino Linotype"/>
          <w:b/>
          <w:bCs/>
          <w:color w:val="000000"/>
          <w:highlight w:val="white"/>
        </w:rPr>
        <w:t>Expediente de personal;</w:t>
      </w:r>
    </w:p>
    <w:p w14:paraId="584BE44A" w14:textId="77777777" w:rsidR="00413756" w:rsidRPr="00A42D3A" w:rsidRDefault="00F049FE">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color w:val="000000"/>
          <w:highlight w:val="white"/>
        </w:rPr>
      </w:pPr>
      <w:r w:rsidRPr="00A42D3A">
        <w:rPr>
          <w:rFonts w:ascii="Palatino Linotype" w:eastAsia="Palatino Linotype" w:hAnsi="Palatino Linotype" w:cs="Palatino Linotype"/>
          <w:b/>
          <w:bCs/>
          <w:color w:val="000000"/>
          <w:highlight w:val="white"/>
        </w:rPr>
        <w:t>FUMP;</w:t>
      </w:r>
    </w:p>
    <w:p w14:paraId="7281C59E" w14:textId="77777777" w:rsidR="00413756" w:rsidRPr="00A42D3A" w:rsidRDefault="00F049FE">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color w:val="000000"/>
          <w:highlight w:val="white"/>
        </w:rPr>
      </w:pPr>
      <w:r w:rsidRPr="00A42D3A">
        <w:rPr>
          <w:rFonts w:ascii="Palatino Linotype" w:eastAsia="Palatino Linotype" w:hAnsi="Palatino Linotype" w:cs="Palatino Linotype"/>
          <w:b/>
          <w:bCs/>
          <w:color w:val="000000"/>
          <w:highlight w:val="white"/>
        </w:rPr>
        <w:t>Sueldo bruto y neto a la fecha de la solicitud;</w:t>
      </w:r>
    </w:p>
    <w:p w14:paraId="77873D53" w14:textId="77777777" w:rsidR="00413756" w:rsidRPr="00A42D3A" w:rsidRDefault="00F049FE">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color w:val="000000"/>
          <w:highlight w:val="white"/>
        </w:rPr>
      </w:pPr>
      <w:r w:rsidRPr="00A42D3A">
        <w:rPr>
          <w:rFonts w:ascii="Palatino Linotype" w:eastAsia="Palatino Linotype" w:hAnsi="Palatino Linotype" w:cs="Palatino Linotype"/>
          <w:b/>
          <w:bCs/>
          <w:color w:val="000000"/>
          <w:highlight w:val="white"/>
        </w:rPr>
        <w:t>Currículum Vitae;</w:t>
      </w:r>
    </w:p>
    <w:p w14:paraId="1A488DF8" w14:textId="77777777" w:rsidR="00413756" w:rsidRPr="00A42D3A" w:rsidRDefault="00F049FE">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color w:val="000000"/>
          <w:highlight w:val="white"/>
        </w:rPr>
      </w:pPr>
      <w:r w:rsidRPr="00A42D3A">
        <w:rPr>
          <w:rFonts w:ascii="Palatino Linotype" w:eastAsia="Palatino Linotype" w:hAnsi="Palatino Linotype" w:cs="Palatino Linotype"/>
          <w:b/>
          <w:bCs/>
          <w:color w:val="000000"/>
          <w:highlight w:val="white"/>
        </w:rPr>
        <w:t>Certificado de no deudor Alimentario;</w:t>
      </w:r>
    </w:p>
    <w:p w14:paraId="6C7B1D76" w14:textId="77777777" w:rsidR="00413756" w:rsidRPr="00A42D3A" w:rsidRDefault="00F049FE">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bCs/>
          <w:color w:val="000000"/>
          <w:highlight w:val="white"/>
        </w:rPr>
      </w:pPr>
      <w:r w:rsidRPr="00A42D3A">
        <w:rPr>
          <w:rFonts w:ascii="Palatino Linotype" w:eastAsia="Palatino Linotype" w:hAnsi="Palatino Linotype" w:cs="Palatino Linotype"/>
          <w:b/>
          <w:bCs/>
          <w:color w:val="000000"/>
          <w:highlight w:val="white"/>
        </w:rPr>
        <w:t xml:space="preserve">Oficios firmados y recibidos en su área de adscripción, del diez de junio de dos mil veinticuatro al diez de junio de dos mil veinticinco. </w:t>
      </w:r>
    </w:p>
    <w:p w14:paraId="4A2624D0" w14:textId="77777777" w:rsidR="00413756" w:rsidRPr="00A42D3A" w:rsidRDefault="00413756">
      <w:pPr>
        <w:pBdr>
          <w:top w:val="nil"/>
          <w:left w:val="nil"/>
          <w:bottom w:val="nil"/>
          <w:right w:val="nil"/>
          <w:between w:val="nil"/>
        </w:pBdr>
        <w:spacing w:line="360" w:lineRule="auto"/>
        <w:ind w:left="1211"/>
        <w:jc w:val="both"/>
        <w:rPr>
          <w:rFonts w:ascii="Palatino Linotype" w:eastAsia="Palatino Linotype" w:hAnsi="Palatino Linotype" w:cs="Palatino Linotype"/>
          <w:b/>
          <w:bCs/>
          <w:color w:val="000000"/>
          <w:highlight w:val="white"/>
        </w:rPr>
      </w:pPr>
    </w:p>
    <w:p w14:paraId="345F1D99" w14:textId="77777777" w:rsidR="00413756" w:rsidRPr="00A42D3A" w:rsidRDefault="00F049FE">
      <w:pPr>
        <w:tabs>
          <w:tab w:val="left" w:pos="993"/>
        </w:tabs>
        <w:spacing w:line="360" w:lineRule="auto"/>
        <w:jc w:val="both"/>
        <w:rPr>
          <w:rFonts w:ascii="Palatino Linotype" w:eastAsia="Palatino Linotype" w:hAnsi="Palatino Linotype" w:cs="Palatino Linotype"/>
          <w:highlight w:val="white"/>
        </w:rPr>
      </w:pPr>
      <w:r w:rsidRPr="00A42D3A">
        <w:rPr>
          <w:rFonts w:ascii="Palatino Linotype" w:eastAsia="Palatino Linotype" w:hAnsi="Palatino Linotype" w:cs="Palatino Linotype"/>
          <w:color w:val="000000"/>
          <w:highlight w:val="white"/>
        </w:rPr>
        <w:t xml:space="preserve">Para </w:t>
      </w:r>
      <w:r w:rsidRPr="00A42D3A">
        <w:rPr>
          <w:rFonts w:ascii="Palatino Linotype" w:eastAsia="Palatino Linotype" w:hAnsi="Palatino Linotype" w:cs="Palatino Linotype"/>
          <w:highlight w:val="white"/>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w:t>
      </w:r>
      <w:r w:rsidRPr="00A42D3A">
        <w:rPr>
          <w:rFonts w:ascii="Palatino Linotype" w:eastAsia="Palatino Linotype" w:hAnsi="Palatino Linotype" w:cs="Palatino Linotype"/>
          <w:highlight w:val="white"/>
        </w:rPr>
        <w:lastRenderedPageBreak/>
        <w:t xml:space="preserve">motiven las razones sobre los datos que se supriman o eliminen dentro del soporte documental respectivo objeto de las versiones públicas que se formulen, y se ponga a disposición del </w:t>
      </w:r>
      <w:r w:rsidRPr="00A42D3A">
        <w:rPr>
          <w:rFonts w:ascii="Palatino Linotype" w:eastAsia="Palatino Linotype" w:hAnsi="Palatino Linotype" w:cs="Palatino Linotype"/>
          <w:b/>
          <w:bCs/>
          <w:highlight w:val="white"/>
        </w:rPr>
        <w:t>RECURRENTE</w:t>
      </w:r>
      <w:r w:rsidRPr="00A42D3A">
        <w:rPr>
          <w:rFonts w:ascii="Palatino Linotype" w:eastAsia="Palatino Linotype" w:hAnsi="Palatino Linotype" w:cs="Palatino Linotype"/>
          <w:highlight w:val="white"/>
        </w:rPr>
        <w:t>.</w:t>
      </w:r>
    </w:p>
    <w:p w14:paraId="3FFF4ED9" w14:textId="77777777" w:rsidR="00413756" w:rsidRPr="00A42D3A" w:rsidRDefault="00413756">
      <w:pPr>
        <w:tabs>
          <w:tab w:val="left" w:pos="993"/>
        </w:tabs>
        <w:spacing w:line="360" w:lineRule="auto"/>
        <w:jc w:val="both"/>
        <w:rPr>
          <w:rFonts w:ascii="Palatino Linotype" w:eastAsia="Palatino Linotype" w:hAnsi="Palatino Linotype" w:cs="Palatino Linotype"/>
          <w:highlight w:val="white"/>
        </w:rPr>
      </w:pPr>
    </w:p>
    <w:p w14:paraId="4080B39F" w14:textId="141D3DDE" w:rsidR="00D17175" w:rsidRPr="00A42D3A" w:rsidRDefault="00F049F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white"/>
        </w:rPr>
      </w:pPr>
      <w:bookmarkStart w:id="13" w:name="_heading=h.6oxbj6l8i40c" w:colFirst="0" w:colLast="0"/>
      <w:bookmarkEnd w:id="13"/>
      <w:r w:rsidRPr="00A42D3A">
        <w:rPr>
          <w:rFonts w:ascii="Palatino Linotype" w:eastAsia="Palatino Linotype" w:hAnsi="Palatino Linotype" w:cs="Palatino Linotype"/>
          <w:color w:val="000000"/>
          <w:highlight w:val="white"/>
        </w:rPr>
        <w:t xml:space="preserve">Para el caso de que la información que se ordena entregar en el </w:t>
      </w:r>
      <w:r w:rsidRPr="00A42D3A">
        <w:rPr>
          <w:rFonts w:ascii="Palatino Linotype" w:eastAsia="Palatino Linotype" w:hAnsi="Palatino Linotype" w:cs="Palatino Linotype"/>
          <w:b/>
          <w:bCs/>
          <w:color w:val="000000"/>
          <w:highlight w:val="white"/>
        </w:rPr>
        <w:t>inciso g</w:t>
      </w:r>
      <w:r w:rsidRPr="00A42D3A">
        <w:rPr>
          <w:rFonts w:ascii="Palatino Linotype" w:eastAsia="Palatino Linotype" w:hAnsi="Palatino Linotype" w:cs="Palatino Linotype"/>
          <w:color w:val="000000"/>
          <w:highlight w:val="white"/>
        </w:rPr>
        <w:t xml:space="preserve">, respecto a los oficios firmados no obre en los archivos del Sujeto Obligado, porque no se hayan generado a la fecha de la </w:t>
      </w:r>
      <w:r w:rsidRPr="00A42D3A">
        <w:rPr>
          <w:rFonts w:ascii="Palatino Linotype" w:eastAsia="Palatino Linotype" w:hAnsi="Palatino Linotype" w:cs="Palatino Linotype"/>
          <w:color w:val="000000"/>
        </w:rPr>
        <w:t xml:space="preserve">solicitud </w:t>
      </w:r>
      <w:r w:rsidR="00117C54" w:rsidRPr="00A42D3A">
        <w:rPr>
          <w:rFonts w:ascii="Palatino Linotype" w:eastAsia="Palatino Linotype" w:hAnsi="Palatino Linotype" w:cs="Palatino Linotype"/>
          <w:color w:val="000000"/>
        </w:rPr>
        <w:t xml:space="preserve">o hayan sido cancelados, </w:t>
      </w:r>
      <w:r w:rsidRPr="00A42D3A">
        <w:rPr>
          <w:rFonts w:ascii="Palatino Linotype" w:eastAsia="Palatino Linotype" w:hAnsi="Palatino Linotype" w:cs="Palatino Linotype"/>
          <w:color w:val="000000"/>
        </w:rPr>
        <w:t xml:space="preserve">bastará con que así </w:t>
      </w:r>
      <w:r w:rsidRPr="00A42D3A">
        <w:rPr>
          <w:rFonts w:ascii="Palatino Linotype" w:eastAsia="Palatino Linotype" w:hAnsi="Palatino Linotype" w:cs="Palatino Linotype"/>
          <w:color w:val="000000"/>
          <w:highlight w:val="white"/>
        </w:rPr>
        <w:t xml:space="preserve">se haga del conocimiento del Particular en términos del artículo 19, párrafo segundo, de la Ley de Transparencia y Acceso a la Información Pública del Estado de México y Municipios, para tenerse por colmado dicho requerimiento. </w:t>
      </w:r>
    </w:p>
    <w:p w14:paraId="2477BDF8" w14:textId="77777777" w:rsidR="00D17175" w:rsidRPr="00A42D3A" w:rsidRDefault="00D17175">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highlight w:val="white"/>
        </w:rPr>
      </w:pPr>
    </w:p>
    <w:p w14:paraId="40CD3BF4" w14:textId="77777777" w:rsidR="00413756" w:rsidRPr="00A42D3A" w:rsidRDefault="00F049FE">
      <w:pPr>
        <w:shd w:val="clear" w:color="auto" w:fill="FFFFFF"/>
        <w:spacing w:line="360" w:lineRule="auto"/>
        <w:jc w:val="both"/>
        <w:rPr>
          <w:rFonts w:ascii="Palatino Linotype" w:eastAsia="Palatino Linotype" w:hAnsi="Palatino Linotype" w:cs="Palatino Linotype"/>
          <w:color w:val="222222"/>
          <w:highlight w:val="white"/>
        </w:rPr>
      </w:pPr>
      <w:r w:rsidRPr="00A42D3A">
        <w:rPr>
          <w:rFonts w:ascii="Palatino Linotype" w:eastAsia="Palatino Linotype" w:hAnsi="Palatino Linotype" w:cs="Palatino Linotype"/>
          <w:b/>
          <w:bCs/>
          <w:color w:val="222222"/>
          <w:highlight w:val="white"/>
        </w:rPr>
        <w:t xml:space="preserve">TERCERO. </w:t>
      </w:r>
      <w:r w:rsidRPr="00A42D3A">
        <w:rPr>
          <w:rFonts w:ascii="Palatino Linotype" w:eastAsia="Palatino Linotype" w:hAnsi="Palatino Linotype" w:cs="Palatino Linotype"/>
          <w:color w:val="222222"/>
          <w:highlight w:val="white"/>
        </w:rPr>
        <w:t xml:space="preserve">Notifíquese 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A42D3A">
        <w:rPr>
          <w:rFonts w:ascii="Palatino Linotype" w:eastAsia="Palatino Linotype" w:hAnsi="Palatino Linotype" w:cs="Palatino Linotype"/>
          <w:b/>
          <w:bCs/>
          <w:color w:val="222222"/>
          <w:highlight w:val="white"/>
        </w:rPr>
        <w:t>dé cumplimiento a lo ordenado dentro del plazo de diez días hábiles,</w:t>
      </w:r>
      <w:r w:rsidRPr="00A42D3A">
        <w:rPr>
          <w:rFonts w:ascii="Palatino Linotype" w:eastAsia="Palatino Linotype" w:hAnsi="Palatino Linotype" w:cs="Palatino Linotype"/>
          <w:color w:val="222222"/>
          <w:highlight w:val="whit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C81DFA0" w14:textId="77777777" w:rsidR="00413756" w:rsidRPr="00A42D3A" w:rsidRDefault="00413756">
      <w:pPr>
        <w:shd w:val="clear" w:color="auto" w:fill="FFFFFF"/>
        <w:spacing w:line="360" w:lineRule="auto"/>
        <w:jc w:val="both"/>
        <w:rPr>
          <w:rFonts w:ascii="Palatino Linotype" w:eastAsia="Palatino Linotype" w:hAnsi="Palatino Linotype" w:cs="Palatino Linotype"/>
          <w:b/>
          <w:bCs/>
          <w:color w:val="222222"/>
          <w:highlight w:val="white"/>
        </w:rPr>
      </w:pPr>
    </w:p>
    <w:p w14:paraId="3D6CCAC0" w14:textId="77777777" w:rsidR="00413756" w:rsidRPr="00A42D3A" w:rsidRDefault="00F049FE">
      <w:pPr>
        <w:shd w:val="clear" w:color="auto" w:fill="FFFFFF"/>
        <w:spacing w:line="360" w:lineRule="auto"/>
        <w:jc w:val="both"/>
        <w:rPr>
          <w:rFonts w:ascii="Palatino Linotype" w:eastAsia="Palatino Linotype" w:hAnsi="Palatino Linotype" w:cs="Palatino Linotype"/>
          <w:color w:val="000000"/>
          <w:highlight w:val="white"/>
        </w:rPr>
      </w:pPr>
      <w:r w:rsidRPr="00A42D3A">
        <w:rPr>
          <w:rFonts w:ascii="Palatino Linotype" w:eastAsia="Palatino Linotype" w:hAnsi="Palatino Linotype" w:cs="Palatino Linotype"/>
          <w:b/>
          <w:bCs/>
          <w:color w:val="000000"/>
          <w:highlight w:val="white"/>
        </w:rPr>
        <w:t>CUARTO.</w:t>
      </w:r>
      <w:r w:rsidRPr="00A42D3A">
        <w:rPr>
          <w:rFonts w:ascii="Palatino Linotype" w:eastAsia="Palatino Linotype" w:hAnsi="Palatino Linotype" w:cs="Palatino Linotype"/>
          <w:color w:val="000000"/>
          <w:highlight w:val="white"/>
        </w:rPr>
        <w:t xml:space="preserve"> De conformidad con el artículo 198 de la Ley de Transparencia y Acceso a la Información Pública del Estado de México y Municipios, de considerarlo procedente, el </w:t>
      </w:r>
      <w:r w:rsidRPr="00A42D3A">
        <w:rPr>
          <w:rFonts w:ascii="Palatino Linotype" w:eastAsia="Palatino Linotype" w:hAnsi="Palatino Linotype" w:cs="Palatino Linotype"/>
          <w:b/>
          <w:bCs/>
          <w:color w:val="000000"/>
          <w:highlight w:val="white"/>
        </w:rPr>
        <w:t>SUJETO OBLIGADO</w:t>
      </w:r>
      <w:r w:rsidRPr="00A42D3A">
        <w:rPr>
          <w:rFonts w:ascii="Palatino Linotype" w:eastAsia="Palatino Linotype" w:hAnsi="Palatino Linotype" w:cs="Palatino Linotype"/>
          <w:color w:val="000000"/>
          <w:highlight w:val="white"/>
        </w:rPr>
        <w:t xml:space="preserve"> podrá, de manera fundada y motivada, solicitar una ampliación de plazo para el cumplimiento de la presente resolución.</w:t>
      </w:r>
    </w:p>
    <w:p w14:paraId="697143A1" w14:textId="77777777" w:rsidR="00413756" w:rsidRPr="00A42D3A" w:rsidRDefault="00F049FE">
      <w:pPr>
        <w:shd w:val="clear" w:color="auto" w:fill="FFFFFF"/>
        <w:spacing w:line="360" w:lineRule="auto"/>
        <w:jc w:val="both"/>
        <w:rPr>
          <w:rFonts w:ascii="Palatino Linotype" w:eastAsia="Palatino Linotype" w:hAnsi="Palatino Linotype" w:cs="Palatino Linotype"/>
          <w:color w:val="000000"/>
          <w:highlight w:val="white"/>
        </w:rPr>
      </w:pPr>
      <w:r w:rsidRPr="00A42D3A">
        <w:rPr>
          <w:rFonts w:ascii="Palatino Linotype" w:eastAsia="Palatino Linotype" w:hAnsi="Palatino Linotype" w:cs="Palatino Linotype"/>
          <w:b/>
          <w:bCs/>
          <w:highlight w:val="white"/>
        </w:rPr>
        <w:lastRenderedPageBreak/>
        <w:t xml:space="preserve">QUINTO. </w:t>
      </w:r>
      <w:r w:rsidRPr="00A42D3A">
        <w:rPr>
          <w:rFonts w:ascii="Palatino Linotype" w:eastAsia="Palatino Linotype" w:hAnsi="Palatino Linotype" w:cs="Palatino Linotype"/>
          <w:b/>
          <w:bCs/>
          <w:color w:val="222222"/>
          <w:highlight w:val="white"/>
        </w:rPr>
        <w:t xml:space="preserve">Notifíquese </w:t>
      </w:r>
      <w:r w:rsidRPr="00A42D3A">
        <w:rPr>
          <w:rFonts w:ascii="Palatino Linotype" w:eastAsia="Palatino Linotype" w:hAnsi="Palatino Linotype" w:cs="Palatino Linotype"/>
          <w:color w:val="222222"/>
          <w:highlight w:val="white"/>
        </w:rPr>
        <w:t xml:space="preserve">al </w:t>
      </w:r>
      <w:r w:rsidRPr="00A42D3A">
        <w:rPr>
          <w:rFonts w:ascii="Palatino Linotype" w:eastAsia="Palatino Linotype" w:hAnsi="Palatino Linotype" w:cs="Palatino Linotype"/>
          <w:b/>
          <w:bCs/>
          <w:color w:val="222222"/>
          <w:highlight w:val="white"/>
        </w:rPr>
        <w:t>RECURRENTE</w:t>
      </w:r>
      <w:r w:rsidRPr="00A42D3A">
        <w:rPr>
          <w:rFonts w:ascii="Palatino Linotype" w:eastAsia="Palatino Linotype" w:hAnsi="Palatino Linotype" w:cs="Palatino Linotype"/>
          <w:color w:val="222222"/>
          <w:highlight w:val="white"/>
        </w:rPr>
        <w:t xml:space="preserve"> </w:t>
      </w:r>
      <w:r w:rsidRPr="00A42D3A">
        <w:rPr>
          <w:rFonts w:ascii="Palatino Linotype" w:eastAsia="Palatino Linotype" w:hAnsi="Palatino Linotype" w:cs="Palatino Linotype"/>
          <w:highlight w:val="white"/>
        </w:rPr>
        <w:t>la presente resolución vía Sistema de Acceso a la Información Mexiquense (SAIMEX).</w:t>
      </w:r>
    </w:p>
    <w:p w14:paraId="393C5560" w14:textId="77777777" w:rsidR="00413756" w:rsidRPr="00A42D3A" w:rsidRDefault="00413756">
      <w:pPr>
        <w:shd w:val="clear" w:color="auto" w:fill="FFFFFF"/>
        <w:spacing w:line="360" w:lineRule="auto"/>
        <w:jc w:val="both"/>
        <w:rPr>
          <w:rFonts w:ascii="Palatino Linotype" w:eastAsia="Palatino Linotype" w:hAnsi="Palatino Linotype" w:cs="Palatino Linotype"/>
          <w:highlight w:val="white"/>
        </w:rPr>
      </w:pPr>
    </w:p>
    <w:p w14:paraId="5AA40E34" w14:textId="77777777" w:rsidR="00413756" w:rsidRPr="00A42D3A" w:rsidRDefault="00F049FE">
      <w:pPr>
        <w:spacing w:line="360" w:lineRule="auto"/>
        <w:jc w:val="both"/>
        <w:rPr>
          <w:rFonts w:ascii="Palatino Linotype" w:eastAsia="Palatino Linotype" w:hAnsi="Palatino Linotype" w:cs="Palatino Linotype"/>
          <w:highlight w:val="white"/>
        </w:rPr>
      </w:pPr>
      <w:r w:rsidRPr="00A42D3A">
        <w:rPr>
          <w:rFonts w:ascii="Palatino Linotype" w:eastAsia="Palatino Linotype" w:hAnsi="Palatino Linotype" w:cs="Palatino Linotype"/>
          <w:b/>
          <w:bCs/>
          <w:highlight w:val="white"/>
        </w:rPr>
        <w:t>SEXTO.</w:t>
      </w:r>
      <w:r w:rsidRPr="00A42D3A">
        <w:rPr>
          <w:rFonts w:ascii="Palatino Linotype" w:eastAsia="Palatino Linotype" w:hAnsi="Palatino Linotype" w:cs="Palatino Linotype"/>
          <w:highlight w:val="white"/>
        </w:rPr>
        <w:t xml:space="preserve"> Se hace del conocimiento del </w:t>
      </w:r>
      <w:r w:rsidRPr="00A42D3A">
        <w:rPr>
          <w:rFonts w:ascii="Palatino Linotype" w:eastAsia="Palatino Linotype" w:hAnsi="Palatino Linotype" w:cs="Palatino Linotype"/>
          <w:b/>
          <w:bCs/>
          <w:highlight w:val="white"/>
        </w:rPr>
        <w:t>RECURRENTE</w:t>
      </w:r>
      <w:r w:rsidRPr="00A42D3A">
        <w:rPr>
          <w:rFonts w:ascii="Palatino Linotype" w:eastAsia="Palatino Linotype" w:hAnsi="Palatino Linotype" w:cs="Palatino Linotype"/>
          <w:color w:val="222222"/>
          <w:highlight w:val="white"/>
        </w:rPr>
        <w:t xml:space="preserve"> </w:t>
      </w:r>
      <w:r w:rsidRPr="00A42D3A">
        <w:rPr>
          <w:rFonts w:ascii="Palatino Linotype" w:eastAsia="Palatino Linotype" w:hAnsi="Palatino Linotype" w:cs="Palatino Linotype"/>
          <w:highlight w:val="whit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62C1C1EC"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14:paraId="252C3F9B" w14:textId="55E0374C" w:rsidR="00A856A4" w:rsidRPr="00A42D3A" w:rsidRDefault="00A856A4" w:rsidP="00A856A4">
      <w:pPr>
        <w:spacing w:before="240" w:after="240" w:line="360" w:lineRule="auto"/>
        <w:ind w:firstLine="1"/>
        <w:jc w:val="both"/>
        <w:rPr>
          <w:rFonts w:ascii="Palatino Linotype" w:hAnsi="Palatino Linotype"/>
        </w:rPr>
      </w:pPr>
      <w:bookmarkStart w:id="14" w:name="_Hlk99014733"/>
      <w:r w:rsidRPr="00A42D3A">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D2D32" w:rsidRPr="00A42D3A">
        <w:rPr>
          <w:rFonts w:ascii="Palatino Linotype" w:hAnsi="Palatino Linotype" w:cs="Palatino Linotype"/>
        </w:rPr>
        <w:t xml:space="preserve"> </w:t>
      </w:r>
      <w:r w:rsidR="00CD2D32" w:rsidRPr="00A42D3A">
        <w:rPr>
          <w:rFonts w:ascii="Palatino Linotype" w:hAnsi="Palatino Linotype"/>
        </w:rPr>
        <w:t>EMITIENDO VOTO PARTICULAR CONCURRENTE</w:t>
      </w:r>
      <w:r w:rsidRPr="00A42D3A">
        <w:rPr>
          <w:rFonts w:ascii="Palatino Linotype" w:hAnsi="Palatino Linotype" w:cs="Palatino Linotype"/>
        </w:rPr>
        <w:t>, SHARON CRISTINA MORALES MARTÍNEZ, LUIS GUSTAVO PARRA NORIEGA</w:t>
      </w:r>
      <w:r w:rsidR="00CD2D32" w:rsidRPr="00A42D3A">
        <w:rPr>
          <w:rFonts w:ascii="Palatino Linotype" w:hAnsi="Palatino Linotype" w:cs="Palatino Linotype"/>
        </w:rPr>
        <w:t xml:space="preserve"> </w:t>
      </w:r>
      <w:r w:rsidR="00CD2D32" w:rsidRPr="00A42D3A">
        <w:rPr>
          <w:rFonts w:ascii="Palatino Linotype" w:hAnsi="Palatino Linotype"/>
        </w:rPr>
        <w:t>EMITIENDO VOTO PARTICULAR CONCURRENTE</w:t>
      </w:r>
      <w:r w:rsidRPr="00A42D3A">
        <w:rPr>
          <w:rFonts w:ascii="Palatino Linotype" w:hAnsi="Palatino Linotype" w:cs="Palatino Linotype"/>
        </w:rPr>
        <w:t xml:space="preserve"> Y GUADALUPE RAMÍREZ PEÑA</w:t>
      </w:r>
      <w:r w:rsidR="00CD2D32" w:rsidRPr="00A42D3A">
        <w:rPr>
          <w:rFonts w:ascii="Palatino Linotype" w:hAnsi="Palatino Linotype" w:cs="Palatino Linotype"/>
        </w:rPr>
        <w:t xml:space="preserve"> </w:t>
      </w:r>
      <w:r w:rsidR="00CD2D32" w:rsidRPr="00A42D3A">
        <w:rPr>
          <w:rFonts w:ascii="Palatino Linotype" w:hAnsi="Palatino Linotype"/>
        </w:rPr>
        <w:t>EMITIENDO VOTO PARTICULAR</w:t>
      </w:r>
      <w:r w:rsidRPr="00A42D3A">
        <w:rPr>
          <w:rFonts w:ascii="Palatino Linotype" w:hAnsi="Palatino Linotype" w:cs="Palatino Linotype"/>
        </w:rPr>
        <w:t xml:space="preserve">; EN LA NOVENA SESIÓN ORDINARIA, CELEBRADA EL ONCE (11) DE MARZO DE DOS MIL VEINTISÉIS, ANTE EL SECRETARIO TÉCNICO DEL PLENO </w:t>
      </w:r>
      <w:r w:rsidRPr="00A42D3A">
        <w:rPr>
          <w:rFonts w:ascii="Palatino Linotype" w:hAnsi="Palatino Linotype" w:cs="Palatino Linotype"/>
          <w:color w:val="000000" w:themeColor="text1"/>
        </w:rPr>
        <w:t>ALEXIS TAPIA RAMÍREZ.</w:t>
      </w:r>
    </w:p>
    <w:bookmarkEnd w:id="14"/>
    <w:p w14:paraId="0EE371DE"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69405A6" w14:textId="77777777" w:rsidR="00413756" w:rsidRPr="00A42D3A" w:rsidRDefault="00413756">
      <w:pPr>
        <w:pBdr>
          <w:top w:val="nil"/>
          <w:left w:val="nil"/>
          <w:bottom w:val="nil"/>
          <w:right w:val="nil"/>
          <w:between w:val="nil"/>
        </w:pBdr>
        <w:ind w:left="720"/>
        <w:rPr>
          <w:rFonts w:ascii="Palatino Linotype" w:eastAsia="Palatino Linotype" w:hAnsi="Palatino Linotype" w:cs="Palatino Linotype"/>
          <w:color w:val="000000"/>
        </w:rPr>
      </w:pPr>
    </w:p>
    <w:p w14:paraId="37A98D64" w14:textId="77777777" w:rsidR="00413756" w:rsidRPr="00A42D3A" w:rsidRDefault="00413756">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EA2183B" w14:textId="77777777" w:rsidR="00413756" w:rsidRPr="00A42D3A" w:rsidRDefault="00413756"/>
    <w:p w14:paraId="2B8886A5" w14:textId="77777777" w:rsidR="00413756" w:rsidRPr="00A42D3A" w:rsidRDefault="00413756"/>
    <w:p w14:paraId="2FA2417B" w14:textId="77777777" w:rsidR="00413756" w:rsidRPr="00A42D3A" w:rsidRDefault="00413756"/>
    <w:p w14:paraId="7EB6E7D8" w14:textId="77777777" w:rsidR="00413756" w:rsidRPr="00A42D3A" w:rsidRDefault="00413756"/>
    <w:p w14:paraId="49E93358" w14:textId="77777777" w:rsidR="00413756" w:rsidRPr="00A42D3A" w:rsidRDefault="00413756"/>
    <w:p w14:paraId="126383C6" w14:textId="77777777" w:rsidR="00413756" w:rsidRPr="00A42D3A" w:rsidRDefault="00413756"/>
    <w:p w14:paraId="0EC2FD61" w14:textId="77777777" w:rsidR="00413756" w:rsidRPr="00A42D3A" w:rsidRDefault="00413756"/>
    <w:p w14:paraId="697F196C" w14:textId="77777777" w:rsidR="00413756" w:rsidRPr="00A42D3A" w:rsidRDefault="00413756"/>
    <w:sectPr w:rsidR="00413756" w:rsidRPr="00A42D3A" w:rsidSect="00A42D3A">
      <w:headerReference w:type="even" r:id="rId14"/>
      <w:headerReference w:type="default" r:id="rId15"/>
      <w:footerReference w:type="default" r:id="rId16"/>
      <w:headerReference w:type="first" r:id="rId17"/>
      <w:footerReference w:type="first" r:id="rId18"/>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1B3F6" w14:textId="77777777" w:rsidR="00750359" w:rsidRDefault="00750359">
      <w:r>
        <w:separator/>
      </w:r>
    </w:p>
  </w:endnote>
  <w:endnote w:type="continuationSeparator" w:id="0">
    <w:p w14:paraId="24193EFC" w14:textId="77777777" w:rsidR="00750359" w:rsidRDefault="00750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51BB12D5-A312-42E4-8B7C-38D5089AE697}"/>
    <w:embedBold r:id="rId2" w:fontKey="{FD0DC4B6-D158-4EDD-952B-3C821FBB1891}"/>
    <w:embedItalic r:id="rId3" w:fontKey="{4796C214-ACA6-4B98-ABE3-4CC2A858D921}"/>
    <w:embedBoldItalic r:id="rId4" w:fontKey="{5FED235F-C160-4A5D-80A4-83FF41A14E01}"/>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2FBF93B5-E14D-4EE3-962E-E172F5B4C22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832FE3AF-A365-4B43-BF9B-A9DF9420170E}"/>
  </w:font>
  <w:font w:name="Calibri Light">
    <w:panose1 w:val="020F0302020204030204"/>
    <w:charset w:val="00"/>
    <w:family w:val="swiss"/>
    <w:pitch w:val="variable"/>
    <w:sig w:usb0="E4002EFF" w:usb1="C200247B" w:usb2="00000009" w:usb3="00000000" w:csb0="000001FF" w:csb1="00000000"/>
    <w:embedRegular r:id="rId7" w:fontKey="{92F1E13B-A946-4202-B614-DBB98F836C40}"/>
  </w:font>
  <w:font w:name="Georgia">
    <w:panose1 w:val="02040502050405020303"/>
    <w:charset w:val="00"/>
    <w:family w:val="roman"/>
    <w:pitch w:val="variable"/>
    <w:sig w:usb0="00000287" w:usb1="00000000" w:usb2="00000000" w:usb3="00000000" w:csb0="0000009F" w:csb1="00000000"/>
    <w:embedItalic r:id="rId8" w:fontKey="{F4E2111D-C44F-45B4-B105-24377AF44166}"/>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9" w:fontKey="{66712E35-1D19-4E21-A506-9AA3CB5F0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79F1E" w14:textId="77777777" w:rsidR="00A42D3A" w:rsidRPr="00A42D3A" w:rsidRDefault="00A42D3A">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A42D3A">
      <w:rPr>
        <w:rFonts w:ascii="Palatino Linotype" w:hAnsi="Palatino Linotype"/>
        <w:b/>
        <w:color w:val="000000"/>
        <w:sz w:val="22"/>
      </w:rPr>
      <w:t xml:space="preserve">Página </w:t>
    </w:r>
    <w:r w:rsidRPr="00A42D3A">
      <w:rPr>
        <w:rFonts w:ascii="Palatino Linotype" w:hAnsi="Palatino Linotype"/>
        <w:b/>
        <w:bCs/>
        <w:color w:val="000000"/>
        <w:sz w:val="22"/>
      </w:rPr>
      <w:fldChar w:fldCharType="begin"/>
    </w:r>
    <w:r w:rsidRPr="00A42D3A">
      <w:rPr>
        <w:rFonts w:ascii="Palatino Linotype" w:hAnsi="Palatino Linotype"/>
        <w:b/>
        <w:bCs/>
        <w:color w:val="000000"/>
        <w:sz w:val="22"/>
      </w:rPr>
      <w:instrText>PAGE</w:instrText>
    </w:r>
    <w:r w:rsidRPr="00A42D3A">
      <w:rPr>
        <w:rFonts w:ascii="Palatino Linotype" w:hAnsi="Palatino Linotype"/>
        <w:b/>
        <w:bCs/>
        <w:color w:val="000000"/>
        <w:sz w:val="22"/>
      </w:rPr>
      <w:fldChar w:fldCharType="separate"/>
    </w:r>
    <w:r w:rsidR="00583DC6">
      <w:rPr>
        <w:rFonts w:ascii="Palatino Linotype" w:hAnsi="Palatino Linotype"/>
        <w:b/>
        <w:bCs/>
        <w:noProof/>
        <w:color w:val="000000"/>
        <w:sz w:val="22"/>
      </w:rPr>
      <w:t>21</w:t>
    </w:r>
    <w:r w:rsidRPr="00A42D3A">
      <w:rPr>
        <w:rFonts w:ascii="Palatino Linotype" w:hAnsi="Palatino Linotype"/>
        <w:b/>
        <w:bCs/>
        <w:color w:val="000000"/>
        <w:sz w:val="22"/>
      </w:rPr>
      <w:fldChar w:fldCharType="end"/>
    </w:r>
    <w:r w:rsidRPr="00A42D3A">
      <w:rPr>
        <w:rFonts w:ascii="Palatino Linotype" w:hAnsi="Palatino Linotype"/>
        <w:b/>
        <w:color w:val="000000"/>
        <w:sz w:val="22"/>
      </w:rPr>
      <w:t xml:space="preserve"> de </w:t>
    </w:r>
    <w:r w:rsidRPr="00A42D3A">
      <w:rPr>
        <w:rFonts w:ascii="Palatino Linotype" w:hAnsi="Palatino Linotype"/>
        <w:b/>
        <w:bCs/>
        <w:color w:val="000000"/>
        <w:sz w:val="22"/>
      </w:rPr>
      <w:fldChar w:fldCharType="begin"/>
    </w:r>
    <w:r w:rsidRPr="00A42D3A">
      <w:rPr>
        <w:rFonts w:ascii="Palatino Linotype" w:hAnsi="Palatino Linotype"/>
        <w:b/>
        <w:bCs/>
        <w:color w:val="000000"/>
        <w:sz w:val="22"/>
      </w:rPr>
      <w:instrText>NUMPAGES</w:instrText>
    </w:r>
    <w:r w:rsidRPr="00A42D3A">
      <w:rPr>
        <w:rFonts w:ascii="Palatino Linotype" w:hAnsi="Palatino Linotype"/>
        <w:b/>
        <w:bCs/>
        <w:color w:val="000000"/>
        <w:sz w:val="22"/>
      </w:rPr>
      <w:fldChar w:fldCharType="separate"/>
    </w:r>
    <w:r w:rsidR="00583DC6">
      <w:rPr>
        <w:rFonts w:ascii="Palatino Linotype" w:hAnsi="Palatino Linotype"/>
        <w:b/>
        <w:bCs/>
        <w:noProof/>
        <w:color w:val="000000"/>
        <w:sz w:val="22"/>
      </w:rPr>
      <w:t>49</w:t>
    </w:r>
    <w:r w:rsidRPr="00A42D3A">
      <w:rPr>
        <w:rFonts w:ascii="Palatino Linotype" w:hAnsi="Palatino Linotype"/>
        <w:b/>
        <w:bCs/>
        <w:color w:val="000000"/>
        <w:sz w:val="22"/>
      </w:rPr>
      <w:fldChar w:fldCharType="end"/>
    </w:r>
  </w:p>
  <w:p w14:paraId="2560057C" w14:textId="77777777" w:rsidR="00A42D3A" w:rsidRDefault="00A42D3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0212A" w14:textId="77777777" w:rsidR="00A42D3A" w:rsidRPr="00A42D3A" w:rsidRDefault="00A42D3A">
    <w:pPr>
      <w:pBdr>
        <w:top w:val="nil"/>
        <w:left w:val="nil"/>
        <w:bottom w:val="nil"/>
        <w:right w:val="nil"/>
        <w:between w:val="nil"/>
      </w:pBdr>
      <w:tabs>
        <w:tab w:val="center" w:pos="4419"/>
        <w:tab w:val="right" w:pos="8838"/>
      </w:tabs>
      <w:jc w:val="right"/>
      <w:rPr>
        <w:rFonts w:ascii="Palatino Linotype" w:hAnsi="Palatino Linotype"/>
        <w:b/>
        <w:color w:val="000000"/>
      </w:rPr>
    </w:pPr>
    <w:r w:rsidRPr="00A42D3A">
      <w:rPr>
        <w:rFonts w:ascii="Palatino Linotype" w:hAnsi="Palatino Linotype"/>
        <w:b/>
        <w:color w:val="000000"/>
        <w:sz w:val="22"/>
      </w:rPr>
      <w:t xml:space="preserve">Página </w:t>
    </w:r>
    <w:r w:rsidRPr="00A42D3A">
      <w:rPr>
        <w:rFonts w:ascii="Palatino Linotype" w:hAnsi="Palatino Linotype"/>
        <w:b/>
        <w:bCs/>
        <w:color w:val="000000"/>
        <w:sz w:val="22"/>
      </w:rPr>
      <w:fldChar w:fldCharType="begin"/>
    </w:r>
    <w:r w:rsidRPr="00A42D3A">
      <w:rPr>
        <w:rFonts w:ascii="Palatino Linotype" w:hAnsi="Palatino Linotype"/>
        <w:b/>
        <w:bCs/>
        <w:color w:val="000000"/>
        <w:sz w:val="22"/>
      </w:rPr>
      <w:instrText>PAGE</w:instrText>
    </w:r>
    <w:r w:rsidRPr="00A42D3A">
      <w:rPr>
        <w:rFonts w:ascii="Palatino Linotype" w:hAnsi="Palatino Linotype"/>
        <w:b/>
        <w:bCs/>
        <w:color w:val="000000"/>
        <w:sz w:val="22"/>
      </w:rPr>
      <w:fldChar w:fldCharType="separate"/>
    </w:r>
    <w:r w:rsidR="00583DC6">
      <w:rPr>
        <w:rFonts w:ascii="Palatino Linotype" w:hAnsi="Palatino Linotype"/>
        <w:b/>
        <w:bCs/>
        <w:noProof/>
        <w:color w:val="000000"/>
        <w:sz w:val="22"/>
      </w:rPr>
      <w:t>1</w:t>
    </w:r>
    <w:r w:rsidRPr="00A42D3A">
      <w:rPr>
        <w:rFonts w:ascii="Palatino Linotype" w:hAnsi="Palatino Linotype"/>
        <w:b/>
        <w:bCs/>
        <w:color w:val="000000"/>
        <w:sz w:val="22"/>
      </w:rPr>
      <w:fldChar w:fldCharType="end"/>
    </w:r>
    <w:r w:rsidRPr="00A42D3A">
      <w:rPr>
        <w:rFonts w:ascii="Palatino Linotype" w:hAnsi="Palatino Linotype"/>
        <w:b/>
        <w:color w:val="000000"/>
        <w:sz w:val="22"/>
      </w:rPr>
      <w:t xml:space="preserve"> de </w:t>
    </w:r>
    <w:r w:rsidRPr="00A42D3A">
      <w:rPr>
        <w:rFonts w:ascii="Palatino Linotype" w:hAnsi="Palatino Linotype"/>
        <w:b/>
        <w:bCs/>
        <w:color w:val="000000"/>
        <w:sz w:val="22"/>
      </w:rPr>
      <w:fldChar w:fldCharType="begin"/>
    </w:r>
    <w:r w:rsidRPr="00A42D3A">
      <w:rPr>
        <w:rFonts w:ascii="Palatino Linotype" w:hAnsi="Palatino Linotype"/>
        <w:b/>
        <w:bCs/>
        <w:color w:val="000000"/>
        <w:sz w:val="22"/>
      </w:rPr>
      <w:instrText>NUMPAGES</w:instrText>
    </w:r>
    <w:r w:rsidRPr="00A42D3A">
      <w:rPr>
        <w:rFonts w:ascii="Palatino Linotype" w:hAnsi="Palatino Linotype"/>
        <w:b/>
        <w:bCs/>
        <w:color w:val="000000"/>
        <w:sz w:val="22"/>
      </w:rPr>
      <w:fldChar w:fldCharType="separate"/>
    </w:r>
    <w:r w:rsidR="00583DC6">
      <w:rPr>
        <w:rFonts w:ascii="Palatino Linotype" w:hAnsi="Palatino Linotype"/>
        <w:b/>
        <w:bCs/>
        <w:noProof/>
        <w:color w:val="000000"/>
        <w:sz w:val="22"/>
      </w:rPr>
      <w:t>49</w:t>
    </w:r>
    <w:r w:rsidRPr="00A42D3A">
      <w:rPr>
        <w:rFonts w:ascii="Palatino Linotype" w:hAnsi="Palatino Linotype"/>
        <w:b/>
        <w:bCs/>
        <w:color w:val="000000"/>
        <w:sz w:val="22"/>
      </w:rPr>
      <w:fldChar w:fldCharType="end"/>
    </w:r>
  </w:p>
  <w:p w14:paraId="19C51F41" w14:textId="77777777" w:rsidR="00A42D3A" w:rsidRDefault="00A42D3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A04EA" w14:textId="77777777" w:rsidR="00750359" w:rsidRDefault="00750359">
      <w:r>
        <w:separator/>
      </w:r>
    </w:p>
  </w:footnote>
  <w:footnote w:type="continuationSeparator" w:id="0">
    <w:p w14:paraId="4F556CED" w14:textId="77777777" w:rsidR="00750359" w:rsidRDefault="00750359">
      <w:r>
        <w:continuationSeparator/>
      </w:r>
    </w:p>
  </w:footnote>
  <w:footnote w:id="1">
    <w:p w14:paraId="39B026D1" w14:textId="77777777" w:rsidR="00A42D3A" w:rsidRDefault="00A42D3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14:paraId="35CE0561" w14:textId="77777777" w:rsidR="00A42D3A" w:rsidRDefault="00A42D3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14:paraId="3BB131D4" w14:textId="77777777" w:rsidR="00A42D3A" w:rsidRDefault="00A42D3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 w:id="3">
    <w:p w14:paraId="17D178D2" w14:textId="77777777" w:rsidR="00A42D3A" w:rsidRDefault="00A42D3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14:paraId="5A14CBDB" w14:textId="77777777" w:rsidR="00A42D3A" w:rsidRDefault="00A42D3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14:paraId="6ADD79E8" w14:textId="77777777" w:rsidR="00A42D3A" w:rsidRDefault="00A42D3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 w:id="4">
    <w:p w14:paraId="4D9AA1F5" w14:textId="77777777" w:rsidR="00A42D3A" w:rsidRDefault="00A42D3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1">
        <w:r>
          <w:rPr>
            <w:rFonts w:ascii="Calibri" w:eastAsia="Calibri" w:hAnsi="Calibri" w:cs="Calibri"/>
            <w:color w:val="0000FF"/>
            <w:sz w:val="20"/>
            <w:szCs w:val="20"/>
            <w:u w:val="single"/>
          </w:rPr>
          <w:t>https://legislacion.edomex.gob.mx/sites/legislacion.edomex.gob.mx/files/files/pdf/ley/vig/leyvig083.pdf</w:t>
        </w:r>
      </w:hyperlink>
    </w:p>
    <w:p w14:paraId="40440467" w14:textId="77777777" w:rsidR="00A42D3A" w:rsidRDefault="00A42D3A">
      <w:pPr>
        <w:pBdr>
          <w:top w:val="nil"/>
          <w:left w:val="nil"/>
          <w:bottom w:val="nil"/>
          <w:right w:val="nil"/>
          <w:between w:val="nil"/>
        </w:pBdr>
        <w:rPr>
          <w:rFonts w:ascii="Calibri" w:eastAsia="Calibri" w:hAnsi="Calibri" w:cs="Calibri"/>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E8426" w14:textId="77777777" w:rsidR="00A42D3A" w:rsidRDefault="00A42D3A">
    <w:pPr>
      <w:pBdr>
        <w:top w:val="nil"/>
        <w:left w:val="nil"/>
        <w:bottom w:val="nil"/>
        <w:right w:val="nil"/>
        <w:between w:val="nil"/>
      </w:pBdr>
      <w:tabs>
        <w:tab w:val="center" w:pos="4419"/>
        <w:tab w:val="right" w:pos="8838"/>
      </w:tabs>
      <w:rPr>
        <w:color w:val="000000"/>
      </w:rPr>
    </w:pPr>
    <w:r>
      <w:rPr>
        <w:color w:val="000000"/>
      </w:rPr>
      <w:pict w14:anchorId="22F18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065" w:type="dxa"/>
      <w:tblInd w:w="0" w:type="dxa"/>
      <w:tblLayout w:type="fixed"/>
      <w:tblLook w:val="0400" w:firstRow="0" w:lastRow="0" w:firstColumn="0" w:lastColumn="0" w:noHBand="0" w:noVBand="1"/>
    </w:tblPr>
    <w:tblGrid>
      <w:gridCol w:w="2268"/>
      <w:gridCol w:w="7797"/>
    </w:tblGrid>
    <w:tr w:rsidR="00A42D3A" w14:paraId="4122C04E" w14:textId="77777777" w:rsidTr="00A42D3A">
      <w:trPr>
        <w:trHeight w:val="1435"/>
      </w:trPr>
      <w:tc>
        <w:tcPr>
          <w:tcW w:w="2268" w:type="dxa"/>
          <w:shd w:val="clear" w:color="auto" w:fill="auto"/>
        </w:tcPr>
        <w:p w14:paraId="09E9C7F2" w14:textId="77777777" w:rsidR="00A42D3A" w:rsidRDefault="00A42D3A">
          <w:pPr>
            <w:tabs>
              <w:tab w:val="right" w:pos="4273"/>
            </w:tabs>
            <w:rPr>
              <w:rFonts w:ascii="Garamond" w:eastAsia="Garamond" w:hAnsi="Garamond" w:cs="Garamond"/>
              <w:sz w:val="16"/>
              <w:szCs w:val="16"/>
            </w:rPr>
          </w:pPr>
        </w:p>
      </w:tc>
      <w:tc>
        <w:tcPr>
          <w:tcW w:w="7797" w:type="dxa"/>
          <w:shd w:val="clear" w:color="auto" w:fill="auto"/>
        </w:tcPr>
        <w:tbl>
          <w:tblPr>
            <w:tblStyle w:val="a2"/>
            <w:tblW w:w="6662" w:type="dxa"/>
            <w:tblInd w:w="1728" w:type="dxa"/>
            <w:tblLayout w:type="fixed"/>
            <w:tblLook w:val="0400" w:firstRow="0" w:lastRow="0" w:firstColumn="0" w:lastColumn="0" w:noHBand="0" w:noVBand="1"/>
          </w:tblPr>
          <w:tblGrid>
            <w:gridCol w:w="2551"/>
            <w:gridCol w:w="4111"/>
          </w:tblGrid>
          <w:tr w:rsidR="00A42D3A" w14:paraId="014207F1" w14:textId="77777777" w:rsidTr="00A42D3A">
            <w:trPr>
              <w:trHeight w:val="150"/>
            </w:trPr>
            <w:tc>
              <w:tcPr>
                <w:tcW w:w="2551" w:type="dxa"/>
                <w:shd w:val="clear" w:color="auto" w:fill="auto"/>
              </w:tcPr>
              <w:p w14:paraId="1A277215" w14:textId="77777777" w:rsidR="00A42D3A" w:rsidRDefault="00A42D3A">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11" w:type="dxa"/>
                <w:shd w:val="clear" w:color="auto" w:fill="auto"/>
              </w:tcPr>
              <w:p w14:paraId="76504A5F" w14:textId="77777777" w:rsidR="00A42D3A" w:rsidRDefault="00A42D3A">
                <w:pPr>
                  <w:tabs>
                    <w:tab w:val="right" w:pos="8838"/>
                  </w:tabs>
                  <w:ind w:left="-108" w:right="-109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08998/INFOEM/IP/RR/2025</w:t>
                </w:r>
                <w:r>
                  <w:rPr>
                    <w:rFonts w:ascii="Palatino Linotype" w:eastAsia="Palatino Linotype" w:hAnsi="Palatino Linotype" w:cs="Palatino Linotype"/>
                    <w:b/>
                    <w:bCs/>
                    <w:sz w:val="22"/>
                    <w:szCs w:val="22"/>
                  </w:rPr>
                  <w:t xml:space="preserve"> </w:t>
                </w:r>
              </w:p>
            </w:tc>
          </w:tr>
          <w:tr w:rsidR="00A42D3A" w14:paraId="6CF304E3" w14:textId="77777777" w:rsidTr="00A42D3A">
            <w:trPr>
              <w:trHeight w:val="295"/>
            </w:trPr>
            <w:tc>
              <w:tcPr>
                <w:tcW w:w="2551" w:type="dxa"/>
                <w:shd w:val="clear" w:color="auto" w:fill="auto"/>
              </w:tcPr>
              <w:p w14:paraId="5D374B8A" w14:textId="77777777" w:rsidR="00A42D3A" w:rsidRDefault="00A42D3A">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11" w:type="dxa"/>
                <w:shd w:val="clear" w:color="auto" w:fill="auto"/>
              </w:tcPr>
              <w:p w14:paraId="2D59E6AB" w14:textId="77777777" w:rsidR="00A42D3A" w:rsidRDefault="00A42D3A">
                <w:pPr>
                  <w:tabs>
                    <w:tab w:val="left" w:pos="2834"/>
                    <w:tab w:val="right" w:pos="8838"/>
                  </w:tabs>
                  <w:ind w:left="-108" w:right="-109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Toluca</w:t>
                </w:r>
              </w:p>
            </w:tc>
          </w:tr>
          <w:tr w:rsidR="00A42D3A" w14:paraId="4335B44C" w14:textId="77777777" w:rsidTr="00A42D3A">
            <w:trPr>
              <w:trHeight w:val="295"/>
            </w:trPr>
            <w:tc>
              <w:tcPr>
                <w:tcW w:w="2551" w:type="dxa"/>
                <w:shd w:val="clear" w:color="auto" w:fill="auto"/>
              </w:tcPr>
              <w:p w14:paraId="420F5F57" w14:textId="77777777" w:rsidR="00A42D3A" w:rsidRDefault="00A42D3A">
                <w:pPr>
                  <w:tabs>
                    <w:tab w:val="right" w:pos="8838"/>
                  </w:tabs>
                  <w:ind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11" w:type="dxa"/>
                <w:shd w:val="clear" w:color="auto" w:fill="auto"/>
              </w:tcPr>
              <w:p w14:paraId="62C97594" w14:textId="77777777" w:rsidR="00A42D3A" w:rsidRDefault="00A42D3A">
                <w:pPr>
                  <w:tabs>
                    <w:tab w:val="right" w:pos="8838"/>
                  </w:tabs>
                  <w:ind w:left="-108" w:right="-109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14:paraId="65B09AF6" w14:textId="77777777" w:rsidR="00A42D3A" w:rsidRDefault="00A42D3A">
                <w:pPr>
                  <w:tabs>
                    <w:tab w:val="right" w:pos="8838"/>
                  </w:tabs>
                  <w:ind w:left="-108" w:right="-1090"/>
                  <w:jc w:val="both"/>
                  <w:rPr>
                    <w:rFonts w:ascii="Palatino Linotype" w:eastAsia="Palatino Linotype" w:hAnsi="Palatino Linotype" w:cs="Palatino Linotype"/>
                    <w:b/>
                    <w:bCs/>
                    <w:sz w:val="22"/>
                    <w:szCs w:val="22"/>
                  </w:rPr>
                </w:pPr>
              </w:p>
            </w:tc>
          </w:tr>
        </w:tbl>
        <w:p w14:paraId="7E5294C8" w14:textId="77777777" w:rsidR="00A42D3A" w:rsidRDefault="00A42D3A">
          <w:pPr>
            <w:tabs>
              <w:tab w:val="right" w:pos="8838"/>
            </w:tabs>
            <w:ind w:left="-28"/>
            <w:jc w:val="both"/>
            <w:rPr>
              <w:rFonts w:ascii="Arial" w:eastAsia="Arial" w:hAnsi="Arial" w:cs="Arial"/>
              <w:b/>
              <w:bCs/>
              <w:sz w:val="22"/>
              <w:szCs w:val="22"/>
            </w:rPr>
          </w:pPr>
        </w:p>
      </w:tc>
    </w:tr>
  </w:tbl>
  <w:p w14:paraId="6D384FB8" w14:textId="77777777" w:rsidR="00A42D3A" w:rsidRDefault="00A42D3A">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26BD3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020" w:type="dxa"/>
      <w:tblInd w:w="0" w:type="dxa"/>
      <w:tblLayout w:type="fixed"/>
      <w:tblLook w:val="0400" w:firstRow="0" w:lastRow="0" w:firstColumn="0" w:lastColumn="0" w:noHBand="0" w:noVBand="1"/>
    </w:tblPr>
    <w:tblGrid>
      <w:gridCol w:w="2265"/>
      <w:gridCol w:w="7755"/>
    </w:tblGrid>
    <w:tr w:rsidR="00A42D3A" w14:paraId="567B58F8" w14:textId="77777777">
      <w:trPr>
        <w:trHeight w:val="1435"/>
      </w:trPr>
      <w:tc>
        <w:tcPr>
          <w:tcW w:w="2265" w:type="dxa"/>
          <w:shd w:val="clear" w:color="auto" w:fill="auto"/>
        </w:tcPr>
        <w:p w14:paraId="0BF76213" w14:textId="693EAA75" w:rsidR="00A42D3A" w:rsidRDefault="00A42D3A">
          <w:pPr>
            <w:tabs>
              <w:tab w:val="right" w:pos="4273"/>
            </w:tabs>
            <w:rPr>
              <w:rFonts w:ascii="Garamond" w:eastAsia="Garamond" w:hAnsi="Garamond" w:cs="Garamond"/>
              <w:sz w:val="22"/>
              <w:szCs w:val="22"/>
            </w:rPr>
          </w:pPr>
        </w:p>
      </w:tc>
      <w:tc>
        <w:tcPr>
          <w:tcW w:w="7755" w:type="dxa"/>
          <w:shd w:val="clear" w:color="auto" w:fill="auto"/>
        </w:tcPr>
        <w:tbl>
          <w:tblPr>
            <w:tblStyle w:val="a4"/>
            <w:tblW w:w="6946" w:type="dxa"/>
            <w:tblInd w:w="1164" w:type="dxa"/>
            <w:tblLayout w:type="fixed"/>
            <w:tblLook w:val="0400" w:firstRow="0" w:lastRow="0" w:firstColumn="0" w:lastColumn="0" w:noHBand="0" w:noVBand="1"/>
          </w:tblPr>
          <w:tblGrid>
            <w:gridCol w:w="2683"/>
            <w:gridCol w:w="4263"/>
          </w:tblGrid>
          <w:tr w:rsidR="00A42D3A" w14:paraId="21B228C0" w14:textId="77777777" w:rsidTr="00A42D3A">
            <w:trPr>
              <w:trHeight w:val="144"/>
            </w:trPr>
            <w:tc>
              <w:tcPr>
                <w:tcW w:w="2683" w:type="dxa"/>
                <w:shd w:val="clear" w:color="auto" w:fill="auto"/>
              </w:tcPr>
              <w:p w14:paraId="6486CFC3" w14:textId="77777777" w:rsidR="00A42D3A" w:rsidRPr="00A42D3A" w:rsidRDefault="00A42D3A">
                <w:pPr>
                  <w:tabs>
                    <w:tab w:val="right" w:pos="8838"/>
                  </w:tabs>
                  <w:ind w:left="-264" w:right="-105" w:firstLine="195"/>
                  <w:rPr>
                    <w:rFonts w:ascii="Palatino Linotype" w:eastAsia="Palatino Linotype" w:hAnsi="Palatino Linotype" w:cs="Palatino Linotype"/>
                    <w:b/>
                    <w:bCs/>
                    <w:szCs w:val="22"/>
                  </w:rPr>
                </w:pPr>
                <w:r w:rsidRPr="00A42D3A">
                  <w:rPr>
                    <w:rFonts w:ascii="Palatino Linotype" w:eastAsia="Palatino Linotype" w:hAnsi="Palatino Linotype" w:cs="Palatino Linotype"/>
                    <w:b/>
                    <w:bCs/>
                    <w:szCs w:val="22"/>
                  </w:rPr>
                  <w:t>Recurso de Revisión:</w:t>
                </w:r>
              </w:p>
            </w:tc>
            <w:tc>
              <w:tcPr>
                <w:tcW w:w="4263" w:type="dxa"/>
                <w:shd w:val="clear" w:color="auto" w:fill="auto"/>
              </w:tcPr>
              <w:p w14:paraId="22DD5FD5" w14:textId="77777777" w:rsidR="00A42D3A" w:rsidRPr="00A42D3A" w:rsidRDefault="00A42D3A">
                <w:pPr>
                  <w:tabs>
                    <w:tab w:val="right" w:pos="8838"/>
                  </w:tabs>
                  <w:ind w:left="-74" w:right="-1269"/>
                  <w:rPr>
                    <w:rFonts w:ascii="Palatino Linotype" w:eastAsia="Palatino Linotype" w:hAnsi="Palatino Linotype" w:cs="Palatino Linotype"/>
                    <w:szCs w:val="22"/>
                  </w:rPr>
                </w:pPr>
                <w:r w:rsidRPr="00A42D3A">
                  <w:rPr>
                    <w:rFonts w:ascii="Palatino Linotype" w:eastAsia="Palatino Linotype" w:hAnsi="Palatino Linotype" w:cs="Palatino Linotype"/>
                    <w:szCs w:val="22"/>
                  </w:rPr>
                  <w:t>08998/INFOEM/IP/RR/2025</w:t>
                </w:r>
              </w:p>
            </w:tc>
          </w:tr>
          <w:tr w:rsidR="00A42D3A" w14:paraId="0408CF89" w14:textId="77777777" w:rsidTr="00A42D3A">
            <w:trPr>
              <w:trHeight w:val="144"/>
            </w:trPr>
            <w:tc>
              <w:tcPr>
                <w:tcW w:w="2683" w:type="dxa"/>
                <w:shd w:val="clear" w:color="auto" w:fill="auto"/>
              </w:tcPr>
              <w:p w14:paraId="4AD21455" w14:textId="77777777" w:rsidR="00A42D3A" w:rsidRPr="00A42D3A" w:rsidRDefault="00A42D3A">
                <w:pPr>
                  <w:tabs>
                    <w:tab w:val="right" w:pos="8838"/>
                  </w:tabs>
                  <w:ind w:left="-74" w:right="-105"/>
                  <w:rPr>
                    <w:rFonts w:ascii="Palatino Linotype" w:eastAsia="Palatino Linotype" w:hAnsi="Palatino Linotype" w:cs="Palatino Linotype"/>
                    <w:b/>
                    <w:bCs/>
                    <w:szCs w:val="22"/>
                  </w:rPr>
                </w:pPr>
                <w:r w:rsidRPr="00A42D3A">
                  <w:rPr>
                    <w:rFonts w:ascii="Palatino Linotype" w:eastAsia="Palatino Linotype" w:hAnsi="Palatino Linotype" w:cs="Palatino Linotype"/>
                    <w:b/>
                    <w:bCs/>
                    <w:szCs w:val="22"/>
                  </w:rPr>
                  <w:t>Recurrente:</w:t>
                </w:r>
              </w:p>
            </w:tc>
            <w:tc>
              <w:tcPr>
                <w:tcW w:w="4263" w:type="dxa"/>
                <w:shd w:val="clear" w:color="auto" w:fill="auto"/>
              </w:tcPr>
              <w:p w14:paraId="7862DEC3" w14:textId="77777777" w:rsidR="00A42D3A" w:rsidRPr="00A42D3A" w:rsidRDefault="00A42D3A">
                <w:pPr>
                  <w:tabs>
                    <w:tab w:val="left" w:pos="3122"/>
                    <w:tab w:val="right" w:pos="8838"/>
                  </w:tabs>
                  <w:ind w:left="-74" w:right="-1269"/>
                  <w:rPr>
                    <w:rFonts w:ascii="Palatino Linotype" w:eastAsia="Palatino Linotype" w:hAnsi="Palatino Linotype" w:cs="Palatino Linotype"/>
                    <w:szCs w:val="22"/>
                  </w:rPr>
                </w:pPr>
                <w:r w:rsidRPr="00A42D3A">
                  <w:rPr>
                    <w:rFonts w:ascii="Palatino Linotype" w:eastAsia="Palatino Linotype" w:hAnsi="Palatino Linotype" w:cs="Palatino Linotype"/>
                    <w:b/>
                    <w:bCs/>
                    <w:szCs w:val="22"/>
                  </w:rPr>
                  <w:t> </w:t>
                </w:r>
              </w:p>
            </w:tc>
          </w:tr>
          <w:tr w:rsidR="00A42D3A" w14:paraId="07F654D9" w14:textId="77777777" w:rsidTr="00A42D3A">
            <w:trPr>
              <w:trHeight w:val="283"/>
            </w:trPr>
            <w:tc>
              <w:tcPr>
                <w:tcW w:w="2683" w:type="dxa"/>
                <w:shd w:val="clear" w:color="auto" w:fill="auto"/>
              </w:tcPr>
              <w:p w14:paraId="610E7570" w14:textId="77777777" w:rsidR="00A42D3A" w:rsidRPr="00A42D3A" w:rsidRDefault="00A42D3A">
                <w:pPr>
                  <w:tabs>
                    <w:tab w:val="right" w:pos="8838"/>
                  </w:tabs>
                  <w:ind w:left="-74" w:right="-105"/>
                  <w:rPr>
                    <w:rFonts w:ascii="Palatino Linotype" w:eastAsia="Palatino Linotype" w:hAnsi="Palatino Linotype" w:cs="Palatino Linotype"/>
                    <w:b/>
                    <w:bCs/>
                    <w:szCs w:val="22"/>
                  </w:rPr>
                </w:pPr>
                <w:r w:rsidRPr="00A42D3A">
                  <w:rPr>
                    <w:rFonts w:ascii="Palatino Linotype" w:eastAsia="Palatino Linotype" w:hAnsi="Palatino Linotype" w:cs="Palatino Linotype"/>
                    <w:b/>
                    <w:bCs/>
                    <w:szCs w:val="22"/>
                  </w:rPr>
                  <w:t>Sujeto Obligado:</w:t>
                </w:r>
              </w:p>
            </w:tc>
            <w:tc>
              <w:tcPr>
                <w:tcW w:w="4263" w:type="dxa"/>
                <w:shd w:val="clear" w:color="auto" w:fill="auto"/>
              </w:tcPr>
              <w:p w14:paraId="02BC2C26" w14:textId="77777777" w:rsidR="00A42D3A" w:rsidRPr="00A42D3A" w:rsidRDefault="00A42D3A">
                <w:pPr>
                  <w:tabs>
                    <w:tab w:val="left" w:pos="2834"/>
                    <w:tab w:val="right" w:pos="8838"/>
                  </w:tabs>
                  <w:ind w:left="-74" w:right="-1269"/>
                  <w:rPr>
                    <w:rFonts w:ascii="Palatino Linotype" w:eastAsia="Palatino Linotype" w:hAnsi="Palatino Linotype" w:cs="Palatino Linotype"/>
                    <w:szCs w:val="22"/>
                  </w:rPr>
                </w:pPr>
                <w:r w:rsidRPr="00A42D3A">
                  <w:rPr>
                    <w:rFonts w:ascii="Palatino Linotype" w:eastAsia="Palatino Linotype" w:hAnsi="Palatino Linotype" w:cs="Palatino Linotype"/>
                    <w:szCs w:val="22"/>
                  </w:rPr>
                  <w:t>Ayuntamiento de Toluca</w:t>
                </w:r>
              </w:p>
            </w:tc>
          </w:tr>
          <w:tr w:rsidR="00A42D3A" w14:paraId="32FA9672" w14:textId="77777777" w:rsidTr="00A42D3A">
            <w:trPr>
              <w:trHeight w:val="283"/>
            </w:trPr>
            <w:tc>
              <w:tcPr>
                <w:tcW w:w="2683" w:type="dxa"/>
                <w:shd w:val="clear" w:color="auto" w:fill="auto"/>
              </w:tcPr>
              <w:p w14:paraId="1021AE4D" w14:textId="77777777" w:rsidR="00A42D3A" w:rsidRPr="00A42D3A" w:rsidRDefault="00A42D3A">
                <w:pPr>
                  <w:tabs>
                    <w:tab w:val="right" w:pos="8838"/>
                  </w:tabs>
                  <w:ind w:left="-74" w:right="-105"/>
                  <w:rPr>
                    <w:rFonts w:ascii="Palatino Linotype" w:eastAsia="Palatino Linotype" w:hAnsi="Palatino Linotype" w:cs="Palatino Linotype"/>
                    <w:b/>
                    <w:bCs/>
                    <w:szCs w:val="22"/>
                  </w:rPr>
                </w:pPr>
                <w:r w:rsidRPr="00A42D3A">
                  <w:rPr>
                    <w:rFonts w:ascii="Palatino Linotype" w:eastAsia="Palatino Linotype" w:hAnsi="Palatino Linotype" w:cs="Palatino Linotype"/>
                    <w:b/>
                    <w:bCs/>
                    <w:szCs w:val="22"/>
                  </w:rPr>
                  <w:t>Comisionado ponente:</w:t>
                </w:r>
              </w:p>
            </w:tc>
            <w:tc>
              <w:tcPr>
                <w:tcW w:w="4263" w:type="dxa"/>
                <w:shd w:val="clear" w:color="auto" w:fill="auto"/>
              </w:tcPr>
              <w:p w14:paraId="7728838C" w14:textId="77777777" w:rsidR="00A42D3A" w:rsidRPr="00A42D3A" w:rsidRDefault="00A42D3A" w:rsidP="00A42D3A">
                <w:pPr>
                  <w:tabs>
                    <w:tab w:val="right" w:pos="8838"/>
                  </w:tabs>
                  <w:ind w:left="-74" w:right="445"/>
                  <w:rPr>
                    <w:rFonts w:ascii="Palatino Linotype" w:eastAsia="Palatino Linotype" w:hAnsi="Palatino Linotype" w:cs="Palatino Linotype"/>
                    <w:szCs w:val="22"/>
                  </w:rPr>
                </w:pPr>
                <w:r w:rsidRPr="00A42D3A">
                  <w:rPr>
                    <w:rFonts w:ascii="Palatino Linotype" w:eastAsia="Palatino Linotype" w:hAnsi="Palatino Linotype" w:cs="Palatino Linotype"/>
                    <w:szCs w:val="22"/>
                  </w:rPr>
                  <w:t>María del Rosario Mejía Ayala</w:t>
                </w:r>
              </w:p>
              <w:p w14:paraId="684B7CAB" w14:textId="77777777" w:rsidR="00A42D3A" w:rsidRPr="00A42D3A" w:rsidRDefault="00A42D3A">
                <w:pPr>
                  <w:tabs>
                    <w:tab w:val="right" w:pos="8838"/>
                  </w:tabs>
                  <w:ind w:left="-74" w:right="-1269"/>
                  <w:rPr>
                    <w:rFonts w:ascii="Palatino Linotype" w:eastAsia="Palatino Linotype" w:hAnsi="Palatino Linotype" w:cs="Palatino Linotype"/>
                    <w:b/>
                    <w:bCs/>
                    <w:szCs w:val="22"/>
                  </w:rPr>
                </w:pPr>
              </w:p>
            </w:tc>
          </w:tr>
        </w:tbl>
        <w:p w14:paraId="526A6396" w14:textId="77777777" w:rsidR="00A42D3A" w:rsidRDefault="00A42D3A">
          <w:pPr>
            <w:tabs>
              <w:tab w:val="right" w:pos="8838"/>
            </w:tabs>
            <w:ind w:left="-28"/>
            <w:jc w:val="both"/>
            <w:rPr>
              <w:rFonts w:ascii="Arial" w:eastAsia="Arial" w:hAnsi="Arial" w:cs="Arial"/>
              <w:b/>
              <w:bCs/>
              <w:sz w:val="22"/>
              <w:szCs w:val="22"/>
            </w:rPr>
          </w:pPr>
        </w:p>
      </w:tc>
    </w:tr>
  </w:tbl>
  <w:p w14:paraId="5510F603" w14:textId="241E3042" w:rsidR="00A42D3A" w:rsidRDefault="00A42D3A">
    <w:pPr>
      <w:pBdr>
        <w:top w:val="nil"/>
        <w:left w:val="nil"/>
        <w:bottom w:val="nil"/>
        <w:right w:val="nil"/>
        <w:between w:val="nil"/>
      </w:pBdr>
      <w:tabs>
        <w:tab w:val="center" w:pos="4419"/>
        <w:tab w:val="right" w:pos="8838"/>
      </w:tabs>
      <w:rPr>
        <w:color w:val="000000"/>
        <w:sz w:val="2"/>
        <w:szCs w:val="2"/>
      </w:rPr>
    </w:pPr>
    <w:r>
      <w:rPr>
        <w:color w:val="000000"/>
        <w:sz w:val="2"/>
        <w:szCs w:val="2"/>
      </w:rPr>
      <w:pict w14:anchorId="44B6F3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7.35pt;margin-top:-123.85pt;width:589.8pt;height:768pt;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314B4"/>
    <w:multiLevelType w:val="multilevel"/>
    <w:tmpl w:val="D34829D8"/>
    <w:lvl w:ilvl="0">
      <w:start w:val="1"/>
      <w:numFmt w:val="decimal"/>
      <w:lvlText w:val="%1."/>
      <w:lvlJc w:val="left"/>
      <w:pPr>
        <w:ind w:left="360" w:hanging="360"/>
      </w:pPr>
      <w:rPr>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E33338"/>
    <w:multiLevelType w:val="multilevel"/>
    <w:tmpl w:val="4B4CEFA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2E2842"/>
    <w:multiLevelType w:val="hybridMultilevel"/>
    <w:tmpl w:val="FBFC8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F47404"/>
    <w:multiLevelType w:val="multilevel"/>
    <w:tmpl w:val="1696B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381D6B"/>
    <w:multiLevelType w:val="multilevel"/>
    <w:tmpl w:val="81ECC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9D1049"/>
    <w:multiLevelType w:val="multilevel"/>
    <w:tmpl w:val="E0C21EB0"/>
    <w:lvl w:ilvl="0">
      <w:numFmt w:val="bullet"/>
      <w:lvlText w:val="-"/>
      <w:lvlJc w:val="left"/>
      <w:pPr>
        <w:ind w:left="720" w:hanging="360"/>
      </w:pPr>
      <w:rPr>
        <w:rFonts w:ascii="Palatino Linotype" w:eastAsia="Palatino Linotype" w:hAnsi="Palatino Linotype" w:cs="Palatino Linotype"/>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DB7312"/>
    <w:multiLevelType w:val="multilevel"/>
    <w:tmpl w:val="AEF4569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5102713A"/>
    <w:multiLevelType w:val="hybridMultilevel"/>
    <w:tmpl w:val="15EEC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2570CEF"/>
    <w:multiLevelType w:val="multilevel"/>
    <w:tmpl w:val="CF2A30C2"/>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55ED2C3A"/>
    <w:multiLevelType w:val="multilevel"/>
    <w:tmpl w:val="E7B0E20A"/>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590431D4"/>
    <w:multiLevelType w:val="multilevel"/>
    <w:tmpl w:val="B5CCFA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5D5E2DD6"/>
    <w:multiLevelType w:val="multilevel"/>
    <w:tmpl w:val="40EE6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A90B33"/>
    <w:multiLevelType w:val="multilevel"/>
    <w:tmpl w:val="AB2AE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DD95CB9"/>
    <w:multiLevelType w:val="multilevel"/>
    <w:tmpl w:val="DD72E26C"/>
    <w:lvl w:ilvl="0">
      <w:start w:val="1"/>
      <w:numFmt w:val="decimal"/>
      <w:lvlText w:val="%1."/>
      <w:lvlJc w:val="left"/>
      <w:pPr>
        <w:ind w:left="36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44E2D6B"/>
    <w:multiLevelType w:val="multilevel"/>
    <w:tmpl w:val="59F0A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9E0F72"/>
    <w:multiLevelType w:val="multilevel"/>
    <w:tmpl w:val="75BAC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4"/>
  </w:num>
  <w:num w:numId="3">
    <w:abstractNumId w:val="8"/>
  </w:num>
  <w:num w:numId="4">
    <w:abstractNumId w:val="15"/>
  </w:num>
  <w:num w:numId="5">
    <w:abstractNumId w:val="11"/>
  </w:num>
  <w:num w:numId="6">
    <w:abstractNumId w:val="0"/>
  </w:num>
  <w:num w:numId="7">
    <w:abstractNumId w:val="12"/>
  </w:num>
  <w:num w:numId="8">
    <w:abstractNumId w:val="9"/>
  </w:num>
  <w:num w:numId="9">
    <w:abstractNumId w:val="5"/>
  </w:num>
  <w:num w:numId="10">
    <w:abstractNumId w:val="10"/>
  </w:num>
  <w:num w:numId="11">
    <w:abstractNumId w:val="6"/>
  </w:num>
  <w:num w:numId="12">
    <w:abstractNumId w:val="3"/>
  </w:num>
  <w:num w:numId="13">
    <w:abstractNumId w:val="13"/>
  </w:num>
  <w:num w:numId="14">
    <w:abstractNumId w:val="2"/>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756"/>
    <w:rsid w:val="000A3D6C"/>
    <w:rsid w:val="00117C54"/>
    <w:rsid w:val="0012047A"/>
    <w:rsid w:val="00180799"/>
    <w:rsid w:val="001B409E"/>
    <w:rsid w:val="003737E6"/>
    <w:rsid w:val="00413756"/>
    <w:rsid w:val="00583DC6"/>
    <w:rsid w:val="006233AC"/>
    <w:rsid w:val="00750359"/>
    <w:rsid w:val="00A42D3A"/>
    <w:rsid w:val="00A856A4"/>
    <w:rsid w:val="00AE0B9F"/>
    <w:rsid w:val="00C4015C"/>
    <w:rsid w:val="00CD2D32"/>
    <w:rsid w:val="00D17175"/>
    <w:rsid w:val="00F049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CAC746"/>
  <w15:docId w15:val="{1F4F1CF7-0AF8-4C22-928E-EF4B9BB99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40"/>
      <w:outlineLvl w:val="2"/>
    </w:pPr>
    <w:rPr>
      <w:rFonts w:ascii="Calibri" w:eastAsia="Calibri" w:hAnsi="Calibri" w:cs="Calibri"/>
      <w:color w:val="1E4D7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9E6A14"/>
    <w:rPr>
      <w:rFonts w:asciiTheme="majorHAnsi" w:eastAsiaTheme="majorEastAsia" w:hAnsiTheme="majorHAnsi" w:cstheme="majorBidi"/>
      <w:color w:val="2E74B5" w:themeColor="accent1" w:themeShade="BF"/>
      <w:sz w:val="32"/>
      <w:szCs w:val="32"/>
      <w:lang w:val="es-ES" w:eastAsia="es-ES"/>
    </w:rPr>
  </w:style>
  <w:style w:type="character" w:styleId="Hipervnculo">
    <w:name w:val="Hyperlink"/>
    <w:basedOn w:val="Fuentedeprrafopredeter"/>
    <w:uiPriority w:val="99"/>
    <w:unhideWhenUsed/>
    <w:rsid w:val="009E6A14"/>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E6A1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E6A14"/>
    <w:rPr>
      <w:rFonts w:ascii="Times New Roman" w:eastAsia="Times New Roman" w:hAnsi="Times New Roman" w:cs="Times New Roman"/>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E6A1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9E6A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9E6A14"/>
    <w:rPr>
      <w:vertAlign w:val="superscript"/>
    </w:rPr>
  </w:style>
  <w:style w:type="paragraph" w:styleId="Piedepgina">
    <w:name w:val="footer"/>
    <w:basedOn w:val="Normal"/>
    <w:link w:val="PiedepginaCar"/>
    <w:uiPriority w:val="99"/>
    <w:unhideWhenUsed/>
    <w:rsid w:val="009E6A14"/>
    <w:pPr>
      <w:tabs>
        <w:tab w:val="center" w:pos="4419"/>
        <w:tab w:val="right" w:pos="8838"/>
      </w:tabs>
    </w:pPr>
  </w:style>
  <w:style w:type="character" w:customStyle="1" w:styleId="PiedepginaCar">
    <w:name w:val="Pie de página Car"/>
    <w:basedOn w:val="Fuentedeprrafopredeter"/>
    <w:link w:val="Piedepgina"/>
    <w:uiPriority w:val="99"/>
    <w:rsid w:val="009E6A14"/>
    <w:rPr>
      <w:rFonts w:ascii="Times New Roman" w:eastAsia="Times New Roman" w:hAnsi="Times New Roman" w:cs="Times New Roman"/>
      <w:sz w:val="24"/>
      <w:szCs w:val="24"/>
      <w:lang w:eastAsia="es-MX"/>
    </w:rPr>
  </w:style>
  <w:style w:type="character" w:customStyle="1" w:styleId="Ttulo3Car">
    <w:name w:val="Título 3 Car"/>
    <w:basedOn w:val="Fuentedeprrafopredeter"/>
    <w:uiPriority w:val="9"/>
    <w:rsid w:val="00C00265"/>
    <w:rPr>
      <w:rFonts w:asciiTheme="majorHAnsi" w:eastAsiaTheme="majorEastAsia" w:hAnsiTheme="majorHAnsi" w:cstheme="majorBidi"/>
      <w:color w:val="1F4D78" w:themeColor="accent1" w:themeShade="7F"/>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2493081.page" TargetMode="External"/><Relationship Id="rId13" Type="http://schemas.openxmlformats.org/officeDocument/2006/relationships/hyperlink" Target="http://dof.gob.mx/nota_detalle.php?codigo=5492254&amp;fecha=28/07/2017"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2530520.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2530519.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0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iZyyW4wJzSXSOlV1h6QQO4HZ3A==">CgMxLjAyCGguZ2pkZ3hzMgloLjFmb2I5dGUyCWguM3pueXNoNzIJaC4yZXQ5MnAwMgloLjNkeTZ2a20yCWguNGQzNG9nODIOaC55Y3dyNXJjcmZqYTcyCWguMnM4ZXlvMTIJaC4zNW5rdW4yMgloLjFrc3Y0dXYyCWguNDRzaW5pbzIJaC4yNmluMXJnMg5oLjZveGJqNmw4aTQwYzgAciExZ0IyQkhjZDg5TWlaNnFCRzVYRVhad25NYk5RekdvSG8=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49</Pages>
  <Words>11837</Words>
  <Characters>65108</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9</cp:revision>
  <cp:lastPrinted>2026-03-12T23:16:00Z</cp:lastPrinted>
  <dcterms:created xsi:type="dcterms:W3CDTF">2026-03-09T18:22:00Z</dcterms:created>
  <dcterms:modified xsi:type="dcterms:W3CDTF">2026-03-19T18:13:00Z</dcterms:modified>
</cp:coreProperties>
</file>