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971" w:rsidRDefault="00601C2E">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Resolución del Pleno del Instituto de Transparencia</w:t>
      </w:r>
      <w:bookmarkStart w:id="0" w:name="_GoBack"/>
      <w:bookmarkEnd w:id="0"/>
      <w:r>
        <w:rPr>
          <w:rFonts w:ascii="Palatino Linotype" w:eastAsia="Palatino Linotype" w:hAnsi="Palatino Linotype" w:cs="Palatino Linotype"/>
          <w:color w:val="000000"/>
        </w:rPr>
        <w:t xml:space="preserve">, Acceso a la Información Pública y Protección de Datos Personales del Estado de México y Municipios, con domicilio en Metepec, Estado de México; de fecha </w:t>
      </w:r>
      <w:r w:rsidR="002309CF">
        <w:rPr>
          <w:rFonts w:ascii="Palatino Linotype" w:eastAsia="Palatino Linotype" w:hAnsi="Palatino Linotype" w:cs="Palatino Linotype"/>
          <w:b/>
          <w:bCs/>
          <w:color w:val="000000"/>
        </w:rPr>
        <w:t>veintisiete</w:t>
      </w:r>
      <w:r w:rsidR="00A96CA6">
        <w:rPr>
          <w:rFonts w:ascii="Palatino Linotype" w:eastAsia="Palatino Linotype" w:hAnsi="Palatino Linotype" w:cs="Palatino Linotype"/>
          <w:b/>
          <w:bCs/>
          <w:color w:val="000000"/>
        </w:rPr>
        <w:t xml:space="preserve"> (27)</w:t>
      </w:r>
      <w:r w:rsidR="002309CF">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rPr>
        <w:t>de mayo de dos mil veintiséis.</w:t>
      </w:r>
    </w:p>
    <w:p w:rsidR="003B3971" w:rsidRPr="00A96CA6"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b/>
          <w:color w:val="000000"/>
        </w:rPr>
      </w:pPr>
    </w:p>
    <w:p w:rsidR="003B3971" w:rsidRDefault="00601C2E">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bookmarkStart w:id="1" w:name="_heading=h.qxioaea3dm5i" w:colFirst="0" w:colLast="0"/>
      <w:bookmarkEnd w:id="1"/>
      <w:r w:rsidRPr="00A96CA6">
        <w:rPr>
          <w:rFonts w:ascii="Palatino Linotype" w:eastAsia="Palatino Linotype" w:hAnsi="Palatino Linotype" w:cs="Palatino Linotype"/>
          <w:b/>
          <w:color w:val="000000"/>
        </w:rPr>
        <w:t>VISTO</w:t>
      </w:r>
      <w:r>
        <w:rPr>
          <w:rFonts w:ascii="Palatino Linotype" w:eastAsia="Palatino Linotype" w:hAnsi="Palatino Linotype" w:cs="Palatino Linotype"/>
          <w:color w:val="000000"/>
        </w:rPr>
        <w:t xml:space="preserve"> el expediente electrónico formado con motivo del Recursos de Revisión </w:t>
      </w:r>
      <w:r>
        <w:rPr>
          <w:rFonts w:ascii="Palatino Linotype" w:eastAsia="Palatino Linotype" w:hAnsi="Palatino Linotype" w:cs="Palatino Linotype"/>
          <w:b/>
          <w:bCs/>
          <w:color w:val="000000"/>
        </w:rPr>
        <w:t xml:space="preserve">13808/INFOEM/IP/RR/2025 </w:t>
      </w:r>
      <w:r>
        <w:rPr>
          <w:rFonts w:ascii="Palatino Linotype" w:eastAsia="Palatino Linotype" w:hAnsi="Palatino Linotype" w:cs="Palatino Linotype"/>
          <w:color w:val="000000"/>
        </w:rPr>
        <w:t xml:space="preserve">promovido por </w:t>
      </w:r>
      <w:r>
        <w:rPr>
          <w:rFonts w:ascii="Palatino Linotype" w:eastAsia="Palatino Linotype" w:hAnsi="Palatino Linotype" w:cs="Palatino Linotype"/>
          <w:b/>
          <w:bCs/>
          <w:color w:val="000000"/>
        </w:rPr>
        <w:t>una persona que no proporcion</w:t>
      </w:r>
      <w:r>
        <w:rPr>
          <w:rFonts w:ascii="Palatino Linotype" w:eastAsia="Palatino Linotype" w:hAnsi="Palatino Linotype" w:cs="Palatino Linotype"/>
          <w:b/>
          <w:bCs/>
        </w:rPr>
        <w:t>a</w:t>
      </w:r>
      <w:r>
        <w:rPr>
          <w:rFonts w:ascii="Palatino Linotype" w:eastAsia="Palatino Linotype" w:hAnsi="Palatino Linotype" w:cs="Palatino Linotype"/>
          <w:b/>
          <w:bCs/>
          <w:color w:val="000000"/>
        </w:rPr>
        <w:t xml:space="preserve"> datos de identificación</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Sistema Municipal Para el Desarrollo Integral de la Familia de Tianguistenco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3B3971" w:rsidRDefault="00601C2E">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3B3971" w:rsidRDefault="003B3971">
      <w:pPr>
        <w:spacing w:line="360" w:lineRule="auto"/>
        <w:ind w:right="-929"/>
        <w:rPr>
          <w:rFonts w:ascii="Palatino Linotype" w:eastAsia="Palatino Linotype" w:hAnsi="Palatino Linotype" w:cs="Palatino Linotype"/>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once de noviembre de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solicitud de información pública registrada con el número </w:t>
      </w:r>
      <w:r w:rsidRPr="002309CF">
        <w:rPr>
          <w:rFonts w:ascii="Palatino Linotype" w:eastAsia="Palatino Linotype" w:hAnsi="Palatino Linotype" w:cs="Palatino Linotype"/>
          <w:b/>
          <w:bCs/>
          <w:color w:val="000000" w:themeColor="text1"/>
          <w:u w:val="single"/>
        </w:rPr>
        <w:t>00029/DIFTIANGUI/IP/2025</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 xml:space="preserve"> se pretende acceder a la siguiente información:</w:t>
      </w:r>
    </w:p>
    <w:p w:rsidR="003B3971" w:rsidRDefault="003B3971">
      <w:pPr>
        <w:ind w:right="-929"/>
        <w:jc w:val="both"/>
        <w:rPr>
          <w:rFonts w:ascii="Palatino Linotype" w:eastAsia="Palatino Linotype" w:hAnsi="Palatino Linotype" w:cs="Palatino Linotype"/>
          <w:i/>
          <w:iCs/>
        </w:rPr>
      </w:pP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“solicito todos los informes mensuales, bimestrales y/o anuales que las áreas administrativas de este dif envían a la UIPPE, en este año 2025, y no me salgan de nuevo que requieren una aclaración de información, como en la solicitud numero 00028/DIFTIANGUI/IP/2025, la solicitud que estoy realizando es más que clara, y ahora también requiero todos los oficios enviados y recibidos de todas las áreas administrativas que integran este dif municipal, de los años 2024 y 2025, así también quiero que se me proporcione el recibo de nomina de todos los servidores públicos adscritos a este dif municipal de la quincena del 16 al 31 de octubre del presente año, también requiero el </w:t>
      </w:r>
      <w:r>
        <w:rPr>
          <w:rFonts w:ascii="Palatino Linotype" w:eastAsia="Palatino Linotype" w:hAnsi="Palatino Linotype" w:cs="Palatino Linotype"/>
          <w:i/>
          <w:iCs/>
          <w:color w:val="000000"/>
        </w:rPr>
        <w:lastRenderedPageBreak/>
        <w:t>nombre de todas las personas que han sido beneficiarias de todos los apoyos que ha otorgado este dif en este año 2025, requiero de la presidencia y dirección de este dif me proporcionen sus manuales de procedimientos, manuales generales y su reglamento interno de esta administración..”</w:t>
      </w:r>
    </w:p>
    <w:p w:rsidR="003B3971" w:rsidRDefault="003B3971">
      <w:pPr>
        <w:pBdr>
          <w:top w:val="nil"/>
          <w:left w:val="nil"/>
          <w:bottom w:val="nil"/>
          <w:right w:val="nil"/>
          <w:between w:val="nil"/>
        </w:pBdr>
        <w:ind w:left="1134" w:right="-929"/>
        <w:jc w:val="both"/>
        <w:rPr>
          <w:rFonts w:ascii="Palatino Linotype" w:eastAsia="Palatino Linotype" w:hAnsi="Palatino Linotype" w:cs="Palatino Linotype"/>
          <w:i/>
          <w:iCs/>
          <w:color w:val="000000"/>
        </w:rPr>
      </w:pPr>
    </w:p>
    <w:p w:rsidR="003B3971" w:rsidRDefault="00601C2E">
      <w:pPr>
        <w:numPr>
          <w:ilvl w:val="0"/>
          <w:numId w:val="1"/>
        </w:numPr>
        <w:pBdr>
          <w:top w:val="nil"/>
          <w:left w:val="nil"/>
          <w:bottom w:val="nil"/>
          <w:right w:val="nil"/>
          <w:between w:val="nil"/>
        </w:pBdr>
        <w:spacing w:line="360" w:lineRule="auto"/>
        <w:ind w:left="709" w:right="-92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Modalidad de entrega</w:t>
      </w:r>
      <w:r>
        <w:rPr>
          <w:rFonts w:ascii="Palatino Linotype" w:eastAsia="Palatino Linotype" w:hAnsi="Palatino Linotype" w:cs="Palatino Linotype"/>
          <w:color w:val="000000"/>
        </w:rPr>
        <w:t xml:space="preserve">: Sistema de Acceso a la Información </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tres de diciembre de dos mil veinticinco,</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dio respuesta a la solicitud de información mediante los siguientes archivos electrónicos, cuyo contenido grosso modo es el siguiente.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 Recibidos 2025 jul - nov UIPPE.pdf: </w:t>
      </w:r>
      <w:r>
        <w:rPr>
          <w:rFonts w:ascii="Palatino Linotype" w:eastAsia="Palatino Linotype" w:hAnsi="Palatino Linotype" w:cs="Palatino Linotype"/>
          <w:i/>
          <w:iCs/>
        </w:rPr>
        <w:t xml:space="preserve">oficios recibidos en la Unidad de Información, Planeación, Programación y Evaluación del Sistema Municipal Para el Desarrollo Integral de la Familia, del mes de junio a noviembre de dos mil veinticinco, </w:t>
      </w:r>
      <w:r>
        <w:rPr>
          <w:rFonts w:ascii="Palatino Linotype" w:eastAsia="Palatino Linotype" w:hAnsi="Palatino Linotype" w:cs="Palatino Linotype"/>
          <w:b/>
          <w:bCs/>
          <w:i/>
          <w:iCs/>
        </w:rPr>
        <w:t>faltando información del cinco al once de noviembre de dos mil veinticinco.</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 9.zip: </w:t>
      </w:r>
      <w:r>
        <w:rPr>
          <w:rFonts w:ascii="Palatino Linotype" w:eastAsia="Palatino Linotype" w:hAnsi="Palatino Linotype" w:cs="Palatino Linotype"/>
          <w:i/>
          <w:iCs/>
        </w:rPr>
        <w:t>oficios de la Coordinación de Prevención  y Bienestar, del enero a octubre de dos mil veinticinco, de los cuales hacen faltan los folios36 001, 002 y 003, 0063, 0071, 0089, 0094, 118, 119, 124, 158, 161, 162, así como el mes de noviembre.</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anexo 5.zip: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0OFICIOS EMITIDOS DIRECCION.pdf: </w:t>
      </w:r>
      <w:r>
        <w:rPr>
          <w:rFonts w:ascii="Palatino Linotype" w:eastAsia="Palatino Linotype" w:hAnsi="Palatino Linotype" w:cs="Palatino Linotype"/>
          <w:i/>
          <w:iCs/>
        </w:rPr>
        <w:t xml:space="preserve">oficios emitidos del Director General del Sistema Municipal Para el Desarrollo Integral de la Familia de Tianguistenco, que inician en el mes de marzo , faltando los folios del 57 al 96, del 98 al 107, del 109 al 257, así como folios del  al siete, en la revisión de oficios se observa que se clasificaron datos de placas, número de series de  vehículos, nombre de servidores públicos y nombre de insitutuciones situación por la cual deberán de ser ordenador en correcta versión, pública, así mismo no se observan oficios del periodo 2024.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OFICIOS ENVIADOS 25.pdf: </w:t>
      </w:r>
      <w:r>
        <w:rPr>
          <w:rFonts w:ascii="Palatino Linotype" w:eastAsia="Palatino Linotype" w:hAnsi="Palatino Linotype" w:cs="Palatino Linotype"/>
          <w:i/>
          <w:iCs/>
        </w:rPr>
        <w:t>oficios emitidos por el Procurador del DIF Municipal, que inician en el mes de noviembre de 2025, faltando folios del 123 al 126, del 109 al 117, del 102 al 114, del 63 al 79, del 42 al 66.</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revisión de los oficios se tiene que se clasifican datos como números de oficio, costos de recuperación por servicio, situación por la cual deberán de ordenados en correcta versión pública.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OFICIOS ENVIADOS 2024.pdf0029 dif recursos humanos.pdf: </w:t>
      </w:r>
      <w:r>
        <w:rPr>
          <w:rFonts w:ascii="Palatino Linotype" w:eastAsia="Palatino Linotype" w:hAnsi="Palatino Linotype" w:cs="Palatino Linotype"/>
          <w:i/>
          <w:iCs/>
        </w:rPr>
        <w:t>oficios que inician en el mes de noviembre de dos mil veinticuatro, haciendo falta del folio 44 al 66, faltando los meses de febrero y marzo, abril, octubre.</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revisión de los oficios se tiene que se clasifican datos como costos de recuperación por servicio, nombres de programas, situación por la cual deberán de ordenados en correcta versión pública.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Así mismo se debieron de clasificar confidencial en su totalidad actas de nacimiento e identificaciones oficiales.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 3.zip: </w:t>
      </w:r>
      <w:r>
        <w:rPr>
          <w:rFonts w:ascii="Palatino Linotype" w:eastAsia="Palatino Linotype" w:hAnsi="Palatino Linotype" w:cs="Palatino Linotype"/>
          <w:i/>
          <w:iCs/>
        </w:rPr>
        <w:t xml:space="preserve">documento que contiene el Oficio de la Coordinadora de la Unidad de Rehabilitación e Integración Social, mediante el cual informa que anexa los informes mensuales que ha enviado a la UIPPE, así como los oficios solicitados.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Documento que contiene oficios recibidos en el mes de agosto, junio, julio, mayo, febrero, enero, octubre, septiembre, de los cuales se observa que los días de los meses no se encuentran completos</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anexo 1.rar</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0029dif recuros humanos.pdf: </w:t>
      </w:r>
      <w:r>
        <w:rPr>
          <w:rFonts w:ascii="Palatino Linotype" w:eastAsia="Palatino Linotype" w:hAnsi="Palatino Linotype" w:cs="Palatino Linotype"/>
          <w:i/>
          <w:iCs/>
        </w:rPr>
        <w:t xml:space="preserve">oficio del Coordinador de Recursos Humanos, mediante el cual informa que remite los oficios del 2025, del 2024 refiere que no existía el área, toda vez que las funciones las tenía tesorería.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El archivo contiene los recibos de nómina de los cuales se observa que se clasifican las cadenas y sellos digitales, datos que por su naturaleza no contienen datos confidenciales, el archivo también contiene recibos de nómina cortados.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El archivo contiene oficios del dos mil veinticinco que inician en el mes de enero de 2025 que llegan al mes de noviembre, </w:t>
      </w:r>
      <w:r>
        <w:rPr>
          <w:rFonts w:ascii="Palatino Linotype" w:eastAsia="Palatino Linotype" w:hAnsi="Palatino Linotype" w:cs="Palatino Linotype"/>
          <w:b/>
          <w:bCs/>
          <w:i/>
          <w:iCs/>
        </w:rPr>
        <w:t xml:space="preserve">de la revisión de los oficios se observa que se clasifican datos de vehículos como placas y número de serie, vehículo, marca y color.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documento contiene oficios de diversas áreas del Sistema Municipal, que remitieron oficios a la Coordinación de Recursos Humanos durante el 2025 como la autoridad, del mes de agosto del día diecinueve, del veintiséis de febrero, del catorce de enero, del ocho, veinte y veintitrés de octubre, del treinta de septiembre, uno, veinticinco de septiembre, de lo cual se observa que los oficios recibidos no se encuentran completos en los meses, situación por la cual serán ordenados con salvedad.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anexo 7.zip: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OFICIOS RECIBIDOS INNOVACION.pdf: </w:t>
      </w:r>
      <w:r>
        <w:rPr>
          <w:rFonts w:ascii="Palatino Linotype" w:eastAsia="Palatino Linotype" w:hAnsi="Palatino Linotype" w:cs="Palatino Linotype"/>
          <w:i/>
          <w:iCs/>
        </w:rPr>
        <w:t xml:space="preserve">oficios recibidos en la Coordinación de Innovación y Habilidades en el 2025, de los cuales hace falta </w:t>
      </w:r>
      <w:r>
        <w:rPr>
          <w:rFonts w:ascii="Palatino Linotype" w:eastAsia="Palatino Linotype" w:hAnsi="Palatino Linotype" w:cs="Palatino Linotype"/>
          <w:b/>
          <w:bCs/>
          <w:i/>
          <w:iCs/>
        </w:rPr>
        <w:t xml:space="preserve">entrega del mes de noviembre.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Oficios Recibidos-2024-comprimido....pdf: </w:t>
      </w:r>
      <w:r>
        <w:rPr>
          <w:rFonts w:ascii="Palatino Linotype" w:eastAsia="Palatino Linotype" w:hAnsi="Palatino Linotype" w:cs="Palatino Linotype"/>
          <w:i/>
          <w:iCs/>
        </w:rPr>
        <w:t xml:space="preserve">oficios recibidos en la Coordinación de Innovación y Habilidades en el 2024, de los cuales hace falta </w:t>
      </w:r>
      <w:r>
        <w:rPr>
          <w:rFonts w:ascii="Palatino Linotype" w:eastAsia="Palatino Linotype" w:hAnsi="Palatino Linotype" w:cs="Palatino Linotype"/>
          <w:b/>
          <w:bCs/>
          <w:i/>
          <w:iCs/>
        </w:rPr>
        <w:t xml:space="preserve">entrega del mes de noviembre y diciembre.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oficos enviados 2024-comprimido.pdf: </w:t>
      </w:r>
      <w:r>
        <w:rPr>
          <w:rFonts w:ascii="Palatino Linotype" w:eastAsia="Palatino Linotype" w:hAnsi="Palatino Linotype" w:cs="Palatino Linotype"/>
          <w:i/>
          <w:iCs/>
        </w:rPr>
        <w:t xml:space="preserve">oficios enviados por la Coordinación de Innovación y Habilidades en el 2024, de los cuales hace falta de manera enunciativa más no limitativa el folio 14, del 16 al 18, del 27 al 31, del 33al 34, 36 al 37, 42 al 43, del 46 al 49, 53, del 55 al 58l del 62 al 67, 70, 74, 77 al 79.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No se entregan oficios enviados en el dos mil veinticinco.</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 Recibidos 2025 ene - jun UIPPE.pdf: </w:t>
      </w:r>
      <w:r>
        <w:rPr>
          <w:rFonts w:ascii="Palatino Linotype" w:eastAsia="Palatino Linotype" w:hAnsi="Palatino Linotype" w:cs="Palatino Linotype"/>
          <w:i/>
          <w:iCs/>
        </w:rPr>
        <w:t xml:space="preserve">oficios recibidos en la Unidad de Información, Planeación, Programación y Evaluación del Sistema Municipal Para el Desarrollo Integral de la Familia, </w:t>
      </w:r>
      <w:r>
        <w:rPr>
          <w:rFonts w:ascii="Palatino Linotype" w:eastAsia="Palatino Linotype" w:hAnsi="Palatino Linotype" w:cs="Palatino Linotype"/>
          <w:b/>
          <w:bCs/>
          <w:i/>
          <w:iCs/>
        </w:rPr>
        <w:t>de enero a mayo de dos mil veinticinco.</w:t>
      </w:r>
      <w:r>
        <w:rPr>
          <w:rFonts w:ascii="Palatino Linotype" w:eastAsia="Palatino Linotype" w:hAnsi="Palatino Linotype" w:cs="Palatino Linotype"/>
          <w:i/>
          <w:iCs/>
        </w:rPr>
        <w:t xml:space="preserv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 4.zip: </w:t>
      </w:r>
      <w:r>
        <w:rPr>
          <w:rFonts w:ascii="Palatino Linotype" w:eastAsia="Palatino Linotype" w:hAnsi="Palatino Linotype" w:cs="Palatino Linotype"/>
          <w:i/>
          <w:iCs/>
        </w:rPr>
        <w:t xml:space="preserve">carpeta zip que contiene oficios emitidos por la Coordinación del Adulto Mayor, de los cuales se observa que los folios se encuentran incompletos, faltando de manera enunciativa más no limitativa del 6 al 8 del 11 al 13 , del  16, del 18 al 31, del 33 al 141, de la revisión de la información se observa que hacen faltas meses como noviembre 2025, febrero y octubre, así mismo, se observa que los folios se saltan mucho.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anexo 2.zip</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2024-2.pdf: </w:t>
      </w:r>
      <w:r>
        <w:rPr>
          <w:rFonts w:ascii="Palatino Linotype" w:eastAsia="Palatino Linotype" w:hAnsi="Palatino Linotype" w:cs="Palatino Linotype"/>
          <w:i/>
          <w:iCs/>
        </w:rPr>
        <w:t xml:space="preserve">oficios recibidos en la Coordinación de URIS de </w:t>
      </w:r>
      <w:r>
        <w:rPr>
          <w:rFonts w:ascii="Palatino Linotype" w:eastAsia="Palatino Linotype" w:hAnsi="Palatino Linotype" w:cs="Palatino Linotype"/>
          <w:b/>
          <w:bCs/>
          <w:i/>
          <w:iCs/>
        </w:rPr>
        <w:t xml:space="preserve">enero a mayo de dos mil veinticinco.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Faltando de junio a noviembre de dos mil veinticinco.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20251120112830863.pdf: </w:t>
      </w:r>
      <w:r>
        <w:rPr>
          <w:rFonts w:ascii="Palatino Linotype" w:eastAsia="Palatino Linotype" w:hAnsi="Palatino Linotype" w:cs="Palatino Linotype"/>
          <w:i/>
          <w:iCs/>
        </w:rPr>
        <w:t xml:space="preserve">oficios emitidos en la Coordinación de URIS en 2024, faltando de manera enunciativa los siguientes folios del 33 al 66, llegando </w:t>
      </w:r>
      <w:r>
        <w:rPr>
          <w:rFonts w:ascii="Palatino Linotype" w:eastAsia="Palatino Linotype" w:hAnsi="Palatino Linotype" w:cs="Palatino Linotype"/>
          <w:b/>
          <w:bCs/>
          <w:i/>
          <w:iCs/>
        </w:rPr>
        <w:t>hasta el mes de octubre, faltando noviembre y diciembre de 2024.</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20251124163028613.pdf: </w:t>
      </w:r>
      <w:r>
        <w:rPr>
          <w:rFonts w:ascii="Palatino Linotype" w:eastAsia="Palatino Linotype" w:hAnsi="Palatino Linotype" w:cs="Palatino Linotype"/>
          <w:i/>
          <w:iCs/>
        </w:rPr>
        <w:t xml:space="preserve">oficios emitidos en la Coordinación de URIS 2025, de su revisión se observa que se tiene que ordenar en versión pública correcta toda vez que se testan nombres de servidores públicos, hace falta el folio 94, se clasifican datos de oficios que no se tiene la certeza del contenido, al no remitirse el Acta del Comité de Transparencia que sustente la versión pública, faltando oficios del mes de noviembre de dos mil veinticinco.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anexo8.zip: </w:t>
      </w:r>
      <w:r>
        <w:rPr>
          <w:rFonts w:ascii="Palatino Linotype" w:eastAsia="Palatino Linotype" w:hAnsi="Palatino Linotype" w:cs="Palatino Linotype"/>
          <w:i/>
          <w:iCs/>
        </w:rPr>
        <w:t xml:space="preserve">carpeta que contiene reportes mensuales.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anexo 6.zip: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OFICIOS RECIBIDOS 25.pdf: </w:t>
      </w:r>
      <w:r>
        <w:rPr>
          <w:rFonts w:ascii="Palatino Linotype" w:eastAsia="Palatino Linotype" w:hAnsi="Palatino Linotype" w:cs="Palatino Linotype"/>
          <w:i/>
          <w:iCs/>
        </w:rPr>
        <w:t>oficios recibidos en la Procuraduría en los cuales se clasifican números de folios, se clasifican montos de pago de los servicios que proporciona el DIF Y nombre y domicilios de particulares.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OFICIOS RECIBIDOS 2024.pdf: </w:t>
      </w:r>
      <w:r>
        <w:rPr>
          <w:rFonts w:ascii="Palatino Linotype" w:eastAsia="Palatino Linotype" w:hAnsi="Palatino Linotype" w:cs="Palatino Linotype"/>
          <w:i/>
          <w:iCs/>
        </w:rPr>
        <w:t xml:space="preserve">oficios recibidos en la Procuraduría en los cuales se clasifican números de folios, se clasifican montos de pago de los servicios que proporciona el DIF Y nombre y domicilios de particulares.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OFICIOS RECIBIDOS INNOVACION.pdf: </w:t>
      </w:r>
      <w:r>
        <w:rPr>
          <w:rFonts w:ascii="Palatino Linotype" w:eastAsia="Palatino Linotype" w:hAnsi="Palatino Linotype" w:cs="Palatino Linotype"/>
          <w:i/>
          <w:iCs/>
        </w:rPr>
        <w:t xml:space="preserve">oficios recibidos en la Coordinación de Innovación y Habilidades, </w:t>
      </w:r>
      <w:r>
        <w:rPr>
          <w:rFonts w:ascii="Palatino Linotype" w:eastAsia="Palatino Linotype" w:hAnsi="Palatino Linotype" w:cs="Palatino Linotype"/>
          <w:b/>
          <w:bCs/>
          <w:i/>
          <w:iCs/>
        </w:rPr>
        <w:t xml:space="preserve">faltando oficios en el mes de noviembre.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Oficios Recibidos-2024-comprimido....pdf: </w:t>
      </w:r>
      <w:r>
        <w:rPr>
          <w:rFonts w:ascii="Palatino Linotype" w:eastAsia="Palatino Linotype" w:hAnsi="Palatino Linotype" w:cs="Palatino Linotype"/>
          <w:i/>
          <w:iCs/>
        </w:rPr>
        <w:t xml:space="preserve">oficios recibidos en la Coordinación de Prevención y Bienestar Familiar, </w:t>
      </w:r>
      <w:r>
        <w:rPr>
          <w:rFonts w:ascii="Palatino Linotype" w:eastAsia="Palatino Linotype" w:hAnsi="Palatino Linotype" w:cs="Palatino Linotype"/>
          <w:b/>
          <w:bCs/>
          <w:i/>
          <w:iCs/>
        </w:rPr>
        <w:t xml:space="preserve">faltando oficios en el mes de noviembre y diciembre de 2024.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 Generados UIPPE DIF 2025.pdf: </w:t>
      </w:r>
      <w:r>
        <w:rPr>
          <w:rFonts w:ascii="Palatino Linotype" w:eastAsia="Palatino Linotype" w:hAnsi="Palatino Linotype" w:cs="Palatino Linotype"/>
          <w:i/>
          <w:iCs/>
        </w:rPr>
        <w:t xml:space="preserve">oficios generados en la UIPPE en el 2025, de los que observa que se clasifican nombres de servidores públicos, faltando el folio 32, 66 y 67, 73. </w:t>
      </w:r>
    </w:p>
    <w:p w:rsidR="003B3971" w:rsidRDefault="003B3971">
      <w:pPr>
        <w:ind w:left="1134" w:right="-929"/>
        <w:jc w:val="both"/>
        <w:rPr>
          <w:rFonts w:ascii="Palatino Linotype" w:eastAsia="Palatino Linotype" w:hAnsi="Palatino Linotype" w:cs="Palatino Linotype"/>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cinco de diciembre de dos mil veinticinco</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563C1"/>
          <w:u w:val="single"/>
        </w:rPr>
        <w:t xml:space="preserve">00029/DIFTIANGUI/IP/2025,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3B3971" w:rsidRDefault="003B3971">
      <w:pPr>
        <w:pBdr>
          <w:top w:val="nil"/>
          <w:left w:val="nil"/>
          <w:bottom w:val="nil"/>
          <w:right w:val="nil"/>
          <w:between w:val="nil"/>
        </w:pBdr>
        <w:ind w:right="-929"/>
        <w:jc w:val="both"/>
        <w:rPr>
          <w:rFonts w:ascii="Palatino Linotype" w:eastAsia="Palatino Linotype" w:hAnsi="Palatino Linotype" w:cs="Palatino Linotype"/>
          <w:color w:val="000000"/>
        </w:rPr>
      </w:pPr>
    </w:p>
    <w:p w:rsidR="003B3971" w:rsidRDefault="00601C2E">
      <w:pPr>
        <w:numPr>
          <w:ilvl w:val="0"/>
          <w:numId w:val="1"/>
        </w:numPr>
        <w:pBdr>
          <w:top w:val="nil"/>
          <w:left w:val="nil"/>
          <w:bottom w:val="nil"/>
          <w:right w:val="nil"/>
          <w:between w:val="nil"/>
        </w:pBdr>
        <w:ind w:right="-929"/>
        <w:jc w:val="both"/>
        <w:rPr>
          <w:rFonts w:ascii="Palatino Linotype" w:eastAsia="Palatino Linotype" w:hAnsi="Palatino Linotype" w:cs="Palatino Linotype"/>
          <w:i/>
          <w:iCs/>
          <w:color w:val="000000"/>
        </w:rPr>
      </w:pPr>
      <w:bookmarkStart w:id="2" w:name="_heading=h.7hr0gc79mn3x" w:colFirst="0" w:colLast="0"/>
      <w:bookmarkStart w:id="3" w:name="_heading=h.fbwya9psmjm9" w:colFirst="0" w:colLast="0"/>
      <w:bookmarkEnd w:id="2"/>
      <w:bookmarkEnd w:id="3"/>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 xml:space="preserve">“no se proporciona toda la informacion requerida 1.- Derivado de la revisión de las respuesta proporcionadas, y de acuerdo a su organigrama, no se me esta proporcionando todos los oficios enviados y recibidos de todas las áreas administrativas, 2.- En los documentos que se me proporciona, se eliminan nombres propios, y no entiendo el por que se eliminan los nombres propios de estas personas, ya que, continuando con el texto del dato eliminado, se puede apreciar que, son servidores públicos, como consecuencia no deben eliminar esos nombre propios, 3.- También están eliminando los sellos de recibido de los oficios, y no los deben eliminar, requiero tal cual están los oficios enviados y recibidos de todas las áreas administrativas, 4.- Además los oficios hablan de que tienen anexos, y no me proporcionan los anexos de cada oficio, requiero los anexos de cada oficio, 5.- no se me están proporcionando todos los oficios de la temporalidad que pedi, 2024 y 2025 6.- tapan los datos que no deben tapar y dejan a la vista los datos de vehículos personales, como lo es el del procurador del dif en sus oficios enviados, 7.- no se me esta proporcionando toda la información que requiero: pedí estrictamente lo siguiente: oficios enviados y recibidos de todas las áreas administrativas que integran este dif municipal, de los años 2024 y 2025, así también quiero que se me proporcione el recibo de nomina de todos los servidores </w:t>
      </w:r>
      <w:r>
        <w:rPr>
          <w:rFonts w:ascii="Palatino Linotype" w:eastAsia="Palatino Linotype" w:hAnsi="Palatino Linotype" w:cs="Palatino Linotype"/>
          <w:i/>
          <w:iCs/>
          <w:color w:val="000000"/>
        </w:rPr>
        <w:lastRenderedPageBreak/>
        <w:t>públicos adscritos a este dif municipal de la quincena del 16 al 31 de octubre del presente año, también requiero el nombre de todas las personas que han sido beneficiarias de todos los apoyos que ha otorgado este dif en este año 2025, requiero de la presidencia y dirección de este dif me proporcionen sus manuales de procedimientos, manuales generales y su reglamento interno de esta administración”</w:t>
      </w:r>
    </w:p>
    <w:p w:rsidR="003B3971" w:rsidRDefault="003B3971">
      <w:pPr>
        <w:pBdr>
          <w:top w:val="nil"/>
          <w:left w:val="nil"/>
          <w:bottom w:val="nil"/>
          <w:right w:val="nil"/>
          <w:between w:val="nil"/>
        </w:pBdr>
        <w:ind w:left="1146" w:right="-929"/>
        <w:jc w:val="both"/>
        <w:rPr>
          <w:rFonts w:ascii="Palatino Linotype" w:eastAsia="Palatino Linotype" w:hAnsi="Palatino Linotype" w:cs="Palatino Linotype"/>
          <w:i/>
          <w:iCs/>
          <w:color w:val="000000"/>
        </w:rPr>
      </w:pPr>
    </w:p>
    <w:p w:rsidR="003B3971" w:rsidRDefault="00601C2E">
      <w:pPr>
        <w:numPr>
          <w:ilvl w:val="0"/>
          <w:numId w:val="11"/>
        </w:numPr>
        <w:pBdr>
          <w:top w:val="nil"/>
          <w:left w:val="nil"/>
          <w:bottom w:val="nil"/>
          <w:right w:val="nil"/>
          <w:between w:val="nil"/>
        </w:pBdr>
        <w:ind w:left="1134" w:right="-929"/>
        <w:jc w:val="both"/>
        <w:rPr>
          <w:rFonts w:ascii="Palatino Linotype" w:eastAsia="Palatino Linotype" w:hAnsi="Palatino Linotype" w:cs="Palatino Linotype"/>
          <w:i/>
          <w:iCs/>
          <w:color w:val="000000"/>
        </w:rPr>
      </w:pPr>
      <w:bookmarkStart w:id="4" w:name="_heading=h.fmb6yoqfyyn3" w:colFirst="0" w:colLast="0"/>
      <w:bookmarkEnd w:id="4"/>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“1.- Derivado de la revisión de las respuesta proporcionadas, y de acuerdo a su organigrama, no se me esta proporcionando todos los oficios enviados y recibidos de todas las áreas administrativas, 2.- En los documentos que se me proporciona, se eliminan nombres propios, y no entiendo el por que se eliminan los nombres propios de estas personas, ya que, continuando con el texto del dato eliminado, se puede apreciar que, son servidores públicos, como consecuencia no deben eliminar esos nombre propios, 3.- También están eliminando los sellos de recibido de los oficios, y no los deben eliminar, requiero tal cual están los oficios enviados y recibidos de todas las áreas administrativas, 4.- Además los oficios hablan de que tienen anexos, y no me proporcionan los anexos de cada oficio, requiero los anexos de cada oficio, 5.- no se me están proporcionando todos los oficios de la temporalidad que pedi, 2024 y 2025 6.- tapan los datos que no deben tapar y dejan a la vista los datos de vehículos personales, como lo es el del procurador del dif en sus oficios enviados, 7.- no se me esta proporcionando toda la información que requiero: pedí estrictamente lo siguiente: oficios enviados y recibidos de todas las áreas administrativas que integran este dif municipal, de los años 2024 y 2025, así también quiero que se me proporcione el recibo de nomina de todos los servidores públicos adscritos a este dif municipal de la quincena del 16 al 31 de octubre del presente año, también requiero el nombre de todas las personas que han sido beneficiarias de todos los apoyos que ha otorgado este dif en este año 2025, requiero de la presidencia y dirección de este dif me proporcionen sus manuales de procedimientos, manuales generales y su reglamento interno de esta administración.”</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Consecutivamente</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Pr>
          <w:rFonts w:ascii="Palatino Linotype" w:eastAsia="Palatino Linotype" w:hAnsi="Palatino Linotype" w:cs="Palatino Linotype"/>
          <w:b/>
          <w:bCs/>
          <w:color w:val="000000"/>
        </w:rPr>
        <w:t>Comisionada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María del Rosario Mejía Ayala</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sidR="00A96CA6">
        <w:rPr>
          <w:rFonts w:ascii="Palatino Linotype" w:eastAsia="Palatino Linotype" w:hAnsi="Palatino Linotype" w:cs="Palatino Linotype"/>
          <w:color w:val="000000"/>
        </w:rPr>
        <w:t xml:space="preserve">para </w:t>
      </w:r>
      <w:r>
        <w:rPr>
          <w:rFonts w:ascii="Palatino Linotype" w:eastAsia="Palatino Linotype" w:hAnsi="Palatino Linotype" w:cs="Palatino Linotype"/>
          <w:color w:val="000000"/>
        </w:rPr>
        <w:t>su análisis.</w:t>
      </w: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lastRenderedPageBreak/>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del </w:t>
      </w:r>
      <w:r>
        <w:rPr>
          <w:rFonts w:ascii="Palatino Linotype" w:eastAsia="Palatino Linotype" w:hAnsi="Palatino Linotype" w:cs="Palatino Linotype"/>
          <w:b/>
          <w:bCs/>
          <w:color w:val="000000"/>
        </w:rPr>
        <w:t xml:space="preserve">diez de diciembre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En esa línea, tal y como se observa en el expediente electrónico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cuatro de marzo de dos mil veintiséis, </w:t>
      </w:r>
      <w:r>
        <w:rPr>
          <w:rFonts w:ascii="Palatino Linotype" w:eastAsia="Palatino Linotype" w:hAnsi="Palatino Linotype" w:cs="Palatino Linotype"/>
          <w:color w:val="000000"/>
        </w:rPr>
        <w:t xml:space="preserve">anexo diversos archivos electrónicos en formato PDF, cuyo contenido grosso modo es el siguiente.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 7.zip: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OFICIOS RECIBIDOS INNOVACION.pdf: </w:t>
      </w:r>
      <w:r>
        <w:rPr>
          <w:rFonts w:ascii="Palatino Linotype" w:eastAsia="Palatino Linotype" w:hAnsi="Palatino Linotype" w:cs="Palatino Linotype"/>
          <w:i/>
          <w:iCs/>
        </w:rPr>
        <w:t xml:space="preserve">oficios recibidos en la Coordinación de Innovación y Habilidades en el 2025, de los cuales hace falta </w:t>
      </w:r>
      <w:r>
        <w:rPr>
          <w:rFonts w:ascii="Palatino Linotype" w:eastAsia="Palatino Linotype" w:hAnsi="Palatino Linotype" w:cs="Palatino Linotype"/>
          <w:b/>
          <w:bCs/>
          <w:i/>
          <w:iCs/>
        </w:rPr>
        <w:t xml:space="preserve">entrega del mes de noviembre.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Oficios Recibidos-2024-comprimido....pdf: </w:t>
      </w:r>
      <w:r>
        <w:rPr>
          <w:rFonts w:ascii="Palatino Linotype" w:eastAsia="Palatino Linotype" w:hAnsi="Palatino Linotype" w:cs="Palatino Linotype"/>
          <w:i/>
          <w:iCs/>
        </w:rPr>
        <w:t xml:space="preserve">oficios recibidos en la Coordinación de Innovación y Habilidades en el 2024, de los cuales hace falta </w:t>
      </w:r>
      <w:r>
        <w:rPr>
          <w:rFonts w:ascii="Palatino Linotype" w:eastAsia="Palatino Linotype" w:hAnsi="Palatino Linotype" w:cs="Palatino Linotype"/>
          <w:b/>
          <w:bCs/>
          <w:i/>
          <w:iCs/>
        </w:rPr>
        <w:t xml:space="preserve">entrega del mes de noviembre y diciembre.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oficos enviados 2024-comprimido.pdf: </w:t>
      </w:r>
      <w:r>
        <w:rPr>
          <w:rFonts w:ascii="Palatino Linotype" w:eastAsia="Palatino Linotype" w:hAnsi="Palatino Linotype" w:cs="Palatino Linotype"/>
          <w:i/>
          <w:iCs/>
        </w:rPr>
        <w:t xml:space="preserve">oficios enviados por la Coordinación de Innovación y Habilidades en el 2024, de los cuales hace falta de manera enunciativa más no limitativa el folio 14, del 16 al 18, del 27 al 31, del 33al 34, 36 al 37, 42 al 43, del 46 al 49, 53, del 55 al 58l del 62 al 67, 70, 74, 77 al 79.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 Generados UIPPE DIF 2025.pdf: </w:t>
      </w:r>
      <w:r>
        <w:rPr>
          <w:rFonts w:ascii="Palatino Linotype" w:eastAsia="Palatino Linotype" w:hAnsi="Palatino Linotype" w:cs="Palatino Linotype"/>
          <w:i/>
          <w:iCs/>
        </w:rPr>
        <w:t>oficios generados en la Unidad de Información Planeación en de los cuales se observa que clasifican nombres de servidores públicos, faltando el folio 32, 35, 45 y 46, 48, 66, 67, 73, 91, 93, 94.</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anexo 5.zip: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OFICIOS EMITIDOS DIRECCION.pdf: </w:t>
      </w:r>
      <w:r>
        <w:rPr>
          <w:rFonts w:ascii="Palatino Linotype" w:eastAsia="Palatino Linotype" w:hAnsi="Palatino Linotype" w:cs="Palatino Linotype"/>
          <w:i/>
          <w:iCs/>
        </w:rPr>
        <w:t xml:space="preserve">oficios emitidos del Director General del Sistema Municipal Para el Desarrollo Integral de la Familia de Tianguistenco, que inician en el mes de marzo , faltando los folios del 57 al 96, del 98 al 107, del 109 al 257, así como folios del  al siete, en la revisión de oficios se observa que se clasificaron datos de placas, número de series de  vehículos, nombre de servidores públicos y nombre de insitutuciones </w:t>
      </w:r>
      <w:r>
        <w:rPr>
          <w:rFonts w:ascii="Palatino Linotype" w:eastAsia="Palatino Linotype" w:hAnsi="Palatino Linotype" w:cs="Palatino Linotype"/>
          <w:i/>
          <w:iCs/>
        </w:rPr>
        <w:lastRenderedPageBreak/>
        <w:t xml:space="preserve">situación por la cual deberán de ser ordenador en correcta versión, pública, así mismo no se observan oficios del periodo 2024.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OFICIOS ENVIADOS 25.pdf: </w:t>
      </w:r>
      <w:r>
        <w:rPr>
          <w:rFonts w:ascii="Palatino Linotype" w:eastAsia="Palatino Linotype" w:hAnsi="Palatino Linotype" w:cs="Palatino Linotype"/>
          <w:i/>
          <w:iCs/>
        </w:rPr>
        <w:t>oficios emitidos por el Procurador del DIF Municipal, que inician en el mes de noviembre de 2025, faltando folios del 123 al 126, del 109 al 117, del 102 al 114, del 63 al 79, del 42 al 66.</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revisión de los oficios se tiene que se clasifican datos como números de oficio, costos de recuperación por servicio, situación por la cual deberán de ordenados en correcta versión pública.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OFICIOS ENVIADOS 2024.pdf0029 dif recursos humanos.pdf: </w:t>
      </w:r>
      <w:r>
        <w:rPr>
          <w:rFonts w:ascii="Palatino Linotype" w:eastAsia="Palatino Linotype" w:hAnsi="Palatino Linotype" w:cs="Palatino Linotype"/>
          <w:i/>
          <w:iCs/>
        </w:rPr>
        <w:t>oficios que inician en el mes de noviembre de dos mil veinticuatro, haciendo falta del folio 44 al 66, faltando los meses de febrero y marzo, abril, octubre.</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revisión de los oficios se tiene que se clasifican datos como costos de recuperación por servicio, nombres de programas, situación por la cual deberán de ordenados en correcta versión pública.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Así mismo se debieron de clasificar confidencial en su totalidad actas de nacimiento e identificaciones oficiales.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 Generados UIPPE DIF 2025.pdf: </w:t>
      </w:r>
      <w:r>
        <w:rPr>
          <w:rFonts w:ascii="Palatino Linotype" w:eastAsia="Palatino Linotype" w:hAnsi="Palatino Linotype" w:cs="Palatino Linotype"/>
          <w:i/>
          <w:iCs/>
        </w:rPr>
        <w:t>oficios generados en la Unidad de Información Planeación en de los cuales se observa que clasifican nombres de servidores públicos, faltando el folio 32, 35, 45 y 46, 48, 66, 67, 73, 91, 93, 94.</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 3.zip: </w:t>
      </w:r>
      <w:r>
        <w:rPr>
          <w:rFonts w:ascii="Palatino Linotype" w:eastAsia="Palatino Linotype" w:hAnsi="Palatino Linotype" w:cs="Palatino Linotype"/>
          <w:i/>
          <w:iCs/>
        </w:rPr>
        <w:t xml:space="preserve">documento que contiene el Oficio de la Coordinadora de la Unidad de Rehabilitación e Integración Social, mediante el cual informa que anexa los informes mensuales que ha enviado a la UIPPE, así como los oficios solicitados.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Documento que contiene oficios recibidos en el mes de agosto, junio, julio, mayo, febrero, enero, octubre, septiembre, de los cuales se observa que los días de los meses no se encuentran completos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 4.zip: </w:t>
      </w:r>
      <w:r>
        <w:rPr>
          <w:rFonts w:ascii="Palatino Linotype" w:eastAsia="Palatino Linotype" w:hAnsi="Palatino Linotype" w:cs="Palatino Linotype"/>
          <w:i/>
          <w:iCs/>
        </w:rPr>
        <w:t>carpeta zip que contiene oficios emitidos por la Coordinación del Adulto Mayor, de los cuales se observa que los folios se encuentran incompletos, faltando de manera enunciativa más no limitativa del 6 al 8 del 11 al 13 , del  16, del 18 al 31, del 33 al 141, de la revisión de la información se observa que hacen faltas meses como noviembre 2025, febrero y octubre, así mismo, se observa que los folios se saltan mucho.</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Anexo 1.rar: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1 2025.pdf: </w:t>
      </w:r>
      <w:r>
        <w:rPr>
          <w:rFonts w:ascii="Palatino Linotype" w:eastAsia="Palatino Linotype" w:hAnsi="Palatino Linotype" w:cs="Palatino Linotype"/>
          <w:i/>
          <w:iCs/>
        </w:rPr>
        <w:t xml:space="preserve">oficios firmados por el Coordinador de Comunicación Social en el 2025 de los cuales hace falta el oficio 13, 14, 15, 16, 26, 27, 28 y 38.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2 2025.pdf: </w:t>
      </w:r>
      <w:r>
        <w:rPr>
          <w:rFonts w:ascii="Palatino Linotype" w:eastAsia="Palatino Linotype" w:hAnsi="Palatino Linotype" w:cs="Palatino Linotype"/>
          <w:i/>
          <w:iCs/>
        </w:rPr>
        <w:t>oficios firmados por el Coordinador de Comunicación Social en el 2025, faltando 2024.</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12 sesion firmada.pdf: </w:t>
      </w:r>
      <w:r>
        <w:rPr>
          <w:rFonts w:ascii="Palatino Linotype" w:eastAsia="Palatino Linotype" w:hAnsi="Palatino Linotype" w:cs="Palatino Linotype"/>
          <w:i/>
          <w:iCs/>
        </w:rPr>
        <w:t xml:space="preserve">Acta del Comité de Transparencia, mediante el cual se clasifican datos como RFC, CURP, CLAVE DE ISSEMYM, FIRMA ELECTRONICA Y SELLO DIGITAL, de la clasificación de recibos de nómina.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 Recibidos 2025 jul - nov UIPPE.pdf: </w:t>
      </w:r>
      <w:r>
        <w:rPr>
          <w:rFonts w:ascii="Palatino Linotype" w:eastAsia="Palatino Linotype" w:hAnsi="Palatino Linotype" w:cs="Palatino Linotype"/>
          <w:i/>
          <w:iCs/>
        </w:rPr>
        <w:t xml:space="preserve">oficios recibidos en la Coordinación de Comunicación Social del mes de junio a noviembre de 2025.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anexo 6.zip: carpeta que no se pone a la vista toda vez que de la versión pública se pueden copiar datos de nombres de particulares.</w:t>
      </w:r>
      <w:r>
        <w:rPr>
          <w:rFonts w:ascii="Palatino Linotype" w:eastAsia="Palatino Linotype" w:hAnsi="Palatino Linotype" w:cs="Palatino Linotype"/>
          <w:i/>
          <w:iCs/>
        </w:rPr>
        <w:t xml:space="preserve">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OFICIOS RECIBIDOS 25.pdf:</w:t>
      </w:r>
      <w:r>
        <w:rPr>
          <w:rFonts w:ascii="Palatino Linotype" w:eastAsia="Palatino Linotype" w:hAnsi="Palatino Linotype" w:cs="Palatino Linotype"/>
          <w:i/>
          <w:iCs/>
        </w:rPr>
        <w:t xml:space="preserve"> oficios recibidos en la Procuraduría en los cuales se clasifican números de folios, se clasifican montos de pago de los servicios que proporciona el DIF Y nombre y domicilios de particulares.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OFICIOS RECIBIDOS 2024.pdf:</w:t>
      </w:r>
      <w:r>
        <w:rPr>
          <w:rFonts w:ascii="Palatino Linotype" w:eastAsia="Palatino Linotype" w:hAnsi="Palatino Linotype" w:cs="Palatino Linotype"/>
          <w:i/>
          <w:iCs/>
        </w:rPr>
        <w:t xml:space="preserve"> oficios recibidos en la Procuraduría en los cuales se clasifican números de folios, se clasifican montos de pago de los servicios que proporciona el DIF Y nombre y domicilios de particulares.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OFICIOS RECIBIDOS INNOVACION.pdf:</w:t>
      </w:r>
      <w:r>
        <w:rPr>
          <w:rFonts w:ascii="Palatino Linotype" w:eastAsia="Palatino Linotype" w:hAnsi="Palatino Linotype" w:cs="Palatino Linotype"/>
          <w:i/>
          <w:iCs/>
        </w:rPr>
        <w:t xml:space="preserve"> oficios recibidos en la Coordinación de Innovación y Habilidades, faltando oficios en el mes de noviembre.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Oficios Recibidos-2024-comprimido....pdf:</w:t>
      </w:r>
      <w:r>
        <w:rPr>
          <w:rFonts w:ascii="Palatino Linotype" w:eastAsia="Palatino Linotype" w:hAnsi="Palatino Linotype" w:cs="Palatino Linotype"/>
          <w:i/>
          <w:iCs/>
        </w:rPr>
        <w:t xml:space="preserve"> oficios recibidos en la Coordinación de Prevención y Bienestar Familiar, faltando oficios en el mes de noviembre y diciembre de 2024.</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anexo 2.zip: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2024-2.pdf</w:t>
      </w:r>
      <w:r>
        <w:rPr>
          <w:rFonts w:ascii="Palatino Linotype" w:eastAsia="Palatino Linotype" w:hAnsi="Palatino Linotype" w:cs="Palatino Linotype"/>
          <w:i/>
          <w:iCs/>
        </w:rPr>
        <w:t xml:space="preserve">: oficios recibidos en la Coordinación de URIS de enero a mayo de dos mil veinticinco.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Faltando de junio a noviembre de dos mil veinticinco.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20251120112830863.pdf:</w:t>
      </w:r>
      <w:r>
        <w:rPr>
          <w:rFonts w:ascii="Palatino Linotype" w:eastAsia="Palatino Linotype" w:hAnsi="Palatino Linotype" w:cs="Palatino Linotype"/>
          <w:i/>
          <w:iCs/>
        </w:rPr>
        <w:t xml:space="preserve"> oficios emitidos en la Coordinación de URIS en 2024, faltando de manera enunciativa los siguientes folios del 33 al 66, llegando hasta el mes de octubre, faltando noviembre y diciembre de 2024.</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20251124163028613.pdf:</w:t>
      </w:r>
      <w:r>
        <w:rPr>
          <w:rFonts w:ascii="Palatino Linotype" w:eastAsia="Palatino Linotype" w:hAnsi="Palatino Linotype" w:cs="Palatino Linotype"/>
          <w:i/>
          <w:iCs/>
        </w:rPr>
        <w:t xml:space="preserve"> oficios emitidos en la Coordinación de URIS 2025, de su revisión se observa que se tiene que ordenar en versión pública correcta toda vez que se testan nombres de servidores públicos, hace falta el folio 94, se clasifican datos de oficios que no se tiene la certeza del contenido, al no remitirse el Acta del Comité de Transparencia que sustente la versión pública, faltando oficios del mes de noviembre de dos mil veinticinco.</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fue omiso en manifestar lo que a su derecho conviniera y asistiera. </w:t>
      </w: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bookmarkStart w:id="5" w:name="_heading=h.tqeyrx3soxd6" w:colFirst="0" w:colLast="0"/>
      <w:bookmarkEnd w:id="5"/>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veinte de mayo de dos mil veintiséis</w:t>
      </w:r>
      <w:r>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Pr>
          <w:rFonts w:ascii="Palatino Linotype" w:eastAsia="Palatino Linotype" w:hAnsi="Palatino Linotype" w:cs="Palatino Linotype"/>
        </w:rPr>
        <w:t>.</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Finalmente, la Comisionada Ponente mediante acuerdo de fecha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highlight w:val="white"/>
        </w:rPr>
        <w:t>veintisiete de mayo de dos mil veintiséis</w:t>
      </w:r>
      <w:r>
        <w:rPr>
          <w:rFonts w:ascii="Palatino Linotype" w:eastAsia="Palatino Linotype" w:hAnsi="Palatino Linotype" w:cs="Palatino Linotype"/>
          <w:color w:val="000000"/>
          <w:highlight w:val="white"/>
        </w:rPr>
        <w:t>, decretó el cierre de instrucción d</w:t>
      </w:r>
      <w:r>
        <w:rPr>
          <w:rFonts w:ascii="Palatino Linotype" w:eastAsia="Palatino Linotype" w:hAnsi="Palatino Linotype" w:cs="Palatino Linotype"/>
          <w:color w:val="000000"/>
        </w:rPr>
        <w:t>e los expedientes, por lo que no habiendo más que hacer constar, y</w:t>
      </w:r>
      <w:r>
        <w:rPr>
          <w:rFonts w:ascii="Palatino Linotype" w:eastAsia="Palatino Linotype" w:hAnsi="Palatino Linotype" w:cs="Palatino Linotype"/>
        </w:rPr>
        <w:t xml:space="preserve"> </w:t>
      </w:r>
    </w:p>
    <w:p w:rsidR="003B3971" w:rsidRDefault="003B3971">
      <w:pPr>
        <w:spacing w:line="360" w:lineRule="auto"/>
        <w:ind w:right="-929"/>
        <w:rPr>
          <w:rFonts w:ascii="Palatino Linotype" w:eastAsia="Palatino Linotype" w:hAnsi="Palatino Linotype" w:cs="Palatino Linotype"/>
          <w:b/>
          <w:bCs/>
          <w:color w:val="000000"/>
        </w:rPr>
      </w:pPr>
    </w:p>
    <w:p w:rsidR="003B3971" w:rsidRDefault="00601C2E">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3B3971" w:rsidRDefault="00601C2E">
      <w:pPr>
        <w:pStyle w:val="Ttulo2"/>
        <w:spacing w:before="0" w:line="360" w:lineRule="auto"/>
        <w:ind w:right="-929"/>
        <w:rPr>
          <w:rFonts w:ascii="Palatino Linotype" w:eastAsia="Palatino Linotype" w:hAnsi="Palatino Linotype" w:cs="Palatino Linotype"/>
          <w:b/>
          <w:bCs/>
          <w:color w:val="000000"/>
          <w:sz w:val="24"/>
          <w:szCs w:val="24"/>
        </w:rPr>
      </w:pPr>
      <w:bookmarkStart w:id="6" w:name="_heading=h.glmor92nb4iu" w:colFirst="0" w:colLast="0"/>
      <w:bookmarkEnd w:id="6"/>
      <w:r>
        <w:rPr>
          <w:rFonts w:ascii="Palatino Linotype" w:eastAsia="Palatino Linotype" w:hAnsi="Palatino Linotype" w:cs="Palatino Linotype"/>
          <w:b/>
          <w:bCs/>
          <w:color w:val="000000"/>
          <w:sz w:val="24"/>
          <w:szCs w:val="24"/>
        </w:rPr>
        <w:t>PRIMERO. De la competencia</w:t>
      </w: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B3971" w:rsidRDefault="003B3971">
      <w:pPr>
        <w:pBdr>
          <w:top w:val="nil"/>
          <w:left w:val="nil"/>
          <w:bottom w:val="nil"/>
          <w:right w:val="nil"/>
          <w:between w:val="nil"/>
        </w:pBdr>
        <w:tabs>
          <w:tab w:val="left" w:pos="426"/>
        </w:tabs>
        <w:spacing w:line="360" w:lineRule="auto"/>
        <w:ind w:right="-929"/>
        <w:jc w:val="both"/>
        <w:rPr>
          <w:rFonts w:ascii="Palatino Linotype" w:eastAsia="Palatino Linotype" w:hAnsi="Palatino Linotype" w:cs="Palatino Linotype"/>
          <w:b/>
          <w:bCs/>
          <w:color w:val="000000"/>
        </w:rPr>
      </w:pPr>
      <w:bookmarkStart w:id="7" w:name="_heading=h.xkgej5ffvszu" w:colFirst="0" w:colLast="0"/>
      <w:bookmarkEnd w:id="7"/>
    </w:p>
    <w:p w:rsidR="003B3971" w:rsidRDefault="00601C2E">
      <w:pPr>
        <w:pBdr>
          <w:top w:val="nil"/>
          <w:left w:val="nil"/>
          <w:bottom w:val="nil"/>
          <w:right w:val="nil"/>
          <w:between w:val="nil"/>
        </w:pBdr>
        <w:tabs>
          <w:tab w:val="left" w:pos="426"/>
        </w:tabs>
        <w:spacing w:line="360" w:lineRule="auto"/>
        <w:ind w:right="-929"/>
        <w:jc w:val="both"/>
        <w:rPr>
          <w:rFonts w:ascii="Palatino Linotype" w:eastAsia="Palatino Linotype" w:hAnsi="Palatino Linotype" w:cs="Palatino Linotype"/>
          <w:b/>
          <w:bCs/>
          <w:color w:val="000000"/>
        </w:rPr>
      </w:pPr>
      <w:bookmarkStart w:id="8" w:name="_heading=h.vtmxpsgi7cv0" w:colFirst="0" w:colLast="0"/>
      <w:bookmarkEnd w:id="8"/>
      <w:r>
        <w:rPr>
          <w:rFonts w:ascii="Palatino Linotype" w:eastAsia="Palatino Linotype" w:hAnsi="Palatino Linotype" w:cs="Palatino Linotype"/>
          <w:b/>
          <w:bCs/>
          <w:color w:val="000000"/>
        </w:rPr>
        <w:t>SEGUNDO. De la oportunidad y procedencia.</w:t>
      </w: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bookmarkStart w:id="9" w:name="_heading=h.hq5n7qgrium0" w:colFirst="0" w:colLast="0"/>
      <w:bookmarkEnd w:id="9"/>
      <w:r>
        <w:rPr>
          <w:rFonts w:ascii="Palatino Linotype" w:eastAsia="Palatino Linotype" w:hAnsi="Palatino Linotype" w:cs="Palatino Linotype"/>
          <w:color w:val="000000"/>
        </w:rPr>
        <w:t xml:space="preserve">Los medios de impugnación fueron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w:t>
      </w:r>
      <w:r>
        <w:rPr>
          <w:rFonts w:ascii="Palatino Linotype" w:eastAsia="Palatino Linotype" w:hAnsi="Palatino Linotype" w:cs="Palatino Linotype"/>
          <w:color w:val="000000"/>
        </w:rPr>
        <w:lastRenderedPageBreak/>
        <w:t xml:space="preserve">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tres de diciembre de dos mil veinticinco</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cuatro de diciembre de dos mil veinticinco al catorce de enero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sus inconformidades el día </w:t>
      </w:r>
      <w:r>
        <w:rPr>
          <w:rFonts w:ascii="Palatino Linotype" w:eastAsia="Palatino Linotype" w:hAnsi="Palatino Linotype" w:cs="Palatino Linotype"/>
          <w:b/>
          <w:bCs/>
          <w:color w:val="000000"/>
        </w:rPr>
        <w:t>cinco de diciembre de dos mil veinticinco</w:t>
      </w:r>
      <w:r>
        <w:rPr>
          <w:rFonts w:ascii="Palatino Linotype" w:eastAsia="Palatino Linotype" w:hAnsi="Palatino Linotype" w:cs="Palatino Linotype"/>
          <w:color w:val="000000"/>
        </w:rPr>
        <w:t>; es decir dentro del lapso legalmente establecido para tal efecto.</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3B3971" w:rsidRDefault="003B3971">
      <w:pPr>
        <w:ind w:left="567" w:right="-929" w:firstLine="1134"/>
        <w:jc w:val="both"/>
        <w:rPr>
          <w:rFonts w:ascii="Palatino Linotype" w:eastAsia="Palatino Linotype" w:hAnsi="Palatino Linotype" w:cs="Palatino Linotype"/>
          <w:i/>
          <w:iCs/>
        </w:rPr>
      </w:pP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 Para el ejercicio del derecho de acceso a la información, la Federación, los Estados y el Distrito Federal, en el ámbito de sus respectivas competencias, se regirán por los siguientes principios y bases:</w:t>
      </w:r>
    </w:p>
    <w:p w:rsidR="003B3971" w:rsidRDefault="003B3971">
      <w:pPr>
        <w:ind w:left="567" w:right="-929" w:firstLine="1134"/>
        <w:jc w:val="both"/>
        <w:rPr>
          <w:rFonts w:ascii="Palatino Linotype" w:eastAsia="Palatino Linotype" w:hAnsi="Palatino Linotype" w:cs="Palatino Linotype"/>
          <w:i/>
          <w:iCs/>
        </w:rPr>
      </w:pP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rPr>
        <w:t>(Sic)</w:t>
      </w:r>
    </w:p>
    <w:p w:rsidR="003B3971" w:rsidRDefault="003B3971">
      <w:pPr>
        <w:spacing w:line="360" w:lineRule="auto"/>
        <w:ind w:left="567" w:right="-929"/>
        <w:jc w:val="both"/>
        <w:rPr>
          <w:rFonts w:ascii="Palatino Linotype" w:eastAsia="Palatino Linotype" w:hAnsi="Palatino Linotype" w:cs="Palatino Linotype"/>
          <w:i/>
          <w:iCs/>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rPr>
        <w:t>(Sic)</w:t>
      </w:r>
    </w:p>
    <w:p w:rsidR="003B3971" w:rsidRDefault="003B3971">
      <w:pPr>
        <w:spacing w:line="360" w:lineRule="auto"/>
        <w:ind w:left="426" w:right="-929"/>
        <w:jc w:val="both"/>
        <w:rPr>
          <w:rFonts w:ascii="Palatino Linotype" w:eastAsia="Palatino Linotype" w:hAnsi="Palatino Linotype" w:cs="Palatino Linotype"/>
          <w:i/>
          <w:iCs/>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3B3971" w:rsidRDefault="003B3971">
      <w:pPr>
        <w:spacing w:line="360" w:lineRule="auto"/>
        <w:ind w:left="426" w:right="-929"/>
        <w:jc w:val="both"/>
        <w:rPr>
          <w:rFonts w:ascii="Palatino Linotype" w:eastAsia="Palatino Linotype" w:hAnsi="Palatino Linotype" w:cs="Palatino Linotype"/>
          <w:i/>
          <w:iCs/>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color w:val="000000"/>
        </w:rPr>
        <w:t>derecho fundamental exime a quien lo ejerce</w:t>
      </w:r>
      <w:r>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lastRenderedPageBreak/>
        <w:t xml:space="preserve">En consecuencia, dado lo expuesto y fundado con anterioridad, se estima que el requisito relativo al nombre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B3971" w:rsidRDefault="003B3971">
      <w:pPr>
        <w:spacing w:line="360" w:lineRule="auto"/>
        <w:ind w:right="-929"/>
        <w:rPr>
          <w:rFonts w:ascii="Palatino Linotype" w:eastAsia="Palatino Linotype" w:hAnsi="Palatino Linotype" w:cs="Palatino Linotype"/>
        </w:rPr>
      </w:pPr>
    </w:p>
    <w:p w:rsidR="003B3971" w:rsidRDefault="00601C2E">
      <w:pPr>
        <w:pStyle w:val="Ttulo1"/>
        <w:spacing w:before="0" w:line="360" w:lineRule="auto"/>
        <w:ind w:right="-929"/>
        <w:rPr>
          <w:rFonts w:ascii="Palatino Linotype" w:eastAsia="Palatino Linotype" w:hAnsi="Palatino Linotype" w:cs="Palatino Linotype"/>
          <w:b/>
          <w:bCs/>
          <w:color w:val="000000"/>
          <w:sz w:val="24"/>
          <w:szCs w:val="24"/>
        </w:rPr>
      </w:pPr>
      <w:bookmarkStart w:id="10" w:name="_heading=h.ipgfr1z30sp0" w:colFirst="0" w:colLast="0"/>
      <w:bookmarkEnd w:id="10"/>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3B3971" w:rsidRDefault="00601C2E">
      <w:pPr>
        <w:numPr>
          <w:ilvl w:val="0"/>
          <w:numId w:val="8"/>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 Informes mensuales, bimestrales y/o anuales que las áreas administrativas de este dif envían a la UIPPE del 2025</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2.-Todos los oficios enviados y recibidos de todas las áreas administrativas que integran el DIF municipal, de los años 2024 y 2025</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3.-Recibo de nómina de todos los servidores públicos adscritos de la quincena del 16 al 31 de octubre del presente año</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4.-Nombre de todas las personas que han sido beneficiarias de todos los apoyos que ha otorgado el DIF en 2025</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5.- De la Presidencia y Dirección me proporcionen los manuales de procedimientos, manuales generales y su reglamento interno </w:t>
      </w:r>
    </w:p>
    <w:p w:rsidR="003B3971" w:rsidRDefault="003B3971">
      <w:pPr>
        <w:ind w:left="1134" w:right="-929"/>
        <w:jc w:val="both"/>
        <w:rPr>
          <w:rFonts w:ascii="Palatino Linotype" w:eastAsia="Palatino Linotype" w:hAnsi="Palatino Linotype" w:cs="Palatino Linotype"/>
          <w:b/>
          <w:bCs/>
          <w:i/>
          <w:iCs/>
        </w:rPr>
      </w:pPr>
    </w:p>
    <w:p w:rsidR="003B3971" w:rsidRDefault="003B3971">
      <w:pPr>
        <w:ind w:left="1134" w:right="-929"/>
        <w:jc w:val="both"/>
        <w:rPr>
          <w:rFonts w:ascii="Palatino Linotype" w:eastAsia="Palatino Linotype" w:hAnsi="Palatino Linotype" w:cs="Palatino Linotype"/>
          <w:b/>
          <w:bCs/>
          <w:i/>
          <w:iCs/>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la información que fue descrita en el párrafo dos de la presente resolución.</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i/>
          <w:iCs/>
          <w:color w:val="000000"/>
        </w:rPr>
      </w:pPr>
    </w:p>
    <w:p w:rsidR="003B3971" w:rsidRDefault="003B3971">
      <w:pPr>
        <w:ind w:right="-929"/>
        <w:jc w:val="both"/>
        <w:rPr>
          <w:rFonts w:ascii="Palatino Linotype" w:eastAsia="Palatino Linotype" w:hAnsi="Palatino Linotype" w:cs="Palatino Linotype"/>
          <w:i/>
          <w:iCs/>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V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la entrega de información incompleta;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De modo tal que el presente recurso de revisión se abocara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3B3971" w:rsidRDefault="003B3971">
      <w:pPr>
        <w:pBdr>
          <w:top w:val="nil"/>
          <w:left w:val="nil"/>
          <w:bottom w:val="nil"/>
          <w:right w:val="nil"/>
          <w:between w:val="nil"/>
        </w:pBdr>
        <w:spacing w:line="360" w:lineRule="auto"/>
        <w:ind w:left="709" w:right="-929"/>
        <w:rPr>
          <w:rFonts w:ascii="Palatino Linotype" w:eastAsia="Palatino Linotype" w:hAnsi="Palatino Linotype" w:cs="Palatino Linotype"/>
          <w:color w:val="000000"/>
        </w:rPr>
      </w:pPr>
    </w:p>
    <w:p w:rsidR="003B3971" w:rsidRDefault="00601C2E">
      <w:pPr>
        <w:keepNext/>
        <w:keepLines/>
        <w:spacing w:line="360" w:lineRule="auto"/>
        <w:ind w:right="-92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CUARTO. Del estudio y resolución del estudio.</w:t>
      </w:r>
    </w:p>
    <w:p w:rsidR="003B3971" w:rsidRDefault="00601C2E">
      <w:pPr>
        <w:keepNext/>
        <w:keepLines/>
        <w:numPr>
          <w:ilvl w:val="0"/>
          <w:numId w:val="12"/>
        </w:numPr>
        <w:spacing w:after="240" w:line="360" w:lineRule="auto"/>
        <w:ind w:left="786" w:right="-929"/>
        <w:rPr>
          <w:rFonts w:ascii="Palatino Linotype" w:eastAsia="Palatino Linotype" w:hAnsi="Palatino Linotype" w:cs="Palatino Linotype"/>
          <w:b/>
          <w:bCs/>
          <w:color w:val="000000"/>
        </w:rPr>
      </w:pPr>
      <w:bookmarkStart w:id="11" w:name="_heading=h.1t3h5sf" w:colFirst="0" w:colLast="0"/>
      <w:bookmarkEnd w:id="11"/>
      <w:r>
        <w:rPr>
          <w:rFonts w:ascii="Palatino Linotype" w:eastAsia="Palatino Linotype" w:hAnsi="Palatino Linotype" w:cs="Palatino Linotype"/>
          <w:b/>
          <w:bCs/>
          <w:color w:val="000000"/>
        </w:rPr>
        <w:t>Del derecho de acceso a la información.</w:t>
      </w: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3B3971" w:rsidRDefault="00601C2E">
      <w:pPr>
        <w:numPr>
          <w:ilvl w:val="0"/>
          <w:numId w:val="8"/>
        </w:numPr>
        <w:spacing w:before="240" w:line="360" w:lineRule="auto"/>
        <w:ind w:left="0" w:right="-929" w:firstLine="0"/>
        <w:jc w:val="both"/>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3B3971" w:rsidRDefault="00601C2E">
      <w:pPr>
        <w:spacing w:after="24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3B3971" w:rsidRDefault="00601C2E">
      <w:pPr>
        <w:spacing w:before="240" w:after="24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3B3971" w:rsidRDefault="00601C2E">
      <w:pPr>
        <w:spacing w:before="240" w:after="24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 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3B3971" w:rsidRDefault="003B3971">
      <w:pPr>
        <w:pBdr>
          <w:top w:val="nil"/>
          <w:left w:val="nil"/>
          <w:bottom w:val="nil"/>
          <w:right w:val="nil"/>
          <w:between w:val="nil"/>
        </w:pBdr>
        <w:tabs>
          <w:tab w:val="left" w:pos="567"/>
        </w:tabs>
        <w:spacing w:before="240" w:after="240"/>
        <w:ind w:left="1134" w:right="-929"/>
        <w:jc w:val="both"/>
        <w:rPr>
          <w:rFonts w:ascii="Palatino Linotype" w:eastAsia="Palatino Linotype" w:hAnsi="Palatino Linotype" w:cs="Palatino Linotype"/>
          <w:b/>
          <w:bCs/>
          <w:i/>
          <w:iCs/>
          <w:color w:val="000000"/>
        </w:rPr>
      </w:pPr>
    </w:p>
    <w:p w:rsidR="003B3971" w:rsidRDefault="00601C2E">
      <w:pPr>
        <w:spacing w:before="240" w:after="24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3B3971" w:rsidRDefault="00601C2E">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w:t>
      </w:r>
      <w:r>
        <w:rPr>
          <w:rFonts w:ascii="Palatino Linotype" w:eastAsia="Palatino Linotype" w:hAnsi="Palatino Linotype" w:cs="Palatino Linotype"/>
          <w:i/>
          <w:iCs/>
        </w:rPr>
        <w:lastRenderedPageBreak/>
        <w:t xml:space="preserve">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3B3971" w:rsidRDefault="003B3971">
      <w:pPr>
        <w:tabs>
          <w:tab w:val="left" w:pos="567"/>
        </w:tabs>
        <w:spacing w:before="240" w:after="240"/>
        <w:ind w:right="-929"/>
        <w:jc w:val="both"/>
        <w:rPr>
          <w:rFonts w:ascii="Palatino Linotype" w:eastAsia="Palatino Linotype" w:hAnsi="Palatino Linotype" w:cs="Palatino Linotype"/>
          <w:b/>
          <w:bCs/>
          <w:i/>
          <w:iCs/>
        </w:rPr>
      </w:pPr>
    </w:p>
    <w:p w:rsidR="003B3971" w:rsidRDefault="00601C2E">
      <w:pPr>
        <w:numPr>
          <w:ilvl w:val="0"/>
          <w:numId w:val="8"/>
        </w:numPr>
        <w:spacing w:before="240" w:line="360" w:lineRule="auto"/>
        <w:ind w:left="0" w:right="-929"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bookmarkStart w:id="12" w:name="_heading=h.4d34og8" w:colFirst="0" w:colLast="0"/>
      <w:bookmarkEnd w:id="12"/>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pStyle w:val="Ttulo1"/>
        <w:spacing w:before="0" w:after="240" w:line="360" w:lineRule="auto"/>
        <w:ind w:right="-929"/>
        <w:rPr>
          <w:rFonts w:ascii="Palatino Linotype" w:eastAsia="Palatino Linotype" w:hAnsi="Palatino Linotype" w:cs="Palatino Linotype"/>
          <w:b/>
          <w:bCs/>
          <w:color w:val="000000"/>
          <w:sz w:val="24"/>
          <w:szCs w:val="24"/>
        </w:rPr>
      </w:pPr>
      <w:bookmarkStart w:id="13" w:name="_heading=h.2s8eyo1" w:colFirst="0" w:colLast="0"/>
      <w:bookmarkEnd w:id="13"/>
      <w:r>
        <w:rPr>
          <w:rFonts w:ascii="Palatino Linotype" w:eastAsia="Palatino Linotype" w:hAnsi="Palatino Linotype" w:cs="Palatino Linotype"/>
          <w:b/>
          <w:bCs/>
          <w:color w:val="000000"/>
          <w:sz w:val="24"/>
          <w:szCs w:val="24"/>
        </w:rPr>
        <w:lastRenderedPageBreak/>
        <w:t>II. De la información solicitada y la respuesta del SUJETO OBLIGADO</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En ese sentido, es importante realizar la siguiente tabla de análisis para establecer si con la respuesta fue colmado el derecho de acceso a la información del </w:t>
      </w:r>
      <w:r>
        <w:rPr>
          <w:rFonts w:ascii="Palatino Linotype" w:eastAsia="Palatino Linotype" w:hAnsi="Palatino Linotype" w:cs="Palatino Linotype"/>
          <w:b/>
          <w:bCs/>
        </w:rPr>
        <w:t xml:space="preserve">RECURRENTE. </w:t>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tbl>
      <w:tblPr>
        <w:tblStyle w:val="a"/>
        <w:tblW w:w="104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2580"/>
        <w:gridCol w:w="2835"/>
        <w:gridCol w:w="2010"/>
      </w:tblGrid>
      <w:tr w:rsidR="003B3971" w:rsidTr="00A96CA6">
        <w:trPr>
          <w:jc w:val="center"/>
        </w:trPr>
        <w:tc>
          <w:tcPr>
            <w:tcW w:w="3000" w:type="dxa"/>
          </w:tcPr>
          <w:p w:rsidR="003B3971" w:rsidRDefault="00601C2E">
            <w:pPr>
              <w:ind w:right="-44"/>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Información solicitada</w:t>
            </w:r>
          </w:p>
        </w:tc>
        <w:tc>
          <w:tcPr>
            <w:tcW w:w="2580" w:type="dxa"/>
          </w:tcPr>
          <w:p w:rsidR="003B3971" w:rsidRDefault="00601C2E">
            <w:pPr>
              <w:ind w:right="-44"/>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Respuesta inicial</w:t>
            </w:r>
          </w:p>
        </w:tc>
        <w:tc>
          <w:tcPr>
            <w:tcW w:w="2835" w:type="dxa"/>
          </w:tcPr>
          <w:p w:rsidR="003B3971" w:rsidRDefault="00601C2E">
            <w:pPr>
              <w:ind w:right="-44"/>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Informe justificado</w:t>
            </w:r>
          </w:p>
        </w:tc>
        <w:tc>
          <w:tcPr>
            <w:tcW w:w="2010" w:type="dxa"/>
          </w:tcPr>
          <w:p w:rsidR="003B3971" w:rsidRDefault="00601C2E">
            <w:pPr>
              <w:ind w:right="-44"/>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Colma </w:t>
            </w:r>
          </w:p>
        </w:tc>
      </w:tr>
      <w:tr w:rsidR="003B3971" w:rsidTr="00A96CA6">
        <w:trPr>
          <w:jc w:val="center"/>
        </w:trPr>
        <w:tc>
          <w:tcPr>
            <w:tcW w:w="300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 Informes mensuales, bimestrales y/o anuales que las áreas administrativas del DIF envían a la UIPPE del 2025</w:t>
            </w:r>
          </w:p>
          <w:p w:rsidR="003B3971" w:rsidRDefault="003B3971">
            <w:pPr>
              <w:ind w:right="-68"/>
              <w:jc w:val="both"/>
              <w:rPr>
                <w:rFonts w:ascii="Palatino Linotype" w:eastAsia="Palatino Linotype" w:hAnsi="Palatino Linotype" w:cs="Palatino Linotype"/>
                <w:i/>
                <w:iCs/>
              </w:rPr>
            </w:pPr>
          </w:p>
        </w:tc>
        <w:tc>
          <w:tcPr>
            <w:tcW w:w="2580" w:type="dxa"/>
          </w:tcPr>
          <w:p w:rsidR="003B3971" w:rsidRDefault="00601C2E">
            <w:pPr>
              <w:ind w:right="-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 3.zip: </w:t>
            </w:r>
            <w:r>
              <w:rPr>
                <w:rFonts w:ascii="Palatino Linotype" w:eastAsia="Palatino Linotype" w:hAnsi="Palatino Linotype" w:cs="Palatino Linotype"/>
                <w:i/>
                <w:iCs/>
              </w:rPr>
              <w:t xml:space="preserve">documento que contiene el Oficio de la Coordinadora de la Unidad de Rehabilitación e Integración Social, mediante el cual informa que anexa los informes mensuales que ha enviado a la UIPPE, así como los oficios solicitados. </w:t>
            </w:r>
          </w:p>
          <w:p w:rsidR="003B3971" w:rsidRDefault="003B3971">
            <w:pPr>
              <w:ind w:right="-39"/>
              <w:jc w:val="both"/>
              <w:rPr>
                <w:rFonts w:ascii="Palatino Linotype" w:eastAsia="Palatino Linotype" w:hAnsi="Palatino Linotype" w:cs="Palatino Linotype"/>
                <w:i/>
                <w:iCs/>
              </w:rPr>
            </w:pPr>
          </w:p>
        </w:tc>
        <w:tc>
          <w:tcPr>
            <w:tcW w:w="2835" w:type="dxa"/>
          </w:tcPr>
          <w:p w:rsidR="003B3971" w:rsidRDefault="00601C2E">
            <w:pPr>
              <w:ind w:right="-6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anexo 3.zip: </w:t>
            </w:r>
            <w:r>
              <w:rPr>
                <w:rFonts w:ascii="Palatino Linotype" w:eastAsia="Palatino Linotype" w:hAnsi="Palatino Linotype" w:cs="Palatino Linotype"/>
                <w:i/>
                <w:iCs/>
              </w:rPr>
              <w:t xml:space="preserve">documento que contiene el Oficio de la Coordinadora de la Unidad de Rehabilitación e Integración Social, mediante el cual informa que anexa los informes mensuales que ha enviado a la UIPPE, así como los oficios solicitados. </w:t>
            </w:r>
          </w:p>
          <w:p w:rsidR="003B3971" w:rsidRDefault="003B3971">
            <w:pPr>
              <w:ind w:right="-67"/>
              <w:jc w:val="both"/>
              <w:rPr>
                <w:rFonts w:ascii="Palatino Linotype" w:eastAsia="Palatino Linotype" w:hAnsi="Palatino Linotype" w:cs="Palatino Linotype"/>
                <w:i/>
                <w:iCs/>
              </w:rPr>
            </w:pPr>
          </w:p>
        </w:tc>
        <w:tc>
          <w:tcPr>
            <w:tcW w:w="2010" w:type="dxa"/>
          </w:tcPr>
          <w:p w:rsidR="003B3971" w:rsidRDefault="00601C2E">
            <w:pPr>
              <w:ind w:right="-42"/>
              <w:jc w:val="both"/>
              <w:rPr>
                <w:rFonts w:ascii="Palatino Linotype" w:eastAsia="Palatino Linotype" w:hAnsi="Palatino Linotype" w:cs="Palatino Linotype"/>
                <w:i/>
                <w:iCs/>
              </w:rPr>
            </w:pPr>
            <w:r>
              <w:rPr>
                <w:rFonts w:ascii="Palatino Linotype" w:eastAsia="Palatino Linotype" w:hAnsi="Palatino Linotype" w:cs="Palatino Linotype"/>
                <w:i/>
                <w:iCs/>
              </w:rPr>
              <w:t>Actos consentidos</w:t>
            </w:r>
          </w:p>
        </w:tc>
      </w:tr>
      <w:tr w:rsidR="003B3971" w:rsidTr="00A96CA6">
        <w:trPr>
          <w:jc w:val="center"/>
        </w:trPr>
        <w:tc>
          <w:tcPr>
            <w:tcW w:w="300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2.-Todos los oficios enviados y recibidos de todas las áreas administrativas que integran el DIF municipal, de los años 2024 y 2025</w:t>
            </w:r>
          </w:p>
          <w:p w:rsidR="003B3971" w:rsidRDefault="003B3971">
            <w:pPr>
              <w:ind w:right="-68"/>
              <w:jc w:val="both"/>
              <w:rPr>
                <w:rFonts w:ascii="Palatino Linotype" w:eastAsia="Palatino Linotype" w:hAnsi="Palatino Linotype" w:cs="Palatino Linotype"/>
                <w:i/>
                <w:iCs/>
              </w:rPr>
            </w:pPr>
          </w:p>
        </w:tc>
        <w:tc>
          <w:tcPr>
            <w:tcW w:w="2580" w:type="dxa"/>
          </w:tcPr>
          <w:p w:rsidR="003B3971" w:rsidRDefault="00601C2E">
            <w:pPr>
              <w:ind w:right="-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Se entregan oficios de las áreas de la Dirección General, Coordinación de Recursos Humanos, UIPPE, Coordinación de URIS, Comunicación Social, Coordinación de Prevención, y Bienestar Familiar, Coordinación de Innovación y Habilidades, Coordinación del Adulto Mayor, de los cuales se observa que se </w:t>
            </w:r>
            <w:r>
              <w:rPr>
                <w:rFonts w:ascii="Palatino Linotype" w:eastAsia="Palatino Linotype" w:hAnsi="Palatino Linotype" w:cs="Palatino Linotype"/>
                <w:i/>
                <w:iCs/>
              </w:rPr>
              <w:lastRenderedPageBreak/>
              <w:t xml:space="preserve">encuentran incompletos en folios, así mismo se observa que se clasificaron datos como número de folios, nombres de servidores públicos, características como color, marca, modelo, número de placas y número de series de vehículos propiedad del Ayuntamiento, nombre de instituciones. </w:t>
            </w:r>
          </w:p>
          <w:p w:rsidR="003B3971" w:rsidRDefault="00601C2E">
            <w:pPr>
              <w:ind w:right="-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De la Revisión de los oficios también se observa que se clasifican nombre y domicilio de particulares. </w:t>
            </w:r>
          </w:p>
        </w:tc>
        <w:tc>
          <w:tcPr>
            <w:tcW w:w="2835" w:type="dxa"/>
          </w:tcPr>
          <w:p w:rsidR="003B3971" w:rsidRDefault="00601C2E">
            <w:pPr>
              <w:ind w:right="-67"/>
              <w:rPr>
                <w:rFonts w:ascii="Palatino Linotype" w:eastAsia="Palatino Linotype" w:hAnsi="Palatino Linotype" w:cs="Palatino Linotype"/>
                <w:i/>
                <w:iCs/>
              </w:rPr>
            </w:pPr>
            <w:r>
              <w:rPr>
                <w:rFonts w:ascii="Palatino Linotype" w:eastAsia="Palatino Linotype" w:hAnsi="Palatino Linotype" w:cs="Palatino Linotype"/>
                <w:i/>
                <w:iCs/>
              </w:rPr>
              <w:lastRenderedPageBreak/>
              <w:t>Ratifica respuesta inicial</w:t>
            </w:r>
          </w:p>
        </w:tc>
        <w:tc>
          <w:tcPr>
            <w:tcW w:w="2010" w:type="dxa"/>
          </w:tcPr>
          <w:p w:rsidR="003B3971" w:rsidRDefault="00601C2E">
            <w:pPr>
              <w:ind w:right="-4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Colma parcialmente, toda vez que se hizo entrega de oficios sin embargo los mismos no se encuentran en correcta versión pública, así mismo no se entregó el Acta del Comité de Transparencia que funde y motive la </w:t>
            </w:r>
            <w:r>
              <w:rPr>
                <w:rFonts w:ascii="Palatino Linotype" w:eastAsia="Palatino Linotype" w:hAnsi="Palatino Linotype" w:cs="Palatino Linotype"/>
                <w:i/>
                <w:iCs/>
              </w:rPr>
              <w:lastRenderedPageBreak/>
              <w:t>clasificación de los datos suprimidos.</w:t>
            </w:r>
          </w:p>
        </w:tc>
      </w:tr>
      <w:tr w:rsidR="003B3971" w:rsidTr="00A96CA6">
        <w:trPr>
          <w:jc w:val="center"/>
        </w:trPr>
        <w:tc>
          <w:tcPr>
            <w:tcW w:w="300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3.-Recibo de nómina de todos los servidores públicos adscritos de la quincena del 16 al 31 de octubre del presente año</w:t>
            </w:r>
          </w:p>
          <w:p w:rsidR="003B3971" w:rsidRDefault="003B3971">
            <w:pPr>
              <w:ind w:right="-68"/>
              <w:jc w:val="both"/>
              <w:rPr>
                <w:rFonts w:ascii="Palatino Linotype" w:eastAsia="Palatino Linotype" w:hAnsi="Palatino Linotype" w:cs="Palatino Linotype"/>
                <w:i/>
                <w:iCs/>
              </w:rPr>
            </w:pPr>
          </w:p>
        </w:tc>
        <w:tc>
          <w:tcPr>
            <w:tcW w:w="2580" w:type="dxa"/>
          </w:tcPr>
          <w:p w:rsidR="003B3971" w:rsidRDefault="00601C2E">
            <w:pPr>
              <w:ind w:right="-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0029dif recuros humanos.pdf: </w:t>
            </w:r>
            <w:r>
              <w:rPr>
                <w:rFonts w:ascii="Palatino Linotype" w:eastAsia="Palatino Linotype" w:hAnsi="Palatino Linotype" w:cs="Palatino Linotype"/>
                <w:i/>
                <w:iCs/>
              </w:rPr>
              <w:t xml:space="preserve">El archivo contiene los recibos de nómina de los cuales se observa que se clasifican las cadenas y sellos digitales, datos que por su naturaleza no contienen datos confidenciales, el archivo también contiene recibos de nómina cortados. </w:t>
            </w:r>
          </w:p>
          <w:p w:rsidR="003B3971" w:rsidRDefault="003B3971">
            <w:pPr>
              <w:ind w:right="-39"/>
              <w:jc w:val="both"/>
              <w:rPr>
                <w:rFonts w:ascii="Palatino Linotype" w:eastAsia="Palatino Linotype" w:hAnsi="Palatino Linotype" w:cs="Palatino Linotype"/>
                <w:i/>
                <w:iCs/>
              </w:rPr>
            </w:pPr>
          </w:p>
        </w:tc>
        <w:tc>
          <w:tcPr>
            <w:tcW w:w="2835" w:type="dxa"/>
          </w:tcPr>
          <w:p w:rsidR="003B3971" w:rsidRDefault="00601C2E">
            <w:pPr>
              <w:ind w:right="-67"/>
              <w:rPr>
                <w:rFonts w:ascii="Palatino Linotype" w:eastAsia="Palatino Linotype" w:hAnsi="Palatino Linotype" w:cs="Palatino Linotype"/>
                <w:i/>
                <w:iCs/>
              </w:rPr>
            </w:pPr>
            <w:r>
              <w:rPr>
                <w:rFonts w:ascii="Palatino Linotype" w:eastAsia="Palatino Linotype" w:hAnsi="Palatino Linotype" w:cs="Palatino Linotype"/>
                <w:i/>
                <w:iCs/>
              </w:rPr>
              <w:t xml:space="preserve">no hay pronunciamiento </w:t>
            </w:r>
          </w:p>
        </w:tc>
        <w:tc>
          <w:tcPr>
            <w:tcW w:w="2010" w:type="dxa"/>
          </w:tcPr>
          <w:p w:rsidR="003B3971" w:rsidRDefault="00601C2E">
            <w:pPr>
              <w:ind w:right="-4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Colma parcialmente, toda vez que se clasificaron cadenas y sellos digitales que son datos que no contienen datos confidenciales de conformidad con el artículo 143 fracción I de la Ley de Transparencia y Acceso a la Información Pública del Estado de México y </w:t>
            </w:r>
            <w:r>
              <w:rPr>
                <w:rFonts w:ascii="Palatino Linotype" w:eastAsia="Palatino Linotype" w:hAnsi="Palatino Linotype" w:cs="Palatino Linotype"/>
                <w:i/>
                <w:iCs/>
              </w:rPr>
              <w:lastRenderedPageBreak/>
              <w:t xml:space="preserve">Municipios, situación por la cual se ordenan en correcta versión pública. </w:t>
            </w:r>
          </w:p>
        </w:tc>
      </w:tr>
      <w:tr w:rsidR="003B3971" w:rsidTr="00A96CA6">
        <w:trPr>
          <w:jc w:val="center"/>
        </w:trPr>
        <w:tc>
          <w:tcPr>
            <w:tcW w:w="300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4.-Nombre de todas las personas que han sido beneficiarias de todos los apoyos que ha otorgado el DIF en 2025</w:t>
            </w:r>
          </w:p>
        </w:tc>
        <w:tc>
          <w:tcPr>
            <w:tcW w:w="2580" w:type="dxa"/>
          </w:tcPr>
          <w:p w:rsidR="003B3971" w:rsidRDefault="00601C2E">
            <w:pPr>
              <w:ind w:right="-39"/>
              <w:jc w:val="both"/>
              <w:rPr>
                <w:rFonts w:ascii="Palatino Linotype" w:eastAsia="Palatino Linotype" w:hAnsi="Palatino Linotype" w:cs="Palatino Linotype"/>
                <w:i/>
                <w:iCs/>
              </w:rPr>
            </w:pPr>
            <w:r>
              <w:rPr>
                <w:rFonts w:ascii="Palatino Linotype" w:eastAsia="Palatino Linotype" w:hAnsi="Palatino Linotype" w:cs="Palatino Linotype"/>
                <w:i/>
                <w:iCs/>
              </w:rPr>
              <w:t>No hay pronunciamiento</w:t>
            </w:r>
          </w:p>
        </w:tc>
        <w:tc>
          <w:tcPr>
            <w:tcW w:w="2835" w:type="dxa"/>
          </w:tcPr>
          <w:p w:rsidR="003B3971" w:rsidRDefault="00601C2E">
            <w:pPr>
              <w:ind w:right="-67"/>
              <w:rPr>
                <w:rFonts w:ascii="Palatino Linotype" w:eastAsia="Palatino Linotype" w:hAnsi="Palatino Linotype" w:cs="Palatino Linotype"/>
                <w:i/>
                <w:iCs/>
              </w:rPr>
            </w:pPr>
            <w:r>
              <w:rPr>
                <w:rFonts w:ascii="Palatino Linotype" w:eastAsia="Palatino Linotype" w:hAnsi="Palatino Linotype" w:cs="Palatino Linotype"/>
                <w:i/>
                <w:iCs/>
              </w:rPr>
              <w:t>no hay pronunciamiento</w:t>
            </w:r>
          </w:p>
        </w:tc>
        <w:tc>
          <w:tcPr>
            <w:tcW w:w="2010" w:type="dxa"/>
          </w:tcPr>
          <w:p w:rsidR="003B3971" w:rsidRDefault="00601C2E">
            <w:pPr>
              <w:ind w:right="-4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al no haber pronunciamiento </w:t>
            </w:r>
          </w:p>
        </w:tc>
      </w:tr>
      <w:tr w:rsidR="003B3971" w:rsidTr="00A96CA6">
        <w:trPr>
          <w:jc w:val="center"/>
        </w:trPr>
        <w:tc>
          <w:tcPr>
            <w:tcW w:w="300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5.- De la Presidencia y Dirección me proporcionen los manuales de procedimientos, manuales generales y su reglamento interno </w:t>
            </w:r>
          </w:p>
        </w:tc>
        <w:tc>
          <w:tcPr>
            <w:tcW w:w="2580" w:type="dxa"/>
          </w:tcPr>
          <w:p w:rsidR="003B3971" w:rsidRDefault="00601C2E">
            <w:pPr>
              <w:ind w:right="-39"/>
              <w:jc w:val="both"/>
              <w:rPr>
                <w:rFonts w:ascii="Palatino Linotype" w:eastAsia="Palatino Linotype" w:hAnsi="Palatino Linotype" w:cs="Palatino Linotype"/>
                <w:i/>
                <w:iCs/>
              </w:rPr>
            </w:pPr>
            <w:r>
              <w:rPr>
                <w:rFonts w:ascii="Palatino Linotype" w:eastAsia="Palatino Linotype" w:hAnsi="Palatino Linotype" w:cs="Palatino Linotype"/>
                <w:i/>
                <w:iCs/>
              </w:rPr>
              <w:t>No hay pronunciamiento</w:t>
            </w:r>
          </w:p>
        </w:tc>
        <w:tc>
          <w:tcPr>
            <w:tcW w:w="2835" w:type="dxa"/>
          </w:tcPr>
          <w:p w:rsidR="003B3971" w:rsidRDefault="00601C2E">
            <w:pPr>
              <w:ind w:right="-67"/>
              <w:rPr>
                <w:rFonts w:ascii="Palatino Linotype" w:eastAsia="Palatino Linotype" w:hAnsi="Palatino Linotype" w:cs="Palatino Linotype"/>
                <w:i/>
                <w:iCs/>
              </w:rPr>
            </w:pPr>
            <w:r>
              <w:rPr>
                <w:rFonts w:ascii="Palatino Linotype" w:eastAsia="Palatino Linotype" w:hAnsi="Palatino Linotype" w:cs="Palatino Linotype"/>
                <w:i/>
                <w:iCs/>
              </w:rPr>
              <w:t>no hay pronunciamiento</w:t>
            </w:r>
          </w:p>
        </w:tc>
        <w:tc>
          <w:tcPr>
            <w:tcW w:w="2010" w:type="dxa"/>
          </w:tcPr>
          <w:p w:rsidR="003B3971" w:rsidRDefault="00601C2E">
            <w:pPr>
              <w:ind w:right="-4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al no haber pronunciamiento </w:t>
            </w:r>
          </w:p>
        </w:tc>
      </w:tr>
    </w:tbl>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De lo anterior, se debe de precisar que para el caso del punto uno de la solicitud de información consistente en “</w:t>
      </w:r>
      <w:r>
        <w:rPr>
          <w:rFonts w:ascii="Palatino Linotype" w:eastAsia="Palatino Linotype" w:hAnsi="Palatino Linotype" w:cs="Palatino Linotype"/>
          <w:b/>
          <w:bCs/>
          <w:i/>
          <w:iCs/>
        </w:rPr>
        <w:t xml:space="preserve">Informes mensuales, bimestrales y/o anuales que las áreas administrativas de este dif envían a la UIPPE del 2025”, </w:t>
      </w:r>
      <w:r>
        <w:rPr>
          <w:rFonts w:ascii="Palatino Linotype" w:eastAsia="Palatino Linotype" w:hAnsi="Palatino Linotype" w:cs="Palatino Linotype"/>
        </w:rPr>
        <w:t xml:space="preserve">se debe de tener como </w:t>
      </w:r>
      <w:r>
        <w:rPr>
          <w:rFonts w:ascii="Palatino Linotype" w:eastAsia="Palatino Linotype" w:hAnsi="Palatino Linotype" w:cs="Palatino Linotype"/>
          <w:b/>
          <w:bCs/>
        </w:rPr>
        <w:t>acto consentido</w:t>
      </w:r>
      <w:r>
        <w:rPr>
          <w:rFonts w:ascii="Palatino Linotype" w:eastAsia="Palatino Linotype" w:hAnsi="Palatino Linotype" w:cs="Palatino Linotype"/>
        </w:rPr>
        <w:t xml:space="preserve">, toda vez que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no se inconforma sobre este punto de la solicitud de información, </w:t>
      </w:r>
    </w:p>
    <w:p w:rsidR="003B3971" w:rsidRDefault="003B3971">
      <w:pPr>
        <w:spacing w:line="360" w:lineRule="auto"/>
        <w:ind w:right="-929"/>
        <w:jc w:val="both"/>
        <w:rPr>
          <w:rFonts w:ascii="Palatino Linotype" w:eastAsia="Palatino Linotype" w:hAnsi="Palatino Linotype" w:cs="Palatino Linotype"/>
          <w:b/>
          <w:bCs/>
          <w:i/>
          <w:iCs/>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Esto es así, debido a que cuando el recurrente impugna la respuesta del sujeto obligado y </w:t>
      </w:r>
      <w:r>
        <w:rPr>
          <w:rFonts w:ascii="Palatino Linotype" w:eastAsia="Palatino Linotype" w:hAnsi="Palatino Linotype" w:cs="Palatino Linotype"/>
          <w:color w:val="000000"/>
        </w:rPr>
        <w:t>éste</w:t>
      </w:r>
      <w:r>
        <w:rPr>
          <w:rFonts w:ascii="Palatino Linotype" w:eastAsia="Palatino Linotype" w:hAnsi="Palatino Linotype" w:cs="Palatino Linotype"/>
        </w:rPr>
        <w:t xml:space="preserve"> no expresa razón o motivo de inconformidad en contra de todos los rubros </w:t>
      </w:r>
      <w:r>
        <w:rPr>
          <w:rFonts w:ascii="Palatino Linotype" w:eastAsia="Palatino Linotype" w:hAnsi="Palatino Linotype" w:cs="Palatino Linotype"/>
          <w:color w:val="000000"/>
        </w:rPr>
        <w:t>solicitados</w:t>
      </w:r>
      <w:r>
        <w:rPr>
          <w:rFonts w:ascii="Palatino Linotype" w:eastAsia="Palatino Linotype" w:hAnsi="Palatino Linotype" w:cs="Palatino Linotype"/>
        </w:rPr>
        <w:t xml:space="preserve">, los mismos deben declararse </w:t>
      </w:r>
      <w:r>
        <w:rPr>
          <w:rFonts w:ascii="Palatino Linotype" w:eastAsia="Palatino Linotype" w:hAnsi="Palatino Linotype" w:cs="Palatino Linotype"/>
          <w:color w:val="000000"/>
        </w:rPr>
        <w:t>firmes</w:t>
      </w:r>
      <w:r>
        <w:rPr>
          <w:rFonts w:ascii="Palatino Linotype" w:eastAsia="Palatino Linotype" w:hAnsi="Palatino Linotype" w:cs="Palatino Linotype"/>
        </w:rPr>
        <w:t xml:space="preserve">, pues se entiende que el </w:t>
      </w:r>
      <w:r>
        <w:rPr>
          <w:rFonts w:ascii="Palatino Linotype" w:eastAsia="Palatino Linotype" w:hAnsi="Palatino Linotype" w:cs="Palatino Linotype"/>
          <w:color w:val="000000"/>
        </w:rPr>
        <w:t>recurrente</w:t>
      </w:r>
      <w:r>
        <w:rPr>
          <w:rFonts w:ascii="Palatino Linotype" w:eastAsia="Palatino Linotype" w:hAnsi="Palatino Linotype" w:cs="Palatino Linotype"/>
        </w:rPr>
        <w:t xml:space="preserv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“REVISIÓN EN AMPARO. LOS RESOLUTIVOS NO COMBATIDOS DEBEN DECLARARSE FIRMES. </w:t>
      </w:r>
      <w:r>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Pr>
          <w:rFonts w:ascii="Palatino Linotype" w:eastAsia="Palatino Linotype" w:hAnsi="Palatino Linotype" w:cs="Palatino Linotype"/>
          <w:i/>
          <w:iCs/>
          <w:color w:val="000000"/>
        </w:rPr>
        <w:t>.”</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(Énfasis añadido)</w:t>
      </w:r>
    </w:p>
    <w:p w:rsidR="003B3971" w:rsidRDefault="003B3971">
      <w:pPr>
        <w:spacing w:line="360" w:lineRule="auto"/>
        <w:ind w:right="-929"/>
        <w:jc w:val="both"/>
        <w:rPr>
          <w:rFonts w:ascii="Palatino Linotype" w:eastAsia="Palatino Linotype" w:hAnsi="Palatino Linotype" w:cs="Palatino Linotype"/>
        </w:rPr>
      </w:pP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14"/>
        </w:numPr>
        <w:tabs>
          <w:tab w:val="left" w:pos="284"/>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Recibos de Nómina</w:t>
      </w: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Ahora bien, en cuanto al punto número tres de la solicitud de información consistente en “</w:t>
      </w:r>
      <w:r>
        <w:rPr>
          <w:rFonts w:ascii="Palatino Linotype" w:eastAsia="Palatino Linotype" w:hAnsi="Palatino Linotype" w:cs="Palatino Linotype"/>
          <w:b/>
          <w:bCs/>
          <w:i/>
          <w:iCs/>
        </w:rPr>
        <w:t xml:space="preserve">Recibo de nómina de todos los servidores públicos adscritos de la quincena del 16 al 31 de octubre del presente año”, </w:t>
      </w:r>
      <w:r>
        <w:rPr>
          <w:rFonts w:ascii="Palatino Linotype" w:eastAsia="Palatino Linotype" w:hAnsi="Palatino Linotype" w:cs="Palatino Linotype"/>
        </w:rPr>
        <w:t xml:space="preserve">se debe de fijar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acepta contar con la información solicitada, toda vez que remite los recibos de nómina solicitados, sin embargo los remite en una incorrecta versión pública, situación por la cual se analizan los datos que deben de ser clasificados como confidenciales y los datos que no. </w:t>
      </w:r>
    </w:p>
    <w:p w:rsidR="003B3971" w:rsidRDefault="003B3971">
      <w:pPr>
        <w:spacing w:line="360" w:lineRule="auto"/>
        <w:ind w:right="-929"/>
        <w:jc w:val="both"/>
        <w:rPr>
          <w:rFonts w:ascii="Palatino Linotype" w:eastAsia="Palatino Linotype" w:hAnsi="Palatino Linotype" w:cs="Palatino Linotype"/>
        </w:rPr>
      </w:pPr>
    </w:p>
    <w:p w:rsidR="003B3971" w:rsidRPr="00A96CA6"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En el caso específico,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w:t>
      </w:r>
      <w:r>
        <w:rPr>
          <w:rFonts w:ascii="Palatino Linotype" w:eastAsia="Palatino Linotype" w:hAnsi="Palatino Linotype" w:cs="Palatino Linotype"/>
        </w:rPr>
        <w:lastRenderedPageBreak/>
        <w:t>(ISSEMYM,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A96CA6" w:rsidRDefault="00A96CA6" w:rsidP="00A96CA6">
      <w:pPr>
        <w:spacing w:line="360" w:lineRule="auto"/>
        <w:ind w:right="-929"/>
        <w:jc w:val="both"/>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al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Ahora bien, las personas físicas tramitan su inscripción en el registro con el </w:t>
      </w:r>
      <w:r>
        <w:rPr>
          <w:rFonts w:ascii="Palatino Linotype" w:eastAsia="Palatino Linotype" w:hAnsi="Palatino Linotype" w:cs="Palatino Linotype"/>
          <w:color w:val="000000"/>
        </w:rPr>
        <w:t>propósito</w:t>
      </w:r>
      <w:r>
        <w:rPr>
          <w:rFonts w:ascii="Palatino Linotype" w:eastAsia="Palatino Linotype" w:hAnsi="Palatino Linotype" w:cs="Palatino Linotype"/>
        </w:rPr>
        <w:t xml:space="preserve"> de realizar —mediante esa clave de identificación— operaciones o actividades de naturaleza fiscal, la cual, les permite hacerse identificables respecto de una situación fiscal determinada.</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Lo anterior es compartido por el entonces Instituto Federal de Acceso a 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Pública y Protección de Datos Personales (IFAI) a través del Criterio 19/17, que utilizado de manera orientadora y que a la fecha de la solicitud se encontraba vigente, el cual refiere lo siguiente: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“Registro Federal de Contribuyentes (RFC) de personas físicas</w:t>
      </w:r>
      <w:r>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rsidR="003B3971" w:rsidRDefault="003B3971">
      <w:pPr>
        <w:ind w:left="567" w:right="-929"/>
        <w:jc w:val="both"/>
        <w:rPr>
          <w:rFonts w:ascii="Palatino Linotype" w:eastAsia="Palatino Linotype" w:hAnsi="Palatino Linotype" w:cs="Palatino Linotype"/>
          <w:i/>
          <w:iCs/>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Así, el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xml:space="preserve">, se vincula al nombre de su titular y permite identificar la edad de la persona, su fecha de nacimiento, así como su homoclave, la </w:t>
      </w:r>
      <w:r>
        <w:rPr>
          <w:rFonts w:ascii="Palatino Linotype" w:eastAsia="Palatino Linotype" w:hAnsi="Palatino Linotype" w:cs="Palatino Linotype"/>
        </w:rPr>
        <w:lastRenderedPageBreak/>
        <w:t>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igual manera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Argumento</w:t>
      </w:r>
      <w:r>
        <w:rPr>
          <w:rFonts w:ascii="Palatino Linotype" w:eastAsia="Palatino Linotype" w:hAnsi="Palatino Linotype" w:cs="Palatino Linotype"/>
        </w:rPr>
        <w:t xml:space="preserve"> que es compartido por el Instituto Nacional de Transparencia, Acceso a la Información y Protección de Datos Personales, INAI, conforme al criterio 18/17, que utilizado de manera orientadora, </w:t>
      </w:r>
      <w:r>
        <w:rPr>
          <w:rFonts w:ascii="Palatino Linotype" w:eastAsia="Palatino Linotype" w:hAnsi="Palatino Linotype" w:cs="Palatino Linotype"/>
          <w:b/>
          <w:bCs/>
        </w:rPr>
        <w:t>toda vez que a la fecha de la solicitud de encontraba vigente, mismo que refiere</w:t>
      </w:r>
      <w:r>
        <w:rPr>
          <w:rFonts w:ascii="Palatino Linotype" w:eastAsia="Palatino Linotype" w:hAnsi="Palatino Linotype" w:cs="Palatino Linotype"/>
        </w:rPr>
        <w:t xml:space="preserv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“Clave Única de Registro de Población (CURP). </w:t>
      </w:r>
      <w:r>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lastRenderedPageBreak/>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a la </w:t>
      </w:r>
      <w:r>
        <w:rPr>
          <w:rFonts w:ascii="Palatino Linotype" w:eastAsia="Palatino Linotype" w:hAnsi="Palatino Linotype" w:cs="Palatino Linotype"/>
          <w:b/>
          <w:bCs/>
        </w:rPr>
        <w:t>Clave de cualquier tipo de seguridad social (ISSEMyM, u otros</w:t>
      </w:r>
      <w:r>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Pr="00A96CA6"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Como se advierte, la clave ISSEMYM es un dato personal que permite </w:t>
      </w:r>
      <w:r>
        <w:rPr>
          <w:rFonts w:ascii="Palatino Linotype" w:eastAsia="Palatino Linotype" w:hAnsi="Palatino Linotype" w:cs="Palatino Linotype"/>
          <w:color w:val="000000"/>
        </w:rPr>
        <w:t>identificar</w:t>
      </w:r>
      <w:r>
        <w:rPr>
          <w:rFonts w:ascii="Palatino Linotype" w:eastAsia="Palatino Linotype" w:hAnsi="Palatino Linotype" w:cs="Palatino Linotype"/>
        </w:rPr>
        <w:t xml:space="preserve"> que una persona ya trabajó o trabaja en alguna institución pública del Estado de México, por la que tiene o tuvo derecho a esta prestación de seguridad social; es de destacar que la clave </w:t>
      </w:r>
      <w:r>
        <w:rPr>
          <w:rFonts w:ascii="Palatino Linotype" w:eastAsia="Palatino Linotype" w:hAnsi="Palatino Linotype" w:cs="Palatino Linotype"/>
        </w:rPr>
        <w:lastRenderedPageBreak/>
        <w:t xml:space="preserve">ISSEMYM no cambia, aunque el trabajador se dé de baja y alta en diversas ocasiones, con motivo de haber trabajado en diferentes instituciones públicas de la Entidad. </w:t>
      </w:r>
    </w:p>
    <w:p w:rsidR="00A96CA6" w:rsidRDefault="00A96CA6" w:rsidP="00A96CA6">
      <w:pPr>
        <w:spacing w:line="360" w:lineRule="auto"/>
        <w:ind w:right="-929"/>
        <w:jc w:val="both"/>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Contar con la prestación de seguridad social que brinda el ISSEMYM no es una </w:t>
      </w:r>
      <w:r>
        <w:rPr>
          <w:rFonts w:ascii="Palatino Linotype" w:eastAsia="Palatino Linotype" w:hAnsi="Palatino Linotype" w:cs="Palatino Linotype"/>
          <w:color w:val="000000"/>
        </w:rPr>
        <w:t>obligación</w:t>
      </w:r>
      <w:r>
        <w:rPr>
          <w:rFonts w:ascii="Palatino Linotype" w:eastAsia="Palatino Linotype" w:hAnsi="Palatino Linotype" w:cs="Palatino Linotype"/>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Respecto de los préstamos o descuentos de carácter personal, estos no deben tener relación con la prestación del servicio; es decir, son confidenciales los </w:t>
      </w:r>
      <w:r>
        <w:rPr>
          <w:rFonts w:ascii="Palatino Linotype" w:eastAsia="Palatino Linotype" w:hAnsi="Palatino Linotype" w:cs="Palatino Linotype"/>
          <w:color w:val="000000"/>
        </w:rPr>
        <w:t>préstamos</w:t>
      </w:r>
      <w:r>
        <w:rPr>
          <w:rFonts w:ascii="Palatino Linotype" w:eastAsia="Palatino Linotype" w:hAnsi="Palatino Linotype" w:cs="Palatino Linotype"/>
        </w:rPr>
        <w:t xml:space="preserve">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Por </w:t>
      </w:r>
      <w:r>
        <w:rPr>
          <w:rFonts w:ascii="Palatino Linotype" w:eastAsia="Palatino Linotype" w:hAnsi="Palatino Linotype" w:cs="Palatino Linotype"/>
          <w:color w:val="000000"/>
        </w:rPr>
        <w:t>su</w:t>
      </w:r>
      <w:r>
        <w:rPr>
          <w:rFonts w:ascii="Palatino Linotype" w:eastAsia="Palatino Linotype" w:hAnsi="Palatino Linotype" w:cs="Palatino Linotype"/>
        </w:rPr>
        <w:t xml:space="preserve"> parte, el artículo 84 de la Ley del Trabajo de los Servidores Públicos del Estado y Municipios, señala:</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ARTICULO 84. Sólo podrán hacerse retenciones, descuentos o deducciones al sueldo de los servidores públicos por concepto de:</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i/>
          <w:iCs/>
        </w:rPr>
        <w:t>I. Gravámenes fiscales relacionados con el sueldo;</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b/>
          <w:bCs/>
          <w:i/>
          <w:iCs/>
        </w:rPr>
        <w:lastRenderedPageBreak/>
        <w:t>II. Deudas contraídas con las instituciones públicas o dependencias</w:t>
      </w:r>
      <w:r>
        <w:rPr>
          <w:rFonts w:ascii="Palatino Linotype" w:eastAsia="Palatino Linotype" w:hAnsi="Palatino Linotype" w:cs="Palatino Linotype"/>
          <w:i/>
          <w:iCs/>
        </w:rPr>
        <w:t xml:space="preserve"> por concepto de anticipos de sueldo, pagos hechos con exceso, errores o pérdidas debidamente comprobados;</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b/>
          <w:bCs/>
          <w:i/>
          <w:iCs/>
        </w:rPr>
        <w:t>III. Cuotas sindicales</w:t>
      </w:r>
      <w:r>
        <w:rPr>
          <w:rFonts w:ascii="Palatino Linotype" w:eastAsia="Palatino Linotype" w:hAnsi="Palatino Linotype" w:cs="Palatino Linotype"/>
          <w:i/>
          <w:iCs/>
        </w:rPr>
        <w:t>;</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i/>
          <w:iCs/>
        </w:rPr>
        <w:t>IV. Cuotas de aportación a fondos para la constitución de cooperativas y de cajas de ahorro, siempre que el servidor público hubiese manifestado previamente, de manera expresa, su conformidad;</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i/>
          <w:iCs/>
        </w:rPr>
        <w:t>V. Descuentos ordenados por el Instituto de Seguridad Social del Estado de México y Municipios, con motivo de cuotas y obligaciones contraídas con éste por los servidores públicos;</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b/>
          <w:bCs/>
          <w:i/>
          <w:iCs/>
        </w:rPr>
        <w:t>VI. Obligaciones a cargo del servidor público con las que haya consentido</w:t>
      </w:r>
      <w:r>
        <w:rPr>
          <w:rFonts w:ascii="Palatino Linotype" w:eastAsia="Palatino Linotype" w:hAnsi="Palatino Linotype" w:cs="Palatino Linotype"/>
          <w:i/>
          <w:iCs/>
        </w:rPr>
        <w:t>, derivadas de la adquisición o del uso de habitaciones consideradas como de interés social;</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i/>
          <w:iCs/>
        </w:rPr>
        <w:t>VII. Faltas de puntualidad o de asistencia injustificadas;</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b/>
          <w:bCs/>
          <w:i/>
          <w:iCs/>
        </w:rPr>
        <w:t>VIII. Pensiones alimenticias ordenadas por la autoridad judicial;</w:t>
      </w:r>
      <w:r>
        <w:rPr>
          <w:rFonts w:ascii="Palatino Linotype" w:eastAsia="Palatino Linotype" w:hAnsi="Palatino Linotype" w:cs="Palatino Linotype"/>
          <w:i/>
          <w:iCs/>
        </w:rPr>
        <w:t xml:space="preserve"> o</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b/>
          <w:bCs/>
          <w:i/>
          <w:iCs/>
        </w:rPr>
        <w:t>IX. Cualquier otro convenido con instituciones de servicios y aceptado por el servidor público.</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i/>
          <w:iC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3B3971" w:rsidRDefault="00601C2E">
      <w:pPr>
        <w:ind w:left="1134" w:right="-929"/>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3B3971" w:rsidRDefault="003B3971">
      <w:pPr>
        <w:spacing w:line="360" w:lineRule="auto"/>
        <w:ind w:left="851"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Derivado</w:t>
      </w:r>
      <w:r>
        <w:rPr>
          <w:rFonts w:ascii="Palatino Linotype" w:eastAsia="Palatino Linotype" w:hAnsi="Palatino Linotype" w:cs="Palatino Linotype"/>
        </w:rPr>
        <w:t xml:space="preserve"> de lo anterior, la ley establece claramente cuáles son esos descuentos o gravámenes que directamente se relacionan con las obligaciones adquiridas como servidores públicos y aquéllos que </w:t>
      </w:r>
      <w:r>
        <w:rPr>
          <w:rFonts w:ascii="Palatino Linotype" w:eastAsia="Palatino Linotype" w:hAnsi="Palatino Linotype" w:cs="Palatino Linotype"/>
          <w:b/>
          <w:bCs/>
          <w:u w:val="single"/>
        </w:rPr>
        <w:t>únicamente inciden en su vida privada</w:t>
      </w:r>
      <w:r>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lastRenderedPageBreak/>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Pr>
          <w:rFonts w:ascii="Palatino Linotype" w:eastAsia="Palatino Linotype" w:hAnsi="Palatino Linotype" w:cs="Palatino Linotype"/>
          <w:i/>
          <w:iCs/>
        </w:rPr>
        <w:t>.”</w:t>
      </w:r>
    </w:p>
    <w:p w:rsidR="003B3971" w:rsidRDefault="003B3971">
      <w:pPr>
        <w:ind w:left="1134" w:right="-929"/>
        <w:jc w:val="both"/>
        <w:rPr>
          <w:rFonts w:ascii="Palatino Linotype" w:eastAsia="Palatino Linotype" w:hAnsi="Palatino Linotype" w:cs="Palatino Linotype"/>
          <w:i/>
          <w:iCs/>
        </w:rPr>
      </w:pP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“TRANSPARENCIA Y ACCESO A LA INFORMACIÓN PÚBLICA GUBERNAMENTAL. EL ARTÍCULO 14, FRACCIÓN I, DE LA LEY FEDERAL RELATIVA, NO VIOLA LA GARANTÍA DE ACCESO A LA INFORMACIÓN. </w:t>
      </w:r>
      <w:r>
        <w:rPr>
          <w:rFonts w:ascii="Palatino Linotype" w:eastAsia="Palatino Linotype" w:hAnsi="Palatino Linotype" w:cs="Palatino Linotype"/>
          <w:i/>
          <w:iC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3B3971" w:rsidRDefault="003B3971">
      <w:pPr>
        <w:ind w:left="1134" w:right="-929"/>
        <w:jc w:val="both"/>
        <w:rPr>
          <w:rFonts w:ascii="Palatino Linotype" w:eastAsia="Palatino Linotype" w:hAnsi="Palatino Linotype" w:cs="Palatino Linotype"/>
          <w:i/>
          <w:iCs/>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También</w:t>
      </w:r>
      <w:r>
        <w:rPr>
          <w:rFonts w:ascii="Palatino Linotype" w:eastAsia="Palatino Linotype" w:hAnsi="Palatino Linotype" w:cs="Palatino Linotype"/>
        </w:rPr>
        <w:t xml:space="preserve">, el número de cuenta bancario, en el Criterio 10/17 emitido por el Pleno del Instituto Nacional de Transparencia, Acceso a la Información y Protección de Datos Personales , que en el presente asunto se refiere como criterio orientador, toda vez que a la fecha de la solicitud se encontraba vigente. </w:t>
      </w:r>
    </w:p>
    <w:p w:rsidR="003B3971" w:rsidRDefault="00601C2E">
      <w:pPr>
        <w:shd w:val="clear" w:color="auto" w:fill="FFFFFF"/>
        <w:ind w:left="1134" w:right="-929"/>
        <w:jc w:val="both"/>
        <w:rPr>
          <w:rFonts w:ascii="Palatino Linotype" w:eastAsia="Palatino Linotype" w:hAnsi="Palatino Linotype" w:cs="Palatino Linotype"/>
        </w:rPr>
      </w:pPr>
      <w:r>
        <w:rPr>
          <w:rFonts w:ascii="Palatino Linotype" w:eastAsia="Palatino Linotype" w:hAnsi="Palatino Linotype" w:cs="Palatino Linotype"/>
        </w:rPr>
        <w:t>“</w:t>
      </w:r>
      <w:r>
        <w:rPr>
          <w:rFonts w:ascii="Palatino Linotype" w:eastAsia="Palatino Linotype" w:hAnsi="Palatino Linotype" w:cs="Palatino Linotype"/>
          <w:b/>
          <w:bCs/>
          <w:i/>
          <w:iCs/>
        </w:rPr>
        <w:t>Cuentas bancarias y/o CLABE interbancaria de personas físicas y morales privadas.</w:t>
      </w:r>
      <w:r>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w:t>
      </w:r>
      <w:r>
        <w:rPr>
          <w:rFonts w:ascii="Palatino Linotype" w:eastAsia="Palatino Linotype" w:hAnsi="Palatino Linotype" w:cs="Palatino Linotype"/>
          <w:i/>
          <w:iCs/>
        </w:rPr>
        <w:lastRenderedPageBreak/>
        <w:t>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Pr>
          <w:rFonts w:ascii="Palatino Linotype" w:eastAsia="Palatino Linotype" w:hAnsi="Palatino Linotype" w:cs="Palatino Linotype"/>
        </w:rPr>
        <w:t>.”</w:t>
      </w:r>
    </w:p>
    <w:p w:rsidR="003B3971" w:rsidRDefault="003B3971">
      <w:pPr>
        <w:ind w:left="1134"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Esta </w:t>
      </w:r>
      <w:r>
        <w:rPr>
          <w:rFonts w:ascii="Palatino Linotype" w:eastAsia="Palatino Linotype" w:hAnsi="Palatino Linotype" w:cs="Palatino Linotype"/>
          <w:color w:val="000000"/>
        </w:rPr>
        <w:t>cuenta</w:t>
      </w:r>
      <w:r>
        <w:rPr>
          <w:rFonts w:ascii="Palatino Linotype" w:eastAsia="Palatino Linotype" w:hAnsi="Palatino Linotype" w:cs="Palatino Linotype"/>
        </w:rPr>
        <w:t xml:space="preserve">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Código de barras bidimensional (QR</w:t>
      </w:r>
      <w:r>
        <w:rPr>
          <w:rFonts w:ascii="Palatino Linotype" w:eastAsia="Palatino Linotype" w:hAnsi="Palatino Linotype" w:cs="Palatino Linotype"/>
        </w:rPr>
        <w:t xml:space="preserve">), resulta necesario señalar que los </w:t>
      </w:r>
      <w:r>
        <w:rPr>
          <w:rFonts w:ascii="Palatino Linotype" w:eastAsia="Palatino Linotype" w:hAnsi="Palatino Linotype" w:cs="Palatino Linotype"/>
          <w:color w:val="000000"/>
        </w:rPr>
        <w:t>comprobantes</w:t>
      </w:r>
      <w:r>
        <w:rPr>
          <w:rFonts w:ascii="Palatino Linotype" w:eastAsia="Palatino Linotype" w:hAnsi="Palatino Linotype" w:cs="Palatino Linotype"/>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8">
        <w:r>
          <w:rPr>
            <w:rFonts w:ascii="Palatino Linotype" w:eastAsia="Palatino Linotype" w:hAnsi="Palatino Linotype" w:cs="Palatino Linotype"/>
          </w:rPr>
          <w:t>http://dof.gob.mx/nota_detalle.php?codigo=5492254&amp;fecha=28/07/2017</w:t>
        </w:r>
      </w:hyperlink>
      <w:r>
        <w:rPr>
          <w:rFonts w:ascii="Palatino Linotype" w:eastAsia="Palatino Linotype" w:hAnsi="Palatino Linotype" w:cs="Palatino Linotype"/>
        </w:rPr>
        <w:t>. Incluso con la captura de dicho código, a través de la aplicación móvil del Servicio de Administración Tributaria, permite el acceso al Registro Federal de Contribuyentes, como del Sujeto Obligado, como de la persona física o moral correspondiente.</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lastRenderedPageBreak/>
        <w:t xml:space="preserve">De </w:t>
      </w:r>
      <w:r>
        <w:rPr>
          <w:rFonts w:ascii="Palatino Linotype" w:eastAsia="Palatino Linotype" w:hAnsi="Palatino Linotype" w:cs="Palatino Linotype"/>
          <w:color w:val="000000"/>
        </w:rPr>
        <w:t>tales</w:t>
      </w:r>
      <w:r>
        <w:rPr>
          <w:rFonts w:ascii="Palatino Linotype" w:eastAsia="Palatino Linotype" w:hAnsi="Palatino Linotype" w:cs="Palatino Linotype"/>
        </w:rPr>
        <w:t xml:space="preserve">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siendo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rsidR="003B3971" w:rsidRDefault="00601C2E">
      <w:pPr>
        <w:shd w:val="clear" w:color="auto" w:fill="FFFFFF"/>
        <w:ind w:left="1134" w:right="-929"/>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“El número de ficha de identificación única de los trabajadores es información de carácter confidencial.</w:t>
      </w:r>
      <w:r>
        <w:rPr>
          <w:rFonts w:ascii="Palatino Linotype" w:eastAsia="Palatino Linotype" w:hAnsi="Palatino Linotype" w:cs="Palatino Linotype"/>
          <w:i/>
          <w:iCs/>
          <w:color w:val="222222"/>
        </w:rPr>
        <w:t> </w:t>
      </w:r>
      <w:r>
        <w:rPr>
          <w:rFonts w:ascii="Palatino Linotype" w:eastAsia="Palatino Linotype" w:hAnsi="Palatino Linotype" w:cs="Palatino Linotype"/>
          <w:i/>
          <w:iCs/>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Pr>
          <w:rFonts w:ascii="Palatino Linotype" w:eastAsia="Palatino Linotype" w:hAnsi="Palatino Linotype" w:cs="Palatino Linotype"/>
          <w:i/>
          <w:iCs/>
          <w:color w:val="222222"/>
        </w:rPr>
        <w:t>, </w:t>
      </w:r>
      <w:r>
        <w:rPr>
          <w:rFonts w:ascii="Palatino Linotype" w:eastAsia="Palatino Linotype" w:hAnsi="Palatino Linotype" w:cs="Palatino Linotype"/>
          <w:i/>
          <w:iCs/>
          <w:color w:val="222222"/>
          <w:u w:val="single"/>
        </w:rPr>
        <w:t>dicha información es susceptible de clasificarse con el carácter de confidencial</w:t>
      </w:r>
      <w:r>
        <w:rPr>
          <w:rFonts w:ascii="Palatino Linotype" w:eastAsia="Palatino Linotype" w:hAnsi="Palatino Linotype" w:cs="Palatino Linotype"/>
          <w:i/>
          <w:iCs/>
          <w:color w:val="222222"/>
        </w:rPr>
        <w:t>, en términos de lo establecido en el artículo 18, fracción II de la Ley Federal de Transparencia y Acceso a la Información Pública Gubernamental, en virtud de que a través de la misma es posible conocer información personal de su titular.”</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i/>
          <w:iCs/>
          <w:color w:val="222222"/>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también es necesario indicar que hay información dentro de los recibos de nómina que no contienen datos personales por lo cual su entrega no deberá de ser clasificada, siendo los siguientes. </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lastRenderedPageBreak/>
        <w:t xml:space="preserve">Por </w:t>
      </w:r>
      <w:r>
        <w:rPr>
          <w:rFonts w:ascii="Palatino Linotype" w:eastAsia="Palatino Linotype" w:hAnsi="Palatino Linotype" w:cs="Palatino Linotype"/>
          <w:color w:val="000000"/>
        </w:rPr>
        <w:t>cuanto</w:t>
      </w:r>
      <w:r>
        <w:rPr>
          <w:rFonts w:ascii="Palatino Linotype" w:eastAsia="Palatino Linotype" w:hAnsi="Palatino Linotype" w:cs="Palatino Linotype"/>
        </w:rPr>
        <w:t xml:space="preserve"> hace </w:t>
      </w:r>
      <w:r>
        <w:rPr>
          <w:rFonts w:ascii="Palatino Linotype" w:eastAsia="Palatino Linotype" w:hAnsi="Palatino Linotype" w:cs="Palatino Linotype"/>
          <w:b/>
          <w:bCs/>
        </w:rPr>
        <w:t>al Folio Fiscal</w:t>
      </w:r>
      <w:r>
        <w:rPr>
          <w:rFonts w:ascii="Palatino Linotype" w:eastAsia="Palatino Linotype" w:hAnsi="Palatino Linotype" w:cs="Palatino Linotype"/>
        </w:rPr>
        <w:t>,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pBdr>
          <w:top w:val="nil"/>
          <w:left w:val="nil"/>
          <w:bottom w:val="nil"/>
          <w:right w:val="nil"/>
          <w:between w:val="nil"/>
        </w:pBdr>
        <w:spacing w:line="360" w:lineRule="auto"/>
        <w:ind w:right="-929"/>
        <w:jc w:val="center"/>
        <w:rPr>
          <w:rFonts w:ascii="Palatino Linotype" w:eastAsia="Palatino Linotype" w:hAnsi="Palatino Linotype" w:cs="Palatino Linotype"/>
        </w:rPr>
      </w:pPr>
      <w:r>
        <w:rPr>
          <w:rFonts w:ascii="Palatino Linotype" w:eastAsia="Palatino Linotype" w:hAnsi="Palatino Linotype" w:cs="Palatino Linotype"/>
          <w:noProof/>
          <w:color w:val="000000"/>
        </w:rPr>
        <w:drawing>
          <wp:inline distT="0" distB="0" distL="0" distR="0">
            <wp:extent cx="4667250" cy="11811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b="32787"/>
                    <a:stretch>
                      <a:fillRect/>
                    </a:stretch>
                  </pic:blipFill>
                  <pic:spPr>
                    <a:xfrm>
                      <a:off x="0" y="0"/>
                      <a:ext cx="4667250" cy="1181100"/>
                    </a:xfrm>
                    <a:prstGeom prst="rect">
                      <a:avLst/>
                    </a:prstGeom>
                    <a:ln/>
                  </pic:spPr>
                </pic:pic>
              </a:graphicData>
            </a:graphic>
          </wp:inline>
        </w:drawing>
      </w:r>
    </w:p>
    <w:p w:rsidR="00A96CA6" w:rsidRDefault="00A96CA6">
      <w:pPr>
        <w:pBdr>
          <w:top w:val="nil"/>
          <w:left w:val="nil"/>
          <w:bottom w:val="nil"/>
          <w:right w:val="nil"/>
          <w:between w:val="nil"/>
        </w:pBdr>
        <w:spacing w:line="360" w:lineRule="auto"/>
        <w:ind w:right="-929"/>
        <w:jc w:val="center"/>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En</w:t>
      </w:r>
      <w:r>
        <w:rPr>
          <w:rFonts w:ascii="Palatino Linotype" w:eastAsia="Palatino Linotype" w:hAnsi="Palatino Linotype" w:cs="Palatino Linotype"/>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de algún dato personal, por lo que, no se actualiza la clasificación, en términos del artículo 143, fracción I de la Ley de la materia.</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En </w:t>
      </w:r>
      <w:r>
        <w:rPr>
          <w:rFonts w:ascii="Palatino Linotype" w:eastAsia="Palatino Linotype" w:hAnsi="Palatino Linotype" w:cs="Palatino Linotype"/>
          <w:color w:val="000000"/>
        </w:rPr>
        <w:t>esa</w:t>
      </w:r>
      <w:r>
        <w:rPr>
          <w:rFonts w:ascii="Palatino Linotype" w:eastAsia="Palatino Linotype" w:hAnsi="Palatino Linotype" w:cs="Palatino Linotype"/>
        </w:rPr>
        <w:t xml:space="preserve"> línea de estudio, las cadenas originales y sellos que se agregan a las facturas, tienen una secuencia de generación, determinados con base en el ANEXO 20 de la Segunda </w:t>
      </w:r>
      <w:r>
        <w:rPr>
          <w:rFonts w:ascii="Palatino Linotype" w:eastAsia="Palatino Linotype" w:hAnsi="Palatino Linotype" w:cs="Palatino Linotype"/>
        </w:rPr>
        <w:lastRenderedPageBreak/>
        <w:t>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“Elementos utilizados en la generación de Sellos Digitales: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Cadena Original, el elemento a sellar, en este caso de un comprobante fiscal digital a través de Internet.</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Certificado de Sello Digital y su correspondiente clave privada.</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Algoritmos de criptografía de clave pública para firma electrónica avanzada.</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Especificaciones de conversión de la firma electrónica avanzada a Base 64.</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Para la generación de sellos digitales se utiliza criptografía de clave pública aplicada a una cadena original.</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Criptografía de la Clave Pública</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3B3971" w:rsidRDefault="003B3971">
      <w:pPr>
        <w:ind w:right="-929"/>
        <w:jc w:val="both"/>
        <w:rPr>
          <w:rFonts w:ascii="Palatino Linotype" w:eastAsia="Palatino Linotype" w:hAnsi="Palatino Linotype" w:cs="Palatino Linotype"/>
          <w:i/>
          <w:iCs/>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Es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decir</w:t>
      </w:r>
      <w:r>
        <w:rPr>
          <w:rFonts w:ascii="Palatino Linotype" w:eastAsia="Palatino Linotype" w:hAnsi="Palatino Linotype" w:cs="Palatino Linotype"/>
        </w:rPr>
        <w:t xml:space="preserve">, por sí solos las cadenas originales y los sellos originales no contienen datos personales confidenciales, por lo que se considera que </w:t>
      </w:r>
      <w:r>
        <w:rPr>
          <w:rFonts w:ascii="Palatino Linotype" w:eastAsia="Palatino Linotype" w:hAnsi="Palatino Linotype" w:cs="Palatino Linotype"/>
          <w:b/>
          <w:bCs/>
        </w:rPr>
        <w:t>no actualizan el supuesto de confidencialidad previsto en el artículo 143, fracción I</w:t>
      </w:r>
      <w:r>
        <w:rPr>
          <w:rFonts w:ascii="Palatino Linotype" w:eastAsia="Palatino Linotype" w:hAnsi="Palatino Linotype" w:cs="Palatino Linotype"/>
        </w:rPr>
        <w:t>, de la Ley de Transparencia y Acceso a la Información Pública del Estado de México y Municipios y, por el contrario, son información que permite corroborar la legitimidad de la factura, de ser el caso, por lo que guardan el carácter de público.</w:t>
      </w:r>
    </w:p>
    <w:p w:rsidR="003B3971" w:rsidRDefault="003B3971">
      <w:pPr>
        <w:spacing w:line="360" w:lineRule="auto"/>
        <w:ind w:right="-929"/>
        <w:jc w:val="both"/>
        <w:rPr>
          <w:rFonts w:ascii="Palatino Linotype" w:eastAsia="Palatino Linotype" w:hAnsi="Palatino Linotype" w:cs="Palatino Linotype"/>
          <w:b/>
          <w:bCs/>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Cabe señalar que, en algunos casos, las cadenas originales y sellos digitales, se pueden conformar de datos confidenciales, tales como el Registro Federal de Contribuyentes o la </w:t>
      </w:r>
      <w:r>
        <w:rPr>
          <w:rFonts w:ascii="Palatino Linotype" w:eastAsia="Palatino Linotype" w:hAnsi="Palatino Linotype" w:cs="Palatino Linotype"/>
        </w:rPr>
        <w:lastRenderedPageBreak/>
        <w:t>Clave Única de Registro de Población o las deducciones personales; por lo que, en su caso actualizarán la clasificación, en términos del artículo 143, fracción I, de la Ley de la materia.</w:t>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t>Por</w:t>
      </w:r>
      <w:r>
        <w:rPr>
          <w:rFonts w:ascii="Palatino Linotype" w:eastAsia="Palatino Linotype" w:hAnsi="Palatino Linotype" w:cs="Palatino Linotype"/>
        </w:rPr>
        <w:t xml:space="preserve"> otra parte, por lo que hace al </w:t>
      </w:r>
      <w:r>
        <w:rPr>
          <w:rFonts w:ascii="Palatino Linotype" w:eastAsia="Palatino Linotype" w:hAnsi="Palatino Linotype" w:cs="Palatino Linotype"/>
          <w:b/>
          <w:bCs/>
        </w:rPr>
        <w:t>número de serie de los certificados de Sello Digitales del emisor y del Servicio de Administración Tributaria</w:t>
      </w:r>
      <w:r>
        <w:rPr>
          <w:rFonts w:ascii="Palatino Linotype" w:eastAsia="Palatino Linotype" w:hAnsi="Palatino Linotype" w:cs="Palatino Linotype"/>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0">
        <w:r>
          <w:rPr>
            <w:rFonts w:ascii="Palatino Linotype" w:eastAsia="Palatino Linotype" w:hAnsi="Palatino Linotype" w:cs="Palatino Linotype"/>
          </w:rPr>
          <w:t>https://portalanterior.ine.mx/archivos2/tutoriales/sistemas/ApoyoInstitucional/SIF/docs/candidatos/folioFiscalFactura.pdf</w:t>
        </w:r>
      </w:hyperlink>
      <w:r>
        <w:rPr>
          <w:rFonts w:ascii="Palatino Linotype" w:eastAsia="Palatino Linotype" w:hAnsi="Palatino Linotype" w:cs="Palatino Linotype"/>
        </w:rPr>
        <w:t>), en la cual se advierte que únicamente se encuentra conformado por números, se muestra a continuación:</w:t>
      </w:r>
    </w:p>
    <w:p w:rsidR="003B3971" w:rsidRDefault="00601C2E">
      <w:pPr>
        <w:spacing w:line="360" w:lineRule="auto"/>
        <w:ind w:right="-929"/>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5189855" cy="100965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189855" cy="100965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simplePos x="0" y="0"/>
                <wp:positionH relativeFrom="column">
                  <wp:posOffset>632530</wp:posOffset>
                </wp:positionH>
                <wp:positionV relativeFrom="paragraph">
                  <wp:posOffset>649316</wp:posOffset>
                </wp:positionV>
                <wp:extent cx="3571875" cy="352425"/>
                <wp:effectExtent l="0" t="0" r="0" b="0"/>
                <wp:wrapNone/>
                <wp:docPr id="1" name="Rectángulo 1"/>
                <wp:cNvGraphicFramePr/>
                <a:graphic xmlns:a="http://schemas.openxmlformats.org/drawingml/2006/main">
                  <a:graphicData uri="http://schemas.microsoft.com/office/word/2010/wordprocessingShape">
                    <wps:wsp>
                      <wps:cNvSpPr/>
                      <wps:spPr>
                        <a:xfrm>
                          <a:off x="3574350" y="3618075"/>
                          <a:ext cx="3543300" cy="323850"/>
                        </a:xfrm>
                        <a:prstGeom prst="rect">
                          <a:avLst/>
                        </a:prstGeom>
                        <a:noFill/>
                        <a:ln w="28575" cap="flat" cmpd="sng">
                          <a:solidFill>
                            <a:srgbClr val="000000"/>
                          </a:solidFill>
                          <a:prstDash val="solid"/>
                          <a:miter lim="800000"/>
                          <a:headEnd type="none" w="sm" len="sm"/>
                          <a:tailEnd type="none" w="sm" len="sm"/>
                        </a:ln>
                      </wps:spPr>
                      <wps:txbx>
                        <w:txbxContent>
                          <w:p w:rsidR="003B3971" w:rsidRDefault="003B3971">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632530</wp:posOffset>
                </wp:positionH>
                <wp:positionV relativeFrom="paragraph">
                  <wp:posOffset>649316</wp:posOffset>
                </wp:positionV>
                <wp:extent cx="3571875" cy="352425"/>
                <wp:effectExtent b="0" l="0" r="0" t="0"/>
                <wp:wrapNone/>
                <wp:docPr id="1"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3571875" cy="352425"/>
                        </a:xfrm>
                        <a:prstGeom prst="rect"/>
                        <a:ln/>
                      </pic:spPr>
                    </pic:pic>
                  </a:graphicData>
                </a:graphic>
              </wp:anchor>
            </w:drawing>
          </mc:Fallback>
        </mc:AlternateContent>
      </w:r>
    </w:p>
    <w:p w:rsidR="003B3971" w:rsidRDefault="003B3971">
      <w:pPr>
        <w:spacing w:line="360" w:lineRule="auto"/>
        <w:ind w:right="-929"/>
        <w:jc w:val="center"/>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Cómo se logra observar, los números de serie del certificado de sello digital no contiene datos personales y con dichos dígitos tampoco se puede obtener información de carácter confidencial, por lo que, tampoco actualizan la causal de clasificación, establecida en el artículo 143, fracción I, de la Ley de Transparencia y Acceso a la Información Pública del </w:t>
      </w:r>
      <w:r>
        <w:rPr>
          <w:rFonts w:ascii="Palatino Linotype" w:eastAsia="Palatino Linotype" w:hAnsi="Palatino Linotype" w:cs="Palatino Linotype"/>
        </w:rPr>
        <w:lastRenderedPageBreak/>
        <w:t>Estado de México y Municipios. Máxime que permite corroborar la legitimidad a la factura, pues amparan la utilización de los certificados de sellos digitales válidos.</w:t>
      </w:r>
    </w:p>
    <w:p w:rsidR="003B3971" w:rsidRDefault="003B3971">
      <w:pPr>
        <w:tabs>
          <w:tab w:val="left" w:pos="284"/>
        </w:tabs>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De lo anterior se tiene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clasificó las cadenas y sellos digitales, sin embargo como se analizó en párrafos anteriores las mismas no contienen datos personales confidenciales, por lo que, para que sea colmado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deberán de ser entregados en correcta versión pública. </w:t>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En ese sentido,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w:t>
      </w:r>
      <w:r>
        <w:rPr>
          <w:rFonts w:ascii="Palatino Linotype" w:eastAsia="Palatino Linotype" w:hAnsi="Palatino Linotype" w:cs="Palatino Linotype"/>
          <w:color w:val="000000"/>
        </w:rPr>
        <w:t>Comité</w:t>
      </w:r>
      <w:r>
        <w:rPr>
          <w:rFonts w:ascii="Palatino Linotype" w:eastAsia="Palatino Linotype" w:hAnsi="Palatino Linotype" w:cs="Palatino Linotype"/>
        </w:rPr>
        <w:t xml:space="preserve"> de Transparencia, mediante el cual de manera fundada y motivada establezca las razones por las cuales se clasifican como confidenciales los datos expuestos con anterioridad. </w:t>
      </w:r>
    </w:p>
    <w:p w:rsidR="003B3971" w:rsidRDefault="003B3971">
      <w:pPr>
        <w:ind w:right="-929"/>
        <w:jc w:val="both"/>
        <w:rPr>
          <w:rFonts w:ascii="Palatino Linotype" w:eastAsia="Palatino Linotype" w:hAnsi="Palatino Linotype" w:cs="Palatino Linotype"/>
          <w:i/>
          <w:iCs/>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Ahora bien, en cuanto al punto cuatro de la solicitud de información consistente en “</w:t>
      </w:r>
      <w:r>
        <w:rPr>
          <w:rFonts w:ascii="Palatino Linotype" w:eastAsia="Palatino Linotype" w:hAnsi="Palatino Linotype" w:cs="Palatino Linotype"/>
          <w:b/>
          <w:bCs/>
          <w:i/>
          <w:iCs/>
        </w:rPr>
        <w:t xml:space="preserve">Nombre de todas las personas que han sido beneficiarias de todos los apoyos que ha otorgado el DIF en 2025”, </w:t>
      </w:r>
      <w:r>
        <w:rPr>
          <w:rFonts w:ascii="Palatino Linotype" w:eastAsia="Palatino Linotype" w:hAnsi="Palatino Linotype" w:cs="Palatino Linotype"/>
        </w:rPr>
        <w:t xml:space="preserve">se debe de referir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no se pronunció respecto de este punto de la solicitud de información, situación por la cual se realizó una búsqueda sobre apoyos otorgados por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encontrándose lo siguiente. </w:t>
      </w:r>
    </w:p>
    <w:p w:rsidR="003B3971" w:rsidRDefault="003B3971">
      <w:pPr>
        <w:pBdr>
          <w:top w:val="nil"/>
          <w:left w:val="nil"/>
          <w:bottom w:val="nil"/>
          <w:right w:val="nil"/>
          <w:between w:val="nil"/>
        </w:pBdr>
        <w:ind w:left="708" w:right="-929"/>
        <w:rPr>
          <w:rFonts w:ascii="Palatino Linotype" w:eastAsia="Palatino Linotype" w:hAnsi="Palatino Linotype" w:cs="Palatino Linotype"/>
          <w:b/>
          <w:bCs/>
          <w:i/>
          <w:iCs/>
          <w:color w:val="000000"/>
        </w:rPr>
      </w:pPr>
    </w:p>
    <w:p w:rsidR="003B3971" w:rsidRDefault="00601C2E">
      <w:pPr>
        <w:spacing w:line="360" w:lineRule="auto"/>
        <w:ind w:right="-929"/>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noProof/>
        </w:rPr>
        <w:lastRenderedPageBreak/>
        <w:drawing>
          <wp:inline distT="0" distB="0" distL="0" distR="0">
            <wp:extent cx="4949488" cy="2124729"/>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4949488" cy="2124729"/>
                    </a:xfrm>
                    <a:prstGeom prst="rect">
                      <a:avLst/>
                    </a:prstGeom>
                    <a:ln/>
                  </pic:spPr>
                </pic:pic>
              </a:graphicData>
            </a:graphic>
          </wp:inline>
        </w:drawing>
      </w:r>
    </w:p>
    <w:p w:rsidR="003B3971" w:rsidRDefault="003B3971">
      <w:pPr>
        <w:spacing w:line="360" w:lineRule="auto"/>
        <w:ind w:right="-929"/>
        <w:jc w:val="center"/>
        <w:rPr>
          <w:rFonts w:ascii="Palatino Linotype" w:eastAsia="Palatino Linotype" w:hAnsi="Palatino Linotype" w:cs="Palatino Linotype"/>
          <w:b/>
          <w:bCs/>
          <w:i/>
          <w:iCs/>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la información localizada se observa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entregó apoyos por tinacos, láminas colchonetas y cobijas en el mes de </w:t>
      </w:r>
      <w:r>
        <w:rPr>
          <w:rFonts w:ascii="Palatino Linotype" w:eastAsia="Palatino Linotype" w:hAnsi="Palatino Linotype" w:cs="Palatino Linotype"/>
          <w:b/>
          <w:bCs/>
        </w:rPr>
        <w:t xml:space="preserve">septiembre de dos mil veinticinco, </w:t>
      </w:r>
      <w:r>
        <w:rPr>
          <w:rFonts w:ascii="Palatino Linotype" w:eastAsia="Palatino Linotype" w:hAnsi="Palatino Linotype" w:cs="Palatino Linotype"/>
        </w:rPr>
        <w:t xml:space="preserve">situación por la cual existen hechos notorios de lo solicitado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situación por la cual se analiza lo siguiente. </w:t>
      </w:r>
    </w:p>
    <w:p w:rsidR="003B3971" w:rsidRDefault="00601C2E">
      <w:pPr>
        <w:spacing w:line="360" w:lineRule="auto"/>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HECHOS NOTORIOS. CONCEPTOS GENERAL Y JURÍDICO</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Conforme al artículo </w:t>
      </w:r>
      <w:hyperlink r:id="rId14">
        <w:r>
          <w:rPr>
            <w:rFonts w:ascii="Palatino Linotype" w:eastAsia="Palatino Linotype" w:hAnsi="Palatino Linotype" w:cs="Palatino Linotype"/>
            <w:i/>
            <w:iCs/>
          </w:rPr>
          <w:t>88 del Código Federal de Procedimientos Civiles</w:t>
        </w:r>
      </w:hyperlink>
      <w:r>
        <w:rPr>
          <w:rFonts w:ascii="Palatino Linotype" w:eastAsia="Palatino Linotype" w:hAnsi="Palatino Linotype" w:cs="Palatino Linotype"/>
          <w:i/>
          <w:iCs/>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Controversia constitucional 24/2005. Cámara de Diputados del Congreso de la Unión. 9 de marzo de 2006. Once votos. Ponente: José Ramón Cossío Díaz. Secretarios: Raúl Manuel Mejía Garza y Laura Patricia Rojas Zamudio.</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El Tribunal Pleno, el dieciséis de mayo en curso, aprobó, con el número 74/2006, la tesis jurisprudencial que antecede. México, Distrito Federal, a dieciséis de mayo de dos mil seis.</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Nota: Esta tesis fue objeto de la denuncia relativa a la contradicción de tesis 91/2014, desechada por notoriamente improcedente, mediante acuerdo de 24 de marzo de 2014.”</w:t>
      </w:r>
    </w:p>
    <w:p w:rsidR="003B3971" w:rsidRDefault="003B3971">
      <w:pPr>
        <w:ind w:left="1134" w:right="-929"/>
        <w:jc w:val="both"/>
        <w:rPr>
          <w:rFonts w:ascii="Palatino Linotype" w:eastAsia="Palatino Linotype" w:hAnsi="Palatino Linotype" w:cs="Palatino Linotype"/>
          <w:i/>
          <w:iCs/>
        </w:rPr>
      </w:pP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PÁGINAS WEB O ELECTRÓNICAS. SU CONTENIDO ES UN HECHO NOTORIO Y SUSCEPTIBLE DE SER VALORADO EN UNA DECISIÓN JUDICIAL.</w:t>
      </w:r>
      <w:r>
        <w:rPr>
          <w:rFonts w:ascii="Palatino Linotype" w:eastAsia="Palatino Linotype" w:hAnsi="Palatino Linotype" w:cs="Palatino Linotype"/>
          <w:i/>
          <w:iCs/>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TERCER TRIBUNAL COLEGIADO EN MATERIA CIVIL DEL PRIMER CIRCUITO. Amparo en revisión 365/2012. Mardygras, S.A. de C.V. 7 de diciembre de 2012. Unanimidad de votos. Ponente: Neófito López Ramos. Secretaria: Ana Lilia Osorno Arroyo. </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Ahora bien, en cuanto a la información de beneficiarios se hace el siguiente análisis. </w:t>
      </w:r>
    </w:p>
    <w:p w:rsidR="003B3971" w:rsidRDefault="003B3971">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En esa línea, se debe de establecer que de acuerdo con el artículo 92 de la Ley General de Transparencia y Acceso a la Información Pública del Estado de México y Municipios, la información de los beneficiarios forma parte de las obligaciones de transparencia común.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 </w:t>
      </w:r>
      <w:r>
        <w:rPr>
          <w:rFonts w:ascii="Palatino Linotype" w:eastAsia="Palatino Linotype" w:hAnsi="Palatino Linotype" w:cs="Palatino Linotype"/>
          <w:b/>
          <w:bCs/>
          <w:i/>
          <w:iCs/>
        </w:rPr>
        <w:t>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Ahora bien, se debe de mencionar que puede ser el caso que la información pública se encuentre sujeta a un régimen estricto de restricción, y una de sus causas, es el Derecho a la Protección de Datos Personales, lo cual es contemplado por la los lineamientos antes citados, que indican que no debe ser pública de los beneficiarios que sean </w:t>
      </w:r>
      <w:r>
        <w:rPr>
          <w:rFonts w:ascii="Palatino Linotype" w:eastAsia="Palatino Linotype" w:hAnsi="Palatino Linotype" w:cs="Palatino Linotype"/>
          <w:b/>
          <w:bCs/>
          <w:i/>
          <w:iCs/>
          <w:color w:val="000000"/>
        </w:rPr>
        <w:t xml:space="preserve">víctimas del delito. </w:t>
      </w:r>
      <w:r>
        <w:rPr>
          <w:rFonts w:ascii="Palatino Linotype" w:eastAsia="Palatino Linotype" w:hAnsi="Palatino Linotype" w:cs="Palatino Linotype"/>
          <w:b/>
          <w:bCs/>
          <w:color w:val="000000"/>
        </w:rPr>
        <w:t xml:space="preserve">En esos casos, debe prevalecer la confidencialidad de la información que identifique o haga identificable a la persona, conforme a lo que establecen </w:t>
      </w:r>
      <w:r>
        <w:rPr>
          <w:rFonts w:ascii="Palatino Linotype" w:eastAsia="Palatino Linotype" w:hAnsi="Palatino Linotype" w:cs="Palatino Linotype"/>
          <w:color w:val="000000"/>
        </w:rPr>
        <w:t>los artículos 3 fracción IX, 143 fracción I, de la Ley de Transparencia y Acceso a la Información Pública del Estado de México y Municipios, así como el artículo 4, fracción XI y XII de la Ley de Protección de Datos Personales en Posesión de los Sujetos Obligados del Estado de México y Municipios, los cuales disponen lo siguiente:</w:t>
      </w:r>
    </w:p>
    <w:p w:rsidR="003B3971" w:rsidRDefault="00601C2E">
      <w:pPr>
        <w:numPr>
          <w:ilvl w:val="0"/>
          <w:numId w:val="3"/>
        </w:numPr>
        <w:ind w:left="1134" w:right="-929" w:firstLine="0"/>
        <w:rPr>
          <w:rFonts w:ascii="Palatino Linotype" w:eastAsia="Palatino Linotype" w:hAnsi="Palatino Linotype" w:cs="Palatino Linotype"/>
          <w:i/>
          <w:iCs/>
        </w:rPr>
      </w:pPr>
      <w:r>
        <w:rPr>
          <w:rFonts w:ascii="Palatino Linotype" w:eastAsia="Palatino Linotype" w:hAnsi="Palatino Linotype" w:cs="Palatino Linotype"/>
          <w:i/>
          <w:iCs/>
        </w:rPr>
        <w:t>Ley de Transparencia y Acceso a la Información Pública del Estado de México y Municipios</w:t>
      </w:r>
    </w:p>
    <w:p w:rsidR="003B3971" w:rsidRDefault="003B3971">
      <w:pPr>
        <w:ind w:left="1134" w:right="-929"/>
        <w:rPr>
          <w:rFonts w:ascii="Palatino Linotype" w:eastAsia="Palatino Linotype" w:hAnsi="Palatino Linotype" w:cs="Palatino Linotype"/>
          <w:i/>
          <w:iCs/>
        </w:rPr>
      </w:pP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Artículo 3. Para los efectos de la presente Ley se entenderá por:</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IX. Datos personales: La información concerniente a una persona, identificada o identificable según lo dispuesto por la Ley de Protección de Datos Personales del Estado de México;</w:t>
      </w:r>
    </w:p>
    <w:p w:rsidR="003B3971" w:rsidRDefault="003B3971">
      <w:pPr>
        <w:ind w:left="1134" w:right="-929"/>
        <w:jc w:val="both"/>
        <w:rPr>
          <w:rFonts w:ascii="Palatino Linotype" w:eastAsia="Palatino Linotype" w:hAnsi="Palatino Linotype" w:cs="Palatino Linotype"/>
          <w:i/>
          <w:iCs/>
        </w:rPr>
      </w:pP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Artículo 143. Para los efectos de esta Ley se considera información confidencial, la clasificada como tal, de manera permanente, por su naturaleza, cuando:</w:t>
      </w:r>
    </w:p>
    <w:p w:rsidR="003B3971" w:rsidRDefault="003B3971">
      <w:pPr>
        <w:ind w:left="1134" w:right="-929"/>
        <w:jc w:val="both"/>
        <w:rPr>
          <w:rFonts w:ascii="Palatino Linotype" w:eastAsia="Palatino Linotype" w:hAnsi="Palatino Linotype" w:cs="Palatino Linotype"/>
          <w:i/>
          <w:iCs/>
        </w:rPr>
      </w:pPr>
    </w:p>
    <w:p w:rsidR="003B3971" w:rsidRDefault="00601C2E">
      <w:pPr>
        <w:numPr>
          <w:ilvl w:val="1"/>
          <w:numId w:val="2"/>
        </w:numPr>
        <w:ind w:left="1134" w:right="-929" w:firstLine="0"/>
        <w:jc w:val="both"/>
        <w:rPr>
          <w:rFonts w:ascii="Palatino Linotype" w:eastAsia="Palatino Linotype" w:hAnsi="Palatino Linotype" w:cs="Palatino Linotype"/>
          <w:i/>
          <w:iCs/>
        </w:rPr>
      </w:pPr>
      <w:r>
        <w:rPr>
          <w:rFonts w:ascii="Palatino Linotype" w:eastAsia="Palatino Linotype" w:hAnsi="Palatino Linotype" w:cs="Palatino Linotype"/>
          <w:i/>
          <w:iCs/>
        </w:rPr>
        <w:t>Se refiera a la información privada y los datos personales concernientes a una persona física o jurídico colectiva identificada o identificable;</w:t>
      </w:r>
    </w:p>
    <w:p w:rsidR="003B3971" w:rsidRDefault="003B3971">
      <w:pPr>
        <w:ind w:left="1134" w:right="-929"/>
        <w:jc w:val="both"/>
        <w:rPr>
          <w:rFonts w:ascii="Palatino Linotype" w:eastAsia="Palatino Linotype" w:hAnsi="Palatino Linotype" w:cs="Palatino Linotype"/>
          <w:i/>
          <w:iCs/>
        </w:rPr>
      </w:pPr>
    </w:p>
    <w:p w:rsidR="003B3971" w:rsidRDefault="00601C2E">
      <w:pPr>
        <w:numPr>
          <w:ilvl w:val="0"/>
          <w:numId w:val="3"/>
        </w:numPr>
        <w:ind w:left="1134" w:right="-929" w:firstLine="0"/>
        <w:jc w:val="both"/>
        <w:rPr>
          <w:rFonts w:ascii="Palatino Linotype" w:eastAsia="Palatino Linotype" w:hAnsi="Palatino Linotype" w:cs="Palatino Linotype"/>
          <w:i/>
          <w:iCs/>
        </w:rPr>
      </w:pPr>
      <w:r>
        <w:rPr>
          <w:rFonts w:ascii="Palatino Linotype" w:eastAsia="Palatino Linotype" w:hAnsi="Palatino Linotype" w:cs="Palatino Linotype"/>
          <w:i/>
          <w:iCs/>
        </w:rPr>
        <w:t>Ley de Protección de Datos Personales en Posesión de los Sujetos Obligados del Estado de México y Municipios</w:t>
      </w:r>
    </w:p>
    <w:p w:rsidR="003B3971" w:rsidRDefault="003B3971">
      <w:pPr>
        <w:ind w:left="1134" w:right="-929"/>
        <w:jc w:val="both"/>
        <w:rPr>
          <w:rFonts w:ascii="Palatino Linotype" w:eastAsia="Palatino Linotype" w:hAnsi="Palatino Linotype" w:cs="Palatino Linotype"/>
          <w:i/>
          <w:iCs/>
        </w:rPr>
      </w:pPr>
    </w:p>
    <w:p w:rsidR="003B3971" w:rsidRDefault="00601C2E">
      <w:pPr>
        <w:spacing w:after="16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Artículo 4. Para los efectos de esta Ley se entenderá por:</w:t>
      </w:r>
    </w:p>
    <w:p w:rsidR="003B3971" w:rsidRDefault="00601C2E">
      <w:pPr>
        <w:spacing w:after="16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B3971" w:rsidRDefault="00601C2E">
      <w:pPr>
        <w:spacing w:after="16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Datos personales: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rsidR="003B3971" w:rsidRDefault="003B3971">
      <w:pPr>
        <w:spacing w:after="160"/>
        <w:ind w:left="1134" w:right="-929"/>
        <w:jc w:val="both"/>
        <w:rPr>
          <w:rFonts w:ascii="Palatino Linotype" w:eastAsia="Palatino Linotype" w:hAnsi="Palatino Linotype" w:cs="Palatino Linotype"/>
          <w:i/>
          <w:iCs/>
        </w:rPr>
      </w:pPr>
    </w:p>
    <w:p w:rsidR="003B3971" w:rsidRDefault="00601C2E">
      <w:pPr>
        <w:spacing w:after="16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XII. Datos personales sensibles: </w:t>
      </w:r>
      <w:r>
        <w:rPr>
          <w:rFonts w:ascii="Palatino Linotype" w:eastAsia="Palatino Linotype" w:hAnsi="Palatino Linotype" w:cs="Palatino Linotype"/>
          <w:b/>
          <w:bCs/>
          <w:i/>
          <w:iCs/>
        </w:rPr>
        <w:t>a las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w:t>
      </w:r>
    </w:p>
    <w:p w:rsidR="003B3971" w:rsidRDefault="00601C2E">
      <w:pPr>
        <w:spacing w:after="16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(Énfasis añadido)</w:t>
      </w:r>
    </w:p>
    <w:p w:rsidR="003B3971" w:rsidRDefault="003B3971">
      <w:pPr>
        <w:spacing w:after="160"/>
        <w:ind w:left="1134" w:right="-929"/>
        <w:jc w:val="both"/>
        <w:rPr>
          <w:rFonts w:ascii="Palatino Linotype" w:eastAsia="Palatino Linotype" w:hAnsi="Palatino Linotype" w:cs="Palatino Linotype"/>
          <w:i/>
          <w:iCs/>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 xml:space="preserve">Es así que, si bien hay una normatividad que establece la publicidad de la información relativa a los beneficiarios pero también lo es que, en los casos en que los beneficiarios </w:t>
      </w:r>
      <w:r>
        <w:rPr>
          <w:rFonts w:ascii="Palatino Linotype" w:eastAsia="Palatino Linotype" w:hAnsi="Palatino Linotype" w:cs="Palatino Linotype"/>
          <w:color w:val="000000"/>
        </w:rPr>
        <w:lastRenderedPageBreak/>
        <w:t xml:space="preserve">correspondan a, </w:t>
      </w:r>
      <w:r>
        <w:rPr>
          <w:rFonts w:ascii="Palatino Linotype" w:eastAsia="Palatino Linotype" w:hAnsi="Palatino Linotype" w:cs="Palatino Linotype"/>
          <w:b/>
          <w:bCs/>
          <w:color w:val="000000"/>
        </w:rPr>
        <w:t>niños, adolescentes o víctimas de delitos</w:t>
      </w:r>
      <w:r>
        <w:rPr>
          <w:rFonts w:ascii="Palatino Linotype" w:eastAsia="Palatino Linotype" w:hAnsi="Palatino Linotype" w:cs="Palatino Linotype"/>
          <w:color w:val="000000"/>
        </w:rPr>
        <w:t>, debe prevalecer la protección de datos personales, así como de las personas de las personas discapacitadas y/o de grupos vulnerables, puesto que en estos casos, se refiere a datos personales sensibles, dado a que su utilización indebida puede dar origen a discriminación.</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pBdr>
          <w:top w:val="nil"/>
          <w:left w:val="nil"/>
          <w:bottom w:val="nil"/>
          <w:right w:val="nil"/>
          <w:between w:val="nil"/>
        </w:pBdr>
        <w:spacing w:line="360" w:lineRule="auto"/>
        <w:ind w:left="0" w:right="-929" w:firstLine="0"/>
        <w:jc w:val="both"/>
        <w:rPr>
          <w:color w:val="000000"/>
        </w:rPr>
      </w:pPr>
      <w:r>
        <w:rPr>
          <w:rFonts w:ascii="Palatino Linotype" w:eastAsia="Palatino Linotype" w:hAnsi="Palatino Linotype" w:cs="Palatino Linotype"/>
          <w:color w:val="000000"/>
        </w:rPr>
        <w:t>Sirve de sustento el criterio 04/19 del Instituto de Transparencia, Acceso a la Información Pública y Protección de Datos Personales del Estado de México y Municipios, que sirve de manera orientadora:</w:t>
      </w:r>
    </w:p>
    <w:p w:rsidR="003B3971" w:rsidRDefault="00601C2E">
      <w:pPr>
        <w:spacing w:after="16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PADRÓN DE BENEFICIARIOS EN POSESIÓN DE SUJETOS OBLIGADOS. EXCEPCIONES PARA LA PUBLICACIÓN DE DATOS PERSONALES CONTENIDOS EN AQUÉL. </w:t>
      </w:r>
      <w:r>
        <w:rPr>
          <w:rFonts w:ascii="Palatino Linotype" w:eastAsia="Palatino Linotype" w:hAnsi="Palatino Linotype" w:cs="Palatino Linotype"/>
          <w:i/>
          <w:iCs/>
        </w:rPr>
        <w:t xml:space="preserve">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Bajo esas </w:t>
      </w:r>
      <w:r>
        <w:rPr>
          <w:rFonts w:ascii="Palatino Linotype" w:eastAsia="Palatino Linotype" w:hAnsi="Palatino Linotype" w:cs="Palatino Linotype"/>
          <w:i/>
          <w:iCs/>
        </w:rPr>
        <w:lastRenderedPageBreak/>
        <w:t>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rsidR="003B3971" w:rsidRDefault="003B3971">
      <w:pPr>
        <w:spacing w:after="160"/>
        <w:ind w:left="1134" w:right="-929"/>
        <w:jc w:val="both"/>
        <w:rPr>
          <w:rFonts w:ascii="Palatino Linotype" w:eastAsia="Palatino Linotype" w:hAnsi="Palatino Linotype" w:cs="Palatino Linotype"/>
          <w:b/>
          <w:bCs/>
          <w:i/>
          <w:iCs/>
        </w:rPr>
      </w:pPr>
    </w:p>
    <w:p w:rsidR="003B3971" w:rsidRDefault="00601C2E">
      <w:pPr>
        <w:spacing w:after="16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Precedentes: </w:t>
      </w:r>
    </w:p>
    <w:p w:rsidR="003B3971" w:rsidRDefault="00601C2E">
      <w:pPr>
        <w:numPr>
          <w:ilvl w:val="0"/>
          <w:numId w:val="4"/>
        </w:num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materia de acceso a la información pública. 03182/INFOEM/IP/RR/2019. Aprobado por unanimidad de votos. Ayuntamiento de Toluca. Comisionada Ponente Eva Abaid Yapur. </w:t>
      </w:r>
    </w:p>
    <w:p w:rsidR="003B3971" w:rsidRDefault="00601C2E">
      <w:pPr>
        <w:numPr>
          <w:ilvl w:val="0"/>
          <w:numId w:val="4"/>
        </w:num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materia de acceso a la información pública. 02878/INFOEM/IP/RR/2019. Aprobado por unanimidad de votos. Ayuntamiento de Valle de Chalco Solidaridad. Comisionado Ponente José Guadalupe Luna Hernández.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En materia de acceso a la información pública. 01869/INFOEM/IP/RR/2019. Aprobado por unanimidad de votos, emitiendo voto particular José Guadalupe Luna Hernández. Ayuntamiento de Tecámac. Comisionado Ponente Javier Martínez Cruz</w:t>
      </w:r>
    </w:p>
    <w:p w:rsidR="003B3971" w:rsidRDefault="003B3971">
      <w:pPr>
        <w:ind w:left="1134" w:right="-929"/>
        <w:jc w:val="both"/>
        <w:rPr>
          <w:rFonts w:ascii="Palatino Linotype" w:eastAsia="Palatino Linotype" w:hAnsi="Palatino Linotype" w:cs="Palatino Linotype"/>
          <w:i/>
          <w:iCs/>
        </w:rPr>
      </w:pPr>
    </w:p>
    <w:p w:rsidR="003B3971" w:rsidRDefault="00601C2E">
      <w:pPr>
        <w:numPr>
          <w:ilvl w:val="0"/>
          <w:numId w:val="8"/>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 lo anterior, se colige que de ser el caso que dentro del padrón de beneficiarios que se entregue se encuentren nombres de </w:t>
      </w:r>
      <w:r>
        <w:rPr>
          <w:rFonts w:ascii="Palatino Linotype" w:eastAsia="Palatino Linotype" w:hAnsi="Palatino Linotype" w:cs="Palatino Linotype"/>
          <w:b/>
          <w:bCs/>
          <w:color w:val="000000"/>
        </w:rPr>
        <w:t>niños, adolescentes o víctimas de delitos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así como de las personas de las personas discapacitadas y/o de grupos vulnerables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u w:val="single"/>
        </w:rPr>
        <w:t xml:space="preserve">el Comité de </w:t>
      </w:r>
      <w:r>
        <w:rPr>
          <w:rFonts w:ascii="Palatino Linotype" w:eastAsia="Palatino Linotype" w:hAnsi="Palatino Linotype" w:cs="Palatino Linotype"/>
          <w:b/>
          <w:bCs/>
          <w:color w:val="000000"/>
          <w:u w:val="single"/>
        </w:rPr>
        <w:lastRenderedPageBreak/>
        <w:t>Transparencia deberá emitir el Acuerdo mediante el cual de manera fundada y motivada establezca las razones de la confidencialidad de la información.</w:t>
      </w:r>
      <w:r>
        <w:rPr>
          <w:rFonts w:ascii="Palatino Linotype" w:eastAsia="Palatino Linotype" w:hAnsi="Palatino Linotype" w:cs="Palatino Linotype"/>
          <w:color w:val="000000"/>
        </w:rPr>
        <w:t xml:space="preserve"> </w:t>
      </w:r>
    </w:p>
    <w:p w:rsidR="003B3971" w:rsidRDefault="003B3971">
      <w:pPr>
        <w:ind w:right="-929"/>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Ahora bien, en cuanto al punto cinco de la solicitud de información consistentes en “</w:t>
      </w:r>
      <w:r>
        <w:rPr>
          <w:rFonts w:ascii="Palatino Linotype" w:eastAsia="Palatino Linotype" w:hAnsi="Palatino Linotype" w:cs="Palatino Linotype"/>
          <w:b/>
          <w:bCs/>
          <w:i/>
          <w:iCs/>
        </w:rPr>
        <w:t xml:space="preserve">De la Presidencia y Dirección me proporcionen los manuales de procedimientos, manuales generales y su reglamento interno”, </w:t>
      </w:r>
      <w:r>
        <w:rPr>
          <w:rFonts w:ascii="Palatino Linotype" w:eastAsia="Palatino Linotype" w:hAnsi="Palatino Linotype" w:cs="Palatino Linotype"/>
        </w:rPr>
        <w:t xml:space="preserve">se debe de precisar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no se pronunció respecto de este punto de la solicitud de información, situación por la cual se hace el siguiente análisis. </w:t>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esa línea, se debe precisar que la Ley Para la Mejora Regulatoria del Estado de México y Municipios, vigente a la fecha de la solicitud, regula lo siguiente en materia de la actualización de manuales y normas. </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21.- Compete a los Municipios en materia de mejora regulatoria, lo siguiente: </w:t>
      </w:r>
    </w:p>
    <w:p w:rsidR="003B3971" w:rsidRDefault="00601C2E">
      <w:pPr>
        <w:numPr>
          <w:ilvl w:val="0"/>
          <w:numId w:val="5"/>
        </w:numPr>
        <w:pBdr>
          <w:top w:val="nil"/>
          <w:left w:val="nil"/>
          <w:bottom w:val="nil"/>
          <w:right w:val="nil"/>
          <w:between w:val="nil"/>
        </w:pBdr>
        <w:ind w:left="1134" w:right="-929"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Establecer acciones, estrategias y lineamientos bajo los cuales se regirá la política de mejora regulatoria municipal de conformidad con la Ley y la Ley General;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Coordinar a las unidades administrativas o servidores públicos municipales con los sujetos obligados, entidades públicas, organismos estatales y federales, en los programas y acciones que lleven a cabo para lograr el cumplimiento de la Ley;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Elaborar los programas y acciones para lograr una mejora regulatoria integral, bajo los principios de máxima utilidad para la sociedad y la transparencia en su elaboración;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IV. Establecer Comités Internos en cada dependencia, los cuales se encargarán de elaborar y aprobar los programas anuales de mejora regulatoria municipal, así como las propuestas de creación de regulaciones o de reforma específica, con base en los objetivos, estrategias y líneas de acción de los programas sectoriales, especiales, regionales e institucionales derivados del Plan Municipal de Desarrollo.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titulares de las dependencias deberán designar un servidor público con nivel inferior jerárquico inmediato, quien será el enlace de la materia y el responsable de mejora </w:t>
      </w:r>
      <w:r>
        <w:rPr>
          <w:rFonts w:ascii="Palatino Linotype" w:eastAsia="Palatino Linotype" w:hAnsi="Palatino Linotype" w:cs="Palatino Linotype"/>
          <w:i/>
          <w:iCs/>
          <w:color w:val="000000"/>
        </w:rPr>
        <w:lastRenderedPageBreak/>
        <w:t xml:space="preserve">regulatoria del sujeto obligado, el cual tendrá estrecha comunicación con el Coordinador General de Mejora Regulatoria para dar cumplimiento de la Ley;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Participar en las sesiones de las Comisiones Temáticas de Mejora Regulatoria a las que sea convocado por parte de la Comisión; y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 Las demás que le atribuyan otras disposiciones jurídicas para el cumplimiento de la mejora regulatoria.</w:t>
      </w:r>
    </w:p>
    <w:p w:rsidR="003B3971" w:rsidRDefault="00601C2E">
      <w:pPr>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23.- Las comisiones Municipales tendrán, en su ámbito de competencia, las facultades y responsabilidades siguientes: </w:t>
      </w:r>
    </w:p>
    <w:p w:rsidR="003B3971" w:rsidRDefault="00601C2E">
      <w:pPr>
        <w:numPr>
          <w:ilvl w:val="0"/>
          <w:numId w:val="6"/>
        </w:numPr>
        <w:pBdr>
          <w:top w:val="nil"/>
          <w:left w:val="nil"/>
          <w:bottom w:val="nil"/>
          <w:right w:val="nil"/>
          <w:between w:val="nil"/>
        </w:pBdr>
        <w:ind w:left="1134" w:right="-929"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Revisar el marco regulatorio municipal y coadyuvar en la elaboración y actualización de los anteproyectos de reglamentos, bandos, acuerdos y demás regulaciones o reformas a éstas, y realizar los diagnósticos de procesos para mejorar la regulación de actividades económicas específicas;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 Aprobar el Programa Anual de Mejora Regulatoria Municipal, así como las propuestas de creación de regulaciones o de reforma específica y el Análisis de Impacto Regulatorio que le presente el Secretario Técnico, para su envío a la Comisión, para los efectos de que ésta emita su opinión;</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III. Recibir, analizar y observar el informe anual del avance programático de Mejora Regulatoria y la evaluación de los resultados, que le presente el Secretario Técnico, e informar sobre el particular a la Comisión para los efectos legales correspondientes;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Informar al Cabildo del avance programático de mejora regulatoria y de la evaluación de los resultados;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Aprobar la suscripción de convenios interinstitucionales de coordinación y cooperación con dependencias federales y/o estatales, y con otros municipios;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Proponer las acciones necesarias para optimizar el proceso de mejora regulatoria en las dependencias municipales;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Integrar, actualizar y administrar el Registro Municipal; y </w:t>
      </w:r>
    </w:p>
    <w:p w:rsidR="003B3971" w:rsidRDefault="00601C2E">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VIII. Las demás que le confiera esta Ley y demás disposiciones jurídicas aplicables. A la Comisión Municipal podrán concurrir como invitados permanentes, los representantes de las Dependencias que determine su Presidente, quien, asimismo, podrá invitar a las personas u organizaciones que considere pertinente cuando deban discutirse asuntos determinados, los que tendrán derecho a voz.</w:t>
      </w:r>
    </w:p>
    <w:p w:rsidR="003B3971" w:rsidRDefault="003B3971">
      <w:pPr>
        <w:pBdr>
          <w:top w:val="nil"/>
          <w:left w:val="nil"/>
          <w:bottom w:val="nil"/>
          <w:right w:val="nil"/>
          <w:between w:val="nil"/>
        </w:pBdr>
        <w:ind w:left="1134" w:right="-929"/>
        <w:jc w:val="both"/>
        <w:rPr>
          <w:rFonts w:ascii="Palatino Linotype" w:eastAsia="Palatino Linotype" w:hAnsi="Palatino Linotype" w:cs="Palatino Linotype"/>
          <w:i/>
          <w:iCs/>
          <w:color w:val="000000"/>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De los artículos referidos, se colige que el Sistema Municipal Para el Desarrollo Integral de la Familia de Tianguistenco, contaba con facultades para revisar el marco </w:t>
      </w:r>
      <w:r>
        <w:rPr>
          <w:rFonts w:ascii="Palatino Linotype" w:eastAsia="Palatino Linotype" w:hAnsi="Palatino Linotype" w:cs="Palatino Linotype"/>
        </w:rPr>
        <w:lastRenderedPageBreak/>
        <w:t xml:space="preserve">regulatorio y coadyuvar en la elaboración y actualización de los anteproyectos de </w:t>
      </w:r>
      <w:r>
        <w:rPr>
          <w:rFonts w:ascii="Palatino Linotype" w:eastAsia="Palatino Linotype" w:hAnsi="Palatino Linotype" w:cs="Palatino Linotype"/>
          <w:b/>
          <w:bCs/>
        </w:rPr>
        <w:t>reglamentos, bandos, acuerdos y demás regulaciones o reformas a éstas</w:t>
      </w:r>
      <w:r>
        <w:rPr>
          <w:rFonts w:ascii="Palatino Linotype" w:eastAsia="Palatino Linotype" w:hAnsi="Palatino Linotype" w:cs="Palatino Linotype"/>
        </w:rPr>
        <w:t xml:space="preserve">, situación de la cual destacan los manuales de procedimientos, manuales generales de organización  y el reglamento interno de Presidencia y Dirección General, situación por la cual para colmar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entregar los manuales de procedimientos, manuales generales de organización  y el reglamento interno de Presidencia y Dirección General, vigentes a la fecha de la solicitud de información. </w:t>
      </w:r>
    </w:p>
    <w:p w:rsidR="003B3971" w:rsidRDefault="00601C2E">
      <w:pPr>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rPr>
        <w:t xml:space="preserve"> </w:t>
      </w: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Finalmente en cuanto al punto dos de la solicitud de información consistente en “</w:t>
      </w:r>
      <w:r>
        <w:rPr>
          <w:rFonts w:ascii="Palatino Linotype" w:eastAsia="Palatino Linotype" w:hAnsi="Palatino Linotype" w:cs="Palatino Linotype"/>
          <w:b/>
          <w:bCs/>
          <w:i/>
          <w:iCs/>
        </w:rPr>
        <w:t xml:space="preserve">Todos los oficios enviados y recibidos de todas las áreas administrativas que integran el DIF municipal, de los años 2024 y 2025”, </w:t>
      </w:r>
      <w:r>
        <w:rPr>
          <w:rFonts w:ascii="Palatino Linotype" w:eastAsia="Palatino Linotype" w:hAnsi="Palatino Linotype" w:cs="Palatino Linotype"/>
        </w:rPr>
        <w:t xml:space="preserve">se realiza el siguiente cuadro de análisis en el que se fija qué áreas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dieron atención a lo solicitado y cuáles fueron las faltantes, así como el análisis de la versión pública. </w:t>
      </w:r>
    </w:p>
    <w:p w:rsidR="003B3971" w:rsidRDefault="003B3971">
      <w:pPr>
        <w:pBdr>
          <w:top w:val="nil"/>
          <w:left w:val="nil"/>
          <w:bottom w:val="nil"/>
          <w:right w:val="nil"/>
          <w:between w:val="nil"/>
        </w:pBdr>
        <w:ind w:left="708" w:right="-929"/>
        <w:rPr>
          <w:rFonts w:ascii="Palatino Linotype" w:eastAsia="Palatino Linotype" w:hAnsi="Palatino Linotype" w:cs="Palatino Linotype"/>
          <w:b/>
          <w:bCs/>
          <w:i/>
          <w:iCs/>
          <w:color w:val="000000"/>
        </w:rPr>
      </w:pPr>
    </w:p>
    <w:tbl>
      <w:tblPr>
        <w:tblStyle w:val="a0"/>
        <w:tblW w:w="921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1830"/>
        <w:gridCol w:w="1866"/>
        <w:gridCol w:w="1884"/>
        <w:gridCol w:w="1778"/>
      </w:tblGrid>
      <w:tr w:rsidR="003B3971" w:rsidTr="00A96CA6">
        <w:tc>
          <w:tcPr>
            <w:tcW w:w="1856" w:type="dxa"/>
          </w:tcPr>
          <w:p w:rsidR="003B3971" w:rsidRDefault="00601C2E">
            <w:pPr>
              <w:ind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Área </w:t>
            </w:r>
          </w:p>
        </w:tc>
        <w:tc>
          <w:tcPr>
            <w:tcW w:w="1830" w:type="dxa"/>
          </w:tcPr>
          <w:p w:rsidR="003B3971" w:rsidRDefault="00601C2E">
            <w:pPr>
              <w:ind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Generados 2024</w:t>
            </w:r>
          </w:p>
        </w:tc>
        <w:tc>
          <w:tcPr>
            <w:tcW w:w="1866" w:type="dxa"/>
          </w:tcPr>
          <w:p w:rsidR="003B3971" w:rsidRDefault="00601C2E">
            <w:pPr>
              <w:ind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Recibidos 2024</w:t>
            </w:r>
          </w:p>
        </w:tc>
        <w:tc>
          <w:tcPr>
            <w:tcW w:w="1884" w:type="dxa"/>
          </w:tcPr>
          <w:p w:rsidR="003B3971" w:rsidRDefault="00601C2E">
            <w:pPr>
              <w:ind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Generados 2025</w:t>
            </w:r>
          </w:p>
        </w:tc>
        <w:tc>
          <w:tcPr>
            <w:tcW w:w="1778" w:type="dxa"/>
          </w:tcPr>
          <w:p w:rsidR="003B3971" w:rsidRDefault="00601C2E">
            <w:pPr>
              <w:ind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Recibidos 2025</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Presidencia</w:t>
            </w:r>
          </w:p>
        </w:tc>
        <w:tc>
          <w:tcPr>
            <w:tcW w:w="1830" w:type="dxa"/>
          </w:tcPr>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778" w:type="dxa"/>
          </w:tcPr>
          <w:p w:rsidR="003B3971" w:rsidRDefault="00601C2E">
            <w:pPr>
              <w:ind w:right="-68"/>
            </w:pPr>
            <w:r>
              <w:rPr>
                <w:rFonts w:ascii="Palatino Linotype" w:eastAsia="Palatino Linotype" w:hAnsi="Palatino Linotype" w:cs="Palatino Linotype"/>
                <w:i/>
                <w:iCs/>
              </w:rPr>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Tesorería</w:t>
            </w:r>
          </w:p>
        </w:tc>
        <w:tc>
          <w:tcPr>
            <w:tcW w:w="1830"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778" w:type="dxa"/>
          </w:tcPr>
          <w:p w:rsidR="003B3971" w:rsidRDefault="00601C2E">
            <w:pPr>
              <w:ind w:right="-68"/>
            </w:pPr>
            <w:r>
              <w:rPr>
                <w:rFonts w:ascii="Palatino Linotype" w:eastAsia="Palatino Linotype" w:hAnsi="Palatino Linotype" w:cs="Palatino Linotype"/>
                <w:i/>
                <w:iCs/>
              </w:rPr>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Dirección de Administración</w:t>
            </w:r>
          </w:p>
        </w:tc>
        <w:tc>
          <w:tcPr>
            <w:tcW w:w="1830"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778" w:type="dxa"/>
          </w:tcPr>
          <w:p w:rsidR="003B3971" w:rsidRDefault="00601C2E">
            <w:pPr>
              <w:ind w:right="-68"/>
            </w:pPr>
            <w:r>
              <w:rPr>
                <w:rFonts w:ascii="Palatino Linotype" w:eastAsia="Palatino Linotype" w:hAnsi="Palatino Linotype" w:cs="Palatino Linotype"/>
                <w:i/>
                <w:iCs/>
              </w:rPr>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Contraloría </w:t>
            </w:r>
          </w:p>
        </w:tc>
        <w:tc>
          <w:tcPr>
            <w:tcW w:w="1830"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778" w:type="dxa"/>
          </w:tcPr>
          <w:p w:rsidR="003B3971" w:rsidRDefault="00601C2E">
            <w:pPr>
              <w:ind w:right="-68"/>
            </w:pPr>
            <w:r>
              <w:rPr>
                <w:rFonts w:ascii="Palatino Linotype" w:eastAsia="Palatino Linotype" w:hAnsi="Palatino Linotype" w:cs="Palatino Linotype"/>
                <w:i/>
                <w:iCs/>
              </w:rPr>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Coordinación de Salud</w:t>
            </w:r>
          </w:p>
        </w:tc>
        <w:tc>
          <w:tcPr>
            <w:tcW w:w="1830"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778" w:type="dxa"/>
          </w:tcPr>
          <w:p w:rsidR="003B3971" w:rsidRDefault="00601C2E">
            <w:pPr>
              <w:ind w:right="-68"/>
            </w:pPr>
            <w:r>
              <w:rPr>
                <w:rFonts w:ascii="Palatino Linotype" w:eastAsia="Palatino Linotype" w:hAnsi="Palatino Linotype" w:cs="Palatino Linotype"/>
                <w:i/>
                <w:iCs/>
              </w:rPr>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Coordinación de Nutrición y </w:t>
            </w:r>
            <w:r>
              <w:rPr>
                <w:rFonts w:ascii="Palatino Linotype" w:eastAsia="Palatino Linotype" w:hAnsi="Palatino Linotype" w:cs="Palatino Linotype"/>
                <w:b/>
                <w:bCs/>
                <w:i/>
                <w:iCs/>
              </w:rPr>
              <w:lastRenderedPageBreak/>
              <w:t>Orientación Alimentaria</w:t>
            </w:r>
          </w:p>
        </w:tc>
        <w:tc>
          <w:tcPr>
            <w:tcW w:w="1830" w:type="dxa"/>
          </w:tcPr>
          <w:p w:rsidR="003B3971" w:rsidRDefault="00601C2E">
            <w:pPr>
              <w:ind w:right="-68"/>
            </w:pPr>
            <w:r>
              <w:rPr>
                <w:rFonts w:ascii="Palatino Linotype" w:eastAsia="Palatino Linotype" w:hAnsi="Palatino Linotype" w:cs="Palatino Linotype"/>
                <w:i/>
                <w:iCs/>
              </w:rPr>
              <w:lastRenderedPageBreak/>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778" w:type="dxa"/>
          </w:tcPr>
          <w:p w:rsidR="003B3971" w:rsidRDefault="00601C2E">
            <w:pPr>
              <w:ind w:right="-68"/>
            </w:pPr>
            <w:r>
              <w:rPr>
                <w:rFonts w:ascii="Palatino Linotype" w:eastAsia="Palatino Linotype" w:hAnsi="Palatino Linotype" w:cs="Palatino Linotype"/>
                <w:i/>
                <w:iCs/>
              </w:rPr>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Unidad de Transparencia</w:t>
            </w:r>
          </w:p>
        </w:tc>
        <w:tc>
          <w:tcPr>
            <w:tcW w:w="1830"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778" w:type="dxa"/>
          </w:tcPr>
          <w:p w:rsidR="003B3971" w:rsidRDefault="00601C2E">
            <w:pPr>
              <w:ind w:right="-68"/>
            </w:pPr>
            <w:r>
              <w:rPr>
                <w:rFonts w:ascii="Palatino Linotype" w:eastAsia="Palatino Linotype" w:hAnsi="Palatino Linotype" w:cs="Palatino Linotype"/>
                <w:i/>
                <w:iCs/>
              </w:rPr>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Coordinación de Estancia Infantil</w:t>
            </w:r>
          </w:p>
        </w:tc>
        <w:tc>
          <w:tcPr>
            <w:tcW w:w="1830"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778" w:type="dxa"/>
          </w:tcPr>
          <w:p w:rsidR="003B3971" w:rsidRDefault="00601C2E">
            <w:pPr>
              <w:ind w:right="-68"/>
            </w:pPr>
            <w:r>
              <w:rPr>
                <w:rFonts w:ascii="Palatino Linotype" w:eastAsia="Palatino Linotype" w:hAnsi="Palatino Linotype" w:cs="Palatino Linotype"/>
                <w:i/>
                <w:iCs/>
              </w:rPr>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Dirección General </w:t>
            </w:r>
          </w:p>
        </w:tc>
        <w:tc>
          <w:tcPr>
            <w:tcW w:w="1830"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66" w:type="dxa"/>
          </w:tcPr>
          <w:p w:rsidR="003B3971" w:rsidRDefault="00601C2E">
            <w:pPr>
              <w:ind w:right="-68"/>
            </w:pPr>
            <w:r>
              <w:rPr>
                <w:rFonts w:ascii="Palatino Linotype" w:eastAsia="Palatino Linotype" w:hAnsi="Palatino Linotype" w:cs="Palatino Linotype"/>
                <w:i/>
                <w:iCs/>
              </w:rPr>
              <w:t xml:space="preserve">No se entrega información </w:t>
            </w:r>
          </w:p>
        </w:tc>
        <w:tc>
          <w:tcPr>
            <w:tcW w:w="1884" w:type="dxa"/>
          </w:tcPr>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0 OFICIOS EMITIDOS DIRECCION.pdf: </w:t>
            </w:r>
            <w:r>
              <w:rPr>
                <w:rFonts w:ascii="Palatino Linotype" w:eastAsia="Palatino Linotype" w:hAnsi="Palatino Linotype" w:cs="Palatino Linotype"/>
                <w:i/>
                <w:iCs/>
              </w:rPr>
              <w:t xml:space="preserve">oficios emitidos del Director General del Sistema Municipal Para el Desarrollo Integral de la Familia de Tianguistenco, que inician en el mes de marzo , faltando los folios del 57 al 96, del 98 al 107, del 109 al 257, así como folios, en la revisión de oficios se observa que se clasificaron datos de placas, número de series de  vehículos, nombre de servidores públicos y nombre de instituciones </w:t>
            </w:r>
            <w:r>
              <w:rPr>
                <w:rFonts w:ascii="Palatino Linotype" w:eastAsia="Palatino Linotype" w:hAnsi="Palatino Linotype" w:cs="Palatino Linotype"/>
                <w:i/>
                <w:iCs/>
              </w:rPr>
              <w:lastRenderedPageBreak/>
              <w:t xml:space="preserve">situación por la cual deberán de ser ordenador en correcta versión, pública, así mismo no se observan oficios del periodo 2024. </w:t>
            </w:r>
          </w:p>
          <w:p w:rsidR="003B3971" w:rsidRDefault="003B3971">
            <w:pPr>
              <w:ind w:right="-68"/>
              <w:jc w:val="both"/>
              <w:rPr>
                <w:rFonts w:ascii="Palatino Linotype" w:eastAsia="Palatino Linotype" w:hAnsi="Palatino Linotype" w:cs="Palatino Linotype"/>
                <w:b/>
                <w:bCs/>
                <w:i/>
                <w:iCs/>
              </w:rPr>
            </w:pPr>
          </w:p>
        </w:tc>
        <w:tc>
          <w:tcPr>
            <w:tcW w:w="1778" w:type="dxa"/>
          </w:tcPr>
          <w:p w:rsidR="003B3971" w:rsidRDefault="00601C2E">
            <w:pPr>
              <w:ind w:right="-68"/>
            </w:pPr>
            <w:r>
              <w:rPr>
                <w:rFonts w:ascii="Palatino Linotype" w:eastAsia="Palatino Linotype" w:hAnsi="Palatino Linotype" w:cs="Palatino Linotype"/>
                <w:i/>
                <w:iCs/>
              </w:rPr>
              <w:lastRenderedPageBreak/>
              <w:t xml:space="preserve">No se entrega información </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Coordinación de Recursos Humanos</w:t>
            </w:r>
          </w:p>
        </w:tc>
        <w:tc>
          <w:tcPr>
            <w:tcW w:w="183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6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84"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anexo 1.rar</w:t>
            </w:r>
          </w:p>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0029dif recuros humanos.pdf: </w:t>
            </w:r>
            <w:r>
              <w:rPr>
                <w:rFonts w:ascii="Palatino Linotype" w:eastAsia="Palatino Linotype" w:hAnsi="Palatino Linotype" w:cs="Palatino Linotype"/>
                <w:i/>
                <w:iCs/>
              </w:rPr>
              <w:t xml:space="preserve">oficio del Coordinador de Recursos Humanos, mediante el cual informa que remite los oficios del 2025, del 2024 refiere que no existía el área, toda vez que las funciones las tenía tesorería. </w:t>
            </w:r>
          </w:p>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El archivo contiene oficios del dos mil veinticinco que inician en el mes de enero de 2025 que llegan al mes de noviembre, </w:t>
            </w:r>
            <w:r>
              <w:rPr>
                <w:rFonts w:ascii="Palatino Linotype" w:eastAsia="Palatino Linotype" w:hAnsi="Palatino Linotype" w:cs="Palatino Linotype"/>
                <w:b/>
                <w:bCs/>
                <w:i/>
                <w:iCs/>
              </w:rPr>
              <w:t>de la revisión de los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oficios se </w:t>
            </w:r>
            <w:r>
              <w:rPr>
                <w:rFonts w:ascii="Palatino Linotype" w:eastAsia="Palatino Linotype" w:hAnsi="Palatino Linotype" w:cs="Palatino Linotype"/>
                <w:b/>
                <w:bCs/>
                <w:i/>
                <w:iCs/>
              </w:rPr>
              <w:lastRenderedPageBreak/>
              <w:t xml:space="preserve">observa que se clasifican datos de vehículos como placas y número de serie, vehículo, marca y color. </w:t>
            </w:r>
          </w:p>
          <w:p w:rsidR="003B3971" w:rsidRDefault="003B3971">
            <w:pPr>
              <w:ind w:right="-68"/>
              <w:jc w:val="both"/>
              <w:rPr>
                <w:rFonts w:ascii="Palatino Linotype" w:eastAsia="Palatino Linotype" w:hAnsi="Palatino Linotype" w:cs="Palatino Linotype"/>
                <w:b/>
                <w:bCs/>
                <w:i/>
                <w:iCs/>
              </w:rPr>
            </w:pPr>
          </w:p>
        </w:tc>
        <w:tc>
          <w:tcPr>
            <w:tcW w:w="1778" w:type="dxa"/>
          </w:tcPr>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El documento contiene oficios de diversas áreas del Sistema Municipal, que remitieron oficios a la Coordinación de Recursos Humanos durante el 2025 como la autoridad, del mes de agosto del día diecinueve, del veintiséis de febrero, del catorce de enero, del ocho, veinte y veintitrés de octubre, del treinta de septiembre, uno, veinticinco de septiembre, de lo cual se observa </w:t>
            </w:r>
            <w:r>
              <w:rPr>
                <w:rFonts w:ascii="Palatino Linotype" w:eastAsia="Palatino Linotype" w:hAnsi="Palatino Linotype" w:cs="Palatino Linotype"/>
                <w:i/>
                <w:iCs/>
              </w:rPr>
              <w:lastRenderedPageBreak/>
              <w:t xml:space="preserve">que los oficios recibidos no se encuentran completos en los meses, situación por la cual serán ordenados con salvedad. </w:t>
            </w:r>
          </w:p>
          <w:p w:rsidR="003B3971" w:rsidRDefault="003B3971">
            <w:pPr>
              <w:ind w:right="-68"/>
              <w:jc w:val="both"/>
              <w:rPr>
                <w:rFonts w:ascii="Palatino Linotype" w:eastAsia="Palatino Linotype" w:hAnsi="Palatino Linotype" w:cs="Palatino Linotype"/>
                <w:b/>
                <w:bCs/>
                <w:i/>
                <w:iCs/>
              </w:rPr>
            </w:pP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Unidad de Información, Planeación y Programación</w:t>
            </w:r>
          </w:p>
        </w:tc>
        <w:tc>
          <w:tcPr>
            <w:tcW w:w="183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6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84"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 Generados UIPPE DIF 2025.pdf: </w:t>
            </w:r>
            <w:r>
              <w:rPr>
                <w:rFonts w:ascii="Palatino Linotype" w:eastAsia="Palatino Linotype" w:hAnsi="Palatino Linotype" w:cs="Palatino Linotype"/>
                <w:i/>
                <w:iCs/>
              </w:rPr>
              <w:t xml:space="preserve">oficios generados en la Unidad de Información Planeación </w:t>
            </w:r>
            <w:r>
              <w:rPr>
                <w:rFonts w:ascii="Palatino Linotype" w:eastAsia="Palatino Linotype" w:hAnsi="Palatino Linotype" w:cs="Palatino Linotype"/>
                <w:b/>
                <w:bCs/>
                <w:i/>
                <w:iCs/>
              </w:rPr>
              <w:t>en de los cuales se observa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que clasifican nombres de servidores públicos, faltando el folio 32, 35, 45 y 46, 48, 66, 67, 73, 91, 93, 94.</w:t>
            </w:r>
          </w:p>
          <w:p w:rsidR="003B3971" w:rsidRDefault="003B3971">
            <w:pPr>
              <w:ind w:right="-68"/>
              <w:jc w:val="both"/>
              <w:rPr>
                <w:rFonts w:ascii="Palatino Linotype" w:eastAsia="Palatino Linotype" w:hAnsi="Palatino Linotype" w:cs="Palatino Linotype"/>
                <w:b/>
                <w:bCs/>
                <w:i/>
                <w:iCs/>
              </w:rPr>
            </w:pPr>
          </w:p>
        </w:tc>
        <w:tc>
          <w:tcPr>
            <w:tcW w:w="1778"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 Recibidos 2025 ene - jun UIPPE.pdf: </w:t>
            </w:r>
            <w:r>
              <w:rPr>
                <w:rFonts w:ascii="Palatino Linotype" w:eastAsia="Palatino Linotype" w:hAnsi="Palatino Linotype" w:cs="Palatino Linotype"/>
                <w:i/>
                <w:iCs/>
              </w:rPr>
              <w:t xml:space="preserve">oficios recibidos en la Unidad de Información, Planeación, Programación y Evaluación del Sistema Municipal Para el Desarrollo Integral de la Familia, </w:t>
            </w:r>
            <w:r>
              <w:rPr>
                <w:rFonts w:ascii="Palatino Linotype" w:eastAsia="Palatino Linotype" w:hAnsi="Palatino Linotype" w:cs="Palatino Linotype"/>
                <w:b/>
                <w:bCs/>
                <w:i/>
                <w:iCs/>
              </w:rPr>
              <w:t>de enero a mayo de dos mil veinticinco.</w:t>
            </w:r>
            <w:r>
              <w:rPr>
                <w:rFonts w:ascii="Palatino Linotype" w:eastAsia="Palatino Linotype" w:hAnsi="Palatino Linotype" w:cs="Palatino Linotype"/>
                <w:i/>
                <w:iCs/>
              </w:rPr>
              <w:t xml:space="preserve"> </w:t>
            </w:r>
          </w:p>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 Recibidos 2025 jul - nov UIPPE.pdf: </w:t>
            </w:r>
            <w:r>
              <w:rPr>
                <w:rFonts w:ascii="Palatino Linotype" w:eastAsia="Palatino Linotype" w:hAnsi="Palatino Linotype" w:cs="Palatino Linotype"/>
                <w:i/>
                <w:iCs/>
              </w:rPr>
              <w:t xml:space="preserve">oficios recibidos en la Unidad de Información, Planeación, Programación y Evaluación del </w:t>
            </w:r>
            <w:r>
              <w:rPr>
                <w:rFonts w:ascii="Palatino Linotype" w:eastAsia="Palatino Linotype" w:hAnsi="Palatino Linotype" w:cs="Palatino Linotype"/>
                <w:i/>
                <w:iCs/>
              </w:rPr>
              <w:lastRenderedPageBreak/>
              <w:t xml:space="preserve">Sistema Municipal Para el Desarrollo Integral de la Familia, del mes de junio a noviembre de dos mil veinticinco, </w:t>
            </w:r>
            <w:r>
              <w:rPr>
                <w:rFonts w:ascii="Palatino Linotype" w:eastAsia="Palatino Linotype" w:hAnsi="Palatino Linotype" w:cs="Palatino Linotype"/>
                <w:b/>
                <w:bCs/>
                <w:i/>
                <w:iCs/>
              </w:rPr>
              <w:t>faltando información del cinco al once de noviembre de dos mil veinticinco.</w:t>
            </w:r>
          </w:p>
          <w:p w:rsidR="003B3971" w:rsidRDefault="003B3971">
            <w:pPr>
              <w:ind w:right="-68"/>
              <w:jc w:val="both"/>
              <w:rPr>
                <w:rFonts w:ascii="Palatino Linotype" w:eastAsia="Palatino Linotype" w:hAnsi="Palatino Linotype" w:cs="Palatino Linotype"/>
                <w:b/>
                <w:bCs/>
                <w:i/>
                <w:iCs/>
              </w:rPr>
            </w:pP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Coordinación de URIS</w:t>
            </w:r>
          </w:p>
        </w:tc>
        <w:tc>
          <w:tcPr>
            <w:tcW w:w="183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20251120112830863.pdf: </w:t>
            </w:r>
            <w:r>
              <w:rPr>
                <w:rFonts w:ascii="Palatino Linotype" w:eastAsia="Palatino Linotype" w:hAnsi="Palatino Linotype" w:cs="Palatino Linotype"/>
                <w:i/>
                <w:iCs/>
              </w:rPr>
              <w:t xml:space="preserve">oficios emitidos en la Coordinación de URIS en 2024, faltando de manera enunciativa los siguientes folios del 33 al 66, llegando </w:t>
            </w:r>
            <w:r>
              <w:rPr>
                <w:rFonts w:ascii="Palatino Linotype" w:eastAsia="Palatino Linotype" w:hAnsi="Palatino Linotype" w:cs="Palatino Linotype"/>
                <w:b/>
                <w:bCs/>
                <w:i/>
                <w:iCs/>
              </w:rPr>
              <w:t>hasta el mes de octubre, faltando noviembre y diciembre de 2024.</w:t>
            </w:r>
          </w:p>
          <w:p w:rsidR="003B3971" w:rsidRDefault="003B3971">
            <w:pPr>
              <w:ind w:right="-68"/>
              <w:jc w:val="both"/>
              <w:rPr>
                <w:rFonts w:ascii="Palatino Linotype" w:eastAsia="Palatino Linotype" w:hAnsi="Palatino Linotype" w:cs="Palatino Linotype"/>
                <w:b/>
                <w:bCs/>
                <w:i/>
                <w:iCs/>
              </w:rPr>
            </w:pPr>
          </w:p>
        </w:tc>
        <w:tc>
          <w:tcPr>
            <w:tcW w:w="186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84" w:type="dxa"/>
          </w:tcPr>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20251124163028613.pdf: </w:t>
            </w:r>
            <w:r>
              <w:rPr>
                <w:rFonts w:ascii="Palatino Linotype" w:eastAsia="Palatino Linotype" w:hAnsi="Palatino Linotype" w:cs="Palatino Linotype"/>
                <w:i/>
                <w:iCs/>
              </w:rPr>
              <w:t xml:space="preserve">oficios emitidos en la Coordinación de URIS 2025, </w:t>
            </w:r>
            <w:r>
              <w:rPr>
                <w:rFonts w:ascii="Palatino Linotype" w:eastAsia="Palatino Linotype" w:hAnsi="Palatino Linotype" w:cs="Palatino Linotype"/>
                <w:b/>
                <w:bCs/>
                <w:i/>
                <w:iCs/>
              </w:rPr>
              <w:t xml:space="preserve">de su revisión se observa que se tiene que ordenar en versión pública correcta toda vez que se testan nombres de servidores públicos, hace falta el folio 94, se clasifican datos de oficios que no se tiene </w:t>
            </w:r>
            <w:r>
              <w:rPr>
                <w:rFonts w:ascii="Palatino Linotype" w:eastAsia="Palatino Linotype" w:hAnsi="Palatino Linotype" w:cs="Palatino Linotype"/>
                <w:b/>
                <w:bCs/>
                <w:i/>
                <w:iCs/>
              </w:rPr>
              <w:lastRenderedPageBreak/>
              <w:t>la certeza del contenido, al no remitirse el Acta del Comité de Transparencia que sustente la versión pública, faltando oficios del mes de noviembre de dos mil veinticinco.</w:t>
            </w:r>
            <w:r>
              <w:rPr>
                <w:rFonts w:ascii="Palatino Linotype" w:eastAsia="Palatino Linotype" w:hAnsi="Palatino Linotype" w:cs="Palatino Linotype"/>
                <w:i/>
                <w:iCs/>
              </w:rPr>
              <w:t xml:space="preserve"> </w:t>
            </w:r>
          </w:p>
          <w:p w:rsidR="003B3971" w:rsidRDefault="003B3971">
            <w:pPr>
              <w:ind w:right="-68"/>
              <w:jc w:val="both"/>
              <w:rPr>
                <w:rFonts w:ascii="Palatino Linotype" w:eastAsia="Palatino Linotype" w:hAnsi="Palatino Linotype" w:cs="Palatino Linotype"/>
                <w:b/>
                <w:bCs/>
                <w:i/>
                <w:iCs/>
              </w:rPr>
            </w:pPr>
          </w:p>
        </w:tc>
        <w:tc>
          <w:tcPr>
            <w:tcW w:w="1778"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2024-2.pdf: </w:t>
            </w:r>
            <w:r>
              <w:rPr>
                <w:rFonts w:ascii="Palatino Linotype" w:eastAsia="Palatino Linotype" w:hAnsi="Palatino Linotype" w:cs="Palatino Linotype"/>
                <w:i/>
                <w:iCs/>
              </w:rPr>
              <w:t xml:space="preserve">oficios recibidos en la Coordinación de URIS de </w:t>
            </w:r>
            <w:r>
              <w:rPr>
                <w:rFonts w:ascii="Palatino Linotype" w:eastAsia="Palatino Linotype" w:hAnsi="Palatino Linotype" w:cs="Palatino Linotype"/>
                <w:b/>
                <w:bCs/>
                <w:i/>
                <w:iCs/>
              </w:rPr>
              <w:t xml:space="preserve">enero a mayo de dos mil veinticinco. </w:t>
            </w:r>
          </w:p>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Faltando de junio a noviembre de dos mil veinticinco. </w:t>
            </w:r>
          </w:p>
          <w:p w:rsidR="003B3971" w:rsidRDefault="003B3971">
            <w:pPr>
              <w:ind w:right="-68"/>
              <w:jc w:val="both"/>
              <w:rPr>
                <w:rFonts w:ascii="Palatino Linotype" w:eastAsia="Palatino Linotype" w:hAnsi="Palatino Linotype" w:cs="Palatino Linotype"/>
                <w:b/>
                <w:bCs/>
                <w:i/>
                <w:iCs/>
              </w:rPr>
            </w:pP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Comunicación social</w:t>
            </w:r>
          </w:p>
        </w:tc>
        <w:tc>
          <w:tcPr>
            <w:tcW w:w="183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6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84" w:type="dxa"/>
          </w:tcPr>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1 2025.pdf: </w:t>
            </w:r>
            <w:r>
              <w:rPr>
                <w:rFonts w:ascii="Palatino Linotype" w:eastAsia="Palatino Linotype" w:hAnsi="Palatino Linotype" w:cs="Palatino Linotype"/>
                <w:i/>
                <w:iCs/>
              </w:rPr>
              <w:t xml:space="preserve">oficios firmados por el Coordinador de Comunicación Social en el 2025 de los cuales hace falta el oficio 13, 14, 15, 16, 26, 27, 28 y 38. </w:t>
            </w:r>
          </w:p>
          <w:p w:rsidR="003B3971" w:rsidRDefault="003B3971">
            <w:pPr>
              <w:ind w:right="-68"/>
              <w:jc w:val="both"/>
              <w:rPr>
                <w:rFonts w:ascii="Palatino Linotype" w:eastAsia="Palatino Linotype" w:hAnsi="Palatino Linotype" w:cs="Palatino Linotype"/>
                <w:b/>
                <w:bCs/>
                <w:i/>
                <w:iCs/>
              </w:rPr>
            </w:pPr>
          </w:p>
        </w:tc>
        <w:tc>
          <w:tcPr>
            <w:tcW w:w="1778"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2 2025.pdf: </w:t>
            </w:r>
            <w:r>
              <w:rPr>
                <w:rFonts w:ascii="Palatino Linotype" w:eastAsia="Palatino Linotype" w:hAnsi="Palatino Linotype" w:cs="Palatino Linotype"/>
                <w:i/>
                <w:iCs/>
              </w:rPr>
              <w:t xml:space="preserve">oficios firmados por el Coordinador de Comunicación Social en el 2025, </w:t>
            </w:r>
            <w:r>
              <w:rPr>
                <w:rFonts w:ascii="Palatino Linotype" w:eastAsia="Palatino Linotype" w:hAnsi="Palatino Linotype" w:cs="Palatino Linotype"/>
                <w:b/>
                <w:bCs/>
                <w:i/>
                <w:iCs/>
              </w:rPr>
              <w:t>faltando 2024.</w:t>
            </w:r>
          </w:p>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 Recibidos 2025 jul - nov UIPPE.pdf: </w:t>
            </w:r>
            <w:r>
              <w:rPr>
                <w:rFonts w:ascii="Palatino Linotype" w:eastAsia="Palatino Linotype" w:hAnsi="Palatino Linotype" w:cs="Palatino Linotype"/>
                <w:i/>
                <w:iCs/>
              </w:rPr>
              <w:t xml:space="preserve">oficios recibidos en la Coordinación de Comunicación Social </w:t>
            </w:r>
            <w:r>
              <w:rPr>
                <w:rFonts w:ascii="Palatino Linotype" w:eastAsia="Palatino Linotype" w:hAnsi="Palatino Linotype" w:cs="Palatino Linotype"/>
                <w:b/>
                <w:bCs/>
                <w:i/>
                <w:iCs/>
              </w:rPr>
              <w:t xml:space="preserve">del mes de junio a noviembre de 2025. </w:t>
            </w:r>
          </w:p>
          <w:p w:rsidR="003B3971" w:rsidRDefault="003B3971">
            <w:pPr>
              <w:ind w:right="-68"/>
              <w:jc w:val="both"/>
              <w:rPr>
                <w:rFonts w:ascii="Palatino Linotype" w:eastAsia="Palatino Linotype" w:hAnsi="Palatino Linotype" w:cs="Palatino Linotype"/>
                <w:b/>
                <w:bCs/>
                <w:i/>
                <w:iCs/>
              </w:rPr>
            </w:pP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Coordinación de Prevención y Bienestar Familiar </w:t>
            </w:r>
          </w:p>
        </w:tc>
        <w:tc>
          <w:tcPr>
            <w:tcW w:w="183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6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Oficios Recibidos-2024-comprimido....pdf: </w:t>
            </w:r>
            <w:r>
              <w:rPr>
                <w:rFonts w:ascii="Palatino Linotype" w:eastAsia="Palatino Linotype" w:hAnsi="Palatino Linotype" w:cs="Palatino Linotype"/>
                <w:i/>
                <w:iCs/>
              </w:rPr>
              <w:t xml:space="preserve">oficios recibidos en la Coordinación de Prevención y Bienestar Familiar, </w:t>
            </w:r>
            <w:r>
              <w:rPr>
                <w:rFonts w:ascii="Palatino Linotype" w:eastAsia="Palatino Linotype" w:hAnsi="Palatino Linotype" w:cs="Palatino Linotype"/>
                <w:b/>
                <w:bCs/>
                <w:i/>
                <w:iCs/>
              </w:rPr>
              <w:t xml:space="preserve">faltando oficios en el mes de noviembre y diciembre de 2024. </w:t>
            </w:r>
          </w:p>
          <w:p w:rsidR="003B3971" w:rsidRDefault="003B3971">
            <w:pPr>
              <w:ind w:right="-68"/>
              <w:jc w:val="both"/>
              <w:rPr>
                <w:rFonts w:ascii="Palatino Linotype" w:eastAsia="Palatino Linotype" w:hAnsi="Palatino Linotype" w:cs="Palatino Linotype"/>
                <w:b/>
                <w:bCs/>
                <w:i/>
                <w:iCs/>
              </w:rPr>
            </w:pPr>
          </w:p>
        </w:tc>
        <w:tc>
          <w:tcPr>
            <w:tcW w:w="1884"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anexo 9.zip: </w:t>
            </w:r>
            <w:r>
              <w:rPr>
                <w:rFonts w:ascii="Palatino Linotype" w:eastAsia="Palatino Linotype" w:hAnsi="Palatino Linotype" w:cs="Palatino Linotype"/>
                <w:i/>
                <w:iCs/>
              </w:rPr>
              <w:t xml:space="preserve">oficios de la Coordinación de Prevención  y Bienestar, del enero a octubre de dos mil veinticinco, </w:t>
            </w:r>
            <w:r>
              <w:rPr>
                <w:rFonts w:ascii="Palatino Linotype" w:eastAsia="Palatino Linotype" w:hAnsi="Palatino Linotype" w:cs="Palatino Linotype"/>
                <w:b/>
                <w:bCs/>
                <w:i/>
                <w:iCs/>
              </w:rPr>
              <w:t>de los cuales hacen faltan los folios36 001, 002 y 003, 0063, 0071, 0089, 0094, 118, 119, 124, 158, 161, 162, así como el mes de noviembre.</w:t>
            </w:r>
          </w:p>
          <w:p w:rsidR="003B3971" w:rsidRDefault="003B3971">
            <w:pPr>
              <w:ind w:right="-68"/>
              <w:jc w:val="both"/>
              <w:rPr>
                <w:rFonts w:ascii="Palatino Linotype" w:eastAsia="Palatino Linotype" w:hAnsi="Palatino Linotype" w:cs="Palatino Linotype"/>
                <w:b/>
                <w:bCs/>
                <w:i/>
                <w:iCs/>
              </w:rPr>
            </w:pPr>
          </w:p>
        </w:tc>
        <w:tc>
          <w:tcPr>
            <w:tcW w:w="1778"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Coordinación de Innovación y Habilidades</w:t>
            </w:r>
          </w:p>
        </w:tc>
        <w:tc>
          <w:tcPr>
            <w:tcW w:w="183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oficos enviados 2024-comprimido.pdf: </w:t>
            </w:r>
            <w:r>
              <w:rPr>
                <w:rFonts w:ascii="Palatino Linotype" w:eastAsia="Palatino Linotype" w:hAnsi="Palatino Linotype" w:cs="Palatino Linotype"/>
                <w:i/>
                <w:iCs/>
              </w:rPr>
              <w:t xml:space="preserve">oficios enviados por la Coordinación de Innovación y Habilidades en el 2024, </w:t>
            </w:r>
            <w:r>
              <w:rPr>
                <w:rFonts w:ascii="Palatino Linotype" w:eastAsia="Palatino Linotype" w:hAnsi="Palatino Linotype" w:cs="Palatino Linotype"/>
                <w:b/>
                <w:bCs/>
                <w:i/>
                <w:iCs/>
              </w:rPr>
              <w:t>de los cuales hace falta de manera enunciativa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más no limitativa el folio 14, del 16 al 18, del 27 al 31, del 33al 34, </w:t>
            </w:r>
            <w:r>
              <w:rPr>
                <w:rFonts w:ascii="Palatino Linotype" w:eastAsia="Palatino Linotype" w:hAnsi="Palatino Linotype" w:cs="Palatino Linotype"/>
                <w:b/>
                <w:bCs/>
                <w:i/>
                <w:iCs/>
              </w:rPr>
              <w:lastRenderedPageBreak/>
              <w:t xml:space="preserve">36 al 37, 42 al 43, del 46 al 49, 53, del 55 al 58l del 62 al 67, 70, 74, 77 al 79. </w:t>
            </w:r>
          </w:p>
          <w:p w:rsidR="003B3971" w:rsidRDefault="003B3971">
            <w:pPr>
              <w:ind w:right="-68"/>
              <w:jc w:val="both"/>
              <w:rPr>
                <w:rFonts w:ascii="Palatino Linotype" w:eastAsia="Palatino Linotype" w:hAnsi="Palatino Linotype" w:cs="Palatino Linotype"/>
                <w:b/>
                <w:bCs/>
                <w:i/>
                <w:iCs/>
              </w:rPr>
            </w:pPr>
          </w:p>
        </w:tc>
        <w:tc>
          <w:tcPr>
            <w:tcW w:w="186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Oficios Recibidos-2024-comprimido....pdf: </w:t>
            </w:r>
            <w:r>
              <w:rPr>
                <w:rFonts w:ascii="Palatino Linotype" w:eastAsia="Palatino Linotype" w:hAnsi="Palatino Linotype" w:cs="Palatino Linotype"/>
                <w:i/>
                <w:iCs/>
              </w:rPr>
              <w:t xml:space="preserve">oficios recibidos en la Coordinación de Innovación y Habilidades en el 2024, de los cuales hace falta </w:t>
            </w:r>
            <w:r>
              <w:rPr>
                <w:rFonts w:ascii="Palatino Linotype" w:eastAsia="Palatino Linotype" w:hAnsi="Palatino Linotype" w:cs="Palatino Linotype"/>
                <w:b/>
                <w:bCs/>
                <w:i/>
                <w:iCs/>
              </w:rPr>
              <w:t xml:space="preserve">entrega del mes de noviembre y diciembre. </w:t>
            </w:r>
          </w:p>
          <w:p w:rsidR="003B3971" w:rsidRDefault="003B3971">
            <w:pPr>
              <w:ind w:right="-68"/>
              <w:jc w:val="both"/>
              <w:rPr>
                <w:rFonts w:ascii="Palatino Linotype" w:eastAsia="Palatino Linotype" w:hAnsi="Palatino Linotype" w:cs="Palatino Linotype"/>
                <w:b/>
                <w:bCs/>
                <w:i/>
                <w:iCs/>
              </w:rPr>
            </w:pPr>
          </w:p>
        </w:tc>
        <w:tc>
          <w:tcPr>
            <w:tcW w:w="1884" w:type="dxa"/>
          </w:tcPr>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i/>
                <w:iCs/>
              </w:rPr>
              <w:t>No se entrega información</w:t>
            </w:r>
          </w:p>
        </w:tc>
        <w:tc>
          <w:tcPr>
            <w:tcW w:w="1778"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OFICIOS RECIBIDOS INNOVACION.pdf: </w:t>
            </w:r>
            <w:r>
              <w:rPr>
                <w:rFonts w:ascii="Palatino Linotype" w:eastAsia="Palatino Linotype" w:hAnsi="Palatino Linotype" w:cs="Palatino Linotype"/>
                <w:i/>
                <w:iCs/>
              </w:rPr>
              <w:t xml:space="preserve">oficios recibidos en la Coordinación de Innovación y Habilidades en el 2025, de los cuales hace falta </w:t>
            </w:r>
            <w:r>
              <w:rPr>
                <w:rFonts w:ascii="Palatino Linotype" w:eastAsia="Palatino Linotype" w:hAnsi="Palatino Linotype" w:cs="Palatino Linotype"/>
                <w:b/>
                <w:bCs/>
                <w:i/>
                <w:iCs/>
              </w:rPr>
              <w:t xml:space="preserve">entrega del mes de noviembre. </w:t>
            </w:r>
          </w:p>
          <w:p w:rsidR="003B3971" w:rsidRDefault="003B3971">
            <w:pPr>
              <w:ind w:right="-68"/>
              <w:jc w:val="both"/>
              <w:rPr>
                <w:rFonts w:ascii="Palatino Linotype" w:eastAsia="Palatino Linotype" w:hAnsi="Palatino Linotype" w:cs="Palatino Linotype"/>
                <w:b/>
                <w:bCs/>
                <w:i/>
                <w:iCs/>
              </w:rPr>
            </w:pP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Coordinación del Adulto Mayor</w:t>
            </w:r>
          </w:p>
        </w:tc>
        <w:tc>
          <w:tcPr>
            <w:tcW w:w="183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6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84"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anexo 4.zip: </w:t>
            </w:r>
            <w:r>
              <w:rPr>
                <w:rFonts w:ascii="Palatino Linotype" w:eastAsia="Palatino Linotype" w:hAnsi="Palatino Linotype" w:cs="Palatino Linotype"/>
                <w:i/>
                <w:iCs/>
              </w:rPr>
              <w:t xml:space="preserve">carpeta zip que contiene oficios emitidos por la Coordinación del Adulto Mayor, de los cuales se observa que los folios se encuentran incompletos, faltando de manera enunciativa más no limitativa del 6 al 8 del 11 al 13 , del  16, del 18 al 31, del 33 al 141, de la revisión de la información se observa que hacen faltas meses como noviembre 2025, febrero y octubre. </w:t>
            </w:r>
          </w:p>
        </w:tc>
        <w:tc>
          <w:tcPr>
            <w:tcW w:w="1778"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r>
      <w:tr w:rsidR="003B3971" w:rsidTr="00A96CA6">
        <w:tc>
          <w:tcPr>
            <w:tcW w:w="1856"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Procuraduría del Niño, Niña y Adolescente. </w:t>
            </w:r>
          </w:p>
        </w:tc>
        <w:tc>
          <w:tcPr>
            <w:tcW w:w="1830"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t>No se entrega información</w:t>
            </w:r>
          </w:p>
        </w:tc>
        <w:tc>
          <w:tcPr>
            <w:tcW w:w="1866" w:type="dxa"/>
          </w:tcPr>
          <w:p w:rsidR="003B3971" w:rsidRDefault="00601C2E">
            <w:pPr>
              <w:ind w:right="-6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OFICIOS RECIBIDOS 2024.pdf: </w:t>
            </w:r>
            <w:r>
              <w:rPr>
                <w:rFonts w:ascii="Palatino Linotype" w:eastAsia="Palatino Linotype" w:hAnsi="Palatino Linotype" w:cs="Palatino Linotype"/>
                <w:i/>
                <w:iCs/>
              </w:rPr>
              <w:t xml:space="preserve">oficios recibidos en la Procuraduría en </w:t>
            </w:r>
            <w:r>
              <w:rPr>
                <w:rFonts w:ascii="Palatino Linotype" w:eastAsia="Palatino Linotype" w:hAnsi="Palatino Linotype" w:cs="Palatino Linotype"/>
                <w:i/>
                <w:iCs/>
              </w:rPr>
              <w:lastRenderedPageBreak/>
              <w:t xml:space="preserve">los cuales se clasifican números de folios, se clasifican montos de pago de los servicios que proporciona el DIF Y nombre y domicilios de particulares. </w:t>
            </w:r>
          </w:p>
          <w:p w:rsidR="003B3971" w:rsidRDefault="003B3971">
            <w:pPr>
              <w:ind w:right="-68"/>
              <w:jc w:val="both"/>
              <w:rPr>
                <w:rFonts w:ascii="Palatino Linotype" w:eastAsia="Palatino Linotype" w:hAnsi="Palatino Linotype" w:cs="Palatino Linotype"/>
                <w:b/>
                <w:bCs/>
                <w:i/>
                <w:iCs/>
              </w:rPr>
            </w:pPr>
          </w:p>
        </w:tc>
        <w:tc>
          <w:tcPr>
            <w:tcW w:w="1884"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i/>
                <w:iCs/>
              </w:rPr>
              <w:lastRenderedPageBreak/>
              <w:t>No se entrega información</w:t>
            </w:r>
          </w:p>
        </w:tc>
        <w:tc>
          <w:tcPr>
            <w:tcW w:w="1778" w:type="dxa"/>
          </w:tcPr>
          <w:p w:rsidR="003B3971" w:rsidRDefault="00601C2E">
            <w:pPr>
              <w:ind w:right="-6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OFICIOS RECIBIDOS 25.pdf:</w:t>
            </w:r>
            <w:r>
              <w:rPr>
                <w:rFonts w:ascii="Palatino Linotype" w:eastAsia="Palatino Linotype" w:hAnsi="Palatino Linotype" w:cs="Palatino Linotype"/>
                <w:i/>
                <w:iCs/>
              </w:rPr>
              <w:t xml:space="preserve"> oficios recibidos en la Procuraduría en </w:t>
            </w:r>
            <w:r>
              <w:rPr>
                <w:rFonts w:ascii="Palatino Linotype" w:eastAsia="Palatino Linotype" w:hAnsi="Palatino Linotype" w:cs="Palatino Linotype"/>
                <w:i/>
                <w:iCs/>
              </w:rPr>
              <w:lastRenderedPageBreak/>
              <w:t>los cuales se clasifican números de folios, se clasifican montos de pago de los servicios que proporciona el DIF Y nombre y domicilios de particulares.</w:t>
            </w:r>
          </w:p>
          <w:p w:rsidR="003B3971" w:rsidRDefault="003B3971">
            <w:pPr>
              <w:ind w:right="-68"/>
              <w:jc w:val="both"/>
              <w:rPr>
                <w:rFonts w:ascii="Palatino Linotype" w:eastAsia="Palatino Linotype" w:hAnsi="Palatino Linotype" w:cs="Palatino Linotype"/>
                <w:b/>
                <w:bCs/>
                <w:i/>
                <w:iCs/>
              </w:rPr>
            </w:pPr>
          </w:p>
        </w:tc>
      </w:tr>
    </w:tbl>
    <w:p w:rsidR="003B3971" w:rsidRDefault="003B3971">
      <w:pPr>
        <w:ind w:right="-929"/>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Del </w:t>
      </w:r>
      <w:r>
        <w:rPr>
          <w:rFonts w:ascii="Palatino Linotype" w:eastAsia="Palatino Linotype" w:hAnsi="Palatino Linotype" w:cs="Palatino Linotype"/>
          <w:color w:val="000000"/>
        </w:rPr>
        <w:t>cuadro</w:t>
      </w:r>
      <w:r>
        <w:rPr>
          <w:rFonts w:ascii="Palatino Linotype" w:eastAsia="Palatino Linotype" w:hAnsi="Palatino Linotype" w:cs="Palatino Linotype"/>
        </w:rPr>
        <w:t xml:space="preserve"> de análisis anterior, se tiene que no se pronunciaron las áreas de Presidencia, Tesorería, Dirección de Administración, Contraloría, Coordinación de Salud, </w:t>
      </w:r>
      <w:r>
        <w:rPr>
          <w:rFonts w:ascii="Palatino Linotype" w:eastAsia="Palatino Linotype" w:hAnsi="Palatino Linotype" w:cs="Palatino Linotype"/>
          <w:color w:val="000000"/>
        </w:rPr>
        <w:t>Coordinación</w:t>
      </w:r>
      <w:r>
        <w:rPr>
          <w:rFonts w:ascii="Palatino Linotype" w:eastAsia="Palatino Linotype" w:hAnsi="Palatino Linotype" w:cs="Palatino Linotype"/>
        </w:rPr>
        <w:t xml:space="preserve"> de Nutrición y Orientación Alimentaria, Unidad de Transparencia y la Coordinación de Estancia Infantil, situación por la cual para colmar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se deberán de entregar los oficios emitidos y recibidos en el ejercicio fiscal dos mil veinticuatro  y del uno de enero al once de noviembre de dos mil veinticinco. </w:t>
      </w:r>
    </w:p>
    <w:p w:rsidR="003B3971" w:rsidRDefault="003B3971">
      <w:pPr>
        <w:spacing w:line="360" w:lineRule="auto"/>
        <w:ind w:left="360"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Ahora bien, en cuanto a la información de las áreas que de pronunciaron se debe de precisar que los folios de los oficios emitidos se encuentran incompletos en cada una de las áreas tal y como se muestra en el cuadro de análisis, situación por la cual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remitir los folios faltantes del año dos mil veinticuatro, así como los folios faltantes del uno de enero al once de noviembre de dos mil veinticinco. </w:t>
      </w:r>
    </w:p>
    <w:p w:rsidR="003B3971" w:rsidRDefault="003B3971">
      <w:pPr>
        <w:pBdr>
          <w:top w:val="nil"/>
          <w:left w:val="nil"/>
          <w:bottom w:val="nil"/>
          <w:right w:val="nil"/>
          <w:between w:val="nil"/>
        </w:pBdr>
        <w:ind w:left="708" w:right="-929"/>
        <w:rPr>
          <w:rFonts w:ascii="Palatino Linotype" w:eastAsia="Palatino Linotype" w:hAnsi="Palatino Linotype" w:cs="Palatino Linotype"/>
          <w:b/>
          <w:bCs/>
          <w:color w:val="000000"/>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De ser el caso que de los folios faltantes se hubieran cancelado números de oficios bastará con que se haga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artículo 19 párrafo segundo de la Ley de Transparencia  Acceso a la Información Pública del Estado de México y Municipios. </w:t>
      </w:r>
    </w:p>
    <w:p w:rsidR="003B3971" w:rsidRDefault="003B3971">
      <w:pPr>
        <w:pBdr>
          <w:top w:val="nil"/>
          <w:left w:val="nil"/>
          <w:bottom w:val="nil"/>
          <w:right w:val="nil"/>
          <w:between w:val="nil"/>
        </w:pBdr>
        <w:ind w:left="708" w:right="-929"/>
        <w:rPr>
          <w:rFonts w:ascii="Palatino Linotype" w:eastAsia="Palatino Linotype" w:hAnsi="Palatino Linotype" w:cs="Palatino Linotype"/>
          <w:b/>
          <w:bCs/>
          <w:color w:val="000000"/>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Seguidamente se debe de señalar que de la revisión de la información de los oficios se tiene que se clasificaron datos como confidenciales que no se debieron de ser clasificados entre los que se encuentran de manera enunciativa más no limitativa datos de vehículos propiedad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como marca de vehículo, color, modelo, serie vehicular y placas, nombres de servidores públicos, firmas de servidores públicos, costos de los servicios que proporciona el Sistema Municipal Para el Desarrollo Integral de la Familia de Tianguistenco, números de folio, información estadística  y nombre de instituciones, tal y como se muestra en las siguientes capturas de pantalla. </w:t>
      </w:r>
    </w:p>
    <w:p w:rsidR="003B3971" w:rsidRDefault="003B3971">
      <w:pPr>
        <w:pBdr>
          <w:top w:val="nil"/>
          <w:left w:val="nil"/>
          <w:bottom w:val="nil"/>
          <w:right w:val="nil"/>
          <w:between w:val="nil"/>
        </w:pBdr>
        <w:ind w:left="708" w:right="-929"/>
        <w:rPr>
          <w:rFonts w:ascii="Palatino Linotype" w:eastAsia="Palatino Linotype" w:hAnsi="Palatino Linotype" w:cs="Palatino Linotype"/>
          <w:b/>
          <w:bCs/>
          <w:color w:val="000000"/>
        </w:rPr>
      </w:pPr>
    </w:p>
    <w:p w:rsidR="003B3971" w:rsidRDefault="00601C2E">
      <w:pPr>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noProof/>
        </w:rPr>
        <w:drawing>
          <wp:inline distT="0" distB="0" distL="0" distR="0">
            <wp:extent cx="2481563" cy="2687658"/>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481563" cy="2687658"/>
                    </a:xfrm>
                    <a:prstGeom prst="rect">
                      <a:avLst/>
                    </a:prstGeom>
                    <a:ln/>
                  </pic:spPr>
                </pic:pic>
              </a:graphicData>
            </a:graphic>
          </wp:inline>
        </w:drawing>
      </w:r>
      <w:r>
        <w:rPr>
          <w:noProof/>
        </w:rPr>
        <w:drawing>
          <wp:anchor distT="0" distB="0" distL="114300" distR="114300" simplePos="0" relativeHeight="251659264" behindDoc="0" locked="0" layoutInCell="1" hidden="0" allowOverlap="1">
            <wp:simplePos x="0" y="0"/>
            <wp:positionH relativeFrom="column">
              <wp:posOffset>2904036</wp:posOffset>
            </wp:positionH>
            <wp:positionV relativeFrom="paragraph">
              <wp:posOffset>48556</wp:posOffset>
            </wp:positionV>
            <wp:extent cx="2886079" cy="2592256"/>
            <wp:effectExtent l="0" t="0" r="0" b="0"/>
            <wp:wrapNone/>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2886079" cy="2592256"/>
                    </a:xfrm>
                    <a:prstGeom prst="rect">
                      <a:avLst/>
                    </a:prstGeom>
                    <a:ln/>
                  </pic:spPr>
                </pic:pic>
              </a:graphicData>
            </a:graphic>
          </wp:anchor>
        </w:drawing>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A96CA6">
      <w:pPr>
        <w:pBdr>
          <w:top w:val="nil"/>
          <w:left w:val="nil"/>
          <w:bottom w:val="nil"/>
          <w:right w:val="nil"/>
          <w:between w:val="nil"/>
        </w:pBdr>
        <w:ind w:left="708" w:right="-929"/>
        <w:rPr>
          <w:rFonts w:ascii="Palatino Linotype" w:eastAsia="Palatino Linotype" w:hAnsi="Palatino Linotype" w:cs="Palatino Linotype"/>
          <w:color w:val="000000"/>
        </w:rPr>
      </w:pPr>
      <w:r>
        <w:rPr>
          <w:noProof/>
        </w:rPr>
        <w:lastRenderedPageBreak/>
        <w:drawing>
          <wp:anchor distT="0" distB="0" distL="114300" distR="114300" simplePos="0" relativeHeight="251660288" behindDoc="0" locked="0" layoutInCell="1" hidden="0" allowOverlap="1">
            <wp:simplePos x="0" y="0"/>
            <wp:positionH relativeFrom="column">
              <wp:posOffset>-438557</wp:posOffset>
            </wp:positionH>
            <wp:positionV relativeFrom="paragraph">
              <wp:posOffset>-164405</wp:posOffset>
            </wp:positionV>
            <wp:extent cx="2826327" cy="3228627"/>
            <wp:effectExtent l="0" t="0" r="0" b="0"/>
            <wp:wrapNone/>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2826327" cy="3228627"/>
                    </a:xfrm>
                    <a:prstGeom prst="rect">
                      <a:avLst/>
                    </a:prstGeom>
                    <a:ln/>
                  </pic:spPr>
                </pic:pic>
              </a:graphicData>
            </a:graphic>
          </wp:anchor>
        </w:drawing>
      </w:r>
    </w:p>
    <w:p w:rsidR="003B3971" w:rsidRDefault="00A96CA6">
      <w:pPr>
        <w:pBdr>
          <w:top w:val="nil"/>
          <w:left w:val="nil"/>
          <w:bottom w:val="nil"/>
          <w:right w:val="nil"/>
          <w:between w:val="nil"/>
        </w:pBdr>
        <w:ind w:left="708" w:right="-929"/>
        <w:rPr>
          <w:rFonts w:ascii="Palatino Linotype" w:eastAsia="Palatino Linotype" w:hAnsi="Palatino Linotype" w:cs="Palatino Linotype"/>
          <w:color w:val="000000"/>
        </w:rPr>
      </w:pPr>
      <w:r>
        <w:rPr>
          <w:noProof/>
        </w:rPr>
        <w:drawing>
          <wp:anchor distT="0" distB="0" distL="114300" distR="114300" simplePos="0" relativeHeight="251661312" behindDoc="0" locked="0" layoutInCell="1" hidden="0" allowOverlap="1">
            <wp:simplePos x="0" y="0"/>
            <wp:positionH relativeFrom="column">
              <wp:posOffset>3515600</wp:posOffset>
            </wp:positionH>
            <wp:positionV relativeFrom="paragraph">
              <wp:posOffset>4038</wp:posOffset>
            </wp:positionV>
            <wp:extent cx="2688181" cy="2725387"/>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2688181" cy="2725387"/>
                    </a:xfrm>
                    <a:prstGeom prst="rect">
                      <a:avLst/>
                    </a:prstGeom>
                    <a:ln/>
                  </pic:spPr>
                </pic:pic>
              </a:graphicData>
            </a:graphic>
          </wp:anchor>
        </w:drawing>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A96CA6" w:rsidRDefault="00A96CA6">
      <w:pPr>
        <w:pBdr>
          <w:top w:val="nil"/>
          <w:left w:val="nil"/>
          <w:bottom w:val="nil"/>
          <w:right w:val="nil"/>
          <w:between w:val="nil"/>
        </w:pBdr>
        <w:ind w:left="708" w:right="-929"/>
        <w:rPr>
          <w:rFonts w:ascii="Palatino Linotype" w:eastAsia="Palatino Linotype" w:hAnsi="Palatino Linotype" w:cs="Palatino Linotype"/>
          <w:color w:val="000000"/>
        </w:rPr>
      </w:pPr>
    </w:p>
    <w:p w:rsidR="00A96CA6" w:rsidRDefault="00A96CA6">
      <w:pPr>
        <w:pBdr>
          <w:top w:val="nil"/>
          <w:left w:val="nil"/>
          <w:bottom w:val="nil"/>
          <w:right w:val="nil"/>
          <w:between w:val="nil"/>
        </w:pBdr>
        <w:ind w:left="708" w:right="-929"/>
        <w:rPr>
          <w:rFonts w:ascii="Palatino Linotype" w:eastAsia="Palatino Linotype" w:hAnsi="Palatino Linotype" w:cs="Palatino Linotype"/>
          <w:color w:val="000000"/>
        </w:rPr>
      </w:pPr>
    </w:p>
    <w:p w:rsidR="00A96CA6" w:rsidRDefault="00A96CA6">
      <w:pPr>
        <w:pBdr>
          <w:top w:val="nil"/>
          <w:left w:val="nil"/>
          <w:bottom w:val="nil"/>
          <w:right w:val="nil"/>
          <w:between w:val="nil"/>
        </w:pBdr>
        <w:ind w:left="708" w:right="-929"/>
        <w:rPr>
          <w:rFonts w:ascii="Palatino Linotype" w:eastAsia="Palatino Linotype" w:hAnsi="Palatino Linotype" w:cs="Palatino Linotype"/>
          <w:color w:val="000000"/>
        </w:rPr>
      </w:pPr>
    </w:p>
    <w:p w:rsidR="00A96CA6" w:rsidRDefault="00A96CA6">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601C2E">
      <w:pPr>
        <w:pBdr>
          <w:top w:val="nil"/>
          <w:left w:val="nil"/>
          <w:bottom w:val="nil"/>
          <w:right w:val="nil"/>
          <w:between w:val="nil"/>
        </w:pBdr>
        <w:ind w:left="708" w:right="-929"/>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drawing>
          <wp:inline distT="0" distB="0" distL="0" distR="0">
            <wp:extent cx="3004198" cy="2816563"/>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3004198" cy="2816563"/>
                    </a:xfrm>
                    <a:prstGeom prst="rect">
                      <a:avLst/>
                    </a:prstGeom>
                    <a:ln/>
                  </pic:spPr>
                </pic:pic>
              </a:graphicData>
            </a:graphic>
          </wp:inline>
        </w:drawing>
      </w:r>
    </w:p>
    <w:p w:rsidR="003B3971" w:rsidRDefault="003B3971">
      <w:pPr>
        <w:spacing w:line="360" w:lineRule="auto"/>
        <w:ind w:right="-929"/>
        <w:jc w:val="both"/>
        <w:rPr>
          <w:rFonts w:ascii="Palatino Linotype" w:eastAsia="Palatino Linotype" w:hAnsi="Palatino Linotype" w:cs="Palatino Linotype"/>
          <w:b/>
          <w:bCs/>
        </w:rPr>
      </w:pPr>
    </w:p>
    <w:p w:rsidR="00A96CA6" w:rsidRDefault="00A96CA6">
      <w:pPr>
        <w:spacing w:line="360" w:lineRule="auto"/>
        <w:ind w:right="-929"/>
        <w:jc w:val="both"/>
        <w:rPr>
          <w:rFonts w:ascii="Palatino Linotype" w:eastAsia="Palatino Linotype" w:hAnsi="Palatino Linotype" w:cs="Palatino Linotype"/>
          <w:b/>
          <w:bCs/>
        </w:rPr>
      </w:pPr>
    </w:p>
    <w:p w:rsidR="00A96CA6" w:rsidRDefault="00A96CA6">
      <w:pPr>
        <w:spacing w:line="360" w:lineRule="auto"/>
        <w:ind w:right="-929"/>
        <w:jc w:val="both"/>
        <w:rPr>
          <w:rFonts w:ascii="Palatino Linotype" w:eastAsia="Palatino Linotype" w:hAnsi="Palatino Linotype" w:cs="Palatino Linotype"/>
          <w:b/>
          <w:bCs/>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En consecuencia, se hace el siguiente análisis. </w:t>
      </w:r>
    </w:p>
    <w:p w:rsidR="003B3971" w:rsidRDefault="003B3971">
      <w:pPr>
        <w:spacing w:line="360" w:lineRule="auto"/>
        <w:ind w:right="-929"/>
        <w:jc w:val="both"/>
        <w:rPr>
          <w:rFonts w:ascii="Palatino Linotype" w:eastAsia="Palatino Linotype" w:hAnsi="Palatino Linotype" w:cs="Palatino Linotype"/>
          <w:b/>
          <w:bCs/>
        </w:rPr>
      </w:pPr>
    </w:p>
    <w:p w:rsidR="003B3971" w:rsidRDefault="00601C2E">
      <w:pPr>
        <w:pBdr>
          <w:top w:val="nil"/>
          <w:left w:val="nil"/>
          <w:bottom w:val="nil"/>
          <w:right w:val="nil"/>
          <w:between w:val="nil"/>
        </w:pBdr>
        <w:tabs>
          <w:tab w:val="left" w:pos="426"/>
        </w:tabs>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Placas y número de serie vehicular.</w:t>
      </w:r>
      <w:r>
        <w:rPr>
          <w:rFonts w:ascii="Palatino Linotype" w:eastAsia="Palatino Linotype" w:hAnsi="Palatino Linotype" w:cs="Palatino Linotype"/>
          <w:color w:val="000000"/>
        </w:rPr>
        <w:t xml:space="preserve"> </w:t>
      </w: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En lo </w:t>
      </w:r>
      <w:r>
        <w:rPr>
          <w:rFonts w:ascii="Palatino Linotype" w:eastAsia="Palatino Linotype" w:hAnsi="Palatino Linotype" w:cs="Palatino Linotype"/>
        </w:rPr>
        <w:t>que</w:t>
      </w:r>
      <w:r>
        <w:rPr>
          <w:rFonts w:ascii="Palatino Linotype" w:eastAsia="Palatino Linotype" w:hAnsi="Palatino Linotype" w:cs="Palatino Linotype"/>
          <w:color w:val="000000"/>
        </w:rPr>
        <w:t xml:space="preserve"> compete a esto, se tiene que el número de placa se define como el registro alfanumérico que usan los vehículos automotores para su identificación y circulación legal en todo el territorio mexicano. </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Por otra parte, el NIV es el número conformado por diecisiete caracteres alfanuméricos que identifican a los vehículos de modelos posteriores al año 1998. Se encuentra normalmente en la parte superior del tablero del vehículo o en el marco de las puertas, generalmente en el lado del conductor. En los modelos anteriores al año 1998 a este número se le conocía como serie y es más común que se encuentre localizado en la puerta izquierda del vehículo. </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En este sentido, respecto a las placas y número de serie, corresponden a vehículos propiedad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lo que permite corroborar que se trata de bienes de dominio público.</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Así entonces, como se desprende las placas, corresponden a vehículos arrendados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previamente inventariados, por lo que es importante remitirnos a lo dispuesto por el artículo 92, fracción XXXVIII de la Ley de Transparencia y Acceso a la Información Pública del Estado de México y Municipios que en su texto y sentido literal establece:</w:t>
      </w:r>
    </w:p>
    <w:p w:rsidR="003B3971" w:rsidRDefault="00601C2E">
      <w:pPr>
        <w:pBdr>
          <w:top w:val="nil"/>
          <w:left w:val="nil"/>
          <w:bottom w:val="nil"/>
          <w:right w:val="nil"/>
          <w:between w:val="nil"/>
        </w:pBdr>
        <w:tabs>
          <w:tab w:val="left" w:pos="426"/>
        </w:tabs>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92</w:t>
      </w:r>
      <w:r>
        <w:rPr>
          <w:rFonts w:ascii="Palatino Linotype" w:eastAsia="Palatino Linotype" w:hAnsi="Palatino Linotype" w:cs="Palatino Linotype"/>
          <w:i/>
          <w:iCs/>
          <w:color w:val="000000"/>
        </w:rPr>
        <w:t xml:space="preserve">. Los sujetos obligados deberán poner a disposición del público de manera permanente y actualizada de forma sencilla, precisa y entendible, en los respectivos medios </w:t>
      </w:r>
      <w:r>
        <w:rPr>
          <w:rFonts w:ascii="Palatino Linotype" w:eastAsia="Palatino Linotype" w:hAnsi="Palatino Linotype" w:cs="Palatino Linotype"/>
          <w:i/>
          <w:iCs/>
          <w:color w:val="000000"/>
        </w:rPr>
        <w:lastRenderedPageBreak/>
        <w:t>electrónicos, de acuerdo con sus facultades, atribuciones, funciones u objeto social, según corresponda, la información, por lo menos, de los temas, documentos y políticas que a continuación se señalan:</w:t>
      </w:r>
    </w:p>
    <w:p w:rsidR="003B3971" w:rsidRDefault="00601C2E">
      <w:pPr>
        <w:pBdr>
          <w:top w:val="nil"/>
          <w:left w:val="nil"/>
          <w:bottom w:val="nil"/>
          <w:right w:val="nil"/>
          <w:between w:val="nil"/>
        </w:pBdr>
        <w:tabs>
          <w:tab w:val="left" w:pos="426"/>
        </w:tabs>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XXXVIII. El inventario de bienes muebles e inmuebles en posesión y propiedad;</w:t>
      </w:r>
    </w:p>
    <w:p w:rsidR="003B3971" w:rsidRDefault="003B3971">
      <w:pPr>
        <w:pBdr>
          <w:top w:val="nil"/>
          <w:left w:val="nil"/>
          <w:bottom w:val="nil"/>
          <w:right w:val="nil"/>
          <w:between w:val="nil"/>
        </w:pBdr>
        <w:tabs>
          <w:tab w:val="left" w:pos="426"/>
        </w:tabs>
        <w:spacing w:line="276" w:lineRule="auto"/>
        <w:ind w:left="720" w:right="-929"/>
        <w:jc w:val="both"/>
        <w:rPr>
          <w:rFonts w:ascii="Palatino Linotype" w:eastAsia="Palatino Linotype" w:hAnsi="Palatino Linotype" w:cs="Palatino Linotype"/>
          <w:color w:val="000000"/>
        </w:rPr>
      </w:pPr>
    </w:p>
    <w:p w:rsidR="003B3971" w:rsidRPr="00A96CA6"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Por tanto, el número de serie y de placas que pudieran encontrarse en los documentos que </w:t>
      </w:r>
      <w:r>
        <w:rPr>
          <w:rFonts w:ascii="Palatino Linotype" w:eastAsia="Palatino Linotype" w:hAnsi="Palatino Linotype" w:cs="Palatino Linotype"/>
        </w:rPr>
        <w:t>sean</w:t>
      </w:r>
      <w:r>
        <w:rPr>
          <w:rFonts w:ascii="Palatino Linotype" w:eastAsia="Palatino Linotype" w:hAnsi="Palatino Linotype" w:cs="Palatino Linotype"/>
          <w:color w:val="000000"/>
        </w:rPr>
        <w:t xml:space="preserve"> entregados para colmar el derecho de acceso a la información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es información que corresponde a información de acceso público, ya que dar  a conocer esos datos abona a la transparencia y la rendición de cuentas, pues es parte del patrimonio de los Sujeto Obligados y está relacionado con el ejercicio de los recursos públicos.</w:t>
      </w:r>
    </w:p>
    <w:p w:rsidR="00A96CA6" w:rsidRDefault="00A96CA6" w:rsidP="00A96CA6">
      <w:pPr>
        <w:spacing w:line="360" w:lineRule="auto"/>
        <w:ind w:right="-929"/>
        <w:jc w:val="both"/>
        <w:rPr>
          <w:color w:val="000000"/>
        </w:rPr>
      </w:pPr>
    </w:p>
    <w:p w:rsidR="003B3971" w:rsidRDefault="00601C2E">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Nombre y firma de servidores públicos</w:t>
      </w: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firma y nombre de servidores públicos</w:t>
      </w:r>
      <w:r>
        <w:rPr>
          <w:rFonts w:ascii="Palatino Linotype" w:eastAsia="Palatino Linotype" w:hAnsi="Palatino Linotype" w:cs="Palatino Linotype"/>
        </w:rPr>
        <w:t xml:space="preserve">, </w:t>
      </w:r>
      <w:r>
        <w:rPr>
          <w:rFonts w:ascii="Palatino Linotype" w:eastAsia="Palatino Linotype" w:hAnsi="Palatino Linotype" w:cs="Palatino Linotype"/>
          <w:b/>
          <w:bCs/>
        </w:rPr>
        <w:t>vinculado al ejercicio de la función pública es información de naturaleza pública</w:t>
      </w:r>
      <w:r>
        <w:rPr>
          <w:rFonts w:ascii="Palatino Linotype" w:eastAsia="Palatino Linotype" w:hAnsi="Palatino Linotype" w:cs="Palatino Linotype"/>
        </w:rPr>
        <w:t>, pues documenta y rinde cuentas sobre el debido ejercicio de sus atribuciones, lo cual acontece en el presente caso, pues, los documentos donde se testa la firma de servidores públicos, dan cuenta de la legalidad del documento que expide o recibe con tal carácter.</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Situación que se robustece, con el Criterio de Interpretación, de la Segunda Época, con número de registro SO/002/2019, emitido por el Instituto Nacional de Transparencia, Acceso a la Información y Protección de Datos Personales, que establece lo siguiente:</w:t>
      </w:r>
    </w:p>
    <w:p w:rsidR="003B3971" w:rsidRDefault="00601C2E">
      <w:pPr>
        <w:spacing w:line="360" w:lineRule="auto"/>
        <w:ind w:left="1134" w:right="-929"/>
        <w:jc w:val="both"/>
        <w:rPr>
          <w:rFonts w:ascii="Palatino Linotype" w:eastAsia="Palatino Linotype" w:hAnsi="Palatino Linotype" w:cs="Palatino Linotype"/>
          <w:i/>
          <w:iCs/>
        </w:rPr>
      </w:pPr>
      <w:r>
        <w:rPr>
          <w:rFonts w:ascii="Palatino Linotype" w:eastAsia="Palatino Linotype" w:hAnsi="Palatino Linotype" w:cs="Palatino Linotype"/>
        </w:rPr>
        <w:t xml:space="preserve"> </w:t>
      </w:r>
      <w:r>
        <w:rPr>
          <w:rFonts w:ascii="Palatino Linotype" w:eastAsia="Palatino Linotype" w:hAnsi="Palatino Linotype" w:cs="Palatino Linotype"/>
          <w:i/>
          <w:iCs/>
        </w:rPr>
        <w:t>“</w:t>
      </w:r>
      <w:r>
        <w:rPr>
          <w:rFonts w:ascii="Palatino Linotype" w:eastAsia="Palatino Linotype" w:hAnsi="Palatino Linotype" w:cs="Palatino Linotype"/>
          <w:b/>
          <w:bCs/>
          <w:i/>
          <w:iCs/>
        </w:rPr>
        <w:t>Firma y rúbrica de servidores públicos</w:t>
      </w:r>
      <w:r>
        <w:rPr>
          <w:rFonts w:ascii="Palatino Linotype" w:eastAsia="Palatino Linotype" w:hAnsi="Palatino Linotype" w:cs="Palatino Linotype"/>
          <w:i/>
          <w:iCs/>
        </w:rPr>
        <w:t xml:space="preserve">. Si bien la firma y la rúbrica son datos personales confidenciales, cuando un servidor público emite un acto como autoridad, en ejercicio de las funciones que tiene conferidas, la firma o rúbrica mediante la cual se valida dicho acto es pública.” </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lastRenderedPageBreak/>
        <w:t xml:space="preserve">Conforme a lo expuesto, </w:t>
      </w:r>
      <w:r>
        <w:rPr>
          <w:rFonts w:ascii="Palatino Linotype" w:eastAsia="Palatino Linotype" w:hAnsi="Palatino Linotype" w:cs="Palatino Linotype"/>
          <w:b/>
          <w:bCs/>
        </w:rPr>
        <w:t>no procede la clasificación</w:t>
      </w:r>
      <w:r>
        <w:rPr>
          <w:rFonts w:ascii="Palatino Linotype" w:eastAsia="Palatino Linotype" w:hAnsi="Palatino Linotype" w:cs="Palatino Linotype"/>
        </w:rPr>
        <w:t>, en términos del artículo 143, fracción I de la Ley de Transparencia y Acceso a la Información Pública del Estado de México y Municipios, en los documentos expedidos por autoridades o servidores públicos que dan certeza y legalidad de los documentos que expiden en ejercicio de sus facultades y atribuciones; misma suerte corre la firma del servidor público plasmada en documentos públicos con objeto de acceso a un cargo público.</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7"/>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Información estadística </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Es información que ciertamente tiene el carácter de pública conforme al Criterio 11/09, emitido por el Pleno del entonces Instituto Federal de Acceso a la Información y Protección de Datos, traído por analogía, establece lo siguiente: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“La información estadística es de naturaleza pública, independientemente de la materia con la que se encuentre vinculada. </w:t>
      </w:r>
      <w:r>
        <w:rPr>
          <w:rFonts w:ascii="Palatino Linotype" w:eastAsia="Palatino Linotype" w:hAnsi="Palatino Linotype" w:cs="Palatino Linotype"/>
          <w:i/>
          <w:iCs/>
        </w:rPr>
        <w:t>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rsidR="003B3971" w:rsidRDefault="003B3971">
      <w:pPr>
        <w:spacing w:line="360" w:lineRule="auto"/>
        <w:ind w:left="567" w:right="-929"/>
        <w:jc w:val="both"/>
        <w:rPr>
          <w:rFonts w:ascii="Palatino Linotype" w:eastAsia="Palatino Linotype" w:hAnsi="Palatino Linotype" w:cs="Palatino Linotype"/>
          <w:i/>
          <w:iCs/>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Del Criterio citado, se desprende que la información estadística es de naturaleza pública, al ser el producto de un conjunto de resultados cuantitativos obtenidos de un proceso sistemático de captación de datos primarios obtenidos sobre hechos que constan en </w:t>
      </w:r>
      <w:r>
        <w:rPr>
          <w:rFonts w:ascii="Palatino Linotype" w:eastAsia="Palatino Linotype" w:hAnsi="Palatino Linotype" w:cs="Palatino Linotype"/>
        </w:rPr>
        <w:lastRenderedPageBreak/>
        <w:t xml:space="preserve">la documentación que los sujetos obligados poseen, por lo que, </w:t>
      </w:r>
      <w:r>
        <w:rPr>
          <w:rFonts w:ascii="Palatino Linotype" w:eastAsia="Palatino Linotype" w:hAnsi="Palatino Linotype" w:cs="Palatino Linotype"/>
          <w:u w:val="single"/>
        </w:rPr>
        <w:t>dichos datos no se encuentran individualizados o personalizados</w:t>
      </w:r>
      <w:r>
        <w:rPr>
          <w:rFonts w:ascii="Palatino Linotype" w:eastAsia="Palatino Linotype" w:hAnsi="Palatino Linotype" w:cs="Palatino Linotype"/>
        </w:rPr>
        <w:t>.</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7"/>
        </w:num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Costos de Servicios y Nombres de Instituciones</w:t>
      </w: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Son datos que de acuerdo al artículo 143 fracción I de la Ley de Transparencia y Acceso a la Información Pública del Estado de México y Municipios, no guardan relación con la clasificación de datos confidenciales, situación por la cual tienen que ser remitidos en correcta versión pública.</w:t>
      </w:r>
    </w:p>
    <w:p w:rsidR="003B3971" w:rsidRDefault="00601C2E">
      <w:pPr>
        <w:spacing w:line="360" w:lineRule="auto"/>
        <w:ind w:left="360" w:right="-929"/>
        <w:jc w:val="both"/>
        <w:rPr>
          <w:rFonts w:ascii="Palatino Linotype" w:eastAsia="Palatino Linotype" w:hAnsi="Palatino Linotype" w:cs="Palatino Linotype"/>
          <w:b/>
          <w:bCs/>
        </w:rPr>
      </w:pPr>
      <w:r>
        <w:rPr>
          <w:rFonts w:ascii="Palatino Linotype" w:eastAsia="Palatino Linotype" w:hAnsi="Palatino Linotype" w:cs="Palatino Linotype"/>
        </w:rPr>
        <w:t xml:space="preserve"> </w:t>
      </w: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lo anterior, se tiene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para colmar el derecho de acceso deberá de remitir los oficios entregados en respuesta en correcta versión pública, toda vez que clasificó datos que no debían de ser clasificados confidenciales. </w:t>
      </w:r>
    </w:p>
    <w:p w:rsidR="003B3971" w:rsidRDefault="003B3971">
      <w:pPr>
        <w:spacing w:line="360" w:lineRule="auto"/>
        <w:ind w:right="-929"/>
        <w:jc w:val="both"/>
        <w:rPr>
          <w:rFonts w:ascii="Palatino Linotype" w:eastAsia="Palatino Linotype" w:hAnsi="Palatino Linotype" w:cs="Palatino Linotype"/>
          <w:b/>
          <w:bCs/>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Seguidamente, de la revisión de los oficios se tiene que se integran por información que sí debe de ser clasificada como confidencial, datos que de manera enunciativa más no limitativa son los siguientes. </w:t>
      </w:r>
    </w:p>
    <w:p w:rsidR="003B3971" w:rsidRDefault="003B3971">
      <w:pPr>
        <w:pBdr>
          <w:top w:val="nil"/>
          <w:left w:val="nil"/>
          <w:bottom w:val="nil"/>
          <w:right w:val="nil"/>
          <w:between w:val="nil"/>
        </w:pBdr>
        <w:ind w:left="708" w:right="-929"/>
        <w:rPr>
          <w:rFonts w:ascii="Palatino Linotype" w:eastAsia="Palatino Linotype" w:hAnsi="Palatino Linotype" w:cs="Palatino Linotype"/>
          <w:b/>
          <w:bCs/>
          <w:color w:val="000000"/>
        </w:rPr>
      </w:pPr>
    </w:p>
    <w:p w:rsidR="003B3971" w:rsidRDefault="00601C2E">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Nombre de particulares</w:t>
      </w:r>
      <w:r>
        <w:rPr>
          <w:rFonts w:ascii="Palatino Linotype" w:eastAsia="Palatino Linotype" w:hAnsi="Palatino Linotype" w:cs="Palatino Linotype"/>
        </w:rPr>
        <w:t xml:space="preserve"> </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per se es un elemento que hace a una persona física identificada o identificable, por lo que, se considera un dato personal. Por lo que el nombre de personas físicas que no tienen nada que ver con el servicio público y que </w:t>
      </w:r>
      <w:r>
        <w:rPr>
          <w:rFonts w:ascii="Palatino Linotype" w:eastAsia="Palatino Linotype" w:hAnsi="Palatino Linotype" w:cs="Palatino Linotype"/>
        </w:rPr>
        <w:lastRenderedPageBreak/>
        <w:t xml:space="preserve">no realizan actos de autoridad o reciben recursos públicos, es un dato confidencial, en términos del artículo 143, fracción I de la Ley de Transparencia y Acceso a la Información. </w:t>
      </w:r>
    </w:p>
    <w:p w:rsidR="003B3971" w:rsidRDefault="003B3971">
      <w:pPr>
        <w:spacing w:line="360" w:lineRule="auto"/>
        <w:ind w:right="-929"/>
        <w:jc w:val="both"/>
        <w:rPr>
          <w:rFonts w:ascii="Palatino Linotype" w:eastAsia="Palatino Linotype" w:hAnsi="Palatino Linotype" w:cs="Palatino Linotype"/>
          <w:i/>
          <w:iCs/>
        </w:rPr>
      </w:pPr>
    </w:p>
    <w:p w:rsidR="003B3971" w:rsidRDefault="00601C2E">
      <w:pPr>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Números telefónicos y correo electrónico particulares</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corresponde a la persona física en su calidad de particular. En tales consideraciones, dicho dato personal es susceptible de ser clasificado como confidencial, con fundamento en el artículo 143, fracción I de la Ley de Transparencia y Acceso a la Información Pública.</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Credencial</w:t>
      </w:r>
      <w:r>
        <w:rPr>
          <w:rFonts w:ascii="Palatino Linotype" w:eastAsia="Palatino Linotype" w:hAnsi="Palatino Linotype" w:cs="Palatino Linotype"/>
          <w:b/>
          <w:bCs/>
          <w:color w:val="000000"/>
        </w:rPr>
        <w:t xml:space="preserve"> para votar</w:t>
      </w: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rPr>
        <w:t>Sobre</w:t>
      </w:r>
      <w:r>
        <w:rPr>
          <w:rFonts w:ascii="Palatino Linotype" w:eastAsia="Palatino Linotype" w:hAnsi="Palatino Linotype" w:cs="Palatino Linotype"/>
          <w:color w:val="000000"/>
        </w:rPr>
        <w:t xml:space="preserv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De manera particular el artículo 156, de la Ley General de Instituciones y </w:t>
      </w:r>
      <w:r>
        <w:rPr>
          <w:rFonts w:ascii="Palatino Linotype" w:eastAsia="Palatino Linotype" w:hAnsi="Palatino Linotype" w:cs="Palatino Linotype"/>
        </w:rPr>
        <w:t>Procedimientos</w:t>
      </w:r>
      <w:r>
        <w:rPr>
          <w:rFonts w:ascii="Palatino Linotype" w:eastAsia="Palatino Linotype" w:hAnsi="Palatino Linotype" w:cs="Palatino Linotype"/>
          <w:color w:val="000000"/>
        </w:rPr>
        <w:t xml:space="preserve"> Electorales, dispone que la credencial para votar deberá contener, cuando menos, los siguientes datos:</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 </w:t>
      </w:r>
      <w:r>
        <w:rPr>
          <w:rFonts w:ascii="Palatino Linotype" w:eastAsia="Palatino Linotype" w:hAnsi="Palatino Linotype" w:cs="Palatino Linotype"/>
          <w:i/>
          <w:iCs/>
          <w:color w:val="000000"/>
        </w:rPr>
        <w:t xml:space="preserve">Entidad federativa, municipio y localidad que corresponden al domicilio. En caso de los ciudadanos residentes en el extranjero, el país en el que residen y la entidad federativa de su lugar </w:t>
      </w:r>
      <w:r>
        <w:rPr>
          <w:rFonts w:ascii="Palatino Linotype" w:eastAsia="Palatino Linotype" w:hAnsi="Palatino Linotype" w:cs="Palatino Linotype"/>
          <w:i/>
          <w:iCs/>
          <w:color w:val="000000"/>
        </w:rPr>
        <w:lastRenderedPageBreak/>
        <w:t xml:space="preserve">de nacimiento. Aquellos que nacieron en el extranjero y nunca han vivido en territorio nacional, deberán acreditar la entidad federativa de nacimiento del progenitor mexicano. Cuando ambos progenitores sean mexicanos, señalará la de su elección, en definitiva;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b) </w:t>
      </w:r>
      <w:r>
        <w:rPr>
          <w:rFonts w:ascii="Palatino Linotype" w:eastAsia="Palatino Linotype" w:hAnsi="Palatino Linotype" w:cs="Palatino Linotype"/>
          <w:i/>
          <w:iCs/>
          <w:color w:val="000000"/>
        </w:rPr>
        <w:t xml:space="preserve">Sección electoral en donde deberá votar el ciudadano. En el caso de los ciudadanos residentes en el extranjero no será necesario incluir este requisito;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 </w:t>
      </w:r>
      <w:r>
        <w:rPr>
          <w:rFonts w:ascii="Palatino Linotype" w:eastAsia="Palatino Linotype" w:hAnsi="Palatino Linotype" w:cs="Palatino Linotype"/>
          <w:i/>
          <w:iCs/>
          <w:color w:val="000000"/>
        </w:rPr>
        <w:t xml:space="preserve">Apellido paterno, apellido materno y nombre completo;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d) </w:t>
      </w:r>
      <w:r>
        <w:rPr>
          <w:rFonts w:ascii="Palatino Linotype" w:eastAsia="Palatino Linotype" w:hAnsi="Palatino Linotype" w:cs="Palatino Linotype"/>
          <w:i/>
          <w:iCs/>
          <w:color w:val="000000"/>
        </w:rPr>
        <w:t xml:space="preserve">Domicilio;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e) </w:t>
      </w:r>
      <w:r>
        <w:rPr>
          <w:rFonts w:ascii="Palatino Linotype" w:eastAsia="Palatino Linotype" w:hAnsi="Palatino Linotype" w:cs="Palatino Linotype"/>
          <w:i/>
          <w:iCs/>
          <w:color w:val="000000"/>
        </w:rPr>
        <w:t xml:space="preserve">Sexo; </w:t>
      </w:r>
    </w:p>
    <w:p w:rsidR="003B3971" w:rsidRDefault="00601C2E">
      <w:pPr>
        <w:ind w:left="567"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color w:val="000000"/>
        </w:rPr>
        <w:t xml:space="preserve">f) </w:t>
      </w:r>
      <w:r>
        <w:rPr>
          <w:rFonts w:ascii="Palatino Linotype" w:eastAsia="Palatino Linotype" w:hAnsi="Palatino Linotype" w:cs="Palatino Linotype"/>
          <w:i/>
          <w:iCs/>
          <w:color w:val="000000"/>
        </w:rPr>
        <w:t>Edad y año de registro;</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g) </w:t>
      </w:r>
      <w:r>
        <w:rPr>
          <w:rFonts w:ascii="Palatino Linotype" w:eastAsia="Palatino Linotype" w:hAnsi="Palatino Linotype" w:cs="Palatino Linotype"/>
          <w:i/>
          <w:iCs/>
          <w:color w:val="000000"/>
        </w:rPr>
        <w:t xml:space="preserve">Firma, huella digital y fotografía del elector;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h) </w:t>
      </w:r>
      <w:r>
        <w:rPr>
          <w:rFonts w:ascii="Palatino Linotype" w:eastAsia="Palatino Linotype" w:hAnsi="Palatino Linotype" w:cs="Palatino Linotype"/>
          <w:i/>
          <w:iCs/>
          <w:color w:val="000000"/>
        </w:rPr>
        <w:t xml:space="preserve">Clave de registro, y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i) </w:t>
      </w:r>
      <w:r>
        <w:rPr>
          <w:rFonts w:ascii="Palatino Linotype" w:eastAsia="Palatino Linotype" w:hAnsi="Palatino Linotype" w:cs="Palatino Linotype"/>
          <w:i/>
          <w:iCs/>
          <w:color w:val="000000"/>
        </w:rPr>
        <w:t xml:space="preserve">Clave Única del Registro de Población. </w:t>
      </w:r>
    </w:p>
    <w:p w:rsidR="003B3971" w:rsidRDefault="003B3971">
      <w:pPr>
        <w:ind w:left="567" w:right="-929"/>
        <w:jc w:val="both"/>
        <w:rPr>
          <w:rFonts w:ascii="Palatino Linotype" w:eastAsia="Palatino Linotype" w:hAnsi="Palatino Linotype" w:cs="Palatino Linotype"/>
          <w:b/>
          <w:bCs/>
          <w:i/>
          <w:iCs/>
          <w:color w:val="000000"/>
        </w:rPr>
      </w:pP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2. </w:t>
      </w:r>
      <w:r>
        <w:rPr>
          <w:rFonts w:ascii="Palatino Linotype" w:eastAsia="Palatino Linotype" w:hAnsi="Palatino Linotype" w:cs="Palatino Linotype"/>
          <w:i/>
          <w:iCs/>
          <w:color w:val="000000"/>
        </w:rPr>
        <w:t xml:space="preserve">Además tendrá: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 </w:t>
      </w:r>
      <w:r>
        <w:rPr>
          <w:rFonts w:ascii="Palatino Linotype" w:eastAsia="Palatino Linotype" w:hAnsi="Palatino Linotype" w:cs="Palatino Linotype"/>
          <w:i/>
          <w:iCs/>
          <w:color w:val="000000"/>
        </w:rPr>
        <w:t xml:space="preserve">Espacios necesarios para marcar año y elección de que se trate;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b) </w:t>
      </w:r>
      <w:r>
        <w:rPr>
          <w:rFonts w:ascii="Palatino Linotype" w:eastAsia="Palatino Linotype" w:hAnsi="Palatino Linotype" w:cs="Palatino Linotype"/>
          <w:i/>
          <w:iCs/>
          <w:color w:val="000000"/>
        </w:rPr>
        <w:t xml:space="preserve">Firma impresa del Secretario Ejecutivo del Instituto;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 </w:t>
      </w:r>
      <w:r>
        <w:rPr>
          <w:rFonts w:ascii="Palatino Linotype" w:eastAsia="Palatino Linotype" w:hAnsi="Palatino Linotype" w:cs="Palatino Linotype"/>
          <w:i/>
          <w:iCs/>
          <w:color w:val="000000"/>
        </w:rPr>
        <w:t xml:space="preserve">Año de emisión;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d) </w:t>
      </w:r>
      <w:r>
        <w:rPr>
          <w:rFonts w:ascii="Palatino Linotype" w:eastAsia="Palatino Linotype" w:hAnsi="Palatino Linotype" w:cs="Palatino Linotype"/>
          <w:i/>
          <w:iCs/>
          <w:color w:val="000000"/>
        </w:rPr>
        <w:t xml:space="preserve">Año en el que expira su vigencia, y </w:t>
      </w:r>
    </w:p>
    <w:p w:rsidR="003B3971" w:rsidRDefault="00601C2E">
      <w:pPr>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e) </w:t>
      </w:r>
      <w:r>
        <w:rPr>
          <w:rFonts w:ascii="Palatino Linotype" w:eastAsia="Palatino Linotype" w:hAnsi="Palatino Linotype" w:cs="Palatino Linotype"/>
          <w:i/>
          <w:iCs/>
          <w:color w:val="000000"/>
        </w:rPr>
        <w:t>En el caso de la que se expida al ciudadano residente en el extranjero, la leyenda “Para Votar desde el Extranjero”.</w:t>
      </w:r>
    </w:p>
    <w:p w:rsidR="003B3971" w:rsidRDefault="003B3971">
      <w:pPr>
        <w:spacing w:line="360" w:lineRule="auto"/>
        <w:ind w:right="-929"/>
        <w:jc w:val="both"/>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rsidR="003B3971" w:rsidRDefault="003B3971">
      <w:pPr>
        <w:spacing w:line="360" w:lineRule="auto"/>
        <w:ind w:right="-929"/>
        <w:jc w:val="both"/>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lastRenderedPageBreak/>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rsidR="003B3971" w:rsidRDefault="003B3971">
      <w:pPr>
        <w:spacing w:line="360" w:lineRule="auto"/>
        <w:ind w:right="-929"/>
        <w:jc w:val="both"/>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rPr>
        <w:t>Dada</w:t>
      </w:r>
      <w:r>
        <w:rPr>
          <w:rFonts w:ascii="Palatino Linotype" w:eastAsia="Palatino Linotype" w:hAnsi="Palatino Linotype" w:cs="Palatino Linotype"/>
          <w:color w:val="000000"/>
        </w:rPr>
        <w:t xml:space="preserve">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w:t>
      </w:r>
      <w:r>
        <w:rPr>
          <w:rFonts w:ascii="Palatino Linotype" w:eastAsia="Palatino Linotype" w:hAnsi="Palatino Linotype" w:cs="Palatino Linotype"/>
          <w:b/>
          <w:bCs/>
          <w:color w:val="000000"/>
          <w:u w:val="single"/>
        </w:rPr>
        <w:t>con excepción del nombre</w:t>
      </w:r>
      <w:r>
        <w:rPr>
          <w:rFonts w:ascii="Palatino Linotype" w:eastAsia="Palatino Linotype" w:hAnsi="Palatino Linotype" w:cs="Palatino Linotype"/>
          <w:color w:val="000000"/>
        </w:rPr>
        <w:t xml:space="preserve">; por lo que, en el presente caso, </w:t>
      </w:r>
      <w:r>
        <w:rPr>
          <w:rFonts w:ascii="Palatino Linotype" w:eastAsia="Palatino Linotype" w:hAnsi="Palatino Linotype" w:cs="Palatino Linotype"/>
          <w:b/>
          <w:bCs/>
          <w:color w:val="000000"/>
        </w:rPr>
        <w:t>se considera que la credencial de elector, así como los datos contenidos en la misma, es confidencial y actualiza la causal de clasificación</w:t>
      </w:r>
      <w:r>
        <w:rPr>
          <w:rFonts w:ascii="Palatino Linotype" w:eastAsia="Palatino Linotype" w:hAnsi="Palatino Linotype" w:cs="Palatino Linotype"/>
          <w:color w:val="000000"/>
        </w:rPr>
        <w:t>, establecida en el artículo 143, fracción I, de la Ley de Transparencia y Acceso a la Información Pública del Estado de México y Municipios.</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Clave Única de </w:t>
      </w:r>
      <w:r>
        <w:rPr>
          <w:rFonts w:ascii="Palatino Linotype" w:eastAsia="Palatino Linotype" w:hAnsi="Palatino Linotype" w:cs="Palatino Linotype"/>
          <w:b/>
          <w:bCs/>
          <w:color w:val="000000"/>
        </w:rPr>
        <w:t>Registro</w:t>
      </w:r>
      <w:r>
        <w:rPr>
          <w:rFonts w:ascii="Palatino Linotype" w:eastAsia="Palatino Linotype" w:hAnsi="Palatino Linotype" w:cs="Palatino Linotype"/>
          <w:b/>
          <w:bCs/>
        </w:rPr>
        <w:t xml:space="preserve"> de Población (CURP).</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De igual </w:t>
      </w:r>
      <w:r>
        <w:rPr>
          <w:rFonts w:ascii="Palatino Linotype" w:eastAsia="Palatino Linotype" w:hAnsi="Palatino Linotype" w:cs="Palatino Linotype"/>
          <w:color w:val="000000"/>
        </w:rPr>
        <w:t>manera</w:t>
      </w:r>
      <w:r>
        <w:rPr>
          <w:rFonts w:ascii="Palatino Linotype" w:eastAsia="Palatino Linotype" w:hAnsi="Palatino Linotype" w:cs="Palatino Linotype"/>
        </w:rPr>
        <w:t xml:space="preserve">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color w:val="000000"/>
        </w:rPr>
        <w:lastRenderedPageBreak/>
        <w:t>Argumento</w:t>
      </w:r>
      <w:r>
        <w:rPr>
          <w:rFonts w:ascii="Palatino Linotype" w:eastAsia="Palatino Linotype" w:hAnsi="Palatino Linotype" w:cs="Palatino Linotype"/>
        </w:rPr>
        <w:t xml:space="preserve"> que es compartido por el Instituto Nacional de Transparencia, Acceso a la Información y Protección de Datos Personales, INAI, conforme al criterio orientador 18/17, el cual refiere: </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“Clave Única de Registro de Población (CURP). </w:t>
      </w:r>
      <w:r>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De tal </w:t>
      </w:r>
      <w:r>
        <w:rPr>
          <w:rFonts w:ascii="Palatino Linotype" w:eastAsia="Palatino Linotype" w:hAnsi="Palatino Linotype" w:cs="Palatino Linotype"/>
          <w:color w:val="000000"/>
        </w:rPr>
        <w:t>suerte</w:t>
      </w:r>
      <w:r>
        <w:rPr>
          <w:rFonts w:ascii="Palatino Linotype" w:eastAsia="Palatino Linotype" w:hAnsi="Palatino Linotype" w:cs="Palatino Linotype"/>
        </w:rPr>
        <w:t xml:space="preserve">,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no guarda relación con la transparencia de los recursos públicos, por lo que </w:t>
      </w:r>
      <w:r>
        <w:rPr>
          <w:rFonts w:ascii="Palatino Linotype" w:eastAsia="Palatino Linotype" w:hAnsi="Palatino Linotype" w:cs="Palatino Linotype"/>
          <w:b/>
          <w:bCs/>
        </w:rPr>
        <w:t xml:space="preserve">constituye un dato personal </w:t>
      </w:r>
      <w:r>
        <w:rPr>
          <w:rFonts w:ascii="Palatino Linotype" w:eastAsia="Palatino Linotype" w:hAnsi="Palatino Linotype" w:cs="Palatino Linotype"/>
        </w:rPr>
        <w:t>confidencial al actualizar el supuesto normativo del artículo 143, fracción I, de la Ley de Transparencia y Acceso a la Información Pública del Estado de México y Municipios.</w:t>
      </w:r>
    </w:p>
    <w:p w:rsidR="003B3971" w:rsidRDefault="003B3971">
      <w:pPr>
        <w:pBdr>
          <w:top w:val="nil"/>
          <w:left w:val="nil"/>
          <w:bottom w:val="nil"/>
          <w:right w:val="nil"/>
          <w:between w:val="nil"/>
        </w:pBdr>
        <w:ind w:left="708" w:right="-929"/>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Ahora bien, se debe de señalar que la revisión de los oficios se localizó que en el archivo </w:t>
      </w:r>
      <w:r>
        <w:rPr>
          <w:rFonts w:ascii="Palatino Linotype" w:eastAsia="Palatino Linotype" w:hAnsi="Palatino Linotype" w:cs="Palatino Linotype"/>
          <w:b/>
          <w:bCs/>
          <w:i/>
          <w:iCs/>
        </w:rPr>
        <w:t>anexo 6.zip</w:t>
      </w:r>
      <w:r>
        <w:rPr>
          <w:rFonts w:ascii="Palatino Linotype" w:eastAsia="Palatino Linotype" w:hAnsi="Palatino Linotype" w:cs="Palatino Linotype"/>
        </w:rPr>
        <w:t xml:space="preserve"> no se realizó una correcta versión pública de los oficios, toda vez que se puede copiar la información y consultar información de particulares como el nombre y el domicilio, situación por la cual </w:t>
      </w:r>
      <w:r>
        <w:rPr>
          <w:rFonts w:ascii="Palatino Linotype" w:eastAsia="Palatino Linotype" w:hAnsi="Palatino Linotype" w:cs="Palatino Linotype"/>
          <w:color w:val="000000"/>
        </w:rPr>
        <w:t xml:space="preserve">es menester dar vista a la Dirección General de Protección de Datos Personales de este Instituto para que en ejercicio de sus atribuciones </w:t>
      </w:r>
      <w:r>
        <w:rPr>
          <w:rFonts w:ascii="Palatino Linotype" w:eastAsia="Palatino Linotype" w:hAnsi="Palatino Linotype" w:cs="Palatino Linotype"/>
        </w:rPr>
        <w:t>atiendan</w:t>
      </w:r>
      <w:r>
        <w:rPr>
          <w:rFonts w:ascii="Palatino Linotype" w:eastAsia="Palatino Linotype" w:hAnsi="Palatino Linotype" w:cs="Palatino Linotype"/>
          <w:color w:val="000000"/>
        </w:rPr>
        <w:t xml:space="preserve"> las directivas marcadas en la propia Ley de la materia, con fundamento en el artículo 82 de la Ley de la materia, el cual señala la atribución de este Órgano Garante para </w:t>
      </w:r>
      <w:r>
        <w:rPr>
          <w:rFonts w:ascii="Palatino Linotype" w:eastAsia="Palatino Linotype" w:hAnsi="Palatino Linotype" w:cs="Palatino Linotype"/>
        </w:rPr>
        <w:t>Investigar las posibles violaciones a la seguridad de los datos personales a fin de determinar la práctica de verificaciones.</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lastRenderedPageBreak/>
        <w:t xml:space="preserve">En esa línea, se debe enfatizar que tal y como se mencionó en este considerando, el Sujeto Obligado proporcionó información que debió ser clasificada como confidencial, es decir, dejó a la vista datos personales concernientes a la vida privada de particulares y de servidores públicos. Por dicha información es menester hacer del conocimiento de la persona que solicitó la información, que ahora se encuentra sujeto a la </w:t>
      </w:r>
      <w:r>
        <w:rPr>
          <w:rFonts w:ascii="Palatino Linotype" w:eastAsia="Palatino Linotype" w:hAnsi="Palatino Linotype" w:cs="Palatino Linotype"/>
          <w:b/>
          <w:bCs/>
        </w:rPr>
        <w:t xml:space="preserve">LEY FEDERAL DE PROTECCIÓN DE DATOS PERSONALES EN POSESIÓN DE LOS PARTICULARES, misma que  a la fecha de la solicitud de información se encontraba vigente y que en </w:t>
      </w:r>
      <w:r>
        <w:rPr>
          <w:rFonts w:ascii="Palatino Linotype" w:eastAsia="Palatino Linotype" w:hAnsi="Palatino Linotype" w:cs="Palatino Linotype"/>
        </w:rPr>
        <w:t>su artículo 1 lo siguiente señala lo siguiente:</w:t>
      </w:r>
    </w:p>
    <w:p w:rsidR="003B3971" w:rsidRDefault="00601C2E">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 La presente Ley es de orden público y de observancia general en toda la República y </w:t>
      </w:r>
      <w:r>
        <w:rPr>
          <w:rFonts w:ascii="Palatino Linotype" w:eastAsia="Palatino Linotype" w:hAnsi="Palatino Linotype" w:cs="Palatino Linotype"/>
          <w:b/>
          <w:bCs/>
          <w:i/>
          <w:iCs/>
        </w:rPr>
        <w:t>tiene por objeto la protección de los datos personales en posesión de los particulares</w:t>
      </w:r>
      <w:r>
        <w:rPr>
          <w:rFonts w:ascii="Palatino Linotype" w:eastAsia="Palatino Linotype" w:hAnsi="Palatino Linotype" w:cs="Palatino Linotype"/>
          <w:i/>
          <w:iCs/>
        </w:rPr>
        <w:t>, con la finalidad de regular su tratamiento legítimo, controlado e informado, a efecto de garantizar la privacidad y el derecho a la autodeterminación informativa de las personas.</w:t>
      </w:r>
    </w:p>
    <w:p w:rsidR="003B3971" w:rsidRDefault="003B3971">
      <w:pPr>
        <w:ind w:left="1134" w:right="-929" w:hanging="708"/>
        <w:jc w:val="both"/>
        <w:rPr>
          <w:rFonts w:ascii="Palatino Linotype" w:eastAsia="Palatino Linotype" w:hAnsi="Palatino Linotype" w:cs="Palatino Linotype"/>
        </w:rPr>
      </w:pPr>
    </w:p>
    <w:p w:rsidR="003B3971" w:rsidRDefault="003B3971">
      <w:pPr>
        <w:ind w:left="1134" w:right="-929" w:hanging="708"/>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En ese escenario, el particular deberá de ser responsable en el buen uso de la información proporcionada, pues se trata de datos personales que le fueron proporcionados por haber incurrido en una probable violación a la privacidad de las personas.</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 xml:space="preserve">Finalmente, se tiene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no turno la solicitud de información a todas las áreas habilitadas, situación por la cual se analiza lo siguiente.</w:t>
      </w:r>
    </w:p>
    <w:p w:rsidR="003B3971" w:rsidRDefault="003B3971">
      <w:pPr>
        <w:spacing w:line="360" w:lineRule="auto"/>
        <w:ind w:left="360" w:right="-929"/>
        <w:jc w:val="both"/>
        <w:rPr>
          <w:rFonts w:ascii="Palatino Linotype" w:eastAsia="Palatino Linotype" w:hAnsi="Palatino Linotype" w:cs="Palatino Linotype"/>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De lo anterior, al artículo 162 de la de la Ley de Transparencia y Acceso a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Pública del Estado de México y Municipios, regula que las Unidades de Transparencia deben de garantizar que las solicitudes </w:t>
      </w:r>
      <w:r>
        <w:rPr>
          <w:rFonts w:ascii="Palatino Linotype" w:eastAsia="Palatino Linotype" w:hAnsi="Palatino Linotype" w:cs="Palatino Linotype"/>
          <w:b/>
          <w:bCs/>
          <w:color w:val="000000"/>
        </w:rPr>
        <w:t>se turnen a todas las Áreas competentes que cuenten con la información o deban tenerla de acuerdo a sus facultades,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lastRenderedPageBreak/>
        <w:t xml:space="preserve">competencias y funciones, </w:t>
      </w:r>
      <w:r>
        <w:rPr>
          <w:rFonts w:ascii="Palatino Linotype" w:eastAsia="Palatino Linotype" w:hAnsi="Palatino Linotype" w:cs="Palatino Linotype"/>
          <w:b/>
          <w:bCs/>
          <w:color w:val="000000"/>
          <w:u w:val="single"/>
        </w:rPr>
        <w:t>con el objeto de que realicen una búsqueda exhaustiva y razonable de la información solicitada</w:t>
      </w:r>
      <w:r>
        <w:rPr>
          <w:rFonts w:ascii="Palatino Linotype" w:eastAsia="Palatino Linotype" w:hAnsi="Palatino Linotype" w:cs="Palatino Linotype"/>
          <w:color w:val="000000"/>
        </w:rPr>
        <w:t xml:space="preserve">, situación que no fue realizada por el Titular de la Unidad de Transparencia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A efecto de determinar la legalidad de dicha respuesta, es necesario tomar en cuenta las </w:t>
      </w:r>
      <w:r>
        <w:rPr>
          <w:rFonts w:ascii="Palatino Linotype" w:eastAsia="Palatino Linotype" w:hAnsi="Palatino Linotype" w:cs="Palatino Linotype"/>
        </w:rPr>
        <w:t>siguientes</w:t>
      </w:r>
      <w:r>
        <w:rPr>
          <w:rFonts w:ascii="Palatino Linotype" w:eastAsia="Palatino Linotype" w:hAnsi="Palatino Linotype" w:cs="Palatino Linotype"/>
          <w:color w:val="000000"/>
        </w:rPr>
        <w:t xml:space="preserve"> disposiciones de la Ley de la materia.</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50.</w:t>
      </w:r>
      <w:r>
        <w:rPr>
          <w:rFonts w:ascii="Palatino Linotype" w:eastAsia="Palatino Linotype" w:hAnsi="Palatino Linotype" w:cs="Palatino Linotype"/>
          <w:i/>
          <w:iCs/>
          <w:color w:val="000000"/>
        </w:rPr>
        <w:t xml:space="preserve"> Los sujetos obligados contarán con un área responsable para la atención de las solicitudes de información, a la que se le denominará Unidad de Transparencia.</w:t>
      </w:r>
    </w:p>
    <w:p w:rsidR="003B3971" w:rsidRDefault="003B3971">
      <w:pPr>
        <w:ind w:left="1134" w:right="-929"/>
        <w:jc w:val="both"/>
        <w:rPr>
          <w:rFonts w:ascii="Palatino Linotype" w:eastAsia="Palatino Linotype" w:hAnsi="Palatino Linotype" w:cs="Palatino Linotype"/>
          <w:i/>
          <w:iCs/>
          <w:color w:val="000000"/>
        </w:rPr>
      </w:pP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51</w:t>
      </w:r>
      <w:r>
        <w:rPr>
          <w:rFonts w:ascii="Palatino Linotype" w:eastAsia="Palatino Linotype" w:hAnsi="Palatino Linotype" w:cs="Palatino Linotype"/>
          <w:i/>
          <w:iCs/>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3B3971" w:rsidRDefault="003B3971">
      <w:pPr>
        <w:ind w:left="1134" w:right="-929"/>
        <w:jc w:val="both"/>
        <w:rPr>
          <w:rFonts w:ascii="Palatino Linotype" w:eastAsia="Palatino Linotype" w:hAnsi="Palatino Linotype" w:cs="Palatino Linotype"/>
          <w:i/>
          <w:iCs/>
          <w:color w:val="000000"/>
        </w:rPr>
      </w:pP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Las Unidades de Transparencia tendrán las siguientes funciones:</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3B3971" w:rsidRDefault="00601C2E">
      <w:pPr>
        <w:ind w:left="1134"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Recibir, </w:t>
      </w:r>
      <w:r>
        <w:rPr>
          <w:rFonts w:ascii="Palatino Linotype" w:eastAsia="Palatino Linotype" w:hAnsi="Palatino Linotype" w:cs="Palatino Linotype"/>
          <w:b/>
          <w:bCs/>
          <w:i/>
          <w:iCs/>
          <w:color w:val="000000"/>
          <w:u w:val="single"/>
        </w:rPr>
        <w:t>tramitar</w:t>
      </w:r>
      <w:r>
        <w:rPr>
          <w:rFonts w:ascii="Palatino Linotype" w:eastAsia="Palatino Linotype" w:hAnsi="Palatino Linotype" w:cs="Palatino Linotype"/>
          <w:b/>
          <w:bCs/>
          <w:i/>
          <w:iCs/>
          <w:color w:val="000000"/>
        </w:rPr>
        <w:t xml:space="preserve"> y dar respuesta a las solicitudes de acceso a la información;</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Auxiliar a los particulares en la elaboración de solicitudes de acceso a la información y, en su caso, orientarlos sobre los sujetos obligados competentes conforme a la normatividad aplicable;</w:t>
      </w:r>
    </w:p>
    <w:p w:rsidR="003B3971" w:rsidRDefault="00601C2E">
      <w:pPr>
        <w:ind w:left="1134"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IV. Realizar, con efectividad, los trámites internos necesarios para la atención de las solicitudes de acceso a la información;</w:t>
      </w:r>
    </w:p>
    <w:p w:rsidR="003B3971" w:rsidRDefault="00601C2E">
      <w:pPr>
        <w:ind w:left="1134"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 Entregar, en su caso, a los particulares la información solicitada;</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 Efectuar las notificaciones a los solicitantes;</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 Proponer al Comité de Transparencia, los procedimientos internos que aseguren la mayor eficiencia en la gestión de las solicitudes de acceso a la información, conforme a la normatividad aplicable;</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VIII. Proponer a quien preside el Comité de Transparencia, personal habilitado que sea necesario para recibir y dar trámite a las solicitudes de acceso a la información;</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 Presentar ante el Comité, el proyecto de clasificación de información;</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 Promover e implementar políticas de transparencia proactiva procurando su accesibilidad;</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 Fomentar la transparencia y accesibilidad al interior del sujeto obligado;</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rsidR="003B3971" w:rsidRDefault="003B3971">
      <w:pPr>
        <w:ind w:left="1134" w:right="-929"/>
        <w:jc w:val="both"/>
        <w:rPr>
          <w:rFonts w:ascii="Palatino Linotype" w:eastAsia="Palatino Linotype" w:hAnsi="Palatino Linotype" w:cs="Palatino Linotype"/>
          <w:i/>
          <w:iCs/>
          <w:color w:val="000000"/>
        </w:rPr>
      </w:pP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59</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Los servidores públicos habilitados</w:t>
      </w:r>
      <w:r>
        <w:rPr>
          <w:rFonts w:ascii="Palatino Linotype" w:eastAsia="Palatino Linotype" w:hAnsi="Palatino Linotype" w:cs="Palatino Linotype"/>
          <w:i/>
          <w:iCs/>
          <w:color w:val="000000"/>
        </w:rPr>
        <w:t xml:space="preserve"> tendrán las funciones siguientes:</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Localizar la información que le solicite la Unidad de Transparencia;</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 Proporcionar la información que obre en los archivos y que le sea solicitada por la Unidad de Transparencia;</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Apoyar a la Unidad de Transparencia en lo que esta le solicite para el cumplimiento de sus funciones;</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IV. Proporcionar a la Unidad de Transparencia, las modificaciones a la información pública de oficio que obre en su poder;</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V. Integrar y presentar al responsable de la Unidad de Transparencia la propuesta de clasificación de información, la cual tendrá los fundamentos y argumentos en que se basa dicha propuesta;</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 Verificar, una vez analizado el contenido de la información, que no se encuentre en los supuestos de información clasificada; y</w:t>
      </w: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 Dar cuenta a la Unidad de Transparencia del vencimiento de los plazos de reserva.</w:t>
      </w:r>
    </w:p>
    <w:p w:rsidR="003B3971" w:rsidRDefault="003B3971">
      <w:pPr>
        <w:ind w:left="1134" w:right="-929"/>
        <w:jc w:val="both"/>
        <w:rPr>
          <w:rFonts w:ascii="Palatino Linotype" w:eastAsia="Palatino Linotype" w:hAnsi="Palatino Linotype" w:cs="Palatino Linotype"/>
          <w:i/>
          <w:iCs/>
          <w:color w:val="000000"/>
        </w:rPr>
      </w:pPr>
    </w:p>
    <w:p w:rsidR="003B3971" w:rsidRDefault="00601C2E">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162</w:t>
      </w:r>
      <w:r>
        <w:rPr>
          <w:rFonts w:ascii="Palatino Linotype" w:eastAsia="Palatino Linotype" w:hAnsi="Palatino Linotype" w:cs="Palatino Linotype"/>
          <w:i/>
          <w:iCs/>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3B3971" w:rsidRDefault="003B3971">
      <w:pPr>
        <w:ind w:right="-929"/>
        <w:jc w:val="both"/>
        <w:rPr>
          <w:rFonts w:ascii="Palatino Linotype" w:eastAsia="Palatino Linotype" w:hAnsi="Palatino Linotype" w:cs="Palatino Linotype"/>
          <w:i/>
          <w:iCs/>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De la normatividad en cita, se desprende que las Unidades de Transparencia, se erigen como el área responsable en cada Sujeto Obligado que tiene a su cargo la atención de las solicitudes de información que se realicen al amparo de la Ley. El </w:t>
      </w:r>
      <w:r>
        <w:rPr>
          <w:rFonts w:ascii="Palatino Linotype" w:eastAsia="Palatino Linotype" w:hAnsi="Palatino Linotype" w:cs="Palatino Linotype"/>
        </w:rPr>
        <w:t>responsable</w:t>
      </w:r>
      <w:r>
        <w:rPr>
          <w:rFonts w:ascii="Palatino Linotype" w:eastAsia="Palatino Linotype" w:hAnsi="Palatino Linotype" w:cs="Palatino Linotype"/>
          <w:color w:val="000000"/>
        </w:rPr>
        <w:t xml:space="preserve"> de dicha área funge como enlace entre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xml:space="preserve"> y los solicitantes, y tiene bajo su responsabilidad el tramitar internamente la solicitud de información.</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De tal manera que, si bien, el Titular de la Unidad de Transparencia dio respuesta a la solicitud de información en cuestión, tenía que haber realizado el procedimiento, de turnar dentro de las áreas que conforman la estructura del </w:t>
      </w:r>
      <w:r>
        <w:rPr>
          <w:rFonts w:ascii="Palatino Linotype" w:eastAsia="Palatino Linotype" w:hAnsi="Palatino Linotype" w:cs="Palatino Linotype"/>
          <w:b/>
          <w:bCs/>
          <w:color w:val="000000"/>
        </w:rPr>
        <w:t xml:space="preserve">Sujeto </w:t>
      </w:r>
      <w:r>
        <w:rPr>
          <w:rFonts w:ascii="Palatino Linotype" w:eastAsia="Palatino Linotype" w:hAnsi="Palatino Linotype" w:cs="Palatino Linotype"/>
        </w:rPr>
        <w:t>Obligado</w:t>
      </w:r>
      <w:r>
        <w:rPr>
          <w:rFonts w:ascii="Palatino Linotype" w:eastAsia="Palatino Linotype" w:hAnsi="Palatino Linotype" w:cs="Palatino Linotype"/>
          <w:color w:val="000000"/>
        </w:rPr>
        <w:t>, a fin de que el 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lastRenderedPageBreak/>
        <w:t>Es por ello, que corresponde al Titular de la Unidad de Transparencia el garantizar que las solicitudes se turnen a todas las áreas competentes que puedan contar con la información, con el objeto de que se realice una búsqueda exhaustiva y razonable de la misma.</w:t>
      </w:r>
    </w:p>
    <w:p w:rsidR="003B3971" w:rsidRDefault="003B3971">
      <w:pPr>
        <w:spacing w:line="360" w:lineRule="auto"/>
        <w:ind w:right="-929"/>
        <w:jc w:val="both"/>
        <w:rPr>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De lo anterior, es de precisar que la información que resulta de interés para el particular obra en los archivos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Conforme a lo anterior, se puede advertir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 turnó la solicitud de información a todas  las unidad administrativa habilitadas de conocer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la solicitud de información, por lo que se concluye,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es una investigación con esas características.</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Aunado a lo expuesto, para poder acreditar el carácter exhaustivo de la búsqueda realizada por los Sujetos Obligados, se deben motivar las razones por las que se </w:t>
      </w:r>
      <w:r>
        <w:rPr>
          <w:rFonts w:ascii="Palatino Linotype" w:eastAsia="Palatino Linotype" w:hAnsi="Palatino Linotype" w:cs="Palatino Linotype"/>
        </w:rPr>
        <w:t>buscó</w:t>
      </w:r>
      <w:r>
        <w:rPr>
          <w:rFonts w:ascii="Palatino Linotype" w:eastAsia="Palatino Linotype" w:hAnsi="Palatino Linotype" w:cs="Palatino Linotype"/>
          <w:color w:val="000000"/>
        </w:rPr>
        <w:t xml:space="preserve"> la información en determinadas áreas, los criterios de búsqueda utilizados y demás circunstancias que fueron tomadas en cuenta.</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lastRenderedPageBreak/>
        <w:t xml:space="preserve">En ese contexto, de conformidad con los </w:t>
      </w:r>
      <w:r>
        <w:rPr>
          <w:rFonts w:ascii="Palatino Linotype" w:eastAsia="Palatino Linotype" w:hAnsi="Palatino Linotype" w:cs="Palatino Linotype"/>
          <w:b/>
          <w:bCs/>
          <w:color w:val="000000"/>
        </w:rPr>
        <w:t>criterios 12/10 y 04/19,</w:t>
      </w:r>
      <w:r>
        <w:rPr>
          <w:rFonts w:ascii="Palatino Linotype" w:eastAsia="Palatino Linotype" w:hAnsi="Palatino Linotype" w:cs="Palatino Linotype"/>
          <w:color w:val="000000"/>
        </w:rPr>
        <w:t xml:space="preserve"> emitidos por el Instituto Nacional de Transparencia, Acceso a la Información y Protección de Datos Personales, traídos por analogía, se colige que los sujetos obligados para acreditar </w:t>
      </w:r>
      <w:r>
        <w:rPr>
          <w:rFonts w:ascii="Palatino Linotype" w:eastAsia="Palatino Linotype" w:hAnsi="Palatino Linotype" w:cs="Palatino Linotype"/>
        </w:rPr>
        <w:t>que</w:t>
      </w:r>
      <w:r>
        <w:rPr>
          <w:rFonts w:ascii="Palatino Linotype" w:eastAsia="Palatino Linotype" w:hAnsi="Palatino Linotype" w:cs="Palatino Linotype"/>
          <w:color w:val="000000"/>
        </w:rPr>
        <w:t xml:space="preserve"> se realizó una búsqueda exhaustiva y razonable, deben de proporcionar los </w:t>
      </w:r>
      <w:r>
        <w:rPr>
          <w:rFonts w:ascii="Palatino Linotype" w:eastAsia="Palatino Linotype" w:hAnsi="Palatino Linotype" w:cs="Palatino Linotype"/>
          <w:b/>
          <w:bCs/>
          <w:color w:val="000000"/>
        </w:rPr>
        <w:t>elementos suficientes</w:t>
      </w:r>
      <w:r>
        <w:rPr>
          <w:rFonts w:ascii="Palatino Linotype" w:eastAsia="Palatino Linotype" w:hAnsi="Palatino Linotype" w:cs="Palatino Linotype"/>
          <w:color w:val="000000"/>
        </w:rPr>
        <w:t xml:space="preserve"> del carácter exhaustivo de la indagación realizada, a saber, los siguientes:</w:t>
      </w:r>
    </w:p>
    <w:p w:rsidR="003B3971" w:rsidRDefault="00601C2E">
      <w:pPr>
        <w:numPr>
          <w:ilvl w:val="0"/>
          <w:numId w:val="9"/>
        </w:num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Motivación por las que se buscó la información, en determinadas unidades administrativas;</w:t>
      </w:r>
    </w:p>
    <w:p w:rsidR="003B3971" w:rsidRDefault="00601C2E">
      <w:pPr>
        <w:numPr>
          <w:ilvl w:val="0"/>
          <w:numId w:val="9"/>
        </w:num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criterios de búsqueda utilizados, y</w:t>
      </w:r>
    </w:p>
    <w:p w:rsidR="003B3971" w:rsidRDefault="00601C2E">
      <w:pPr>
        <w:numPr>
          <w:ilvl w:val="0"/>
          <w:numId w:val="9"/>
        </w:num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circunstancias que fueron tomadas en cuenta.</w:t>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De tales circunstancias, se considera que para que los Sujetos Obligado justifiquen </w:t>
      </w:r>
      <w:r>
        <w:rPr>
          <w:rFonts w:ascii="Palatino Linotype" w:eastAsia="Palatino Linotype" w:hAnsi="Palatino Linotype" w:cs="Palatino Linotype"/>
        </w:rPr>
        <w:t>que</w:t>
      </w:r>
      <w:r>
        <w:rPr>
          <w:rFonts w:ascii="Palatino Linotype" w:eastAsia="Palatino Linotype" w:hAnsi="Palatino Linotype" w:cs="Palatino Linotype"/>
          <w:color w:val="000000"/>
        </w:rPr>
        <w:t xml:space="preserve"> realizaron una búsqueda exhaustiva y razonable, deben indicar de manera clara, lo siguiente:</w:t>
      </w:r>
    </w:p>
    <w:p w:rsidR="003B3971" w:rsidRDefault="00601C2E">
      <w:pPr>
        <w:numPr>
          <w:ilvl w:val="0"/>
          <w:numId w:val="10"/>
        </w:numPr>
        <w:ind w:left="1134" w:right="-929"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Las áreas donde se buscó la información;</w:t>
      </w:r>
    </w:p>
    <w:p w:rsidR="003B3971" w:rsidRDefault="00601C2E">
      <w:pPr>
        <w:numPr>
          <w:ilvl w:val="0"/>
          <w:numId w:val="10"/>
        </w:numPr>
        <w:ind w:left="1134" w:right="-929"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Tipo de archivos buscados (físicos o electrónicos);</w:t>
      </w:r>
    </w:p>
    <w:p w:rsidR="003B3971" w:rsidRDefault="00601C2E">
      <w:pPr>
        <w:numPr>
          <w:ilvl w:val="0"/>
          <w:numId w:val="10"/>
        </w:numPr>
        <w:ind w:left="1134" w:right="-929"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Los criterios de búsqueda utilizados, y </w:t>
      </w:r>
    </w:p>
    <w:p w:rsidR="003B3971" w:rsidRDefault="00601C2E">
      <w:pPr>
        <w:numPr>
          <w:ilvl w:val="0"/>
          <w:numId w:val="10"/>
        </w:numPr>
        <w:ind w:left="1134" w:right="-929"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Las circunstancias que fueron tomadas en cuenta.</w:t>
      </w:r>
      <w:r>
        <w:rPr>
          <w:rFonts w:ascii="Palatino Linotype" w:eastAsia="Palatino Linotype" w:hAnsi="Palatino Linotype" w:cs="Palatino Linotype"/>
          <w:b/>
          <w:bCs/>
          <w:i/>
          <w:iCs/>
          <w:color w:val="000000"/>
        </w:rPr>
        <w:tab/>
      </w:r>
    </w:p>
    <w:p w:rsidR="003B3971" w:rsidRDefault="003B3971">
      <w:pPr>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Conforme a lo anterior, este Instituto considera que el </w:t>
      </w:r>
      <w:r>
        <w:rPr>
          <w:rFonts w:ascii="Palatino Linotype" w:eastAsia="Palatino Linotype" w:hAnsi="Palatino Linotype" w:cs="Palatino Linotype"/>
          <w:b/>
          <w:bCs/>
          <w:color w:val="000000"/>
        </w:rPr>
        <w:t>Sistema Municipal Para el Desarrollo Integral de la Familia de Tianguistenco</w:t>
      </w:r>
      <w:r>
        <w:rPr>
          <w:rFonts w:ascii="Palatino Linotype" w:eastAsia="Palatino Linotype" w:hAnsi="Palatino Linotype" w:cs="Palatino Linotype"/>
          <w:color w:val="000000"/>
        </w:rPr>
        <w:t xml:space="preserve">, no cumplió con ninguno de los requisitos previamente señalados por lo consiguiente no </w:t>
      </w:r>
      <w:r>
        <w:rPr>
          <w:rFonts w:ascii="Palatino Linotype" w:eastAsia="Palatino Linotype" w:hAnsi="Palatino Linotype" w:cs="Palatino Linotype"/>
        </w:rPr>
        <w:t>turnó</w:t>
      </w:r>
      <w:r>
        <w:rPr>
          <w:rFonts w:ascii="Palatino Linotype" w:eastAsia="Palatino Linotype" w:hAnsi="Palatino Linotype" w:cs="Palatino Linotype"/>
          <w:color w:val="000000"/>
        </w:rPr>
        <w:t xml:space="preserve"> la solicitud de información a las diversas áreas, toda vez que de la respuesta entregada no se pronuncian todos los servidores públicos habilitados, por lo que, no se logró advertir que esta haya realizado una indagación de lo requerido, </w:t>
      </w:r>
      <w:r>
        <w:rPr>
          <w:rFonts w:ascii="Palatino Linotype" w:eastAsia="Palatino Linotype" w:hAnsi="Palatino Linotype" w:cs="Palatino Linotype"/>
          <w:b/>
          <w:bCs/>
          <w:color w:val="000000"/>
        </w:rPr>
        <w:t>no se indago en documentos físicos o también electrónicos y no se logró desprender los criterios de búsqueda utilizados, pues no precisó cómo realizó la misma.</w:t>
      </w: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lastRenderedPageBreak/>
        <w:t>De lo anterior, se concluye que la búsqueda exhaustiva y razonable de la información debe estar sustentada con los respectivos criterios de búsqueda exhaustiva que el sujeto obligado utilizó.</w:t>
      </w:r>
    </w:p>
    <w:p w:rsidR="003B3971" w:rsidRDefault="003B3971">
      <w:pPr>
        <w:spacing w:line="360" w:lineRule="auto"/>
        <w:ind w:right="-929"/>
        <w:jc w:val="both"/>
        <w:rPr>
          <w:rFonts w:ascii="Palatino Linotype" w:eastAsia="Palatino Linotype" w:hAnsi="Palatino Linotype" w:cs="Palatino Linotype"/>
          <w:b/>
          <w:bCs/>
        </w:rPr>
      </w:pPr>
    </w:p>
    <w:p w:rsidR="003B3971" w:rsidRDefault="00601C2E">
      <w:pPr>
        <w:numPr>
          <w:ilvl w:val="0"/>
          <w:numId w:val="8"/>
        </w:numP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lo </w:t>
      </w:r>
      <w:r>
        <w:rPr>
          <w:rFonts w:ascii="Palatino Linotype" w:eastAsia="Palatino Linotype" w:hAnsi="Palatino Linotype" w:cs="Palatino Linotype"/>
        </w:rPr>
        <w:t>analizado</w:t>
      </w:r>
      <w:r>
        <w:rPr>
          <w:rFonts w:ascii="Palatino Linotype" w:eastAsia="Palatino Linotype" w:hAnsi="Palatino Linotype" w:cs="Palatino Linotype"/>
          <w:color w:val="000000"/>
        </w:rPr>
        <w:t xml:space="preserve">, se establece que </w:t>
      </w:r>
      <w:r>
        <w:rPr>
          <w:rFonts w:ascii="Palatino Linotype" w:eastAsia="Palatino Linotype" w:hAnsi="Palatino Linotype" w:cs="Palatino Linotype"/>
        </w:rPr>
        <w:t xml:space="preserve">las razones o motivos de inconformidad hechos valer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resultan </w:t>
      </w:r>
      <w:r>
        <w:rPr>
          <w:rFonts w:ascii="Palatino Linotype" w:eastAsia="Palatino Linotype" w:hAnsi="Palatino Linotype" w:cs="Palatino Linotype"/>
          <w:b/>
          <w:bCs/>
        </w:rPr>
        <w:t>fundadas y procedentes</w:t>
      </w:r>
      <w:r>
        <w:rPr>
          <w:rFonts w:ascii="Palatino Linotype" w:eastAsia="Palatino Linotype" w:hAnsi="Palatino Linotype" w:cs="Palatino Linotype"/>
        </w:rPr>
        <w:t xml:space="preserve"> en la solicitud de información </w:t>
      </w:r>
      <w:r>
        <w:rPr>
          <w:rFonts w:ascii="Palatino Linotype" w:eastAsia="Palatino Linotype" w:hAnsi="Palatino Linotype" w:cs="Palatino Linotype"/>
          <w:b/>
          <w:bCs/>
        </w:rPr>
        <w:t>00029/DIFTIANGUI/IP/2025</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keepNext/>
        <w:keepLines/>
        <w:spacing w:after="160" w:line="360" w:lineRule="auto"/>
        <w:ind w:right="-92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3B3971" w:rsidRDefault="00601C2E">
      <w:pPr>
        <w:keepNext/>
        <w:keepLines/>
        <w:numPr>
          <w:ilvl w:val="0"/>
          <w:numId w:val="13"/>
        </w:numPr>
        <w:tabs>
          <w:tab w:val="left" w:pos="284"/>
        </w:tabs>
        <w:spacing w:after="160" w:line="360" w:lineRule="auto"/>
        <w:ind w:left="0" w:right="-929" w:firstLine="0"/>
        <w:rPr>
          <w:rFonts w:ascii="Palatino Linotype" w:eastAsia="Palatino Linotype" w:hAnsi="Palatino Linotype" w:cs="Palatino Linotype"/>
          <w:b/>
          <w:bCs/>
          <w:color w:val="000000"/>
        </w:rPr>
      </w:pPr>
      <w:bookmarkStart w:id="14" w:name="_heading=h.lnxbz9" w:colFirst="0" w:colLast="0"/>
      <w:bookmarkEnd w:id="14"/>
      <w:r>
        <w:rPr>
          <w:rFonts w:ascii="Palatino Linotype" w:eastAsia="Palatino Linotype" w:hAnsi="Palatino Linotype" w:cs="Palatino Linotype"/>
          <w:b/>
          <w:bCs/>
          <w:color w:val="000000"/>
        </w:rPr>
        <w:t xml:space="preserve">Nociones generales. </w:t>
      </w: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B3971" w:rsidRDefault="003B3971">
      <w:pPr>
        <w:tabs>
          <w:tab w:val="left" w:pos="0"/>
          <w:tab w:val="left" w:pos="284"/>
        </w:tabs>
        <w:spacing w:line="360" w:lineRule="auto"/>
        <w:ind w:right="-929"/>
        <w:jc w:val="both"/>
        <w:rPr>
          <w:rFonts w:ascii="Palatino Linotype" w:eastAsia="Palatino Linotype" w:hAnsi="Palatino Linotype" w:cs="Palatino Linotype"/>
          <w:highlight w:val="yellow"/>
        </w:rPr>
      </w:pPr>
    </w:p>
    <w:p w:rsidR="003B3971"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3B3971" w:rsidRDefault="003B3971">
      <w:pPr>
        <w:tabs>
          <w:tab w:val="left" w:pos="284"/>
        </w:tabs>
        <w:spacing w:after="160" w:line="360" w:lineRule="auto"/>
        <w:ind w:right="-929"/>
        <w:jc w:val="both"/>
        <w:rPr>
          <w:rFonts w:ascii="Palatino Linotype" w:eastAsia="Palatino Linotype" w:hAnsi="Palatino Linotype" w:cs="Palatino Linotype"/>
          <w:color w:val="000000"/>
        </w:rPr>
      </w:pPr>
    </w:p>
    <w:tbl>
      <w:tblPr>
        <w:tblStyle w:val="a1"/>
        <w:tblW w:w="997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10"/>
        <w:gridCol w:w="7065"/>
      </w:tblGrid>
      <w:tr w:rsidR="003B3971">
        <w:tc>
          <w:tcPr>
            <w:tcW w:w="2910" w:type="dxa"/>
          </w:tcPr>
          <w:p w:rsidR="003B3971" w:rsidRDefault="00601C2E">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lastRenderedPageBreak/>
              <w:t>a) Requisitos previos.</w:t>
            </w:r>
          </w:p>
        </w:tc>
        <w:tc>
          <w:tcPr>
            <w:tcW w:w="7065" w:type="dxa"/>
          </w:tcPr>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3B3971" w:rsidRDefault="00601C2E">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B3971">
        <w:tc>
          <w:tcPr>
            <w:tcW w:w="2910" w:type="dxa"/>
          </w:tcPr>
          <w:p w:rsidR="003B3971" w:rsidRDefault="00601C2E">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7065" w:type="dxa"/>
          </w:tcPr>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la información </w:t>
            </w:r>
            <w:r>
              <w:rPr>
                <w:rFonts w:ascii="Palatino Linotype" w:eastAsia="Palatino Linotype" w:hAnsi="Palatino Linotype" w:cs="Palatino Linotype"/>
                <w:color w:val="000000"/>
              </w:rPr>
              <w:lastRenderedPageBreak/>
              <w:t>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B3971" w:rsidRDefault="00601C2E">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B3971">
        <w:tc>
          <w:tcPr>
            <w:tcW w:w="2910" w:type="dxa"/>
          </w:tcPr>
          <w:p w:rsidR="003B3971" w:rsidRDefault="00601C2E">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065" w:type="dxa"/>
          </w:tcPr>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3B3971" w:rsidRDefault="00601C2E">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w:t>
            </w:r>
            <w:r>
              <w:rPr>
                <w:rFonts w:ascii="Palatino Linotype" w:eastAsia="Palatino Linotype" w:hAnsi="Palatino Linotype" w:cs="Palatino Linotype"/>
                <w:color w:val="000000"/>
              </w:rPr>
              <w:lastRenderedPageBreak/>
              <w:t>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B3971">
        <w:tc>
          <w:tcPr>
            <w:tcW w:w="2910" w:type="dxa"/>
          </w:tcPr>
          <w:p w:rsidR="003B3971" w:rsidRDefault="003B3971">
            <w:pPr>
              <w:tabs>
                <w:tab w:val="left" w:pos="284"/>
              </w:tabs>
              <w:spacing w:line="360" w:lineRule="auto"/>
              <w:ind w:right="-106"/>
              <w:rPr>
                <w:rFonts w:ascii="Palatino Linotype" w:eastAsia="Palatino Linotype" w:hAnsi="Palatino Linotype" w:cs="Palatino Linotype"/>
              </w:rPr>
            </w:pPr>
          </w:p>
          <w:p w:rsidR="003B3971" w:rsidRDefault="00601C2E">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065" w:type="dxa"/>
          </w:tcPr>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w:t>
            </w:r>
            <w:r>
              <w:rPr>
                <w:rFonts w:ascii="Palatino Linotype" w:eastAsia="Palatino Linotype" w:hAnsi="Palatino Linotype" w:cs="Palatino Linotype"/>
                <w:color w:val="000000"/>
              </w:rPr>
              <w:lastRenderedPageBreak/>
              <w:t>adecuar el hecho a los fundamentos de derecho. De este modo, la persona que se sienta afectada pueda impugnar la decisión, permitiéndole una real y auténtica defensa.</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B3971">
        <w:tc>
          <w:tcPr>
            <w:tcW w:w="2910" w:type="dxa"/>
          </w:tcPr>
          <w:p w:rsidR="003B3971" w:rsidRDefault="00601C2E">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065" w:type="dxa"/>
          </w:tcPr>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3B3971" w:rsidRDefault="00601C2E">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w:t>
            </w:r>
            <w:r>
              <w:rPr>
                <w:rFonts w:ascii="Palatino Linotype" w:eastAsia="Palatino Linotype" w:hAnsi="Palatino Linotype" w:cs="Palatino Linotype"/>
                <w:color w:val="000000"/>
              </w:rPr>
              <w:lastRenderedPageBreak/>
              <w:t xml:space="preserve">de la Nación, los servidores públicos nos encontramos sujetos a un régimen menor de protección. </w:t>
            </w:r>
          </w:p>
          <w:p w:rsidR="003B3971" w:rsidRDefault="00601C2E">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3B3971" w:rsidRDefault="003B3971">
      <w:pPr>
        <w:tabs>
          <w:tab w:val="left" w:pos="284"/>
        </w:tabs>
        <w:spacing w:line="360" w:lineRule="auto"/>
        <w:ind w:right="-929"/>
        <w:jc w:val="both"/>
        <w:rPr>
          <w:rFonts w:ascii="Palatino Linotype" w:eastAsia="Palatino Linotype" w:hAnsi="Palatino Linotype" w:cs="Palatino Linotype"/>
          <w:color w:val="000000"/>
        </w:rPr>
      </w:pPr>
    </w:p>
    <w:p w:rsidR="003B3971" w:rsidRDefault="00601C2E">
      <w:pPr>
        <w:numPr>
          <w:ilvl w:val="0"/>
          <w:numId w:val="8"/>
        </w:numPr>
        <w:spacing w:line="360" w:lineRule="auto"/>
        <w:ind w:left="0" w:right="-929" w:firstLine="0"/>
        <w:jc w:val="both"/>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3B3971" w:rsidRDefault="003B3971">
      <w:pPr>
        <w:spacing w:line="360" w:lineRule="auto"/>
        <w:ind w:right="-929"/>
        <w:jc w:val="both"/>
        <w:rPr>
          <w:rFonts w:ascii="Palatino Linotype" w:eastAsia="Palatino Linotype" w:hAnsi="Palatino Linotype" w:cs="Palatino Linotype"/>
          <w:color w:val="000000"/>
        </w:rPr>
      </w:pPr>
    </w:p>
    <w:p w:rsidR="003B3971" w:rsidRPr="00A96CA6" w:rsidRDefault="00601C2E">
      <w:pPr>
        <w:numPr>
          <w:ilvl w:val="0"/>
          <w:numId w:val="8"/>
        </w:numPr>
        <w:spacing w:line="360" w:lineRule="auto"/>
        <w:ind w:left="0" w:right="-929" w:firstLine="0"/>
        <w:jc w:val="both"/>
        <w:rPr>
          <w:color w:val="000000"/>
        </w:rPr>
      </w:pPr>
      <w:r>
        <w:rPr>
          <w:rFonts w:ascii="Palatino Linotype" w:eastAsia="Palatino Linotype" w:hAnsi="Palatino Linotype" w:cs="Palatino Linotype"/>
        </w:rPr>
        <w:t>Por lo anteriormente expuesto, este Órgano Garante considera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smallCaps/>
        </w:rPr>
        <w:t xml:space="preserve">MODIFICAR </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sidR="002309CF">
        <w:rPr>
          <w:rFonts w:ascii="Palatino Linotype" w:eastAsia="Palatino Linotype" w:hAnsi="Palatino Linotype" w:cs="Palatino Linotype"/>
          <w:color w:val="000000"/>
        </w:rPr>
        <w:t xml:space="preserve"> emite los siguientes.</w:t>
      </w:r>
      <w:r w:rsidR="00A96CA6">
        <w:rPr>
          <w:rFonts w:ascii="Palatino Linotype" w:eastAsia="Palatino Linotype" w:hAnsi="Palatino Linotype" w:cs="Palatino Linotype"/>
          <w:color w:val="000000"/>
        </w:rPr>
        <w:t xml:space="preserve"> --------------</w:t>
      </w:r>
    </w:p>
    <w:p w:rsidR="00A96CA6" w:rsidRDefault="00A96CA6" w:rsidP="00A96CA6">
      <w:pPr>
        <w:pStyle w:val="Prrafodelista"/>
        <w:rPr>
          <w:color w:val="000000"/>
        </w:rPr>
      </w:pPr>
    </w:p>
    <w:p w:rsidR="00A96CA6" w:rsidRDefault="00A96CA6" w:rsidP="00A96CA6">
      <w:pPr>
        <w:spacing w:line="360" w:lineRule="auto"/>
        <w:ind w:right="-929"/>
        <w:jc w:val="both"/>
        <w:rPr>
          <w:color w:val="000000"/>
        </w:rPr>
      </w:pPr>
    </w:p>
    <w:p w:rsidR="00A96CA6" w:rsidRDefault="00A96CA6" w:rsidP="00A96CA6">
      <w:pPr>
        <w:spacing w:line="360" w:lineRule="auto"/>
        <w:ind w:right="-929"/>
        <w:jc w:val="both"/>
        <w:rPr>
          <w:color w:val="000000"/>
        </w:rPr>
      </w:pPr>
    </w:p>
    <w:p w:rsidR="003B3971" w:rsidRDefault="003B3971">
      <w:pPr>
        <w:pBdr>
          <w:top w:val="nil"/>
          <w:left w:val="nil"/>
          <w:bottom w:val="nil"/>
          <w:right w:val="nil"/>
          <w:between w:val="nil"/>
        </w:pBdr>
        <w:ind w:left="720" w:right="-929"/>
        <w:rPr>
          <w:rFonts w:ascii="Palatino Linotype" w:eastAsia="Palatino Linotype" w:hAnsi="Palatino Linotype" w:cs="Palatino Linotype"/>
          <w:color w:val="000000"/>
        </w:rPr>
      </w:pPr>
    </w:p>
    <w:p w:rsidR="003B3971" w:rsidRDefault="00601C2E">
      <w:pPr>
        <w:pStyle w:val="Ttulo1"/>
        <w:spacing w:before="0" w:line="360" w:lineRule="auto"/>
        <w:ind w:right="-929"/>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R E S O L U T I V O S</w:t>
      </w:r>
    </w:p>
    <w:p w:rsidR="003B3971" w:rsidRDefault="003B3971">
      <w:pPr>
        <w:spacing w:line="360" w:lineRule="auto"/>
        <w:ind w:right="-929"/>
        <w:rPr>
          <w:rFonts w:ascii="Palatino Linotype" w:eastAsia="Palatino Linotype" w:hAnsi="Palatino Linotype" w:cs="Palatino Linotype"/>
        </w:rPr>
      </w:pPr>
    </w:p>
    <w:p w:rsidR="003B3971" w:rsidRDefault="00601C2E">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 xml:space="preserve">13808/INFOEM/IP/RR/2025,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spacing w:line="360" w:lineRule="auto"/>
        <w:ind w:right="-929"/>
        <w:jc w:val="both"/>
        <w:rPr>
          <w:rFonts w:ascii="Palatino Linotype" w:eastAsia="Palatino Linotype" w:hAnsi="Palatino Linotype" w:cs="Palatino Linotype"/>
        </w:rPr>
      </w:pPr>
      <w:bookmarkStart w:id="15" w:name="_heading=h.1ksv4uv" w:colFirst="0" w:colLast="0"/>
      <w:bookmarkEnd w:id="15"/>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Sistema Municipal Para el Desarrollo Integral de la Familia de Tianguistenco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w:t>
      </w:r>
      <w:r>
        <w:rPr>
          <w:rFonts w:ascii="Palatino Linotype" w:eastAsia="Palatino Linotype" w:hAnsi="Palatino Linotype" w:cs="Palatino Linotype"/>
        </w:rPr>
        <w:t xml:space="preserve"> en versión pública:</w:t>
      </w:r>
    </w:p>
    <w:p w:rsidR="003B3971" w:rsidRDefault="003B3971">
      <w:pPr>
        <w:ind w:right="-929"/>
        <w:jc w:val="both"/>
        <w:rPr>
          <w:rFonts w:ascii="Palatino Linotype" w:eastAsia="Palatino Linotype" w:hAnsi="Palatino Linotype" w:cs="Palatino Linotype"/>
        </w:rPr>
      </w:pPr>
    </w:p>
    <w:p w:rsidR="003B3971" w:rsidRDefault="00601C2E">
      <w:pPr>
        <w:ind w:left="1211" w:right="-929"/>
        <w:jc w:val="both"/>
        <w:rPr>
          <w:rFonts w:ascii="Palatino Linotype" w:eastAsia="Palatino Linotype" w:hAnsi="Palatino Linotype" w:cs="Palatino Linotype"/>
          <w:b/>
          <w:bCs/>
          <w:i/>
          <w:iCs/>
        </w:rPr>
      </w:pPr>
      <w:bookmarkStart w:id="16" w:name="_heading=h.jz1sqpgtor0i" w:colFirst="0" w:colLast="0"/>
      <w:bookmarkEnd w:id="16"/>
      <w:r>
        <w:rPr>
          <w:rFonts w:ascii="Palatino Linotype" w:eastAsia="Palatino Linotype" w:hAnsi="Palatino Linotype" w:cs="Palatino Linotype"/>
          <w:b/>
          <w:bCs/>
          <w:i/>
          <w:iCs/>
        </w:rPr>
        <w:t>1.- Oficios remitidos en respuesta por la Dirección General, la Coordinación de Recursos Humanos, la Unidad de Información Planeación, Programación y Evaluación, la Coordinación de URIS, la Procuraduría del Niño, Niña y Adolescentes, al Coordinación de Comunicación Social, la Coordinación de Prevención y Bienestar, la Coordinación de Innovación y Habilidades y la Coordinación del Adulto Mayor, en correcta versión pública.</w:t>
      </w:r>
    </w:p>
    <w:p w:rsidR="003B3971" w:rsidRDefault="003B3971">
      <w:pPr>
        <w:ind w:left="1211" w:right="-929"/>
        <w:jc w:val="both"/>
        <w:rPr>
          <w:rFonts w:ascii="Palatino Linotype" w:eastAsia="Palatino Linotype" w:hAnsi="Palatino Linotype" w:cs="Palatino Linotype"/>
          <w:b/>
          <w:bCs/>
          <w:i/>
          <w:iCs/>
        </w:rPr>
      </w:pPr>
    </w:p>
    <w:p w:rsidR="003B3971" w:rsidRDefault="00601C2E">
      <w:pPr>
        <w:ind w:left="121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 Oficios generados y recibidos faltantes por la Dirección General, la Coordinación de Recursos Humanos, la Unidad de Información Planeación, Programación y Evaluación, la Coordinación de URIS, la Procuraduría del Niño, Niña y Adolescentes, al Coordinación de Comunicación Social, la Coordinación de Prevención y Bienestar, la Coordinación de Innovación y Habilidades y la Coordinación del Adulto Mayor; del ejercicio fiscal dos mil veinticuatro y del uno de enero al once de noviembre de dos mil veinticinco; </w:t>
      </w:r>
    </w:p>
    <w:p w:rsidR="003B3971" w:rsidRDefault="003B3971">
      <w:pPr>
        <w:ind w:left="1211" w:right="-929"/>
        <w:jc w:val="both"/>
        <w:rPr>
          <w:rFonts w:ascii="Palatino Linotype" w:eastAsia="Palatino Linotype" w:hAnsi="Palatino Linotype" w:cs="Palatino Linotype"/>
          <w:b/>
          <w:bCs/>
          <w:i/>
          <w:iCs/>
        </w:rPr>
      </w:pPr>
    </w:p>
    <w:p w:rsidR="003B3971" w:rsidRPr="00AA35D1" w:rsidRDefault="00601C2E">
      <w:pPr>
        <w:ind w:left="1211"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3.- Oficios faltantes generados y recibidos en las áreas Presidencia, Tesorería, Dirección de Administración, Contraloría, Coordinación de Salud, Coordinación de Nutrición y Orientación Alimentaria, Unidad de Transparencia y la Coordinación de Estancia Infantil, del ejercicio fiscal dos mil veinticuatro y del uno de enero al once de </w:t>
      </w:r>
      <w:r w:rsidR="007150AF" w:rsidRPr="00AA35D1">
        <w:rPr>
          <w:rFonts w:ascii="Palatino Linotype" w:eastAsia="Palatino Linotype" w:hAnsi="Palatino Linotype" w:cs="Palatino Linotype"/>
          <w:b/>
          <w:bCs/>
          <w:i/>
          <w:iCs/>
        </w:rPr>
        <w:t xml:space="preserve">noviembre </w:t>
      </w:r>
      <w:r w:rsidRPr="00AA35D1">
        <w:rPr>
          <w:rFonts w:ascii="Palatino Linotype" w:eastAsia="Palatino Linotype" w:hAnsi="Palatino Linotype" w:cs="Palatino Linotype"/>
          <w:b/>
          <w:bCs/>
          <w:i/>
          <w:iCs/>
        </w:rPr>
        <w:t xml:space="preserve">de dos mil veinticinco; </w:t>
      </w:r>
    </w:p>
    <w:p w:rsidR="003B3971" w:rsidRPr="00AA35D1" w:rsidRDefault="003B3971">
      <w:pPr>
        <w:ind w:left="1211" w:right="-929"/>
        <w:jc w:val="both"/>
        <w:rPr>
          <w:rFonts w:ascii="Palatino Linotype" w:eastAsia="Palatino Linotype" w:hAnsi="Palatino Linotype" w:cs="Palatino Linotype"/>
          <w:b/>
          <w:bCs/>
          <w:i/>
          <w:iCs/>
        </w:rPr>
      </w:pPr>
    </w:p>
    <w:p w:rsidR="003B3971" w:rsidRPr="00AA35D1" w:rsidRDefault="00601C2E">
      <w:pPr>
        <w:ind w:left="1211" w:right="-929"/>
        <w:jc w:val="both"/>
        <w:rPr>
          <w:rFonts w:ascii="Palatino Linotype" w:eastAsia="Palatino Linotype" w:hAnsi="Palatino Linotype" w:cs="Palatino Linotype"/>
          <w:b/>
          <w:bCs/>
          <w:i/>
          <w:iCs/>
        </w:rPr>
      </w:pPr>
      <w:r w:rsidRPr="00AA35D1">
        <w:rPr>
          <w:rFonts w:ascii="Palatino Linotype" w:eastAsia="Palatino Linotype" w:hAnsi="Palatino Linotype" w:cs="Palatino Linotype"/>
          <w:b/>
          <w:bCs/>
          <w:i/>
          <w:iCs/>
        </w:rPr>
        <w:t xml:space="preserve">4.- Recibos de nómina remitidos en respuesta en correcta versión pública; </w:t>
      </w:r>
    </w:p>
    <w:p w:rsidR="003B3971" w:rsidRPr="00AA35D1" w:rsidRDefault="003B3971">
      <w:pPr>
        <w:ind w:left="1211" w:right="-929"/>
        <w:jc w:val="both"/>
        <w:rPr>
          <w:rFonts w:ascii="Palatino Linotype" w:eastAsia="Palatino Linotype" w:hAnsi="Palatino Linotype" w:cs="Palatino Linotype"/>
          <w:b/>
          <w:bCs/>
          <w:i/>
          <w:iCs/>
        </w:rPr>
      </w:pPr>
    </w:p>
    <w:p w:rsidR="003B3971" w:rsidRPr="00AA35D1" w:rsidRDefault="007150AF">
      <w:pPr>
        <w:ind w:left="1211" w:right="-929"/>
        <w:jc w:val="both"/>
        <w:rPr>
          <w:rFonts w:ascii="Palatino Linotype" w:eastAsia="Palatino Linotype" w:hAnsi="Palatino Linotype" w:cs="Palatino Linotype"/>
          <w:b/>
          <w:bCs/>
          <w:i/>
          <w:iCs/>
        </w:rPr>
      </w:pPr>
      <w:r w:rsidRPr="00AA35D1">
        <w:rPr>
          <w:rFonts w:ascii="Palatino Linotype" w:eastAsia="Palatino Linotype" w:hAnsi="Palatino Linotype" w:cs="Palatino Linotype"/>
          <w:b/>
          <w:bCs/>
          <w:i/>
          <w:iCs/>
        </w:rPr>
        <w:t>5</w:t>
      </w:r>
      <w:r w:rsidR="00601C2E" w:rsidRPr="00AA35D1">
        <w:rPr>
          <w:rFonts w:ascii="Palatino Linotype" w:eastAsia="Palatino Linotype" w:hAnsi="Palatino Linotype" w:cs="Palatino Linotype"/>
          <w:b/>
          <w:bCs/>
          <w:i/>
          <w:iCs/>
        </w:rPr>
        <w:t xml:space="preserve">.-Documento donde conste o se advierta el nombre de personas que han sido beneficiarias de los apoyos que ha otorgado el Sistema Municipal Para El Desarrollo Integral de la Familia de Tianguistenco, al once de noviembre de dos mil veinticinco, y </w:t>
      </w:r>
    </w:p>
    <w:p w:rsidR="003B3971" w:rsidRPr="00AA35D1" w:rsidRDefault="003B3971">
      <w:pPr>
        <w:ind w:left="1211" w:right="-929"/>
        <w:jc w:val="both"/>
        <w:rPr>
          <w:rFonts w:ascii="Palatino Linotype" w:eastAsia="Palatino Linotype" w:hAnsi="Palatino Linotype" w:cs="Palatino Linotype"/>
          <w:b/>
          <w:bCs/>
          <w:i/>
          <w:iCs/>
        </w:rPr>
      </w:pPr>
    </w:p>
    <w:p w:rsidR="003B3971" w:rsidRDefault="007150AF">
      <w:pPr>
        <w:ind w:left="1211" w:right="-929"/>
        <w:jc w:val="both"/>
        <w:rPr>
          <w:rFonts w:ascii="Palatino Linotype" w:eastAsia="Palatino Linotype" w:hAnsi="Palatino Linotype" w:cs="Palatino Linotype"/>
          <w:b/>
          <w:bCs/>
          <w:i/>
          <w:iCs/>
        </w:rPr>
      </w:pPr>
      <w:r w:rsidRPr="00AA35D1">
        <w:rPr>
          <w:rFonts w:ascii="Palatino Linotype" w:eastAsia="Palatino Linotype" w:hAnsi="Palatino Linotype" w:cs="Palatino Linotype"/>
          <w:b/>
          <w:bCs/>
          <w:i/>
          <w:iCs/>
        </w:rPr>
        <w:t>6</w:t>
      </w:r>
      <w:r w:rsidR="00601C2E" w:rsidRPr="00AA35D1">
        <w:rPr>
          <w:rFonts w:ascii="Palatino Linotype" w:eastAsia="Palatino Linotype" w:hAnsi="Palatino Linotype" w:cs="Palatino Linotype"/>
          <w:b/>
          <w:bCs/>
          <w:i/>
          <w:iCs/>
        </w:rPr>
        <w:t>.- Manuales de Organización y Procedimientos, así como Reglamento Interno de la Presidencia y Dirección General del Sistema Municipal Para El Desarrollo Integral de la Familia de Tianguistenco, vigentes al once de noviembre de mil veinticinco.</w:t>
      </w:r>
      <w:r w:rsidR="00601C2E">
        <w:rPr>
          <w:rFonts w:ascii="Palatino Linotype" w:eastAsia="Palatino Linotype" w:hAnsi="Palatino Linotype" w:cs="Palatino Linotype"/>
          <w:b/>
          <w:bCs/>
          <w:i/>
          <w:iCs/>
        </w:rPr>
        <w:t xml:space="preserve"> </w:t>
      </w:r>
    </w:p>
    <w:p w:rsidR="003B3971" w:rsidRDefault="003B3971">
      <w:pPr>
        <w:ind w:left="1211" w:right="-929"/>
        <w:jc w:val="both"/>
        <w:rPr>
          <w:rFonts w:ascii="Palatino Linotype" w:eastAsia="Palatino Linotype" w:hAnsi="Palatino Linotype" w:cs="Palatino Linotype"/>
          <w:b/>
          <w:bCs/>
          <w:i/>
          <w:iCs/>
        </w:rPr>
      </w:pPr>
    </w:p>
    <w:p w:rsidR="003B3971" w:rsidRDefault="003B3971">
      <w:pPr>
        <w:ind w:right="-929"/>
        <w:jc w:val="both"/>
        <w:rPr>
          <w:rFonts w:ascii="Palatino Linotype" w:eastAsia="Palatino Linotype" w:hAnsi="Palatino Linotype" w:cs="Palatino Linotype"/>
          <w:b/>
          <w:bCs/>
        </w:rPr>
      </w:pPr>
    </w:p>
    <w:p w:rsidR="003B3971" w:rsidRDefault="00601C2E">
      <w:pPr>
        <w:tabs>
          <w:tab w:val="left" w:pos="8080"/>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rsidR="003B3971" w:rsidRDefault="003B3971">
      <w:pPr>
        <w:tabs>
          <w:tab w:val="left" w:pos="8080"/>
        </w:tabs>
        <w:spacing w:line="360" w:lineRule="auto"/>
        <w:ind w:right="-929"/>
        <w:jc w:val="both"/>
        <w:rPr>
          <w:rFonts w:ascii="Palatino Linotype" w:eastAsia="Palatino Linotype" w:hAnsi="Palatino Linotype" w:cs="Palatino Linotype"/>
          <w:b/>
          <w:bCs/>
        </w:rPr>
      </w:pPr>
    </w:p>
    <w:p w:rsidR="003B3971" w:rsidRDefault="00601C2E">
      <w:pPr>
        <w:tabs>
          <w:tab w:val="left" w:pos="8080"/>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rPr>
        <w:t xml:space="preserve">De ser el caso de que los folios faltantes se hubieran cancelado oficios bastará con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lo haga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3B3971" w:rsidRDefault="003B3971">
      <w:pPr>
        <w:ind w:right="-929"/>
        <w:jc w:val="both"/>
        <w:rPr>
          <w:rFonts w:ascii="Palatino Linotype" w:eastAsia="Palatino Linotype" w:hAnsi="Palatino Linotype" w:cs="Palatino Linotype"/>
          <w:b/>
          <w:bCs/>
        </w:rPr>
      </w:pPr>
    </w:p>
    <w:p w:rsidR="003B3971" w:rsidRDefault="00601C2E">
      <w:pPr>
        <w:tabs>
          <w:tab w:val="left" w:pos="8080"/>
        </w:tabs>
        <w:spacing w:line="360" w:lineRule="auto"/>
        <w:ind w:right="-929"/>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w:t>
      </w:r>
      <w:r>
        <w:rPr>
          <w:rFonts w:ascii="Palatino Linotype" w:eastAsia="Palatino Linotype" w:hAnsi="Palatino Linotype" w:cs="Palatino Linotype"/>
          <w:color w:val="222222"/>
        </w:rPr>
        <w:lastRenderedPageBreak/>
        <w:t xml:space="preserve">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3B3971" w:rsidRDefault="003B3971">
      <w:pPr>
        <w:tabs>
          <w:tab w:val="left" w:pos="8080"/>
        </w:tabs>
        <w:spacing w:line="360" w:lineRule="auto"/>
        <w:ind w:right="-929"/>
        <w:jc w:val="both"/>
        <w:rPr>
          <w:rFonts w:ascii="Palatino Linotype" w:eastAsia="Palatino Linotype" w:hAnsi="Palatino Linotype" w:cs="Palatino Linotype"/>
          <w:color w:val="222222"/>
        </w:rPr>
      </w:pPr>
    </w:p>
    <w:p w:rsidR="003B3971" w:rsidRDefault="00601C2E">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3B3971" w:rsidRDefault="003B3971">
      <w:pPr>
        <w:spacing w:line="360" w:lineRule="auto"/>
        <w:ind w:right="-929"/>
        <w:jc w:val="both"/>
        <w:rPr>
          <w:rFonts w:ascii="Palatino Linotype" w:eastAsia="Palatino Linotype" w:hAnsi="Palatino Linotype" w:cs="Palatino Linotype"/>
        </w:rPr>
      </w:pPr>
    </w:p>
    <w:p w:rsidR="003B3971" w:rsidRDefault="00601C2E">
      <w:pPr>
        <w:shd w:val="clear" w:color="auto" w:fill="FFFFFF"/>
        <w:spacing w:line="360" w:lineRule="auto"/>
        <w:ind w:right="-929"/>
        <w:jc w:val="both"/>
        <w:rPr>
          <w:rFonts w:ascii="Palatino Linotype" w:eastAsia="Palatino Linotype" w:hAnsi="Palatino Linotype" w:cs="Palatino Linotype"/>
        </w:rPr>
      </w:pPr>
      <w:bookmarkStart w:id="17" w:name="_heading=h.2jxsxqh" w:colFirst="0" w:colLast="0"/>
      <w:bookmarkEnd w:id="17"/>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3B3971" w:rsidRDefault="003B3971">
      <w:pPr>
        <w:shd w:val="clear" w:color="auto" w:fill="FFFFFF"/>
        <w:spacing w:line="360" w:lineRule="auto"/>
        <w:ind w:right="-929"/>
        <w:jc w:val="both"/>
        <w:rPr>
          <w:rFonts w:ascii="Palatino Linotype" w:eastAsia="Palatino Linotype" w:hAnsi="Palatino Linotype" w:cs="Palatino Linotype"/>
        </w:rPr>
      </w:pPr>
    </w:p>
    <w:p w:rsidR="003B3971" w:rsidRDefault="00601C2E">
      <w:pPr>
        <w:shd w:val="clear" w:color="auto" w:fill="FFFFFF"/>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3B3971" w:rsidRDefault="003B3971">
      <w:pPr>
        <w:shd w:val="clear" w:color="auto" w:fill="FFFFFF"/>
        <w:spacing w:line="360" w:lineRule="auto"/>
        <w:ind w:right="-929"/>
        <w:jc w:val="both"/>
        <w:rPr>
          <w:rFonts w:ascii="Palatino Linotype" w:eastAsia="Palatino Linotype" w:hAnsi="Palatino Linotype" w:cs="Palatino Linotype"/>
        </w:rPr>
      </w:pPr>
    </w:p>
    <w:p w:rsidR="003B3971" w:rsidRDefault="006D4D45">
      <w:pPr>
        <w:spacing w:line="360" w:lineRule="auto"/>
        <w:ind w:right="-929"/>
        <w:jc w:val="both"/>
        <w:rPr>
          <w:rFonts w:ascii="Palatino Linotype" w:eastAsia="Palatino Linotype" w:hAnsi="Palatino Linotype" w:cs="Palatino Linotype"/>
          <w:color w:val="000000"/>
          <w:shd w:val="clear" w:color="auto" w:fill="FAFAFA"/>
        </w:rPr>
      </w:pPr>
      <w:r>
        <w:rPr>
          <w:rFonts w:ascii="Palatino Linotype" w:eastAsia="Palatino Linotype" w:hAnsi="Palatino Linotype" w:cs="Palatino Linotype"/>
          <w:b/>
          <w:bCs/>
          <w:color w:val="000000"/>
          <w:shd w:val="clear" w:color="auto" w:fill="FAFAFA"/>
        </w:rPr>
        <w:t xml:space="preserve">SÉPTIMO. </w:t>
      </w:r>
      <w:r w:rsidR="00601C2E">
        <w:rPr>
          <w:rFonts w:ascii="Palatino Linotype" w:eastAsia="Palatino Linotype" w:hAnsi="Palatino Linotype" w:cs="Palatino Linotype"/>
          <w:b/>
          <w:bCs/>
          <w:color w:val="000000"/>
          <w:shd w:val="clear" w:color="auto" w:fill="FAFAFA"/>
        </w:rPr>
        <w:t> Gírese</w:t>
      </w:r>
      <w:r w:rsidR="00601C2E">
        <w:rPr>
          <w:rFonts w:ascii="Palatino Linotype" w:eastAsia="Palatino Linotype" w:hAnsi="Palatino Linotype" w:cs="Palatino Linotype"/>
          <w:color w:val="000000"/>
          <w:shd w:val="clear" w:color="auto" w:fill="FAFAFA"/>
        </w:rPr>
        <w:t xml:space="preserve"> oficio al Titular de la Dirección General de Protección de Datos Personales, en atención al artículo 82, fracción XXVII de la Ley de Protección de Datos </w:t>
      </w:r>
      <w:r w:rsidR="00601C2E" w:rsidRPr="00A96CA6">
        <w:rPr>
          <w:rFonts w:ascii="Palatino Linotype" w:eastAsia="Palatino Linotype" w:hAnsi="Palatino Linotype" w:cs="Palatino Linotype"/>
          <w:color w:val="000000"/>
        </w:rPr>
        <w:lastRenderedPageBreak/>
        <w:t>Personales del Estado de México y Municipios en términos de lo señalado en el </w:t>
      </w:r>
      <w:r w:rsidR="00601C2E" w:rsidRPr="00A96CA6">
        <w:rPr>
          <w:rFonts w:ascii="Palatino Linotype" w:eastAsia="Palatino Linotype" w:hAnsi="Palatino Linotype" w:cs="Palatino Linotype"/>
          <w:b/>
          <w:bCs/>
          <w:color w:val="000000"/>
        </w:rPr>
        <w:t>Considerando CUARTO</w:t>
      </w:r>
      <w:r w:rsidR="00601C2E" w:rsidRPr="00A96CA6">
        <w:rPr>
          <w:rFonts w:ascii="Palatino Linotype" w:eastAsia="Palatino Linotype" w:hAnsi="Palatino Linotype" w:cs="Palatino Linotype"/>
          <w:color w:val="000000"/>
        </w:rPr>
        <w:t> de la presente resolución.</w:t>
      </w:r>
    </w:p>
    <w:p w:rsidR="003B3971" w:rsidRDefault="003B3971">
      <w:pPr>
        <w:shd w:val="clear" w:color="auto" w:fill="FFFFFF"/>
        <w:spacing w:line="360" w:lineRule="auto"/>
        <w:ind w:right="-929"/>
        <w:jc w:val="both"/>
        <w:rPr>
          <w:rFonts w:ascii="Palatino Linotype" w:eastAsia="Palatino Linotype" w:hAnsi="Palatino Linotype" w:cs="Palatino Linotype"/>
        </w:rPr>
      </w:pPr>
    </w:p>
    <w:p w:rsidR="002309CF" w:rsidRPr="003E2295" w:rsidRDefault="002309CF" w:rsidP="002309CF">
      <w:pPr>
        <w:spacing w:before="240" w:after="240" w:line="360" w:lineRule="auto"/>
        <w:ind w:right="-943" w:firstLine="1"/>
        <w:jc w:val="both"/>
        <w:rPr>
          <w:rFonts w:ascii="Palatino Linotype" w:hAnsi="Palatino Linotype"/>
        </w:rPr>
      </w:pPr>
      <w:bookmarkStart w:id="18"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8"/>
    <w:p w:rsidR="003B3971" w:rsidRDefault="003B3971" w:rsidP="002309CF">
      <w:pPr>
        <w:spacing w:before="240" w:after="240" w:line="360" w:lineRule="auto"/>
        <w:ind w:right="-943"/>
        <w:jc w:val="both"/>
        <w:rPr>
          <w:rFonts w:ascii="Palatino Linotype" w:eastAsia="Palatino Linotype" w:hAnsi="Palatino Linotype" w:cs="Palatino Linotype"/>
        </w:rPr>
      </w:pPr>
    </w:p>
    <w:p w:rsidR="003B3971" w:rsidRDefault="003B3971">
      <w:pPr>
        <w:spacing w:before="240" w:after="240" w:line="360" w:lineRule="auto"/>
        <w:ind w:right="-929"/>
        <w:jc w:val="both"/>
        <w:rPr>
          <w:rFonts w:ascii="Palatino Linotype" w:eastAsia="Palatino Linotype" w:hAnsi="Palatino Linotype" w:cs="Palatino Linotype"/>
        </w:rPr>
      </w:pPr>
    </w:p>
    <w:p w:rsidR="003B3971" w:rsidRDefault="003B3971">
      <w:pPr>
        <w:spacing w:before="240" w:after="240" w:line="360" w:lineRule="auto"/>
        <w:ind w:right="-929"/>
        <w:jc w:val="both"/>
        <w:rPr>
          <w:rFonts w:ascii="Palatino Linotype" w:eastAsia="Palatino Linotype" w:hAnsi="Palatino Linotype" w:cs="Palatino Linotype"/>
        </w:rPr>
      </w:pPr>
    </w:p>
    <w:p w:rsidR="003B3971" w:rsidRDefault="003B3971">
      <w:pPr>
        <w:spacing w:before="240" w:after="240" w:line="360" w:lineRule="auto"/>
        <w:ind w:right="-929"/>
        <w:jc w:val="both"/>
        <w:rPr>
          <w:rFonts w:ascii="Palatino Linotype" w:eastAsia="Palatino Linotype" w:hAnsi="Palatino Linotype" w:cs="Palatino Linotype"/>
        </w:rPr>
      </w:pPr>
    </w:p>
    <w:p w:rsidR="003B3971" w:rsidRDefault="003B3971">
      <w:pPr>
        <w:spacing w:line="360" w:lineRule="auto"/>
        <w:ind w:right="-929"/>
        <w:jc w:val="both"/>
        <w:rPr>
          <w:rFonts w:ascii="Palatino Linotype" w:eastAsia="Palatino Linotype" w:hAnsi="Palatino Linotype" w:cs="Palatino Linotype"/>
        </w:rPr>
      </w:pPr>
    </w:p>
    <w:p w:rsidR="003B3971" w:rsidRDefault="003B3971">
      <w:pPr>
        <w:keepNext/>
        <w:keepLines/>
        <w:spacing w:after="240" w:line="360" w:lineRule="auto"/>
        <w:ind w:right="-929"/>
        <w:rPr>
          <w:rFonts w:ascii="Palatino Linotype" w:eastAsia="Palatino Linotype" w:hAnsi="Palatino Linotype" w:cs="Palatino Linotype"/>
        </w:rPr>
      </w:pPr>
    </w:p>
    <w:p w:rsidR="003B3971" w:rsidRDefault="003B3971">
      <w:pPr>
        <w:ind w:right="-929"/>
        <w:rPr>
          <w:rFonts w:ascii="Palatino Linotype" w:eastAsia="Palatino Linotype" w:hAnsi="Palatino Linotype" w:cs="Palatino Linotype"/>
        </w:rPr>
      </w:pPr>
    </w:p>
    <w:p w:rsidR="003B3971" w:rsidRDefault="003B3971">
      <w:pPr>
        <w:ind w:right="-929"/>
        <w:rPr>
          <w:rFonts w:ascii="Palatino Linotype" w:eastAsia="Palatino Linotype" w:hAnsi="Palatino Linotype" w:cs="Palatino Linotype"/>
        </w:rPr>
      </w:pPr>
    </w:p>
    <w:p w:rsidR="003B3971" w:rsidRDefault="003B3971">
      <w:pPr>
        <w:ind w:right="-929"/>
        <w:rPr>
          <w:rFonts w:ascii="Palatino Linotype" w:eastAsia="Palatino Linotype" w:hAnsi="Palatino Linotype" w:cs="Palatino Linotype"/>
        </w:rPr>
      </w:pPr>
    </w:p>
    <w:p w:rsidR="003B3971" w:rsidRDefault="003B3971">
      <w:pPr>
        <w:ind w:right="-929"/>
        <w:rPr>
          <w:rFonts w:ascii="Palatino Linotype" w:eastAsia="Palatino Linotype" w:hAnsi="Palatino Linotype" w:cs="Palatino Linotype"/>
        </w:rPr>
      </w:pPr>
    </w:p>
    <w:p w:rsidR="00AA35D1" w:rsidRDefault="00AA35D1">
      <w:pPr>
        <w:ind w:right="-929"/>
        <w:rPr>
          <w:rFonts w:ascii="Palatino Linotype" w:eastAsia="Palatino Linotype" w:hAnsi="Palatino Linotype" w:cs="Palatino Linotype"/>
        </w:rPr>
      </w:pPr>
    </w:p>
    <w:p w:rsidR="00AA35D1" w:rsidRDefault="00AA35D1">
      <w:pPr>
        <w:ind w:right="-929"/>
        <w:rPr>
          <w:rFonts w:ascii="Palatino Linotype" w:eastAsia="Palatino Linotype" w:hAnsi="Palatino Linotype" w:cs="Palatino Linotype"/>
        </w:rPr>
      </w:pPr>
    </w:p>
    <w:p w:rsidR="00AA35D1" w:rsidRDefault="00AA35D1">
      <w:pPr>
        <w:ind w:right="-929"/>
        <w:rPr>
          <w:rFonts w:ascii="Palatino Linotype" w:eastAsia="Palatino Linotype" w:hAnsi="Palatino Linotype" w:cs="Palatino Linotype"/>
        </w:rPr>
      </w:pPr>
    </w:p>
    <w:p w:rsidR="00AA35D1" w:rsidRDefault="00AA35D1">
      <w:pPr>
        <w:ind w:right="-929"/>
        <w:rPr>
          <w:rFonts w:ascii="Palatino Linotype" w:eastAsia="Palatino Linotype" w:hAnsi="Palatino Linotype" w:cs="Palatino Linotype"/>
        </w:rPr>
      </w:pPr>
    </w:p>
    <w:p w:rsidR="00AA35D1" w:rsidRDefault="00AA35D1">
      <w:pPr>
        <w:ind w:right="-929"/>
        <w:rPr>
          <w:rFonts w:ascii="Palatino Linotype" w:eastAsia="Palatino Linotype" w:hAnsi="Palatino Linotype" w:cs="Palatino Linotype"/>
        </w:rPr>
      </w:pPr>
    </w:p>
    <w:sectPr w:rsidR="00AA35D1">
      <w:headerReference w:type="default" r:id="rId20"/>
      <w:footerReference w:type="default" r:id="rId21"/>
      <w:headerReference w:type="first" r:id="rId22"/>
      <w:footerReference w:type="first" r:id="rId23"/>
      <w:pgSz w:w="12240" w:h="15840"/>
      <w:pgMar w:top="2410"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4FD" w:rsidRDefault="001A24FD">
      <w:r>
        <w:separator/>
      </w:r>
    </w:p>
  </w:endnote>
  <w:endnote w:type="continuationSeparator" w:id="0">
    <w:p w:rsidR="001A24FD" w:rsidRDefault="001A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51531B4-CEC2-4400-8E65-F490D6B3FA27}"/>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031D693-C370-4000-BB97-369207347E6C}"/>
    <w:embedBold r:id="rId3" w:fontKey="{8B29E884-962C-46ED-AE8D-3BAF24738433}"/>
    <w:embedItalic r:id="rId4" w:fontKey="{5D1A8120-99E1-46C2-87AA-77586F5ABED5}"/>
    <w:embedBoldItalic r:id="rId5" w:fontKey="{CC9478AD-978C-4204-91B4-1A79EF02C0E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EC2EAB61-E1B5-479C-9485-7041EB70C9B9}"/>
  </w:font>
  <w:font w:name="Georgia">
    <w:panose1 w:val="02040502050405020303"/>
    <w:charset w:val="00"/>
    <w:family w:val="roman"/>
    <w:pitch w:val="variable"/>
    <w:sig w:usb0="00000287" w:usb1="00000000" w:usb2="00000000" w:usb3="00000000" w:csb0="0000009F" w:csb1="00000000"/>
    <w:embedItalic r:id="rId7" w:fontKey="{D84B062E-5D66-43F1-B9D9-EB9C7D9E67F3}"/>
  </w:font>
  <w:font w:name="Cambria">
    <w:panose1 w:val="02040503050406030204"/>
    <w:charset w:val="00"/>
    <w:family w:val="roman"/>
    <w:pitch w:val="variable"/>
    <w:sig w:usb0="E00006FF" w:usb1="420024FF" w:usb2="02000000" w:usb3="00000000" w:csb0="0000019F" w:csb1="00000000"/>
    <w:embedRegular r:id="rId8" w:fontKey="{BD521301-D168-46AA-A5AD-B843C21BA2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971" w:rsidRDefault="00601C2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47E33">
      <w:rPr>
        <w:rFonts w:ascii="Palatino Linotype" w:eastAsia="Palatino Linotype" w:hAnsi="Palatino Linotype" w:cs="Palatino Linotype"/>
        <w:b/>
        <w:bCs/>
        <w:noProof/>
        <w:color w:val="000000"/>
        <w:sz w:val="22"/>
        <w:szCs w:val="22"/>
      </w:rPr>
      <w:t>16</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47E33">
      <w:rPr>
        <w:rFonts w:ascii="Palatino Linotype" w:eastAsia="Palatino Linotype" w:hAnsi="Palatino Linotype" w:cs="Palatino Linotype"/>
        <w:b/>
        <w:bCs/>
        <w:noProof/>
        <w:color w:val="000000"/>
        <w:sz w:val="22"/>
        <w:szCs w:val="22"/>
      </w:rPr>
      <w:t>80</w:t>
    </w:r>
    <w:r>
      <w:rPr>
        <w:rFonts w:ascii="Palatino Linotype" w:eastAsia="Palatino Linotype" w:hAnsi="Palatino Linotype" w:cs="Palatino Linotype"/>
        <w:b/>
        <w:bCs/>
        <w:color w:val="000000"/>
        <w:sz w:val="22"/>
        <w:szCs w:val="22"/>
      </w:rPr>
      <w:fldChar w:fldCharType="end"/>
    </w:r>
  </w:p>
  <w:p w:rsidR="003B3971" w:rsidRDefault="003B3971">
    <w:pPr>
      <w:pBdr>
        <w:top w:val="nil"/>
        <w:left w:val="nil"/>
        <w:bottom w:val="nil"/>
        <w:right w:val="nil"/>
        <w:between w:val="nil"/>
      </w:pBdr>
      <w:tabs>
        <w:tab w:val="center" w:pos="4252"/>
        <w:tab w:val="right" w:pos="8504"/>
      </w:tabs>
      <w:rPr>
        <w:color w:val="000000"/>
      </w:rPr>
    </w:pPr>
  </w:p>
  <w:p w:rsidR="003B3971" w:rsidRDefault="003B397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971" w:rsidRDefault="00601C2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47E33">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47E33">
      <w:rPr>
        <w:rFonts w:ascii="Palatino Linotype" w:eastAsia="Palatino Linotype" w:hAnsi="Palatino Linotype" w:cs="Palatino Linotype"/>
        <w:b/>
        <w:bCs/>
        <w:noProof/>
        <w:color w:val="000000"/>
        <w:sz w:val="22"/>
        <w:szCs w:val="22"/>
      </w:rPr>
      <w:t>80</w:t>
    </w:r>
    <w:r>
      <w:rPr>
        <w:rFonts w:ascii="Palatino Linotype" w:eastAsia="Palatino Linotype" w:hAnsi="Palatino Linotype" w:cs="Palatino Linotype"/>
        <w:b/>
        <w:bCs/>
        <w:color w:val="000000"/>
        <w:sz w:val="22"/>
        <w:szCs w:val="22"/>
      </w:rPr>
      <w:fldChar w:fldCharType="end"/>
    </w:r>
  </w:p>
  <w:p w:rsidR="003B3971" w:rsidRDefault="003B397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4FD" w:rsidRDefault="001A24FD">
      <w:r>
        <w:separator/>
      </w:r>
    </w:p>
  </w:footnote>
  <w:footnote w:type="continuationSeparator" w:id="0">
    <w:p w:rsidR="001A24FD" w:rsidRDefault="001A24FD">
      <w:r>
        <w:continuationSeparator/>
      </w:r>
    </w:p>
  </w:footnote>
  <w:footnote w:id="1">
    <w:p w:rsidR="003B3971" w:rsidRDefault="00601C2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3B3971" w:rsidRDefault="00601C2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3B3971" w:rsidRDefault="00601C2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3B3971" w:rsidRDefault="00601C2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185" w:type="dxa"/>
      <w:tblInd w:w="3119" w:type="dxa"/>
      <w:tblLayout w:type="fixed"/>
      <w:tblLook w:val="0400" w:firstRow="0" w:lastRow="0" w:firstColumn="0" w:lastColumn="0" w:noHBand="0" w:noVBand="1"/>
    </w:tblPr>
    <w:tblGrid>
      <w:gridCol w:w="2799"/>
      <w:gridCol w:w="4386"/>
    </w:tblGrid>
    <w:tr w:rsidR="003B3971">
      <w:tc>
        <w:tcPr>
          <w:tcW w:w="2799" w:type="dxa"/>
          <w:vAlign w:val="center"/>
        </w:tcPr>
        <w:p w:rsidR="003B3971" w:rsidRDefault="00601C2E">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86" w:type="dxa"/>
          <w:vAlign w:val="center"/>
        </w:tcPr>
        <w:p w:rsidR="003B3971" w:rsidRDefault="00601C2E">
          <w:pPr>
            <w:rPr>
              <w:rFonts w:ascii="Palatino Linotype" w:eastAsia="Palatino Linotype" w:hAnsi="Palatino Linotype" w:cs="Palatino Linotype"/>
            </w:rPr>
          </w:pPr>
          <w:r>
            <w:rPr>
              <w:rFonts w:ascii="Palatino Linotype" w:eastAsia="Palatino Linotype" w:hAnsi="Palatino Linotype" w:cs="Palatino Linotype"/>
            </w:rPr>
            <w:t>13808/INFOEM/IP/RR/2025</w:t>
          </w:r>
        </w:p>
      </w:tc>
    </w:tr>
    <w:tr w:rsidR="003B3971">
      <w:trPr>
        <w:trHeight w:val="228"/>
      </w:trPr>
      <w:tc>
        <w:tcPr>
          <w:tcW w:w="2799" w:type="dxa"/>
          <w:vAlign w:val="center"/>
        </w:tcPr>
        <w:p w:rsidR="003B3971" w:rsidRDefault="00601C2E">
          <w:pPr>
            <w:jc w:val="cente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86" w:type="dxa"/>
          <w:vAlign w:val="center"/>
        </w:tcPr>
        <w:p w:rsidR="003B3971" w:rsidRDefault="00601C2E">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Sistema Municipal Para el Desarrollo Integral de la Familia de Tianguistenco</w:t>
          </w:r>
        </w:p>
      </w:tc>
    </w:tr>
    <w:tr w:rsidR="003B3971">
      <w:tc>
        <w:tcPr>
          <w:tcW w:w="2799" w:type="dxa"/>
          <w:vAlign w:val="center"/>
        </w:tcPr>
        <w:p w:rsidR="003B3971" w:rsidRDefault="00601C2E">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86" w:type="dxa"/>
          <w:vAlign w:val="center"/>
        </w:tcPr>
        <w:p w:rsidR="003B3971" w:rsidRDefault="00601C2E">
          <w:pPr>
            <w:ind w:right="-53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3B3971" w:rsidRDefault="00601C2E">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simplePos x="0" y="0"/>
          <wp:positionH relativeFrom="column">
            <wp:posOffset>-1232534</wp:posOffset>
          </wp:positionH>
          <wp:positionV relativeFrom="paragraph">
            <wp:posOffset>-1467484</wp:posOffset>
          </wp:positionV>
          <wp:extent cx="7813085" cy="10170000"/>
          <wp:effectExtent l="0" t="0" r="0" b="0"/>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515" w:type="dxa"/>
      <w:tblInd w:w="2729" w:type="dxa"/>
      <w:tblLayout w:type="fixed"/>
      <w:tblLook w:val="0400" w:firstRow="0" w:lastRow="0" w:firstColumn="0" w:lastColumn="0" w:noHBand="0" w:noVBand="1"/>
    </w:tblPr>
    <w:tblGrid>
      <w:gridCol w:w="2970"/>
      <w:gridCol w:w="4545"/>
    </w:tblGrid>
    <w:tr w:rsidR="003B3971">
      <w:tc>
        <w:tcPr>
          <w:tcW w:w="2970" w:type="dxa"/>
          <w:vAlign w:val="center"/>
        </w:tcPr>
        <w:p w:rsidR="003B3971" w:rsidRDefault="00601C2E">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45" w:type="dxa"/>
          <w:vAlign w:val="center"/>
        </w:tcPr>
        <w:p w:rsidR="003B3971" w:rsidRDefault="00601C2E">
          <w:pPr>
            <w:rPr>
              <w:rFonts w:ascii="Palatino Linotype" w:eastAsia="Palatino Linotype" w:hAnsi="Palatino Linotype" w:cs="Palatino Linotype"/>
            </w:rPr>
          </w:pPr>
          <w:r>
            <w:rPr>
              <w:rFonts w:ascii="Palatino Linotype" w:eastAsia="Palatino Linotype" w:hAnsi="Palatino Linotype" w:cs="Palatino Linotype"/>
            </w:rPr>
            <w:t xml:space="preserve">13808/INFOEM/IP/RR/2025 </w:t>
          </w:r>
        </w:p>
      </w:tc>
    </w:tr>
    <w:tr w:rsidR="003B3971">
      <w:tc>
        <w:tcPr>
          <w:tcW w:w="2970" w:type="dxa"/>
          <w:vAlign w:val="center"/>
        </w:tcPr>
        <w:p w:rsidR="003B3971" w:rsidRDefault="00601C2E">
          <w:pPr>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545" w:type="dxa"/>
          <w:vAlign w:val="center"/>
        </w:tcPr>
        <w:p w:rsidR="003B3971" w:rsidRDefault="003B3971">
          <w:pPr>
            <w:rPr>
              <w:rFonts w:ascii="Palatino Linotype" w:eastAsia="Palatino Linotype" w:hAnsi="Palatino Linotype" w:cs="Palatino Linotype"/>
            </w:rPr>
          </w:pPr>
        </w:p>
      </w:tc>
    </w:tr>
    <w:tr w:rsidR="003B3971">
      <w:trPr>
        <w:trHeight w:val="228"/>
      </w:trPr>
      <w:tc>
        <w:tcPr>
          <w:tcW w:w="2970" w:type="dxa"/>
          <w:vAlign w:val="center"/>
        </w:tcPr>
        <w:p w:rsidR="003B3971" w:rsidRDefault="00601C2E">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45" w:type="dxa"/>
          <w:vAlign w:val="center"/>
        </w:tcPr>
        <w:p w:rsidR="003B3971" w:rsidRDefault="00601C2E">
          <w:pPr>
            <w:ind w:left="35" w:hanging="35"/>
            <w:rPr>
              <w:rFonts w:ascii="Palatino Linotype" w:eastAsia="Palatino Linotype" w:hAnsi="Palatino Linotype" w:cs="Palatino Linotype"/>
            </w:rPr>
          </w:pPr>
          <w:r>
            <w:rPr>
              <w:rFonts w:ascii="Palatino Linotype" w:eastAsia="Palatino Linotype" w:hAnsi="Palatino Linotype" w:cs="Palatino Linotype"/>
            </w:rPr>
            <w:t>Sistema Municipal Para el Desarrollo Integral de la Familia de Tianguistenco</w:t>
          </w:r>
        </w:p>
      </w:tc>
    </w:tr>
    <w:tr w:rsidR="003B3971">
      <w:tc>
        <w:tcPr>
          <w:tcW w:w="2970" w:type="dxa"/>
          <w:vAlign w:val="center"/>
        </w:tcPr>
        <w:p w:rsidR="003B3971" w:rsidRDefault="00601C2E">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45" w:type="dxa"/>
          <w:vAlign w:val="center"/>
        </w:tcPr>
        <w:p w:rsidR="003B3971" w:rsidRDefault="00601C2E">
          <w:pPr>
            <w:ind w:right="-53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3B3971" w:rsidRDefault="00A96CA6">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column">
            <wp:posOffset>-1043245</wp:posOffset>
          </wp:positionH>
          <wp:positionV relativeFrom="paragraph">
            <wp:posOffset>-1598786</wp:posOffset>
          </wp:positionV>
          <wp:extent cx="7813040" cy="1016952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40" cy="1016952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63B5F"/>
    <w:multiLevelType w:val="multilevel"/>
    <w:tmpl w:val="F226321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150473EA"/>
    <w:multiLevelType w:val="multilevel"/>
    <w:tmpl w:val="6F18843C"/>
    <w:lvl w:ilvl="0">
      <w:start w:val="1"/>
      <w:numFmt w:val="upperRoman"/>
      <w:lvlText w:val="%1."/>
      <w:lvlJc w:val="left"/>
      <w:pPr>
        <w:ind w:left="862" w:hanging="72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1C104297"/>
    <w:multiLevelType w:val="multilevel"/>
    <w:tmpl w:val="A538C1F2"/>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 w15:restartNumberingAfterBreak="0">
    <w:nsid w:val="29BC3B8B"/>
    <w:multiLevelType w:val="multilevel"/>
    <w:tmpl w:val="E28CBFD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F7382D"/>
    <w:multiLevelType w:val="multilevel"/>
    <w:tmpl w:val="B2CE0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082DC0"/>
    <w:multiLevelType w:val="multilevel"/>
    <w:tmpl w:val="AB8A399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380F630D"/>
    <w:multiLevelType w:val="multilevel"/>
    <w:tmpl w:val="6752231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42045D36"/>
    <w:multiLevelType w:val="multilevel"/>
    <w:tmpl w:val="5854044A"/>
    <w:lvl w:ilvl="0">
      <w:start w:val="1"/>
      <w:numFmt w:val="decimal"/>
      <w:lvlText w:val="%1."/>
      <w:lvlJc w:val="left"/>
      <w:pPr>
        <w:ind w:left="4330"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CA4664"/>
    <w:multiLevelType w:val="multilevel"/>
    <w:tmpl w:val="60BC89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2D70BD4"/>
    <w:multiLevelType w:val="multilevel"/>
    <w:tmpl w:val="03CE67CC"/>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0" w15:restartNumberingAfterBreak="0">
    <w:nsid w:val="681C4672"/>
    <w:multiLevelType w:val="multilevel"/>
    <w:tmpl w:val="7332BBB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6AFB6F1C"/>
    <w:multiLevelType w:val="multilevel"/>
    <w:tmpl w:val="8A880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9C375A"/>
    <w:multiLevelType w:val="multilevel"/>
    <w:tmpl w:val="6826CF2A"/>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C587D45"/>
    <w:multiLevelType w:val="multilevel"/>
    <w:tmpl w:val="3C5E40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10"/>
  </w:num>
  <w:num w:numId="4">
    <w:abstractNumId w:val="4"/>
  </w:num>
  <w:num w:numId="5">
    <w:abstractNumId w:val="0"/>
  </w:num>
  <w:num w:numId="6">
    <w:abstractNumId w:val="1"/>
  </w:num>
  <w:num w:numId="7">
    <w:abstractNumId w:val="8"/>
  </w:num>
  <w:num w:numId="8">
    <w:abstractNumId w:val="12"/>
  </w:num>
  <w:num w:numId="9">
    <w:abstractNumId w:val="2"/>
  </w:num>
  <w:num w:numId="10">
    <w:abstractNumId w:val="13"/>
  </w:num>
  <w:num w:numId="11">
    <w:abstractNumId w:val="9"/>
  </w:num>
  <w:num w:numId="12">
    <w:abstractNumId w:val="5"/>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971"/>
    <w:rsid w:val="001A24FD"/>
    <w:rsid w:val="001B3B2B"/>
    <w:rsid w:val="002309CF"/>
    <w:rsid w:val="002E1664"/>
    <w:rsid w:val="003B3971"/>
    <w:rsid w:val="00601C2E"/>
    <w:rsid w:val="00613CDB"/>
    <w:rsid w:val="006D4D45"/>
    <w:rsid w:val="007150AF"/>
    <w:rsid w:val="00853290"/>
    <w:rsid w:val="00A47E33"/>
    <w:rsid w:val="00A72BC2"/>
    <w:rsid w:val="00A96CA6"/>
    <w:rsid w:val="00AA35D1"/>
    <w:rsid w:val="00CE2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FAA7A-B120-4308-9AEC-78D05A07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2309CF"/>
    <w:pPr>
      <w:tabs>
        <w:tab w:val="center" w:pos="4419"/>
        <w:tab w:val="right" w:pos="8838"/>
      </w:tabs>
    </w:pPr>
  </w:style>
  <w:style w:type="character" w:customStyle="1" w:styleId="EncabezadoCar">
    <w:name w:val="Encabezado Car"/>
    <w:basedOn w:val="Fuentedeprrafopredeter"/>
    <w:link w:val="Encabezado"/>
    <w:uiPriority w:val="99"/>
    <w:rsid w:val="002309CF"/>
  </w:style>
  <w:style w:type="paragraph" w:styleId="Piedepgina">
    <w:name w:val="footer"/>
    <w:basedOn w:val="Normal"/>
    <w:link w:val="PiedepginaCar"/>
    <w:uiPriority w:val="99"/>
    <w:unhideWhenUsed/>
    <w:rsid w:val="002309CF"/>
    <w:pPr>
      <w:tabs>
        <w:tab w:val="center" w:pos="4419"/>
        <w:tab w:val="right" w:pos="8838"/>
      </w:tabs>
    </w:pPr>
  </w:style>
  <w:style w:type="character" w:customStyle="1" w:styleId="PiedepginaCar">
    <w:name w:val="Pie de página Car"/>
    <w:basedOn w:val="Fuentedeprrafopredeter"/>
    <w:link w:val="Piedepgina"/>
    <w:uiPriority w:val="99"/>
    <w:rsid w:val="002309CF"/>
  </w:style>
  <w:style w:type="paragraph" w:styleId="Prrafodelista">
    <w:name w:val="List Paragraph"/>
    <w:basedOn w:val="Normal"/>
    <w:uiPriority w:val="34"/>
    <w:qFormat/>
    <w:rsid w:val="00A96C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f.gob.mx/nota_detalle.php?codigo=5492254&amp;fecha=28/07/2017"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portalanterior.ine.mx/archivos2/tutoriales/sistemas/ApoyoInstitucional/SIF/docs/candidatos/folioFiscalFactura.pdf"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about:blank"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VUzpR+RatlpPbLj96DX12xthhw==">CgMxLjAyDmgucXhpb2FlYTNkbTVpMg5oLjdocjBnYzc5bW4zeDIOaC5mYnd5YTlwc21qbTkyDmguZm1iNnlvcWZ5eW4zMg5oLnRxZXlyeDNzb3hkNjIOaC5nbG1vcjkybmI0aXUyDmgueGtnZWo1ZmZ2c3p1Mg5oLnZ0bXhwc2dpN2N2MDIOaC5ocTVuN3Fncml1bTAyDmguaXBnZnIxejMwc3AwMgloLjF0M2g1c2YyCWguNGQzNG9nODIJaC4yczhleW8xMghoLmxueGJ6OTIJaC4xa3N2NHV2Mg5oLmp6MXNxcGd0b3IwaTIJaC4yanhzeHFoOAByITFPa2hNRmc5ZUM0RUFTUHF6bU9DUHdtcEhIZmxWTktB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80</Pages>
  <Words>20358</Words>
  <Characters>111971</Characters>
  <Application>Microsoft Office Word</Application>
  <DocSecurity>0</DocSecurity>
  <Lines>933</Lines>
  <Paragraphs>264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10</cp:revision>
  <cp:lastPrinted>2026-05-29T00:17:00Z</cp:lastPrinted>
  <dcterms:created xsi:type="dcterms:W3CDTF">2026-05-25T17:37:00Z</dcterms:created>
  <dcterms:modified xsi:type="dcterms:W3CDTF">2026-06-03T00:19:00Z</dcterms:modified>
</cp:coreProperties>
</file>